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4FB0E" w14:textId="77777777" w:rsidR="00821E2E" w:rsidRDefault="00821E2E" w:rsidP="00821E2E">
      <w:pPr>
        <w:pStyle w:val="Title"/>
      </w:pPr>
      <w:r>
        <w:t>NOW IS THE TIME (NITT) – HEALTHY TRANSITIONS (HT) EVALUATION</w:t>
      </w:r>
    </w:p>
    <w:p w14:paraId="59B0296B" w14:textId="77777777" w:rsidR="00821E2E" w:rsidRDefault="00821E2E" w:rsidP="00821E2E">
      <w:pPr>
        <w:pStyle w:val="Title"/>
      </w:pPr>
      <w:r w:rsidRPr="000F51C7">
        <w:t>SUPPORTING STATEMENT</w:t>
      </w:r>
    </w:p>
    <w:p w14:paraId="5631C5D6" w14:textId="77777777" w:rsidR="00821E2E" w:rsidRDefault="00821E2E" w:rsidP="00821E2E">
      <w:pPr>
        <w:pStyle w:val="Heading1"/>
        <w:numPr>
          <w:ilvl w:val="0"/>
          <w:numId w:val="0"/>
        </w:numPr>
      </w:pPr>
      <w:r>
        <w:t xml:space="preserve">B. </w:t>
      </w:r>
      <w:r w:rsidRPr="001F42AB">
        <w:t>COLLECTION OF INFORMATION EMPLOYING STATISTICAL METHODS</w:t>
      </w:r>
    </w:p>
    <w:p w14:paraId="4E7F8606" w14:textId="77777777" w:rsidR="00821E2E" w:rsidRPr="001F42AB" w:rsidRDefault="00821E2E" w:rsidP="00821E2E">
      <w:pPr>
        <w:pStyle w:val="Heading2"/>
        <w:numPr>
          <w:ilvl w:val="0"/>
          <w:numId w:val="0"/>
        </w:numPr>
        <w:ind w:left="720" w:hanging="720"/>
      </w:pPr>
      <w:r>
        <w:t>B.1.     Respondent</w:t>
      </w:r>
      <w:r w:rsidRPr="001F42AB">
        <w:t xml:space="preserve"> </w:t>
      </w:r>
      <w:r w:rsidRPr="006108BB">
        <w:t>Universe</w:t>
      </w:r>
      <w:r w:rsidRPr="001F42AB">
        <w:t xml:space="preserve"> and Sampling Methods</w:t>
      </w:r>
    </w:p>
    <w:p w14:paraId="0D456182" w14:textId="77777777" w:rsidR="00821E2E" w:rsidRDefault="00821E2E" w:rsidP="00821E2E">
      <w:r>
        <w:t xml:space="preserve">The NITT-HT evaluation will use a combination of a census approach and a nominating approach to collecting process and outcomes data through the instruments at the center of this OMB application, while using existing DCI grantee and client level outcomes data and data from survey samples for the </w:t>
      </w:r>
      <w:r w:rsidRPr="00114C8B">
        <w:rPr>
          <w:i/>
          <w:iCs/>
        </w:rPr>
        <w:t>SYAI</w:t>
      </w:r>
      <w:r>
        <w:t xml:space="preserve">. The procedures and source for collecting data are listed in </w:t>
      </w:r>
      <w:r w:rsidRPr="00A0250C">
        <w:rPr>
          <w:b/>
          <w:i/>
        </w:rPr>
        <w:t xml:space="preserve">Table </w:t>
      </w:r>
      <w:r w:rsidR="00E11655">
        <w:rPr>
          <w:b/>
          <w:i/>
        </w:rPr>
        <w:t>9</w:t>
      </w:r>
      <w:r>
        <w:t xml:space="preserve"> below. </w:t>
      </w:r>
    </w:p>
    <w:p w14:paraId="39BA7D16" w14:textId="77777777" w:rsidR="00821E2E" w:rsidRDefault="00821E2E" w:rsidP="00821E2E">
      <w:r>
        <w:t>Using a census approach, the targeted universe is all NITT-HT grantee projects (n=17) and learning laboratories (n=43). All grantees and learning laboratories have all agreed to participate in NITT-HT evaluation data collection activities as a conditio</w:t>
      </w:r>
      <w:bookmarkStart w:id="0" w:name="_GoBack"/>
      <w:bookmarkEnd w:id="0"/>
      <w:r>
        <w:t xml:space="preserve">n of funding. </w:t>
      </w:r>
    </w:p>
    <w:p w14:paraId="425D8C0F" w14:textId="77777777" w:rsidR="00821E2E" w:rsidRPr="00DB3E57" w:rsidRDefault="00821E2E" w:rsidP="00821E2E">
      <w:r w:rsidRPr="00955043">
        <w:rPr>
          <w:b/>
          <w:bCs/>
        </w:rPr>
        <w:t>Project Staff</w:t>
      </w:r>
      <w:r>
        <w:t xml:space="preserve">. All 17 grantee project directors are expected to complete a web-based </w:t>
      </w:r>
      <w:r>
        <w:rPr>
          <w:i/>
          <w:iCs/>
        </w:rPr>
        <w:t xml:space="preserve">Project Director Web Survey, Project Director Telephone Interview </w:t>
      </w:r>
      <w:r w:rsidRPr="00E40F89">
        <w:t xml:space="preserve">and a </w:t>
      </w:r>
      <w:r w:rsidRPr="00DF324F">
        <w:rPr>
          <w:i/>
          <w:iCs/>
        </w:rPr>
        <w:t xml:space="preserve">Services </w:t>
      </w:r>
      <w:r>
        <w:rPr>
          <w:i/>
          <w:iCs/>
        </w:rPr>
        <w:t>&amp;</w:t>
      </w:r>
      <w:r w:rsidRPr="00DF324F">
        <w:rPr>
          <w:i/>
          <w:iCs/>
        </w:rPr>
        <w:t xml:space="preserve"> Supports Inventory</w:t>
      </w:r>
      <w:r>
        <w:rPr>
          <w:i/>
          <w:iCs/>
        </w:rPr>
        <w:t xml:space="preserve"> </w:t>
      </w:r>
      <w:r w:rsidRPr="005720BA">
        <w:rPr>
          <w:iCs/>
        </w:rPr>
        <w:t>administer</w:t>
      </w:r>
      <w:r>
        <w:rPr>
          <w:iCs/>
        </w:rPr>
        <w:t>ed</w:t>
      </w:r>
      <w:r w:rsidRPr="005720BA">
        <w:rPr>
          <w:iCs/>
        </w:rPr>
        <w:t xml:space="preserve"> via a telephone interview</w:t>
      </w:r>
      <w:r w:rsidRPr="00DB3E57">
        <w:t xml:space="preserve">. </w:t>
      </w:r>
    </w:p>
    <w:p w14:paraId="19D2F7D7" w14:textId="0B75A59B" w:rsidR="00821E2E" w:rsidRDefault="00821E2E" w:rsidP="003B41C8">
      <w:r>
        <w:t xml:space="preserve">Core staff, including the youth coordinator and peer staff, at all learning laboratories are expected to complete the </w:t>
      </w:r>
      <w:r w:rsidRPr="00114C8B">
        <w:rPr>
          <w:i/>
          <w:iCs/>
        </w:rPr>
        <w:t>Core Staff Web Survey</w:t>
      </w:r>
      <w:r>
        <w:t xml:space="preserve"> and the </w:t>
      </w:r>
      <w:r w:rsidRPr="00114C8B">
        <w:rPr>
          <w:i/>
          <w:iCs/>
        </w:rPr>
        <w:t>Youth Coordinator In-Person Interview</w:t>
      </w:r>
      <w:r>
        <w:t xml:space="preserve"> during the site visit. Core staff include those </w:t>
      </w:r>
      <w:r w:rsidRPr="004A4B09">
        <w:t xml:space="preserve">knowledgeable about the process of developing and delivering services for </w:t>
      </w:r>
      <w:r>
        <w:t>youth/</w:t>
      </w:r>
      <w:r w:rsidRPr="004A4B09">
        <w:t>young adults</w:t>
      </w:r>
      <w:r>
        <w:t xml:space="preserve"> at the learning laboratory</w:t>
      </w:r>
      <w:r w:rsidRPr="004A4B09">
        <w:t>.</w:t>
      </w:r>
      <w:r>
        <w:t xml:space="preserve"> </w:t>
      </w:r>
    </w:p>
    <w:p w14:paraId="4D7AA528" w14:textId="77777777" w:rsidR="00821E2E" w:rsidRDefault="00821E2E" w:rsidP="00821E2E">
      <w:r>
        <w:t>A census of all 17 NITT-HT grantee project directors and learning laboratories is necessary due to the heterogeneous nature of the NITT-HT programs. These programs encompass a wide variety of organizational types and structures that are implementing a range of interventions with various outcome goals.</w:t>
      </w:r>
      <w:r w:rsidRPr="00320B0F">
        <w:t xml:space="preserve"> </w:t>
      </w:r>
      <w:r>
        <w:t>The variety between the programs makes it critical to the evaluation to capture the details of each program to be able to answer the evaluation questions and assess which program characteristics and mix of interventions are associated with better outcomes for this youth/young adult demographic group and types of communities. Additionally, these data will be used by SAMHSA to monitor each program’s performance and</w:t>
      </w:r>
      <w:r w:rsidRPr="00255902">
        <w:t xml:space="preserve"> </w:t>
      </w:r>
      <w:r>
        <w:t xml:space="preserve">grantee and learning laboratories will also use it to track their ongoing implementation. </w:t>
      </w:r>
    </w:p>
    <w:p w14:paraId="751ED641" w14:textId="77777777" w:rsidR="00821E2E" w:rsidRDefault="00821E2E" w:rsidP="00821E2E">
      <w:r w:rsidRPr="00955043">
        <w:rPr>
          <w:b/>
          <w:bCs/>
        </w:rPr>
        <w:t>Other Providers and Stakeholders</w:t>
      </w:r>
      <w:r>
        <w:rPr>
          <w:b/>
          <w:bCs/>
        </w:rPr>
        <w:t>.</w:t>
      </w:r>
      <w:r>
        <w:t xml:space="preserve"> A sampling approach for the </w:t>
      </w:r>
      <w:r w:rsidRPr="00955043">
        <w:rPr>
          <w:i/>
          <w:iCs/>
        </w:rPr>
        <w:t xml:space="preserve">Provider </w:t>
      </w:r>
      <w:r>
        <w:rPr>
          <w:i/>
          <w:iCs/>
        </w:rPr>
        <w:t xml:space="preserve">In-Person </w:t>
      </w:r>
      <w:r w:rsidRPr="00955043">
        <w:rPr>
          <w:i/>
          <w:iCs/>
        </w:rPr>
        <w:t>Interview</w:t>
      </w:r>
      <w:r>
        <w:t xml:space="preserve"> and the </w:t>
      </w:r>
      <w:r w:rsidRPr="00AD5CE4">
        <w:rPr>
          <w:i/>
        </w:rPr>
        <w:t>Other</w:t>
      </w:r>
      <w:r>
        <w:t xml:space="preserve"> </w:t>
      </w:r>
      <w:r w:rsidRPr="00955043">
        <w:rPr>
          <w:i/>
          <w:iCs/>
        </w:rPr>
        <w:t xml:space="preserve">Stakeholder </w:t>
      </w:r>
      <w:r>
        <w:rPr>
          <w:i/>
          <w:iCs/>
        </w:rPr>
        <w:t xml:space="preserve">In-Person </w:t>
      </w:r>
      <w:r w:rsidRPr="00955043">
        <w:rPr>
          <w:i/>
          <w:iCs/>
        </w:rPr>
        <w:t>Interview</w:t>
      </w:r>
      <w:r w:rsidRPr="002E6E11">
        <w:t xml:space="preserve">, </w:t>
      </w:r>
      <w:r>
        <w:t xml:space="preserve">conducted during the grantee visit, includes nomination by the grantee </w:t>
      </w:r>
      <w:r w:rsidRPr="00D312DC">
        <w:t>project directors to identify key informant (</w:t>
      </w:r>
      <w:r>
        <w:t>p</w:t>
      </w:r>
      <w:r w:rsidRPr="00D312DC">
        <w:t xml:space="preserve">roject </w:t>
      </w:r>
      <w:r>
        <w:t>d</w:t>
      </w:r>
      <w:r w:rsidRPr="00D312DC">
        <w:t>irectors can self-nominate for this task if they believe they would be the most appropriate key informant for the task, or can nominate others such as the grantee local evaluator)</w:t>
      </w:r>
      <w:r>
        <w:t>.</w:t>
      </w:r>
    </w:p>
    <w:p w14:paraId="3B0E7CF1" w14:textId="77777777" w:rsidR="00821E2E" w:rsidRDefault="00821E2E" w:rsidP="00821E2E">
      <w:pPr>
        <w:rPr>
          <w:bCs/>
        </w:rPr>
      </w:pPr>
      <w:r w:rsidRPr="00955043">
        <w:rPr>
          <w:b/>
          <w:bCs/>
        </w:rPr>
        <w:t>Community and State Leadership</w:t>
      </w:r>
      <w:r>
        <w:t xml:space="preserve">. Using a </w:t>
      </w:r>
      <w:r w:rsidRPr="00114C8B">
        <w:t>nominating sampling approach</w:t>
      </w:r>
      <w:r>
        <w:t xml:space="preserve">, grantee project directors will be asked to nominate community, state and grantee leadership to conduct the </w:t>
      </w:r>
      <w:r w:rsidRPr="00345F9B">
        <w:rPr>
          <w:i/>
          <w:iCs/>
        </w:rPr>
        <w:t>CSTI</w:t>
      </w:r>
      <w:r>
        <w:t xml:space="preserve"> and </w:t>
      </w:r>
      <w:r w:rsidRPr="00345F9B">
        <w:rPr>
          <w:i/>
          <w:iCs/>
        </w:rPr>
        <w:t>SSTI</w:t>
      </w:r>
      <w:r>
        <w:rPr>
          <w:bCs/>
        </w:rPr>
        <w:t xml:space="preserve">. </w:t>
      </w:r>
      <w:r>
        <w:t xml:space="preserve">The </w:t>
      </w:r>
      <w:r w:rsidRPr="00251B43">
        <w:rPr>
          <w:i/>
          <w:iCs/>
        </w:rPr>
        <w:t>Collaborative Member Survey</w:t>
      </w:r>
      <w:r w:rsidRPr="004214BB">
        <w:t xml:space="preserve"> </w:t>
      </w:r>
      <w:r>
        <w:t xml:space="preserve">will be administered to a subset of </w:t>
      </w:r>
      <w:r w:rsidRPr="00FC5794">
        <w:rPr>
          <w:i/>
          <w:iCs/>
        </w:rPr>
        <w:t>CSTI</w:t>
      </w:r>
      <w:r>
        <w:t xml:space="preserve"> respondents who participate in a NITT-HT grantee’s Advisory Team and the </w:t>
      </w:r>
      <w:r w:rsidRPr="005A3086">
        <w:rPr>
          <w:i/>
          <w:iCs/>
        </w:rPr>
        <w:t>Collaborative Self-Assessment</w:t>
      </w:r>
      <w:r w:rsidRPr="005A3086">
        <w:t xml:space="preserve"> will be completed by one representative of each NITT-HT Advisory Team within the NITT-HT grantee community</w:t>
      </w:r>
      <w:r>
        <w:t>.</w:t>
      </w:r>
    </w:p>
    <w:p w14:paraId="35DBF0CF" w14:textId="77777777" w:rsidR="00821E2E" w:rsidRDefault="00821E2E" w:rsidP="00821E2E">
      <w:r>
        <w:t xml:space="preserve">The </w:t>
      </w:r>
      <w:r w:rsidRPr="0026406A">
        <w:rPr>
          <w:bCs/>
          <w:i/>
          <w:iCs/>
        </w:rPr>
        <w:t>CSTI</w:t>
      </w:r>
      <w:r>
        <w:rPr>
          <w:bCs/>
        </w:rPr>
        <w:t xml:space="preserve"> </w:t>
      </w:r>
      <w:r>
        <w:t>is</w:t>
      </w:r>
      <w:r w:rsidRPr="004A4B09">
        <w:t xml:space="preserve"> designed to be administered to stakeholders at the community level who have knowledge about system-level collaboration and systems change. </w:t>
      </w:r>
      <w:r w:rsidRPr="0026406A">
        <w:rPr>
          <w:bCs/>
          <w:i/>
          <w:iCs/>
        </w:rPr>
        <w:t>CSTI</w:t>
      </w:r>
      <w:r>
        <w:rPr>
          <w:bCs/>
        </w:rPr>
        <w:t xml:space="preserve"> </w:t>
      </w:r>
      <w:r w:rsidRPr="004A4B09">
        <w:t>was designed to serve as a guide to help implementing communities understand both what they are aiming for—sustainable capacity</w:t>
      </w:r>
      <w:r>
        <w:t>—</w:t>
      </w:r>
      <w:r w:rsidRPr="004A4B09">
        <w:t xml:space="preserve">and how </w:t>
      </w:r>
      <w:r w:rsidRPr="004A4B09">
        <w:lastRenderedPageBreak/>
        <w:t xml:space="preserve">much progress they have made in achieving that goal. </w:t>
      </w:r>
      <w:r w:rsidRPr="0026406A">
        <w:rPr>
          <w:bCs/>
          <w:i/>
          <w:iCs/>
        </w:rPr>
        <w:t>CSTI</w:t>
      </w:r>
      <w:r>
        <w:rPr>
          <w:bCs/>
        </w:rPr>
        <w:t xml:space="preserve"> </w:t>
      </w:r>
      <w:r w:rsidRPr="004A4B09">
        <w:t>is completed by stakeholders in the local community who are knowledgeable about the process of developing and delivering services for young adults.</w:t>
      </w:r>
      <w:r>
        <w:t xml:space="preserve"> </w:t>
      </w:r>
      <w:r w:rsidRPr="004A4B09">
        <w:t xml:space="preserve">This usually includes the local advisory or steering committee, staff of the </w:t>
      </w:r>
      <w:r>
        <w:t>NITT-HT program</w:t>
      </w:r>
      <w:r w:rsidRPr="004A4B09">
        <w:t xml:space="preserve">, staff of agencies providing portions of the services, </w:t>
      </w:r>
      <w:r>
        <w:t xml:space="preserve">and </w:t>
      </w:r>
      <w:r w:rsidRPr="004A4B09">
        <w:t>young adult and family members’ advocates.</w:t>
      </w:r>
      <w:r>
        <w:t xml:space="preserve"> </w:t>
      </w:r>
      <w:r w:rsidRPr="004A4B09">
        <w:t>Young people, family members</w:t>
      </w:r>
      <w:r>
        <w:t>,</w:t>
      </w:r>
      <w:r w:rsidRPr="004A4B09">
        <w:t xml:space="preserve"> and other allied adults who serve on advisory boards or who are significantly involved with planning and evaluating services for emerging adults are also asked to respond to the </w:t>
      </w:r>
      <w:r w:rsidRPr="0026406A">
        <w:rPr>
          <w:bCs/>
          <w:i/>
          <w:iCs/>
        </w:rPr>
        <w:t>CSTI</w:t>
      </w:r>
      <w:r w:rsidRPr="004A4B09">
        <w:t xml:space="preserve">. </w:t>
      </w:r>
    </w:p>
    <w:p w14:paraId="51B20512" w14:textId="77777777" w:rsidR="00821E2E" w:rsidRDefault="00821E2E" w:rsidP="00821E2E">
      <w:r>
        <w:t xml:space="preserve">The </w:t>
      </w:r>
      <w:r w:rsidRPr="0026406A">
        <w:rPr>
          <w:bCs/>
          <w:i/>
          <w:iCs/>
        </w:rPr>
        <w:t>SSTI</w:t>
      </w:r>
      <w:r>
        <w:rPr>
          <w:bCs/>
        </w:rPr>
        <w:t xml:space="preserve"> </w:t>
      </w:r>
      <w:r w:rsidRPr="004A4B09">
        <w:t xml:space="preserve">is designed to be administered to individuals at the state level who are involved with planning and funding services </w:t>
      </w:r>
      <w:r>
        <w:t>for</w:t>
      </w:r>
      <w:r w:rsidRPr="004A4B09">
        <w:t xml:space="preserve"> emerging adults with mental health needs. This list usually includes administrators or staff from state </w:t>
      </w:r>
      <w:r>
        <w:t>agencies for</w:t>
      </w:r>
      <w:r w:rsidRPr="004A4B09">
        <w:t xml:space="preserve"> mental health, child welfare, education, </w:t>
      </w:r>
      <w:r>
        <w:t xml:space="preserve">and </w:t>
      </w:r>
      <w:r w:rsidRPr="004A4B09">
        <w:t>vocational rehabilitation</w:t>
      </w:r>
      <w:r>
        <w:t xml:space="preserve">, as well as </w:t>
      </w:r>
      <w:r w:rsidRPr="004A4B09">
        <w:t xml:space="preserve">other state </w:t>
      </w:r>
      <w:r>
        <w:t>agencies</w:t>
      </w:r>
      <w:r w:rsidRPr="004A4B09">
        <w:t xml:space="preserve"> responsibl</w:t>
      </w:r>
      <w:r>
        <w:t xml:space="preserve">e </w:t>
      </w:r>
      <w:r w:rsidRPr="004A4B09">
        <w:t xml:space="preserve">for some aspects of services to young people. </w:t>
      </w:r>
      <w:r w:rsidRPr="0026406A">
        <w:rPr>
          <w:bCs/>
          <w:i/>
          <w:iCs/>
        </w:rPr>
        <w:t>SSTI</w:t>
      </w:r>
      <w:r>
        <w:rPr>
          <w:bCs/>
        </w:rPr>
        <w:t xml:space="preserve"> </w:t>
      </w:r>
      <w:r w:rsidRPr="004A4B09">
        <w:t xml:space="preserve">is also completed by </w:t>
      </w:r>
      <w:r>
        <w:t>youth/young adult</w:t>
      </w:r>
      <w:r w:rsidRPr="004A4B09">
        <w:t xml:space="preserve"> and adult allies who are active in promoting, planning</w:t>
      </w:r>
      <w:r>
        <w:t>,</w:t>
      </w:r>
      <w:r w:rsidRPr="004A4B09">
        <w:t xml:space="preserve"> or overseeing services at the state level</w:t>
      </w:r>
      <w:r>
        <w:t>,</w:t>
      </w:r>
      <w:r w:rsidRPr="004A4B09">
        <w:t xml:space="preserve"> as well as other members of state</w:t>
      </w:r>
      <w:r>
        <w:t>-</w:t>
      </w:r>
      <w:r w:rsidRPr="004A4B09">
        <w:t>level advisory groups or governing bodies</w:t>
      </w:r>
      <w:r>
        <w:t>.</w:t>
      </w:r>
    </w:p>
    <w:p w14:paraId="35797582" w14:textId="77777777" w:rsidR="00821E2E" w:rsidRDefault="00821E2E" w:rsidP="00821E2E">
      <w:r w:rsidRPr="00F43C30">
        <w:rPr>
          <w:b/>
          <w:bCs/>
        </w:rPr>
        <w:t>Youth/Youn</w:t>
      </w:r>
      <w:r>
        <w:rPr>
          <w:b/>
          <w:bCs/>
        </w:rPr>
        <w:t>g</w:t>
      </w:r>
      <w:r w:rsidRPr="00F43C30">
        <w:rPr>
          <w:b/>
          <w:bCs/>
        </w:rPr>
        <w:t xml:space="preserve"> Adults </w:t>
      </w:r>
      <w:r>
        <w:rPr>
          <w:b/>
          <w:bCs/>
        </w:rPr>
        <w:t>&amp;</w:t>
      </w:r>
      <w:r w:rsidRPr="00F43C30">
        <w:rPr>
          <w:b/>
          <w:bCs/>
        </w:rPr>
        <w:t xml:space="preserve"> Family</w:t>
      </w:r>
      <w:r>
        <w:rPr>
          <w:b/>
          <w:bCs/>
        </w:rPr>
        <w:t>/Adult</w:t>
      </w:r>
      <w:r w:rsidRPr="00F43C30">
        <w:rPr>
          <w:b/>
          <w:bCs/>
        </w:rPr>
        <w:t xml:space="preserve"> Allies</w:t>
      </w:r>
      <w:r>
        <w:rPr>
          <w:b/>
          <w:bCs/>
        </w:rPr>
        <w:t>.</w:t>
      </w:r>
      <w:r>
        <w:t xml:space="preserve"> The </w:t>
      </w:r>
      <w:r w:rsidRPr="00B55C39">
        <w:rPr>
          <w:i/>
          <w:iCs/>
        </w:rPr>
        <w:t>Supplemental Youth and Young Adult Interview</w:t>
      </w:r>
      <w:r>
        <w:rPr>
          <w:i/>
          <w:iCs/>
        </w:rPr>
        <w:t xml:space="preserve"> (SYAI)</w:t>
      </w:r>
      <w:r w:rsidRPr="00003DC4">
        <w:t xml:space="preserve"> </w:t>
      </w:r>
      <w:r w:rsidRPr="00AE36F0">
        <w:t xml:space="preserve">will </w:t>
      </w:r>
      <w:r>
        <w:t xml:space="preserve">be </w:t>
      </w:r>
      <w:r w:rsidRPr="00AE36F0">
        <w:t>co</w:t>
      </w:r>
      <w:r>
        <w:t>nducted</w:t>
      </w:r>
      <w:r w:rsidRPr="00AE36F0">
        <w:t xml:space="preserve"> </w:t>
      </w:r>
      <w:r>
        <w:t>w</w:t>
      </w:r>
      <w:r w:rsidRPr="00AE36F0">
        <w:t xml:space="preserve">ith transition-age </w:t>
      </w:r>
      <w:r>
        <w:t>youth/young adult</w:t>
      </w:r>
      <w:r w:rsidRPr="00AE36F0">
        <w:t xml:space="preserve"> participants at program entry</w:t>
      </w:r>
      <w:r>
        <w:t>,</w:t>
      </w:r>
      <w:r w:rsidRPr="00AE36F0">
        <w:t xml:space="preserve"> 12</w:t>
      </w:r>
      <w:r>
        <w:t>-months</w:t>
      </w:r>
      <w:r w:rsidRPr="00AE36F0">
        <w:t>, and 24</w:t>
      </w:r>
      <w:r>
        <w:t>–</w:t>
      </w:r>
      <w:r w:rsidRPr="00AE36F0">
        <w:t>month</w:t>
      </w:r>
      <w:r>
        <w:t xml:space="preserve"> follow-up</w:t>
      </w:r>
      <w:r w:rsidRPr="00AE36F0">
        <w:t xml:space="preserve">. This </w:t>
      </w:r>
      <w:r>
        <w:t xml:space="preserve">supplemental </w:t>
      </w:r>
      <w:r w:rsidRPr="00AE36F0">
        <w:t xml:space="preserve">participant-level data will be in addition to the client-level </w:t>
      </w:r>
      <w:r>
        <w:t xml:space="preserve">DCI </w:t>
      </w:r>
      <w:r w:rsidRPr="00AE36F0">
        <w:t xml:space="preserve">data </w:t>
      </w:r>
      <w:r>
        <w:t xml:space="preserve">that </w:t>
      </w:r>
      <w:r w:rsidRPr="00AE36F0">
        <w:t>grantees submit. The</w:t>
      </w:r>
      <w:r>
        <w:t>se</w:t>
      </w:r>
      <w:r w:rsidRPr="00AE36F0">
        <w:t xml:space="preserve"> supplemental youth/young adult interviews </w:t>
      </w:r>
      <w:r>
        <w:t>will provide</w:t>
      </w:r>
      <w:r w:rsidRPr="00AE36F0">
        <w:t xml:space="preserve"> participant-level information not currently required by SAMHSA but </w:t>
      </w:r>
      <w:r>
        <w:t xml:space="preserve">necessary </w:t>
      </w:r>
      <w:r w:rsidRPr="00AE36F0">
        <w:t xml:space="preserve">to fully achieve </w:t>
      </w:r>
      <w:r>
        <w:t xml:space="preserve">the </w:t>
      </w:r>
      <w:r w:rsidRPr="00AE36F0">
        <w:t>objectives</w:t>
      </w:r>
      <w:r>
        <w:t xml:space="preserve"> of</w:t>
      </w:r>
      <w:r w:rsidRPr="00AE36F0">
        <w:t xml:space="preserve"> the NITT evaluation. Th</w:t>
      </w:r>
      <w:r>
        <w:t>ese</w:t>
      </w:r>
      <w:r w:rsidRPr="00AE36F0">
        <w:t xml:space="preserve"> interview</w:t>
      </w:r>
      <w:r>
        <w:t>s</w:t>
      </w:r>
      <w:r w:rsidRPr="00AE36F0">
        <w:t xml:space="preserve"> will be administered per voluntary consent to participants who receive services through NITT-HT initiative. </w:t>
      </w:r>
      <w:r>
        <w:t xml:space="preserve">The contractor conducted a statistical power analysis </w:t>
      </w:r>
      <w:r w:rsidRPr="00AE36F0">
        <w:t>to determine an appropriate sample size.</w:t>
      </w:r>
      <w:r>
        <w:t xml:space="preserve"> </w:t>
      </w:r>
      <w:r w:rsidRPr="00AE36F0">
        <w:t>For a design with 17 grantees, conducting 90 interviews per grantee would have at least 80% power to detect effect sizes of d greater than |</w:t>
      </w:r>
      <w:r>
        <w:t>0</w:t>
      </w:r>
      <w:r w:rsidRPr="00AE36F0">
        <w:t xml:space="preserve">.20| so long as the grantee-level </w:t>
      </w:r>
      <w:proofErr w:type="spellStart"/>
      <w:r w:rsidRPr="00AE36F0">
        <w:t>intraclass</w:t>
      </w:r>
      <w:proofErr w:type="spellEnd"/>
      <w:r w:rsidRPr="00AE36F0">
        <w:t xml:space="preserve"> correlation does not exceed </w:t>
      </w:r>
      <w:r>
        <w:t>0</w:t>
      </w:r>
      <w:r w:rsidRPr="00AE36F0">
        <w:t>.14. The target cases will be evenly allocated across the number of participating learning laboratories within each grantee program</w:t>
      </w:r>
      <w:r>
        <w:t>. S</w:t>
      </w:r>
      <w:r w:rsidRPr="00AE36F0">
        <w:t xml:space="preserve">upplemental youth/young adult interviews </w:t>
      </w:r>
      <w:r>
        <w:t xml:space="preserve">will not begin </w:t>
      </w:r>
      <w:r w:rsidRPr="00AE36F0">
        <w:t xml:space="preserve">until a learning laboratory has been </w:t>
      </w:r>
      <w:r w:rsidRPr="0029720A">
        <w:t>actively serving clients for at least 6 months</w:t>
      </w:r>
      <w:r w:rsidRPr="00AE36F0">
        <w:t xml:space="preserve"> and served at least 15 youth/young adults. This sampling plan is designed to </w:t>
      </w:r>
      <w:r>
        <w:t xml:space="preserve">reduce burden and </w:t>
      </w:r>
      <w:r w:rsidRPr="00AE36F0">
        <w:t>sample target cases for participation in the supplemental interviews only after learning laboratories have</w:t>
      </w:r>
      <w:r>
        <w:t xml:space="preserve"> completed</w:t>
      </w:r>
      <w:r w:rsidRPr="00AE36F0">
        <w:t xml:space="preserve"> program development and are through the early stages of program implementation.</w:t>
      </w:r>
    </w:p>
    <w:p w14:paraId="0F9DBA45" w14:textId="77777777" w:rsidR="00821E2E" w:rsidRDefault="00821E2E" w:rsidP="00821E2E">
      <w:r w:rsidRPr="001C7A93">
        <w:rPr>
          <w:bCs/>
          <w:i/>
          <w:iCs/>
        </w:rPr>
        <w:t>Young Adult and Family/Adult Ally Focus Group</w:t>
      </w:r>
      <w:r w:rsidRPr="001C7A93">
        <w:rPr>
          <w:bCs/>
        </w:rPr>
        <w:t xml:space="preserve"> will </w:t>
      </w:r>
      <w:r>
        <w:rPr>
          <w:bCs/>
        </w:rPr>
        <w:t xml:space="preserve">be conducted with </w:t>
      </w:r>
      <w:r>
        <w:t xml:space="preserve">youth/young adults </w:t>
      </w:r>
      <w:r w:rsidRPr="00D312DC">
        <w:t>directly involved in NITT</w:t>
      </w:r>
      <w:r>
        <w:t xml:space="preserve">-HT system change efforts, youth/youth adults </w:t>
      </w:r>
      <w:r w:rsidRPr="00D312DC">
        <w:t>who are recipients of NITT-HT services</w:t>
      </w:r>
      <w:r>
        <w:t xml:space="preserve">, family/adult allies of youth/young </w:t>
      </w:r>
      <w:proofErr w:type="gramStart"/>
      <w:r>
        <w:t>adults</w:t>
      </w:r>
      <w:proofErr w:type="gramEnd"/>
      <w:r>
        <w:t xml:space="preserve"> service recipients, and family/adult allies involved in NITT-HT grantee planning and systems change efforts. The focus groups will be</w:t>
      </w:r>
      <w:r w:rsidRPr="001C7A93">
        <w:rPr>
          <w:bCs/>
        </w:rPr>
        <w:t xml:space="preserve"> </w:t>
      </w:r>
      <w:r>
        <w:t xml:space="preserve">conducted during the grantee visit and the sampling approach will include participant nomination by grantee staff. Participation in the focus group is on a voluntary basis. </w:t>
      </w:r>
    </w:p>
    <w:p w14:paraId="30FFABD4" w14:textId="77777777" w:rsidR="00821E2E" w:rsidRDefault="00821E2E" w:rsidP="00821E2E">
      <w:pPr>
        <w:pStyle w:val="Heading2"/>
        <w:numPr>
          <w:ilvl w:val="0"/>
          <w:numId w:val="0"/>
        </w:numPr>
        <w:ind w:left="720" w:hanging="720"/>
      </w:pPr>
      <w:r>
        <w:t xml:space="preserve">B.2.     </w:t>
      </w:r>
      <w:r w:rsidRPr="001F42AB">
        <w:t>Information Collection Procedures</w:t>
      </w:r>
    </w:p>
    <w:p w14:paraId="5B6FB7C9" w14:textId="77777777" w:rsidR="00821E2E" w:rsidRPr="004214BB" w:rsidRDefault="00821E2E" w:rsidP="00821E2E">
      <w:r w:rsidRPr="004214BB">
        <w:t>NITT-HT cross-program evaluation data collection will be centralized and coordinated through the NITT-HT data collection team leader and liaison assigned to each grantee</w:t>
      </w:r>
      <w:r>
        <w:t xml:space="preserve"> learning laboratory</w:t>
      </w:r>
      <w:r w:rsidRPr="004214BB">
        <w:t>. This liaison will be the grantee</w:t>
      </w:r>
      <w:r>
        <w:t xml:space="preserve"> learning laboratory</w:t>
      </w:r>
      <w:r w:rsidRPr="004214BB">
        <w:t>’s primary point of contact for all questions about data collection, reporting, and feedback. Furthermore, these liaisons will help collect data.</w:t>
      </w:r>
      <w:r>
        <w:t xml:space="preserve"> </w:t>
      </w:r>
      <w:r w:rsidRPr="004214BB">
        <w:t>For example, all process evaluation telephone interviews will be conducted by the UMMS or RTI liaison assigned to that individual grantee</w:t>
      </w:r>
      <w:r>
        <w:t xml:space="preserve"> and learning laboratory</w:t>
      </w:r>
      <w:r w:rsidRPr="004214BB">
        <w:t>.</w:t>
      </w:r>
      <w:r>
        <w:t xml:space="preserve"> </w:t>
      </w:r>
    </w:p>
    <w:p w14:paraId="67EA76B4" w14:textId="77777777" w:rsidR="00821E2E" w:rsidRDefault="00821E2E" w:rsidP="00821E2E">
      <w:r w:rsidRPr="004214BB">
        <w:t xml:space="preserve">The NITT-HT evaluation approach will use </w:t>
      </w:r>
      <w:r>
        <w:t>various</w:t>
      </w:r>
      <w:r w:rsidRPr="004214BB">
        <w:t xml:space="preserve"> data collection strategies across </w:t>
      </w:r>
      <w:r>
        <w:t>the range</w:t>
      </w:r>
      <w:r w:rsidRPr="004214BB">
        <w:t xml:space="preserve"> of respondents, including perspectives of stakeholders</w:t>
      </w:r>
      <w:r>
        <w:t>,</w:t>
      </w:r>
      <w:r w:rsidRPr="004214BB">
        <w:t xml:space="preserve"> </w:t>
      </w:r>
      <w:r>
        <w:t>youth/young adults</w:t>
      </w:r>
      <w:r w:rsidRPr="004214BB">
        <w:t xml:space="preserve"> as well as the system (i.e., focusing on learning laboratories and grantees). Due to the large number of relevant stakeholders at </w:t>
      </w:r>
      <w:r w:rsidRPr="004214BB">
        <w:lastRenderedPageBreak/>
        <w:t xml:space="preserve">multiple levels of analysis, many types of instruments and modalities are being used; however, the evaluation has been designed to minimize burden for each stakeholder type. The type of data collection, respondent/source, mode, administration frequency and expected sample size are summarized in </w:t>
      </w:r>
      <w:r w:rsidRPr="004214BB">
        <w:rPr>
          <w:b/>
          <w:bCs/>
          <w:i/>
          <w:iCs/>
        </w:rPr>
        <w:t xml:space="preserve">Table </w:t>
      </w:r>
      <w:r w:rsidR="00E11655">
        <w:rPr>
          <w:b/>
          <w:bCs/>
          <w:i/>
          <w:iCs/>
        </w:rPr>
        <w:t>9</w:t>
      </w:r>
      <w:r w:rsidRPr="004214BB">
        <w:t>.</w:t>
      </w:r>
      <w:r>
        <w:t xml:space="preserve"> </w:t>
      </w:r>
      <w:r w:rsidRPr="004214BB">
        <w:t>This table is organized by key information sources:</w:t>
      </w:r>
    </w:p>
    <w:p w14:paraId="28D8CBAE" w14:textId="77777777" w:rsidR="00821E2E" w:rsidRDefault="00821E2E" w:rsidP="00821E2E">
      <w:pPr>
        <w:pStyle w:val="bullets"/>
      </w:pPr>
      <w:r>
        <w:t>community and state leadership;</w:t>
      </w:r>
    </w:p>
    <w:p w14:paraId="200AA875" w14:textId="77777777" w:rsidR="00821E2E" w:rsidRDefault="00821E2E" w:rsidP="00821E2E">
      <w:pPr>
        <w:pStyle w:val="bullets"/>
      </w:pPr>
      <w:r>
        <w:t>NITT-HT project staff;</w:t>
      </w:r>
    </w:p>
    <w:p w14:paraId="53ED469A" w14:textId="77777777" w:rsidR="00821E2E" w:rsidRDefault="00821E2E" w:rsidP="00821E2E">
      <w:pPr>
        <w:pStyle w:val="bullets"/>
      </w:pPr>
      <w:r>
        <w:t>other providers and stakeholders;</w:t>
      </w:r>
    </w:p>
    <w:p w14:paraId="50BA6154" w14:textId="77777777" w:rsidR="00821E2E" w:rsidRDefault="00821E2E" w:rsidP="00821E2E">
      <w:pPr>
        <w:pStyle w:val="bulletslast2"/>
        <w:spacing w:after="0"/>
      </w:pPr>
      <w:r>
        <w:t>youth/young adults and family/adult allies</w:t>
      </w:r>
    </w:p>
    <w:p w14:paraId="1934B620" w14:textId="77777777" w:rsidR="00821E2E" w:rsidRDefault="00821E2E" w:rsidP="00821E2E">
      <w:pPr>
        <w:pStyle w:val="bullets"/>
      </w:pPr>
      <w:r>
        <w:t>grantee documents and data; and</w:t>
      </w:r>
    </w:p>
    <w:p w14:paraId="163B9E9A" w14:textId="77777777" w:rsidR="00821E2E" w:rsidRDefault="00821E2E" w:rsidP="00821E2E"/>
    <w:p w14:paraId="08403D89" w14:textId="29B7E2F4" w:rsidR="00821E2E" w:rsidRDefault="00821E2E" w:rsidP="00704B64">
      <w:pPr>
        <w:pStyle w:val="ExhibitTitle"/>
      </w:pPr>
      <w:r w:rsidRPr="004214BB">
        <w:t xml:space="preserve">Table </w:t>
      </w:r>
      <w:r w:rsidR="00704B64">
        <w:t>8</w:t>
      </w:r>
      <w:r w:rsidRPr="004214BB">
        <w:t>.</w:t>
      </w:r>
      <w:r>
        <w:tab/>
      </w:r>
      <w:r w:rsidRPr="004214BB">
        <w:t>NITT-HT Data Collection Procedures by Source of Information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27"/>
        <w:gridCol w:w="1649"/>
        <w:gridCol w:w="1594"/>
        <w:gridCol w:w="1785"/>
        <w:gridCol w:w="1975"/>
      </w:tblGrid>
      <w:tr w:rsidR="00821E2E" w:rsidRPr="0043364D" w14:paraId="26889901" w14:textId="77777777" w:rsidTr="0061557E">
        <w:tc>
          <w:tcPr>
            <w:tcW w:w="2327" w:type="dxa"/>
            <w:shd w:val="clear" w:color="auto" w:fill="DEEAF6" w:themeFill="accent1" w:themeFillTint="33"/>
            <w:vAlign w:val="bottom"/>
          </w:tcPr>
          <w:p w14:paraId="23855E1A" w14:textId="77777777" w:rsidR="00821E2E" w:rsidRPr="0043364D" w:rsidRDefault="00821E2E" w:rsidP="0061557E">
            <w:pPr>
              <w:pStyle w:val="TableHeaders"/>
              <w:keepNext w:val="0"/>
              <w:spacing w:before="40" w:after="40" w:line="240" w:lineRule="auto"/>
              <w:rPr>
                <w:rFonts w:ascii="Times New Roman" w:hAnsi="Times New Roman"/>
              </w:rPr>
            </w:pPr>
            <w:r w:rsidRPr="0043364D">
              <w:rPr>
                <w:rFonts w:ascii="Times New Roman" w:hAnsi="Times New Roman"/>
              </w:rPr>
              <w:t>Type of Data Collection</w:t>
            </w:r>
          </w:p>
        </w:tc>
        <w:tc>
          <w:tcPr>
            <w:tcW w:w="1649" w:type="dxa"/>
            <w:shd w:val="clear" w:color="auto" w:fill="DEEAF6" w:themeFill="accent1" w:themeFillTint="33"/>
            <w:vAlign w:val="bottom"/>
          </w:tcPr>
          <w:p w14:paraId="4E77E12A" w14:textId="77777777" w:rsidR="00821E2E" w:rsidRPr="0043364D" w:rsidRDefault="00821E2E" w:rsidP="0061557E">
            <w:pPr>
              <w:pStyle w:val="TableHeaders"/>
              <w:keepNext w:val="0"/>
              <w:spacing w:before="40" w:after="40" w:line="240" w:lineRule="auto"/>
              <w:rPr>
                <w:rFonts w:ascii="Times New Roman" w:hAnsi="Times New Roman"/>
              </w:rPr>
            </w:pPr>
            <w:r w:rsidRPr="0043364D">
              <w:rPr>
                <w:rFonts w:ascii="Times New Roman" w:hAnsi="Times New Roman"/>
              </w:rPr>
              <w:t>Respondent/ Source</w:t>
            </w:r>
          </w:p>
        </w:tc>
        <w:tc>
          <w:tcPr>
            <w:tcW w:w="1594" w:type="dxa"/>
            <w:shd w:val="clear" w:color="auto" w:fill="DEEAF6" w:themeFill="accent1" w:themeFillTint="33"/>
            <w:vAlign w:val="bottom"/>
          </w:tcPr>
          <w:p w14:paraId="6805DA4D" w14:textId="77777777" w:rsidR="00821E2E" w:rsidRPr="0043364D" w:rsidRDefault="00821E2E" w:rsidP="0061557E">
            <w:pPr>
              <w:pStyle w:val="TableHeaders"/>
              <w:keepNext w:val="0"/>
              <w:spacing w:before="40" w:after="40" w:line="240" w:lineRule="auto"/>
              <w:rPr>
                <w:rFonts w:ascii="Times New Roman" w:hAnsi="Times New Roman"/>
              </w:rPr>
            </w:pPr>
            <w:r w:rsidRPr="0043364D">
              <w:rPr>
                <w:rFonts w:ascii="Times New Roman" w:hAnsi="Times New Roman"/>
              </w:rPr>
              <w:t>Mode</w:t>
            </w:r>
          </w:p>
        </w:tc>
        <w:tc>
          <w:tcPr>
            <w:tcW w:w="1785" w:type="dxa"/>
            <w:shd w:val="clear" w:color="auto" w:fill="DEEAF6" w:themeFill="accent1" w:themeFillTint="33"/>
            <w:vAlign w:val="bottom"/>
          </w:tcPr>
          <w:p w14:paraId="4394B834" w14:textId="77777777" w:rsidR="00821E2E" w:rsidRPr="0043364D" w:rsidRDefault="00821E2E" w:rsidP="0061557E">
            <w:pPr>
              <w:pStyle w:val="TableHeaders"/>
              <w:keepNext w:val="0"/>
              <w:spacing w:before="40" w:after="40" w:line="240" w:lineRule="auto"/>
              <w:rPr>
                <w:rFonts w:ascii="Times New Roman" w:hAnsi="Times New Roman"/>
              </w:rPr>
            </w:pPr>
            <w:r w:rsidRPr="0043364D">
              <w:rPr>
                <w:rFonts w:ascii="Times New Roman" w:hAnsi="Times New Roman"/>
              </w:rPr>
              <w:t>Administration Frequency</w:t>
            </w:r>
          </w:p>
        </w:tc>
        <w:tc>
          <w:tcPr>
            <w:tcW w:w="1975" w:type="dxa"/>
            <w:shd w:val="clear" w:color="auto" w:fill="DEEAF6" w:themeFill="accent1" w:themeFillTint="33"/>
            <w:vAlign w:val="bottom"/>
          </w:tcPr>
          <w:p w14:paraId="3B6B82E0" w14:textId="77777777" w:rsidR="00821E2E" w:rsidRPr="0043364D" w:rsidRDefault="00821E2E" w:rsidP="0061557E">
            <w:pPr>
              <w:pStyle w:val="TableHeaders"/>
              <w:keepNext w:val="0"/>
              <w:spacing w:before="40" w:after="40" w:line="240" w:lineRule="auto"/>
              <w:rPr>
                <w:rFonts w:ascii="Times New Roman" w:hAnsi="Times New Roman"/>
              </w:rPr>
            </w:pPr>
            <w:r w:rsidRPr="0043364D">
              <w:rPr>
                <w:rFonts w:ascii="Times New Roman" w:hAnsi="Times New Roman"/>
              </w:rPr>
              <w:t>Expected N (per administration)</w:t>
            </w:r>
          </w:p>
        </w:tc>
      </w:tr>
      <w:tr w:rsidR="00821E2E" w:rsidRPr="0043364D" w14:paraId="194B73E2" w14:textId="77777777" w:rsidTr="0061557E">
        <w:tc>
          <w:tcPr>
            <w:tcW w:w="9330" w:type="dxa"/>
            <w:gridSpan w:val="5"/>
            <w:shd w:val="clear" w:color="auto" w:fill="F2F2F2" w:themeFill="background1" w:themeFillShade="F2"/>
          </w:tcPr>
          <w:p w14:paraId="616275BB" w14:textId="77777777" w:rsidR="00821E2E" w:rsidRPr="0043364D" w:rsidRDefault="00821E2E" w:rsidP="0061557E">
            <w:pPr>
              <w:pStyle w:val="TableText"/>
              <w:spacing w:before="40" w:after="40" w:line="240" w:lineRule="auto"/>
            </w:pPr>
            <w:r w:rsidRPr="0043364D">
              <w:t>COMMUNITY AND STATE LEADERSHIP</w:t>
            </w:r>
          </w:p>
        </w:tc>
      </w:tr>
      <w:tr w:rsidR="00821E2E" w:rsidRPr="0043364D" w14:paraId="0B59C2F9" w14:textId="77777777" w:rsidTr="0061557E">
        <w:tc>
          <w:tcPr>
            <w:tcW w:w="2327" w:type="dxa"/>
          </w:tcPr>
          <w:p w14:paraId="7EA95C9F" w14:textId="77777777" w:rsidR="00821E2E" w:rsidRPr="0043364D" w:rsidRDefault="00821E2E" w:rsidP="0061557E">
            <w:pPr>
              <w:pStyle w:val="TableText"/>
              <w:spacing w:before="40" w:after="40" w:line="240" w:lineRule="auto"/>
              <w:rPr>
                <w:b w:val="0"/>
              </w:rPr>
            </w:pPr>
            <w:r w:rsidRPr="0043364D">
              <w:rPr>
                <w:b w:val="0"/>
              </w:rPr>
              <w:t>Community Support for Transition Inventory (CSTI)</w:t>
            </w:r>
          </w:p>
        </w:tc>
        <w:tc>
          <w:tcPr>
            <w:tcW w:w="1649" w:type="dxa"/>
          </w:tcPr>
          <w:p w14:paraId="42533074" w14:textId="77777777" w:rsidR="00821E2E" w:rsidRPr="0043364D" w:rsidRDefault="00821E2E" w:rsidP="0061557E">
            <w:pPr>
              <w:pStyle w:val="TableText"/>
              <w:spacing w:before="40" w:after="40" w:line="240" w:lineRule="auto"/>
              <w:rPr>
                <w:b w:val="0"/>
              </w:rPr>
            </w:pPr>
            <w:r w:rsidRPr="0043364D">
              <w:rPr>
                <w:b w:val="0"/>
              </w:rPr>
              <w:t>Community leadership</w:t>
            </w:r>
          </w:p>
        </w:tc>
        <w:tc>
          <w:tcPr>
            <w:tcW w:w="1594" w:type="dxa"/>
          </w:tcPr>
          <w:p w14:paraId="0C76B32D" w14:textId="77777777" w:rsidR="00821E2E" w:rsidRPr="0043364D" w:rsidRDefault="00821E2E" w:rsidP="0061557E">
            <w:pPr>
              <w:pStyle w:val="TableText"/>
              <w:spacing w:before="40" w:after="40" w:line="240" w:lineRule="auto"/>
              <w:rPr>
                <w:b w:val="0"/>
              </w:rPr>
            </w:pPr>
            <w:r w:rsidRPr="0043364D">
              <w:rPr>
                <w:b w:val="0"/>
              </w:rPr>
              <w:t>Web-based survey</w:t>
            </w:r>
          </w:p>
        </w:tc>
        <w:tc>
          <w:tcPr>
            <w:tcW w:w="1785" w:type="dxa"/>
          </w:tcPr>
          <w:p w14:paraId="40C48171" w14:textId="77777777" w:rsidR="00821E2E" w:rsidRPr="0043364D" w:rsidRDefault="00821E2E" w:rsidP="0061557E">
            <w:pPr>
              <w:pStyle w:val="TableText"/>
              <w:spacing w:before="40" w:after="40" w:line="240" w:lineRule="auto"/>
              <w:rPr>
                <w:b w:val="0"/>
              </w:rPr>
            </w:pPr>
            <w:r w:rsidRPr="0043364D">
              <w:rPr>
                <w:b w:val="0"/>
              </w:rPr>
              <w:t xml:space="preserve">Twice – Years 2, 4 </w:t>
            </w:r>
          </w:p>
        </w:tc>
        <w:tc>
          <w:tcPr>
            <w:tcW w:w="1975" w:type="dxa"/>
          </w:tcPr>
          <w:p w14:paraId="4DA69974" w14:textId="77777777" w:rsidR="00821E2E" w:rsidRPr="0043364D" w:rsidRDefault="00821E2E" w:rsidP="0061557E">
            <w:pPr>
              <w:pStyle w:val="TableText"/>
              <w:spacing w:before="40" w:after="40" w:line="240" w:lineRule="auto"/>
              <w:rPr>
                <w:b w:val="0"/>
              </w:rPr>
            </w:pPr>
            <w:r w:rsidRPr="0043364D">
              <w:rPr>
                <w:b w:val="0"/>
              </w:rPr>
              <w:t>15–25 per learning laboratory (maximum total n = 1075)</w:t>
            </w:r>
          </w:p>
        </w:tc>
      </w:tr>
      <w:tr w:rsidR="00821E2E" w:rsidRPr="0043364D" w14:paraId="6FA303DF" w14:textId="77777777" w:rsidTr="0061557E">
        <w:tc>
          <w:tcPr>
            <w:tcW w:w="2327" w:type="dxa"/>
          </w:tcPr>
          <w:p w14:paraId="0D99770B" w14:textId="77777777" w:rsidR="00821E2E" w:rsidRPr="0043364D" w:rsidRDefault="00821E2E" w:rsidP="0061557E">
            <w:pPr>
              <w:pStyle w:val="TableText"/>
              <w:spacing w:before="40" w:after="40" w:line="240" w:lineRule="auto"/>
              <w:rPr>
                <w:b w:val="0"/>
              </w:rPr>
            </w:pPr>
            <w:r w:rsidRPr="0043364D">
              <w:rPr>
                <w:b w:val="0"/>
              </w:rPr>
              <w:t>State Support for Transition Inventory (SSTI)</w:t>
            </w:r>
          </w:p>
        </w:tc>
        <w:tc>
          <w:tcPr>
            <w:tcW w:w="1649" w:type="dxa"/>
          </w:tcPr>
          <w:p w14:paraId="53789765" w14:textId="77777777" w:rsidR="00821E2E" w:rsidRPr="0043364D" w:rsidRDefault="00821E2E" w:rsidP="0061557E">
            <w:pPr>
              <w:pStyle w:val="TableText"/>
              <w:spacing w:before="40" w:after="40" w:line="240" w:lineRule="auto"/>
              <w:rPr>
                <w:b w:val="0"/>
              </w:rPr>
            </w:pPr>
            <w:r w:rsidRPr="0043364D">
              <w:rPr>
                <w:b w:val="0"/>
              </w:rPr>
              <w:t>State/Grantee Leadership</w:t>
            </w:r>
          </w:p>
        </w:tc>
        <w:tc>
          <w:tcPr>
            <w:tcW w:w="1594" w:type="dxa"/>
          </w:tcPr>
          <w:p w14:paraId="5454D296" w14:textId="77777777" w:rsidR="00821E2E" w:rsidRPr="0043364D" w:rsidRDefault="00821E2E" w:rsidP="0061557E">
            <w:pPr>
              <w:pStyle w:val="TableText"/>
              <w:spacing w:before="40" w:after="40" w:line="240" w:lineRule="auto"/>
              <w:rPr>
                <w:b w:val="0"/>
              </w:rPr>
            </w:pPr>
            <w:r w:rsidRPr="0043364D">
              <w:rPr>
                <w:b w:val="0"/>
              </w:rPr>
              <w:t>Web-based survey</w:t>
            </w:r>
          </w:p>
        </w:tc>
        <w:tc>
          <w:tcPr>
            <w:tcW w:w="1785" w:type="dxa"/>
          </w:tcPr>
          <w:p w14:paraId="551F969D" w14:textId="77777777" w:rsidR="00821E2E" w:rsidRPr="0043364D" w:rsidRDefault="00821E2E" w:rsidP="0061557E">
            <w:pPr>
              <w:pStyle w:val="TableText"/>
              <w:spacing w:before="40" w:after="40" w:line="240" w:lineRule="auto"/>
              <w:rPr>
                <w:b w:val="0"/>
              </w:rPr>
            </w:pPr>
            <w:r w:rsidRPr="0043364D">
              <w:rPr>
                <w:b w:val="0"/>
              </w:rPr>
              <w:t>Twice – Years 2, 4</w:t>
            </w:r>
          </w:p>
        </w:tc>
        <w:tc>
          <w:tcPr>
            <w:tcW w:w="1975" w:type="dxa"/>
          </w:tcPr>
          <w:p w14:paraId="37E1E1DF" w14:textId="77777777" w:rsidR="00821E2E" w:rsidRPr="0043364D" w:rsidRDefault="00821E2E" w:rsidP="0061557E">
            <w:pPr>
              <w:pStyle w:val="TableText"/>
              <w:spacing w:before="40" w:after="40" w:line="240" w:lineRule="auto"/>
              <w:rPr>
                <w:b w:val="0"/>
              </w:rPr>
            </w:pPr>
            <w:r w:rsidRPr="0043364D">
              <w:rPr>
                <w:b w:val="0"/>
              </w:rPr>
              <w:t xml:space="preserve">20–25 per grantee (maximum total n = 425) </w:t>
            </w:r>
          </w:p>
        </w:tc>
      </w:tr>
      <w:tr w:rsidR="00821E2E" w:rsidRPr="0043364D" w14:paraId="345551F2" w14:textId="77777777" w:rsidTr="0061557E">
        <w:tc>
          <w:tcPr>
            <w:tcW w:w="2327" w:type="dxa"/>
          </w:tcPr>
          <w:p w14:paraId="5BD87660" w14:textId="77777777" w:rsidR="00821E2E" w:rsidRPr="0043364D" w:rsidRDefault="00821E2E" w:rsidP="0061557E">
            <w:pPr>
              <w:pStyle w:val="TableText"/>
              <w:spacing w:before="40" w:after="40" w:line="240" w:lineRule="auto"/>
              <w:rPr>
                <w:b w:val="0"/>
              </w:rPr>
            </w:pPr>
            <w:r w:rsidRPr="0043364D">
              <w:rPr>
                <w:b w:val="0"/>
              </w:rPr>
              <w:t xml:space="preserve">Collaborative Member Survey </w:t>
            </w:r>
          </w:p>
        </w:tc>
        <w:tc>
          <w:tcPr>
            <w:tcW w:w="1649" w:type="dxa"/>
          </w:tcPr>
          <w:p w14:paraId="1A421E2A" w14:textId="77777777" w:rsidR="00821E2E" w:rsidRPr="0043364D" w:rsidRDefault="00821E2E" w:rsidP="0061557E">
            <w:pPr>
              <w:pStyle w:val="TableText"/>
              <w:spacing w:before="40" w:after="40" w:line="240" w:lineRule="auto"/>
              <w:rPr>
                <w:b w:val="0"/>
              </w:rPr>
            </w:pPr>
            <w:r w:rsidRPr="0043364D">
              <w:rPr>
                <w:b w:val="0"/>
              </w:rPr>
              <w:t>Respondents to the CSTI who participate in Advisory Teams</w:t>
            </w:r>
          </w:p>
        </w:tc>
        <w:tc>
          <w:tcPr>
            <w:tcW w:w="1594" w:type="dxa"/>
          </w:tcPr>
          <w:p w14:paraId="758BEA33" w14:textId="77777777" w:rsidR="00821E2E" w:rsidRPr="0043364D" w:rsidRDefault="00821E2E" w:rsidP="0061557E">
            <w:pPr>
              <w:pStyle w:val="TableText"/>
              <w:spacing w:before="40" w:after="40" w:line="240" w:lineRule="auto"/>
              <w:rPr>
                <w:b w:val="0"/>
              </w:rPr>
            </w:pPr>
            <w:r w:rsidRPr="0043364D">
              <w:rPr>
                <w:b w:val="0"/>
              </w:rPr>
              <w:t>Web-based survey</w:t>
            </w:r>
          </w:p>
        </w:tc>
        <w:tc>
          <w:tcPr>
            <w:tcW w:w="1785" w:type="dxa"/>
          </w:tcPr>
          <w:p w14:paraId="13A4A888" w14:textId="77777777" w:rsidR="00821E2E" w:rsidRPr="0043364D" w:rsidRDefault="00821E2E" w:rsidP="0061557E">
            <w:pPr>
              <w:pStyle w:val="TableText"/>
              <w:spacing w:before="40" w:after="40" w:line="240" w:lineRule="auto"/>
              <w:rPr>
                <w:b w:val="0"/>
              </w:rPr>
            </w:pPr>
            <w:r w:rsidRPr="0043364D">
              <w:rPr>
                <w:b w:val="0"/>
              </w:rPr>
              <w:t>Twice-Years 3, 5</w:t>
            </w:r>
          </w:p>
        </w:tc>
        <w:tc>
          <w:tcPr>
            <w:tcW w:w="1975" w:type="dxa"/>
          </w:tcPr>
          <w:p w14:paraId="2EE22294" w14:textId="77777777" w:rsidR="00821E2E" w:rsidRPr="0043364D" w:rsidRDefault="00821E2E" w:rsidP="0061557E">
            <w:pPr>
              <w:pStyle w:val="TableText"/>
              <w:spacing w:before="40" w:after="40" w:line="240" w:lineRule="auto"/>
              <w:rPr>
                <w:b w:val="0"/>
              </w:rPr>
            </w:pPr>
            <w:r w:rsidRPr="0043364D">
              <w:rPr>
                <w:b w:val="0"/>
              </w:rPr>
              <w:t>15–25 per learning laboratory (maximum total n = 1075)</w:t>
            </w:r>
          </w:p>
        </w:tc>
      </w:tr>
      <w:tr w:rsidR="00821E2E" w:rsidRPr="0043364D" w14:paraId="650DA019" w14:textId="77777777" w:rsidTr="0061557E">
        <w:tc>
          <w:tcPr>
            <w:tcW w:w="2327" w:type="dxa"/>
          </w:tcPr>
          <w:p w14:paraId="48358402" w14:textId="77777777" w:rsidR="00821E2E" w:rsidRPr="0043364D" w:rsidRDefault="00821E2E" w:rsidP="0061557E">
            <w:pPr>
              <w:pStyle w:val="TableText"/>
              <w:spacing w:before="40" w:after="40" w:line="240" w:lineRule="auto"/>
              <w:rPr>
                <w:b w:val="0"/>
              </w:rPr>
            </w:pPr>
            <w:r w:rsidRPr="0043364D">
              <w:rPr>
                <w:b w:val="0"/>
              </w:rPr>
              <w:t xml:space="preserve">Collaborative Self-Assessment </w:t>
            </w:r>
          </w:p>
        </w:tc>
        <w:tc>
          <w:tcPr>
            <w:tcW w:w="1649" w:type="dxa"/>
          </w:tcPr>
          <w:p w14:paraId="48162B6D" w14:textId="77777777" w:rsidR="00821E2E" w:rsidRPr="0043364D" w:rsidRDefault="00821E2E" w:rsidP="0061557E">
            <w:pPr>
              <w:pStyle w:val="TableText"/>
              <w:spacing w:before="40" w:after="40" w:line="240" w:lineRule="auto"/>
              <w:rPr>
                <w:b w:val="0"/>
              </w:rPr>
            </w:pPr>
            <w:r w:rsidRPr="0043364D">
              <w:rPr>
                <w:b w:val="0"/>
              </w:rPr>
              <w:t>One representative of each Advisory Team</w:t>
            </w:r>
          </w:p>
        </w:tc>
        <w:tc>
          <w:tcPr>
            <w:tcW w:w="1594" w:type="dxa"/>
          </w:tcPr>
          <w:p w14:paraId="158CC141" w14:textId="77777777" w:rsidR="00821E2E" w:rsidRPr="0043364D" w:rsidRDefault="00821E2E" w:rsidP="0061557E">
            <w:pPr>
              <w:pStyle w:val="TableText"/>
              <w:spacing w:before="40" w:after="40" w:line="240" w:lineRule="auto"/>
              <w:rPr>
                <w:b w:val="0"/>
              </w:rPr>
            </w:pPr>
            <w:r w:rsidRPr="0043364D">
              <w:rPr>
                <w:b w:val="0"/>
              </w:rPr>
              <w:t>Web-based survey</w:t>
            </w:r>
          </w:p>
        </w:tc>
        <w:tc>
          <w:tcPr>
            <w:tcW w:w="1785" w:type="dxa"/>
          </w:tcPr>
          <w:p w14:paraId="53DE871F" w14:textId="77777777" w:rsidR="00821E2E" w:rsidRPr="0043364D" w:rsidRDefault="00821E2E" w:rsidP="0061557E">
            <w:pPr>
              <w:pStyle w:val="TableText"/>
              <w:spacing w:before="40" w:after="40" w:line="240" w:lineRule="auto"/>
              <w:rPr>
                <w:b w:val="0"/>
              </w:rPr>
            </w:pPr>
            <w:r w:rsidRPr="0043364D">
              <w:rPr>
                <w:b w:val="0"/>
              </w:rPr>
              <w:t>Twice-Years 3, 5</w:t>
            </w:r>
          </w:p>
        </w:tc>
        <w:tc>
          <w:tcPr>
            <w:tcW w:w="1975" w:type="dxa"/>
          </w:tcPr>
          <w:p w14:paraId="1AF2860F" w14:textId="77777777" w:rsidR="00821E2E" w:rsidRPr="0043364D" w:rsidRDefault="00821E2E" w:rsidP="0061557E">
            <w:pPr>
              <w:pStyle w:val="TableText"/>
              <w:spacing w:before="40" w:after="40" w:line="240" w:lineRule="auto"/>
              <w:rPr>
                <w:b w:val="0"/>
              </w:rPr>
            </w:pPr>
            <w:r w:rsidRPr="0043364D">
              <w:rPr>
                <w:b w:val="0"/>
              </w:rPr>
              <w:t xml:space="preserve">1 per learning laboratory (maximum total n = 43) </w:t>
            </w:r>
          </w:p>
        </w:tc>
      </w:tr>
      <w:tr w:rsidR="00821E2E" w:rsidRPr="0043364D" w14:paraId="32235329" w14:textId="77777777" w:rsidTr="0061557E">
        <w:tc>
          <w:tcPr>
            <w:tcW w:w="9330" w:type="dxa"/>
            <w:gridSpan w:val="5"/>
            <w:shd w:val="clear" w:color="auto" w:fill="F2F2F2" w:themeFill="background1" w:themeFillShade="F2"/>
          </w:tcPr>
          <w:p w14:paraId="56C3D731" w14:textId="77777777" w:rsidR="00821E2E" w:rsidRPr="0043364D" w:rsidRDefault="00821E2E" w:rsidP="0061557E">
            <w:pPr>
              <w:pStyle w:val="TableText"/>
              <w:spacing w:before="40" w:after="40" w:line="240" w:lineRule="auto"/>
            </w:pPr>
            <w:r w:rsidRPr="0043364D">
              <w:t>PROJECT STAFF</w:t>
            </w:r>
          </w:p>
        </w:tc>
      </w:tr>
      <w:tr w:rsidR="00821E2E" w:rsidRPr="0043364D" w14:paraId="14CC11B4" w14:textId="77777777" w:rsidTr="0061557E">
        <w:tc>
          <w:tcPr>
            <w:tcW w:w="2327" w:type="dxa"/>
          </w:tcPr>
          <w:p w14:paraId="103A1600" w14:textId="77777777" w:rsidR="00821E2E" w:rsidRPr="0043364D" w:rsidRDefault="00821E2E" w:rsidP="0061557E">
            <w:pPr>
              <w:pStyle w:val="TableText"/>
              <w:spacing w:before="40" w:after="40" w:line="240" w:lineRule="auto"/>
              <w:rPr>
                <w:b w:val="0"/>
              </w:rPr>
            </w:pPr>
            <w:r w:rsidRPr="0043364D">
              <w:rPr>
                <w:b w:val="0"/>
              </w:rPr>
              <w:t>Project Director Web Survey</w:t>
            </w:r>
          </w:p>
        </w:tc>
        <w:tc>
          <w:tcPr>
            <w:tcW w:w="1649" w:type="dxa"/>
          </w:tcPr>
          <w:p w14:paraId="1F6ACA21" w14:textId="77777777" w:rsidR="00821E2E" w:rsidRPr="0043364D" w:rsidRDefault="00821E2E" w:rsidP="0061557E">
            <w:pPr>
              <w:pStyle w:val="TableText"/>
              <w:spacing w:before="40" w:after="40" w:line="240" w:lineRule="auto"/>
              <w:rPr>
                <w:b w:val="0"/>
              </w:rPr>
            </w:pPr>
            <w:r w:rsidRPr="0043364D">
              <w:rPr>
                <w:b w:val="0"/>
              </w:rPr>
              <w:t>Project Director</w:t>
            </w:r>
          </w:p>
        </w:tc>
        <w:tc>
          <w:tcPr>
            <w:tcW w:w="1594" w:type="dxa"/>
          </w:tcPr>
          <w:p w14:paraId="5ED91C71" w14:textId="77777777" w:rsidR="00821E2E" w:rsidRPr="0043364D" w:rsidRDefault="00821E2E" w:rsidP="0061557E">
            <w:pPr>
              <w:pStyle w:val="TableText"/>
              <w:spacing w:before="40" w:after="40" w:line="240" w:lineRule="auto"/>
              <w:rPr>
                <w:b w:val="0"/>
              </w:rPr>
            </w:pPr>
            <w:r w:rsidRPr="0043364D">
              <w:rPr>
                <w:b w:val="0"/>
              </w:rPr>
              <w:t>Web-based survey</w:t>
            </w:r>
          </w:p>
        </w:tc>
        <w:tc>
          <w:tcPr>
            <w:tcW w:w="1785" w:type="dxa"/>
          </w:tcPr>
          <w:p w14:paraId="4A250DB1" w14:textId="77777777" w:rsidR="00821E2E" w:rsidRPr="0043364D" w:rsidRDefault="00821E2E" w:rsidP="0061557E">
            <w:pPr>
              <w:pStyle w:val="TableText"/>
              <w:spacing w:before="40" w:after="40" w:line="240" w:lineRule="auto"/>
              <w:rPr>
                <w:b w:val="0"/>
              </w:rPr>
            </w:pPr>
            <w:r w:rsidRPr="0043364D">
              <w:rPr>
                <w:b w:val="0"/>
              </w:rPr>
              <w:t>3x (prior to each PD Telephone Interview)</w:t>
            </w:r>
          </w:p>
        </w:tc>
        <w:tc>
          <w:tcPr>
            <w:tcW w:w="1975" w:type="dxa"/>
          </w:tcPr>
          <w:p w14:paraId="0A8B15B2" w14:textId="77777777" w:rsidR="00821E2E" w:rsidRPr="0043364D" w:rsidRDefault="00821E2E" w:rsidP="0061557E">
            <w:pPr>
              <w:pStyle w:val="TableText"/>
              <w:spacing w:before="40" w:after="40" w:line="240" w:lineRule="auto"/>
              <w:rPr>
                <w:b w:val="0"/>
              </w:rPr>
            </w:pPr>
            <w:r w:rsidRPr="0043364D">
              <w:rPr>
                <w:b w:val="0"/>
              </w:rPr>
              <w:t>1 per grantee (17 total)</w:t>
            </w:r>
          </w:p>
        </w:tc>
      </w:tr>
      <w:tr w:rsidR="00821E2E" w:rsidRPr="0043364D" w14:paraId="03E2E761" w14:textId="77777777" w:rsidTr="0061557E">
        <w:tc>
          <w:tcPr>
            <w:tcW w:w="2327" w:type="dxa"/>
          </w:tcPr>
          <w:p w14:paraId="73CFD72B" w14:textId="77777777" w:rsidR="00821E2E" w:rsidRPr="0043364D" w:rsidRDefault="00821E2E" w:rsidP="0061557E">
            <w:pPr>
              <w:pStyle w:val="TableText"/>
              <w:spacing w:before="40" w:after="40" w:line="240" w:lineRule="auto"/>
              <w:rPr>
                <w:b w:val="0"/>
              </w:rPr>
            </w:pPr>
            <w:r w:rsidRPr="0043364D">
              <w:rPr>
                <w:b w:val="0"/>
              </w:rPr>
              <w:t>Project Director Telephone Interview</w:t>
            </w:r>
          </w:p>
        </w:tc>
        <w:tc>
          <w:tcPr>
            <w:tcW w:w="1649" w:type="dxa"/>
          </w:tcPr>
          <w:p w14:paraId="077E6FFB" w14:textId="77777777" w:rsidR="00821E2E" w:rsidRPr="0043364D" w:rsidRDefault="00821E2E" w:rsidP="0061557E">
            <w:pPr>
              <w:pStyle w:val="TableText"/>
              <w:spacing w:before="40" w:after="40" w:line="240" w:lineRule="auto"/>
              <w:rPr>
                <w:b w:val="0"/>
              </w:rPr>
            </w:pPr>
            <w:r w:rsidRPr="0043364D">
              <w:rPr>
                <w:b w:val="0"/>
              </w:rPr>
              <w:t>Project Director</w:t>
            </w:r>
          </w:p>
        </w:tc>
        <w:tc>
          <w:tcPr>
            <w:tcW w:w="1594" w:type="dxa"/>
          </w:tcPr>
          <w:p w14:paraId="189A9E44" w14:textId="77777777" w:rsidR="00821E2E" w:rsidRPr="0043364D" w:rsidRDefault="00821E2E" w:rsidP="0061557E">
            <w:pPr>
              <w:pStyle w:val="TableText"/>
              <w:spacing w:before="40" w:after="40" w:line="240" w:lineRule="auto"/>
              <w:rPr>
                <w:b w:val="0"/>
              </w:rPr>
            </w:pPr>
            <w:r w:rsidRPr="0043364D">
              <w:rPr>
                <w:b w:val="0"/>
              </w:rPr>
              <w:t>Phone interview</w:t>
            </w:r>
          </w:p>
        </w:tc>
        <w:tc>
          <w:tcPr>
            <w:tcW w:w="1785" w:type="dxa"/>
          </w:tcPr>
          <w:p w14:paraId="7EB66560" w14:textId="77777777" w:rsidR="00821E2E" w:rsidRPr="0043364D" w:rsidRDefault="00821E2E" w:rsidP="0061557E">
            <w:pPr>
              <w:pStyle w:val="TableText"/>
              <w:spacing w:before="40" w:after="40" w:line="240" w:lineRule="auto"/>
              <w:rPr>
                <w:b w:val="0"/>
              </w:rPr>
            </w:pPr>
            <w:r w:rsidRPr="0043364D">
              <w:rPr>
                <w:b w:val="0"/>
              </w:rPr>
              <w:t>3x (twice prior, once following grantee visit)</w:t>
            </w:r>
          </w:p>
        </w:tc>
        <w:tc>
          <w:tcPr>
            <w:tcW w:w="1975" w:type="dxa"/>
          </w:tcPr>
          <w:p w14:paraId="365C0970" w14:textId="77777777" w:rsidR="00821E2E" w:rsidRPr="0043364D" w:rsidRDefault="00821E2E" w:rsidP="0061557E">
            <w:pPr>
              <w:pStyle w:val="TableText"/>
              <w:spacing w:before="40" w:after="40" w:line="240" w:lineRule="auto"/>
              <w:rPr>
                <w:b w:val="0"/>
              </w:rPr>
            </w:pPr>
            <w:r w:rsidRPr="0043364D">
              <w:rPr>
                <w:b w:val="0"/>
              </w:rPr>
              <w:t>1 per grantee (17 total)</w:t>
            </w:r>
          </w:p>
        </w:tc>
      </w:tr>
      <w:tr w:rsidR="00821E2E" w:rsidRPr="0043364D" w14:paraId="2C9FA7E7" w14:textId="77777777" w:rsidTr="0061557E">
        <w:tc>
          <w:tcPr>
            <w:tcW w:w="2327" w:type="dxa"/>
          </w:tcPr>
          <w:p w14:paraId="32D337F9" w14:textId="77777777" w:rsidR="00821E2E" w:rsidRPr="0043364D" w:rsidRDefault="00821E2E" w:rsidP="0061557E">
            <w:pPr>
              <w:pStyle w:val="TableText"/>
              <w:spacing w:before="40" w:after="40" w:line="240" w:lineRule="auto"/>
              <w:rPr>
                <w:b w:val="0"/>
              </w:rPr>
            </w:pPr>
            <w:r w:rsidRPr="0043364D">
              <w:rPr>
                <w:b w:val="0"/>
              </w:rPr>
              <w:t xml:space="preserve">Services &amp; Supports Inventory </w:t>
            </w:r>
          </w:p>
        </w:tc>
        <w:tc>
          <w:tcPr>
            <w:tcW w:w="1649" w:type="dxa"/>
          </w:tcPr>
          <w:p w14:paraId="6C172D16" w14:textId="77777777" w:rsidR="00821E2E" w:rsidRPr="0043364D" w:rsidRDefault="00821E2E" w:rsidP="0061557E">
            <w:pPr>
              <w:pStyle w:val="TableText"/>
              <w:spacing w:before="40" w:after="40" w:line="240" w:lineRule="auto"/>
              <w:rPr>
                <w:b w:val="0"/>
              </w:rPr>
            </w:pPr>
            <w:r w:rsidRPr="0043364D">
              <w:rPr>
                <w:b w:val="0"/>
              </w:rPr>
              <w:t xml:space="preserve">Local Evaluator, Project Director, or Other Knowledgeable Key Informant </w:t>
            </w:r>
          </w:p>
        </w:tc>
        <w:tc>
          <w:tcPr>
            <w:tcW w:w="1594" w:type="dxa"/>
          </w:tcPr>
          <w:p w14:paraId="502998D5" w14:textId="77777777" w:rsidR="00821E2E" w:rsidRPr="0043364D" w:rsidRDefault="00821E2E" w:rsidP="0061557E">
            <w:pPr>
              <w:pStyle w:val="TableText"/>
              <w:spacing w:before="40" w:after="40" w:line="240" w:lineRule="auto"/>
              <w:rPr>
                <w:b w:val="0"/>
              </w:rPr>
            </w:pPr>
            <w:r w:rsidRPr="0043364D">
              <w:rPr>
                <w:b w:val="0"/>
              </w:rPr>
              <w:t>Phone interview</w:t>
            </w:r>
          </w:p>
        </w:tc>
        <w:tc>
          <w:tcPr>
            <w:tcW w:w="1785" w:type="dxa"/>
          </w:tcPr>
          <w:p w14:paraId="66D8F653" w14:textId="77777777" w:rsidR="00821E2E" w:rsidRPr="0043364D" w:rsidRDefault="00821E2E" w:rsidP="0061557E">
            <w:pPr>
              <w:pStyle w:val="TableText"/>
              <w:spacing w:before="40" w:after="40" w:line="240" w:lineRule="auto"/>
              <w:rPr>
                <w:b w:val="0"/>
              </w:rPr>
            </w:pPr>
            <w:r w:rsidRPr="0043364D">
              <w:rPr>
                <w:b w:val="0"/>
              </w:rPr>
              <w:t>Once (prior to grantee visit)</w:t>
            </w:r>
          </w:p>
        </w:tc>
        <w:tc>
          <w:tcPr>
            <w:tcW w:w="1975" w:type="dxa"/>
          </w:tcPr>
          <w:p w14:paraId="2C6EAAEA" w14:textId="77777777" w:rsidR="00821E2E" w:rsidRPr="0043364D" w:rsidRDefault="00821E2E" w:rsidP="0061557E">
            <w:pPr>
              <w:pStyle w:val="TableText"/>
              <w:spacing w:before="40" w:after="40" w:line="240" w:lineRule="auto"/>
              <w:rPr>
                <w:b w:val="0"/>
              </w:rPr>
            </w:pPr>
            <w:r w:rsidRPr="0043364D">
              <w:rPr>
                <w:b w:val="0"/>
              </w:rPr>
              <w:t>1 per grantee (17 total)</w:t>
            </w:r>
          </w:p>
        </w:tc>
      </w:tr>
      <w:tr w:rsidR="00821E2E" w:rsidRPr="0043364D" w14:paraId="413EAF3E" w14:textId="77777777" w:rsidTr="0061557E">
        <w:tc>
          <w:tcPr>
            <w:tcW w:w="2327" w:type="dxa"/>
          </w:tcPr>
          <w:p w14:paraId="03F91B0B" w14:textId="77777777" w:rsidR="00821E2E" w:rsidRPr="0043364D" w:rsidRDefault="00821E2E" w:rsidP="0061557E">
            <w:pPr>
              <w:pStyle w:val="TableText"/>
              <w:spacing w:before="40" w:after="40" w:line="240" w:lineRule="auto"/>
              <w:rPr>
                <w:b w:val="0"/>
              </w:rPr>
            </w:pPr>
            <w:r w:rsidRPr="0043364D">
              <w:rPr>
                <w:b w:val="0"/>
              </w:rPr>
              <w:t>Core Staff Web Survey</w:t>
            </w:r>
          </w:p>
        </w:tc>
        <w:tc>
          <w:tcPr>
            <w:tcW w:w="1649" w:type="dxa"/>
          </w:tcPr>
          <w:p w14:paraId="068F2B79" w14:textId="77777777" w:rsidR="00821E2E" w:rsidRPr="0043364D" w:rsidRDefault="00821E2E" w:rsidP="0061557E">
            <w:pPr>
              <w:pStyle w:val="TableText"/>
              <w:spacing w:before="40" w:after="40" w:line="240" w:lineRule="auto"/>
              <w:rPr>
                <w:b w:val="0"/>
              </w:rPr>
            </w:pPr>
            <w:r w:rsidRPr="0043364D">
              <w:rPr>
                <w:b w:val="0"/>
              </w:rPr>
              <w:t xml:space="preserve">Learning laboratory “core staff” </w:t>
            </w:r>
          </w:p>
        </w:tc>
        <w:tc>
          <w:tcPr>
            <w:tcW w:w="1594" w:type="dxa"/>
          </w:tcPr>
          <w:p w14:paraId="3D837675" w14:textId="77777777" w:rsidR="00821E2E" w:rsidRPr="0043364D" w:rsidRDefault="00821E2E" w:rsidP="0061557E">
            <w:pPr>
              <w:pStyle w:val="TableText"/>
              <w:spacing w:before="40" w:after="40" w:line="240" w:lineRule="auto"/>
              <w:rPr>
                <w:b w:val="0"/>
              </w:rPr>
            </w:pPr>
            <w:r w:rsidRPr="0043364D">
              <w:rPr>
                <w:b w:val="0"/>
              </w:rPr>
              <w:t>Web-based</w:t>
            </w:r>
          </w:p>
        </w:tc>
        <w:tc>
          <w:tcPr>
            <w:tcW w:w="1785" w:type="dxa"/>
          </w:tcPr>
          <w:p w14:paraId="77643480" w14:textId="77777777" w:rsidR="00821E2E" w:rsidRPr="0043364D" w:rsidRDefault="00821E2E" w:rsidP="0061557E">
            <w:pPr>
              <w:pStyle w:val="TableText"/>
              <w:spacing w:before="40" w:after="40" w:line="240" w:lineRule="auto"/>
              <w:rPr>
                <w:b w:val="0"/>
              </w:rPr>
            </w:pPr>
            <w:r w:rsidRPr="0043364D">
              <w:rPr>
                <w:b w:val="0"/>
              </w:rPr>
              <w:t>Once (prior to grantee visit)</w:t>
            </w:r>
          </w:p>
        </w:tc>
        <w:tc>
          <w:tcPr>
            <w:tcW w:w="1975" w:type="dxa"/>
          </w:tcPr>
          <w:p w14:paraId="5A3F1613" w14:textId="77777777" w:rsidR="00821E2E" w:rsidRPr="0043364D" w:rsidRDefault="00821E2E" w:rsidP="0061557E">
            <w:pPr>
              <w:pStyle w:val="TableText"/>
              <w:spacing w:before="40" w:after="40" w:line="240" w:lineRule="auto"/>
              <w:rPr>
                <w:b w:val="0"/>
              </w:rPr>
            </w:pPr>
            <w:r w:rsidRPr="0043364D">
              <w:rPr>
                <w:b w:val="0"/>
              </w:rPr>
              <w:t xml:space="preserve">All core staff, max of 10 per implementing learning laboratory </w:t>
            </w:r>
          </w:p>
        </w:tc>
      </w:tr>
    </w:tbl>
    <w:p w14:paraId="534884C8" w14:textId="77777777" w:rsidR="00821E2E" w:rsidRDefault="00821E2E" w:rsidP="00821E2E">
      <w:pPr>
        <w:jc w:val="right"/>
      </w:pPr>
      <w:r>
        <w:t>(</w:t>
      </w:r>
      <w:r w:rsidRPr="0029593B">
        <w:t>continued</w:t>
      </w:r>
      <w:r>
        <w:t>)</w:t>
      </w:r>
    </w:p>
    <w:p w14:paraId="201AE0CC" w14:textId="7314B3D6" w:rsidR="00821E2E" w:rsidRPr="0029593B" w:rsidRDefault="00821E2E" w:rsidP="00704B64">
      <w:pPr>
        <w:pStyle w:val="ExhibitTitle"/>
      </w:pPr>
      <w:r w:rsidRPr="0029593B">
        <w:t xml:space="preserve">Table </w:t>
      </w:r>
      <w:r w:rsidR="00704B64">
        <w:t>8</w:t>
      </w:r>
      <w:r w:rsidRPr="0029593B">
        <w:t>.</w:t>
      </w:r>
      <w:r w:rsidRPr="0029593B">
        <w:tab/>
        <w:t>NITT-HT Data Collection Procedures by Source of Information</w:t>
      </w:r>
      <w:r>
        <w:t xml:space="preserve"> (continued)</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25"/>
        <w:gridCol w:w="1649"/>
        <w:gridCol w:w="1596"/>
        <w:gridCol w:w="1785"/>
        <w:gridCol w:w="1975"/>
      </w:tblGrid>
      <w:tr w:rsidR="00821E2E" w:rsidRPr="0043364D" w14:paraId="252BD09B" w14:textId="77777777" w:rsidTr="003532FB">
        <w:tc>
          <w:tcPr>
            <w:tcW w:w="2325" w:type="dxa"/>
            <w:shd w:val="clear" w:color="auto" w:fill="DEEAF6" w:themeFill="accent1" w:themeFillTint="33"/>
            <w:vAlign w:val="bottom"/>
          </w:tcPr>
          <w:p w14:paraId="422EBA6A" w14:textId="77777777" w:rsidR="00821E2E" w:rsidRPr="0043364D" w:rsidRDefault="00821E2E" w:rsidP="0061557E">
            <w:pPr>
              <w:pStyle w:val="TableHeaders"/>
              <w:keepNext w:val="0"/>
              <w:spacing w:before="40" w:after="40" w:line="240" w:lineRule="auto"/>
              <w:rPr>
                <w:rFonts w:ascii="Times New Roman" w:hAnsi="Times New Roman"/>
              </w:rPr>
            </w:pPr>
            <w:r w:rsidRPr="0043364D">
              <w:rPr>
                <w:rFonts w:ascii="Times New Roman" w:hAnsi="Times New Roman"/>
              </w:rPr>
              <w:t>Type of Data Collection</w:t>
            </w:r>
          </w:p>
        </w:tc>
        <w:tc>
          <w:tcPr>
            <w:tcW w:w="1649" w:type="dxa"/>
            <w:shd w:val="clear" w:color="auto" w:fill="DEEAF6" w:themeFill="accent1" w:themeFillTint="33"/>
            <w:vAlign w:val="bottom"/>
          </w:tcPr>
          <w:p w14:paraId="15B25937" w14:textId="77777777" w:rsidR="00821E2E" w:rsidRPr="0043364D" w:rsidRDefault="00821E2E" w:rsidP="0061557E">
            <w:pPr>
              <w:pStyle w:val="TableHeaders"/>
              <w:keepNext w:val="0"/>
              <w:spacing w:before="40" w:after="40" w:line="240" w:lineRule="auto"/>
              <w:rPr>
                <w:rFonts w:ascii="Times New Roman" w:hAnsi="Times New Roman"/>
              </w:rPr>
            </w:pPr>
            <w:r w:rsidRPr="0043364D">
              <w:rPr>
                <w:rFonts w:ascii="Times New Roman" w:hAnsi="Times New Roman"/>
              </w:rPr>
              <w:t>Respondent/ Source</w:t>
            </w:r>
          </w:p>
        </w:tc>
        <w:tc>
          <w:tcPr>
            <w:tcW w:w="1596" w:type="dxa"/>
            <w:shd w:val="clear" w:color="auto" w:fill="DEEAF6" w:themeFill="accent1" w:themeFillTint="33"/>
            <w:vAlign w:val="bottom"/>
          </w:tcPr>
          <w:p w14:paraId="76154B40" w14:textId="77777777" w:rsidR="00821E2E" w:rsidRPr="0043364D" w:rsidRDefault="00821E2E" w:rsidP="0061557E">
            <w:pPr>
              <w:pStyle w:val="TableHeaders"/>
              <w:keepNext w:val="0"/>
              <w:spacing w:before="40" w:after="40" w:line="240" w:lineRule="auto"/>
              <w:rPr>
                <w:rFonts w:ascii="Times New Roman" w:hAnsi="Times New Roman"/>
              </w:rPr>
            </w:pPr>
            <w:r w:rsidRPr="0043364D">
              <w:rPr>
                <w:rFonts w:ascii="Times New Roman" w:hAnsi="Times New Roman"/>
              </w:rPr>
              <w:t>Mode</w:t>
            </w:r>
          </w:p>
        </w:tc>
        <w:tc>
          <w:tcPr>
            <w:tcW w:w="1785" w:type="dxa"/>
            <w:shd w:val="clear" w:color="auto" w:fill="DEEAF6" w:themeFill="accent1" w:themeFillTint="33"/>
            <w:vAlign w:val="bottom"/>
          </w:tcPr>
          <w:p w14:paraId="29F4BFE7" w14:textId="77777777" w:rsidR="00821E2E" w:rsidRPr="0043364D" w:rsidRDefault="00821E2E" w:rsidP="0061557E">
            <w:pPr>
              <w:pStyle w:val="TableHeaders"/>
              <w:keepNext w:val="0"/>
              <w:spacing w:before="40" w:after="40" w:line="240" w:lineRule="auto"/>
              <w:rPr>
                <w:rFonts w:ascii="Times New Roman" w:hAnsi="Times New Roman"/>
              </w:rPr>
            </w:pPr>
            <w:r w:rsidRPr="0043364D">
              <w:rPr>
                <w:rFonts w:ascii="Times New Roman" w:hAnsi="Times New Roman"/>
              </w:rPr>
              <w:t>Administration Frequency</w:t>
            </w:r>
          </w:p>
        </w:tc>
        <w:tc>
          <w:tcPr>
            <w:tcW w:w="1975" w:type="dxa"/>
            <w:shd w:val="clear" w:color="auto" w:fill="DEEAF6" w:themeFill="accent1" w:themeFillTint="33"/>
            <w:vAlign w:val="bottom"/>
          </w:tcPr>
          <w:p w14:paraId="2D72B8E4" w14:textId="77777777" w:rsidR="00821E2E" w:rsidRPr="0043364D" w:rsidRDefault="00821E2E" w:rsidP="0061557E">
            <w:pPr>
              <w:pStyle w:val="TableHeaders"/>
              <w:keepNext w:val="0"/>
              <w:spacing w:before="40" w:after="40" w:line="240" w:lineRule="auto"/>
              <w:rPr>
                <w:rFonts w:ascii="Times New Roman" w:hAnsi="Times New Roman"/>
              </w:rPr>
            </w:pPr>
            <w:r w:rsidRPr="0043364D">
              <w:rPr>
                <w:rFonts w:ascii="Times New Roman" w:hAnsi="Times New Roman"/>
              </w:rPr>
              <w:t>Expected N (per administration)</w:t>
            </w:r>
          </w:p>
        </w:tc>
      </w:tr>
      <w:tr w:rsidR="003532FB" w:rsidRPr="0043364D" w14:paraId="53A47C66" w14:textId="77777777" w:rsidTr="003532FB">
        <w:tc>
          <w:tcPr>
            <w:tcW w:w="2325" w:type="dxa"/>
          </w:tcPr>
          <w:p w14:paraId="09BCD232" w14:textId="77777777" w:rsidR="003532FB" w:rsidRPr="0043364D" w:rsidRDefault="003532FB" w:rsidP="00502B42">
            <w:pPr>
              <w:pStyle w:val="TableText"/>
              <w:spacing w:before="40" w:after="40" w:line="240" w:lineRule="auto"/>
              <w:rPr>
                <w:b w:val="0"/>
              </w:rPr>
            </w:pPr>
            <w:r w:rsidRPr="0043364D">
              <w:rPr>
                <w:b w:val="0"/>
              </w:rPr>
              <w:t>Youth Coordinator In-Person Interview</w:t>
            </w:r>
          </w:p>
        </w:tc>
        <w:tc>
          <w:tcPr>
            <w:tcW w:w="1649" w:type="dxa"/>
          </w:tcPr>
          <w:p w14:paraId="2BD877BF" w14:textId="77777777" w:rsidR="003532FB" w:rsidRPr="0043364D" w:rsidRDefault="003532FB" w:rsidP="00502B42">
            <w:pPr>
              <w:pStyle w:val="TableText"/>
              <w:spacing w:before="40" w:after="40" w:line="240" w:lineRule="auto"/>
              <w:rPr>
                <w:b w:val="0"/>
              </w:rPr>
            </w:pPr>
            <w:r w:rsidRPr="0043364D">
              <w:rPr>
                <w:b w:val="0"/>
              </w:rPr>
              <w:t xml:space="preserve">Learning laboratory youth coordinators and peer staff </w:t>
            </w:r>
          </w:p>
        </w:tc>
        <w:tc>
          <w:tcPr>
            <w:tcW w:w="1596" w:type="dxa"/>
          </w:tcPr>
          <w:p w14:paraId="2A769AFA" w14:textId="77777777" w:rsidR="003532FB" w:rsidRPr="0043364D" w:rsidRDefault="003532FB" w:rsidP="00502B42">
            <w:pPr>
              <w:pStyle w:val="TableText"/>
              <w:spacing w:before="40" w:after="40" w:line="240" w:lineRule="auto"/>
              <w:rPr>
                <w:b w:val="0"/>
              </w:rPr>
            </w:pPr>
            <w:r w:rsidRPr="0043364D">
              <w:rPr>
                <w:b w:val="0"/>
              </w:rPr>
              <w:t>In-person interview during grantee visit</w:t>
            </w:r>
          </w:p>
        </w:tc>
        <w:tc>
          <w:tcPr>
            <w:tcW w:w="1785" w:type="dxa"/>
          </w:tcPr>
          <w:p w14:paraId="23243254" w14:textId="77777777" w:rsidR="003532FB" w:rsidRPr="0043364D" w:rsidRDefault="003532FB" w:rsidP="00502B42">
            <w:pPr>
              <w:pStyle w:val="TableText"/>
              <w:spacing w:before="40" w:after="40" w:line="240" w:lineRule="auto"/>
              <w:rPr>
                <w:b w:val="0"/>
              </w:rPr>
            </w:pPr>
            <w:r w:rsidRPr="0043364D">
              <w:rPr>
                <w:b w:val="0"/>
              </w:rPr>
              <w:t xml:space="preserve">Once </w:t>
            </w:r>
          </w:p>
        </w:tc>
        <w:tc>
          <w:tcPr>
            <w:tcW w:w="1975" w:type="dxa"/>
          </w:tcPr>
          <w:p w14:paraId="3EAB7B43" w14:textId="77777777" w:rsidR="003532FB" w:rsidRPr="0043364D" w:rsidRDefault="003532FB" w:rsidP="00502B42">
            <w:pPr>
              <w:pStyle w:val="TableText"/>
              <w:spacing w:before="40" w:after="40" w:line="240" w:lineRule="auto"/>
              <w:rPr>
                <w:b w:val="0"/>
              </w:rPr>
            </w:pPr>
            <w:r w:rsidRPr="0043364D">
              <w:rPr>
                <w:b w:val="0"/>
              </w:rPr>
              <w:t>Youth coordinators and up to 2 peer staff per learning laboratory</w:t>
            </w:r>
          </w:p>
        </w:tc>
      </w:tr>
      <w:tr w:rsidR="00821E2E" w:rsidRPr="0043364D" w14:paraId="077B75BE" w14:textId="77777777" w:rsidTr="0061557E">
        <w:tc>
          <w:tcPr>
            <w:tcW w:w="9330" w:type="dxa"/>
            <w:gridSpan w:val="5"/>
            <w:shd w:val="clear" w:color="auto" w:fill="F2F2F2" w:themeFill="background1" w:themeFillShade="F2"/>
          </w:tcPr>
          <w:p w14:paraId="1CEE929E" w14:textId="77777777" w:rsidR="00821E2E" w:rsidRPr="0043364D" w:rsidRDefault="00821E2E" w:rsidP="0061557E">
            <w:pPr>
              <w:pStyle w:val="TableText"/>
              <w:spacing w:before="40" w:after="40" w:line="240" w:lineRule="auto"/>
            </w:pPr>
            <w:r w:rsidRPr="0043364D">
              <w:t xml:space="preserve">OTHER PROVIDERS AND STAKEHOLDERS </w:t>
            </w:r>
          </w:p>
        </w:tc>
      </w:tr>
      <w:tr w:rsidR="00821E2E" w:rsidRPr="0043364D" w14:paraId="6AD74E97" w14:textId="77777777" w:rsidTr="003532FB">
        <w:tc>
          <w:tcPr>
            <w:tcW w:w="2325" w:type="dxa"/>
          </w:tcPr>
          <w:p w14:paraId="2660B24C" w14:textId="77777777" w:rsidR="00821E2E" w:rsidRPr="0043364D" w:rsidRDefault="00821E2E" w:rsidP="0061557E">
            <w:pPr>
              <w:pStyle w:val="TableText"/>
              <w:spacing w:before="40" w:after="40" w:line="240" w:lineRule="auto"/>
              <w:rPr>
                <w:b w:val="0"/>
              </w:rPr>
            </w:pPr>
            <w:r w:rsidRPr="0043364D">
              <w:rPr>
                <w:b w:val="0"/>
              </w:rPr>
              <w:t>Provider In-Person Interviews</w:t>
            </w:r>
          </w:p>
        </w:tc>
        <w:tc>
          <w:tcPr>
            <w:tcW w:w="1649" w:type="dxa"/>
          </w:tcPr>
          <w:p w14:paraId="66A4D0E5" w14:textId="77777777" w:rsidR="00821E2E" w:rsidRPr="0043364D" w:rsidRDefault="00821E2E" w:rsidP="0061557E">
            <w:pPr>
              <w:pStyle w:val="TableText"/>
              <w:spacing w:before="40" w:after="40" w:line="240" w:lineRule="auto"/>
              <w:rPr>
                <w:b w:val="0"/>
              </w:rPr>
            </w:pPr>
            <w:r w:rsidRPr="0043364D">
              <w:rPr>
                <w:b w:val="0"/>
              </w:rPr>
              <w:t xml:space="preserve">Key informants for contracted providers nominated in Services &amp; Supports Inventory  </w:t>
            </w:r>
          </w:p>
        </w:tc>
        <w:tc>
          <w:tcPr>
            <w:tcW w:w="1596" w:type="dxa"/>
          </w:tcPr>
          <w:p w14:paraId="5BEEBF60" w14:textId="77777777" w:rsidR="00821E2E" w:rsidRPr="0043364D" w:rsidRDefault="00821E2E" w:rsidP="0061557E">
            <w:pPr>
              <w:pStyle w:val="TableText"/>
              <w:spacing w:before="40" w:after="40" w:line="240" w:lineRule="auto"/>
              <w:rPr>
                <w:b w:val="0"/>
              </w:rPr>
            </w:pPr>
            <w:r w:rsidRPr="0043364D">
              <w:rPr>
                <w:b w:val="0"/>
              </w:rPr>
              <w:t>In-person interview during grantee visit</w:t>
            </w:r>
          </w:p>
        </w:tc>
        <w:tc>
          <w:tcPr>
            <w:tcW w:w="1785" w:type="dxa"/>
          </w:tcPr>
          <w:p w14:paraId="7130AC13" w14:textId="77777777" w:rsidR="00821E2E" w:rsidRPr="0043364D" w:rsidRDefault="00821E2E" w:rsidP="0061557E">
            <w:pPr>
              <w:pStyle w:val="TableText"/>
              <w:spacing w:before="40" w:after="40" w:line="240" w:lineRule="auto"/>
              <w:rPr>
                <w:b w:val="0"/>
              </w:rPr>
            </w:pPr>
            <w:r w:rsidRPr="0043364D">
              <w:rPr>
                <w:b w:val="0"/>
              </w:rPr>
              <w:t xml:space="preserve">Once </w:t>
            </w:r>
          </w:p>
        </w:tc>
        <w:tc>
          <w:tcPr>
            <w:tcW w:w="1975" w:type="dxa"/>
          </w:tcPr>
          <w:p w14:paraId="73464BD0" w14:textId="77777777" w:rsidR="00821E2E" w:rsidRPr="0043364D" w:rsidRDefault="00821E2E" w:rsidP="0061557E">
            <w:pPr>
              <w:pStyle w:val="TableText"/>
              <w:spacing w:before="40" w:after="40" w:line="240" w:lineRule="auto"/>
              <w:rPr>
                <w:b w:val="0"/>
              </w:rPr>
            </w:pPr>
            <w:r w:rsidRPr="0043364D">
              <w:rPr>
                <w:b w:val="0"/>
              </w:rPr>
              <w:t xml:space="preserve">3–5 per grantee (51–85 total) </w:t>
            </w:r>
          </w:p>
        </w:tc>
      </w:tr>
      <w:tr w:rsidR="00821E2E" w:rsidRPr="0043364D" w14:paraId="51FF7575" w14:textId="77777777" w:rsidTr="003532FB">
        <w:tc>
          <w:tcPr>
            <w:tcW w:w="2325" w:type="dxa"/>
          </w:tcPr>
          <w:p w14:paraId="60EEE393" w14:textId="77777777" w:rsidR="00821E2E" w:rsidRPr="0043364D" w:rsidRDefault="00821E2E" w:rsidP="0061557E">
            <w:pPr>
              <w:pStyle w:val="TableText"/>
              <w:spacing w:before="40" w:after="40" w:line="240" w:lineRule="auto"/>
              <w:rPr>
                <w:b w:val="0"/>
              </w:rPr>
            </w:pPr>
            <w:r w:rsidRPr="0043364D">
              <w:rPr>
                <w:b w:val="0"/>
              </w:rPr>
              <w:t>Other Stakeholder In-Person Interviews</w:t>
            </w:r>
          </w:p>
        </w:tc>
        <w:tc>
          <w:tcPr>
            <w:tcW w:w="1649" w:type="dxa"/>
          </w:tcPr>
          <w:p w14:paraId="479D6DD2" w14:textId="77777777" w:rsidR="00821E2E" w:rsidRPr="0043364D" w:rsidRDefault="00821E2E" w:rsidP="0061557E">
            <w:pPr>
              <w:pStyle w:val="TableText"/>
              <w:spacing w:before="40" w:after="40" w:line="240" w:lineRule="auto"/>
              <w:rPr>
                <w:b w:val="0"/>
              </w:rPr>
            </w:pPr>
            <w:r w:rsidRPr="0043364D">
              <w:rPr>
                <w:b w:val="0"/>
              </w:rPr>
              <w:t xml:space="preserve">Community stakeholders (i.e., non-staff) nominated in Services &amp; Supports Inventory  </w:t>
            </w:r>
          </w:p>
        </w:tc>
        <w:tc>
          <w:tcPr>
            <w:tcW w:w="1596" w:type="dxa"/>
          </w:tcPr>
          <w:p w14:paraId="7D8AEEF2" w14:textId="77777777" w:rsidR="00821E2E" w:rsidRPr="0043364D" w:rsidRDefault="00821E2E" w:rsidP="0061557E">
            <w:pPr>
              <w:pStyle w:val="TableText"/>
              <w:spacing w:before="40" w:after="40" w:line="240" w:lineRule="auto"/>
              <w:rPr>
                <w:b w:val="0"/>
              </w:rPr>
            </w:pPr>
            <w:r w:rsidRPr="0043364D">
              <w:rPr>
                <w:b w:val="0"/>
              </w:rPr>
              <w:t>In-person Interview during grantee visit</w:t>
            </w:r>
          </w:p>
        </w:tc>
        <w:tc>
          <w:tcPr>
            <w:tcW w:w="1785" w:type="dxa"/>
          </w:tcPr>
          <w:p w14:paraId="55FDBC10" w14:textId="77777777" w:rsidR="00821E2E" w:rsidRPr="0043364D" w:rsidRDefault="00821E2E" w:rsidP="0061557E">
            <w:pPr>
              <w:pStyle w:val="TableText"/>
              <w:spacing w:before="40" w:after="40" w:line="240" w:lineRule="auto"/>
              <w:rPr>
                <w:b w:val="0"/>
              </w:rPr>
            </w:pPr>
            <w:r w:rsidRPr="0043364D">
              <w:rPr>
                <w:b w:val="0"/>
              </w:rPr>
              <w:t>Once (prior to grantee visit)</w:t>
            </w:r>
          </w:p>
        </w:tc>
        <w:tc>
          <w:tcPr>
            <w:tcW w:w="1975" w:type="dxa"/>
          </w:tcPr>
          <w:p w14:paraId="02249F49" w14:textId="77777777" w:rsidR="00821E2E" w:rsidRPr="0043364D" w:rsidRDefault="00821E2E" w:rsidP="0061557E">
            <w:pPr>
              <w:pStyle w:val="TableText"/>
              <w:spacing w:before="40" w:after="40" w:line="240" w:lineRule="auto"/>
              <w:rPr>
                <w:b w:val="0"/>
              </w:rPr>
            </w:pPr>
            <w:r w:rsidRPr="0043364D">
              <w:rPr>
                <w:b w:val="0"/>
              </w:rPr>
              <w:t>3 per grantee (51 total)</w:t>
            </w:r>
          </w:p>
        </w:tc>
      </w:tr>
      <w:tr w:rsidR="00821E2E" w:rsidRPr="0043364D" w14:paraId="3CBD99FD" w14:textId="77777777" w:rsidTr="0061557E">
        <w:tc>
          <w:tcPr>
            <w:tcW w:w="9330" w:type="dxa"/>
            <w:gridSpan w:val="5"/>
            <w:shd w:val="clear" w:color="auto" w:fill="F2F2F2" w:themeFill="background1" w:themeFillShade="F2"/>
          </w:tcPr>
          <w:p w14:paraId="5049DD5A" w14:textId="77777777" w:rsidR="00821E2E" w:rsidRPr="0043364D" w:rsidRDefault="00821E2E" w:rsidP="0061557E">
            <w:pPr>
              <w:pStyle w:val="TableText"/>
              <w:spacing w:before="40" w:after="40" w:line="240" w:lineRule="auto"/>
            </w:pPr>
            <w:r w:rsidRPr="0043364D">
              <w:t>YOUTH/YOUNG ADULTS &amp; FAMILY/ADULT ALLIES</w:t>
            </w:r>
          </w:p>
        </w:tc>
      </w:tr>
      <w:tr w:rsidR="00821E2E" w:rsidRPr="0043364D" w14:paraId="26246132" w14:textId="77777777" w:rsidTr="003532FB">
        <w:tc>
          <w:tcPr>
            <w:tcW w:w="2325" w:type="dxa"/>
          </w:tcPr>
          <w:p w14:paraId="50C96603" w14:textId="77777777" w:rsidR="00821E2E" w:rsidRPr="0043364D" w:rsidRDefault="00821E2E" w:rsidP="0061557E">
            <w:pPr>
              <w:pStyle w:val="TableText"/>
              <w:spacing w:before="40" w:after="40" w:line="240" w:lineRule="auto"/>
              <w:rPr>
                <w:b w:val="0"/>
              </w:rPr>
            </w:pPr>
            <w:r w:rsidRPr="0043364D">
              <w:rPr>
                <w:b w:val="0"/>
              </w:rPr>
              <w:t>Supplemental Youth &amp; Young Adult Interview</w:t>
            </w:r>
            <w:r w:rsidRPr="0043364D" w:rsidDel="00E03C6C">
              <w:rPr>
                <w:b w:val="0"/>
              </w:rPr>
              <w:t xml:space="preserve"> </w:t>
            </w:r>
          </w:p>
        </w:tc>
        <w:tc>
          <w:tcPr>
            <w:tcW w:w="1649" w:type="dxa"/>
          </w:tcPr>
          <w:p w14:paraId="595B5888" w14:textId="77777777" w:rsidR="00821E2E" w:rsidRPr="0043364D" w:rsidRDefault="00821E2E" w:rsidP="0061557E">
            <w:pPr>
              <w:pStyle w:val="TableText"/>
              <w:spacing w:before="40" w:after="40" w:line="240" w:lineRule="auto"/>
              <w:rPr>
                <w:b w:val="0"/>
              </w:rPr>
            </w:pPr>
            <w:r w:rsidRPr="0043364D">
              <w:rPr>
                <w:b w:val="0"/>
              </w:rPr>
              <w:t>Participants who receive services through NITT-HT initiative</w:t>
            </w:r>
          </w:p>
        </w:tc>
        <w:tc>
          <w:tcPr>
            <w:tcW w:w="1596" w:type="dxa"/>
          </w:tcPr>
          <w:p w14:paraId="20603246" w14:textId="77777777" w:rsidR="00821E2E" w:rsidRPr="0043364D" w:rsidRDefault="00821E2E" w:rsidP="0061557E">
            <w:pPr>
              <w:pStyle w:val="TableText"/>
              <w:spacing w:before="40" w:after="40" w:line="240" w:lineRule="auto"/>
              <w:rPr>
                <w:b w:val="0"/>
              </w:rPr>
            </w:pPr>
            <w:r w:rsidRPr="0043364D">
              <w:rPr>
                <w:b w:val="0"/>
              </w:rPr>
              <w:t>Web-based (baseline); Web or telephone (12- and 24-months)</w:t>
            </w:r>
          </w:p>
        </w:tc>
        <w:tc>
          <w:tcPr>
            <w:tcW w:w="1785" w:type="dxa"/>
          </w:tcPr>
          <w:p w14:paraId="25756B3E" w14:textId="77777777" w:rsidR="00821E2E" w:rsidRPr="0043364D" w:rsidRDefault="00821E2E" w:rsidP="0061557E">
            <w:pPr>
              <w:pStyle w:val="TableText"/>
              <w:spacing w:before="40" w:after="40" w:line="240" w:lineRule="auto"/>
              <w:rPr>
                <w:b w:val="0"/>
              </w:rPr>
            </w:pPr>
            <w:r w:rsidRPr="0043364D">
              <w:rPr>
                <w:b w:val="0"/>
              </w:rPr>
              <w:t>3x (baseline, 12- and 24-months)</w:t>
            </w:r>
          </w:p>
        </w:tc>
        <w:tc>
          <w:tcPr>
            <w:tcW w:w="1975" w:type="dxa"/>
          </w:tcPr>
          <w:p w14:paraId="249FEBC3" w14:textId="77777777" w:rsidR="00821E2E" w:rsidRPr="0043364D" w:rsidRDefault="00821E2E" w:rsidP="0061557E">
            <w:pPr>
              <w:pStyle w:val="TableText"/>
              <w:spacing w:before="40" w:after="40" w:line="240" w:lineRule="auto"/>
              <w:rPr>
                <w:b w:val="0"/>
              </w:rPr>
            </w:pPr>
            <w:r w:rsidRPr="0043364D">
              <w:rPr>
                <w:b w:val="0"/>
              </w:rPr>
              <w:t>90 per grantee (1,530 total)</w:t>
            </w:r>
          </w:p>
        </w:tc>
      </w:tr>
      <w:tr w:rsidR="00821E2E" w:rsidRPr="0043364D" w14:paraId="6D899798" w14:textId="77777777" w:rsidTr="003532FB">
        <w:tc>
          <w:tcPr>
            <w:tcW w:w="2325" w:type="dxa"/>
          </w:tcPr>
          <w:p w14:paraId="5CB18E55" w14:textId="77777777" w:rsidR="00821E2E" w:rsidRPr="0043364D" w:rsidRDefault="00821E2E" w:rsidP="0061557E">
            <w:pPr>
              <w:pStyle w:val="TableText"/>
              <w:spacing w:before="40" w:after="40" w:line="240" w:lineRule="auto"/>
              <w:rPr>
                <w:b w:val="0"/>
              </w:rPr>
            </w:pPr>
            <w:r w:rsidRPr="0043364D">
              <w:rPr>
                <w:b w:val="0"/>
              </w:rPr>
              <w:t>Young Adult Focus Group Guide &amp; Information Form</w:t>
            </w:r>
          </w:p>
          <w:p w14:paraId="22AE448C" w14:textId="77777777" w:rsidR="00821E2E" w:rsidRPr="0043364D" w:rsidRDefault="00821E2E" w:rsidP="0061557E">
            <w:pPr>
              <w:pStyle w:val="TableText"/>
              <w:spacing w:before="40" w:after="40" w:line="240" w:lineRule="auto"/>
              <w:rPr>
                <w:b w:val="0"/>
              </w:rPr>
            </w:pPr>
          </w:p>
        </w:tc>
        <w:tc>
          <w:tcPr>
            <w:tcW w:w="1649" w:type="dxa"/>
          </w:tcPr>
          <w:p w14:paraId="12887765" w14:textId="77777777" w:rsidR="00821E2E" w:rsidRPr="0043364D" w:rsidRDefault="00821E2E" w:rsidP="0061557E">
            <w:pPr>
              <w:pStyle w:val="TableText"/>
              <w:spacing w:before="40" w:after="40" w:line="240" w:lineRule="auto"/>
              <w:rPr>
                <w:b w:val="0"/>
              </w:rPr>
            </w:pPr>
            <w:r w:rsidRPr="0043364D">
              <w:rPr>
                <w:b w:val="0"/>
              </w:rPr>
              <w:t>Young adults nominated by learning laboratories</w:t>
            </w:r>
          </w:p>
        </w:tc>
        <w:tc>
          <w:tcPr>
            <w:tcW w:w="1596" w:type="dxa"/>
          </w:tcPr>
          <w:p w14:paraId="18590A94" w14:textId="77777777" w:rsidR="00821E2E" w:rsidRPr="0043364D" w:rsidRDefault="00821E2E" w:rsidP="0061557E">
            <w:pPr>
              <w:pStyle w:val="TableText"/>
              <w:spacing w:before="40" w:after="40" w:line="240" w:lineRule="auto"/>
              <w:rPr>
                <w:b w:val="0"/>
              </w:rPr>
            </w:pPr>
            <w:r w:rsidRPr="0043364D">
              <w:rPr>
                <w:b w:val="0"/>
              </w:rPr>
              <w:t>Focus group &amp; paper-and-pencil Information Form</w:t>
            </w:r>
          </w:p>
        </w:tc>
        <w:tc>
          <w:tcPr>
            <w:tcW w:w="1785" w:type="dxa"/>
          </w:tcPr>
          <w:p w14:paraId="2AF77BAD" w14:textId="77777777" w:rsidR="00821E2E" w:rsidRPr="0043364D" w:rsidRDefault="00821E2E" w:rsidP="0061557E">
            <w:pPr>
              <w:pStyle w:val="TableText"/>
              <w:spacing w:before="40" w:after="40" w:line="240" w:lineRule="auto"/>
              <w:rPr>
                <w:b w:val="0"/>
              </w:rPr>
            </w:pPr>
            <w:r w:rsidRPr="0043364D">
              <w:rPr>
                <w:b w:val="0"/>
              </w:rPr>
              <w:t xml:space="preserve">Once </w:t>
            </w:r>
          </w:p>
        </w:tc>
        <w:tc>
          <w:tcPr>
            <w:tcW w:w="1975" w:type="dxa"/>
          </w:tcPr>
          <w:p w14:paraId="73506041" w14:textId="77777777" w:rsidR="00821E2E" w:rsidRPr="0043364D" w:rsidRDefault="00821E2E" w:rsidP="0061557E">
            <w:pPr>
              <w:pStyle w:val="TableText"/>
              <w:spacing w:before="40" w:after="40" w:line="240" w:lineRule="auto"/>
              <w:rPr>
                <w:b w:val="0"/>
              </w:rPr>
            </w:pPr>
            <w:r w:rsidRPr="0043364D">
              <w:rPr>
                <w:b w:val="0"/>
              </w:rPr>
              <w:t xml:space="preserve">2 groups per implementing learning laboratory </w:t>
            </w:r>
          </w:p>
        </w:tc>
      </w:tr>
      <w:tr w:rsidR="00821E2E" w:rsidRPr="0043364D" w14:paraId="21BED0D7" w14:textId="77777777" w:rsidTr="003532FB">
        <w:tc>
          <w:tcPr>
            <w:tcW w:w="2325" w:type="dxa"/>
          </w:tcPr>
          <w:p w14:paraId="52899755" w14:textId="77777777" w:rsidR="00821E2E" w:rsidRPr="0043364D" w:rsidRDefault="00821E2E" w:rsidP="0061557E">
            <w:pPr>
              <w:pStyle w:val="TableText"/>
              <w:spacing w:before="40" w:after="40" w:line="240" w:lineRule="auto"/>
              <w:rPr>
                <w:b w:val="0"/>
              </w:rPr>
            </w:pPr>
            <w:r w:rsidRPr="0043364D">
              <w:rPr>
                <w:b w:val="0"/>
              </w:rPr>
              <w:t>Family/Adult Ally Focus Group Guide &amp; Information Form</w:t>
            </w:r>
          </w:p>
          <w:p w14:paraId="037F6E20" w14:textId="77777777" w:rsidR="00821E2E" w:rsidRPr="0043364D" w:rsidRDefault="00821E2E" w:rsidP="0061557E">
            <w:pPr>
              <w:pStyle w:val="TableText"/>
              <w:spacing w:before="40" w:after="40" w:line="240" w:lineRule="auto"/>
              <w:rPr>
                <w:b w:val="0"/>
              </w:rPr>
            </w:pPr>
          </w:p>
        </w:tc>
        <w:tc>
          <w:tcPr>
            <w:tcW w:w="1649" w:type="dxa"/>
          </w:tcPr>
          <w:p w14:paraId="4AB077B9" w14:textId="77777777" w:rsidR="00821E2E" w:rsidRPr="0043364D" w:rsidRDefault="00821E2E" w:rsidP="0061557E">
            <w:pPr>
              <w:pStyle w:val="TableText"/>
              <w:spacing w:before="40" w:after="40" w:line="240" w:lineRule="auto"/>
              <w:rPr>
                <w:b w:val="0"/>
              </w:rPr>
            </w:pPr>
            <w:r w:rsidRPr="0043364D">
              <w:rPr>
                <w:b w:val="0"/>
              </w:rPr>
              <w:t>Families &amp; adult allies nominated by learning laboratories and young adults</w:t>
            </w:r>
          </w:p>
        </w:tc>
        <w:tc>
          <w:tcPr>
            <w:tcW w:w="1596" w:type="dxa"/>
          </w:tcPr>
          <w:p w14:paraId="6EEDD397" w14:textId="77777777" w:rsidR="00821E2E" w:rsidRPr="0043364D" w:rsidRDefault="00821E2E" w:rsidP="0061557E">
            <w:pPr>
              <w:pStyle w:val="TableText"/>
              <w:spacing w:before="40" w:after="40" w:line="240" w:lineRule="auto"/>
              <w:rPr>
                <w:b w:val="0"/>
              </w:rPr>
            </w:pPr>
            <w:r w:rsidRPr="0043364D">
              <w:rPr>
                <w:b w:val="0"/>
              </w:rPr>
              <w:t>Focus group &amp; paper-and-pencil Information Form</w:t>
            </w:r>
          </w:p>
        </w:tc>
        <w:tc>
          <w:tcPr>
            <w:tcW w:w="1785" w:type="dxa"/>
          </w:tcPr>
          <w:p w14:paraId="34DB2A76" w14:textId="77777777" w:rsidR="00821E2E" w:rsidRPr="0043364D" w:rsidRDefault="00821E2E" w:rsidP="0061557E">
            <w:pPr>
              <w:pStyle w:val="TableText"/>
              <w:spacing w:before="40" w:after="40" w:line="240" w:lineRule="auto"/>
              <w:rPr>
                <w:b w:val="0"/>
              </w:rPr>
            </w:pPr>
            <w:r w:rsidRPr="0043364D">
              <w:rPr>
                <w:b w:val="0"/>
              </w:rPr>
              <w:t xml:space="preserve">Once </w:t>
            </w:r>
          </w:p>
        </w:tc>
        <w:tc>
          <w:tcPr>
            <w:tcW w:w="1975" w:type="dxa"/>
          </w:tcPr>
          <w:p w14:paraId="56F8CC34" w14:textId="77777777" w:rsidR="00821E2E" w:rsidRPr="0043364D" w:rsidRDefault="00821E2E" w:rsidP="0061557E">
            <w:pPr>
              <w:pStyle w:val="TableText"/>
              <w:spacing w:before="40" w:after="40" w:line="240" w:lineRule="auto"/>
              <w:rPr>
                <w:b w:val="0"/>
              </w:rPr>
            </w:pPr>
            <w:r w:rsidRPr="0043364D">
              <w:rPr>
                <w:b w:val="0"/>
              </w:rPr>
              <w:t>2 groups per implementing learning laboratory</w:t>
            </w:r>
          </w:p>
        </w:tc>
      </w:tr>
      <w:tr w:rsidR="00821E2E" w:rsidRPr="0043364D" w14:paraId="388BDD31" w14:textId="77777777" w:rsidTr="0061557E">
        <w:tc>
          <w:tcPr>
            <w:tcW w:w="9330" w:type="dxa"/>
            <w:gridSpan w:val="5"/>
            <w:shd w:val="clear" w:color="auto" w:fill="F2F2F2" w:themeFill="background1" w:themeFillShade="F2"/>
          </w:tcPr>
          <w:p w14:paraId="305E9BCD" w14:textId="77777777" w:rsidR="00821E2E" w:rsidRPr="0043364D" w:rsidRDefault="00821E2E" w:rsidP="0061557E">
            <w:pPr>
              <w:pStyle w:val="TableText"/>
              <w:spacing w:before="40" w:after="40" w:line="240" w:lineRule="auto"/>
            </w:pPr>
            <w:r w:rsidRPr="0043364D">
              <w:t>GRANTEE DOCUMENTS AND DATA</w:t>
            </w:r>
          </w:p>
        </w:tc>
      </w:tr>
      <w:tr w:rsidR="00821E2E" w:rsidRPr="0043364D" w14:paraId="23F10A67" w14:textId="77777777" w:rsidTr="003532FB">
        <w:tc>
          <w:tcPr>
            <w:tcW w:w="2325" w:type="dxa"/>
          </w:tcPr>
          <w:p w14:paraId="68B172D8" w14:textId="77777777" w:rsidR="00821E2E" w:rsidRPr="0043364D" w:rsidRDefault="00821E2E" w:rsidP="0061557E">
            <w:pPr>
              <w:pStyle w:val="TableText"/>
              <w:spacing w:before="40" w:after="40" w:line="240" w:lineRule="auto"/>
              <w:rPr>
                <w:b w:val="0"/>
              </w:rPr>
            </w:pPr>
            <w:r w:rsidRPr="0043364D">
              <w:rPr>
                <w:b w:val="0"/>
              </w:rPr>
              <w:t xml:space="preserve">Document Review </w:t>
            </w:r>
          </w:p>
        </w:tc>
        <w:tc>
          <w:tcPr>
            <w:tcW w:w="1649" w:type="dxa"/>
          </w:tcPr>
          <w:p w14:paraId="7A8FC4B2" w14:textId="77777777" w:rsidR="00821E2E" w:rsidRPr="0043364D" w:rsidRDefault="00821E2E" w:rsidP="0061557E">
            <w:pPr>
              <w:pStyle w:val="TableText"/>
              <w:spacing w:before="40" w:after="40" w:line="240" w:lineRule="auto"/>
              <w:rPr>
                <w:b w:val="0"/>
              </w:rPr>
            </w:pPr>
            <w:r w:rsidRPr="0043364D">
              <w:rPr>
                <w:b w:val="0"/>
              </w:rPr>
              <w:t xml:space="preserve">Individual young adult service records </w:t>
            </w:r>
          </w:p>
        </w:tc>
        <w:tc>
          <w:tcPr>
            <w:tcW w:w="1596" w:type="dxa"/>
          </w:tcPr>
          <w:p w14:paraId="7879E702" w14:textId="77777777" w:rsidR="00821E2E" w:rsidRPr="0043364D" w:rsidRDefault="00821E2E" w:rsidP="0061557E">
            <w:pPr>
              <w:pStyle w:val="TableText"/>
              <w:spacing w:before="40" w:after="40" w:line="240" w:lineRule="auto"/>
              <w:rPr>
                <w:b w:val="0"/>
              </w:rPr>
            </w:pPr>
            <w:r w:rsidRPr="0043364D">
              <w:rPr>
                <w:b w:val="0"/>
              </w:rPr>
              <w:t>Document review</w:t>
            </w:r>
          </w:p>
        </w:tc>
        <w:tc>
          <w:tcPr>
            <w:tcW w:w="1785" w:type="dxa"/>
          </w:tcPr>
          <w:p w14:paraId="77A02BCA" w14:textId="77777777" w:rsidR="00821E2E" w:rsidRPr="0043364D" w:rsidRDefault="00821E2E" w:rsidP="0061557E">
            <w:pPr>
              <w:pStyle w:val="TableText"/>
              <w:spacing w:before="40" w:after="40" w:line="240" w:lineRule="auto"/>
              <w:rPr>
                <w:b w:val="0"/>
              </w:rPr>
            </w:pPr>
            <w:r w:rsidRPr="0043364D">
              <w:rPr>
                <w:b w:val="0"/>
              </w:rPr>
              <w:t>Once (during grantee visit)</w:t>
            </w:r>
          </w:p>
        </w:tc>
        <w:tc>
          <w:tcPr>
            <w:tcW w:w="1975" w:type="dxa"/>
          </w:tcPr>
          <w:p w14:paraId="56BCCC28" w14:textId="77777777" w:rsidR="00821E2E" w:rsidRPr="0043364D" w:rsidRDefault="00821E2E" w:rsidP="0061557E">
            <w:pPr>
              <w:pStyle w:val="TableText"/>
              <w:spacing w:before="40" w:after="40" w:line="240" w:lineRule="auto"/>
              <w:rPr>
                <w:b w:val="0"/>
              </w:rPr>
            </w:pPr>
            <w:r w:rsidRPr="0043364D">
              <w:rPr>
                <w:b w:val="0"/>
              </w:rPr>
              <w:t>5–10 per implementing learning laboratory</w:t>
            </w:r>
          </w:p>
        </w:tc>
      </w:tr>
    </w:tbl>
    <w:p w14:paraId="7128CC29" w14:textId="77777777" w:rsidR="00821E2E" w:rsidRDefault="00821E2E" w:rsidP="00821E2E">
      <w:pPr>
        <w:pStyle w:val="ExhibitNote2"/>
      </w:pPr>
    </w:p>
    <w:p w14:paraId="452D2A52" w14:textId="77777777" w:rsidR="00821E2E" w:rsidRPr="00E96645" w:rsidRDefault="00821E2E" w:rsidP="00821E2E">
      <w:pPr>
        <w:pStyle w:val="Heading5"/>
        <w:rPr>
          <w:i/>
          <w:iCs/>
          <w:u w:val="none"/>
        </w:rPr>
      </w:pPr>
      <w:r>
        <w:rPr>
          <w:i/>
          <w:iCs/>
          <w:u w:val="none"/>
        </w:rPr>
        <w:t>Web-based Instruments</w:t>
      </w:r>
    </w:p>
    <w:p w14:paraId="70BD5524" w14:textId="77777777" w:rsidR="00821E2E" w:rsidRDefault="00821E2E" w:rsidP="00821E2E">
      <w:r>
        <w:t xml:space="preserve">Each web-based data collection instrument (with the exception of the SYAI, see below for more detail on the SYAI) will follow the procedures outlined below. </w:t>
      </w:r>
    </w:p>
    <w:p w14:paraId="2A783F9D" w14:textId="77777777" w:rsidR="00821E2E" w:rsidRDefault="00821E2E" w:rsidP="00821E2E">
      <w:r>
        <w:t xml:space="preserve">Emails will be sent to the designated respondents to inform them that data collection has started. A link to enter the web-based survey will be included in the email, as well as information on the background, purpose, types of questions and length of the survey. </w:t>
      </w:r>
      <w:r w:rsidRPr="00222081">
        <w:t xml:space="preserve">When </w:t>
      </w:r>
      <w:r>
        <w:t xml:space="preserve">respondents complete the survey </w:t>
      </w:r>
      <w:r w:rsidRPr="00222081">
        <w:t xml:space="preserve">a </w:t>
      </w:r>
      <w:r>
        <w:t>“</w:t>
      </w:r>
      <w:r w:rsidRPr="00222081">
        <w:t>thank you</w:t>
      </w:r>
      <w:r>
        <w:t>”</w:t>
      </w:r>
      <w:r w:rsidRPr="00222081">
        <w:t xml:space="preserve"> email </w:t>
      </w:r>
      <w:r>
        <w:t>will be sent automatically</w:t>
      </w:r>
      <w:r w:rsidRPr="00222081">
        <w:t>.</w:t>
      </w:r>
      <w:r>
        <w:t xml:space="preserve"> </w:t>
      </w:r>
      <w:proofErr w:type="spellStart"/>
      <w:r w:rsidRPr="0020386A">
        <w:t>Nonresponders</w:t>
      </w:r>
      <w:proofErr w:type="spellEnd"/>
      <w:r w:rsidRPr="0020386A">
        <w:t xml:space="preserve"> will be sent predefined, automated </w:t>
      </w:r>
      <w:r>
        <w:t xml:space="preserve">weekly </w:t>
      </w:r>
      <w:r w:rsidRPr="0020386A">
        <w:t xml:space="preserve">emails as needed, to remind them to </w:t>
      </w:r>
      <w:r>
        <w:t>complete</w:t>
      </w:r>
      <w:r w:rsidRPr="0020386A">
        <w:t xml:space="preserve"> their </w:t>
      </w:r>
      <w:r>
        <w:t xml:space="preserve">survey. If the survey is not completed within </w:t>
      </w:r>
      <w:r w:rsidRPr="002E178A">
        <w:t>3-weeks</w:t>
      </w:r>
      <w:r>
        <w:t xml:space="preserve">, the grantee or learning laboratory will be contacted via telephone by the assigned liaison. </w:t>
      </w:r>
    </w:p>
    <w:p w14:paraId="622D357C" w14:textId="77777777" w:rsidR="00821E2E" w:rsidRDefault="00821E2E" w:rsidP="00821E2E">
      <w:r>
        <w:t>The NITT-HT</w:t>
      </w:r>
      <w:r w:rsidRPr="00D41DC6">
        <w:t xml:space="preserve"> </w:t>
      </w:r>
      <w:r>
        <w:t>evaluation team will develop user manuals for accessing and navigating the online data collection systems and question-by-question and frequently asked question (</w:t>
      </w:r>
      <w:r w:rsidRPr="00D91D20">
        <w:t>FAQ</w:t>
      </w:r>
      <w:r>
        <w:t xml:space="preserve">) guides to help respondents accurately complete the </w:t>
      </w:r>
      <w:r w:rsidRPr="005B2B50">
        <w:t>surveys</w:t>
      </w:r>
      <w:r>
        <w:t>. Grantees and learning laboratories will also be provided training webinars to: 1) walk through the online data collection systems, and 2) review the instrument data collection procedures and answer questions. Within the online data collection system, a</w:t>
      </w:r>
      <w:r w:rsidRPr="00997512">
        <w:t>ll manuals, guides, and</w:t>
      </w:r>
      <w:r>
        <w:t xml:space="preserve"> training</w:t>
      </w:r>
      <w:r w:rsidRPr="00997512">
        <w:t xml:space="preserve"> </w:t>
      </w:r>
      <w:r>
        <w:t>web</w:t>
      </w:r>
      <w:r w:rsidRPr="00997512">
        <w:t>inars will be</w:t>
      </w:r>
      <w:r>
        <w:t xml:space="preserve"> archived and</w:t>
      </w:r>
      <w:r w:rsidRPr="00997512">
        <w:t xml:space="preserve"> accessible to respondents</w:t>
      </w:r>
      <w:r>
        <w:t xml:space="preserve"> for reference at any time. </w:t>
      </w:r>
    </w:p>
    <w:p w14:paraId="7B69D2E0" w14:textId="77777777" w:rsidR="00821E2E" w:rsidRPr="002B67F6" w:rsidRDefault="00821E2E" w:rsidP="00821E2E">
      <w:r w:rsidRPr="002B67F6">
        <w:t>Availability is important in any data collection system, especially one employed by grantee</w:t>
      </w:r>
      <w:r>
        <w:t>s and learning laboratories</w:t>
      </w:r>
      <w:r w:rsidRPr="002B67F6">
        <w:t xml:space="preserve"> around the country, including multiple time zones</w:t>
      </w:r>
      <w:r>
        <w:t xml:space="preserve"> and pacific jurisdictions</w:t>
      </w:r>
      <w:r w:rsidRPr="002B67F6">
        <w:t xml:space="preserve">. The online system will be maintained in an available state as much as possible to allow </w:t>
      </w:r>
      <w:r>
        <w:t>grantees</w:t>
      </w:r>
      <w:r w:rsidRPr="0088591B">
        <w:t xml:space="preserve"> and </w:t>
      </w:r>
      <w:r>
        <w:t xml:space="preserve">learning laboratories </w:t>
      </w:r>
      <w:r w:rsidRPr="002B67F6">
        <w:t xml:space="preserve">access for viewing </w:t>
      </w:r>
      <w:r>
        <w:t xml:space="preserve">their specific </w:t>
      </w:r>
      <w:r w:rsidRPr="002B67F6">
        <w:t xml:space="preserve">data, </w:t>
      </w:r>
      <w:r>
        <w:t>as well as</w:t>
      </w:r>
      <w:r w:rsidRPr="002B67F6">
        <w:t xml:space="preserve"> </w:t>
      </w:r>
      <w:r>
        <w:t xml:space="preserve">to give </w:t>
      </w:r>
      <w:r w:rsidRPr="0088591B">
        <w:t xml:space="preserve">the </w:t>
      </w:r>
      <w:r>
        <w:t>NITT-HT</w:t>
      </w:r>
      <w:r w:rsidRPr="0088591B">
        <w:t xml:space="preserve"> team, grantees, and </w:t>
      </w:r>
      <w:r w:rsidRPr="00D91D20">
        <w:t xml:space="preserve">SAMHSA </w:t>
      </w:r>
      <w:r w:rsidRPr="002B67F6">
        <w:t>access to reports</w:t>
      </w:r>
      <w:r>
        <w:t xml:space="preserve">. </w:t>
      </w:r>
    </w:p>
    <w:p w14:paraId="25CBCCBE" w14:textId="77777777" w:rsidR="00821E2E" w:rsidRDefault="00821E2E" w:rsidP="00821E2E">
      <w:r w:rsidRPr="002B67F6">
        <w:t>Providing a robust system that is simple and easy to use across all areas is</w:t>
      </w:r>
      <w:r>
        <w:t xml:space="preserve"> also</w:t>
      </w:r>
      <w:r w:rsidRPr="002B67F6">
        <w:t xml:space="preserve"> critically important. To achieve this, </w:t>
      </w:r>
      <w:r>
        <w:t>the contractor will</w:t>
      </w:r>
      <w:r w:rsidRPr="002B67F6">
        <w:t xml:space="preserve"> implement user-friendly features across all functional areas, taking into account the needs of both </w:t>
      </w:r>
      <w:r>
        <w:t>SAMHSA</w:t>
      </w:r>
      <w:r w:rsidRPr="002B67F6">
        <w:t xml:space="preserve"> and grantees.</w:t>
      </w:r>
      <w:r>
        <w:t xml:space="preserve"> Additionally, every page of the online data system will have a “</w:t>
      </w:r>
      <w:r w:rsidRPr="002B67F6">
        <w:t>Help</w:t>
      </w:r>
      <w:r>
        <w:t>”</w:t>
      </w:r>
      <w:r w:rsidRPr="002B67F6">
        <w:t xml:space="preserve"> or </w:t>
      </w:r>
      <w:r>
        <w:t>“</w:t>
      </w:r>
      <w:r w:rsidRPr="002B67F6">
        <w:t>Support</w:t>
      </w:r>
      <w:r>
        <w:t>”</w:t>
      </w:r>
      <w:r w:rsidRPr="002B67F6">
        <w:t xml:space="preserve"> link </w:t>
      </w:r>
      <w:r>
        <w:t>clearly labeled, which will allow the respondent to access the following support resources:</w:t>
      </w:r>
    </w:p>
    <w:p w14:paraId="167A681F" w14:textId="77777777" w:rsidR="00821E2E" w:rsidRPr="002B67F6" w:rsidRDefault="00821E2E" w:rsidP="00821E2E">
      <w:pPr>
        <w:pStyle w:val="ListNumber"/>
        <w:keepLines/>
        <w:numPr>
          <w:ilvl w:val="0"/>
          <w:numId w:val="18"/>
        </w:numPr>
      </w:pPr>
      <w:r w:rsidRPr="009569EF">
        <w:rPr>
          <w:i/>
          <w:iCs/>
        </w:rPr>
        <w:t>Search</w:t>
      </w:r>
      <w:r w:rsidRPr="002B67F6">
        <w:t>. More comprehensive than a list of FAQ</w:t>
      </w:r>
      <w:r>
        <w:t>s</w:t>
      </w:r>
      <w:r w:rsidRPr="002B67F6">
        <w:t xml:space="preserve"> and more organized than a support forum, the </w:t>
      </w:r>
      <w:r>
        <w:t>search feature</w:t>
      </w:r>
      <w:r w:rsidRPr="002B67F6">
        <w:t xml:space="preserve"> will offer a </w:t>
      </w:r>
      <w:r>
        <w:t>“</w:t>
      </w:r>
      <w:r w:rsidRPr="002B67F6">
        <w:t>layered information</w:t>
      </w:r>
      <w:r>
        <w:t>”</w:t>
      </w:r>
      <w:r w:rsidRPr="002B67F6">
        <w:t xml:space="preserve"> approach so that </w:t>
      </w:r>
      <w:r>
        <w:t>respondents</w:t>
      </w:r>
      <w:r w:rsidRPr="002B67F6">
        <w:t xml:space="preserve"> can search by keyword and then drill down to view material at increasing levels of detail. It will be a curated and easily searchable source of information including items such as</w:t>
      </w:r>
    </w:p>
    <w:p w14:paraId="70F93198" w14:textId="77777777" w:rsidR="00821E2E" w:rsidRPr="002B67F6" w:rsidRDefault="00821E2E" w:rsidP="00821E2E">
      <w:pPr>
        <w:pStyle w:val="ListBullet2"/>
      </w:pPr>
      <w:r w:rsidRPr="002B67F6">
        <w:t>user guides,</w:t>
      </w:r>
    </w:p>
    <w:p w14:paraId="22F0873C" w14:textId="77777777" w:rsidR="00821E2E" w:rsidRPr="002B67F6" w:rsidRDefault="00821E2E" w:rsidP="00821E2E">
      <w:pPr>
        <w:pStyle w:val="ListBullet2"/>
      </w:pPr>
      <w:r>
        <w:t xml:space="preserve">data collection </w:t>
      </w:r>
      <w:r w:rsidRPr="002B67F6">
        <w:t>protocols,</w:t>
      </w:r>
    </w:p>
    <w:p w14:paraId="0080DBBF" w14:textId="77777777" w:rsidR="00821E2E" w:rsidRPr="002B67F6" w:rsidRDefault="00821E2E" w:rsidP="00821E2E">
      <w:pPr>
        <w:pStyle w:val="ListBullet2"/>
      </w:pPr>
      <w:r w:rsidRPr="002B67F6">
        <w:t>training materials</w:t>
      </w:r>
      <w:r>
        <w:t xml:space="preserve"> and webinar</w:t>
      </w:r>
      <w:r w:rsidRPr="002B67F6">
        <w:t>,</w:t>
      </w:r>
    </w:p>
    <w:p w14:paraId="6A7AE4C8" w14:textId="77777777" w:rsidR="00821E2E" w:rsidRDefault="00821E2E" w:rsidP="00821E2E">
      <w:pPr>
        <w:pStyle w:val="ListBullet2"/>
      </w:pPr>
      <w:r>
        <w:t>Question-by-Question (</w:t>
      </w:r>
      <w:proofErr w:type="spellStart"/>
      <w:r>
        <w:t>QxQs</w:t>
      </w:r>
      <w:proofErr w:type="spellEnd"/>
      <w:r>
        <w:t xml:space="preserve">), and </w:t>
      </w:r>
    </w:p>
    <w:p w14:paraId="07A7C7EB" w14:textId="77777777" w:rsidR="00821E2E" w:rsidRDefault="00821E2E" w:rsidP="00821E2E">
      <w:pPr>
        <w:pStyle w:val="ListBullet2"/>
      </w:pPr>
      <w:r w:rsidRPr="002B67F6">
        <w:t>FAQs.</w:t>
      </w:r>
    </w:p>
    <w:p w14:paraId="4AAD3998" w14:textId="77777777" w:rsidR="00821E2E" w:rsidRDefault="00821E2E" w:rsidP="00821E2E">
      <w:pPr>
        <w:pStyle w:val="ListNumber"/>
        <w:numPr>
          <w:ilvl w:val="0"/>
          <w:numId w:val="1"/>
        </w:numPr>
      </w:pPr>
      <w:r w:rsidRPr="00AF41AB">
        <w:rPr>
          <w:i/>
          <w:iCs/>
        </w:rPr>
        <w:t>Contact Us</w:t>
      </w:r>
      <w:r w:rsidRPr="002B67F6">
        <w:t>.</w:t>
      </w:r>
      <w:r>
        <w:t xml:space="preserve"> Respondents</w:t>
      </w:r>
      <w:r w:rsidRPr="002B67F6">
        <w:t xml:space="preserve"> may request assistance either by calling a provided toll-free number or sending an email request, as desired. </w:t>
      </w:r>
      <w:r w:rsidRPr="00ED6DBE">
        <w:t xml:space="preserve">The toll-free line will be routed to an </w:t>
      </w:r>
      <w:r w:rsidRPr="00932BF7">
        <w:t xml:space="preserve">email system </w:t>
      </w:r>
      <w:r w:rsidRPr="00ED6DBE">
        <w:t>that is checked regularly by members of the training and technical assistance team.</w:t>
      </w:r>
      <w:r w:rsidRPr="002B67F6">
        <w:t xml:space="preserve"> </w:t>
      </w:r>
      <w:r w:rsidRPr="00ED6DBE">
        <w:t>Staff responding to technical assistance</w:t>
      </w:r>
      <w:r w:rsidRPr="00ED6DBE" w:rsidDel="008716FE">
        <w:t xml:space="preserve"> </w:t>
      </w:r>
      <w:r w:rsidRPr="00ED6DBE">
        <w:t>requests</w:t>
      </w:r>
      <w:r w:rsidRPr="002B67F6">
        <w:t xml:space="preserve"> will be trained in use of the system and have ready access to the full </w:t>
      </w:r>
      <w:r>
        <w:t>support system</w:t>
      </w:r>
      <w:r w:rsidRPr="002B67F6">
        <w:t>.</w:t>
      </w:r>
      <w:r>
        <w:t xml:space="preserve"> </w:t>
      </w:r>
      <w:r w:rsidRPr="00676D6E">
        <w:t>Training and technical assistance</w:t>
      </w:r>
      <w:r w:rsidRPr="00676D6E" w:rsidDel="008716FE">
        <w:t xml:space="preserve"> </w:t>
      </w:r>
      <w:r w:rsidRPr="00676D6E">
        <w:t>team staff will monitor all submitted tickets to ensure timely response and resolution of technical assistance</w:t>
      </w:r>
      <w:r w:rsidRPr="00676D6E" w:rsidDel="008716FE">
        <w:t xml:space="preserve"> </w:t>
      </w:r>
      <w:r w:rsidRPr="00676D6E">
        <w:t>requests.</w:t>
      </w:r>
    </w:p>
    <w:p w14:paraId="72875109" w14:textId="77777777" w:rsidR="00821E2E" w:rsidRPr="00E96645" w:rsidRDefault="00821E2E" w:rsidP="00821E2E">
      <w:pPr>
        <w:pStyle w:val="Heading5"/>
        <w:rPr>
          <w:i/>
          <w:iCs/>
          <w:u w:val="none"/>
        </w:rPr>
      </w:pPr>
      <w:r w:rsidRPr="00E96645">
        <w:rPr>
          <w:i/>
          <w:iCs/>
          <w:u w:val="none"/>
        </w:rPr>
        <w:t>Grantee Telephone Interviews</w:t>
      </w:r>
    </w:p>
    <w:p w14:paraId="4C3CB7C9" w14:textId="77777777" w:rsidR="00821E2E" w:rsidRDefault="00821E2E" w:rsidP="00821E2E">
      <w:r>
        <w:t xml:space="preserve">Respondents to the various telephone interviews will be contacted by the NITT-NT evaluation via email with telephone follow-up to setup a mutually convenient time for the interview during regularly scheduled business hours. Before conducting the </w:t>
      </w:r>
      <w:r w:rsidRPr="00EA118C">
        <w:t>telephone interviews</w:t>
      </w:r>
      <w:r>
        <w:t xml:space="preserve">, the evaluation team will review grant applications </w:t>
      </w:r>
      <w:r w:rsidRPr="0020386A">
        <w:t>(submitted to SAMHSA by each grantee and given to the evaluation team by SAMHSA)</w:t>
      </w:r>
      <w:r>
        <w:t xml:space="preserve"> and other documents (e.g., grantee Year 1 planning documents, local evaluation plans, progress reports) that detail the characteristics of the program and abstract information relevant to the evaluation (e.g., project structure, interventions) so that liaison staff conducting the interviewers are familiar with the grantee. This </w:t>
      </w:r>
      <w:proofErr w:type="spellStart"/>
      <w:r w:rsidRPr="0042394C">
        <w:t>preabstracted</w:t>
      </w:r>
      <w:proofErr w:type="spellEnd"/>
      <w:r>
        <w:t xml:space="preserve"> information will be used to prepopulate some interview questions to reduce respondent burden. For instance, a list of the grantee’s learning laboratories and client base will be prepopulated and confirmed or updated with the respondent, as opposed to asking the respondent to generate the list while on the telephone. </w:t>
      </w:r>
    </w:p>
    <w:p w14:paraId="50637B0D" w14:textId="77777777" w:rsidR="00821E2E" w:rsidRDefault="00821E2E" w:rsidP="00821E2E">
      <w:r>
        <w:t xml:space="preserve">Once the interview is scheduled, the contractor will provide the participant with </w:t>
      </w:r>
      <w:r w:rsidRPr="00B24850">
        <w:t>a</w:t>
      </w:r>
      <w:r>
        <w:t>n electronic</w:t>
      </w:r>
      <w:r w:rsidRPr="00B24850">
        <w:t xml:space="preserve"> </w:t>
      </w:r>
      <w:r>
        <w:t>version</w:t>
      </w:r>
      <w:r w:rsidRPr="00B24850">
        <w:t xml:space="preserve"> of the </w:t>
      </w:r>
      <w:r>
        <w:t xml:space="preserve">consent form and </w:t>
      </w:r>
      <w:r w:rsidRPr="00B24850">
        <w:t xml:space="preserve">the </w:t>
      </w:r>
      <w:r w:rsidRPr="00D3233B">
        <w:t xml:space="preserve">partially prepopulated </w:t>
      </w:r>
      <w:r w:rsidRPr="00EA118C">
        <w:t>interview guide</w:t>
      </w:r>
      <w:r>
        <w:t xml:space="preserve"> and</w:t>
      </w:r>
      <w:r w:rsidRPr="00B24850">
        <w:t xml:space="preserve"> </w:t>
      </w:r>
      <w:r>
        <w:t xml:space="preserve">a toll-free, passcode-protected telephone conference number. Before beginning the telephone </w:t>
      </w:r>
      <w:r w:rsidRPr="00B05BDD">
        <w:t>interview</w:t>
      </w:r>
      <w:r>
        <w:rPr>
          <w:i/>
          <w:iCs/>
        </w:rPr>
        <w:t>,</w:t>
      </w:r>
      <w:r>
        <w:t xml:space="preserve"> consent will be requested to record the interview to confirm, if needed, the accuracy of noted responses. A senior evaluator from the contractor’s evaluation team will lead the respondent through the interview while a junior evaluator will record responses and take notes. After the interview, the interviewer and note taker will review the responses for accuracy. Any areas of discrepancy will be validated with the recording (if consented by the respondent); once the responses are considered final, the recording will be deleted. An electronic version of the </w:t>
      </w:r>
      <w:r w:rsidRPr="00B05BDD">
        <w:t>telephone interview</w:t>
      </w:r>
      <w:r>
        <w:t xml:space="preserve"> will be maintained on a password protected, secure server accessible only to the contractor’s evaluation team. After the interview, the interviewer will send an email thanking the respondent for his or her participation.</w:t>
      </w:r>
    </w:p>
    <w:p w14:paraId="1374842E" w14:textId="77777777" w:rsidR="00821E2E" w:rsidRDefault="00821E2E" w:rsidP="00821E2E">
      <w:r>
        <w:t>This procedure will be followed for the follow-up data collection instruments as well.</w:t>
      </w:r>
    </w:p>
    <w:p w14:paraId="77FFA61C" w14:textId="77777777" w:rsidR="00821E2E" w:rsidRDefault="00821E2E" w:rsidP="00821E2E">
      <w:r>
        <w:t xml:space="preserve">A procedures manual will be developed for the administration of the </w:t>
      </w:r>
      <w:r w:rsidRPr="00B05BDD">
        <w:t xml:space="preserve">telephone interviews </w:t>
      </w:r>
      <w:r>
        <w:t xml:space="preserve">and training will be provided to all interviewers and </w:t>
      </w:r>
      <w:proofErr w:type="spellStart"/>
      <w:r>
        <w:t>notetakers</w:t>
      </w:r>
      <w:proofErr w:type="spellEnd"/>
      <w:r>
        <w:t xml:space="preserve"> to walk through interview procedures and questions. </w:t>
      </w:r>
    </w:p>
    <w:p w14:paraId="2594725D" w14:textId="77777777" w:rsidR="00821E2E" w:rsidRPr="00AD0570" w:rsidRDefault="00821E2E" w:rsidP="00821E2E">
      <w:pPr>
        <w:rPr>
          <w:i/>
          <w:iCs/>
        </w:rPr>
      </w:pPr>
      <w:r w:rsidRPr="00AD0570">
        <w:rPr>
          <w:i/>
          <w:iCs/>
        </w:rPr>
        <w:t xml:space="preserve">Supplemental </w:t>
      </w:r>
      <w:r>
        <w:rPr>
          <w:i/>
          <w:iCs/>
        </w:rPr>
        <w:t xml:space="preserve">Youth &amp; </w:t>
      </w:r>
      <w:r w:rsidRPr="00AD0570">
        <w:rPr>
          <w:i/>
          <w:iCs/>
        </w:rPr>
        <w:t>Young Adult Interview (SYAI)</w:t>
      </w:r>
    </w:p>
    <w:p w14:paraId="4AF42CBB" w14:textId="77777777" w:rsidR="00821E2E" w:rsidRDefault="00821E2E" w:rsidP="00821E2E">
      <w:r w:rsidRPr="002473A6">
        <w:t xml:space="preserve">The </w:t>
      </w:r>
      <w:r w:rsidRPr="00563D09">
        <w:rPr>
          <w:i/>
        </w:rPr>
        <w:t>SYAI</w:t>
      </w:r>
      <w:r w:rsidRPr="002473A6">
        <w:t xml:space="preserve"> will </w:t>
      </w:r>
      <w:r>
        <w:t xml:space="preserve">be </w:t>
      </w:r>
      <w:r w:rsidRPr="002473A6">
        <w:t xml:space="preserve">self-administered by the participant </w:t>
      </w:r>
      <w:r>
        <w:t xml:space="preserve">at three time periods – </w:t>
      </w:r>
      <w:r w:rsidRPr="002473A6">
        <w:t xml:space="preserve">baseline, </w:t>
      </w:r>
      <w:r>
        <w:t xml:space="preserve">and </w:t>
      </w:r>
      <w:r w:rsidRPr="002473A6">
        <w:t>12- and 24-month follow-up</w:t>
      </w:r>
      <w:r>
        <w:t xml:space="preserve">. </w:t>
      </w:r>
      <w:r w:rsidRPr="002473A6">
        <w:t xml:space="preserve">All three interviews will be conducted via web-based programs with audio capabilities on </w:t>
      </w:r>
      <w:r>
        <w:t>tablet</w:t>
      </w:r>
      <w:r w:rsidRPr="002473A6">
        <w:t xml:space="preserve"> computers and headphones provided to sites by the evaluation team. The self-administered web-based administration with audio capabilities is designed to protect client privacy, reduce discomfort and burden, and ensure that the data are of the highest quality. </w:t>
      </w:r>
      <w:r>
        <w:t xml:space="preserve">The </w:t>
      </w:r>
      <w:r w:rsidRPr="00AD0570">
        <w:rPr>
          <w:i/>
        </w:rPr>
        <w:t>SYAI</w:t>
      </w:r>
      <w:r>
        <w:t xml:space="preserve"> will </w:t>
      </w:r>
      <w:r w:rsidRPr="00AE36F0">
        <w:t xml:space="preserve">not to begin until a learning laboratory has been </w:t>
      </w:r>
      <w:r w:rsidRPr="0029720A">
        <w:t>actively serving clients for at least 6 months</w:t>
      </w:r>
      <w:r w:rsidRPr="00AE36F0">
        <w:t xml:space="preserve"> and served at least 15 youth/young adults.</w:t>
      </w:r>
    </w:p>
    <w:p w14:paraId="1464DEB3" w14:textId="77777777" w:rsidR="00821E2E" w:rsidRDefault="00821E2E" w:rsidP="00821E2E">
      <w:r>
        <w:t>The supple</w:t>
      </w:r>
      <w:r w:rsidRPr="002473A6">
        <w:t xml:space="preserve">mental interview will be administered at baseline by grantees in conjunction with the baseline </w:t>
      </w:r>
      <w:r>
        <w:t>DCI</w:t>
      </w:r>
      <w:r w:rsidRPr="002473A6">
        <w:t xml:space="preserve"> interviews</w:t>
      </w:r>
      <w:r>
        <w:t xml:space="preserve"> to youth/young </w:t>
      </w:r>
      <w:proofErr w:type="gramStart"/>
      <w:r>
        <w:t>adults</w:t>
      </w:r>
      <w:proofErr w:type="gramEnd"/>
      <w:r>
        <w:t xml:space="preserve"> </w:t>
      </w:r>
      <w:r w:rsidRPr="002473A6">
        <w:t>ages 16</w:t>
      </w:r>
      <w:r>
        <w:t>–</w:t>
      </w:r>
      <w:r w:rsidRPr="002473A6">
        <w:t>25 years. The 12- and 24-</w:t>
      </w:r>
      <w:r>
        <w:t>m</w:t>
      </w:r>
      <w:r w:rsidRPr="002473A6">
        <w:t xml:space="preserve">onth </w:t>
      </w:r>
      <w:r>
        <w:t>f</w:t>
      </w:r>
      <w:r w:rsidRPr="002473A6">
        <w:t xml:space="preserve">ollow-up interviews will also be made available to complete on </w:t>
      </w:r>
      <w:r>
        <w:t>tablets</w:t>
      </w:r>
      <w:r w:rsidRPr="002473A6">
        <w:t xml:space="preserve"> at the grantee sites</w:t>
      </w:r>
      <w:r>
        <w:t>. P</w:t>
      </w:r>
      <w:r w:rsidRPr="002473A6">
        <w:t xml:space="preserve">articipants can complete the follow-up web-based survey on </w:t>
      </w:r>
      <w:r>
        <w:t>a</w:t>
      </w:r>
      <w:r w:rsidRPr="002473A6">
        <w:t xml:space="preserve"> </w:t>
      </w:r>
      <w:r>
        <w:t>personal</w:t>
      </w:r>
      <w:r w:rsidRPr="002473A6">
        <w:t xml:space="preserve"> computer</w:t>
      </w:r>
      <w:r>
        <w:t xml:space="preserve">, via telephone with an interviewer trained to conduct interviews with youth/young adults, or </w:t>
      </w:r>
      <w:r w:rsidRPr="002473A6">
        <w:t xml:space="preserve">on </w:t>
      </w:r>
      <w:r>
        <w:t>the designated NITT-HT tablet</w:t>
      </w:r>
      <w:r w:rsidRPr="002473A6">
        <w:t xml:space="preserve"> at the </w:t>
      </w:r>
      <w:r>
        <w:t>learning laboratory</w:t>
      </w:r>
      <w:r w:rsidRPr="002473A6">
        <w:t>.</w:t>
      </w:r>
      <w:r>
        <w:t xml:space="preserve"> </w:t>
      </w:r>
    </w:p>
    <w:p w14:paraId="7CC0278E" w14:textId="77777777" w:rsidR="00821E2E" w:rsidRDefault="00821E2E" w:rsidP="00821E2E">
      <w:r>
        <w:t xml:space="preserve">To begin the </w:t>
      </w:r>
      <w:r>
        <w:rPr>
          <w:i/>
        </w:rPr>
        <w:t>SYAI</w:t>
      </w:r>
      <w:r w:rsidRPr="00F52312">
        <w:rPr>
          <w:i/>
        </w:rPr>
        <w:t xml:space="preserve"> </w:t>
      </w:r>
      <w:r>
        <w:rPr>
          <w:i/>
        </w:rPr>
        <w:t>b</w:t>
      </w:r>
      <w:r w:rsidRPr="00F52312">
        <w:rPr>
          <w:i/>
        </w:rPr>
        <w:t>aseline</w:t>
      </w:r>
      <w:r>
        <w:t>, the learning laboratory selected staff will provide the client with a brief introduction to the interview and ask the client if they will agree to hear more. If the client agrees to proceed, the staff will read the informed consent for the client interview aloud to the client, answer any</w:t>
      </w:r>
      <w:r w:rsidRPr="005C4952">
        <w:t xml:space="preserve"> questions and </w:t>
      </w:r>
      <w:r>
        <w:t>ask if</w:t>
      </w:r>
      <w:r w:rsidRPr="005C4952">
        <w:t xml:space="preserve"> </w:t>
      </w:r>
      <w:r>
        <w:t>the client</w:t>
      </w:r>
      <w:r w:rsidRPr="005C4952">
        <w:t xml:space="preserve"> under</w:t>
      </w:r>
      <w:r>
        <w:t xml:space="preserve">stands and agree to its contents, the staff will instruct the </w:t>
      </w:r>
      <w:r w:rsidRPr="000F711C">
        <w:t>participant</w:t>
      </w:r>
      <w:r>
        <w:t xml:space="preserve"> client</w:t>
      </w:r>
      <w:r w:rsidRPr="000F711C">
        <w:t xml:space="preserve"> </w:t>
      </w:r>
      <w:r>
        <w:t xml:space="preserve">to click the consent button on the consent page of the web-based program to acknowledge review and submit </w:t>
      </w:r>
      <w:r w:rsidRPr="000F711C">
        <w:t>consent</w:t>
      </w:r>
      <w:r>
        <w:t xml:space="preserve">. </w:t>
      </w:r>
      <w:r w:rsidRPr="000F711C">
        <w:t xml:space="preserve">A participant cannot </w:t>
      </w:r>
      <w:r>
        <w:t>complete the web-based</w:t>
      </w:r>
      <w:r w:rsidRPr="000F711C">
        <w:t xml:space="preserve"> </w:t>
      </w:r>
      <w:r>
        <w:t xml:space="preserve">instrument </w:t>
      </w:r>
      <w:r w:rsidRPr="000F711C">
        <w:t xml:space="preserve">until </w:t>
      </w:r>
      <w:r>
        <w:t>they have submitted</w:t>
      </w:r>
      <w:r w:rsidRPr="000F711C">
        <w:t xml:space="preserve"> consent</w:t>
      </w:r>
      <w:r>
        <w:t xml:space="preserve">. The participant will then be given the consent information page for their records. Participants will also be required to submit consent at both the 12- and 24-month follow-up interviews, whether conducted via web-based or telephone interviews. </w:t>
      </w:r>
    </w:p>
    <w:p w14:paraId="72BA6B11" w14:textId="5BD7F1BE" w:rsidR="00821E2E" w:rsidRDefault="00821E2E" w:rsidP="00821E2E">
      <w:r>
        <w:t>To increase response rates, a</w:t>
      </w:r>
      <w:r w:rsidRPr="00016AF8">
        <w:t xml:space="preserve">ll clients who agree to participate in the </w:t>
      </w:r>
      <w:r w:rsidRPr="001C28BB">
        <w:rPr>
          <w:i/>
        </w:rPr>
        <w:t>SYAI</w:t>
      </w:r>
      <w:r>
        <w:t xml:space="preserve"> at baseline</w:t>
      </w:r>
      <w:r w:rsidRPr="00016AF8">
        <w:t xml:space="preserve"> will receive a </w:t>
      </w:r>
      <w:r w:rsidR="000C2197">
        <w:t>gift card respondent payment</w:t>
      </w:r>
      <w:r w:rsidRPr="00016AF8">
        <w:t xml:space="preserve"> worth a </w:t>
      </w:r>
      <w:r w:rsidRPr="00902A8A">
        <w:t>$20</w:t>
      </w:r>
      <w:r w:rsidRPr="00016AF8">
        <w:t xml:space="preserve"> value. </w:t>
      </w:r>
      <w:r>
        <w:t>Clients who agree to participate in the 12- and 24-month follow-up</w:t>
      </w:r>
      <w:r w:rsidRPr="00016AF8">
        <w:t xml:space="preserve"> will receive a </w:t>
      </w:r>
      <w:r w:rsidR="000C2197">
        <w:t>gift card respondent payment</w:t>
      </w:r>
      <w:r w:rsidRPr="00016AF8">
        <w:t xml:space="preserve"> worth a </w:t>
      </w:r>
      <w:r w:rsidRPr="00902A8A">
        <w:t>$25</w:t>
      </w:r>
      <w:r w:rsidRPr="00016AF8">
        <w:t xml:space="preserve"> value.</w:t>
      </w:r>
    </w:p>
    <w:p w14:paraId="74AA6E5F" w14:textId="77777777" w:rsidR="00821E2E" w:rsidRPr="00E96645" w:rsidRDefault="00821E2E" w:rsidP="00821E2E">
      <w:pPr>
        <w:pStyle w:val="Heading5"/>
        <w:rPr>
          <w:i/>
          <w:iCs/>
          <w:u w:val="none"/>
        </w:rPr>
      </w:pPr>
      <w:r>
        <w:rPr>
          <w:i/>
          <w:iCs/>
          <w:u w:val="none"/>
        </w:rPr>
        <w:t>Focus Groups</w:t>
      </w:r>
    </w:p>
    <w:p w14:paraId="495934D0" w14:textId="45A2773F" w:rsidR="00821E2E" w:rsidRDefault="00821E2E" w:rsidP="00821E2E">
      <w:r>
        <w:t xml:space="preserve">Prior to beginning a focus group discussion, the participants, including both youth/young adults and family/adult allies, will be read and provided a copy of the focus group consent form that informs participants of their rights, including the right to not answer any question or participate in any discussion, and asks for their written consent to participate in the discussion and for the discussion to be recorded. If a participant does not provide written consent to participate then that individual will be excused from the group and provided with the </w:t>
      </w:r>
      <w:r w:rsidR="000C2197">
        <w:t>respondent payment</w:t>
      </w:r>
      <w:r>
        <w:t xml:space="preserve"> in appreciation for their time. Consent will have to be provided by parents or guardians for any youth participants under the age of 18 years. Youth will then need to provide their assent for participation in the focus group. Participants will also be asked to complete the </w:t>
      </w:r>
      <w:r w:rsidRPr="00170126">
        <w:rPr>
          <w:i/>
          <w:iCs/>
        </w:rPr>
        <w:t>Focus Group Participant Information Form</w:t>
      </w:r>
      <w:r>
        <w:t xml:space="preserve"> at the conclusion of the focus group. The form will include basic background information for analysis purposes only (e.g., demographics, extent of experience with the mental health system and grantee community). Recordings will be used to ensure that information is correctly captured from multiple focus groups, that information has been consistently captured and to correct and clarify brief written notes as needed and part of data quality assurance process. Recordings will only be accessible to the contractor and will be stored on password-protected secure servers and destroyed once de-identified notes are completed. Information collected by the site visit interviews is only reported in aggregate and individual respondents will not be identified. </w:t>
      </w:r>
    </w:p>
    <w:p w14:paraId="7E4BE49A" w14:textId="77777777" w:rsidR="00821E2E" w:rsidRPr="00E96645" w:rsidRDefault="00821E2E" w:rsidP="00821E2E">
      <w:pPr>
        <w:pStyle w:val="Heading5"/>
        <w:rPr>
          <w:i/>
          <w:iCs/>
          <w:u w:val="none"/>
        </w:rPr>
      </w:pPr>
      <w:r w:rsidRPr="00E96645">
        <w:rPr>
          <w:i/>
          <w:iCs/>
          <w:u w:val="none"/>
        </w:rPr>
        <w:t xml:space="preserve">Grantee </w:t>
      </w:r>
      <w:r>
        <w:rPr>
          <w:i/>
          <w:iCs/>
          <w:u w:val="none"/>
        </w:rPr>
        <w:t>Site Visit</w:t>
      </w:r>
    </w:p>
    <w:p w14:paraId="408DEE5E" w14:textId="77777777" w:rsidR="00821E2E" w:rsidRDefault="00821E2E" w:rsidP="00821E2E">
      <w:r>
        <w:t xml:space="preserve">Prior to beginning a site visit discussion, the respondent(s), including both project staff and key informant/stakeholder, will be read and provided a copy of the site visit consent form that informs participants of their rights, including the right to not answer any question, and asks for their written consent to participate in the discussion and for the discussion to be recorded. Recordings will be used to ensure that information is correctly captured from multiple interviews, that information has been consistently captured and to correct and clarify brief written notes as needed and part of data quality assurance process. Recordings will only be accessible to the contractor and will be stored on password-protected secure servers and destroyed once de-identified notes are completed. Information collected by the site visit interviews will be reported only in aggregate and individual respondents will not be identified. </w:t>
      </w:r>
    </w:p>
    <w:p w14:paraId="1FFE60E5" w14:textId="77777777" w:rsidR="00821E2E" w:rsidRDefault="00821E2E" w:rsidP="00821E2E">
      <w:pPr>
        <w:pStyle w:val="Heading2"/>
        <w:numPr>
          <w:ilvl w:val="0"/>
          <w:numId w:val="0"/>
        </w:numPr>
        <w:ind w:left="720" w:hanging="720"/>
      </w:pPr>
      <w:r>
        <w:t xml:space="preserve">B.3.     </w:t>
      </w:r>
      <w:r w:rsidRPr="001F42AB">
        <w:t>Methods to Maximize Response Rates</w:t>
      </w:r>
    </w:p>
    <w:p w14:paraId="7CD7F55F" w14:textId="77777777" w:rsidR="00821E2E" w:rsidRDefault="00821E2E" w:rsidP="00821E2E">
      <w:r>
        <w:t>Grantees are required to participate in all NITT-HT</w:t>
      </w:r>
      <w:r w:rsidRPr="00D41DC6">
        <w:t xml:space="preserve"> </w:t>
      </w:r>
      <w:r>
        <w:t>evaluation activities by the terms and conditions of the NITT-HT grant award. The NITT-HT</w:t>
      </w:r>
      <w:r w:rsidRPr="00D41DC6">
        <w:t xml:space="preserve"> </w:t>
      </w:r>
      <w:r>
        <w:t xml:space="preserve">evaluation team will employ a number of strategies to help ensure grantees and learning laboratories participate with a 100% response rate. </w:t>
      </w:r>
    </w:p>
    <w:p w14:paraId="03ED48F5" w14:textId="77777777" w:rsidR="00821E2E" w:rsidRPr="00691A98" w:rsidRDefault="00821E2E" w:rsidP="00821E2E">
      <w:pPr>
        <w:rPr>
          <w:i/>
        </w:rPr>
      </w:pPr>
      <w:r w:rsidRPr="00691A98">
        <w:rPr>
          <w:i/>
        </w:rPr>
        <w:t>Web-based Surveys</w:t>
      </w:r>
    </w:p>
    <w:p w14:paraId="411493D4" w14:textId="77777777" w:rsidR="00821E2E" w:rsidRDefault="00821E2E" w:rsidP="00821E2E">
      <w:r>
        <w:t>As described above, the NITT-HT</w:t>
      </w:r>
      <w:r w:rsidRPr="00D41DC6">
        <w:t xml:space="preserve"> </w:t>
      </w:r>
      <w:r>
        <w:t xml:space="preserve">evaluation will develop user manuals for accessing and navigating the online data collection systems and question-by-question and FAQ guides to help respondents accurately complete the </w:t>
      </w:r>
      <w:r w:rsidRPr="000A5E6C">
        <w:t>instruments</w:t>
      </w:r>
      <w:r>
        <w:t>. Grantees will also be provided training webinars to introduce the NITT-HT</w:t>
      </w:r>
      <w:r w:rsidRPr="00D41DC6">
        <w:t xml:space="preserve"> </w:t>
      </w:r>
      <w:r>
        <w:t xml:space="preserve">evaluation, walk through the online data collection systems, and review data collection procedures and </w:t>
      </w:r>
      <w:r w:rsidRPr="00B31658">
        <w:t>instruments</w:t>
      </w:r>
      <w:r>
        <w:t>. W</w:t>
      </w:r>
      <w:r w:rsidRPr="00997512">
        <w:t>ithin the online data collection system</w:t>
      </w:r>
      <w:r>
        <w:t>,</w:t>
      </w:r>
      <w:r w:rsidRPr="00997512">
        <w:t xml:space="preserve"> </w:t>
      </w:r>
      <w:r>
        <w:t xml:space="preserve">all manuals, guides, and training webinars will be archived and accessible to respondents for reference at any time. </w:t>
      </w:r>
    </w:p>
    <w:p w14:paraId="4D780807" w14:textId="77777777" w:rsidR="00821E2E" w:rsidRDefault="00821E2E" w:rsidP="00821E2E">
      <w:r>
        <w:t xml:space="preserve">For online web-based surveys, grantees and learning laboratories will be sent automated, predefined emails to remind them of completion deadlines. Specifically, the following reminder schedule will be followed:  </w:t>
      </w:r>
    </w:p>
    <w:p w14:paraId="10D8D07C" w14:textId="77777777" w:rsidR="00821E2E" w:rsidRPr="000A0235" w:rsidRDefault="00821E2E" w:rsidP="00821E2E">
      <w:pPr>
        <w:numPr>
          <w:ilvl w:val="0"/>
          <w:numId w:val="10"/>
        </w:numPr>
        <w:rPr>
          <w:b/>
          <w:bCs/>
        </w:rPr>
      </w:pPr>
      <w:r w:rsidRPr="000A0235">
        <w:rPr>
          <w:b/>
          <w:bCs/>
        </w:rPr>
        <w:t>Start of Data Collection:</w:t>
      </w:r>
      <w:r>
        <w:t xml:space="preserve"> At the start of data collection when the web-based survey is available for the participant to complete, grantees and learning laboratory staff previously nominated will be sent automated emails to inform them that they were nominated by the project director to complete the survey and of the start of data collection. Emails will include a link to the survey as well as login and password the participant will need to access the survey. </w:t>
      </w:r>
    </w:p>
    <w:p w14:paraId="68C2D3A6" w14:textId="77777777" w:rsidR="00821E2E" w:rsidRPr="006E4012" w:rsidRDefault="00821E2E" w:rsidP="00821E2E">
      <w:pPr>
        <w:numPr>
          <w:ilvl w:val="0"/>
          <w:numId w:val="10"/>
        </w:numPr>
        <w:rPr>
          <w:b/>
          <w:bCs/>
        </w:rPr>
      </w:pPr>
      <w:r>
        <w:rPr>
          <w:b/>
          <w:bCs/>
        </w:rPr>
        <w:t xml:space="preserve">At Survey Completion: </w:t>
      </w:r>
      <w:r w:rsidRPr="00153893">
        <w:t xml:space="preserve">The data submission system will automatically send </w:t>
      </w:r>
      <w:r>
        <w:t>a “Thank You”</w:t>
      </w:r>
      <w:r w:rsidRPr="00153893">
        <w:t xml:space="preserve"> email </w:t>
      </w:r>
      <w:r>
        <w:t>when respondents complete the survey.</w:t>
      </w:r>
    </w:p>
    <w:p w14:paraId="153E86C3" w14:textId="77777777" w:rsidR="00821E2E" w:rsidRDefault="00821E2E" w:rsidP="00821E2E">
      <w:pPr>
        <w:numPr>
          <w:ilvl w:val="0"/>
          <w:numId w:val="10"/>
        </w:numPr>
      </w:pPr>
      <w:r>
        <w:rPr>
          <w:b/>
        </w:rPr>
        <w:t>Weekly</w:t>
      </w:r>
      <w:r w:rsidRPr="00153893">
        <w:rPr>
          <w:b/>
        </w:rPr>
        <w:t xml:space="preserve"> </w:t>
      </w:r>
      <w:proofErr w:type="gramStart"/>
      <w:r w:rsidRPr="00153893">
        <w:rPr>
          <w:b/>
        </w:rPr>
        <w:t>After</w:t>
      </w:r>
      <w:proofErr w:type="gramEnd"/>
      <w:r w:rsidRPr="00153893">
        <w:rPr>
          <w:b/>
        </w:rPr>
        <w:t xml:space="preserve"> </w:t>
      </w:r>
      <w:r>
        <w:rPr>
          <w:b/>
        </w:rPr>
        <w:t xml:space="preserve">the Start of </w:t>
      </w:r>
      <w:r w:rsidRPr="00153893">
        <w:rPr>
          <w:b/>
        </w:rPr>
        <w:t>Data</w:t>
      </w:r>
      <w:r>
        <w:rPr>
          <w:b/>
        </w:rPr>
        <w:t xml:space="preserve"> Collection</w:t>
      </w:r>
      <w:r w:rsidRPr="00153893">
        <w:t xml:space="preserve">: The </w:t>
      </w:r>
      <w:r>
        <w:t>web-based</w:t>
      </w:r>
      <w:r w:rsidRPr="00153893">
        <w:t xml:space="preserve"> system will automatically send a</w:t>
      </w:r>
      <w:r>
        <w:t>n</w:t>
      </w:r>
      <w:r w:rsidRPr="00153893">
        <w:t xml:space="preserve"> email to </w:t>
      </w:r>
      <w:r>
        <w:t xml:space="preserve">participants who have not completed the survey reminding </w:t>
      </w:r>
      <w:r w:rsidRPr="00153893">
        <w:t>them that data</w:t>
      </w:r>
      <w:r>
        <w:t xml:space="preserve"> collection has started and asking them to complete the survey at their earliest convenience</w:t>
      </w:r>
      <w:r w:rsidRPr="00153893">
        <w:t>.</w:t>
      </w:r>
      <w:r>
        <w:t xml:space="preserve"> The email will include the evaluation toll-free number and email address should the participant have any questions or need to speak with the evaluation team liaison. </w:t>
      </w:r>
    </w:p>
    <w:p w14:paraId="1AC49932" w14:textId="77777777" w:rsidR="00821E2E" w:rsidRPr="000A4363" w:rsidRDefault="00821E2E" w:rsidP="00821E2E">
      <w:pPr>
        <w:numPr>
          <w:ilvl w:val="0"/>
          <w:numId w:val="10"/>
        </w:numPr>
        <w:rPr>
          <w:bCs/>
        </w:rPr>
      </w:pPr>
      <w:r>
        <w:rPr>
          <w:b/>
        </w:rPr>
        <w:t xml:space="preserve">One Week </w:t>
      </w:r>
      <w:proofErr w:type="gramStart"/>
      <w:r>
        <w:rPr>
          <w:b/>
        </w:rPr>
        <w:t>Before</w:t>
      </w:r>
      <w:proofErr w:type="gramEnd"/>
      <w:r>
        <w:rPr>
          <w:b/>
        </w:rPr>
        <w:t xml:space="preserve"> the Stated Data Collection Deadline: </w:t>
      </w:r>
      <w:r w:rsidRPr="000A4363">
        <w:rPr>
          <w:bCs/>
        </w:rPr>
        <w:t>The evaluation team</w:t>
      </w:r>
      <w:r>
        <w:rPr>
          <w:bCs/>
        </w:rPr>
        <w:t xml:space="preserve"> liaison will call the designated participant alerting them that the data collection deadline is approaching and offer any necessary assistance with completing the web-based survey. </w:t>
      </w:r>
    </w:p>
    <w:p w14:paraId="0335C90B" w14:textId="77777777" w:rsidR="00821E2E" w:rsidRPr="00153893" w:rsidRDefault="00821E2E" w:rsidP="00821E2E">
      <w:pPr>
        <w:numPr>
          <w:ilvl w:val="0"/>
          <w:numId w:val="10"/>
        </w:numPr>
      </w:pPr>
      <w:r w:rsidRPr="00153893">
        <w:rPr>
          <w:b/>
        </w:rPr>
        <w:t xml:space="preserve">Data </w:t>
      </w:r>
      <w:r>
        <w:rPr>
          <w:b/>
        </w:rPr>
        <w:t>Collection</w:t>
      </w:r>
      <w:r w:rsidRPr="00153893">
        <w:rPr>
          <w:b/>
        </w:rPr>
        <w:t xml:space="preserve"> Deadline: </w:t>
      </w:r>
      <w:r w:rsidRPr="00153893">
        <w:t xml:space="preserve">The </w:t>
      </w:r>
      <w:r>
        <w:t>web-based</w:t>
      </w:r>
      <w:r w:rsidRPr="00153893">
        <w:t xml:space="preserve"> system will automatically send a</w:t>
      </w:r>
      <w:r>
        <w:t>n</w:t>
      </w:r>
      <w:r w:rsidRPr="00153893">
        <w:t xml:space="preserve"> email to </w:t>
      </w:r>
      <w:proofErr w:type="spellStart"/>
      <w:r>
        <w:t>nonresponders</w:t>
      </w:r>
      <w:proofErr w:type="spellEnd"/>
      <w:r w:rsidRPr="00153893">
        <w:t xml:space="preserve"> and their</w:t>
      </w:r>
      <w:r>
        <w:t xml:space="preserve"> grantee </w:t>
      </w:r>
      <w:r w:rsidRPr="00153893">
        <w:t xml:space="preserve">alerting them that the data </w:t>
      </w:r>
      <w:r>
        <w:t>collection</w:t>
      </w:r>
      <w:r w:rsidRPr="00153893">
        <w:t xml:space="preserve"> deadline has passed. When a </w:t>
      </w:r>
      <w:proofErr w:type="spellStart"/>
      <w:r>
        <w:t>nonrespondents</w:t>
      </w:r>
      <w:proofErr w:type="spellEnd"/>
      <w:r w:rsidRPr="00153893">
        <w:t xml:space="preserve"> is a </w:t>
      </w:r>
      <w:r>
        <w:t>grantee</w:t>
      </w:r>
      <w:r w:rsidRPr="00153893">
        <w:t xml:space="preserve">, the </w:t>
      </w:r>
      <w:r>
        <w:t>SAMHSA Grantee Project Officers</w:t>
      </w:r>
      <w:r w:rsidRPr="00153893">
        <w:t xml:space="preserve"> </w:t>
      </w:r>
      <w:r>
        <w:t>(G</w:t>
      </w:r>
      <w:r w:rsidRPr="00D91D20">
        <w:t>POs</w:t>
      </w:r>
      <w:r>
        <w:t xml:space="preserve">) </w:t>
      </w:r>
      <w:r w:rsidRPr="00153893">
        <w:t>will also be notified.</w:t>
      </w:r>
    </w:p>
    <w:p w14:paraId="416E4F1D" w14:textId="77777777" w:rsidR="00821E2E" w:rsidRDefault="00821E2E" w:rsidP="00821E2E">
      <w:pPr>
        <w:numPr>
          <w:ilvl w:val="0"/>
          <w:numId w:val="10"/>
        </w:numPr>
      </w:pPr>
      <w:r>
        <w:rPr>
          <w:b/>
        </w:rPr>
        <w:t>Two Weeks</w:t>
      </w:r>
      <w:r w:rsidRPr="00153893">
        <w:t xml:space="preserve"> </w:t>
      </w:r>
      <w:proofErr w:type="gramStart"/>
      <w:r w:rsidRPr="00153893">
        <w:rPr>
          <w:b/>
        </w:rPr>
        <w:t>After</w:t>
      </w:r>
      <w:proofErr w:type="gramEnd"/>
      <w:r w:rsidRPr="00153893">
        <w:rPr>
          <w:b/>
        </w:rPr>
        <w:t xml:space="preserve"> </w:t>
      </w:r>
      <w:r>
        <w:rPr>
          <w:b/>
        </w:rPr>
        <w:t xml:space="preserve">Stated </w:t>
      </w:r>
      <w:r w:rsidRPr="00153893">
        <w:rPr>
          <w:b/>
        </w:rPr>
        <w:t xml:space="preserve">Data </w:t>
      </w:r>
      <w:r>
        <w:rPr>
          <w:b/>
        </w:rPr>
        <w:t>Collection</w:t>
      </w:r>
      <w:r w:rsidRPr="00153893">
        <w:rPr>
          <w:b/>
        </w:rPr>
        <w:t xml:space="preserve"> Deadline:</w:t>
      </w:r>
      <w:r w:rsidRPr="00153893">
        <w:t xml:space="preserve"> </w:t>
      </w:r>
      <w:r>
        <w:t>NITT-HT</w:t>
      </w:r>
      <w:r w:rsidRPr="00153893">
        <w:t xml:space="preserve"> will notify the </w:t>
      </w:r>
      <w:r>
        <w:t>G</w:t>
      </w:r>
      <w:r w:rsidRPr="00153893">
        <w:t>PO</w:t>
      </w:r>
      <w:r>
        <w:t>,</w:t>
      </w:r>
      <w:r w:rsidRPr="00153893">
        <w:t xml:space="preserve"> who will </w:t>
      </w:r>
      <w:r>
        <w:t xml:space="preserve">either email or </w:t>
      </w:r>
      <w:r w:rsidRPr="00153893">
        <w:t xml:space="preserve">request a telephone call with grantees </w:t>
      </w:r>
      <w:r>
        <w:t xml:space="preserve">(or with learning laboratories and their respective grantees) </w:t>
      </w:r>
      <w:r w:rsidRPr="00153893">
        <w:t xml:space="preserve">who have not </w:t>
      </w:r>
      <w:r>
        <w:t>completed their survey</w:t>
      </w:r>
      <w:r w:rsidRPr="00153893">
        <w:t xml:space="preserve"> </w:t>
      </w:r>
      <w:r>
        <w:t>two weeks</w:t>
      </w:r>
      <w:r w:rsidRPr="00153893">
        <w:t xml:space="preserve"> after the </w:t>
      </w:r>
      <w:r>
        <w:t xml:space="preserve">stated </w:t>
      </w:r>
      <w:r w:rsidRPr="00153893">
        <w:t>deadline.</w:t>
      </w:r>
      <w:r>
        <w:t xml:space="preserve"> </w:t>
      </w:r>
      <w:r w:rsidRPr="00153893">
        <w:t xml:space="preserve">Grantees will be expected to monitor their </w:t>
      </w:r>
      <w:r>
        <w:t xml:space="preserve">learning laboratories </w:t>
      </w:r>
      <w:r w:rsidRPr="00153893">
        <w:t>compliance</w:t>
      </w:r>
      <w:r>
        <w:t xml:space="preserve">. </w:t>
      </w:r>
    </w:p>
    <w:p w14:paraId="3FDDD425" w14:textId="77777777" w:rsidR="00821E2E" w:rsidRDefault="00821E2E" w:rsidP="00821E2E">
      <w:pPr>
        <w:rPr>
          <w:bCs/>
        </w:rPr>
      </w:pPr>
      <w:r>
        <w:rPr>
          <w:bCs/>
        </w:rPr>
        <w:t xml:space="preserve">For the following telephone or in-person interviews, the initial </w:t>
      </w:r>
      <w:r>
        <w:t xml:space="preserve">email invitations will provide a thorough explanation of the study and its importance, the reasons the participant is being asked to participate, and means by which they can contact the evaluation team for additional information, including a toll-free telephone number and project specific email. </w:t>
      </w:r>
    </w:p>
    <w:p w14:paraId="3C205A4C" w14:textId="77777777" w:rsidR="00821E2E" w:rsidRPr="000A0235" w:rsidRDefault="00821E2E" w:rsidP="00821E2E">
      <w:pPr>
        <w:rPr>
          <w:bCs/>
          <w:i/>
          <w:iCs/>
        </w:rPr>
      </w:pPr>
      <w:r w:rsidRPr="000A0235">
        <w:rPr>
          <w:bCs/>
          <w:i/>
          <w:iCs/>
        </w:rPr>
        <w:t>Telephone Interviews</w:t>
      </w:r>
    </w:p>
    <w:p w14:paraId="4034DAB2" w14:textId="77777777" w:rsidR="00821E2E" w:rsidRPr="0074646F" w:rsidRDefault="00821E2E" w:rsidP="00821E2E">
      <w:pPr>
        <w:pStyle w:val="ListParagraph"/>
        <w:numPr>
          <w:ilvl w:val="0"/>
          <w:numId w:val="15"/>
        </w:numPr>
        <w:rPr>
          <w:bCs/>
        </w:rPr>
      </w:pPr>
      <w:r w:rsidRPr="0074646F">
        <w:rPr>
          <w:bCs/>
        </w:rPr>
        <w:t xml:space="preserve">Project Director </w:t>
      </w:r>
      <w:r>
        <w:rPr>
          <w:bCs/>
        </w:rPr>
        <w:t>Telephone Interview</w:t>
      </w:r>
      <w:r w:rsidRPr="0074646F">
        <w:rPr>
          <w:bCs/>
        </w:rPr>
        <w:t xml:space="preserve"> </w:t>
      </w:r>
    </w:p>
    <w:p w14:paraId="46B6A446" w14:textId="77777777" w:rsidR="00821E2E" w:rsidRPr="009916D4" w:rsidRDefault="00821E2E" w:rsidP="00821E2E">
      <w:pPr>
        <w:pStyle w:val="ListParagraph"/>
        <w:numPr>
          <w:ilvl w:val="0"/>
          <w:numId w:val="15"/>
        </w:numPr>
        <w:spacing w:after="160" w:line="252" w:lineRule="auto"/>
      </w:pPr>
      <w:r w:rsidRPr="009916D4">
        <w:t xml:space="preserve">Services &amp; Supports Inventory </w:t>
      </w:r>
    </w:p>
    <w:p w14:paraId="67C8E173" w14:textId="77777777" w:rsidR="00821E2E" w:rsidRPr="000A0235" w:rsidRDefault="00821E2E" w:rsidP="00821E2E">
      <w:pPr>
        <w:rPr>
          <w:bCs/>
          <w:i/>
          <w:iCs/>
        </w:rPr>
      </w:pPr>
      <w:r w:rsidRPr="000A0235">
        <w:rPr>
          <w:bCs/>
          <w:i/>
          <w:iCs/>
        </w:rPr>
        <w:t>In-Person Interviews</w:t>
      </w:r>
      <w:r>
        <w:rPr>
          <w:bCs/>
          <w:i/>
          <w:iCs/>
        </w:rPr>
        <w:t xml:space="preserve"> </w:t>
      </w:r>
      <w:proofErr w:type="gramStart"/>
      <w:r>
        <w:rPr>
          <w:bCs/>
          <w:i/>
          <w:iCs/>
        </w:rPr>
        <w:t>During</w:t>
      </w:r>
      <w:proofErr w:type="gramEnd"/>
      <w:r>
        <w:rPr>
          <w:bCs/>
          <w:i/>
          <w:iCs/>
        </w:rPr>
        <w:t xml:space="preserve"> Site Visit</w:t>
      </w:r>
    </w:p>
    <w:p w14:paraId="1BBA0760" w14:textId="77777777" w:rsidR="00821E2E" w:rsidRPr="009916D4" w:rsidRDefault="00821E2E" w:rsidP="00821E2E">
      <w:pPr>
        <w:pStyle w:val="ListParagraph"/>
        <w:numPr>
          <w:ilvl w:val="0"/>
          <w:numId w:val="15"/>
        </w:numPr>
        <w:spacing w:after="160" w:line="252" w:lineRule="auto"/>
      </w:pPr>
      <w:r w:rsidRPr="009916D4">
        <w:t>Youth Coordinator</w:t>
      </w:r>
      <w:r>
        <w:t xml:space="preserve"> In-Person</w:t>
      </w:r>
      <w:r w:rsidRPr="009916D4">
        <w:t xml:space="preserve"> Interview</w:t>
      </w:r>
    </w:p>
    <w:p w14:paraId="4AB9B163" w14:textId="77777777" w:rsidR="00821E2E" w:rsidRPr="009916D4" w:rsidRDefault="00821E2E" w:rsidP="00821E2E">
      <w:pPr>
        <w:pStyle w:val="ListParagraph"/>
        <w:numPr>
          <w:ilvl w:val="0"/>
          <w:numId w:val="15"/>
        </w:numPr>
        <w:spacing w:after="160" w:line="252" w:lineRule="auto"/>
      </w:pPr>
      <w:r w:rsidRPr="009916D4">
        <w:t xml:space="preserve">Other Stakeholder </w:t>
      </w:r>
      <w:r>
        <w:t>In-Person</w:t>
      </w:r>
    </w:p>
    <w:p w14:paraId="50D6EFB1" w14:textId="77777777" w:rsidR="00821E2E" w:rsidRPr="009916D4" w:rsidRDefault="00821E2E" w:rsidP="00821E2E">
      <w:pPr>
        <w:pStyle w:val="ListParagraph"/>
        <w:numPr>
          <w:ilvl w:val="0"/>
          <w:numId w:val="15"/>
        </w:numPr>
        <w:spacing w:after="160" w:line="252" w:lineRule="auto"/>
      </w:pPr>
      <w:r w:rsidRPr="009916D4">
        <w:t>P</w:t>
      </w:r>
      <w:r>
        <w:t>rovider In-Person Interview</w:t>
      </w:r>
    </w:p>
    <w:p w14:paraId="60B63323" w14:textId="77777777" w:rsidR="00821E2E" w:rsidRPr="009916D4" w:rsidRDefault="00821E2E" w:rsidP="00821E2E">
      <w:pPr>
        <w:pStyle w:val="ListParagraph"/>
        <w:numPr>
          <w:ilvl w:val="0"/>
          <w:numId w:val="15"/>
        </w:numPr>
        <w:spacing w:after="160" w:line="252" w:lineRule="auto"/>
      </w:pPr>
      <w:r w:rsidRPr="009916D4">
        <w:t xml:space="preserve">Young Adult Focus Group </w:t>
      </w:r>
    </w:p>
    <w:p w14:paraId="48D4BDC0" w14:textId="77777777" w:rsidR="00821E2E" w:rsidRPr="009916D4" w:rsidRDefault="00821E2E" w:rsidP="00821E2E">
      <w:pPr>
        <w:pStyle w:val="ListParagraph"/>
        <w:numPr>
          <w:ilvl w:val="0"/>
          <w:numId w:val="15"/>
        </w:numPr>
        <w:spacing w:after="160" w:line="252" w:lineRule="auto"/>
      </w:pPr>
      <w:r w:rsidRPr="009916D4">
        <w:t xml:space="preserve">Family/Adult Ally Focus Group </w:t>
      </w:r>
    </w:p>
    <w:p w14:paraId="24804824" w14:textId="77777777" w:rsidR="00821E2E" w:rsidRDefault="00821E2E" w:rsidP="00821E2E">
      <w:pPr>
        <w:rPr>
          <w:bCs/>
        </w:rPr>
      </w:pPr>
    </w:p>
    <w:p w14:paraId="685C5B4D" w14:textId="77777777" w:rsidR="00821E2E" w:rsidRPr="0074646F" w:rsidRDefault="00821E2E" w:rsidP="00821E2E">
      <w:pPr>
        <w:rPr>
          <w:bCs/>
        </w:rPr>
      </w:pPr>
      <w:r>
        <w:t>T</w:t>
      </w:r>
      <w:r>
        <w:rPr>
          <w:bCs/>
        </w:rPr>
        <w:t>he evaluation team will aim to identify the most convenient time for the participant to complete the telephone or in-person interview</w:t>
      </w:r>
      <w:r>
        <w:rPr>
          <w:bCs/>
          <w:i/>
          <w:iCs/>
        </w:rPr>
        <w:t xml:space="preserve">. </w:t>
      </w:r>
      <w:r>
        <w:rPr>
          <w:bCs/>
        </w:rPr>
        <w:t xml:space="preserve">Before the interview, participants will also be provided the interview topics so they will be knowledgeable about the types of information to be collected. </w:t>
      </w:r>
      <w:proofErr w:type="spellStart"/>
      <w:r>
        <w:rPr>
          <w:bCs/>
        </w:rPr>
        <w:t>Nonresponders</w:t>
      </w:r>
      <w:proofErr w:type="spellEnd"/>
      <w:r>
        <w:rPr>
          <w:bCs/>
        </w:rPr>
        <w:t xml:space="preserve"> to the initial email invitation will be sent weekly follow-up reminder emails. If needed—although the evaluation team does not anticipate that it will be necessary—the follow-up reminder emails will include the grantee’s GPO.</w:t>
      </w:r>
    </w:p>
    <w:p w14:paraId="3A278B17" w14:textId="77777777" w:rsidR="00821E2E" w:rsidRPr="00F15FDD" w:rsidRDefault="00821E2E" w:rsidP="00821E2E">
      <w:pPr>
        <w:rPr>
          <w:i/>
          <w:iCs/>
        </w:rPr>
      </w:pPr>
      <w:r w:rsidRPr="00F15FDD">
        <w:rPr>
          <w:i/>
          <w:iCs/>
        </w:rPr>
        <w:t xml:space="preserve">Supplemental </w:t>
      </w:r>
      <w:r>
        <w:rPr>
          <w:i/>
          <w:iCs/>
        </w:rPr>
        <w:t xml:space="preserve">Youth &amp; </w:t>
      </w:r>
      <w:r w:rsidRPr="00F15FDD">
        <w:rPr>
          <w:i/>
          <w:iCs/>
        </w:rPr>
        <w:t>Young Adult Interview (SYAI)</w:t>
      </w:r>
    </w:p>
    <w:p w14:paraId="1A0FBD56" w14:textId="77777777" w:rsidR="00821E2E" w:rsidRDefault="00821E2E" w:rsidP="00821E2E">
      <w:r>
        <w:t xml:space="preserve">To maximize response rates and ease burden for the participating client, the </w:t>
      </w:r>
      <w:r w:rsidRPr="00F15FDD">
        <w:rPr>
          <w:i/>
          <w:iCs/>
        </w:rPr>
        <w:t>SYAI</w:t>
      </w:r>
      <w:r>
        <w:t xml:space="preserve"> will be completed at the same time as the CDP DCI, a data collection instrument that NITT-HT grantees are required to administer with each NITT-HT client, one completed immediately after the other. T</w:t>
      </w:r>
      <w:r w:rsidRPr="008C607D">
        <w:t xml:space="preserve">he process </w:t>
      </w:r>
      <w:r>
        <w:t>of implementing the SYAI maximizes response rates with a self-</w:t>
      </w:r>
      <w:r w:rsidRPr="008C607D">
        <w:t>administer</w:t>
      </w:r>
      <w:r>
        <w:t>ed web-based</w:t>
      </w:r>
      <w:r w:rsidRPr="008C607D">
        <w:t xml:space="preserve"> </w:t>
      </w:r>
      <w:r>
        <w:rPr>
          <w:i/>
          <w:iCs/>
        </w:rPr>
        <w:t>SYAI</w:t>
      </w:r>
      <w:r w:rsidRPr="00F52312">
        <w:rPr>
          <w:i/>
          <w:iCs/>
        </w:rPr>
        <w:t xml:space="preserve"> </w:t>
      </w:r>
      <w:r>
        <w:rPr>
          <w:i/>
          <w:iCs/>
        </w:rPr>
        <w:t>at b</w:t>
      </w:r>
      <w:r w:rsidRPr="00F52312">
        <w:rPr>
          <w:i/>
          <w:iCs/>
        </w:rPr>
        <w:t>aseline</w:t>
      </w:r>
      <w:r>
        <w:rPr>
          <w:i/>
          <w:iCs/>
        </w:rPr>
        <w:t>, 12- and 24-m</w:t>
      </w:r>
      <w:r w:rsidRPr="00F52312">
        <w:rPr>
          <w:i/>
          <w:iCs/>
        </w:rPr>
        <w:t xml:space="preserve">onth </w:t>
      </w:r>
      <w:r>
        <w:rPr>
          <w:i/>
          <w:iCs/>
        </w:rPr>
        <w:t>f</w:t>
      </w:r>
      <w:r w:rsidRPr="00F52312">
        <w:rPr>
          <w:i/>
          <w:iCs/>
        </w:rPr>
        <w:t>ollow-up</w:t>
      </w:r>
      <w:r w:rsidRPr="008C607D">
        <w:t xml:space="preserve"> </w:t>
      </w:r>
      <w:r>
        <w:t xml:space="preserve">on a tablet computer </w:t>
      </w:r>
      <w:r w:rsidRPr="00D312DC">
        <w:rPr>
          <w:bCs/>
          <w:iCs/>
        </w:rPr>
        <w:t xml:space="preserve">with audio capabilities </w:t>
      </w:r>
      <w:r>
        <w:rPr>
          <w:bCs/>
          <w:iCs/>
        </w:rPr>
        <w:t xml:space="preserve">on headphones </w:t>
      </w:r>
      <w:r w:rsidRPr="00D312DC">
        <w:rPr>
          <w:bCs/>
          <w:iCs/>
        </w:rPr>
        <w:t>is designed to protect client privacy, reduce discomfort and burden, and ensure that the data are of the highest quality.</w:t>
      </w:r>
      <w:r>
        <w:rPr>
          <w:bCs/>
          <w:iCs/>
        </w:rPr>
        <w:t xml:space="preserve"> </w:t>
      </w:r>
      <w:r>
        <w:t xml:space="preserve">Though the </w:t>
      </w:r>
      <w:r>
        <w:rPr>
          <w:i/>
          <w:iCs/>
        </w:rPr>
        <w:t>SYAI</w:t>
      </w:r>
      <w:r w:rsidRPr="00F52312">
        <w:rPr>
          <w:i/>
          <w:iCs/>
        </w:rPr>
        <w:t xml:space="preserve"> </w:t>
      </w:r>
      <w:r>
        <w:t xml:space="preserve">will be self-administered by the participating client, the contractor is asking the NITT-HT grantee </w:t>
      </w:r>
      <w:proofErr w:type="gramStart"/>
      <w:r>
        <w:t>learning</w:t>
      </w:r>
      <w:proofErr w:type="gramEnd"/>
      <w:r>
        <w:t xml:space="preserve"> laboratory staff to assist with administering the </w:t>
      </w:r>
      <w:r>
        <w:rPr>
          <w:i/>
          <w:iCs/>
        </w:rPr>
        <w:t>SYAI</w:t>
      </w:r>
      <w:r w:rsidRPr="00F52312">
        <w:rPr>
          <w:i/>
          <w:iCs/>
        </w:rPr>
        <w:t xml:space="preserve"> </w:t>
      </w:r>
      <w:r w:rsidRPr="00563D09">
        <w:t>at</w:t>
      </w:r>
      <w:r>
        <w:rPr>
          <w:i/>
          <w:iCs/>
        </w:rPr>
        <w:t xml:space="preserve"> b</w:t>
      </w:r>
      <w:r w:rsidRPr="00F52312">
        <w:rPr>
          <w:i/>
          <w:iCs/>
        </w:rPr>
        <w:t>aseline</w:t>
      </w:r>
      <w:r>
        <w:rPr>
          <w:i/>
          <w:iCs/>
        </w:rPr>
        <w:t xml:space="preserve"> </w:t>
      </w:r>
      <w:r w:rsidRPr="00C25AB2">
        <w:t>and</w:t>
      </w:r>
      <w:r>
        <w:t xml:space="preserve"> again at the </w:t>
      </w:r>
      <w:r>
        <w:rPr>
          <w:i/>
          <w:iCs/>
        </w:rPr>
        <w:t>12-</w:t>
      </w:r>
      <w:r>
        <w:t xml:space="preserve"> and </w:t>
      </w:r>
      <w:r>
        <w:rPr>
          <w:i/>
          <w:iCs/>
        </w:rPr>
        <w:t>24</w:t>
      </w:r>
      <w:r w:rsidRPr="00F52312">
        <w:rPr>
          <w:i/>
          <w:iCs/>
        </w:rPr>
        <w:t>-</w:t>
      </w:r>
      <w:r>
        <w:rPr>
          <w:i/>
          <w:iCs/>
        </w:rPr>
        <w:t>m</w:t>
      </w:r>
      <w:r w:rsidRPr="00F52312">
        <w:rPr>
          <w:i/>
          <w:iCs/>
        </w:rPr>
        <w:t xml:space="preserve">onth </w:t>
      </w:r>
      <w:r>
        <w:rPr>
          <w:i/>
          <w:iCs/>
        </w:rPr>
        <w:t>f</w:t>
      </w:r>
      <w:r w:rsidRPr="00F52312">
        <w:rPr>
          <w:i/>
          <w:iCs/>
        </w:rPr>
        <w:t>ollow-up</w:t>
      </w:r>
      <w:r>
        <w:t xml:space="preserve"> if the client prefers to complete the interview on the designated NITT-HT evaluation tablet. Initially </w:t>
      </w:r>
      <w:r w:rsidRPr="002473A6">
        <w:t xml:space="preserve">it </w:t>
      </w:r>
      <w:r>
        <w:t xml:space="preserve">will be </w:t>
      </w:r>
      <w:r w:rsidRPr="002473A6">
        <w:t>important to have someone familiar with the youth/young adult to explain the purpose of the NITT–HT evaluation to bolster participant engagement</w:t>
      </w:r>
      <w:r>
        <w:t xml:space="preserve"> and maximize response rate</w:t>
      </w:r>
      <w:r w:rsidRPr="002473A6">
        <w:t xml:space="preserve"> in the supplemental interview</w:t>
      </w:r>
      <w:r>
        <w:t>s</w:t>
      </w:r>
      <w:r w:rsidRPr="002473A6">
        <w:t xml:space="preserve">. </w:t>
      </w:r>
      <w:r>
        <w:t>The contractor will hold training sessions with all grantee learning laboratory selected staff to detail the steps involved in initiating the administration of the client interview and the procedures to follow to ensure protection of respondents’ rights and safeguarding of client data. Client interview informed consent and a f</w:t>
      </w:r>
      <w:r w:rsidRPr="00477111">
        <w:t>requently</w:t>
      </w:r>
      <w:r>
        <w:t xml:space="preserve"> asked questions (FAQ) will be accessible via the survey web-based program and provided to the grantee learning laboratory staff as a handout to reference and give to clients for their records</w:t>
      </w:r>
      <w:r w:rsidRPr="00477111">
        <w:t>.</w:t>
      </w:r>
      <w:r>
        <w:t xml:space="preserve"> </w:t>
      </w:r>
    </w:p>
    <w:p w14:paraId="68DF46C2" w14:textId="77777777" w:rsidR="00821E2E" w:rsidRDefault="00821E2E" w:rsidP="00821E2E">
      <w:pPr>
        <w:rPr>
          <w:bCs/>
          <w:iCs/>
        </w:rPr>
      </w:pPr>
      <w:r w:rsidRPr="00D312DC">
        <w:rPr>
          <w:bCs/>
          <w:iCs/>
        </w:rPr>
        <w:t xml:space="preserve">To </w:t>
      </w:r>
      <w:r>
        <w:rPr>
          <w:bCs/>
          <w:iCs/>
        </w:rPr>
        <w:t>maximize response rates by utilizing the contractor’s extensive experience conducting longitudinal data collection</w:t>
      </w:r>
      <w:r w:rsidRPr="00D312DC">
        <w:rPr>
          <w:bCs/>
          <w:iCs/>
        </w:rPr>
        <w:t xml:space="preserve">, the 12- and 24-month contacting will be conducted by </w:t>
      </w:r>
      <w:r>
        <w:rPr>
          <w:bCs/>
          <w:iCs/>
        </w:rPr>
        <w:t>the contractor</w:t>
      </w:r>
      <w:r w:rsidRPr="00D312DC">
        <w:rPr>
          <w:bCs/>
          <w:iCs/>
        </w:rPr>
        <w:t xml:space="preserve">. In preparation for the follow-up interviews, </w:t>
      </w:r>
      <w:r>
        <w:rPr>
          <w:bCs/>
          <w:iCs/>
        </w:rPr>
        <w:t>the contractor will email participants regarding the interview, i</w:t>
      </w:r>
      <w:r w:rsidRPr="00D312DC">
        <w:rPr>
          <w:bCs/>
          <w:iCs/>
        </w:rPr>
        <w:t xml:space="preserve">ncluding a link to the </w:t>
      </w:r>
      <w:r>
        <w:rPr>
          <w:bCs/>
          <w:iCs/>
        </w:rPr>
        <w:t>web</w:t>
      </w:r>
      <w:r w:rsidRPr="00D312DC">
        <w:rPr>
          <w:bCs/>
          <w:iCs/>
        </w:rPr>
        <w:t xml:space="preserve">-based interview to complete on a personal computer or </w:t>
      </w:r>
      <w:r>
        <w:rPr>
          <w:bCs/>
          <w:iCs/>
        </w:rPr>
        <w:t xml:space="preserve">the option to return to the learning laboratory and complete on </w:t>
      </w:r>
      <w:r w:rsidRPr="00D312DC">
        <w:rPr>
          <w:bCs/>
          <w:iCs/>
        </w:rPr>
        <w:t xml:space="preserve">the designated </w:t>
      </w:r>
      <w:r>
        <w:rPr>
          <w:bCs/>
          <w:iCs/>
        </w:rPr>
        <w:t xml:space="preserve">NITT-HT evaluation </w:t>
      </w:r>
      <w:r w:rsidRPr="00D312DC">
        <w:rPr>
          <w:bCs/>
          <w:iCs/>
        </w:rPr>
        <w:t>tablet</w:t>
      </w:r>
      <w:r>
        <w:rPr>
          <w:bCs/>
          <w:iCs/>
        </w:rPr>
        <w:t>. The email will also include</w:t>
      </w:r>
      <w:r w:rsidRPr="00D312DC">
        <w:rPr>
          <w:bCs/>
          <w:iCs/>
        </w:rPr>
        <w:t xml:space="preserve"> an evaluation team contact to call </w:t>
      </w:r>
      <w:r>
        <w:rPr>
          <w:bCs/>
          <w:iCs/>
        </w:rPr>
        <w:t xml:space="preserve">toll-free </w:t>
      </w:r>
      <w:r w:rsidRPr="00D312DC">
        <w:rPr>
          <w:bCs/>
          <w:iCs/>
        </w:rPr>
        <w:t>or e</w:t>
      </w:r>
      <w:r>
        <w:rPr>
          <w:bCs/>
          <w:iCs/>
        </w:rPr>
        <w:t>-</w:t>
      </w:r>
      <w:r w:rsidRPr="00D312DC">
        <w:rPr>
          <w:bCs/>
          <w:iCs/>
        </w:rPr>
        <w:t xml:space="preserve">mail with questions. </w:t>
      </w:r>
      <w:r>
        <w:rPr>
          <w:bCs/>
          <w:iCs/>
        </w:rPr>
        <w:t>P</w:t>
      </w:r>
      <w:r w:rsidRPr="00D312DC">
        <w:rPr>
          <w:bCs/>
          <w:iCs/>
        </w:rPr>
        <w:t xml:space="preserve">articipants who have not completed a follow-up </w:t>
      </w:r>
      <w:r>
        <w:rPr>
          <w:bCs/>
          <w:iCs/>
        </w:rPr>
        <w:t xml:space="preserve">interview after a week of the contractor sending the initial email invitation will receive an email reminder asking them to complete the interview at their earliest convenience. Clients will receive one email reminder per week for up to three total email reminders. The third email reminder will inform the client that they will receive a call from an NITT-HT interviewer to provide them the option of completing the interview on the phone. </w:t>
      </w:r>
      <w:r w:rsidRPr="00505044">
        <w:rPr>
          <w:bCs/>
          <w:iCs/>
        </w:rPr>
        <w:t xml:space="preserve">One </w:t>
      </w:r>
      <w:r>
        <w:rPr>
          <w:bCs/>
          <w:iCs/>
        </w:rPr>
        <w:t>-</w:t>
      </w:r>
      <w:r w:rsidRPr="00505044">
        <w:rPr>
          <w:bCs/>
          <w:iCs/>
        </w:rPr>
        <w:t xml:space="preserve">week after sending the third email reminder, or one month after sending the initial email invitation, </w:t>
      </w:r>
      <w:proofErr w:type="spellStart"/>
      <w:r>
        <w:rPr>
          <w:bCs/>
          <w:iCs/>
        </w:rPr>
        <w:t>nonresponders</w:t>
      </w:r>
      <w:proofErr w:type="spellEnd"/>
      <w:r>
        <w:rPr>
          <w:bCs/>
          <w:iCs/>
        </w:rPr>
        <w:t xml:space="preserve"> will start receiving calls from </w:t>
      </w:r>
      <w:r w:rsidRPr="00D312DC">
        <w:rPr>
          <w:bCs/>
          <w:iCs/>
        </w:rPr>
        <w:t xml:space="preserve">the </w:t>
      </w:r>
      <w:r>
        <w:rPr>
          <w:bCs/>
          <w:iCs/>
        </w:rPr>
        <w:t>contractor’s</w:t>
      </w:r>
      <w:r w:rsidRPr="00D312DC">
        <w:rPr>
          <w:bCs/>
          <w:iCs/>
        </w:rPr>
        <w:t xml:space="preserve"> </w:t>
      </w:r>
      <w:r>
        <w:rPr>
          <w:bCs/>
          <w:iCs/>
        </w:rPr>
        <w:t xml:space="preserve">trained interviewer staff </w:t>
      </w:r>
      <w:r w:rsidRPr="00D312DC">
        <w:rPr>
          <w:bCs/>
          <w:iCs/>
        </w:rPr>
        <w:t>giv</w:t>
      </w:r>
      <w:r>
        <w:rPr>
          <w:bCs/>
          <w:iCs/>
        </w:rPr>
        <w:t>ing</w:t>
      </w:r>
      <w:r w:rsidRPr="00D312DC">
        <w:rPr>
          <w:bCs/>
          <w:iCs/>
        </w:rPr>
        <w:t xml:space="preserve"> </w:t>
      </w:r>
      <w:r>
        <w:rPr>
          <w:bCs/>
          <w:iCs/>
        </w:rPr>
        <w:t xml:space="preserve">them </w:t>
      </w:r>
      <w:r w:rsidRPr="00D312DC">
        <w:rPr>
          <w:bCs/>
          <w:iCs/>
        </w:rPr>
        <w:t>the option to complete the interview on the phone.</w:t>
      </w:r>
      <w:r>
        <w:rPr>
          <w:bCs/>
          <w:iCs/>
        </w:rPr>
        <w:t xml:space="preserve"> </w:t>
      </w:r>
    </w:p>
    <w:p w14:paraId="58AA7B5C" w14:textId="3DA4AE06" w:rsidR="00821E2E" w:rsidRDefault="00821E2E" w:rsidP="00821E2E">
      <w:r>
        <w:t>NITT-HT clients are transition age youth/young adults with mental health disorders, a group that can be hard to reach. To further increase response rates, a</w:t>
      </w:r>
      <w:r w:rsidRPr="00016AF8">
        <w:t xml:space="preserve">ll clients who agree to participate in the </w:t>
      </w:r>
      <w:r w:rsidRPr="001C28BB">
        <w:rPr>
          <w:bCs/>
          <w:i/>
          <w:iCs/>
        </w:rPr>
        <w:t>SYAI</w:t>
      </w:r>
      <w:r>
        <w:t xml:space="preserve"> at baseline</w:t>
      </w:r>
      <w:r w:rsidRPr="00016AF8">
        <w:t xml:space="preserve"> will receive a </w:t>
      </w:r>
      <w:r w:rsidR="000C2197">
        <w:t>gift card respondent payment</w:t>
      </w:r>
      <w:r w:rsidRPr="00016AF8">
        <w:t xml:space="preserve"> worth a </w:t>
      </w:r>
      <w:r w:rsidRPr="001A5AB5">
        <w:t>$20</w:t>
      </w:r>
      <w:r w:rsidR="000C2197">
        <w:t xml:space="preserve"> value</w:t>
      </w:r>
      <w:r w:rsidRPr="00016AF8">
        <w:t xml:space="preserve">. </w:t>
      </w:r>
      <w:r>
        <w:t>Clients who agree to participate in the 12- and 24-month follow-up</w:t>
      </w:r>
      <w:r w:rsidRPr="00016AF8">
        <w:t xml:space="preserve"> will receive </w:t>
      </w:r>
      <w:r w:rsidR="000C2197">
        <w:t>a gift care respondent payment</w:t>
      </w:r>
      <w:r w:rsidRPr="00016AF8">
        <w:t xml:space="preserve"> worth a </w:t>
      </w:r>
      <w:r w:rsidRPr="001A5AB5">
        <w:t>$25</w:t>
      </w:r>
      <w:r w:rsidRPr="00016AF8">
        <w:t xml:space="preserve"> value. Respondents will not be penalized if they wish to skip questions or stop the interview </w:t>
      </w:r>
      <w:r>
        <w:t>before completing the baseline or either of the follow-up interviews</w:t>
      </w:r>
      <w:r w:rsidRPr="00016AF8">
        <w:t>.</w:t>
      </w:r>
    </w:p>
    <w:p w14:paraId="1F4B4E11" w14:textId="77777777" w:rsidR="00821E2E" w:rsidRPr="00387B17" w:rsidRDefault="00821E2E" w:rsidP="00821E2E">
      <w:r>
        <w:t xml:space="preserve">The contractor </w:t>
      </w:r>
      <w:r w:rsidRPr="00387B17">
        <w:t xml:space="preserve">will apply </w:t>
      </w:r>
      <w:r>
        <w:t xml:space="preserve">their </w:t>
      </w:r>
      <w:r w:rsidRPr="002473A6">
        <w:t>extensive experience studying longitudinal outcomes among youth/young adults</w:t>
      </w:r>
      <w:r>
        <w:t xml:space="preserve"> </w:t>
      </w:r>
      <w:r w:rsidRPr="00387B17">
        <w:t>by engaging participants in social media</w:t>
      </w:r>
      <w:r>
        <w:t xml:space="preserve"> </w:t>
      </w:r>
      <w:r w:rsidRPr="00387B17">
        <w:t xml:space="preserve">and periodic check-in emails </w:t>
      </w:r>
      <w:r>
        <w:t xml:space="preserve">and/or texts </w:t>
      </w:r>
      <w:r w:rsidRPr="00387B17">
        <w:t>(e.g., birthday, quarterly mental health awareness tips</w:t>
      </w:r>
      <w:r>
        <w:t xml:space="preserve">, all contacting of their choice as indicated in the </w:t>
      </w:r>
      <w:r w:rsidRPr="00387B17">
        <w:rPr>
          <w:i/>
          <w:iCs/>
        </w:rPr>
        <w:t>SYAI</w:t>
      </w:r>
      <w:r w:rsidRPr="00387B17">
        <w:t xml:space="preserve">) to keep participants engaged. </w:t>
      </w:r>
      <w:r>
        <w:t xml:space="preserve">The contractor will </w:t>
      </w:r>
      <w:r w:rsidRPr="00387B17">
        <w:t>maintain social media pages to bolster follow-up rates and encourage youth/young adult participation.</w:t>
      </w:r>
    </w:p>
    <w:p w14:paraId="26FEAD41" w14:textId="77777777" w:rsidR="00821E2E" w:rsidRDefault="00821E2E" w:rsidP="00821E2E">
      <w:pPr>
        <w:pStyle w:val="Heading2"/>
        <w:numPr>
          <w:ilvl w:val="0"/>
          <w:numId w:val="0"/>
        </w:numPr>
        <w:ind w:left="720" w:hanging="720"/>
      </w:pPr>
      <w:r>
        <w:t xml:space="preserve">B.4.     </w:t>
      </w:r>
      <w:r w:rsidRPr="001F42AB">
        <w:t>Test of Procedures</w:t>
      </w:r>
    </w:p>
    <w:p w14:paraId="1349709B" w14:textId="77777777" w:rsidR="00821E2E" w:rsidRDefault="00821E2E" w:rsidP="00821E2E">
      <w:pPr>
        <w:rPr>
          <w:bCs/>
        </w:rPr>
      </w:pPr>
      <w:r>
        <w:rPr>
          <w:bCs/>
        </w:rPr>
        <w:t>C</w:t>
      </w:r>
      <w:r w:rsidRPr="00825A4A">
        <w:rPr>
          <w:bCs/>
        </w:rPr>
        <w:t xml:space="preserve">ontractor </w:t>
      </w:r>
      <w:r>
        <w:rPr>
          <w:bCs/>
        </w:rPr>
        <w:t xml:space="preserve">and subcontractor </w:t>
      </w:r>
      <w:r w:rsidRPr="00825A4A">
        <w:rPr>
          <w:bCs/>
        </w:rPr>
        <w:t xml:space="preserve">staff completed the </w:t>
      </w:r>
      <w:r w:rsidRPr="00563D09">
        <w:rPr>
          <w:bCs/>
        </w:rPr>
        <w:t>web-based surveys and interview instruments</w:t>
      </w:r>
      <w:r>
        <w:rPr>
          <w:bCs/>
          <w:i/>
          <w:iCs/>
        </w:rPr>
        <w:t>,</w:t>
      </w:r>
      <w:r w:rsidRPr="00825A4A">
        <w:rPr>
          <w:bCs/>
        </w:rPr>
        <w:t xml:space="preserve"> either in paper-pencil form or within word processing software. These staff </w:t>
      </w:r>
      <w:r>
        <w:rPr>
          <w:bCs/>
        </w:rPr>
        <w:t xml:space="preserve">members </w:t>
      </w:r>
      <w:r w:rsidRPr="00825A4A">
        <w:rPr>
          <w:bCs/>
        </w:rPr>
        <w:t xml:space="preserve">have experience with </w:t>
      </w:r>
      <w:r>
        <w:rPr>
          <w:bCs/>
        </w:rPr>
        <w:t>evaluation</w:t>
      </w:r>
      <w:r w:rsidRPr="00825A4A">
        <w:rPr>
          <w:bCs/>
        </w:rPr>
        <w:t xml:space="preserve"> initiatives, </w:t>
      </w:r>
      <w:r>
        <w:rPr>
          <w:bCs/>
        </w:rPr>
        <w:t>as well as calculating survey lengths.</w:t>
      </w:r>
      <w:r w:rsidRPr="00825A4A">
        <w:rPr>
          <w:bCs/>
        </w:rPr>
        <w:t xml:space="preserve"> It is likely that the </w:t>
      </w:r>
      <w:r>
        <w:rPr>
          <w:bCs/>
        </w:rPr>
        <w:t>web</w:t>
      </w:r>
      <w:r w:rsidRPr="00825A4A">
        <w:rPr>
          <w:bCs/>
        </w:rPr>
        <w:t xml:space="preserve">-based versions of </w:t>
      </w:r>
      <w:r>
        <w:rPr>
          <w:bCs/>
        </w:rPr>
        <w:t xml:space="preserve">the surveys below will </w:t>
      </w:r>
      <w:r w:rsidRPr="00825A4A">
        <w:rPr>
          <w:bCs/>
        </w:rPr>
        <w:t>take less time than the paper version</w:t>
      </w:r>
      <w:r>
        <w:rPr>
          <w:bCs/>
        </w:rPr>
        <w:t xml:space="preserve"> tested to generate the estimates in this section</w:t>
      </w:r>
      <w:r w:rsidRPr="00825A4A">
        <w:rPr>
          <w:bCs/>
        </w:rPr>
        <w:t>, as skip patterns will be automated</w:t>
      </w:r>
      <w:r>
        <w:rPr>
          <w:bCs/>
        </w:rPr>
        <w:t xml:space="preserve"> and some items will be prepopulated automatically after initial responses</w:t>
      </w:r>
      <w:r w:rsidRPr="00825A4A">
        <w:rPr>
          <w:bCs/>
        </w:rPr>
        <w:t>.</w:t>
      </w:r>
    </w:p>
    <w:p w14:paraId="0371A38F" w14:textId="77777777" w:rsidR="00821E2E" w:rsidRDefault="00821E2E" w:rsidP="00821E2E">
      <w:pPr>
        <w:rPr>
          <w:bCs/>
        </w:rPr>
      </w:pPr>
      <w:r>
        <w:rPr>
          <w:bCs/>
        </w:rPr>
        <w:t xml:space="preserve">The </w:t>
      </w:r>
      <w:r w:rsidRPr="00DC2D68">
        <w:rPr>
          <w:bCs/>
          <w:i/>
          <w:iCs/>
        </w:rPr>
        <w:t>CSTI</w:t>
      </w:r>
      <w:r>
        <w:rPr>
          <w:bCs/>
        </w:rPr>
        <w:t xml:space="preserve"> takes 24 minutes to complete, </w:t>
      </w:r>
      <w:r w:rsidRPr="00825A4A">
        <w:rPr>
          <w:bCs/>
        </w:rPr>
        <w:t>includ</w:t>
      </w:r>
      <w:r>
        <w:rPr>
          <w:bCs/>
        </w:rPr>
        <w:t>ing</w:t>
      </w:r>
      <w:r w:rsidRPr="00825A4A">
        <w:rPr>
          <w:bCs/>
        </w:rPr>
        <w:t xml:space="preserve"> time for reading the survey instructions and </w:t>
      </w:r>
      <w:r>
        <w:rPr>
          <w:bCs/>
        </w:rPr>
        <w:t xml:space="preserve">consent and </w:t>
      </w:r>
      <w:r w:rsidRPr="00825A4A">
        <w:rPr>
          <w:bCs/>
        </w:rPr>
        <w:t>respond</w:t>
      </w:r>
      <w:r>
        <w:rPr>
          <w:bCs/>
        </w:rPr>
        <w:t>ing</w:t>
      </w:r>
      <w:r w:rsidRPr="00825A4A">
        <w:rPr>
          <w:bCs/>
        </w:rPr>
        <w:t xml:space="preserve"> to survey questions.</w:t>
      </w:r>
      <w:r>
        <w:rPr>
          <w:bCs/>
        </w:rPr>
        <w:t xml:space="preserve"> This </w:t>
      </w:r>
      <w:r w:rsidRPr="00377201">
        <w:rPr>
          <w:bCs/>
        </w:rPr>
        <w:t>time represent</w:t>
      </w:r>
      <w:r>
        <w:rPr>
          <w:bCs/>
        </w:rPr>
        <w:t xml:space="preserve"> actual averages taken across three randomly selected communities in which the survey was previously fielded</w:t>
      </w:r>
      <w:r>
        <w:t xml:space="preserve">. These tests of the CSTI were developed as part of another study that did not require OMB approval. </w:t>
      </w:r>
    </w:p>
    <w:p w14:paraId="399C4FBC" w14:textId="77777777" w:rsidR="00821E2E" w:rsidRDefault="00821E2E" w:rsidP="00821E2E">
      <w:pPr>
        <w:rPr>
          <w:bCs/>
        </w:rPr>
      </w:pPr>
      <w:r>
        <w:rPr>
          <w:bCs/>
        </w:rPr>
        <w:t xml:space="preserve">The </w:t>
      </w:r>
      <w:r w:rsidRPr="00252843">
        <w:rPr>
          <w:bCs/>
          <w:i/>
          <w:iCs/>
        </w:rPr>
        <w:t>SSTI</w:t>
      </w:r>
      <w:r>
        <w:rPr>
          <w:bCs/>
        </w:rPr>
        <w:t xml:space="preserve"> takes 19 minutes to complete, </w:t>
      </w:r>
      <w:r w:rsidRPr="00825A4A">
        <w:rPr>
          <w:bCs/>
        </w:rPr>
        <w:t>includ</w:t>
      </w:r>
      <w:r>
        <w:rPr>
          <w:bCs/>
        </w:rPr>
        <w:t>ing</w:t>
      </w:r>
      <w:r w:rsidRPr="00825A4A">
        <w:rPr>
          <w:bCs/>
        </w:rPr>
        <w:t xml:space="preserve"> time for reading the survey instructions and </w:t>
      </w:r>
      <w:r>
        <w:rPr>
          <w:bCs/>
        </w:rPr>
        <w:t xml:space="preserve">consent and </w:t>
      </w:r>
      <w:r w:rsidRPr="00825A4A">
        <w:rPr>
          <w:bCs/>
        </w:rPr>
        <w:t>respond</w:t>
      </w:r>
      <w:r>
        <w:rPr>
          <w:bCs/>
        </w:rPr>
        <w:t>ing</w:t>
      </w:r>
      <w:r w:rsidRPr="00825A4A">
        <w:rPr>
          <w:bCs/>
        </w:rPr>
        <w:t xml:space="preserve"> to survey questions.</w:t>
      </w:r>
      <w:r>
        <w:rPr>
          <w:bCs/>
        </w:rPr>
        <w:t xml:space="preserve"> This </w:t>
      </w:r>
      <w:r w:rsidRPr="00377201">
        <w:rPr>
          <w:bCs/>
        </w:rPr>
        <w:t>time represent</w:t>
      </w:r>
      <w:r>
        <w:rPr>
          <w:bCs/>
        </w:rPr>
        <w:t xml:space="preserve"> actual averages taken across three randomly selected communities in which the survey was previously fielded</w:t>
      </w:r>
      <w:r>
        <w:t>.</w:t>
      </w:r>
      <w:r w:rsidRPr="00AF41F3">
        <w:t xml:space="preserve"> </w:t>
      </w:r>
      <w:r>
        <w:t xml:space="preserve">These tests of the CSTI were developed as part of another study that did not require OMB approval. </w:t>
      </w:r>
    </w:p>
    <w:p w14:paraId="3CABAE46" w14:textId="77777777" w:rsidR="00821E2E" w:rsidRDefault="00821E2E" w:rsidP="00821E2E">
      <w:pPr>
        <w:rPr>
          <w:bCs/>
        </w:rPr>
      </w:pPr>
      <w:r w:rsidRPr="00252843">
        <w:rPr>
          <w:bCs/>
        </w:rPr>
        <w:t xml:space="preserve">The </w:t>
      </w:r>
      <w:r w:rsidRPr="00252843">
        <w:rPr>
          <w:bCs/>
          <w:i/>
          <w:iCs/>
        </w:rPr>
        <w:t>Collaborative Member Survey</w:t>
      </w:r>
      <w:r>
        <w:t xml:space="preserve"> is estimated to tak</w:t>
      </w:r>
      <w:r w:rsidRPr="00BB58E9">
        <w:t xml:space="preserve">e </w:t>
      </w:r>
      <w:r>
        <w:t>15 minutes to complete per response.</w:t>
      </w:r>
    </w:p>
    <w:p w14:paraId="21497824" w14:textId="77777777" w:rsidR="00821E2E" w:rsidRDefault="00821E2E" w:rsidP="00821E2E">
      <w:r>
        <w:t xml:space="preserve">The </w:t>
      </w:r>
      <w:r>
        <w:rPr>
          <w:i/>
          <w:iCs/>
        </w:rPr>
        <w:t>Collaborative Self-Assessment Survey</w:t>
      </w:r>
      <w:r>
        <w:t xml:space="preserve"> is estimated to tak</w:t>
      </w:r>
      <w:r w:rsidRPr="00BB58E9">
        <w:t xml:space="preserve">e </w:t>
      </w:r>
      <w:r>
        <w:t>50 minutes to complete per response; this includes time to look up and compile information and time to complete the web-survey</w:t>
      </w:r>
      <w:r w:rsidRPr="00825A4A">
        <w:rPr>
          <w:bCs/>
        </w:rPr>
        <w:t>.</w:t>
      </w:r>
    </w:p>
    <w:p w14:paraId="1A92C636" w14:textId="77777777" w:rsidR="00821E2E" w:rsidRDefault="00821E2E" w:rsidP="00821E2E">
      <w:pPr>
        <w:rPr>
          <w:bCs/>
        </w:rPr>
      </w:pPr>
      <w:r>
        <w:t xml:space="preserve">The </w:t>
      </w:r>
      <w:r>
        <w:rPr>
          <w:i/>
          <w:iCs/>
        </w:rPr>
        <w:t>Project Director Web Survey</w:t>
      </w:r>
      <w:r>
        <w:t xml:space="preserve"> is estimated to tak</w:t>
      </w:r>
      <w:r w:rsidRPr="00BB58E9">
        <w:t xml:space="preserve">e </w:t>
      </w:r>
      <w:r>
        <w:t>20 minutes to complete.</w:t>
      </w:r>
    </w:p>
    <w:p w14:paraId="0BCAC3E3" w14:textId="77777777" w:rsidR="00821E2E" w:rsidRDefault="00821E2E" w:rsidP="00821E2E">
      <w:pPr>
        <w:rPr>
          <w:bCs/>
        </w:rPr>
      </w:pPr>
      <w:r>
        <w:t xml:space="preserve">The </w:t>
      </w:r>
      <w:r w:rsidRPr="00942B6A">
        <w:rPr>
          <w:i/>
          <w:iCs/>
        </w:rPr>
        <w:t>P</w:t>
      </w:r>
      <w:r>
        <w:rPr>
          <w:i/>
          <w:iCs/>
        </w:rPr>
        <w:t xml:space="preserve">roject </w:t>
      </w:r>
      <w:r w:rsidRPr="00942B6A">
        <w:rPr>
          <w:i/>
          <w:iCs/>
        </w:rPr>
        <w:t>D</w:t>
      </w:r>
      <w:r>
        <w:rPr>
          <w:i/>
          <w:iCs/>
        </w:rPr>
        <w:t>irector</w:t>
      </w:r>
      <w:r w:rsidRPr="00942B6A">
        <w:rPr>
          <w:i/>
          <w:iCs/>
        </w:rPr>
        <w:t xml:space="preserve"> </w:t>
      </w:r>
      <w:r>
        <w:rPr>
          <w:i/>
          <w:iCs/>
        </w:rPr>
        <w:t xml:space="preserve">Telephone </w:t>
      </w:r>
      <w:r w:rsidRPr="00942B6A">
        <w:rPr>
          <w:i/>
          <w:iCs/>
        </w:rPr>
        <w:t>Interview</w:t>
      </w:r>
      <w:r>
        <w:t xml:space="preserve"> is estimated to tak</w:t>
      </w:r>
      <w:r w:rsidRPr="00BB58E9">
        <w:t xml:space="preserve">e </w:t>
      </w:r>
      <w:r>
        <w:t>120 minutes to complete; this includes time to look up and compile information and time to complete the telephone interview</w:t>
      </w:r>
      <w:r w:rsidRPr="00825A4A">
        <w:rPr>
          <w:bCs/>
        </w:rPr>
        <w:t>.</w:t>
      </w:r>
    </w:p>
    <w:p w14:paraId="7CC98CC4" w14:textId="77777777" w:rsidR="00821E2E" w:rsidRDefault="00821E2E" w:rsidP="00821E2E">
      <w:pPr>
        <w:rPr>
          <w:bCs/>
        </w:rPr>
      </w:pPr>
      <w:r>
        <w:t xml:space="preserve">The </w:t>
      </w:r>
      <w:r>
        <w:rPr>
          <w:i/>
          <w:iCs/>
        </w:rPr>
        <w:t>Services &amp; Support Inventory</w:t>
      </w:r>
      <w:r>
        <w:t xml:space="preserve"> is estimated to tak</w:t>
      </w:r>
      <w:r w:rsidRPr="00BB58E9">
        <w:t xml:space="preserve">e </w:t>
      </w:r>
      <w:r>
        <w:t>40 minutes to complete.</w:t>
      </w:r>
    </w:p>
    <w:p w14:paraId="5B2A28F9" w14:textId="77777777" w:rsidR="00821E2E" w:rsidRDefault="00821E2E" w:rsidP="00821E2E">
      <w:pPr>
        <w:rPr>
          <w:bCs/>
        </w:rPr>
      </w:pPr>
      <w:r>
        <w:t xml:space="preserve">The </w:t>
      </w:r>
      <w:r>
        <w:rPr>
          <w:i/>
          <w:iCs/>
        </w:rPr>
        <w:t>Core Staff Web Survey</w:t>
      </w:r>
      <w:r>
        <w:t xml:space="preserve"> is estimated to tak</w:t>
      </w:r>
      <w:r w:rsidRPr="00BB58E9">
        <w:t xml:space="preserve">e </w:t>
      </w:r>
      <w:r>
        <w:t>25 minutes to complete per response.</w:t>
      </w:r>
    </w:p>
    <w:p w14:paraId="7ACA184B" w14:textId="77777777" w:rsidR="00821E2E" w:rsidRDefault="00821E2E" w:rsidP="00821E2E">
      <w:pPr>
        <w:rPr>
          <w:bCs/>
        </w:rPr>
      </w:pPr>
      <w:r>
        <w:t xml:space="preserve">The </w:t>
      </w:r>
      <w:r>
        <w:rPr>
          <w:i/>
          <w:iCs/>
        </w:rPr>
        <w:t>Youth Coordinator In-Person Interview</w:t>
      </w:r>
      <w:r>
        <w:t xml:space="preserve"> is estimated to tak</w:t>
      </w:r>
      <w:r w:rsidRPr="00BB58E9">
        <w:t xml:space="preserve">e </w:t>
      </w:r>
      <w:r>
        <w:t>60 minutes to complete</w:t>
      </w:r>
      <w:r w:rsidRPr="00825A4A">
        <w:rPr>
          <w:bCs/>
        </w:rPr>
        <w:t>.</w:t>
      </w:r>
    </w:p>
    <w:p w14:paraId="3612FCA4" w14:textId="77777777" w:rsidR="00821E2E" w:rsidRDefault="00821E2E" w:rsidP="00821E2E">
      <w:pPr>
        <w:rPr>
          <w:bCs/>
        </w:rPr>
      </w:pPr>
      <w:r>
        <w:t xml:space="preserve">The </w:t>
      </w:r>
      <w:r>
        <w:rPr>
          <w:i/>
          <w:iCs/>
        </w:rPr>
        <w:t>Provider In-Person Interview</w:t>
      </w:r>
      <w:r>
        <w:t xml:space="preserve"> is estimated to tak</w:t>
      </w:r>
      <w:r w:rsidRPr="00BB58E9">
        <w:t xml:space="preserve">e </w:t>
      </w:r>
      <w:r>
        <w:t>45 minutes to complete per response</w:t>
      </w:r>
      <w:r w:rsidRPr="00825A4A">
        <w:rPr>
          <w:bCs/>
        </w:rPr>
        <w:t>.</w:t>
      </w:r>
    </w:p>
    <w:p w14:paraId="1173021D" w14:textId="77777777" w:rsidR="00821E2E" w:rsidRDefault="00821E2E" w:rsidP="00821E2E">
      <w:r>
        <w:t xml:space="preserve">The </w:t>
      </w:r>
      <w:r>
        <w:rPr>
          <w:i/>
          <w:iCs/>
        </w:rPr>
        <w:t>Young Adult Focus Group</w:t>
      </w:r>
      <w:r>
        <w:t xml:space="preserve"> conducted during the grantee site visit will take 105 minutes (one</w:t>
      </w:r>
      <w:r w:rsidRPr="00252843">
        <w:t xml:space="preserve"> hour </w:t>
      </w:r>
      <w:r>
        <w:t xml:space="preserve">and forty-five minutes) to complete; this includes time for introductions, directions and informed consent, time for the focus group discussion, and time to complete the paper-and-pencil </w:t>
      </w:r>
      <w:r>
        <w:rPr>
          <w:i/>
          <w:iCs/>
        </w:rPr>
        <w:t>Information Form</w:t>
      </w:r>
      <w:r w:rsidRPr="00825A4A">
        <w:rPr>
          <w:bCs/>
        </w:rPr>
        <w:t>.</w:t>
      </w:r>
      <w:r>
        <w:rPr>
          <w:bCs/>
        </w:rPr>
        <w:t xml:space="preserve"> </w:t>
      </w:r>
      <w:r>
        <w:t>The focus group discussion will end after 105 minutes, regardless of whether all discussion items have been covered.</w:t>
      </w:r>
    </w:p>
    <w:p w14:paraId="0424C08C" w14:textId="77777777" w:rsidR="00821E2E" w:rsidRDefault="00821E2E" w:rsidP="00821E2E">
      <w:r>
        <w:t xml:space="preserve">The </w:t>
      </w:r>
      <w:r>
        <w:rPr>
          <w:i/>
          <w:iCs/>
        </w:rPr>
        <w:t>Family/Adult Ally Focus Group</w:t>
      </w:r>
      <w:r>
        <w:t xml:space="preserve"> conducted during the grantee site visit will take 105 minutes (one</w:t>
      </w:r>
      <w:r w:rsidRPr="00252843">
        <w:t xml:space="preserve"> hour </w:t>
      </w:r>
      <w:r>
        <w:t xml:space="preserve">and forty-five minutes) to complete; this includes time for introductions, directions and informed consent, time for the focus group discussion, and time to complete the paper-and-pencil </w:t>
      </w:r>
      <w:r>
        <w:rPr>
          <w:i/>
          <w:iCs/>
        </w:rPr>
        <w:t>Information Form</w:t>
      </w:r>
      <w:r w:rsidRPr="00825A4A">
        <w:rPr>
          <w:bCs/>
        </w:rPr>
        <w:t>.</w:t>
      </w:r>
      <w:r>
        <w:rPr>
          <w:bCs/>
        </w:rPr>
        <w:t xml:space="preserve"> </w:t>
      </w:r>
      <w:r>
        <w:t>The focus group discussion will end after 105 minutes, regardless of whether all discussion items have been covered.</w:t>
      </w:r>
    </w:p>
    <w:p w14:paraId="10FB5C35" w14:textId="77777777" w:rsidR="00821E2E" w:rsidRPr="002E11FE" w:rsidRDefault="00821E2E" w:rsidP="00821E2E">
      <w:r>
        <w:t xml:space="preserve">The </w:t>
      </w:r>
      <w:r w:rsidRPr="00252843">
        <w:rPr>
          <w:i/>
          <w:iCs/>
        </w:rPr>
        <w:t>Document Review</w:t>
      </w:r>
      <w:r>
        <w:t xml:space="preserve"> conducted during the grantee site visit is estimated to tak</w:t>
      </w:r>
      <w:r w:rsidRPr="00BB58E9">
        <w:t>e</w:t>
      </w:r>
      <w:r>
        <w:t xml:space="preserve"> learning laboratory staff</w:t>
      </w:r>
      <w:r w:rsidRPr="00BB58E9">
        <w:t xml:space="preserve"> </w:t>
      </w:r>
      <w:r>
        <w:t xml:space="preserve">15 minutes; this includes time to look up and compile the files/charts and time to make files/charts available </w:t>
      </w:r>
      <w:r w:rsidRPr="002E11FE">
        <w:t>to the evaluation team members to conduct the on-site review</w:t>
      </w:r>
      <w:r w:rsidRPr="002E11FE">
        <w:rPr>
          <w:bCs/>
        </w:rPr>
        <w:t>.</w:t>
      </w:r>
    </w:p>
    <w:p w14:paraId="160D0A37" w14:textId="77777777" w:rsidR="00821E2E" w:rsidRPr="002E11FE" w:rsidRDefault="00821E2E" w:rsidP="00821E2E">
      <w:pPr>
        <w:rPr>
          <w:bCs/>
        </w:rPr>
      </w:pPr>
      <w:r w:rsidRPr="002E11FE">
        <w:t xml:space="preserve">The </w:t>
      </w:r>
      <w:r w:rsidRPr="002E11FE">
        <w:rPr>
          <w:i/>
          <w:iCs/>
        </w:rPr>
        <w:t>Stakeholder In-Person Interview</w:t>
      </w:r>
      <w:r w:rsidRPr="002E11FE">
        <w:t xml:space="preserve"> is estimated to take 45 minutes to complete per response</w:t>
      </w:r>
      <w:r w:rsidRPr="002E11FE">
        <w:rPr>
          <w:bCs/>
        </w:rPr>
        <w:t>.</w:t>
      </w:r>
    </w:p>
    <w:p w14:paraId="0D4D92DC" w14:textId="77777777" w:rsidR="00821E2E" w:rsidRDefault="00821E2E" w:rsidP="00821E2E">
      <w:pPr>
        <w:rPr>
          <w:bCs/>
        </w:rPr>
      </w:pPr>
      <w:r w:rsidRPr="002E11FE">
        <w:rPr>
          <w:bCs/>
        </w:rPr>
        <w:t xml:space="preserve">The </w:t>
      </w:r>
      <w:r w:rsidRPr="002E11FE">
        <w:rPr>
          <w:bCs/>
          <w:i/>
          <w:iCs/>
        </w:rPr>
        <w:t>SYAI</w:t>
      </w:r>
      <w:r w:rsidRPr="002E11FE">
        <w:rPr>
          <w:bCs/>
        </w:rPr>
        <w:t xml:space="preserve"> was pilot tested with 4 young adults through the YAB. The </w:t>
      </w:r>
      <w:r w:rsidRPr="002E11FE">
        <w:rPr>
          <w:bCs/>
          <w:i/>
          <w:iCs/>
        </w:rPr>
        <w:t>SYAI</w:t>
      </w:r>
      <w:r w:rsidRPr="002E11FE">
        <w:rPr>
          <w:bCs/>
        </w:rPr>
        <w:t xml:space="preserve"> is estimated to take 40 minutes, including time for reading and reviewing survey instructions and consent and responding to survey questions.</w:t>
      </w:r>
      <w:r>
        <w:rPr>
          <w:bCs/>
        </w:rPr>
        <w:t xml:space="preserve"> </w:t>
      </w:r>
    </w:p>
    <w:p w14:paraId="7407C235" w14:textId="77777777" w:rsidR="00821E2E" w:rsidRPr="00D4565E" w:rsidRDefault="00821E2E" w:rsidP="00821E2E">
      <w:pPr>
        <w:pStyle w:val="Heading2"/>
        <w:numPr>
          <w:ilvl w:val="0"/>
          <w:numId w:val="0"/>
        </w:numPr>
        <w:ind w:left="720" w:hanging="720"/>
      </w:pPr>
      <w:r>
        <w:t xml:space="preserve">B.5.      </w:t>
      </w:r>
      <w:r w:rsidRPr="001F42AB">
        <w:t>Statistical Consultants</w:t>
      </w:r>
    </w:p>
    <w:p w14:paraId="68B2659C" w14:textId="77777777" w:rsidR="00821E2E" w:rsidRDefault="00821E2E" w:rsidP="00821E2E">
      <w:r w:rsidRPr="00AC4B50">
        <w:t xml:space="preserve">As noted in </w:t>
      </w:r>
      <w:r w:rsidRPr="00AC4B50">
        <w:rPr>
          <w:b/>
          <w:bCs/>
          <w:i/>
          <w:iCs/>
        </w:rPr>
        <w:t>Section A.8</w:t>
      </w:r>
      <w:r w:rsidRPr="00AC4B50">
        <w:t xml:space="preserve">, SAMHSA has consulted with an expert panel </w:t>
      </w:r>
      <w:r>
        <w:t xml:space="preserve">on the NITT-HT evaluation plan, data collection procedures, and analysis plans. These experts </w:t>
      </w:r>
      <w:r w:rsidRPr="00AC4B50">
        <w:t xml:space="preserve">will continue to provide advice </w:t>
      </w:r>
      <w:r>
        <w:t xml:space="preserve">and feedback </w:t>
      </w:r>
      <w:r w:rsidRPr="00AC4B50">
        <w:t>throughout the course of the evaluation</w:t>
      </w:r>
      <w:r>
        <w:t xml:space="preserve"> through annual panel meetings</w:t>
      </w:r>
      <w:r w:rsidRPr="00AC4B50">
        <w:t>. In addition,</w:t>
      </w:r>
      <w:r>
        <w:t xml:space="preserve"> t</w:t>
      </w:r>
      <w:r w:rsidRPr="009F0361">
        <w:t>he contractor team comprise</w:t>
      </w:r>
      <w:r>
        <w:t>s</w:t>
      </w:r>
      <w:r w:rsidRPr="009F0361">
        <w:t xml:space="preserve"> several experts who</w:t>
      </w:r>
      <w:r>
        <w:t xml:space="preserve"> have been involved in the development of the NITT-HT data collection and analysis plans and</w:t>
      </w:r>
      <w:r w:rsidRPr="009F0361">
        <w:t xml:space="preserve"> will be directly involved in data collection and statistical analysis. </w:t>
      </w:r>
      <w:r>
        <w:t>Also, SAMHSA advisors</w:t>
      </w:r>
      <w:r w:rsidRPr="009F0361">
        <w:t xml:space="preserve"> will be consulted throughout the </w:t>
      </w:r>
      <w:r>
        <w:t>evaluation</w:t>
      </w:r>
      <w:r w:rsidRPr="009F0361">
        <w:t xml:space="preserve"> on various statistical aspects of the design, methodological issues, </w:t>
      </w:r>
      <w:r>
        <w:t xml:space="preserve">and </w:t>
      </w:r>
      <w:r w:rsidRPr="009F0361">
        <w:t xml:space="preserve">data analysis. </w:t>
      </w:r>
      <w:r>
        <w:rPr>
          <w:b/>
          <w:i/>
        </w:rPr>
        <w:t>Table </w:t>
      </w:r>
      <w:r w:rsidR="00E11655">
        <w:rPr>
          <w:b/>
          <w:i/>
        </w:rPr>
        <w:t xml:space="preserve">10 </w:t>
      </w:r>
      <w:r w:rsidRPr="009F0361">
        <w:t>provides details of these team members and advisors.</w:t>
      </w:r>
    </w:p>
    <w:p w14:paraId="1EF10357" w14:textId="48311342" w:rsidR="00821E2E" w:rsidRPr="00AC4B50" w:rsidRDefault="00821E2E" w:rsidP="00704B64">
      <w:pPr>
        <w:pStyle w:val="ExhibitTitle"/>
        <w:ind w:left="990" w:hanging="990"/>
      </w:pPr>
      <w:bookmarkStart w:id="1" w:name="_Toc93987698"/>
      <w:bookmarkStart w:id="2" w:name="_Toc131566262"/>
      <w:r w:rsidRPr="00AC4B50">
        <w:t xml:space="preserve">Table </w:t>
      </w:r>
      <w:r w:rsidR="00704B64">
        <w:t>9</w:t>
      </w:r>
      <w:r w:rsidRPr="00AC4B50">
        <w:t>.</w:t>
      </w:r>
      <w:bookmarkEnd w:id="1"/>
      <w:bookmarkEnd w:id="2"/>
      <w:r>
        <w:tab/>
      </w:r>
      <w:r w:rsidRPr="00AC4B50">
        <w:t>Statistical Consultants for the Now Is the Time (NITT) – Healthy Transitions Evaluation</w:t>
      </w:r>
    </w:p>
    <w:tbl>
      <w:tblPr>
        <w:tblW w:w="9630" w:type="dxa"/>
        <w:tblInd w:w="-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2700"/>
        <w:gridCol w:w="3420"/>
        <w:gridCol w:w="3510"/>
      </w:tblGrid>
      <w:tr w:rsidR="00821E2E" w:rsidRPr="00937929" w14:paraId="0771D0FE" w14:textId="77777777" w:rsidTr="0061557E">
        <w:trPr>
          <w:cantSplit/>
          <w:tblHeader/>
        </w:trPr>
        <w:tc>
          <w:tcPr>
            <w:tcW w:w="2700" w:type="dxa"/>
            <w:shd w:val="clear" w:color="auto" w:fill="DEEAF6" w:themeFill="accent1" w:themeFillTint="33"/>
            <w:vAlign w:val="bottom"/>
          </w:tcPr>
          <w:p w14:paraId="1F19E923" w14:textId="77777777" w:rsidR="00821E2E" w:rsidRPr="00937929" w:rsidRDefault="00821E2E" w:rsidP="0061557E">
            <w:pPr>
              <w:spacing w:before="40" w:after="40"/>
              <w:jc w:val="center"/>
              <w:rPr>
                <w:rFonts w:eastAsia="Calibri" w:cs="Times New Roman"/>
                <w:b/>
              </w:rPr>
            </w:pPr>
            <w:r w:rsidRPr="00937929">
              <w:rPr>
                <w:rFonts w:eastAsia="Calibri" w:cs="Times New Roman"/>
                <w:b/>
              </w:rPr>
              <w:t>Name &amp; Role in Evaluation</w:t>
            </w:r>
          </w:p>
        </w:tc>
        <w:tc>
          <w:tcPr>
            <w:tcW w:w="3420" w:type="dxa"/>
            <w:shd w:val="clear" w:color="auto" w:fill="DEEAF6" w:themeFill="accent1" w:themeFillTint="33"/>
            <w:vAlign w:val="bottom"/>
          </w:tcPr>
          <w:p w14:paraId="4011B6F6" w14:textId="77777777" w:rsidR="00821E2E" w:rsidRPr="00937929" w:rsidRDefault="00821E2E" w:rsidP="0061557E">
            <w:pPr>
              <w:spacing w:before="40" w:after="40"/>
              <w:jc w:val="center"/>
              <w:rPr>
                <w:rFonts w:eastAsia="Calibri" w:cs="Times New Roman"/>
                <w:b/>
              </w:rPr>
            </w:pPr>
            <w:r w:rsidRPr="00937929">
              <w:rPr>
                <w:rFonts w:eastAsia="Calibri" w:cs="Times New Roman"/>
                <w:b/>
              </w:rPr>
              <w:t>Title &amp; Address</w:t>
            </w:r>
          </w:p>
        </w:tc>
        <w:tc>
          <w:tcPr>
            <w:tcW w:w="3510" w:type="dxa"/>
            <w:shd w:val="clear" w:color="auto" w:fill="DEEAF6" w:themeFill="accent1" w:themeFillTint="33"/>
            <w:vAlign w:val="bottom"/>
          </w:tcPr>
          <w:p w14:paraId="02A4CDA4" w14:textId="77777777" w:rsidR="00821E2E" w:rsidRPr="00937929" w:rsidRDefault="00821E2E" w:rsidP="0061557E">
            <w:pPr>
              <w:spacing w:before="40" w:after="40"/>
              <w:jc w:val="center"/>
              <w:rPr>
                <w:rFonts w:eastAsia="Calibri" w:cs="Times New Roman"/>
                <w:b/>
              </w:rPr>
            </w:pPr>
            <w:r w:rsidRPr="00937929">
              <w:rPr>
                <w:rFonts w:eastAsia="Calibri" w:cs="Times New Roman"/>
                <w:b/>
              </w:rPr>
              <w:t>Contact Information</w:t>
            </w:r>
          </w:p>
        </w:tc>
      </w:tr>
      <w:tr w:rsidR="00821E2E" w:rsidRPr="00937929" w:rsidDel="00CC7210" w14:paraId="138A4027" w14:textId="77777777" w:rsidTr="0061557E">
        <w:trPr>
          <w:cantSplit/>
        </w:trPr>
        <w:tc>
          <w:tcPr>
            <w:tcW w:w="9630" w:type="dxa"/>
            <w:gridSpan w:val="3"/>
            <w:shd w:val="clear" w:color="auto" w:fill="F2F2F2"/>
          </w:tcPr>
          <w:p w14:paraId="346B4D89" w14:textId="77777777" w:rsidR="00821E2E" w:rsidRPr="00937929" w:rsidRDefault="00821E2E" w:rsidP="0061557E">
            <w:pPr>
              <w:spacing w:before="60" w:after="60"/>
              <w:rPr>
                <w:rFonts w:eastAsia="Calibri" w:cs="Times New Roman"/>
                <w:b/>
                <w:i/>
                <w:sz w:val="20"/>
                <w:szCs w:val="20"/>
              </w:rPr>
            </w:pPr>
            <w:r w:rsidRPr="00937929">
              <w:rPr>
                <w:rFonts w:eastAsia="Calibri" w:cs="Times New Roman"/>
                <w:b/>
                <w:i/>
                <w:sz w:val="20"/>
                <w:szCs w:val="20"/>
              </w:rPr>
              <w:t>NITT-HT Evaluation Staff</w:t>
            </w:r>
          </w:p>
        </w:tc>
      </w:tr>
      <w:tr w:rsidR="00821E2E" w:rsidRPr="00937929" w:rsidDel="00CC7210" w14:paraId="74B9F574" w14:textId="77777777" w:rsidTr="0061557E">
        <w:trPr>
          <w:cantSplit/>
        </w:trPr>
        <w:tc>
          <w:tcPr>
            <w:tcW w:w="2700" w:type="dxa"/>
          </w:tcPr>
          <w:p w14:paraId="39CBD606" w14:textId="77777777" w:rsidR="00821E2E" w:rsidRPr="00937929" w:rsidRDefault="00821E2E" w:rsidP="0061557E">
            <w:pPr>
              <w:spacing w:after="0"/>
              <w:rPr>
                <w:rFonts w:eastAsia="Calibri" w:cs="Times New Roman"/>
                <w:b/>
                <w:sz w:val="20"/>
                <w:szCs w:val="20"/>
              </w:rPr>
            </w:pPr>
            <w:r w:rsidRPr="00937929">
              <w:rPr>
                <w:rFonts w:eastAsia="Calibri" w:cs="Times New Roman"/>
                <w:b/>
                <w:sz w:val="20"/>
                <w:szCs w:val="20"/>
              </w:rPr>
              <w:t>James Trudeau, Ph.D.</w:t>
            </w:r>
          </w:p>
          <w:p w14:paraId="5BDE68B3"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NITT Evaluation Project Director</w:t>
            </w:r>
          </w:p>
        </w:tc>
        <w:tc>
          <w:tcPr>
            <w:tcW w:w="3420" w:type="dxa"/>
          </w:tcPr>
          <w:p w14:paraId="7E638C51"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Senior Research Social Scientist</w:t>
            </w:r>
          </w:p>
          <w:p w14:paraId="4C0AF1D7"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Center for Justice, Safety, and Resilience</w:t>
            </w:r>
          </w:p>
          <w:p w14:paraId="5AECAD08"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RTI International</w:t>
            </w:r>
          </w:p>
          <w:p w14:paraId="44B6E346"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3040 East Cornwallis Road</w:t>
            </w:r>
          </w:p>
          <w:p w14:paraId="3739C654"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Research Triangle Park, NC 27709</w:t>
            </w:r>
          </w:p>
        </w:tc>
        <w:tc>
          <w:tcPr>
            <w:tcW w:w="3510" w:type="dxa"/>
          </w:tcPr>
          <w:p w14:paraId="3E7A4C72" w14:textId="77777777" w:rsidR="00821E2E" w:rsidRPr="00937929" w:rsidRDefault="00821E2E" w:rsidP="0061557E">
            <w:pPr>
              <w:tabs>
                <w:tab w:val="left" w:pos="634"/>
              </w:tabs>
              <w:spacing w:after="0"/>
              <w:rPr>
                <w:rFonts w:eastAsia="Calibri" w:cs="Times New Roman"/>
                <w:sz w:val="20"/>
                <w:szCs w:val="20"/>
              </w:rPr>
            </w:pPr>
            <w:r w:rsidRPr="00937929">
              <w:rPr>
                <w:rFonts w:eastAsia="Calibri" w:cs="Times New Roman"/>
                <w:sz w:val="20"/>
                <w:szCs w:val="20"/>
              </w:rPr>
              <w:t xml:space="preserve">Phone: </w:t>
            </w:r>
            <w:r>
              <w:rPr>
                <w:rFonts w:eastAsia="Calibri" w:cs="Times New Roman"/>
                <w:sz w:val="20"/>
                <w:szCs w:val="20"/>
              </w:rPr>
              <w:tab/>
            </w:r>
            <w:r w:rsidRPr="00937929">
              <w:rPr>
                <w:rFonts w:eastAsia="Calibri" w:cs="Times New Roman"/>
                <w:sz w:val="20"/>
                <w:szCs w:val="20"/>
              </w:rPr>
              <w:t>919-485–7751</w:t>
            </w:r>
          </w:p>
          <w:p w14:paraId="74D399A3" w14:textId="77777777" w:rsidR="00821E2E" w:rsidRPr="00937929" w:rsidRDefault="00821E2E" w:rsidP="0061557E">
            <w:pPr>
              <w:tabs>
                <w:tab w:val="left" w:pos="634"/>
              </w:tabs>
              <w:spacing w:after="0"/>
              <w:rPr>
                <w:rFonts w:eastAsia="Calibri" w:cs="Times New Roman"/>
                <w:sz w:val="20"/>
                <w:szCs w:val="20"/>
              </w:rPr>
            </w:pPr>
            <w:r w:rsidRPr="00937929">
              <w:rPr>
                <w:rFonts w:eastAsia="Calibri" w:cs="Times New Roman"/>
                <w:sz w:val="20"/>
                <w:szCs w:val="20"/>
              </w:rPr>
              <w:t xml:space="preserve">Email: </w:t>
            </w:r>
            <w:r>
              <w:rPr>
                <w:rFonts w:eastAsia="Calibri" w:cs="Times New Roman"/>
                <w:sz w:val="20"/>
                <w:szCs w:val="20"/>
              </w:rPr>
              <w:tab/>
            </w:r>
            <w:r w:rsidRPr="00937929">
              <w:rPr>
                <w:rFonts w:eastAsia="Calibri" w:cs="Times New Roman"/>
                <w:sz w:val="20"/>
                <w:szCs w:val="20"/>
              </w:rPr>
              <w:t>trudeau@rti.org</w:t>
            </w:r>
          </w:p>
        </w:tc>
      </w:tr>
      <w:tr w:rsidR="00821E2E" w:rsidRPr="00937929" w:rsidDel="00CC7210" w14:paraId="1F6F829D" w14:textId="77777777" w:rsidTr="0061557E">
        <w:trPr>
          <w:cantSplit/>
        </w:trPr>
        <w:tc>
          <w:tcPr>
            <w:tcW w:w="2700" w:type="dxa"/>
          </w:tcPr>
          <w:p w14:paraId="1D0A4B12" w14:textId="77777777" w:rsidR="00821E2E" w:rsidRPr="00937929" w:rsidRDefault="00821E2E" w:rsidP="0061557E">
            <w:pPr>
              <w:spacing w:after="0"/>
              <w:rPr>
                <w:rFonts w:eastAsia="Calibri" w:cs="Times New Roman"/>
                <w:b/>
                <w:sz w:val="20"/>
                <w:szCs w:val="20"/>
              </w:rPr>
            </w:pPr>
            <w:r w:rsidRPr="00937929">
              <w:rPr>
                <w:rFonts w:eastAsia="Calibri" w:cs="Times New Roman"/>
                <w:b/>
                <w:sz w:val="20"/>
                <w:szCs w:val="20"/>
              </w:rPr>
              <w:t>Heather Ringeisen, Ph.D.</w:t>
            </w:r>
          </w:p>
          <w:p w14:paraId="2EEEA29E"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NITT-HT Evaluation Lead &amp; NITT Evaluation Deputy Project Director</w:t>
            </w:r>
          </w:p>
        </w:tc>
        <w:tc>
          <w:tcPr>
            <w:tcW w:w="3420" w:type="dxa"/>
          </w:tcPr>
          <w:p w14:paraId="13E16044"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Director</w:t>
            </w:r>
          </w:p>
          <w:p w14:paraId="4836D483"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Center for Behavioral Health and Development</w:t>
            </w:r>
          </w:p>
          <w:p w14:paraId="7A838E30"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RTI International</w:t>
            </w:r>
          </w:p>
          <w:p w14:paraId="23F2B728"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3040 East Cornwallis Road</w:t>
            </w:r>
          </w:p>
          <w:p w14:paraId="31694CC7"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Research Triangle Park, NC 27709</w:t>
            </w:r>
          </w:p>
        </w:tc>
        <w:tc>
          <w:tcPr>
            <w:tcW w:w="3510" w:type="dxa"/>
          </w:tcPr>
          <w:p w14:paraId="2FB34091" w14:textId="77777777" w:rsidR="00821E2E" w:rsidRPr="00937929" w:rsidRDefault="00821E2E" w:rsidP="0061557E">
            <w:pPr>
              <w:tabs>
                <w:tab w:val="left" w:pos="634"/>
              </w:tabs>
              <w:spacing w:after="0"/>
              <w:rPr>
                <w:rFonts w:eastAsia="Calibri" w:cs="Times New Roman"/>
                <w:sz w:val="20"/>
                <w:szCs w:val="20"/>
              </w:rPr>
            </w:pPr>
            <w:r w:rsidRPr="00937929">
              <w:rPr>
                <w:rFonts w:eastAsia="Calibri" w:cs="Times New Roman"/>
                <w:sz w:val="20"/>
                <w:szCs w:val="20"/>
              </w:rPr>
              <w:t xml:space="preserve">Phone: </w:t>
            </w:r>
            <w:r>
              <w:rPr>
                <w:rFonts w:eastAsia="Calibri" w:cs="Times New Roman"/>
                <w:sz w:val="20"/>
                <w:szCs w:val="20"/>
              </w:rPr>
              <w:tab/>
            </w:r>
            <w:r w:rsidRPr="00937929">
              <w:rPr>
                <w:rFonts w:eastAsia="Calibri" w:cs="Times New Roman"/>
                <w:sz w:val="20"/>
                <w:szCs w:val="20"/>
                <w:lang w:val="en"/>
              </w:rPr>
              <w:t>919-541-6931</w:t>
            </w:r>
          </w:p>
          <w:p w14:paraId="0AC0BF17" w14:textId="77777777" w:rsidR="00821E2E" w:rsidRPr="00937929" w:rsidRDefault="00821E2E" w:rsidP="0061557E">
            <w:pPr>
              <w:tabs>
                <w:tab w:val="left" w:pos="634"/>
              </w:tabs>
              <w:spacing w:after="0"/>
              <w:rPr>
                <w:rFonts w:eastAsia="Calibri" w:cs="Times New Roman"/>
                <w:sz w:val="20"/>
                <w:szCs w:val="20"/>
              </w:rPr>
            </w:pPr>
            <w:r w:rsidRPr="00937929">
              <w:rPr>
                <w:rFonts w:eastAsia="Calibri" w:cs="Times New Roman"/>
                <w:sz w:val="20"/>
                <w:szCs w:val="20"/>
              </w:rPr>
              <w:t xml:space="preserve">Email: </w:t>
            </w:r>
            <w:r>
              <w:rPr>
                <w:rFonts w:eastAsia="Calibri" w:cs="Times New Roman"/>
                <w:sz w:val="20"/>
                <w:szCs w:val="20"/>
              </w:rPr>
              <w:tab/>
            </w:r>
            <w:r w:rsidRPr="00937929">
              <w:rPr>
                <w:rFonts w:eastAsia="Calibri" w:cs="Times New Roman"/>
                <w:sz w:val="20"/>
                <w:szCs w:val="20"/>
              </w:rPr>
              <w:t>hringeisen@rti.org</w:t>
            </w:r>
          </w:p>
        </w:tc>
      </w:tr>
      <w:tr w:rsidR="00821E2E" w:rsidRPr="00937929" w:rsidDel="00CC7210" w14:paraId="67FEFCEA" w14:textId="77777777" w:rsidTr="0061557E">
        <w:trPr>
          <w:cantSplit/>
        </w:trPr>
        <w:tc>
          <w:tcPr>
            <w:tcW w:w="2700" w:type="dxa"/>
          </w:tcPr>
          <w:p w14:paraId="13F28FCA" w14:textId="77777777" w:rsidR="00821E2E" w:rsidRPr="00937929" w:rsidRDefault="00821E2E" w:rsidP="0061557E">
            <w:pPr>
              <w:spacing w:after="0"/>
              <w:rPr>
                <w:rFonts w:eastAsia="Calibri" w:cs="Times New Roman"/>
                <w:b/>
                <w:sz w:val="20"/>
                <w:szCs w:val="20"/>
              </w:rPr>
            </w:pPr>
            <w:r w:rsidRPr="00937929">
              <w:rPr>
                <w:rFonts w:eastAsia="Calibri" w:cs="Times New Roman"/>
                <w:b/>
                <w:sz w:val="20"/>
                <w:szCs w:val="20"/>
              </w:rPr>
              <w:t>Antonio Morgan-Lopez, Ph.D.</w:t>
            </w:r>
          </w:p>
          <w:p w14:paraId="5B82E830"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NITT-HT Analysis Team Lead</w:t>
            </w:r>
          </w:p>
        </w:tc>
        <w:tc>
          <w:tcPr>
            <w:tcW w:w="3420" w:type="dxa"/>
          </w:tcPr>
          <w:p w14:paraId="48124EEE"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Principal Scientist</w:t>
            </w:r>
          </w:p>
          <w:p w14:paraId="016AE3F8"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Risk Behavior and Family Research</w:t>
            </w:r>
          </w:p>
          <w:p w14:paraId="7CB85CF5"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RTI International</w:t>
            </w:r>
          </w:p>
          <w:p w14:paraId="47D3283A"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3040 East Cornwallis Road</w:t>
            </w:r>
          </w:p>
          <w:p w14:paraId="0ABB1CCE"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Research Triangle Park, NC 27709</w:t>
            </w:r>
          </w:p>
        </w:tc>
        <w:tc>
          <w:tcPr>
            <w:tcW w:w="3510" w:type="dxa"/>
          </w:tcPr>
          <w:p w14:paraId="474CB53F" w14:textId="77777777" w:rsidR="00821E2E" w:rsidRPr="00937929" w:rsidRDefault="00821E2E" w:rsidP="0061557E">
            <w:pPr>
              <w:tabs>
                <w:tab w:val="left" w:pos="634"/>
              </w:tabs>
              <w:spacing w:after="0"/>
              <w:rPr>
                <w:rFonts w:eastAsia="Calibri" w:cs="Times New Roman"/>
                <w:sz w:val="20"/>
                <w:szCs w:val="20"/>
              </w:rPr>
            </w:pPr>
            <w:r w:rsidRPr="00937929">
              <w:rPr>
                <w:rFonts w:eastAsia="Calibri" w:cs="Times New Roman"/>
                <w:sz w:val="20"/>
                <w:szCs w:val="20"/>
              </w:rPr>
              <w:t xml:space="preserve">Phone: </w:t>
            </w:r>
            <w:r>
              <w:rPr>
                <w:rFonts w:eastAsia="Calibri" w:cs="Times New Roman"/>
                <w:sz w:val="20"/>
                <w:szCs w:val="20"/>
              </w:rPr>
              <w:tab/>
            </w:r>
            <w:r w:rsidRPr="00937929">
              <w:rPr>
                <w:rFonts w:eastAsia="Calibri" w:cs="Times New Roman"/>
                <w:sz w:val="20"/>
                <w:szCs w:val="20"/>
              </w:rPr>
              <w:t>919-316–3436</w:t>
            </w:r>
          </w:p>
          <w:p w14:paraId="64D20461" w14:textId="77777777" w:rsidR="00821E2E" w:rsidRPr="00937929" w:rsidRDefault="00821E2E" w:rsidP="0061557E">
            <w:pPr>
              <w:tabs>
                <w:tab w:val="left" w:pos="634"/>
              </w:tabs>
              <w:spacing w:after="0"/>
              <w:rPr>
                <w:rFonts w:eastAsia="Calibri" w:cs="Times New Roman"/>
                <w:sz w:val="20"/>
                <w:szCs w:val="20"/>
              </w:rPr>
            </w:pPr>
            <w:r w:rsidRPr="00937929">
              <w:rPr>
                <w:rFonts w:eastAsia="Calibri" w:cs="Times New Roman"/>
                <w:sz w:val="20"/>
                <w:szCs w:val="20"/>
              </w:rPr>
              <w:t xml:space="preserve">Email: </w:t>
            </w:r>
            <w:r>
              <w:rPr>
                <w:rFonts w:eastAsia="Calibri" w:cs="Times New Roman"/>
                <w:sz w:val="20"/>
                <w:szCs w:val="20"/>
              </w:rPr>
              <w:tab/>
            </w:r>
            <w:r w:rsidRPr="00937929">
              <w:rPr>
                <w:rFonts w:eastAsia="Calibri" w:cs="Times New Roman"/>
                <w:sz w:val="20"/>
                <w:szCs w:val="20"/>
              </w:rPr>
              <w:t>amorganlopez@rti.org</w:t>
            </w:r>
          </w:p>
        </w:tc>
      </w:tr>
    </w:tbl>
    <w:p w14:paraId="0137115F" w14:textId="77777777" w:rsidR="00821E2E" w:rsidRPr="0043364D" w:rsidRDefault="00821E2E" w:rsidP="00821E2E">
      <w:pPr>
        <w:jc w:val="right"/>
        <w:rPr>
          <w:sz w:val="20"/>
        </w:rPr>
      </w:pPr>
      <w:r w:rsidRPr="0043364D">
        <w:rPr>
          <w:sz w:val="20"/>
        </w:rPr>
        <w:t>(</w:t>
      </w:r>
      <w:proofErr w:type="gramStart"/>
      <w:r w:rsidRPr="0043364D">
        <w:rPr>
          <w:sz w:val="20"/>
        </w:rPr>
        <w:t>continued</w:t>
      </w:r>
      <w:proofErr w:type="gramEnd"/>
      <w:r w:rsidRPr="0043364D">
        <w:rPr>
          <w:sz w:val="20"/>
        </w:rPr>
        <w:t>)</w:t>
      </w:r>
    </w:p>
    <w:p w14:paraId="38A227A1" w14:textId="6A1FAB2E" w:rsidR="00821E2E" w:rsidRPr="00AC4B50" w:rsidRDefault="00821E2E" w:rsidP="00704B64">
      <w:pPr>
        <w:pStyle w:val="ExhibitTitle"/>
        <w:ind w:left="990" w:hanging="990"/>
      </w:pPr>
      <w:r w:rsidRPr="00AC4B50">
        <w:t xml:space="preserve">Table </w:t>
      </w:r>
      <w:r w:rsidR="00704B64">
        <w:t>9</w:t>
      </w:r>
      <w:r w:rsidRPr="00AC4B50">
        <w:t>.</w:t>
      </w:r>
      <w:r>
        <w:tab/>
      </w:r>
      <w:r w:rsidRPr="00AC4B50">
        <w:t>Statistical Consultants for the Now Is the Time (NITT) – Healthy Transitions Evaluation</w:t>
      </w:r>
      <w:r>
        <w:t xml:space="preserve"> (continued)</w:t>
      </w:r>
    </w:p>
    <w:tbl>
      <w:tblPr>
        <w:tblW w:w="9630" w:type="dxa"/>
        <w:tblInd w:w="-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2700"/>
        <w:gridCol w:w="3420"/>
        <w:gridCol w:w="3510"/>
      </w:tblGrid>
      <w:tr w:rsidR="00821E2E" w:rsidRPr="00937929" w14:paraId="01C483EC" w14:textId="77777777" w:rsidTr="0061557E">
        <w:trPr>
          <w:cantSplit/>
          <w:tblHeader/>
        </w:trPr>
        <w:tc>
          <w:tcPr>
            <w:tcW w:w="2700" w:type="dxa"/>
            <w:shd w:val="clear" w:color="auto" w:fill="DEEAF6" w:themeFill="accent1" w:themeFillTint="33"/>
            <w:vAlign w:val="bottom"/>
          </w:tcPr>
          <w:p w14:paraId="3FD71538" w14:textId="77777777" w:rsidR="00821E2E" w:rsidRPr="00937929" w:rsidRDefault="00821E2E" w:rsidP="0061557E">
            <w:pPr>
              <w:spacing w:before="40" w:after="40"/>
              <w:jc w:val="center"/>
              <w:rPr>
                <w:rFonts w:eastAsia="Calibri" w:cs="Times New Roman"/>
                <w:b/>
              </w:rPr>
            </w:pPr>
            <w:r w:rsidRPr="00937929">
              <w:rPr>
                <w:rFonts w:eastAsia="Calibri" w:cs="Times New Roman"/>
                <w:b/>
              </w:rPr>
              <w:t>Name &amp; Role in Evaluation</w:t>
            </w:r>
          </w:p>
        </w:tc>
        <w:tc>
          <w:tcPr>
            <w:tcW w:w="3420" w:type="dxa"/>
            <w:shd w:val="clear" w:color="auto" w:fill="DEEAF6" w:themeFill="accent1" w:themeFillTint="33"/>
            <w:vAlign w:val="bottom"/>
          </w:tcPr>
          <w:p w14:paraId="3955E075" w14:textId="77777777" w:rsidR="00821E2E" w:rsidRPr="00937929" w:rsidRDefault="00821E2E" w:rsidP="0061557E">
            <w:pPr>
              <w:spacing w:before="40" w:after="40"/>
              <w:jc w:val="center"/>
              <w:rPr>
                <w:rFonts w:eastAsia="Calibri" w:cs="Times New Roman"/>
                <w:b/>
              </w:rPr>
            </w:pPr>
            <w:r w:rsidRPr="00937929">
              <w:rPr>
                <w:rFonts w:eastAsia="Calibri" w:cs="Times New Roman"/>
                <w:b/>
              </w:rPr>
              <w:t>Title &amp; Address</w:t>
            </w:r>
          </w:p>
        </w:tc>
        <w:tc>
          <w:tcPr>
            <w:tcW w:w="3510" w:type="dxa"/>
            <w:shd w:val="clear" w:color="auto" w:fill="DEEAF6" w:themeFill="accent1" w:themeFillTint="33"/>
            <w:vAlign w:val="bottom"/>
          </w:tcPr>
          <w:p w14:paraId="2E90BD8D" w14:textId="77777777" w:rsidR="00821E2E" w:rsidRPr="00937929" w:rsidRDefault="00821E2E" w:rsidP="0061557E">
            <w:pPr>
              <w:spacing w:before="40" w:after="40"/>
              <w:jc w:val="center"/>
              <w:rPr>
                <w:rFonts w:eastAsia="Calibri" w:cs="Times New Roman"/>
                <w:b/>
              </w:rPr>
            </w:pPr>
            <w:r w:rsidRPr="00937929">
              <w:rPr>
                <w:rFonts w:eastAsia="Calibri" w:cs="Times New Roman"/>
                <w:b/>
              </w:rPr>
              <w:t>Contact Information</w:t>
            </w:r>
          </w:p>
        </w:tc>
      </w:tr>
      <w:tr w:rsidR="003532FB" w:rsidRPr="00937929" w:rsidDel="00CC7210" w14:paraId="6CEA6751" w14:textId="77777777" w:rsidTr="0061557E">
        <w:trPr>
          <w:cantSplit/>
        </w:trPr>
        <w:tc>
          <w:tcPr>
            <w:tcW w:w="2700" w:type="dxa"/>
          </w:tcPr>
          <w:p w14:paraId="3200AF98" w14:textId="77777777" w:rsidR="003532FB" w:rsidRPr="00937929" w:rsidRDefault="003532FB" w:rsidP="003532FB">
            <w:pPr>
              <w:spacing w:after="0"/>
              <w:rPr>
                <w:rFonts w:eastAsia="Calibri" w:cs="Times New Roman"/>
                <w:b/>
                <w:sz w:val="20"/>
                <w:szCs w:val="20"/>
              </w:rPr>
            </w:pPr>
            <w:r w:rsidRPr="00937929">
              <w:rPr>
                <w:rFonts w:eastAsia="Calibri" w:cs="Times New Roman"/>
                <w:b/>
                <w:sz w:val="20"/>
                <w:szCs w:val="20"/>
              </w:rPr>
              <w:t>Maryann Davis, Ph.D.</w:t>
            </w:r>
          </w:p>
          <w:p w14:paraId="71B2BB56" w14:textId="5F5D333B" w:rsidR="003532FB" w:rsidRPr="00937929" w:rsidRDefault="003532FB" w:rsidP="003532FB">
            <w:pPr>
              <w:spacing w:after="0"/>
              <w:rPr>
                <w:rFonts w:eastAsia="Calibri" w:cs="Times New Roman"/>
                <w:b/>
                <w:sz w:val="20"/>
                <w:szCs w:val="20"/>
              </w:rPr>
            </w:pPr>
            <w:r>
              <w:rPr>
                <w:rFonts w:eastAsia="Calibri" w:cs="Times New Roman"/>
                <w:bCs/>
                <w:sz w:val="20"/>
                <w:szCs w:val="20"/>
              </w:rPr>
              <w:t>NITT-HT Process Evaluation Co-Lead</w:t>
            </w:r>
          </w:p>
        </w:tc>
        <w:tc>
          <w:tcPr>
            <w:tcW w:w="3420" w:type="dxa"/>
          </w:tcPr>
          <w:p w14:paraId="1583568C" w14:textId="77777777" w:rsidR="003532FB" w:rsidRPr="00937929" w:rsidRDefault="003532FB" w:rsidP="003532FB">
            <w:pPr>
              <w:spacing w:after="0"/>
              <w:rPr>
                <w:rFonts w:eastAsia="Calibri" w:cs="Times New Roman"/>
                <w:sz w:val="20"/>
                <w:szCs w:val="20"/>
              </w:rPr>
            </w:pPr>
            <w:r w:rsidRPr="00937929">
              <w:rPr>
                <w:rFonts w:eastAsia="Calibri" w:cs="Times New Roman"/>
                <w:sz w:val="20"/>
                <w:szCs w:val="20"/>
              </w:rPr>
              <w:t>Research Associate Professor of Psychology</w:t>
            </w:r>
          </w:p>
          <w:p w14:paraId="6A9BF2DA" w14:textId="77777777" w:rsidR="003532FB" w:rsidRPr="00937929" w:rsidRDefault="003532FB" w:rsidP="003532FB">
            <w:pPr>
              <w:keepNext/>
              <w:spacing w:after="0"/>
              <w:rPr>
                <w:rFonts w:eastAsia="Calibri" w:cs="Arial"/>
                <w:sz w:val="20"/>
                <w:szCs w:val="20"/>
              </w:rPr>
            </w:pPr>
            <w:r w:rsidRPr="00937929">
              <w:rPr>
                <w:rFonts w:eastAsia="Calibri" w:cs="Arial"/>
                <w:sz w:val="20"/>
                <w:szCs w:val="20"/>
              </w:rPr>
              <w:t>Transitions RTC, Systems and Psychosocial Advances Research Center</w:t>
            </w:r>
          </w:p>
          <w:p w14:paraId="7BC085A9" w14:textId="77777777" w:rsidR="003532FB" w:rsidRPr="00937929" w:rsidRDefault="003532FB" w:rsidP="003532FB">
            <w:pPr>
              <w:spacing w:after="0"/>
              <w:rPr>
                <w:rFonts w:eastAsia="Calibri" w:cs="Times New Roman"/>
                <w:sz w:val="20"/>
                <w:szCs w:val="20"/>
              </w:rPr>
            </w:pPr>
            <w:r w:rsidRPr="00937929">
              <w:rPr>
                <w:rFonts w:eastAsia="Calibri" w:cs="Times New Roman"/>
                <w:sz w:val="20"/>
                <w:szCs w:val="20"/>
              </w:rPr>
              <w:t>Department of Psychiatry, University of Massachusetts Medical School</w:t>
            </w:r>
          </w:p>
          <w:p w14:paraId="23D496E3" w14:textId="77777777" w:rsidR="003532FB" w:rsidRPr="00937929" w:rsidRDefault="003532FB" w:rsidP="003532FB">
            <w:pPr>
              <w:keepNext/>
              <w:spacing w:after="0"/>
              <w:rPr>
                <w:rFonts w:eastAsia="Calibri" w:cs="Arial"/>
                <w:sz w:val="20"/>
                <w:szCs w:val="20"/>
              </w:rPr>
            </w:pPr>
            <w:r w:rsidRPr="00937929">
              <w:rPr>
                <w:rFonts w:eastAsia="Calibri" w:cs="Arial"/>
                <w:sz w:val="20"/>
                <w:szCs w:val="20"/>
              </w:rPr>
              <w:t>222 Maple Avenue, Chang Building</w:t>
            </w:r>
          </w:p>
          <w:p w14:paraId="70C9C40E" w14:textId="2DAD4AEC" w:rsidR="003532FB" w:rsidRPr="00937929" w:rsidRDefault="003532FB" w:rsidP="003532FB">
            <w:pPr>
              <w:spacing w:after="0"/>
              <w:rPr>
                <w:rFonts w:eastAsia="Calibri" w:cs="Times New Roman"/>
                <w:sz w:val="20"/>
                <w:szCs w:val="20"/>
              </w:rPr>
            </w:pPr>
            <w:r w:rsidRPr="00937929">
              <w:rPr>
                <w:rFonts w:eastAsia="Calibri" w:cs="Times New Roman"/>
                <w:sz w:val="20"/>
                <w:szCs w:val="20"/>
              </w:rPr>
              <w:t>Shrewsbury, MA 01545</w:t>
            </w:r>
          </w:p>
        </w:tc>
        <w:tc>
          <w:tcPr>
            <w:tcW w:w="3510" w:type="dxa"/>
          </w:tcPr>
          <w:p w14:paraId="6C200C02" w14:textId="77777777" w:rsidR="003532FB" w:rsidRPr="00937929" w:rsidRDefault="003532FB" w:rsidP="003532FB">
            <w:pPr>
              <w:tabs>
                <w:tab w:val="left" w:pos="634"/>
              </w:tabs>
              <w:spacing w:after="0"/>
              <w:rPr>
                <w:rFonts w:eastAsia="Calibri" w:cs="Times New Roman"/>
                <w:sz w:val="20"/>
                <w:szCs w:val="20"/>
              </w:rPr>
            </w:pPr>
            <w:r w:rsidRPr="00937929">
              <w:rPr>
                <w:rFonts w:eastAsia="Calibri" w:cs="Times New Roman"/>
                <w:sz w:val="20"/>
                <w:szCs w:val="20"/>
              </w:rPr>
              <w:t xml:space="preserve">Phone: </w:t>
            </w:r>
            <w:r>
              <w:rPr>
                <w:rFonts w:eastAsia="Calibri" w:cs="Times New Roman"/>
                <w:sz w:val="20"/>
                <w:szCs w:val="20"/>
              </w:rPr>
              <w:tab/>
            </w:r>
            <w:r w:rsidRPr="00937929">
              <w:rPr>
                <w:rFonts w:eastAsia="Calibri" w:cs="Times New Roman"/>
                <w:sz w:val="20"/>
                <w:szCs w:val="20"/>
              </w:rPr>
              <w:t xml:space="preserve">508-856-8718 </w:t>
            </w:r>
          </w:p>
          <w:p w14:paraId="077349FF" w14:textId="2479A57C" w:rsidR="003532FB" w:rsidRPr="00937929" w:rsidRDefault="003532FB" w:rsidP="003532FB">
            <w:pPr>
              <w:tabs>
                <w:tab w:val="left" w:pos="634"/>
              </w:tabs>
              <w:spacing w:after="0"/>
              <w:rPr>
                <w:rFonts w:eastAsia="Calibri" w:cs="Times New Roman"/>
                <w:sz w:val="20"/>
                <w:szCs w:val="20"/>
              </w:rPr>
            </w:pPr>
            <w:r w:rsidRPr="00937929">
              <w:rPr>
                <w:rFonts w:eastAsia="Calibri" w:cs="Times New Roman"/>
                <w:sz w:val="20"/>
                <w:szCs w:val="20"/>
              </w:rPr>
              <w:t xml:space="preserve">Email: </w:t>
            </w:r>
            <w:r>
              <w:rPr>
                <w:rFonts w:eastAsia="Calibri" w:cs="Times New Roman"/>
                <w:sz w:val="20"/>
                <w:szCs w:val="20"/>
              </w:rPr>
              <w:tab/>
            </w:r>
            <w:r w:rsidRPr="00937929">
              <w:rPr>
                <w:rFonts w:eastAsia="Calibri" w:cs="Times New Roman"/>
                <w:sz w:val="20"/>
                <w:szCs w:val="20"/>
              </w:rPr>
              <w:t>Maryann.Davis@umassmed.edu</w:t>
            </w:r>
          </w:p>
        </w:tc>
      </w:tr>
      <w:tr w:rsidR="00821E2E" w:rsidRPr="00937929" w:rsidDel="00CC7210" w14:paraId="46222FE5" w14:textId="77777777" w:rsidTr="0061557E">
        <w:trPr>
          <w:cantSplit/>
        </w:trPr>
        <w:tc>
          <w:tcPr>
            <w:tcW w:w="2700" w:type="dxa"/>
          </w:tcPr>
          <w:p w14:paraId="6B05A2F6" w14:textId="77777777" w:rsidR="00821E2E" w:rsidRPr="00937929" w:rsidRDefault="00821E2E" w:rsidP="0061557E">
            <w:pPr>
              <w:spacing w:after="0"/>
              <w:rPr>
                <w:rFonts w:eastAsia="Calibri" w:cs="Times New Roman"/>
                <w:b/>
                <w:sz w:val="20"/>
                <w:szCs w:val="20"/>
              </w:rPr>
            </w:pPr>
            <w:r w:rsidRPr="00937929">
              <w:rPr>
                <w:rFonts w:eastAsia="Calibri" w:cs="Times New Roman"/>
                <w:b/>
                <w:sz w:val="20"/>
                <w:szCs w:val="20"/>
              </w:rPr>
              <w:t>Mason Haber, Ph.D.</w:t>
            </w:r>
          </w:p>
          <w:p w14:paraId="5249BA58" w14:textId="77777777" w:rsidR="00821E2E" w:rsidRPr="00937929" w:rsidRDefault="00821E2E" w:rsidP="0061557E">
            <w:pPr>
              <w:spacing w:after="0"/>
              <w:rPr>
                <w:rFonts w:eastAsia="Calibri" w:cs="Times New Roman"/>
                <w:sz w:val="20"/>
                <w:szCs w:val="20"/>
              </w:rPr>
            </w:pPr>
            <w:r>
              <w:rPr>
                <w:rFonts w:eastAsia="Calibri" w:cs="Times New Roman"/>
                <w:bCs/>
                <w:sz w:val="20"/>
                <w:szCs w:val="20"/>
              </w:rPr>
              <w:t>NITT-HT Process Evaluation Co-Lead</w:t>
            </w:r>
          </w:p>
        </w:tc>
        <w:tc>
          <w:tcPr>
            <w:tcW w:w="3420" w:type="dxa"/>
          </w:tcPr>
          <w:p w14:paraId="717EA000"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Assistant Professor of Psychology</w:t>
            </w:r>
          </w:p>
          <w:p w14:paraId="21CD1EA2" w14:textId="77777777" w:rsidR="00821E2E" w:rsidRPr="00937929" w:rsidRDefault="00821E2E" w:rsidP="0061557E">
            <w:pPr>
              <w:keepNext/>
              <w:spacing w:after="0"/>
              <w:rPr>
                <w:rFonts w:eastAsia="Calibri" w:cs="Arial"/>
                <w:sz w:val="20"/>
                <w:szCs w:val="20"/>
              </w:rPr>
            </w:pPr>
            <w:r w:rsidRPr="00937929">
              <w:rPr>
                <w:rFonts w:eastAsia="Calibri" w:cs="Arial"/>
                <w:sz w:val="20"/>
                <w:szCs w:val="20"/>
              </w:rPr>
              <w:t>Transitions RTC, Systems and Psychosocial Advances Research Center</w:t>
            </w:r>
          </w:p>
          <w:p w14:paraId="551CDF6D"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Department of Psychiatry, University of Massachusetts Medical School</w:t>
            </w:r>
          </w:p>
          <w:p w14:paraId="4FB449BD" w14:textId="77777777" w:rsidR="00821E2E" w:rsidRPr="00937929" w:rsidRDefault="00821E2E" w:rsidP="0061557E">
            <w:pPr>
              <w:keepNext/>
              <w:spacing w:after="0"/>
              <w:rPr>
                <w:rFonts w:eastAsia="Calibri" w:cs="Arial"/>
                <w:sz w:val="20"/>
                <w:szCs w:val="20"/>
              </w:rPr>
            </w:pPr>
            <w:r w:rsidRPr="00937929">
              <w:rPr>
                <w:rFonts w:eastAsia="Calibri" w:cs="Arial"/>
                <w:sz w:val="20"/>
                <w:szCs w:val="20"/>
              </w:rPr>
              <w:t>222 Maple Avenue, Chang Building</w:t>
            </w:r>
          </w:p>
          <w:p w14:paraId="527DBC23"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Shrewsbury, MA 01545</w:t>
            </w:r>
          </w:p>
        </w:tc>
        <w:tc>
          <w:tcPr>
            <w:tcW w:w="3510" w:type="dxa"/>
          </w:tcPr>
          <w:p w14:paraId="3CA77ACF" w14:textId="77777777" w:rsidR="00821E2E" w:rsidRPr="00937929" w:rsidRDefault="00821E2E" w:rsidP="0061557E">
            <w:pPr>
              <w:tabs>
                <w:tab w:val="left" w:pos="634"/>
              </w:tabs>
              <w:spacing w:after="0"/>
              <w:rPr>
                <w:rFonts w:eastAsia="Calibri" w:cs="Times New Roman"/>
                <w:sz w:val="20"/>
                <w:szCs w:val="20"/>
              </w:rPr>
            </w:pPr>
            <w:r w:rsidRPr="00937929">
              <w:rPr>
                <w:rFonts w:eastAsia="Calibri" w:cs="Times New Roman"/>
                <w:sz w:val="20"/>
                <w:szCs w:val="20"/>
              </w:rPr>
              <w:t xml:space="preserve">Phone: </w:t>
            </w:r>
            <w:r>
              <w:rPr>
                <w:rFonts w:eastAsia="Calibri" w:cs="Times New Roman"/>
                <w:sz w:val="20"/>
                <w:szCs w:val="20"/>
              </w:rPr>
              <w:tab/>
            </w:r>
            <w:r w:rsidRPr="00937929">
              <w:rPr>
                <w:rFonts w:eastAsia="Calibri" w:cs="Times New Roman"/>
                <w:sz w:val="20"/>
                <w:szCs w:val="20"/>
              </w:rPr>
              <w:t>508 856-8487</w:t>
            </w:r>
          </w:p>
          <w:p w14:paraId="001F26DA" w14:textId="77777777" w:rsidR="00821E2E" w:rsidRPr="00937929" w:rsidRDefault="00821E2E" w:rsidP="0061557E">
            <w:pPr>
              <w:tabs>
                <w:tab w:val="left" w:pos="634"/>
              </w:tabs>
              <w:spacing w:after="0"/>
              <w:rPr>
                <w:rFonts w:eastAsia="Calibri" w:cs="Times New Roman"/>
                <w:sz w:val="20"/>
                <w:szCs w:val="20"/>
              </w:rPr>
            </w:pPr>
            <w:r w:rsidRPr="00937929">
              <w:rPr>
                <w:rFonts w:eastAsia="Calibri" w:cs="Times New Roman"/>
                <w:sz w:val="20"/>
                <w:szCs w:val="20"/>
              </w:rPr>
              <w:t xml:space="preserve">Email: </w:t>
            </w:r>
            <w:r>
              <w:rPr>
                <w:rFonts w:eastAsia="Calibri" w:cs="Times New Roman"/>
                <w:sz w:val="20"/>
                <w:szCs w:val="20"/>
              </w:rPr>
              <w:tab/>
            </w:r>
            <w:r w:rsidRPr="00937929">
              <w:rPr>
                <w:rFonts w:eastAsia="Calibri" w:cs="Times New Roman"/>
                <w:sz w:val="20"/>
                <w:szCs w:val="20"/>
              </w:rPr>
              <w:t>mason.haber@umassmed.edu</w:t>
            </w:r>
          </w:p>
        </w:tc>
      </w:tr>
      <w:tr w:rsidR="00821E2E" w:rsidRPr="00937929" w:rsidDel="00CC7210" w14:paraId="6D1EE511" w14:textId="77777777" w:rsidTr="0061557E">
        <w:trPr>
          <w:cantSplit/>
        </w:trPr>
        <w:tc>
          <w:tcPr>
            <w:tcW w:w="2700" w:type="dxa"/>
          </w:tcPr>
          <w:p w14:paraId="28942E99" w14:textId="77777777" w:rsidR="00821E2E" w:rsidRPr="00937929" w:rsidRDefault="00821E2E" w:rsidP="0061557E">
            <w:pPr>
              <w:spacing w:after="0"/>
              <w:rPr>
                <w:rFonts w:eastAsia="Calibri" w:cs="Times New Roman"/>
                <w:b/>
                <w:sz w:val="20"/>
                <w:szCs w:val="20"/>
              </w:rPr>
            </w:pPr>
            <w:r w:rsidRPr="00937929">
              <w:rPr>
                <w:rFonts w:eastAsia="Calibri" w:cs="Times New Roman"/>
                <w:b/>
                <w:sz w:val="20"/>
                <w:szCs w:val="20"/>
              </w:rPr>
              <w:t xml:space="preserve">Nancy </w:t>
            </w:r>
            <w:proofErr w:type="spellStart"/>
            <w:r w:rsidRPr="00937929">
              <w:rPr>
                <w:rFonts w:eastAsia="Calibri" w:cs="Times New Roman"/>
                <w:b/>
                <w:sz w:val="20"/>
                <w:szCs w:val="20"/>
              </w:rPr>
              <w:t>Koroloff</w:t>
            </w:r>
            <w:proofErr w:type="spellEnd"/>
            <w:r w:rsidRPr="00937929">
              <w:rPr>
                <w:rFonts w:eastAsia="Calibri" w:cs="Times New Roman"/>
                <w:b/>
                <w:sz w:val="20"/>
                <w:szCs w:val="20"/>
              </w:rPr>
              <w:t>, Ph.D.</w:t>
            </w:r>
          </w:p>
          <w:p w14:paraId="57CC739B" w14:textId="77777777" w:rsidR="00821E2E" w:rsidRPr="00937929" w:rsidRDefault="00821E2E" w:rsidP="0061557E">
            <w:pPr>
              <w:spacing w:after="0"/>
              <w:rPr>
                <w:rFonts w:eastAsia="Calibri" w:cs="Times New Roman"/>
                <w:bCs/>
                <w:sz w:val="20"/>
                <w:szCs w:val="20"/>
              </w:rPr>
            </w:pPr>
            <w:r>
              <w:rPr>
                <w:rFonts w:eastAsia="Calibri" w:cs="Times New Roman"/>
                <w:bCs/>
                <w:sz w:val="20"/>
                <w:szCs w:val="20"/>
              </w:rPr>
              <w:t xml:space="preserve">NITT-HT </w:t>
            </w:r>
            <w:r w:rsidRPr="00937929">
              <w:rPr>
                <w:rFonts w:eastAsia="Calibri" w:cs="Times New Roman"/>
                <w:sz w:val="20"/>
                <w:szCs w:val="20"/>
              </w:rPr>
              <w:t>Portland State University</w:t>
            </w:r>
            <w:r>
              <w:rPr>
                <w:rFonts w:eastAsia="Calibri" w:cs="Times New Roman"/>
                <w:bCs/>
                <w:sz w:val="20"/>
                <w:szCs w:val="20"/>
              </w:rPr>
              <w:t xml:space="preserve"> Co-Lead</w:t>
            </w:r>
          </w:p>
        </w:tc>
        <w:tc>
          <w:tcPr>
            <w:tcW w:w="3420" w:type="dxa"/>
          </w:tcPr>
          <w:p w14:paraId="597BDAD9"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Co-Director</w:t>
            </w:r>
          </w:p>
          <w:p w14:paraId="7F8792FE"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RTC, Pathways to Positive Futures</w:t>
            </w:r>
          </w:p>
          <w:p w14:paraId="0F1F0427"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Portland State University</w:t>
            </w:r>
          </w:p>
          <w:p w14:paraId="33EEF29B" w14:textId="77777777" w:rsidR="00821E2E" w:rsidRPr="00937929" w:rsidRDefault="00821E2E" w:rsidP="0061557E">
            <w:pPr>
              <w:keepNext/>
              <w:spacing w:after="0"/>
              <w:rPr>
                <w:rFonts w:eastAsia="Calibri" w:cs="Arial"/>
                <w:sz w:val="20"/>
                <w:szCs w:val="20"/>
              </w:rPr>
            </w:pPr>
            <w:r w:rsidRPr="00937929">
              <w:rPr>
                <w:rFonts w:eastAsia="Calibri" w:cs="Arial"/>
                <w:sz w:val="20"/>
                <w:szCs w:val="20"/>
              </w:rPr>
              <w:t>1600 SW 4th Avenue, Suite 900 </w:t>
            </w:r>
          </w:p>
          <w:p w14:paraId="70DE051D"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Portland, OR 97201</w:t>
            </w:r>
          </w:p>
        </w:tc>
        <w:tc>
          <w:tcPr>
            <w:tcW w:w="3510" w:type="dxa"/>
          </w:tcPr>
          <w:p w14:paraId="10771D74" w14:textId="77777777" w:rsidR="00821E2E" w:rsidRPr="00937929" w:rsidRDefault="00821E2E" w:rsidP="0061557E">
            <w:pPr>
              <w:tabs>
                <w:tab w:val="left" w:pos="634"/>
              </w:tabs>
              <w:spacing w:after="0"/>
              <w:rPr>
                <w:rFonts w:eastAsia="Calibri" w:cs="Times New Roman"/>
                <w:sz w:val="20"/>
                <w:szCs w:val="20"/>
              </w:rPr>
            </w:pPr>
            <w:r w:rsidRPr="00937929">
              <w:rPr>
                <w:rFonts w:eastAsia="Calibri" w:cs="Times New Roman"/>
                <w:sz w:val="20"/>
                <w:szCs w:val="20"/>
              </w:rPr>
              <w:t xml:space="preserve">Phone: </w:t>
            </w:r>
            <w:r>
              <w:rPr>
                <w:rFonts w:eastAsia="Calibri" w:cs="Times New Roman"/>
                <w:sz w:val="20"/>
                <w:szCs w:val="20"/>
              </w:rPr>
              <w:tab/>
            </w:r>
            <w:r w:rsidRPr="00937929">
              <w:rPr>
                <w:rFonts w:eastAsia="Calibri" w:cs="Times New Roman"/>
                <w:sz w:val="20"/>
                <w:szCs w:val="20"/>
              </w:rPr>
              <w:t>503-725-9675</w:t>
            </w:r>
          </w:p>
          <w:p w14:paraId="44B19E9E" w14:textId="77777777" w:rsidR="00821E2E" w:rsidRPr="00937929" w:rsidRDefault="00821E2E" w:rsidP="0061557E">
            <w:pPr>
              <w:tabs>
                <w:tab w:val="left" w:pos="634"/>
              </w:tabs>
              <w:spacing w:after="0"/>
              <w:rPr>
                <w:rFonts w:eastAsia="Calibri" w:cs="Times New Roman"/>
                <w:sz w:val="20"/>
                <w:szCs w:val="20"/>
              </w:rPr>
            </w:pPr>
            <w:r w:rsidRPr="00937929">
              <w:rPr>
                <w:rFonts w:eastAsia="Calibri" w:cs="Times New Roman"/>
                <w:sz w:val="20"/>
                <w:szCs w:val="20"/>
              </w:rPr>
              <w:t xml:space="preserve">Email: </w:t>
            </w:r>
            <w:r>
              <w:rPr>
                <w:rFonts w:eastAsia="Calibri" w:cs="Times New Roman"/>
                <w:sz w:val="20"/>
                <w:szCs w:val="20"/>
              </w:rPr>
              <w:tab/>
            </w:r>
            <w:r w:rsidRPr="00937929">
              <w:rPr>
                <w:rFonts w:eastAsia="Calibri" w:cs="Times New Roman"/>
                <w:sz w:val="20"/>
                <w:szCs w:val="20"/>
              </w:rPr>
              <w:t>koroloff@pdx.edu</w:t>
            </w:r>
          </w:p>
        </w:tc>
      </w:tr>
      <w:tr w:rsidR="00821E2E" w:rsidRPr="00937929" w14:paraId="583B7FFC" w14:textId="77777777" w:rsidTr="0061557E">
        <w:trPr>
          <w:cantSplit/>
        </w:trPr>
        <w:tc>
          <w:tcPr>
            <w:tcW w:w="2700" w:type="dxa"/>
          </w:tcPr>
          <w:p w14:paraId="5546BCED" w14:textId="77777777" w:rsidR="00821E2E" w:rsidRPr="00937929" w:rsidRDefault="00821E2E" w:rsidP="0061557E">
            <w:pPr>
              <w:spacing w:after="0"/>
              <w:rPr>
                <w:rFonts w:eastAsia="Calibri" w:cs="Times New Roman"/>
                <w:b/>
                <w:sz w:val="20"/>
                <w:szCs w:val="20"/>
              </w:rPr>
            </w:pPr>
            <w:r w:rsidRPr="00937929">
              <w:rPr>
                <w:rFonts w:eastAsia="Calibri" w:cs="Times New Roman"/>
                <w:b/>
                <w:sz w:val="20"/>
                <w:szCs w:val="20"/>
              </w:rPr>
              <w:t>Janet Walker, Ph.D.</w:t>
            </w:r>
          </w:p>
          <w:p w14:paraId="15CAC4C4" w14:textId="77777777" w:rsidR="00821E2E" w:rsidRPr="00937929" w:rsidRDefault="00821E2E" w:rsidP="0061557E">
            <w:pPr>
              <w:spacing w:after="0"/>
              <w:rPr>
                <w:rFonts w:eastAsia="Calibri" w:cs="Times New Roman"/>
                <w:bCs/>
                <w:sz w:val="20"/>
                <w:szCs w:val="20"/>
              </w:rPr>
            </w:pPr>
            <w:r>
              <w:rPr>
                <w:rFonts w:eastAsia="Calibri" w:cs="Times New Roman"/>
                <w:bCs/>
                <w:sz w:val="20"/>
                <w:szCs w:val="20"/>
              </w:rPr>
              <w:t xml:space="preserve">NITT-HT </w:t>
            </w:r>
            <w:r w:rsidRPr="00937929">
              <w:rPr>
                <w:rFonts w:eastAsia="Calibri" w:cs="Times New Roman"/>
                <w:sz w:val="20"/>
                <w:szCs w:val="20"/>
              </w:rPr>
              <w:t>Portland State University</w:t>
            </w:r>
            <w:r>
              <w:rPr>
                <w:rFonts w:eastAsia="Calibri" w:cs="Times New Roman"/>
                <w:bCs/>
                <w:sz w:val="20"/>
                <w:szCs w:val="20"/>
              </w:rPr>
              <w:t xml:space="preserve"> Co-Lead</w:t>
            </w:r>
          </w:p>
        </w:tc>
        <w:tc>
          <w:tcPr>
            <w:tcW w:w="3420" w:type="dxa"/>
          </w:tcPr>
          <w:p w14:paraId="1EEB3F90"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Co-Director</w:t>
            </w:r>
          </w:p>
          <w:p w14:paraId="41F23F2B"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RTC, Pathways to Positive Futures</w:t>
            </w:r>
          </w:p>
          <w:p w14:paraId="056E35E2"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Portland State University</w:t>
            </w:r>
          </w:p>
          <w:p w14:paraId="7015C9BC" w14:textId="77777777" w:rsidR="00821E2E" w:rsidRPr="00937929" w:rsidRDefault="00821E2E" w:rsidP="0061557E">
            <w:pPr>
              <w:keepNext/>
              <w:spacing w:after="0"/>
              <w:rPr>
                <w:rFonts w:eastAsia="Calibri" w:cs="Arial"/>
                <w:sz w:val="20"/>
                <w:szCs w:val="20"/>
              </w:rPr>
            </w:pPr>
            <w:r w:rsidRPr="00937929">
              <w:rPr>
                <w:rFonts w:eastAsia="Calibri" w:cs="Arial"/>
                <w:sz w:val="20"/>
                <w:szCs w:val="20"/>
              </w:rPr>
              <w:t>1600 SW 4th Avenue, Suite 900 </w:t>
            </w:r>
          </w:p>
          <w:p w14:paraId="0EE918B4"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Portland, OR 97201</w:t>
            </w:r>
          </w:p>
        </w:tc>
        <w:tc>
          <w:tcPr>
            <w:tcW w:w="3510" w:type="dxa"/>
          </w:tcPr>
          <w:p w14:paraId="1F6557FB" w14:textId="77777777" w:rsidR="00821E2E" w:rsidRPr="00937929" w:rsidRDefault="00821E2E" w:rsidP="0061557E">
            <w:pPr>
              <w:tabs>
                <w:tab w:val="left" w:pos="634"/>
              </w:tabs>
              <w:spacing w:after="0"/>
              <w:rPr>
                <w:rFonts w:eastAsia="Calibri" w:cs="Times New Roman"/>
                <w:sz w:val="20"/>
                <w:szCs w:val="20"/>
              </w:rPr>
            </w:pPr>
            <w:r w:rsidRPr="00937929">
              <w:rPr>
                <w:rFonts w:eastAsia="Calibri" w:cs="Times New Roman"/>
                <w:sz w:val="20"/>
                <w:szCs w:val="20"/>
              </w:rPr>
              <w:t xml:space="preserve">Phone: </w:t>
            </w:r>
            <w:r>
              <w:rPr>
                <w:rFonts w:eastAsia="Calibri" w:cs="Times New Roman"/>
                <w:sz w:val="20"/>
                <w:szCs w:val="20"/>
              </w:rPr>
              <w:tab/>
            </w:r>
            <w:r w:rsidRPr="00937929">
              <w:rPr>
                <w:rFonts w:eastAsia="Calibri" w:cs="Times New Roman"/>
                <w:sz w:val="20"/>
                <w:szCs w:val="20"/>
              </w:rPr>
              <w:t>503-725-8236</w:t>
            </w:r>
          </w:p>
          <w:p w14:paraId="0DED0091" w14:textId="77777777" w:rsidR="00821E2E" w:rsidRPr="00937929" w:rsidRDefault="00821E2E" w:rsidP="0061557E">
            <w:pPr>
              <w:tabs>
                <w:tab w:val="left" w:pos="634"/>
              </w:tabs>
              <w:spacing w:after="0"/>
              <w:rPr>
                <w:rFonts w:eastAsia="Calibri" w:cs="Times New Roman"/>
                <w:sz w:val="20"/>
                <w:szCs w:val="20"/>
              </w:rPr>
            </w:pPr>
            <w:r w:rsidRPr="00937929">
              <w:rPr>
                <w:rFonts w:eastAsia="Calibri" w:cs="Times New Roman"/>
                <w:sz w:val="20"/>
                <w:szCs w:val="20"/>
              </w:rPr>
              <w:t xml:space="preserve">Email: </w:t>
            </w:r>
            <w:r>
              <w:rPr>
                <w:rFonts w:eastAsia="Calibri" w:cs="Times New Roman"/>
                <w:sz w:val="20"/>
                <w:szCs w:val="20"/>
              </w:rPr>
              <w:tab/>
            </w:r>
            <w:r w:rsidRPr="00937929">
              <w:rPr>
                <w:rFonts w:eastAsia="Calibri" w:cs="Times New Roman"/>
                <w:sz w:val="20"/>
                <w:szCs w:val="20"/>
              </w:rPr>
              <w:t>janetw@pdx.edu</w:t>
            </w:r>
          </w:p>
        </w:tc>
      </w:tr>
      <w:tr w:rsidR="00821E2E" w:rsidRPr="00937929" w:rsidDel="00CC7210" w14:paraId="74604678" w14:textId="77777777" w:rsidTr="0061557E">
        <w:trPr>
          <w:cantSplit/>
        </w:trPr>
        <w:tc>
          <w:tcPr>
            <w:tcW w:w="9630" w:type="dxa"/>
            <w:gridSpan w:val="3"/>
            <w:shd w:val="clear" w:color="auto" w:fill="F2F2F2"/>
          </w:tcPr>
          <w:p w14:paraId="7DA9C10F" w14:textId="77777777" w:rsidR="00821E2E" w:rsidRPr="00937929" w:rsidRDefault="00821E2E" w:rsidP="0061557E">
            <w:pPr>
              <w:keepNext/>
              <w:spacing w:before="60" w:after="60"/>
              <w:rPr>
                <w:rFonts w:eastAsia="Calibri" w:cs="Times New Roman"/>
                <w:b/>
                <w:i/>
                <w:sz w:val="20"/>
                <w:szCs w:val="20"/>
              </w:rPr>
            </w:pPr>
            <w:r w:rsidRPr="00937929">
              <w:rPr>
                <w:rFonts w:eastAsia="Calibri" w:cs="Times New Roman"/>
                <w:b/>
                <w:i/>
                <w:sz w:val="20"/>
                <w:szCs w:val="20"/>
              </w:rPr>
              <w:t xml:space="preserve">SAMHSA </w:t>
            </w:r>
            <w:r>
              <w:rPr>
                <w:rFonts w:eastAsia="Calibri" w:cs="Times New Roman"/>
                <w:b/>
                <w:i/>
                <w:sz w:val="20"/>
                <w:szCs w:val="20"/>
              </w:rPr>
              <w:t>Advisors</w:t>
            </w:r>
          </w:p>
        </w:tc>
      </w:tr>
      <w:tr w:rsidR="00821E2E" w:rsidRPr="00937929" w:rsidDel="00CC7210" w14:paraId="4CE3E038" w14:textId="77777777" w:rsidTr="0061557E">
        <w:trPr>
          <w:cantSplit/>
        </w:trPr>
        <w:tc>
          <w:tcPr>
            <w:tcW w:w="2700" w:type="dxa"/>
          </w:tcPr>
          <w:p w14:paraId="2C7C6AB2" w14:textId="77777777" w:rsidR="00821E2E" w:rsidRPr="00937929" w:rsidRDefault="00821E2E" w:rsidP="0061557E">
            <w:pPr>
              <w:spacing w:after="0"/>
              <w:rPr>
                <w:rFonts w:eastAsia="Times New Roman" w:cs="Times New Roman"/>
                <w:b/>
                <w:sz w:val="20"/>
                <w:szCs w:val="20"/>
              </w:rPr>
            </w:pPr>
            <w:r w:rsidRPr="00937929">
              <w:rPr>
                <w:rFonts w:eastAsia="Times New Roman" w:cs="Times New Roman"/>
                <w:b/>
                <w:sz w:val="20"/>
                <w:szCs w:val="20"/>
              </w:rPr>
              <w:t>Nainan Thomas, Ph.D.</w:t>
            </w:r>
          </w:p>
          <w:p w14:paraId="3C16074E" w14:textId="77777777" w:rsidR="00821E2E" w:rsidRPr="00937929" w:rsidRDefault="00821E2E" w:rsidP="0061557E">
            <w:pPr>
              <w:spacing w:after="0"/>
              <w:rPr>
                <w:rFonts w:eastAsia="Times New Roman" w:cs="Times New Roman"/>
                <w:sz w:val="20"/>
                <w:szCs w:val="20"/>
              </w:rPr>
            </w:pPr>
            <w:r w:rsidRPr="00937929">
              <w:rPr>
                <w:rFonts w:eastAsia="Times New Roman" w:cs="Times New Roman"/>
                <w:sz w:val="20"/>
                <w:szCs w:val="20"/>
              </w:rPr>
              <w:t>Contracting Officer’s Representative</w:t>
            </w:r>
          </w:p>
        </w:tc>
        <w:tc>
          <w:tcPr>
            <w:tcW w:w="3420" w:type="dxa"/>
          </w:tcPr>
          <w:p w14:paraId="3423109B" w14:textId="77777777" w:rsidR="00821E2E" w:rsidRPr="00937929" w:rsidRDefault="00821E2E" w:rsidP="0061557E">
            <w:pPr>
              <w:spacing w:after="0"/>
              <w:rPr>
                <w:rFonts w:eastAsia="Times New Roman" w:cs="Times New Roman"/>
                <w:sz w:val="20"/>
                <w:szCs w:val="20"/>
              </w:rPr>
            </w:pPr>
            <w:r w:rsidRPr="00937929">
              <w:rPr>
                <w:rFonts w:eastAsia="Times New Roman" w:cs="Times New Roman"/>
                <w:sz w:val="20"/>
                <w:szCs w:val="20"/>
              </w:rPr>
              <w:t xml:space="preserve">Public Health Advisor </w:t>
            </w:r>
          </w:p>
          <w:p w14:paraId="4040D8E9" w14:textId="77777777" w:rsidR="00821E2E" w:rsidRPr="00937929" w:rsidRDefault="00821E2E" w:rsidP="0061557E">
            <w:pPr>
              <w:spacing w:after="0"/>
              <w:rPr>
                <w:rFonts w:eastAsia="Times New Roman" w:cs="Times New Roman"/>
                <w:sz w:val="20"/>
                <w:szCs w:val="20"/>
              </w:rPr>
            </w:pPr>
            <w:r>
              <w:rPr>
                <w:rFonts w:eastAsia="Times New Roman" w:cs="Times New Roman"/>
                <w:sz w:val="20"/>
                <w:szCs w:val="20"/>
              </w:rPr>
              <w:t>CMHS</w:t>
            </w:r>
            <w:r w:rsidRPr="00937929">
              <w:rPr>
                <w:rFonts w:eastAsia="Times New Roman" w:cs="Times New Roman"/>
                <w:sz w:val="20"/>
                <w:szCs w:val="20"/>
              </w:rPr>
              <w:t>, SAMHSA</w:t>
            </w:r>
          </w:p>
          <w:p w14:paraId="12CE2AE1" w14:textId="77777777" w:rsidR="00821E2E" w:rsidRPr="00937929" w:rsidRDefault="00821E2E" w:rsidP="0061557E">
            <w:pPr>
              <w:spacing w:after="0"/>
              <w:rPr>
                <w:rFonts w:eastAsia="Times New Roman" w:cs="Times New Roman"/>
                <w:sz w:val="20"/>
                <w:szCs w:val="20"/>
              </w:rPr>
            </w:pPr>
            <w:r w:rsidRPr="00937929">
              <w:rPr>
                <w:rFonts w:eastAsia="Times New Roman" w:cs="Times New Roman"/>
                <w:sz w:val="20"/>
                <w:szCs w:val="20"/>
              </w:rPr>
              <w:t xml:space="preserve">1 Choke Cherry Road, Room </w:t>
            </w:r>
            <w:r>
              <w:rPr>
                <w:rFonts w:eastAsia="Times New Roman" w:cs="Times New Roman"/>
                <w:sz w:val="20"/>
                <w:szCs w:val="20"/>
              </w:rPr>
              <w:t>6</w:t>
            </w:r>
            <w:r w:rsidRPr="00937929">
              <w:rPr>
                <w:rFonts w:eastAsia="Times New Roman" w:cs="Times New Roman"/>
                <w:sz w:val="20"/>
                <w:szCs w:val="20"/>
              </w:rPr>
              <w:t>-10</w:t>
            </w:r>
            <w:r>
              <w:rPr>
                <w:rFonts w:eastAsia="Times New Roman" w:cs="Times New Roman"/>
                <w:sz w:val="20"/>
                <w:szCs w:val="20"/>
              </w:rPr>
              <w:t>99</w:t>
            </w:r>
          </w:p>
          <w:p w14:paraId="0A4FB11D" w14:textId="77777777" w:rsidR="00821E2E" w:rsidRPr="00937929" w:rsidRDefault="00821E2E" w:rsidP="0061557E">
            <w:pPr>
              <w:spacing w:after="0"/>
              <w:rPr>
                <w:rFonts w:eastAsia="Times New Roman" w:cs="Times New Roman"/>
                <w:sz w:val="20"/>
                <w:szCs w:val="20"/>
              </w:rPr>
            </w:pPr>
            <w:r w:rsidRPr="00937929">
              <w:rPr>
                <w:rFonts w:eastAsia="Times New Roman" w:cs="Times New Roman"/>
                <w:sz w:val="20"/>
                <w:szCs w:val="20"/>
              </w:rPr>
              <w:t>Rockville, MD 20857</w:t>
            </w:r>
          </w:p>
        </w:tc>
        <w:tc>
          <w:tcPr>
            <w:tcW w:w="3510" w:type="dxa"/>
            <w:tcMar>
              <w:right w:w="29" w:type="dxa"/>
            </w:tcMar>
          </w:tcPr>
          <w:p w14:paraId="2E4A61EE" w14:textId="77777777" w:rsidR="00821E2E" w:rsidRPr="00937929" w:rsidRDefault="00821E2E" w:rsidP="0061557E">
            <w:pPr>
              <w:tabs>
                <w:tab w:val="left" w:pos="634"/>
              </w:tabs>
              <w:spacing w:after="0"/>
              <w:rPr>
                <w:rFonts w:eastAsia="Times New Roman" w:cs="Times New Roman"/>
                <w:sz w:val="20"/>
                <w:szCs w:val="20"/>
              </w:rPr>
            </w:pPr>
            <w:r w:rsidRPr="00937929">
              <w:rPr>
                <w:rFonts w:eastAsia="Times New Roman" w:cs="Times New Roman"/>
                <w:sz w:val="20"/>
                <w:szCs w:val="20"/>
              </w:rPr>
              <w:t>P</w:t>
            </w:r>
            <w:r>
              <w:rPr>
                <w:rFonts w:eastAsia="Times New Roman" w:cs="Times New Roman"/>
                <w:sz w:val="20"/>
                <w:szCs w:val="20"/>
              </w:rPr>
              <w:t>hone:</w:t>
            </w:r>
            <w:r>
              <w:rPr>
                <w:rFonts w:eastAsia="Times New Roman" w:cs="Times New Roman"/>
                <w:sz w:val="20"/>
                <w:szCs w:val="20"/>
              </w:rPr>
              <w:tab/>
            </w:r>
            <w:r w:rsidRPr="00937929">
              <w:rPr>
                <w:rFonts w:eastAsia="Times New Roman" w:cs="Times New Roman"/>
                <w:sz w:val="20"/>
                <w:szCs w:val="20"/>
              </w:rPr>
              <w:t>240-276-1744</w:t>
            </w:r>
          </w:p>
          <w:p w14:paraId="769BAA5E" w14:textId="77777777" w:rsidR="00821E2E" w:rsidRPr="00937929" w:rsidRDefault="00821E2E" w:rsidP="0061557E">
            <w:pPr>
              <w:tabs>
                <w:tab w:val="left" w:pos="634"/>
              </w:tabs>
              <w:spacing w:after="0"/>
              <w:rPr>
                <w:rFonts w:eastAsia="Times New Roman" w:cs="Times New Roman"/>
                <w:sz w:val="20"/>
                <w:szCs w:val="20"/>
              </w:rPr>
            </w:pPr>
            <w:r w:rsidRPr="00937929">
              <w:rPr>
                <w:rFonts w:eastAsia="Times New Roman" w:cs="Times New Roman"/>
                <w:sz w:val="20"/>
                <w:szCs w:val="20"/>
              </w:rPr>
              <w:t>Email:</w:t>
            </w:r>
            <w:r>
              <w:rPr>
                <w:rFonts w:eastAsia="Times New Roman" w:cs="Times New Roman"/>
                <w:sz w:val="20"/>
                <w:szCs w:val="20"/>
              </w:rPr>
              <w:tab/>
            </w:r>
            <w:r w:rsidRPr="00937929">
              <w:rPr>
                <w:rFonts w:eastAsia="Times New Roman" w:cs="Times New Roman"/>
                <w:sz w:val="20"/>
                <w:szCs w:val="20"/>
              </w:rPr>
              <w:t>Nainan.Thomas@samhsa.hhs.gov</w:t>
            </w:r>
          </w:p>
        </w:tc>
      </w:tr>
      <w:tr w:rsidR="00821E2E" w:rsidRPr="00937929" w:rsidDel="00CC7210" w14:paraId="41EC00A2" w14:textId="77777777" w:rsidTr="0061557E">
        <w:trPr>
          <w:cantSplit/>
        </w:trPr>
        <w:tc>
          <w:tcPr>
            <w:tcW w:w="2700" w:type="dxa"/>
          </w:tcPr>
          <w:p w14:paraId="5D1D98C9" w14:textId="7D6A1120" w:rsidR="00821E2E" w:rsidRPr="00937929" w:rsidRDefault="00821E2E" w:rsidP="003532FB">
            <w:pPr>
              <w:spacing w:after="0"/>
              <w:rPr>
                <w:rFonts w:eastAsia="Calibri" w:cs="Times New Roman"/>
                <w:b/>
                <w:sz w:val="20"/>
                <w:szCs w:val="20"/>
              </w:rPr>
            </w:pPr>
            <w:r w:rsidRPr="00937929">
              <w:rPr>
                <w:rFonts w:eastAsia="Calibri" w:cs="Times New Roman"/>
                <w:b/>
                <w:sz w:val="20"/>
                <w:szCs w:val="20"/>
              </w:rPr>
              <w:t>Ki</w:t>
            </w:r>
            <w:r w:rsidR="003532FB">
              <w:rPr>
                <w:rFonts w:eastAsia="Calibri" w:cs="Times New Roman"/>
                <w:b/>
                <w:sz w:val="20"/>
                <w:szCs w:val="20"/>
              </w:rPr>
              <w:t>r</w:t>
            </w:r>
            <w:r w:rsidRPr="00937929">
              <w:rPr>
                <w:rFonts w:eastAsia="Calibri" w:cs="Times New Roman"/>
                <w:b/>
                <w:sz w:val="20"/>
                <w:szCs w:val="20"/>
              </w:rPr>
              <w:t>stin Painter, Ph.D.</w:t>
            </w:r>
          </w:p>
          <w:p w14:paraId="537B4C0F"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Alternate Contracting Officer’s Representative</w:t>
            </w:r>
          </w:p>
        </w:tc>
        <w:tc>
          <w:tcPr>
            <w:tcW w:w="3420" w:type="dxa"/>
          </w:tcPr>
          <w:p w14:paraId="3C21AAA6"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Public Health Advisor</w:t>
            </w:r>
          </w:p>
          <w:p w14:paraId="729C7BEB"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CMHS, SAMHSA</w:t>
            </w:r>
          </w:p>
          <w:p w14:paraId="784AC980"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1 Choke Cherry Road, Room 6-1040</w:t>
            </w:r>
          </w:p>
          <w:p w14:paraId="68211953"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Rockville, MD 20857</w:t>
            </w:r>
          </w:p>
        </w:tc>
        <w:tc>
          <w:tcPr>
            <w:tcW w:w="3510" w:type="dxa"/>
            <w:tcMar>
              <w:right w:w="29" w:type="dxa"/>
            </w:tcMar>
          </w:tcPr>
          <w:p w14:paraId="58D57FA9" w14:textId="77777777" w:rsidR="00821E2E" w:rsidRPr="00937929" w:rsidRDefault="00821E2E" w:rsidP="0061557E">
            <w:pPr>
              <w:tabs>
                <w:tab w:val="left" w:pos="634"/>
              </w:tabs>
              <w:spacing w:after="0"/>
              <w:rPr>
                <w:rFonts w:eastAsia="Calibri" w:cs="Times New Roman"/>
                <w:sz w:val="20"/>
                <w:szCs w:val="20"/>
              </w:rPr>
            </w:pPr>
            <w:r w:rsidRPr="00937929">
              <w:rPr>
                <w:rFonts w:eastAsia="Calibri" w:cs="Times New Roman"/>
                <w:sz w:val="20"/>
                <w:szCs w:val="20"/>
              </w:rPr>
              <w:t>P</w:t>
            </w:r>
            <w:r>
              <w:rPr>
                <w:rFonts w:eastAsia="Calibri" w:cs="Times New Roman"/>
                <w:sz w:val="20"/>
                <w:szCs w:val="20"/>
              </w:rPr>
              <w:t>hone:</w:t>
            </w:r>
            <w:r>
              <w:rPr>
                <w:rFonts w:eastAsia="Calibri" w:cs="Times New Roman"/>
                <w:sz w:val="20"/>
                <w:szCs w:val="20"/>
              </w:rPr>
              <w:tab/>
            </w:r>
            <w:r w:rsidRPr="00937929">
              <w:rPr>
                <w:rFonts w:eastAsia="Calibri" w:cs="Times New Roman"/>
                <w:sz w:val="20"/>
                <w:szCs w:val="20"/>
              </w:rPr>
              <w:t>240-276-1932</w:t>
            </w:r>
          </w:p>
          <w:p w14:paraId="118F4F90" w14:textId="77777777" w:rsidR="00821E2E" w:rsidRPr="00937929" w:rsidRDefault="00821E2E" w:rsidP="0061557E">
            <w:pPr>
              <w:tabs>
                <w:tab w:val="left" w:pos="634"/>
              </w:tabs>
              <w:spacing w:after="0"/>
              <w:rPr>
                <w:rFonts w:eastAsia="Calibri" w:cs="Times New Roman"/>
                <w:sz w:val="20"/>
                <w:szCs w:val="20"/>
              </w:rPr>
            </w:pPr>
            <w:r>
              <w:rPr>
                <w:rFonts w:eastAsia="Calibri" w:cs="Times New Roman"/>
                <w:sz w:val="20"/>
                <w:szCs w:val="20"/>
              </w:rPr>
              <w:t>Email:</w:t>
            </w:r>
            <w:r>
              <w:rPr>
                <w:rFonts w:eastAsia="Calibri" w:cs="Times New Roman"/>
                <w:sz w:val="20"/>
                <w:szCs w:val="20"/>
              </w:rPr>
              <w:tab/>
            </w:r>
            <w:r w:rsidRPr="00937929">
              <w:rPr>
                <w:rFonts w:eastAsia="Calibri" w:cs="Times New Roman"/>
                <w:sz w:val="20"/>
                <w:szCs w:val="20"/>
              </w:rPr>
              <w:t>Kirstin.Painter@samhsa.hhs.gov</w:t>
            </w:r>
          </w:p>
        </w:tc>
      </w:tr>
      <w:tr w:rsidR="00821E2E" w:rsidRPr="00937929" w:rsidDel="00CC7210" w14:paraId="1EDA8061" w14:textId="77777777" w:rsidTr="0061557E">
        <w:trPr>
          <w:cantSplit/>
        </w:trPr>
        <w:tc>
          <w:tcPr>
            <w:tcW w:w="2700" w:type="dxa"/>
          </w:tcPr>
          <w:p w14:paraId="15E11EF8" w14:textId="77777777" w:rsidR="00821E2E" w:rsidRPr="00937929" w:rsidRDefault="00821E2E" w:rsidP="0061557E">
            <w:pPr>
              <w:spacing w:after="0"/>
              <w:rPr>
                <w:rFonts w:eastAsia="Calibri" w:cs="Times New Roman"/>
                <w:b/>
                <w:sz w:val="20"/>
                <w:szCs w:val="20"/>
              </w:rPr>
            </w:pPr>
            <w:r w:rsidRPr="00937929">
              <w:rPr>
                <w:rFonts w:eastAsia="Calibri" w:cs="Times New Roman"/>
                <w:b/>
                <w:sz w:val="20"/>
                <w:szCs w:val="20"/>
              </w:rPr>
              <w:t>Beda Jean-Francois, Ph.D.</w:t>
            </w:r>
          </w:p>
        </w:tc>
        <w:tc>
          <w:tcPr>
            <w:tcW w:w="3420" w:type="dxa"/>
          </w:tcPr>
          <w:p w14:paraId="786DDAF2"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Social Science Analyst</w:t>
            </w:r>
          </w:p>
          <w:p w14:paraId="2975615D"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CBHSQ, SAMHSA</w:t>
            </w:r>
          </w:p>
          <w:p w14:paraId="1724F28C"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1 Choke Cherry Road, Room 2-1012</w:t>
            </w:r>
          </w:p>
          <w:p w14:paraId="7F799C74" w14:textId="77777777" w:rsidR="00821E2E" w:rsidRPr="00937929" w:rsidRDefault="00821E2E" w:rsidP="0061557E">
            <w:pPr>
              <w:spacing w:after="0"/>
              <w:rPr>
                <w:rFonts w:eastAsia="Calibri" w:cs="Times New Roman"/>
                <w:sz w:val="20"/>
                <w:szCs w:val="20"/>
              </w:rPr>
            </w:pPr>
            <w:r w:rsidRPr="00937929">
              <w:rPr>
                <w:rFonts w:eastAsia="Calibri" w:cs="Times New Roman"/>
                <w:sz w:val="20"/>
                <w:szCs w:val="20"/>
              </w:rPr>
              <w:t>Rockville, MD 20857</w:t>
            </w:r>
          </w:p>
        </w:tc>
        <w:tc>
          <w:tcPr>
            <w:tcW w:w="3510" w:type="dxa"/>
            <w:tcMar>
              <w:right w:w="29" w:type="dxa"/>
            </w:tcMar>
          </w:tcPr>
          <w:p w14:paraId="777405CC" w14:textId="77777777" w:rsidR="00821E2E" w:rsidRPr="00937929" w:rsidRDefault="00821E2E" w:rsidP="0061557E">
            <w:pPr>
              <w:tabs>
                <w:tab w:val="left" w:pos="634"/>
              </w:tabs>
              <w:spacing w:after="0"/>
              <w:rPr>
                <w:rFonts w:eastAsia="Calibri" w:cs="Times New Roman"/>
                <w:sz w:val="20"/>
                <w:szCs w:val="20"/>
              </w:rPr>
            </w:pPr>
            <w:r w:rsidRPr="00937929">
              <w:rPr>
                <w:rFonts w:eastAsia="Calibri" w:cs="Times New Roman"/>
                <w:sz w:val="20"/>
                <w:szCs w:val="20"/>
              </w:rPr>
              <w:t>Phone:</w:t>
            </w:r>
            <w:r>
              <w:rPr>
                <w:rFonts w:eastAsia="Calibri" w:cs="Times New Roman"/>
                <w:sz w:val="20"/>
                <w:szCs w:val="20"/>
              </w:rPr>
              <w:tab/>
            </w:r>
            <w:r w:rsidRPr="00937929">
              <w:rPr>
                <w:rFonts w:eastAsia="Calibri" w:cs="Times New Roman"/>
                <w:sz w:val="20"/>
                <w:szCs w:val="20"/>
              </w:rPr>
              <w:t>240-276-0370</w:t>
            </w:r>
          </w:p>
          <w:p w14:paraId="390F6676" w14:textId="77777777" w:rsidR="00821E2E" w:rsidRPr="00937929" w:rsidRDefault="00821E2E" w:rsidP="0061557E">
            <w:pPr>
              <w:tabs>
                <w:tab w:val="left" w:pos="634"/>
              </w:tabs>
              <w:spacing w:after="0"/>
              <w:ind w:left="589" w:hanging="589"/>
              <w:rPr>
                <w:rFonts w:eastAsia="Calibri" w:cs="Times New Roman"/>
                <w:sz w:val="20"/>
                <w:szCs w:val="20"/>
              </w:rPr>
            </w:pPr>
            <w:r w:rsidRPr="00937929">
              <w:rPr>
                <w:rFonts w:eastAsia="Calibri" w:cs="Times New Roman"/>
                <w:sz w:val="20"/>
                <w:szCs w:val="20"/>
              </w:rPr>
              <w:t>Email:</w:t>
            </w:r>
            <w:r>
              <w:rPr>
                <w:rFonts w:eastAsia="Calibri" w:cs="Times New Roman"/>
                <w:sz w:val="20"/>
                <w:szCs w:val="20"/>
              </w:rPr>
              <w:tab/>
            </w:r>
            <w:r w:rsidRPr="00937929">
              <w:rPr>
                <w:rFonts w:eastAsia="Calibri" w:cs="Times New Roman"/>
                <w:sz w:val="20"/>
                <w:szCs w:val="20"/>
              </w:rPr>
              <w:t>Beda.Jean-</w:t>
            </w:r>
            <w:r>
              <w:rPr>
                <w:rFonts w:eastAsia="Calibri" w:cs="Times New Roman"/>
                <w:sz w:val="20"/>
                <w:szCs w:val="20"/>
              </w:rPr>
              <w:t>F</w:t>
            </w:r>
            <w:r w:rsidRPr="00937929">
              <w:rPr>
                <w:rFonts w:eastAsia="Calibri" w:cs="Times New Roman"/>
                <w:sz w:val="20"/>
                <w:szCs w:val="20"/>
              </w:rPr>
              <w:t>rancois@samhsa.hhs.gov</w:t>
            </w:r>
          </w:p>
        </w:tc>
      </w:tr>
    </w:tbl>
    <w:p w14:paraId="3F7BD5F7" w14:textId="77777777" w:rsidR="00821E2E" w:rsidRDefault="00821E2E" w:rsidP="00821E2E">
      <w:pPr>
        <w:rPr>
          <w:b/>
          <w:bCs/>
        </w:rPr>
      </w:pPr>
    </w:p>
    <w:p w14:paraId="0CCC3E93" w14:textId="77777777" w:rsidR="00821E2E" w:rsidRDefault="00821E2E" w:rsidP="00821E2E">
      <w:pPr>
        <w:rPr>
          <w:b/>
          <w:bCs/>
        </w:rPr>
        <w:sectPr w:rsidR="00821E2E">
          <w:footerReference w:type="default" r:id="rId7"/>
          <w:pgSz w:w="12240" w:h="15840"/>
          <w:pgMar w:top="1440" w:right="1440" w:bottom="1440" w:left="1440" w:header="720" w:footer="720" w:gutter="0"/>
          <w:cols w:space="720"/>
          <w:docGrid w:linePitch="360"/>
        </w:sectPr>
      </w:pPr>
    </w:p>
    <w:p w14:paraId="128938B7" w14:textId="77777777" w:rsidR="00821E2E" w:rsidRDefault="00821E2E" w:rsidP="00821E2E">
      <w:pPr>
        <w:jc w:val="center"/>
      </w:pPr>
      <w:r>
        <w:rPr>
          <w:b/>
          <w:bCs/>
        </w:rPr>
        <w:t>REFERENCES</w:t>
      </w:r>
    </w:p>
    <w:p w14:paraId="35517782" w14:textId="77777777" w:rsidR="00821E2E" w:rsidRPr="004E5ACD" w:rsidRDefault="00821E2E" w:rsidP="00821E2E">
      <w:pPr>
        <w:keepLines/>
      </w:pPr>
    </w:p>
    <w:p w14:paraId="11628474"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fldChar w:fldCharType="begin"/>
      </w:r>
      <w:r w:rsidRPr="001F263F">
        <w:rPr>
          <w:rFonts w:eastAsia="Times New Roman" w:cs="Times New Roman"/>
          <w:noProof/>
          <w:szCs w:val="20"/>
        </w:rPr>
        <w:instrText xml:space="preserve"> ADDIN EN.REFLIST </w:instrText>
      </w:r>
      <w:r w:rsidRPr="001F263F">
        <w:rPr>
          <w:rFonts w:eastAsia="Times New Roman" w:cs="Times New Roman"/>
          <w:noProof/>
          <w:szCs w:val="20"/>
        </w:rPr>
        <w:fldChar w:fldCharType="separate"/>
      </w:r>
      <w:r w:rsidRPr="001F263F">
        <w:rPr>
          <w:rFonts w:eastAsia="Times New Roman" w:cs="Times New Roman"/>
          <w:noProof/>
          <w:szCs w:val="20"/>
        </w:rPr>
        <w:t xml:space="preserve">Aarons, G. A. (2004). Mental health provider attitudes toward adoption of evidence-based practice: the Evidence-Based Practice Attitude Scale (EBPAS). </w:t>
      </w:r>
      <w:r w:rsidRPr="001F263F">
        <w:rPr>
          <w:rFonts w:eastAsia="Times New Roman" w:cs="Times New Roman"/>
          <w:i/>
          <w:noProof/>
          <w:szCs w:val="20"/>
        </w:rPr>
        <w:t>Ment Health Serv Res, 6</w:t>
      </w:r>
      <w:r w:rsidRPr="001F263F">
        <w:rPr>
          <w:rFonts w:eastAsia="Times New Roman" w:cs="Times New Roman"/>
          <w:noProof/>
          <w:szCs w:val="20"/>
        </w:rPr>
        <w:t xml:space="preserve">(2), 61-74. </w:t>
      </w:r>
    </w:p>
    <w:p w14:paraId="0B8021E6"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Bandura, A. (1989a). Multidimensional Scales of Perceived Self-Efficacy. </w:t>
      </w:r>
      <w:r w:rsidRPr="001F263F">
        <w:rPr>
          <w:rFonts w:eastAsia="Times New Roman" w:cs="Times New Roman"/>
          <w:i/>
          <w:noProof/>
          <w:szCs w:val="20"/>
        </w:rPr>
        <w:t>Psyctests</w:t>
      </w:r>
      <w:r w:rsidRPr="001F263F">
        <w:rPr>
          <w:rFonts w:eastAsia="Times New Roman" w:cs="Times New Roman"/>
          <w:noProof/>
          <w:szCs w:val="20"/>
        </w:rPr>
        <w:t>. doi: 10.1037/t06802-000</w:t>
      </w:r>
    </w:p>
    <w:p w14:paraId="4DA11A2B"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Bandura, A. (1989b). Multidimensional scales of perceived self-efficacy. Unpublished test. Stanford, CA: Stanford University.</w:t>
      </w:r>
    </w:p>
    <w:p w14:paraId="3875C481"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Brady, M. P., Rosenberg, H., &amp; Frain, M. (2008). Job observation and behavior scale: Opportunity for self-determination, standardization and factor analysis. </w:t>
      </w:r>
      <w:r w:rsidRPr="001F263F">
        <w:rPr>
          <w:rFonts w:eastAsia="Times New Roman" w:cs="Times New Roman"/>
          <w:i/>
          <w:noProof/>
          <w:szCs w:val="20"/>
        </w:rPr>
        <w:t>Career Development for Exceptional Individuals, 31</w:t>
      </w:r>
      <w:r w:rsidRPr="001F263F">
        <w:rPr>
          <w:rFonts w:eastAsia="Times New Roman" w:cs="Times New Roman"/>
          <w:noProof/>
          <w:szCs w:val="20"/>
        </w:rPr>
        <w:t xml:space="preserve">, 175-185. </w:t>
      </w:r>
    </w:p>
    <w:p w14:paraId="19005D63"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Brady, M. P., Rosenberg, H., &amp; Frain, M. (n.d.). Job Observation and Behavior Scale: Opportunity for Self-Determination. </w:t>
      </w:r>
      <w:r w:rsidRPr="001F263F">
        <w:rPr>
          <w:rFonts w:eastAsia="Times New Roman" w:cs="Times New Roman"/>
          <w:i/>
          <w:noProof/>
          <w:szCs w:val="20"/>
        </w:rPr>
        <w:t>Psyctests</w:t>
      </w:r>
      <w:r w:rsidRPr="001F263F">
        <w:rPr>
          <w:rFonts w:eastAsia="Times New Roman" w:cs="Times New Roman"/>
          <w:noProof/>
          <w:szCs w:val="20"/>
        </w:rPr>
        <w:t>. doi: 10.1037/t06061-000</w:t>
      </w:r>
    </w:p>
    <w:p w14:paraId="3E0B4E3F"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Callahan, S. T., &amp; Cooper, W. O. (2004). Gender and uninsurance among young adults in the United States. </w:t>
      </w:r>
      <w:r w:rsidRPr="001F263F">
        <w:rPr>
          <w:rFonts w:eastAsia="Times New Roman" w:cs="Times New Roman"/>
          <w:i/>
          <w:noProof/>
          <w:szCs w:val="20"/>
        </w:rPr>
        <w:t>Pediatrics, 113</w:t>
      </w:r>
      <w:r w:rsidRPr="001F263F">
        <w:rPr>
          <w:rFonts w:eastAsia="Times New Roman" w:cs="Times New Roman"/>
          <w:noProof/>
          <w:szCs w:val="20"/>
        </w:rPr>
        <w:t xml:space="preserve">(2), 291-297. </w:t>
      </w:r>
    </w:p>
    <w:p w14:paraId="52C591F7"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Cheong, JeeWon, MacKinnon, David P., &amp; Khoo, Siek Toon. (2003). Investigation of Mediational Processes Using Parallel Process Latent Growth Curve Modeling. </w:t>
      </w:r>
      <w:r w:rsidRPr="001F263F">
        <w:rPr>
          <w:rFonts w:eastAsia="Times New Roman" w:cs="Times New Roman"/>
          <w:i/>
          <w:noProof/>
          <w:szCs w:val="20"/>
        </w:rPr>
        <w:t>Structural Equation Modeling: A Multidisciplinary Journal, 10</w:t>
      </w:r>
      <w:r w:rsidRPr="001F263F">
        <w:rPr>
          <w:rFonts w:eastAsia="Times New Roman" w:cs="Times New Roman"/>
          <w:noProof/>
          <w:szCs w:val="20"/>
        </w:rPr>
        <w:t>(2), 238-262. doi: 10.1207/S15328007SEM1002_5</w:t>
      </w:r>
    </w:p>
    <w:p w14:paraId="007D8AB9"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Cook, J. R., &amp; Kilmer, R. P. (2010). The importance of context in fostering responsive community systems: supports for families in systems of care. </w:t>
      </w:r>
      <w:r w:rsidRPr="001F263F">
        <w:rPr>
          <w:rFonts w:eastAsia="Times New Roman" w:cs="Times New Roman"/>
          <w:i/>
          <w:noProof/>
          <w:szCs w:val="20"/>
        </w:rPr>
        <w:t>American Journal of Orthopsychiatry, 80</w:t>
      </w:r>
      <w:r w:rsidRPr="001F263F">
        <w:rPr>
          <w:rFonts w:eastAsia="Times New Roman" w:cs="Times New Roman"/>
          <w:noProof/>
          <w:szCs w:val="20"/>
        </w:rPr>
        <w:t>(1), 115-123. doi: 10.1111/j.1939-0025.2010.01014.x</w:t>
      </w:r>
    </w:p>
    <w:p w14:paraId="6B3F9473"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Dennis, M. L., Chan, Y. F., &amp; Funk, R. R. (2006). Development and validation of the GAIN Short Screener (GSS) for internalizing, externalizing and substance use disorders and crime/violence problems among adolescents and adults. </w:t>
      </w:r>
      <w:r w:rsidRPr="001F263F">
        <w:rPr>
          <w:rFonts w:eastAsia="Times New Roman" w:cs="Times New Roman"/>
          <w:i/>
          <w:noProof/>
          <w:szCs w:val="20"/>
        </w:rPr>
        <w:t>American Journal on Addictions, 15 Suppl 1</w:t>
      </w:r>
      <w:r w:rsidRPr="001F263F">
        <w:rPr>
          <w:rFonts w:eastAsia="Times New Roman" w:cs="Times New Roman"/>
          <w:noProof/>
          <w:szCs w:val="20"/>
        </w:rPr>
        <w:t>, 80-91. doi: 10.1080/10550490601006055</w:t>
      </w:r>
    </w:p>
    <w:p w14:paraId="012EF74B"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Edlund, M. J., Wang, P. S., Berglund, P. A., Katz, S. J., Lin, E., &amp; Kessler, R. C. (2002). Dropping out of mental health treatment: patterns and predictors among epidemiological survey respondents in the United States and Ontario. </w:t>
      </w:r>
      <w:r w:rsidRPr="001F263F">
        <w:rPr>
          <w:rFonts w:eastAsia="Times New Roman" w:cs="Times New Roman"/>
          <w:i/>
          <w:noProof/>
          <w:szCs w:val="20"/>
        </w:rPr>
        <w:t>American Journal of Psychiatry, 159</w:t>
      </w:r>
      <w:r w:rsidRPr="001F263F">
        <w:rPr>
          <w:rFonts w:eastAsia="Times New Roman" w:cs="Times New Roman"/>
          <w:noProof/>
          <w:szCs w:val="20"/>
        </w:rPr>
        <w:t xml:space="preserve">(5), 845-851. </w:t>
      </w:r>
    </w:p>
    <w:p w14:paraId="01D1AC7A"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Emshoff, J. G., Darnell, A. J., Darnell, D. A., Erickson, S. W., Schneider, S., &amp; Hudgins, R. (2007). Systems change as an outcome and a process in the work of community collaboratives for health. </w:t>
      </w:r>
      <w:r w:rsidRPr="001F263F">
        <w:rPr>
          <w:rFonts w:eastAsia="Times New Roman" w:cs="Times New Roman"/>
          <w:i/>
          <w:noProof/>
          <w:szCs w:val="20"/>
        </w:rPr>
        <w:t>American Journal of Community Psychology, 39</w:t>
      </w:r>
      <w:r w:rsidRPr="001F263F">
        <w:rPr>
          <w:rFonts w:eastAsia="Times New Roman" w:cs="Times New Roman"/>
          <w:noProof/>
          <w:szCs w:val="20"/>
        </w:rPr>
        <w:t>(3-4), 255-267. doi: 10.1007/s10464-007-9110-7</w:t>
      </w:r>
    </w:p>
    <w:p w14:paraId="63D26896"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General Accounting Office. (2008). </w:t>
      </w:r>
      <w:r w:rsidRPr="001F263F">
        <w:rPr>
          <w:rFonts w:eastAsia="Times New Roman" w:cs="Times New Roman"/>
          <w:i/>
          <w:noProof/>
          <w:szCs w:val="20"/>
        </w:rPr>
        <w:t>Young adults with serious mental illness: Some states and federal agencies are taking steps to address their transition challenges</w:t>
      </w:r>
      <w:r w:rsidRPr="001F263F">
        <w:rPr>
          <w:rFonts w:eastAsia="Times New Roman" w:cs="Times New Roman"/>
          <w:noProof/>
          <w:szCs w:val="20"/>
        </w:rPr>
        <w:t>. (GAO-08-678). Washington, DC: General Accounting Office (GAO).</w:t>
      </w:r>
    </w:p>
    <w:p w14:paraId="1A032489"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Harder, V.S., Stuart, E.A., &amp; Anthony, J.C. (2010). Propensity score techniques and the assessment of measured covariate balance to test causal associations in psychological research. </w:t>
      </w:r>
      <w:r w:rsidRPr="001F263F">
        <w:rPr>
          <w:rFonts w:eastAsia="Times New Roman" w:cs="Times New Roman"/>
          <w:i/>
          <w:noProof/>
          <w:szCs w:val="20"/>
        </w:rPr>
        <w:t>Psychological Methods, 15</w:t>
      </w:r>
      <w:r w:rsidRPr="001F263F">
        <w:rPr>
          <w:rFonts w:eastAsia="Times New Roman" w:cs="Times New Roman"/>
          <w:noProof/>
          <w:szCs w:val="20"/>
        </w:rPr>
        <w:t>(3), 234-249. doi: 10.1037/a0019623</w:t>
      </w:r>
    </w:p>
    <w:p w14:paraId="059D656E"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Ising, H. K., Veling, W., Loewy, R. L., Rietveld, M. W., Rietdijk, J., Dragt, S., . . . van der Gaag, M. (2012). The validity of the 16-item version of the Prodromal Questionnaire (PQ-16) to screen for ultra high risk of developing psychosis in the general help-seeking population. </w:t>
      </w:r>
      <w:r w:rsidRPr="001F263F">
        <w:rPr>
          <w:rFonts w:eastAsia="Times New Roman" w:cs="Times New Roman"/>
          <w:i/>
          <w:noProof/>
          <w:szCs w:val="20"/>
        </w:rPr>
        <w:t>Schizophr Bull, 38</w:t>
      </w:r>
      <w:r w:rsidRPr="001F263F">
        <w:rPr>
          <w:rFonts w:eastAsia="Times New Roman" w:cs="Times New Roman"/>
          <w:noProof/>
          <w:szCs w:val="20"/>
        </w:rPr>
        <w:t>(6), 1288-1296. doi: 10.1093/schbul/sbs068</w:t>
      </w:r>
    </w:p>
    <w:p w14:paraId="0248CF48"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Kessler, R. C., Barker, P. R., Colpe, L. J., Epstein, J. F., Gfroerer, J. C., Hiripi, E., . . . Zaslavsky, A. M. (2003). Screening for serious mental illness in the general population. </w:t>
      </w:r>
      <w:r w:rsidRPr="001F263F">
        <w:rPr>
          <w:rFonts w:eastAsia="Times New Roman" w:cs="Times New Roman"/>
          <w:i/>
          <w:noProof/>
          <w:szCs w:val="20"/>
        </w:rPr>
        <w:t>Archives of General Psychiatry, 60</w:t>
      </w:r>
      <w:r w:rsidRPr="001F263F">
        <w:rPr>
          <w:rFonts w:eastAsia="Times New Roman" w:cs="Times New Roman"/>
          <w:noProof/>
          <w:szCs w:val="20"/>
        </w:rPr>
        <w:t xml:space="preserve">(2), 184-189. </w:t>
      </w:r>
    </w:p>
    <w:p w14:paraId="3E44B7FA"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Kessler, R. C., Demler, O., Frank, R. G., Olfson, M., Pincus, H. A., Walters, E. E., . . . Zaslavsky, A. M. (2005). Prevalence and treatment of mental disorders, 1990 to 2003. </w:t>
      </w:r>
      <w:r w:rsidRPr="001F263F">
        <w:rPr>
          <w:rFonts w:eastAsia="Times New Roman" w:cs="Times New Roman"/>
          <w:i/>
          <w:noProof/>
          <w:szCs w:val="20"/>
        </w:rPr>
        <w:t>New England Journal of Medicine, 352</w:t>
      </w:r>
      <w:r w:rsidRPr="001F263F">
        <w:rPr>
          <w:rFonts w:eastAsia="Times New Roman" w:cs="Times New Roman"/>
          <w:noProof/>
          <w:szCs w:val="20"/>
        </w:rPr>
        <w:t>(24), 2515-2523. doi: 10.1056/NEJMsa043266</w:t>
      </w:r>
    </w:p>
    <w:p w14:paraId="6D52BBD9"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LaPorte, Thomas M., Haber, Mason G., &amp; Malloy, Joanne M. (2014). Wraparound Team Composition, Youth Self-determination, and Youth Satisfaction in Transition Services. </w:t>
      </w:r>
      <w:r w:rsidRPr="001F263F">
        <w:rPr>
          <w:rFonts w:eastAsia="Times New Roman" w:cs="Times New Roman"/>
          <w:i/>
          <w:noProof/>
          <w:szCs w:val="20"/>
        </w:rPr>
        <w:t>The Journal of Behavioral Health Services &amp; Research</w:t>
      </w:r>
      <w:r w:rsidRPr="001F263F">
        <w:rPr>
          <w:rFonts w:eastAsia="Times New Roman" w:cs="Times New Roman"/>
          <w:noProof/>
          <w:szCs w:val="20"/>
        </w:rPr>
        <w:t>, 1-19. doi: 10.1007/s11414-014-9434-7</w:t>
      </w:r>
    </w:p>
    <w:p w14:paraId="19FD765C"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Legere, L., &amp; Nemec, P. B. (n.d.). </w:t>
      </w:r>
      <w:r w:rsidRPr="001F263F">
        <w:rPr>
          <w:rFonts w:eastAsia="Times New Roman" w:cs="Times New Roman"/>
          <w:i/>
          <w:noProof/>
          <w:szCs w:val="20"/>
        </w:rPr>
        <w:t>Integration and isolation of certified peer specialists</w:t>
      </w:r>
      <w:r w:rsidRPr="001F263F">
        <w:rPr>
          <w:rFonts w:eastAsia="Times New Roman" w:cs="Times New Roman"/>
          <w:noProof/>
          <w:szCs w:val="20"/>
        </w:rPr>
        <w:t xml:space="preserve">. Non-published manuscript.  </w:t>
      </w:r>
    </w:p>
    <w:p w14:paraId="2BB26B15"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Malloy, J. M., Haber, M. G., Burgess, C. B., LaPorte, T. M., &amp; Corral, N. (2015). </w:t>
      </w:r>
      <w:r w:rsidRPr="001F263F">
        <w:rPr>
          <w:rFonts w:eastAsia="Times New Roman" w:cs="Times New Roman"/>
          <w:i/>
          <w:noProof/>
          <w:szCs w:val="20"/>
        </w:rPr>
        <w:t>Building the Evidence-Base for the RENEW Transition Model: Theoretical &amp; Methodological Developments</w:t>
      </w:r>
      <w:r w:rsidRPr="001F263F">
        <w:rPr>
          <w:rFonts w:eastAsia="Times New Roman" w:cs="Times New Roman"/>
          <w:noProof/>
          <w:szCs w:val="20"/>
        </w:rPr>
        <w:t>. Symposium presented at the 27th Annual Children’s Mental Health Research and Policy Conference, Tampa, FL.</w:t>
      </w:r>
    </w:p>
    <w:p w14:paraId="76C2DF4A"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McCaffrey, D.F., Ridgeway, G., &amp; Morral, A.R. (2004). Propensity score estimation with boosted regression for evaluating causal effects in observational studies. </w:t>
      </w:r>
      <w:r w:rsidRPr="001F263F">
        <w:rPr>
          <w:rFonts w:eastAsia="Times New Roman" w:cs="Times New Roman"/>
          <w:i/>
          <w:noProof/>
          <w:szCs w:val="20"/>
        </w:rPr>
        <w:t>Psychological Methods, 9</w:t>
      </w:r>
      <w:r w:rsidRPr="001F263F">
        <w:rPr>
          <w:rFonts w:eastAsia="Times New Roman" w:cs="Times New Roman"/>
          <w:noProof/>
          <w:szCs w:val="20"/>
        </w:rPr>
        <w:t xml:space="preserve">(4), 403-425. </w:t>
      </w:r>
    </w:p>
    <w:p w14:paraId="2CFD11D8"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Menard, S. (2009). Victimization &amp; Illegal Behavior. Huntsville, TX: Crime Victim’s Institute, Criminal Justice Center, Sam Houston State University.</w:t>
      </w:r>
    </w:p>
    <w:p w14:paraId="03A25DF8"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Menehan, K. . (2014). Early Detection and Intervention for the Prevention of Psychosis in Adolescents and Young Adults (pp. 43): Robert Wood Johnson Foundation.</w:t>
      </w:r>
    </w:p>
    <w:p w14:paraId="06FBA60C"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Miller, S., Ringeisen, H., Munoz, B., Rohloff, H., Hedden, S., Colpe, L., &amp; Embry, V. (2014). </w:t>
      </w:r>
      <w:r w:rsidRPr="001F263F">
        <w:rPr>
          <w:rFonts w:eastAsia="Times New Roman" w:cs="Times New Roman"/>
          <w:i/>
          <w:noProof/>
          <w:szCs w:val="20"/>
        </w:rPr>
        <w:t>Predictors of mental health service use in young adulthood: Results from the National Survey on Drug Use and Health</w:t>
      </w:r>
      <w:r w:rsidRPr="001F263F">
        <w:rPr>
          <w:rFonts w:eastAsia="Times New Roman" w:cs="Times New Roman"/>
          <w:noProof/>
          <w:szCs w:val="20"/>
        </w:rPr>
        <w:t xml:space="preserve">. Unpublished manuscript.  </w:t>
      </w:r>
    </w:p>
    <w:p w14:paraId="7F1DE19D"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National Center for PTSD. (2012). Using the PTSD Checklist (PCL). Washington, DC: U.S. Department of Veterans Affairs, VA National Center for PTSD.</w:t>
      </w:r>
    </w:p>
    <w:p w14:paraId="38653A46"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Novak, S. P., Colpe, L. J., Barker, P. R., &amp; Gfroerer, J. C. (2010). Development of a brief mental health impairment scale using a nationally representative sample in the USA. </w:t>
      </w:r>
      <w:r w:rsidRPr="001F263F">
        <w:rPr>
          <w:rFonts w:eastAsia="Times New Roman" w:cs="Times New Roman"/>
          <w:i/>
          <w:noProof/>
          <w:szCs w:val="20"/>
        </w:rPr>
        <w:t>International Journal of Methods in Psychiatric Research, 19 Suppl 1</w:t>
      </w:r>
      <w:r w:rsidRPr="001F263F">
        <w:rPr>
          <w:rFonts w:eastAsia="Times New Roman" w:cs="Times New Roman"/>
          <w:noProof/>
          <w:szCs w:val="20"/>
        </w:rPr>
        <w:t>, 49-60. doi: 10.1002/mpr.313</w:t>
      </w:r>
    </w:p>
    <w:p w14:paraId="1E795B2F"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Nowell, B. (2009). Profiling capacity for coordination and systems change: the relative contribution of stakeholder relationships in interorganizational collaboratives. </w:t>
      </w:r>
      <w:r w:rsidRPr="001F263F">
        <w:rPr>
          <w:rFonts w:eastAsia="Times New Roman" w:cs="Times New Roman"/>
          <w:i/>
          <w:noProof/>
          <w:szCs w:val="20"/>
        </w:rPr>
        <w:t>American Journal of Community Psychology, 44</w:t>
      </w:r>
      <w:r w:rsidRPr="001F263F">
        <w:rPr>
          <w:rFonts w:eastAsia="Times New Roman" w:cs="Times New Roman"/>
          <w:noProof/>
          <w:szCs w:val="20"/>
        </w:rPr>
        <w:t>(3-4), 196-212. doi: 10.1007/s10464-009-9276-2</w:t>
      </w:r>
    </w:p>
    <w:p w14:paraId="30ABE60E"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Nowell, B., &amp; Foster-Fishman, P. G. (2011). Examining multi-sector community collaboratives as vehicles for building organizational capacity. </w:t>
      </w:r>
      <w:r w:rsidRPr="001F263F">
        <w:rPr>
          <w:rFonts w:eastAsia="Times New Roman" w:cs="Times New Roman"/>
          <w:i/>
          <w:noProof/>
          <w:szCs w:val="20"/>
        </w:rPr>
        <w:t>American Journal of Community Psychology, 48</w:t>
      </w:r>
      <w:r w:rsidRPr="001F263F">
        <w:rPr>
          <w:rFonts w:eastAsia="Times New Roman" w:cs="Times New Roman"/>
          <w:noProof/>
          <w:szCs w:val="20"/>
        </w:rPr>
        <w:t>(3-4), 193-207. doi: 10.1007/s10464-010-9364-3</w:t>
      </w:r>
    </w:p>
    <w:p w14:paraId="4DA5619B"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Rosenbaum, Paul R., &amp; Rubin, Donald B. (1983). The central role of the propensity score in observational studies for causal effects </w:t>
      </w:r>
      <w:r w:rsidRPr="001F263F">
        <w:rPr>
          <w:rFonts w:eastAsia="Times New Roman" w:cs="Times New Roman"/>
          <w:i/>
          <w:noProof/>
          <w:szCs w:val="20"/>
        </w:rPr>
        <w:t>Biometrika, 70</w:t>
      </w:r>
      <w:r w:rsidRPr="001F263F">
        <w:rPr>
          <w:rFonts w:eastAsia="Times New Roman" w:cs="Times New Roman"/>
          <w:noProof/>
          <w:szCs w:val="20"/>
        </w:rPr>
        <w:t xml:space="preserve">(1), 41-55. </w:t>
      </w:r>
    </w:p>
    <w:p w14:paraId="5C9E4BD4"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Shadish, William R. (2010). Campbell and Rubin: A primer and comparison of their approaches to causal inference in field settings. </w:t>
      </w:r>
      <w:r w:rsidRPr="001F263F">
        <w:rPr>
          <w:rFonts w:eastAsia="Times New Roman" w:cs="Times New Roman"/>
          <w:i/>
          <w:noProof/>
          <w:szCs w:val="20"/>
        </w:rPr>
        <w:t>Psychological Methods, 15</w:t>
      </w:r>
      <w:r w:rsidRPr="001F263F">
        <w:rPr>
          <w:rFonts w:eastAsia="Times New Roman" w:cs="Times New Roman"/>
          <w:noProof/>
          <w:szCs w:val="20"/>
        </w:rPr>
        <w:t xml:space="preserve">(1), 3-17. doi: </w:t>
      </w:r>
      <w:hyperlink r:id="rId8" w:history="1">
        <w:r w:rsidRPr="001F263F">
          <w:rPr>
            <w:rFonts w:eastAsia="Times New Roman" w:cs="Times New Roman"/>
            <w:noProof/>
            <w:color w:val="0563C1" w:themeColor="hyperlink"/>
            <w:szCs w:val="20"/>
            <w:u w:val="single"/>
          </w:rPr>
          <w:t>http://dx.doi.org/10.1037/a0015916</w:t>
        </w:r>
      </w:hyperlink>
    </w:p>
    <w:p w14:paraId="3FCFD9A9"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Shadish, William R., Cook, Thomas D., &amp; Campbell, Donald T. (2002). </w:t>
      </w:r>
      <w:r w:rsidRPr="001F263F">
        <w:rPr>
          <w:rFonts w:eastAsia="Times New Roman" w:cs="Times New Roman"/>
          <w:i/>
          <w:noProof/>
          <w:szCs w:val="20"/>
        </w:rPr>
        <w:t>Experimental and Quasi-Experimental Designs for Generalized Causal Inference</w:t>
      </w:r>
      <w:r w:rsidRPr="001F263F">
        <w:rPr>
          <w:rFonts w:eastAsia="Times New Roman" w:cs="Times New Roman"/>
          <w:noProof/>
          <w:szCs w:val="20"/>
        </w:rPr>
        <w:t>. Boston: Houghton-Mifflin.</w:t>
      </w:r>
    </w:p>
    <w:p w14:paraId="23DDF37A"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Slaghuis, S. S., Strating, M. M., Bal, R. A., &amp; Nieboer, A. P. (2011). A framework and a measurement instrument for sustainability of work practices in long-term care. </w:t>
      </w:r>
      <w:r w:rsidRPr="001F263F">
        <w:rPr>
          <w:rFonts w:eastAsia="Times New Roman" w:cs="Times New Roman"/>
          <w:i/>
          <w:noProof/>
          <w:szCs w:val="20"/>
        </w:rPr>
        <w:t>BMC Health Services Research, 11</w:t>
      </w:r>
      <w:r w:rsidRPr="001F263F">
        <w:rPr>
          <w:rFonts w:eastAsia="Times New Roman" w:cs="Times New Roman"/>
          <w:noProof/>
          <w:szCs w:val="20"/>
        </w:rPr>
        <w:t>, 314. doi: 10.1186/1472-6963-11-314</w:t>
      </w:r>
    </w:p>
    <w:p w14:paraId="14D242F3"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Steadman, H. J., Mulvey, E. P., Monahan, J., Robbins, P. C., Appelbaum, P. S., Grisso, T., . . . Silver, E. (1998). Violence by people discharged from acute psychiatric inpatient facilities and by others in the same neighborhoods. </w:t>
      </w:r>
      <w:r w:rsidRPr="001F263F">
        <w:rPr>
          <w:rFonts w:eastAsia="Times New Roman" w:cs="Times New Roman"/>
          <w:i/>
          <w:noProof/>
          <w:szCs w:val="20"/>
        </w:rPr>
        <w:t>Archives of General Psychiatry, 55</w:t>
      </w:r>
      <w:r w:rsidRPr="001F263F">
        <w:rPr>
          <w:rFonts w:eastAsia="Times New Roman" w:cs="Times New Roman"/>
          <w:noProof/>
          <w:szCs w:val="20"/>
        </w:rPr>
        <w:t xml:space="preserve">(5), 393-401. </w:t>
      </w:r>
    </w:p>
    <w:p w14:paraId="615F1D85"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Substance Abuse and Mental Health Services Administration. (2010a). Adults with Mental Illness: Findings from the 2008 National Survey on Drug Use and Health. Rockville, MD: (Center for Behavioral Health Statistics and Quality and Center for Mental Health Services, HHS Publication No. SMA 10-4614, Analytic Series A-31).</w:t>
      </w:r>
    </w:p>
    <w:p w14:paraId="18FC6ED4"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Substance Abuse and Mental Health Services Administration. (2010b). </w:t>
      </w:r>
      <w:r w:rsidRPr="001F263F">
        <w:rPr>
          <w:rFonts w:eastAsia="Times New Roman" w:cs="Times New Roman"/>
          <w:i/>
          <w:noProof/>
          <w:szCs w:val="20"/>
        </w:rPr>
        <w:t>Results from the 2009 National Survey on Drug Use and Health: Volume I. Summary of National Findings</w:t>
      </w:r>
      <w:r w:rsidRPr="001F263F">
        <w:rPr>
          <w:rFonts w:eastAsia="Times New Roman" w:cs="Times New Roman"/>
          <w:noProof/>
          <w:szCs w:val="20"/>
        </w:rPr>
        <w:t xml:space="preserve">. (HHS Publication No. SMA 10-4586Findings). Rockville, MD:  Retrieved from </w:t>
      </w:r>
      <w:hyperlink r:id="rId9" w:history="1">
        <w:r w:rsidRPr="001F263F">
          <w:rPr>
            <w:rFonts w:eastAsia="Times New Roman" w:cs="Times New Roman"/>
            <w:noProof/>
            <w:color w:val="0563C1" w:themeColor="hyperlink"/>
            <w:szCs w:val="20"/>
            <w:u w:val="single"/>
          </w:rPr>
          <w:t>http://www.oas.samhsa.gov</w:t>
        </w:r>
      </w:hyperlink>
      <w:r w:rsidRPr="001F263F">
        <w:rPr>
          <w:rFonts w:eastAsia="Times New Roman" w:cs="Times New Roman"/>
          <w:noProof/>
          <w:szCs w:val="20"/>
        </w:rPr>
        <w:t>.</w:t>
      </w:r>
    </w:p>
    <w:p w14:paraId="273489FE"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Sum, A., Khatiwada, I., Trubskyy, M., Ross, M., McHugh, W., &amp; Palma, S. (2014). The plummeting labor market fortunes of teens and young adults. Washington, DC: The Brookings Institution.</w:t>
      </w:r>
    </w:p>
    <w:p w14:paraId="259E99FC"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Tondora, J., &amp; Miller, R. (2009). Centered Care Planning Questionnaire — Person in Recovery (PIR) Version. New Haven, CT: Yale Program for Recovery and Community Health.</w:t>
      </w:r>
    </w:p>
    <w:p w14:paraId="508621AD"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Tracey, T. J., &amp; Kokotovic, A. M. (1989). Factor structure of the Working Alliance Inventory. </w:t>
      </w:r>
      <w:r w:rsidRPr="001F263F">
        <w:rPr>
          <w:rFonts w:eastAsia="Times New Roman" w:cs="Times New Roman"/>
          <w:i/>
          <w:noProof/>
          <w:szCs w:val="20"/>
        </w:rPr>
        <w:t>Psychological Assessment: A Journal of Consulting and Clinical Psychology, 1</w:t>
      </w:r>
      <w:r w:rsidRPr="001F263F">
        <w:rPr>
          <w:rFonts w:eastAsia="Times New Roman" w:cs="Times New Roman"/>
          <w:noProof/>
          <w:szCs w:val="20"/>
        </w:rPr>
        <w:t>, 207-210. doi: 10.1037//1040-3590.1.3.207</w:t>
      </w:r>
    </w:p>
    <w:p w14:paraId="44C6CE7A"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United Nations. (2014). Mental health matters social inclusion of youth with mental health conditions.  Retrieved from </w:t>
      </w:r>
      <w:hyperlink r:id="rId10" w:history="1">
        <w:r w:rsidRPr="001F263F">
          <w:rPr>
            <w:rFonts w:eastAsia="Times New Roman" w:cs="Times New Roman"/>
            <w:noProof/>
            <w:color w:val="0563C1" w:themeColor="hyperlink"/>
            <w:szCs w:val="20"/>
            <w:u w:val="single"/>
          </w:rPr>
          <w:t>http://www.un.org/esa/socdev/documents/youth/youth-mental-health.pdf</w:t>
        </w:r>
      </w:hyperlink>
    </w:p>
    <w:p w14:paraId="19EBF5FD"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Walker, J. S., Koroloff, N., &amp; Mehess, S. J. (2015). Community and State Systems Change Associated with the Healthy Transitions Initiative. </w:t>
      </w:r>
      <w:r w:rsidRPr="001F263F">
        <w:rPr>
          <w:rFonts w:eastAsia="Times New Roman" w:cs="Times New Roman"/>
          <w:i/>
          <w:noProof/>
          <w:szCs w:val="20"/>
        </w:rPr>
        <w:t>The Journal of Behavioral Health Services &amp; Research, 42</w:t>
      </w:r>
      <w:r w:rsidRPr="001F263F">
        <w:rPr>
          <w:rFonts w:eastAsia="Times New Roman" w:cs="Times New Roman"/>
          <w:noProof/>
          <w:szCs w:val="20"/>
        </w:rPr>
        <w:t>(2), 254-271. doi: 10.1007/s11414-014-9452-5</w:t>
      </w:r>
    </w:p>
    <w:p w14:paraId="0C48B252"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Walker, J. S., Thorne, E. K., Powers, L. E., &amp; Gaonkar, R. (2009). Development of a scale to measure the empowerment of youth consumers of mental health services. </w:t>
      </w:r>
      <w:r w:rsidRPr="001F263F">
        <w:rPr>
          <w:rFonts w:eastAsia="Times New Roman" w:cs="Times New Roman"/>
          <w:i/>
          <w:noProof/>
          <w:szCs w:val="20"/>
        </w:rPr>
        <w:t>Journal of Emotional and Behavioral Disorders</w:t>
      </w:r>
      <w:r w:rsidRPr="001F263F">
        <w:rPr>
          <w:rFonts w:eastAsia="Times New Roman" w:cs="Times New Roman"/>
          <w:noProof/>
          <w:szCs w:val="20"/>
        </w:rPr>
        <w:t>. doi: 10.1177/1063426609337388</w:t>
      </w:r>
    </w:p>
    <w:p w14:paraId="5BEDAB3C"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West, Stephen G., Biesanz, Jeremy C., &amp; Pitts, Steven C. (2000). Causal inference and generalization in field settings: Experimental and quasi-experimental designs. In H.T. Reis &amp; C.M. Judd (Eds.), </w:t>
      </w:r>
      <w:r w:rsidRPr="001F263F">
        <w:rPr>
          <w:rFonts w:eastAsia="Times New Roman" w:cs="Times New Roman"/>
          <w:i/>
          <w:noProof/>
          <w:szCs w:val="20"/>
        </w:rPr>
        <w:t>Handbook of research methods in social and personality psychology</w:t>
      </w:r>
      <w:r w:rsidRPr="001F263F">
        <w:rPr>
          <w:rFonts w:eastAsia="Times New Roman" w:cs="Times New Roman"/>
          <w:noProof/>
          <w:szCs w:val="20"/>
        </w:rPr>
        <w:t xml:space="preserve"> (pp. 40-84). New York: Cambridge University Press.</w:t>
      </w:r>
    </w:p>
    <w:p w14:paraId="47CF0685"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Wolman, J., Campeau, P., Dubois, P., Mithaug, D., &amp; Stolarski, V. (1994). </w:t>
      </w:r>
      <w:r w:rsidRPr="001F263F">
        <w:rPr>
          <w:rFonts w:eastAsia="Times New Roman" w:cs="Times New Roman"/>
          <w:i/>
          <w:noProof/>
          <w:szCs w:val="20"/>
        </w:rPr>
        <w:t>AIR Self-Determination Scale and user guide</w:t>
      </w:r>
      <w:r w:rsidRPr="001F263F">
        <w:rPr>
          <w:rFonts w:eastAsia="Times New Roman" w:cs="Times New Roman"/>
          <w:noProof/>
          <w:szCs w:val="20"/>
        </w:rPr>
        <w:t>.</w:t>
      </w:r>
    </w:p>
    <w:p w14:paraId="6C3A0178" w14:textId="77777777" w:rsidR="00821E2E" w:rsidRPr="001F263F" w:rsidRDefault="00821E2E" w:rsidP="00821E2E">
      <w:pPr>
        <w:keepLines/>
        <w:spacing w:after="0"/>
        <w:ind w:left="720" w:hanging="720"/>
        <w:rPr>
          <w:rFonts w:eastAsia="Times New Roman" w:cs="Times New Roman"/>
          <w:noProof/>
          <w:szCs w:val="20"/>
        </w:rPr>
      </w:pPr>
      <w:r w:rsidRPr="001F263F">
        <w:rPr>
          <w:rFonts w:eastAsia="Times New Roman" w:cs="Times New Roman"/>
          <w:noProof/>
          <w:szCs w:val="20"/>
        </w:rPr>
        <w:t xml:space="preserve">Wright, D., Bowman, K., Butler, D., &amp; Eyerman, J. (2005). Non-response bias from the national household survey on drug abuse incentive experiment. </w:t>
      </w:r>
      <w:r w:rsidRPr="001F263F">
        <w:rPr>
          <w:rFonts w:eastAsia="Times New Roman" w:cs="Times New Roman"/>
          <w:i/>
          <w:noProof/>
          <w:szCs w:val="20"/>
        </w:rPr>
        <w:t>Journal of Economic and Social Measurement, 30</w:t>
      </w:r>
      <w:r w:rsidRPr="001F263F">
        <w:rPr>
          <w:rFonts w:eastAsia="Times New Roman" w:cs="Times New Roman"/>
          <w:noProof/>
          <w:szCs w:val="20"/>
        </w:rPr>
        <w:t xml:space="preserve">, 219-231. </w:t>
      </w:r>
    </w:p>
    <w:p w14:paraId="08573AAE" w14:textId="77777777" w:rsidR="00821E2E" w:rsidRDefault="00821E2E" w:rsidP="00821E2E">
      <w:pPr>
        <w:keepLines/>
      </w:pPr>
      <w:r w:rsidRPr="001F263F">
        <w:fldChar w:fldCharType="end"/>
      </w:r>
    </w:p>
    <w:p w14:paraId="1572CFD9" w14:textId="77777777" w:rsidR="00821E2E" w:rsidRDefault="00821E2E" w:rsidP="00821E2E">
      <w:pPr>
        <w:keepLines/>
      </w:pPr>
    </w:p>
    <w:p w14:paraId="709C78DE" w14:textId="77777777" w:rsidR="00821E2E" w:rsidRDefault="00821E2E" w:rsidP="00821E2E">
      <w:pPr>
        <w:keepLines/>
        <w:sectPr w:rsidR="00821E2E" w:rsidSect="00350ACA">
          <w:pgSz w:w="12240" w:h="15840"/>
          <w:pgMar w:top="1440" w:right="1440" w:bottom="1440" w:left="1440" w:header="720" w:footer="720" w:gutter="0"/>
          <w:cols w:space="720"/>
          <w:docGrid w:linePitch="360"/>
        </w:sectPr>
      </w:pPr>
    </w:p>
    <w:p w14:paraId="3DD5CFF7" w14:textId="77777777" w:rsidR="00821E2E" w:rsidRPr="00AD06C3" w:rsidRDefault="00821E2E" w:rsidP="00821E2E">
      <w:pPr>
        <w:keepLines/>
        <w:jc w:val="center"/>
        <w:rPr>
          <w:b/>
          <w:bCs/>
        </w:rPr>
      </w:pPr>
      <w:r w:rsidRPr="00AD06C3">
        <w:rPr>
          <w:b/>
          <w:bCs/>
        </w:rPr>
        <w:t>LIST OF ATTACHMENTS</w:t>
      </w:r>
    </w:p>
    <w:p w14:paraId="4E97FF30" w14:textId="77777777" w:rsidR="00BD632F" w:rsidRDefault="00BD632F" w:rsidP="00BD632F">
      <w:pPr>
        <w:jc w:val="center"/>
        <w:rPr>
          <w:rFonts w:cs="Times New Roman"/>
          <w:b/>
        </w:rPr>
      </w:pPr>
    </w:p>
    <w:p w14:paraId="3825A0B7" w14:textId="77777777" w:rsidR="00BD632F" w:rsidRDefault="00BD632F" w:rsidP="00BD632F">
      <w:pPr>
        <w:pStyle w:val="ListParagraph"/>
        <w:numPr>
          <w:ilvl w:val="0"/>
          <w:numId w:val="37"/>
        </w:numPr>
        <w:spacing w:after="0"/>
        <w:rPr>
          <w:rFonts w:cs="Times New Roman"/>
          <w:iCs/>
        </w:rPr>
      </w:pPr>
      <w:r>
        <w:rPr>
          <w:rFonts w:cs="Times New Roman"/>
          <w:i/>
          <w:iCs/>
        </w:rPr>
        <w:t>Community Support for Transitions Inventory (CSTI)</w:t>
      </w:r>
    </w:p>
    <w:p w14:paraId="169362E0" w14:textId="77777777" w:rsidR="00BD632F" w:rsidRDefault="00BD632F" w:rsidP="00BD632F">
      <w:pPr>
        <w:pStyle w:val="ListParagraph"/>
        <w:numPr>
          <w:ilvl w:val="0"/>
          <w:numId w:val="37"/>
        </w:numPr>
        <w:spacing w:after="0"/>
        <w:rPr>
          <w:rFonts w:cs="Times New Roman"/>
          <w:iCs/>
        </w:rPr>
      </w:pPr>
      <w:r>
        <w:rPr>
          <w:rFonts w:cs="Times New Roman"/>
          <w:i/>
          <w:iCs/>
        </w:rPr>
        <w:t>State Support for Transition Inventory (SSTI)</w:t>
      </w:r>
    </w:p>
    <w:p w14:paraId="2F44EF69" w14:textId="77777777" w:rsidR="00BD632F" w:rsidRDefault="00BD632F" w:rsidP="00BD632F">
      <w:pPr>
        <w:pStyle w:val="ListParagraph"/>
        <w:numPr>
          <w:ilvl w:val="0"/>
          <w:numId w:val="37"/>
        </w:numPr>
        <w:spacing w:after="0"/>
        <w:rPr>
          <w:rFonts w:cs="Times New Roman"/>
          <w:i/>
          <w:iCs/>
        </w:rPr>
      </w:pPr>
      <w:r>
        <w:rPr>
          <w:rFonts w:cs="Times New Roman"/>
          <w:i/>
          <w:iCs/>
        </w:rPr>
        <w:t>Collaborative Member Survey</w:t>
      </w:r>
    </w:p>
    <w:p w14:paraId="02A1664A" w14:textId="77777777" w:rsidR="00BD632F" w:rsidRDefault="00BD632F" w:rsidP="00BD632F">
      <w:pPr>
        <w:pStyle w:val="ListParagraph"/>
        <w:numPr>
          <w:ilvl w:val="0"/>
          <w:numId w:val="37"/>
        </w:numPr>
        <w:spacing w:after="0"/>
        <w:rPr>
          <w:rFonts w:cs="Times New Roman"/>
          <w:i/>
          <w:iCs/>
        </w:rPr>
      </w:pPr>
      <w:r>
        <w:rPr>
          <w:rFonts w:cs="Times New Roman"/>
          <w:i/>
          <w:iCs/>
        </w:rPr>
        <w:t>Collaborative Self-Assessment</w:t>
      </w:r>
    </w:p>
    <w:p w14:paraId="04DDE1E1" w14:textId="77777777" w:rsidR="00BD632F" w:rsidRDefault="00BD632F" w:rsidP="00BD632F">
      <w:pPr>
        <w:pStyle w:val="ListParagraph"/>
        <w:numPr>
          <w:ilvl w:val="0"/>
          <w:numId w:val="37"/>
        </w:numPr>
        <w:spacing w:after="0"/>
        <w:rPr>
          <w:rFonts w:cs="Times New Roman"/>
          <w:i/>
          <w:iCs/>
        </w:rPr>
      </w:pPr>
      <w:r>
        <w:rPr>
          <w:rFonts w:cs="Times New Roman"/>
          <w:i/>
          <w:iCs/>
        </w:rPr>
        <w:t>Project Director Web Surveys</w:t>
      </w:r>
    </w:p>
    <w:p w14:paraId="4F2F22AC" w14:textId="77777777" w:rsidR="00BD632F" w:rsidRDefault="00BD632F" w:rsidP="00BD632F">
      <w:pPr>
        <w:pStyle w:val="ListParagraph"/>
        <w:numPr>
          <w:ilvl w:val="0"/>
          <w:numId w:val="37"/>
        </w:numPr>
        <w:spacing w:after="0"/>
        <w:rPr>
          <w:rFonts w:cs="Times New Roman"/>
          <w:i/>
          <w:iCs/>
        </w:rPr>
      </w:pPr>
      <w:r>
        <w:rPr>
          <w:rFonts w:cs="Times New Roman"/>
          <w:i/>
          <w:iCs/>
        </w:rPr>
        <w:t>Project Director Telephone Interviews</w:t>
      </w:r>
    </w:p>
    <w:p w14:paraId="5E51F837" w14:textId="77777777" w:rsidR="00BD632F" w:rsidRDefault="00BD632F" w:rsidP="00BD632F">
      <w:pPr>
        <w:pStyle w:val="ListParagraph"/>
        <w:numPr>
          <w:ilvl w:val="0"/>
          <w:numId w:val="37"/>
        </w:numPr>
        <w:spacing w:after="0"/>
        <w:rPr>
          <w:rFonts w:cs="Times New Roman"/>
          <w:i/>
          <w:iCs/>
        </w:rPr>
      </w:pPr>
      <w:r>
        <w:rPr>
          <w:rFonts w:cs="Times New Roman"/>
          <w:i/>
          <w:iCs/>
        </w:rPr>
        <w:t>Core Staff Web Survey</w:t>
      </w:r>
    </w:p>
    <w:p w14:paraId="09AC3B70" w14:textId="77777777" w:rsidR="00BD632F" w:rsidRDefault="00BD632F" w:rsidP="00BD632F">
      <w:pPr>
        <w:pStyle w:val="ListParagraph"/>
        <w:numPr>
          <w:ilvl w:val="0"/>
          <w:numId w:val="37"/>
        </w:numPr>
        <w:spacing w:after="0"/>
        <w:rPr>
          <w:rFonts w:cs="Times New Roman"/>
          <w:i/>
          <w:iCs/>
        </w:rPr>
      </w:pPr>
      <w:r>
        <w:rPr>
          <w:rFonts w:cs="Times New Roman"/>
          <w:i/>
        </w:rPr>
        <w:t>Multi-Media Project Young Adult Probes</w:t>
      </w:r>
    </w:p>
    <w:p w14:paraId="2F70E8EB" w14:textId="77777777" w:rsidR="00BD632F" w:rsidRDefault="00BD632F" w:rsidP="00BD632F">
      <w:pPr>
        <w:pStyle w:val="ListParagraph"/>
        <w:numPr>
          <w:ilvl w:val="0"/>
          <w:numId w:val="37"/>
        </w:numPr>
        <w:spacing w:after="0"/>
        <w:rPr>
          <w:rFonts w:cs="Times New Roman"/>
        </w:rPr>
      </w:pPr>
      <w:r>
        <w:rPr>
          <w:rFonts w:cs="Times New Roman"/>
          <w:i/>
          <w:iCs/>
        </w:rPr>
        <w:t>Supplemental Youth and Young Adult Interview (SYAI)</w:t>
      </w:r>
      <w:r>
        <w:rPr>
          <w:rFonts w:cs="Times New Roman"/>
        </w:rPr>
        <w:t>,</w:t>
      </w:r>
      <w:r>
        <w:rPr>
          <w:rFonts w:cs="Times New Roman"/>
          <w:i/>
          <w:iCs/>
        </w:rPr>
        <w:t xml:space="preserve"> Baseline</w:t>
      </w:r>
    </w:p>
    <w:p w14:paraId="19A43FD0" w14:textId="77777777" w:rsidR="00BD632F" w:rsidRDefault="00BD632F" w:rsidP="00BD632F">
      <w:pPr>
        <w:pStyle w:val="ListParagraph"/>
        <w:numPr>
          <w:ilvl w:val="0"/>
          <w:numId w:val="37"/>
        </w:numPr>
        <w:spacing w:after="0"/>
        <w:rPr>
          <w:rFonts w:cs="Times New Roman"/>
        </w:rPr>
      </w:pPr>
      <w:r>
        <w:rPr>
          <w:rFonts w:cs="Times New Roman"/>
          <w:i/>
          <w:iCs/>
        </w:rPr>
        <w:t>Supplemental Youth and Young Adult Interview (SYAI)</w:t>
      </w:r>
      <w:r>
        <w:rPr>
          <w:rFonts w:cs="Times New Roman"/>
        </w:rPr>
        <w:t>,</w:t>
      </w:r>
      <w:r>
        <w:rPr>
          <w:rFonts w:cs="Times New Roman"/>
          <w:i/>
          <w:iCs/>
        </w:rPr>
        <w:t xml:space="preserve"> 12 and 24 Months</w:t>
      </w:r>
    </w:p>
    <w:p w14:paraId="4D30CA21" w14:textId="77777777" w:rsidR="00BD632F" w:rsidRDefault="00BD632F" w:rsidP="00BD632F">
      <w:pPr>
        <w:pStyle w:val="ListParagraph"/>
        <w:numPr>
          <w:ilvl w:val="0"/>
          <w:numId w:val="37"/>
        </w:numPr>
        <w:spacing w:after="0"/>
        <w:rPr>
          <w:rFonts w:cs="Times New Roman"/>
        </w:rPr>
      </w:pPr>
      <w:r>
        <w:rPr>
          <w:rFonts w:cs="Times New Roman"/>
          <w:i/>
          <w:iCs/>
        </w:rPr>
        <w:t>Services and Supports Inventory</w:t>
      </w:r>
    </w:p>
    <w:p w14:paraId="63C73D56" w14:textId="77777777" w:rsidR="00BD632F" w:rsidRDefault="00BD632F" w:rsidP="00BD632F">
      <w:pPr>
        <w:pStyle w:val="ListParagraph"/>
        <w:numPr>
          <w:ilvl w:val="0"/>
          <w:numId w:val="37"/>
        </w:numPr>
        <w:spacing w:after="0"/>
        <w:rPr>
          <w:rFonts w:cs="Times New Roman"/>
        </w:rPr>
      </w:pPr>
      <w:r>
        <w:rPr>
          <w:rFonts w:cs="Times New Roman"/>
          <w:i/>
          <w:iCs/>
        </w:rPr>
        <w:t>Grantee Visit In-Person Interviews and Focus Group Guides</w:t>
      </w:r>
    </w:p>
    <w:p w14:paraId="6D88F4EA" w14:textId="77777777" w:rsidR="00AF1CBC" w:rsidRDefault="00AF1CBC"/>
    <w:sectPr w:rsidR="00AF1CBC" w:rsidSect="00350A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86774" w14:textId="77777777" w:rsidR="00481BF8" w:rsidRDefault="00481BF8" w:rsidP="00481BF8">
      <w:pPr>
        <w:spacing w:after="0"/>
      </w:pPr>
      <w:r>
        <w:separator/>
      </w:r>
    </w:p>
  </w:endnote>
  <w:endnote w:type="continuationSeparator" w:id="0">
    <w:p w14:paraId="6BA78F55" w14:textId="77777777" w:rsidR="00481BF8" w:rsidRDefault="00481BF8" w:rsidP="00481B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CDDF4" w14:textId="77777777" w:rsidR="00481BF8" w:rsidRPr="00481BF8" w:rsidRDefault="00481BF8">
    <w:pPr>
      <w:pStyle w:val="Footer"/>
      <w:tabs>
        <w:tab w:val="clear" w:pos="4680"/>
        <w:tab w:val="clear" w:pos="9360"/>
      </w:tabs>
      <w:jc w:val="center"/>
      <w:rPr>
        <w:caps/>
        <w:noProof/>
      </w:rPr>
    </w:pPr>
    <w:r w:rsidRPr="00481BF8">
      <w:rPr>
        <w:caps/>
      </w:rPr>
      <w:fldChar w:fldCharType="begin"/>
    </w:r>
    <w:r w:rsidRPr="00481BF8">
      <w:rPr>
        <w:caps/>
      </w:rPr>
      <w:instrText xml:space="preserve"> PAGE   \* MERGEFORMAT </w:instrText>
    </w:r>
    <w:r w:rsidRPr="00481BF8">
      <w:rPr>
        <w:caps/>
      </w:rPr>
      <w:fldChar w:fldCharType="separate"/>
    </w:r>
    <w:r w:rsidR="002A0F01">
      <w:rPr>
        <w:caps/>
        <w:noProof/>
      </w:rPr>
      <w:t>15</w:t>
    </w:r>
    <w:r w:rsidRPr="00481BF8">
      <w:rPr>
        <w:caps/>
        <w:noProof/>
      </w:rPr>
      <w:fldChar w:fldCharType="end"/>
    </w:r>
  </w:p>
  <w:p w14:paraId="303BA060" w14:textId="77777777" w:rsidR="00481BF8" w:rsidRDefault="00481B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0C899" w14:textId="77777777" w:rsidR="00481BF8" w:rsidRDefault="00481BF8" w:rsidP="00481BF8">
      <w:pPr>
        <w:spacing w:after="0"/>
      </w:pPr>
      <w:r>
        <w:separator/>
      </w:r>
    </w:p>
  </w:footnote>
  <w:footnote w:type="continuationSeparator" w:id="0">
    <w:p w14:paraId="3453E91E" w14:textId="77777777" w:rsidR="00481BF8" w:rsidRDefault="00481BF8" w:rsidP="00481BF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ACA117E"/>
    <w:lvl w:ilvl="0">
      <w:start w:val="1"/>
      <w:numFmt w:val="bullet"/>
      <w:pStyle w:val="ListBullet2"/>
      <w:lvlText w:val=""/>
      <w:lvlJc w:val="left"/>
      <w:pPr>
        <w:ind w:left="1080" w:hanging="360"/>
      </w:pPr>
      <w:rPr>
        <w:rFonts w:ascii="Symbol" w:hAnsi="Symbol" w:hint="default"/>
      </w:rPr>
    </w:lvl>
  </w:abstractNum>
  <w:abstractNum w:abstractNumId="1" w15:restartNumberingAfterBreak="0">
    <w:nsid w:val="FFFFFF88"/>
    <w:multiLevelType w:val="singleLevel"/>
    <w:tmpl w:val="794CCF56"/>
    <w:lvl w:ilvl="0">
      <w:start w:val="1"/>
      <w:numFmt w:val="decimal"/>
      <w:pStyle w:val="ListNumber"/>
      <w:lvlText w:val="%1."/>
      <w:lvlJc w:val="left"/>
      <w:pPr>
        <w:tabs>
          <w:tab w:val="num" w:pos="360"/>
        </w:tabs>
        <w:ind w:left="360" w:hanging="360"/>
      </w:pPr>
    </w:lvl>
  </w:abstractNum>
  <w:abstractNum w:abstractNumId="2" w15:restartNumberingAfterBreak="0">
    <w:nsid w:val="00E27A73"/>
    <w:multiLevelType w:val="hybridMultilevel"/>
    <w:tmpl w:val="9FB8C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B6258"/>
    <w:multiLevelType w:val="hybridMultilevel"/>
    <w:tmpl w:val="4D2C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F6437"/>
    <w:multiLevelType w:val="hybridMultilevel"/>
    <w:tmpl w:val="B76E6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552FD"/>
    <w:multiLevelType w:val="hybridMultilevel"/>
    <w:tmpl w:val="0E6C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877C8"/>
    <w:multiLevelType w:val="hybridMultilevel"/>
    <w:tmpl w:val="F37E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B357E"/>
    <w:multiLevelType w:val="hybridMultilevel"/>
    <w:tmpl w:val="CB38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85D20"/>
    <w:multiLevelType w:val="hybridMultilevel"/>
    <w:tmpl w:val="AB3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3306A"/>
    <w:multiLevelType w:val="hybridMultilevel"/>
    <w:tmpl w:val="43E4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77C4A"/>
    <w:multiLevelType w:val="singleLevel"/>
    <w:tmpl w:val="6E24BA86"/>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11" w15:restartNumberingAfterBreak="0">
    <w:nsid w:val="1C855FF4"/>
    <w:multiLevelType w:val="hybridMultilevel"/>
    <w:tmpl w:val="98B8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EC1185"/>
    <w:multiLevelType w:val="multilevel"/>
    <w:tmpl w:val="E18C4610"/>
    <w:styleLink w:val="OMBBlue"/>
    <w:lvl w:ilvl="0">
      <w:start w:val="1"/>
      <w:numFmt w:val="upperLetter"/>
      <w:pStyle w:val="Heading1"/>
      <w:lvlText w:val="%1."/>
      <w:lvlJc w:val="left"/>
      <w:pPr>
        <w:ind w:left="360" w:hanging="360"/>
      </w:pPr>
      <w:rPr>
        <w:rFonts w:hint="default"/>
        <w:color w:val="44546A" w:themeColor="text2"/>
      </w:rPr>
    </w:lvl>
    <w:lvl w:ilvl="1">
      <w:start w:val="1"/>
      <w:numFmt w:val="decimal"/>
      <w:pStyle w:val="Heading2"/>
      <w:lvlText w:val="%1.%2."/>
      <w:lvlJc w:val="left"/>
      <w:pPr>
        <w:ind w:left="720" w:hanging="720"/>
      </w:pPr>
      <w:rPr>
        <w:rFonts w:hint="default"/>
        <w:color w:val="5B9BD5"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EA83ED7"/>
    <w:multiLevelType w:val="hybridMultilevel"/>
    <w:tmpl w:val="BAE2F3E8"/>
    <w:lvl w:ilvl="0" w:tplc="7BA29606">
      <w:start w:val="1"/>
      <w:numFmt w:val="bullet"/>
      <w:pStyle w:val="TablebulletLM"/>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763C74"/>
    <w:multiLevelType w:val="hybridMultilevel"/>
    <w:tmpl w:val="C7B4F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A6C88"/>
    <w:multiLevelType w:val="hybridMultilevel"/>
    <w:tmpl w:val="B76E6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B219E"/>
    <w:multiLevelType w:val="hybridMultilevel"/>
    <w:tmpl w:val="5F768FC4"/>
    <w:lvl w:ilvl="0" w:tplc="C3F4EE5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1F696A"/>
    <w:multiLevelType w:val="hybridMultilevel"/>
    <w:tmpl w:val="8A14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842E7E"/>
    <w:multiLevelType w:val="hybridMultilevel"/>
    <w:tmpl w:val="C8A29EDA"/>
    <w:lvl w:ilvl="0" w:tplc="7A745444">
      <w:start w:val="1"/>
      <w:numFmt w:val="bullet"/>
      <w:pStyle w:val="List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9C0520"/>
    <w:multiLevelType w:val="hybridMultilevel"/>
    <w:tmpl w:val="7868BB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E7B78"/>
    <w:multiLevelType w:val="hybridMultilevel"/>
    <w:tmpl w:val="0248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EB20A9"/>
    <w:multiLevelType w:val="hybridMultilevel"/>
    <w:tmpl w:val="01FA2798"/>
    <w:lvl w:ilvl="0" w:tplc="46EAE2B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9403E"/>
    <w:multiLevelType w:val="hybridMultilevel"/>
    <w:tmpl w:val="BD66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A76799"/>
    <w:multiLevelType w:val="hybridMultilevel"/>
    <w:tmpl w:val="A1CA4A62"/>
    <w:lvl w:ilvl="0" w:tplc="E70C5AB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D164D"/>
    <w:multiLevelType w:val="hybridMultilevel"/>
    <w:tmpl w:val="81949364"/>
    <w:lvl w:ilvl="0" w:tplc="04090005">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5" w15:restartNumberingAfterBreak="0">
    <w:nsid w:val="49A86A3A"/>
    <w:multiLevelType w:val="hybridMultilevel"/>
    <w:tmpl w:val="FA2A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737B48"/>
    <w:multiLevelType w:val="hybridMultilevel"/>
    <w:tmpl w:val="9CB8E458"/>
    <w:lvl w:ilvl="0" w:tplc="C21C3500">
      <w:start w:val="2"/>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E8E754D"/>
    <w:multiLevelType w:val="hybridMultilevel"/>
    <w:tmpl w:val="8E1A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A2E7A"/>
    <w:multiLevelType w:val="hybridMultilevel"/>
    <w:tmpl w:val="BC463EEA"/>
    <w:lvl w:ilvl="0" w:tplc="8886F856">
      <w:start w:val="1"/>
      <w:numFmt w:val="bullet"/>
      <w:pStyle w:val="bulletslas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A35162"/>
    <w:multiLevelType w:val="hybridMultilevel"/>
    <w:tmpl w:val="38C2B6B6"/>
    <w:lvl w:ilvl="0" w:tplc="D86ADAF0">
      <w:start w:val="1"/>
      <w:numFmt w:val="bullet"/>
      <w:pStyle w:val="bullets-2ndlevel"/>
      <w:lvlText w:val="–"/>
      <w:lvlJc w:val="left"/>
      <w:pPr>
        <w:tabs>
          <w:tab w:val="num" w:pos="2160"/>
        </w:tabs>
        <w:ind w:left="2160" w:hanging="360"/>
      </w:pPr>
      <w:rPr>
        <w:rFonts w:ascii="Arial" w:hAnsi="Arial" w:hint="default"/>
      </w:rPr>
    </w:lvl>
    <w:lvl w:ilvl="1" w:tplc="CC22D68E">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68EE3B83"/>
    <w:multiLevelType w:val="hybridMultilevel"/>
    <w:tmpl w:val="80BAF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946C47"/>
    <w:multiLevelType w:val="hybridMultilevel"/>
    <w:tmpl w:val="827C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F740E3"/>
    <w:multiLevelType w:val="hybridMultilevel"/>
    <w:tmpl w:val="B76E6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B076AF"/>
    <w:multiLevelType w:val="hybridMultilevel"/>
    <w:tmpl w:val="B76E6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8"/>
  </w:num>
  <w:num w:numId="3">
    <w:abstractNumId w:val="0"/>
  </w:num>
  <w:num w:numId="4">
    <w:abstractNumId w:val="12"/>
    <w:lvlOverride w:ilvl="0">
      <w:lvl w:ilvl="0">
        <w:start w:val="1"/>
        <w:numFmt w:val="upperLetter"/>
        <w:pStyle w:val="Heading1"/>
        <w:lvlText w:val="%1."/>
        <w:lvlJc w:val="left"/>
        <w:pPr>
          <w:ind w:left="630" w:hanging="360"/>
        </w:pPr>
        <w:rPr>
          <w:rFonts w:hint="default"/>
          <w:color w:val="auto"/>
        </w:rPr>
      </w:lvl>
    </w:lvlOverride>
    <w:lvlOverride w:ilvl="1">
      <w:lvl w:ilvl="1">
        <w:start w:val="1"/>
        <w:numFmt w:val="decimal"/>
        <w:pStyle w:val="Heading2"/>
        <w:lvlText w:val="%1.%2."/>
        <w:lvlJc w:val="left"/>
        <w:pPr>
          <w:ind w:left="810" w:hanging="720"/>
        </w:pPr>
        <w:rPr>
          <w:rFonts w:hint="default"/>
          <w:color w:val="auto"/>
        </w:rPr>
      </w:lvl>
    </w:lvlOverride>
  </w:num>
  <w:num w:numId="5">
    <w:abstractNumId w:val="10"/>
  </w:num>
  <w:num w:numId="6">
    <w:abstractNumId w:val="29"/>
  </w:num>
  <w:num w:numId="7">
    <w:abstractNumId w:val="28"/>
  </w:num>
  <w:num w:numId="8">
    <w:abstractNumId w:val="13"/>
  </w:num>
  <w:num w:numId="9">
    <w:abstractNumId w:val="16"/>
  </w:num>
  <w:num w:numId="10">
    <w:abstractNumId w:val="23"/>
  </w:num>
  <w:num w:numId="11">
    <w:abstractNumId w:val="20"/>
  </w:num>
  <w:num w:numId="12">
    <w:abstractNumId w:val="27"/>
  </w:num>
  <w:num w:numId="13">
    <w:abstractNumId w:val="30"/>
  </w:num>
  <w:num w:numId="14">
    <w:abstractNumId w:val="5"/>
  </w:num>
  <w:num w:numId="15">
    <w:abstractNumId w:val="14"/>
  </w:num>
  <w:num w:numId="16">
    <w:abstractNumId w:val="11"/>
  </w:num>
  <w:num w:numId="17">
    <w:abstractNumId w:val="31"/>
  </w:num>
  <w:num w:numId="18">
    <w:abstractNumId w:val="21"/>
    <w:lvlOverride w:ilvl="0">
      <w:startOverride w:val="1"/>
    </w:lvlOverride>
  </w:num>
  <w:num w:numId="19">
    <w:abstractNumId w:val="17"/>
  </w:num>
  <w:num w:numId="20">
    <w:abstractNumId w:val="8"/>
  </w:num>
  <w:num w:numId="21">
    <w:abstractNumId w:val="7"/>
  </w:num>
  <w:num w:numId="22">
    <w:abstractNumId w:val="3"/>
  </w:num>
  <w:num w:numId="23">
    <w:abstractNumId w:val="25"/>
  </w:num>
  <w:num w:numId="24">
    <w:abstractNumId w:val="6"/>
  </w:num>
  <w:num w:numId="25">
    <w:abstractNumId w:val="9"/>
  </w:num>
  <w:num w:numId="26">
    <w:abstractNumId w:val="33"/>
  </w:num>
  <w:num w:numId="27">
    <w:abstractNumId w:val="24"/>
  </w:num>
  <w:num w:numId="28">
    <w:abstractNumId w:val="4"/>
  </w:num>
  <w:num w:numId="29">
    <w:abstractNumId w:val="32"/>
  </w:num>
  <w:num w:numId="30">
    <w:abstractNumId w:val="15"/>
  </w:num>
  <w:num w:numId="31">
    <w:abstractNumId w:val="22"/>
  </w:num>
  <w:num w:numId="32">
    <w:abstractNumId w:val="19"/>
  </w:num>
  <w:num w:numId="33">
    <w:abstractNumId w:val="2"/>
  </w:num>
  <w:num w:numId="34">
    <w:abstractNumId w:val="12"/>
  </w:num>
  <w:num w:numId="35">
    <w:abstractNumId w:val="1"/>
  </w:num>
  <w:num w:numId="36">
    <w:abstractNumId w:val="26"/>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E2E"/>
    <w:rsid w:val="0001133D"/>
    <w:rsid w:val="000C2197"/>
    <w:rsid w:val="002A0F01"/>
    <w:rsid w:val="003532FB"/>
    <w:rsid w:val="0038799E"/>
    <w:rsid w:val="003B41C8"/>
    <w:rsid w:val="00481BF8"/>
    <w:rsid w:val="00704B64"/>
    <w:rsid w:val="00821E2E"/>
    <w:rsid w:val="00AF1CBC"/>
    <w:rsid w:val="00BD632F"/>
    <w:rsid w:val="00CA2553"/>
    <w:rsid w:val="00E11655"/>
    <w:rsid w:val="00FF3F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A084"/>
  <w15:chartTrackingRefBased/>
  <w15:docId w15:val="{5187B9D2-7F8A-43C4-A3A9-7933DA71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E2E"/>
    <w:pPr>
      <w:spacing w:after="240" w:line="240" w:lineRule="auto"/>
    </w:pPr>
    <w:rPr>
      <w:rFonts w:ascii="Times New Roman" w:hAnsi="Times New Roman"/>
    </w:rPr>
  </w:style>
  <w:style w:type="paragraph" w:styleId="Heading1">
    <w:name w:val="heading 1"/>
    <w:basedOn w:val="Normal"/>
    <w:next w:val="Normal"/>
    <w:link w:val="Heading1Char"/>
    <w:autoRedefine/>
    <w:qFormat/>
    <w:rsid w:val="00821E2E"/>
    <w:pPr>
      <w:keepNext/>
      <w:keepLines/>
      <w:numPr>
        <w:numId w:val="4"/>
      </w:numPr>
      <w:spacing w:before="480"/>
      <w:outlineLvl w:val="0"/>
    </w:pPr>
    <w:rPr>
      <w:rFonts w:ascii="Calibri" w:eastAsiaTheme="majorEastAsia" w:hAnsi="Calibri" w:cstheme="majorBidi"/>
      <w:b/>
      <w:bCs/>
      <w:sz w:val="28"/>
      <w:szCs w:val="28"/>
    </w:rPr>
  </w:style>
  <w:style w:type="paragraph" w:styleId="Heading2">
    <w:name w:val="heading 2"/>
    <w:basedOn w:val="Normal"/>
    <w:next w:val="Normal"/>
    <w:link w:val="Heading2Char"/>
    <w:autoRedefine/>
    <w:unhideWhenUsed/>
    <w:qFormat/>
    <w:rsid w:val="00821E2E"/>
    <w:pPr>
      <w:keepNext/>
      <w:keepLines/>
      <w:numPr>
        <w:ilvl w:val="1"/>
        <w:numId w:val="4"/>
      </w:numPr>
      <w:spacing w:before="200"/>
      <w:outlineLvl w:val="1"/>
    </w:pPr>
    <w:rPr>
      <w:rFonts w:ascii="Calibri" w:eastAsiaTheme="majorEastAsia" w:hAnsi="Calibri" w:cstheme="majorBidi"/>
      <w:b/>
      <w:bCs/>
      <w:sz w:val="26"/>
      <w:szCs w:val="26"/>
    </w:rPr>
  </w:style>
  <w:style w:type="paragraph" w:styleId="Heading3">
    <w:name w:val="heading 3"/>
    <w:basedOn w:val="Normal"/>
    <w:next w:val="Normal"/>
    <w:link w:val="Heading3Char"/>
    <w:unhideWhenUsed/>
    <w:qFormat/>
    <w:rsid w:val="00821E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821E2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21E2E"/>
    <w:pPr>
      <w:keepNext/>
      <w:outlineLvl w:val="4"/>
    </w:pPr>
    <w:rPr>
      <w:u w:val="single"/>
    </w:rPr>
  </w:style>
  <w:style w:type="paragraph" w:styleId="Heading6">
    <w:name w:val="heading 6"/>
    <w:basedOn w:val="Normal"/>
    <w:next w:val="Normal"/>
    <w:link w:val="Heading6Char"/>
    <w:uiPriority w:val="9"/>
    <w:semiHidden/>
    <w:unhideWhenUsed/>
    <w:qFormat/>
    <w:rsid w:val="00821E2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E2E"/>
    <w:rPr>
      <w:rFonts w:ascii="Calibri" w:eastAsiaTheme="majorEastAsia" w:hAnsi="Calibri" w:cstheme="majorBidi"/>
      <w:b/>
      <w:bCs/>
      <w:sz w:val="28"/>
      <w:szCs w:val="28"/>
    </w:rPr>
  </w:style>
  <w:style w:type="character" w:customStyle="1" w:styleId="Heading2Char">
    <w:name w:val="Heading 2 Char"/>
    <w:basedOn w:val="DefaultParagraphFont"/>
    <w:link w:val="Heading2"/>
    <w:rsid w:val="00821E2E"/>
    <w:rPr>
      <w:rFonts w:ascii="Calibri" w:eastAsiaTheme="majorEastAsia" w:hAnsi="Calibri" w:cstheme="majorBidi"/>
      <w:b/>
      <w:bCs/>
      <w:sz w:val="26"/>
      <w:szCs w:val="26"/>
    </w:rPr>
  </w:style>
  <w:style w:type="character" w:customStyle="1" w:styleId="Heading3Char">
    <w:name w:val="Heading 3 Char"/>
    <w:basedOn w:val="DefaultParagraphFont"/>
    <w:link w:val="Heading3"/>
    <w:rsid w:val="00821E2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821E2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21E2E"/>
    <w:rPr>
      <w:rFonts w:ascii="Times New Roman" w:hAnsi="Times New Roman"/>
      <w:u w:val="single"/>
    </w:rPr>
  </w:style>
  <w:style w:type="character" w:customStyle="1" w:styleId="Heading6Char">
    <w:name w:val="Heading 6 Char"/>
    <w:basedOn w:val="DefaultParagraphFont"/>
    <w:link w:val="Heading6"/>
    <w:uiPriority w:val="9"/>
    <w:semiHidden/>
    <w:rsid w:val="00821E2E"/>
    <w:rPr>
      <w:rFonts w:asciiTheme="majorHAnsi" w:eastAsiaTheme="majorEastAsia" w:hAnsiTheme="majorHAnsi" w:cstheme="majorBidi"/>
      <w:color w:val="1F4D78" w:themeColor="accent1" w:themeShade="7F"/>
    </w:rPr>
  </w:style>
  <w:style w:type="character" w:styleId="CommentReference">
    <w:name w:val="annotation reference"/>
    <w:basedOn w:val="DefaultParagraphFont"/>
    <w:uiPriority w:val="99"/>
    <w:unhideWhenUsed/>
    <w:rsid w:val="00821E2E"/>
    <w:rPr>
      <w:sz w:val="16"/>
      <w:szCs w:val="16"/>
    </w:rPr>
  </w:style>
  <w:style w:type="paragraph" w:styleId="CommentText">
    <w:name w:val="annotation text"/>
    <w:basedOn w:val="Normal"/>
    <w:link w:val="CommentTextChar"/>
    <w:uiPriority w:val="99"/>
    <w:unhideWhenUsed/>
    <w:rsid w:val="00821E2E"/>
    <w:rPr>
      <w:sz w:val="20"/>
      <w:szCs w:val="20"/>
    </w:rPr>
  </w:style>
  <w:style w:type="character" w:customStyle="1" w:styleId="CommentTextChar">
    <w:name w:val="Comment Text Char"/>
    <w:basedOn w:val="DefaultParagraphFont"/>
    <w:link w:val="CommentText"/>
    <w:uiPriority w:val="99"/>
    <w:rsid w:val="00821E2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21E2E"/>
    <w:rPr>
      <w:b/>
      <w:bCs/>
    </w:rPr>
  </w:style>
  <w:style w:type="character" w:customStyle="1" w:styleId="CommentSubjectChar">
    <w:name w:val="Comment Subject Char"/>
    <w:basedOn w:val="CommentTextChar"/>
    <w:link w:val="CommentSubject"/>
    <w:uiPriority w:val="99"/>
    <w:semiHidden/>
    <w:rsid w:val="00821E2E"/>
    <w:rPr>
      <w:rFonts w:ascii="Times New Roman" w:hAnsi="Times New Roman"/>
      <w:b/>
      <w:bCs/>
      <w:sz w:val="20"/>
      <w:szCs w:val="20"/>
    </w:rPr>
  </w:style>
  <w:style w:type="paragraph" w:styleId="BalloonText">
    <w:name w:val="Balloon Text"/>
    <w:basedOn w:val="Normal"/>
    <w:link w:val="BalloonTextChar"/>
    <w:uiPriority w:val="99"/>
    <w:unhideWhenUsed/>
    <w:rsid w:val="00821E2E"/>
    <w:rPr>
      <w:rFonts w:ascii="Tahoma" w:hAnsi="Tahoma" w:cs="Tahoma"/>
      <w:sz w:val="16"/>
      <w:szCs w:val="16"/>
    </w:rPr>
  </w:style>
  <w:style w:type="character" w:customStyle="1" w:styleId="BalloonTextChar">
    <w:name w:val="Balloon Text Char"/>
    <w:basedOn w:val="DefaultParagraphFont"/>
    <w:link w:val="BalloonText"/>
    <w:uiPriority w:val="99"/>
    <w:rsid w:val="00821E2E"/>
    <w:rPr>
      <w:rFonts w:ascii="Tahoma" w:hAnsi="Tahoma" w:cs="Tahoma"/>
      <w:sz w:val="16"/>
      <w:szCs w:val="16"/>
    </w:rPr>
  </w:style>
  <w:style w:type="paragraph" w:styleId="ListParagraph">
    <w:name w:val="List Paragraph"/>
    <w:basedOn w:val="Normal"/>
    <w:uiPriority w:val="34"/>
    <w:qFormat/>
    <w:rsid w:val="00821E2E"/>
    <w:pPr>
      <w:ind w:left="720"/>
      <w:contextualSpacing/>
    </w:pPr>
  </w:style>
  <w:style w:type="character" w:styleId="Hyperlink">
    <w:name w:val="Hyperlink"/>
    <w:basedOn w:val="DefaultParagraphFont"/>
    <w:uiPriority w:val="99"/>
    <w:unhideWhenUsed/>
    <w:rsid w:val="00821E2E"/>
    <w:rPr>
      <w:color w:val="0563C1" w:themeColor="hyperlink"/>
      <w:u w:val="single"/>
    </w:rPr>
  </w:style>
  <w:style w:type="character" w:styleId="FollowedHyperlink">
    <w:name w:val="FollowedHyperlink"/>
    <w:basedOn w:val="DefaultParagraphFont"/>
    <w:semiHidden/>
    <w:unhideWhenUsed/>
    <w:rsid w:val="00821E2E"/>
    <w:rPr>
      <w:color w:val="954F72" w:themeColor="followedHyperlink"/>
      <w:u w:val="single"/>
    </w:rPr>
  </w:style>
  <w:style w:type="table" w:styleId="TableGrid">
    <w:name w:val="Table Grid"/>
    <w:basedOn w:val="TableNormal"/>
    <w:uiPriority w:val="39"/>
    <w:rsid w:val="00821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821E2E"/>
    <w:pPr>
      <w:spacing w:after="120"/>
    </w:pPr>
  </w:style>
  <w:style w:type="character" w:customStyle="1" w:styleId="BodyTextChar">
    <w:name w:val="Body Text Char"/>
    <w:basedOn w:val="DefaultParagraphFont"/>
    <w:link w:val="BodyText"/>
    <w:rsid w:val="00821E2E"/>
    <w:rPr>
      <w:rFonts w:ascii="Times New Roman" w:hAnsi="Times New Roman"/>
    </w:rPr>
  </w:style>
  <w:style w:type="table" w:customStyle="1" w:styleId="TableGrid1">
    <w:name w:val="Table Grid1"/>
    <w:basedOn w:val="TableNormal"/>
    <w:next w:val="TableGrid"/>
    <w:uiPriority w:val="59"/>
    <w:rsid w:val="00821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1E2E"/>
    <w:pPr>
      <w:spacing w:after="0" w:line="240" w:lineRule="auto"/>
    </w:pPr>
  </w:style>
  <w:style w:type="paragraph" w:styleId="ListBullet2">
    <w:name w:val="List Bullet 2"/>
    <w:basedOn w:val="Normal"/>
    <w:uiPriority w:val="99"/>
    <w:unhideWhenUsed/>
    <w:rsid w:val="00821E2E"/>
    <w:pPr>
      <w:numPr>
        <w:numId w:val="3"/>
      </w:numPr>
      <w:contextualSpacing/>
    </w:pPr>
  </w:style>
  <w:style w:type="paragraph" w:styleId="ListBullet">
    <w:name w:val="List Bullet"/>
    <w:basedOn w:val="ListParagraph"/>
    <w:rsid w:val="00821E2E"/>
    <w:pPr>
      <w:numPr>
        <w:numId w:val="2"/>
      </w:numPr>
    </w:pPr>
  </w:style>
  <w:style w:type="paragraph" w:customStyle="1" w:styleId="ListBulletLast">
    <w:name w:val="List Bullet Last"/>
    <w:basedOn w:val="ListBullet"/>
    <w:qFormat/>
    <w:rsid w:val="00821E2E"/>
  </w:style>
  <w:style w:type="character" w:styleId="FootnoteReference">
    <w:name w:val="footnote reference"/>
    <w:rsid w:val="00821E2E"/>
    <w:rPr>
      <w:rFonts w:ascii="Verdana" w:hAnsi="Verdana"/>
      <w:spacing w:val="0"/>
      <w:position w:val="0"/>
      <w:sz w:val="18"/>
      <w:vertAlign w:val="superscript"/>
    </w:rPr>
  </w:style>
  <w:style w:type="character" w:customStyle="1" w:styleId="ssens">
    <w:name w:val="ssens"/>
    <w:basedOn w:val="DefaultParagraphFont"/>
    <w:rsid w:val="00821E2E"/>
  </w:style>
  <w:style w:type="paragraph" w:styleId="Header">
    <w:name w:val="header"/>
    <w:basedOn w:val="Normal"/>
    <w:link w:val="HeaderChar"/>
    <w:unhideWhenUsed/>
    <w:rsid w:val="00821E2E"/>
    <w:pPr>
      <w:tabs>
        <w:tab w:val="center" w:pos="4680"/>
        <w:tab w:val="right" w:pos="9360"/>
      </w:tabs>
      <w:spacing w:after="0"/>
    </w:pPr>
  </w:style>
  <w:style w:type="character" w:customStyle="1" w:styleId="HeaderChar">
    <w:name w:val="Header Char"/>
    <w:basedOn w:val="DefaultParagraphFont"/>
    <w:link w:val="Header"/>
    <w:rsid w:val="00821E2E"/>
    <w:rPr>
      <w:rFonts w:ascii="Times New Roman" w:hAnsi="Times New Roman"/>
    </w:rPr>
  </w:style>
  <w:style w:type="paragraph" w:styleId="Footer">
    <w:name w:val="footer"/>
    <w:basedOn w:val="Normal"/>
    <w:link w:val="FooterChar"/>
    <w:unhideWhenUsed/>
    <w:rsid w:val="00821E2E"/>
    <w:pPr>
      <w:tabs>
        <w:tab w:val="center" w:pos="4680"/>
        <w:tab w:val="right" w:pos="9360"/>
      </w:tabs>
      <w:spacing w:after="0"/>
    </w:pPr>
  </w:style>
  <w:style w:type="character" w:customStyle="1" w:styleId="FooterChar">
    <w:name w:val="Footer Char"/>
    <w:basedOn w:val="DefaultParagraphFont"/>
    <w:link w:val="Footer"/>
    <w:rsid w:val="00821E2E"/>
    <w:rPr>
      <w:rFonts w:ascii="Times New Roman" w:hAnsi="Times New Roman"/>
    </w:rPr>
  </w:style>
  <w:style w:type="paragraph" w:styleId="Title">
    <w:name w:val="Title"/>
    <w:basedOn w:val="Normal"/>
    <w:next w:val="Normal"/>
    <w:link w:val="TitleChar"/>
    <w:uiPriority w:val="10"/>
    <w:qFormat/>
    <w:rsid w:val="00821E2E"/>
    <w:pPr>
      <w:jc w:val="center"/>
    </w:pPr>
    <w:rPr>
      <w:b/>
      <w:bCs/>
      <w:sz w:val="24"/>
      <w:szCs w:val="24"/>
    </w:rPr>
  </w:style>
  <w:style w:type="character" w:customStyle="1" w:styleId="TitleChar">
    <w:name w:val="Title Char"/>
    <w:basedOn w:val="DefaultParagraphFont"/>
    <w:link w:val="Title"/>
    <w:uiPriority w:val="10"/>
    <w:rsid w:val="00821E2E"/>
    <w:rPr>
      <w:rFonts w:ascii="Times New Roman" w:hAnsi="Times New Roman"/>
      <w:b/>
      <w:bCs/>
      <w:sz w:val="24"/>
      <w:szCs w:val="24"/>
    </w:rPr>
  </w:style>
  <w:style w:type="paragraph" w:styleId="ListNumber">
    <w:name w:val="List Number"/>
    <w:basedOn w:val="ListParagraph"/>
    <w:uiPriority w:val="99"/>
    <w:unhideWhenUsed/>
    <w:rsid w:val="00821E2E"/>
    <w:pPr>
      <w:numPr>
        <w:numId w:val="35"/>
      </w:numPr>
      <w:tabs>
        <w:tab w:val="clear" w:pos="360"/>
      </w:tabs>
      <w:ind w:left="720"/>
    </w:pPr>
  </w:style>
  <w:style w:type="paragraph" w:styleId="Caption">
    <w:name w:val="caption"/>
    <w:basedOn w:val="Normal"/>
    <w:next w:val="Normal"/>
    <w:uiPriority w:val="35"/>
    <w:unhideWhenUsed/>
    <w:qFormat/>
    <w:rsid w:val="00821E2E"/>
    <w:pPr>
      <w:keepNext/>
    </w:pPr>
    <w:rPr>
      <w:b/>
      <w:bCs/>
    </w:rPr>
  </w:style>
  <w:style w:type="paragraph" w:customStyle="1" w:styleId="ExhibitTitle">
    <w:name w:val="Exhibit Title"/>
    <w:basedOn w:val="Caption"/>
    <w:qFormat/>
    <w:rsid w:val="00821E2E"/>
    <w:pPr>
      <w:ind w:left="864" w:hanging="864"/>
    </w:pPr>
  </w:style>
  <w:style w:type="paragraph" w:customStyle="1" w:styleId="TableHeader">
    <w:name w:val="Table Header"/>
    <w:basedOn w:val="Normal"/>
    <w:qFormat/>
    <w:rsid w:val="00821E2E"/>
    <w:pPr>
      <w:keepNext/>
      <w:spacing w:after="0"/>
      <w:jc w:val="center"/>
    </w:pPr>
    <w:rPr>
      <w:b/>
    </w:rPr>
  </w:style>
  <w:style w:type="paragraph" w:customStyle="1" w:styleId="ExhibitNote1">
    <w:name w:val="Exhibit Note1"/>
    <w:basedOn w:val="Normal"/>
    <w:qFormat/>
    <w:rsid w:val="00821E2E"/>
    <w:pPr>
      <w:spacing w:after="0"/>
    </w:pPr>
    <w:rPr>
      <w:sz w:val="20"/>
      <w:szCs w:val="20"/>
    </w:rPr>
  </w:style>
  <w:style w:type="paragraph" w:customStyle="1" w:styleId="ExhibitNote2">
    <w:name w:val="Exhibit Note2"/>
    <w:basedOn w:val="Normal"/>
    <w:qFormat/>
    <w:rsid w:val="00821E2E"/>
    <w:rPr>
      <w:sz w:val="20"/>
      <w:szCs w:val="20"/>
    </w:rPr>
  </w:style>
  <w:style w:type="paragraph" w:customStyle="1" w:styleId="TableText1">
    <w:name w:val="Table Text1"/>
    <w:basedOn w:val="Normal"/>
    <w:qFormat/>
    <w:rsid w:val="00821E2E"/>
    <w:pPr>
      <w:keepNext/>
      <w:spacing w:before="60" w:after="60"/>
    </w:pPr>
  </w:style>
  <w:style w:type="numbering" w:customStyle="1" w:styleId="OMBBlue">
    <w:name w:val="OMB_Blue"/>
    <w:uiPriority w:val="99"/>
    <w:rsid w:val="00821E2E"/>
    <w:pPr>
      <w:numPr>
        <w:numId w:val="34"/>
      </w:numPr>
    </w:pPr>
  </w:style>
  <w:style w:type="paragraph" w:styleId="Index1">
    <w:name w:val="index 1"/>
    <w:basedOn w:val="Normal"/>
    <w:next w:val="Normal"/>
    <w:autoRedefine/>
    <w:semiHidden/>
    <w:unhideWhenUsed/>
    <w:rsid w:val="00821E2E"/>
    <w:pPr>
      <w:spacing w:after="0"/>
      <w:ind w:left="220" w:hanging="220"/>
    </w:pPr>
  </w:style>
  <w:style w:type="paragraph" w:styleId="Bibliography">
    <w:name w:val="Bibliography"/>
    <w:basedOn w:val="Normal"/>
    <w:next w:val="Normal"/>
    <w:uiPriority w:val="37"/>
    <w:semiHidden/>
    <w:unhideWhenUsed/>
    <w:rsid w:val="00821E2E"/>
  </w:style>
  <w:style w:type="character" w:customStyle="1" w:styleId="apple-converted-space">
    <w:name w:val="apple-converted-space"/>
    <w:basedOn w:val="DefaultParagraphFont"/>
    <w:rsid w:val="00821E2E"/>
  </w:style>
  <w:style w:type="character" w:styleId="Emphasis">
    <w:name w:val="Emphasis"/>
    <w:basedOn w:val="DefaultParagraphFont"/>
    <w:uiPriority w:val="20"/>
    <w:qFormat/>
    <w:rsid w:val="00821E2E"/>
    <w:rPr>
      <w:i/>
      <w:iCs/>
    </w:rPr>
  </w:style>
  <w:style w:type="table" w:styleId="LightShading">
    <w:name w:val="Light Shading"/>
    <w:basedOn w:val="TableNormal"/>
    <w:uiPriority w:val="60"/>
    <w:rsid w:val="00821E2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Text1">
    <w:name w:val="Body Text1"/>
    <w:basedOn w:val="Normal"/>
    <w:link w:val="BodyText1Char"/>
    <w:rsid w:val="00821E2E"/>
    <w:pPr>
      <w:spacing w:line="300" w:lineRule="exact"/>
      <w:ind w:firstLine="720"/>
    </w:pPr>
    <w:rPr>
      <w:rFonts w:eastAsia="Times New Roman" w:cs="Times New Roman"/>
      <w:szCs w:val="20"/>
    </w:rPr>
  </w:style>
  <w:style w:type="character" w:customStyle="1" w:styleId="BodyText1Char">
    <w:name w:val="Body Text1 Char"/>
    <w:basedOn w:val="DefaultParagraphFont"/>
    <w:link w:val="BodyText1"/>
    <w:rsid w:val="00821E2E"/>
    <w:rPr>
      <w:rFonts w:ascii="Times New Roman" w:eastAsia="Times New Roman" w:hAnsi="Times New Roman" w:cs="Times New Roman"/>
      <w:szCs w:val="20"/>
    </w:rPr>
  </w:style>
  <w:style w:type="paragraph" w:customStyle="1" w:styleId="TableHeaders">
    <w:name w:val="Table Headers"/>
    <w:basedOn w:val="Normal"/>
    <w:rsid w:val="00821E2E"/>
    <w:pPr>
      <w:keepNext/>
      <w:spacing w:before="80" w:after="80" w:line="240" w:lineRule="exact"/>
      <w:jc w:val="center"/>
    </w:pPr>
    <w:rPr>
      <w:rFonts w:ascii="Arial" w:eastAsia="Times New Roman" w:hAnsi="Arial" w:cs="Times New Roman"/>
      <w:b/>
      <w:snapToGrid w:val="0"/>
      <w:sz w:val="20"/>
      <w:szCs w:val="20"/>
    </w:rPr>
  </w:style>
  <w:style w:type="paragraph" w:customStyle="1" w:styleId="TableText">
    <w:name w:val="Table Text"/>
    <w:basedOn w:val="Normal"/>
    <w:qFormat/>
    <w:rsid w:val="00821E2E"/>
    <w:pPr>
      <w:spacing w:before="80" w:after="80" w:line="240" w:lineRule="exact"/>
    </w:pPr>
    <w:rPr>
      <w:rFonts w:eastAsia="Times New Roman" w:cs="Times New Roman"/>
      <w:b/>
      <w:bCs/>
      <w:snapToGrid w:val="0"/>
      <w:sz w:val="20"/>
      <w:szCs w:val="20"/>
    </w:rPr>
  </w:style>
  <w:style w:type="paragraph" w:customStyle="1" w:styleId="TableTitle">
    <w:name w:val="Table Title"/>
    <w:basedOn w:val="Normal"/>
    <w:rsid w:val="00821E2E"/>
    <w:pPr>
      <w:keepNext/>
      <w:keepLines/>
      <w:spacing w:before="240"/>
      <w:ind w:left="1080" w:hanging="1080"/>
    </w:pPr>
    <w:rPr>
      <w:rFonts w:ascii="Arial" w:eastAsia="Times New Roman" w:hAnsi="Arial" w:cs="Times New Roman"/>
      <w:b/>
      <w:snapToGrid w:val="0"/>
      <w:szCs w:val="24"/>
    </w:rPr>
  </w:style>
  <w:style w:type="paragraph" w:customStyle="1" w:styleId="bullets">
    <w:name w:val="bullets"/>
    <w:aliases w:val="bu"/>
    <w:basedOn w:val="Normal"/>
    <w:link w:val="bulletsChar"/>
    <w:autoRedefine/>
    <w:rsid w:val="00821E2E"/>
    <w:pPr>
      <w:numPr>
        <w:numId w:val="5"/>
      </w:numPr>
      <w:spacing w:after="0"/>
    </w:pPr>
    <w:rPr>
      <w:rFonts w:eastAsia="Times New Roman" w:cs="Times New Roman"/>
      <w:szCs w:val="20"/>
    </w:rPr>
  </w:style>
  <w:style w:type="paragraph" w:customStyle="1" w:styleId="bulletslast2">
    <w:name w:val="bullets_last2"/>
    <w:basedOn w:val="bullets"/>
    <w:next w:val="bullets"/>
    <w:qFormat/>
    <w:rsid w:val="00821E2E"/>
    <w:pPr>
      <w:spacing w:after="240"/>
    </w:pPr>
  </w:style>
  <w:style w:type="paragraph" w:customStyle="1" w:styleId="Heading45">
    <w:name w:val="Heading 4.5"/>
    <w:basedOn w:val="Heading4"/>
    <w:autoRedefine/>
    <w:qFormat/>
    <w:rsid w:val="00821E2E"/>
    <w:pPr>
      <w:keepLines w:val="0"/>
      <w:spacing w:before="240" w:after="120"/>
    </w:pPr>
    <w:rPr>
      <w:rFonts w:ascii="Arial" w:eastAsia="Times New Roman" w:hAnsi="Arial" w:cs="Times New Roman"/>
      <w:b/>
      <w:iCs w:val="0"/>
      <w:snapToGrid w:val="0"/>
      <w:color w:val="auto"/>
      <w:sz w:val="20"/>
      <w:szCs w:val="20"/>
      <w:u w:val="single"/>
    </w:rPr>
  </w:style>
  <w:style w:type="paragraph" w:customStyle="1" w:styleId="TOCHeader">
    <w:name w:val="TOC Header"/>
    <w:basedOn w:val="Normal"/>
    <w:rsid w:val="00821E2E"/>
    <w:pPr>
      <w:tabs>
        <w:tab w:val="right" w:pos="9360"/>
      </w:tabs>
      <w:spacing w:before="480" w:after="480"/>
    </w:pPr>
    <w:rPr>
      <w:rFonts w:ascii="Arial" w:eastAsia="Times New Roman" w:hAnsi="Arial" w:cs="Times New Roman"/>
      <w:b/>
      <w:sz w:val="24"/>
      <w:szCs w:val="20"/>
    </w:rPr>
  </w:style>
  <w:style w:type="paragraph" w:customStyle="1" w:styleId="bullets-3rdlevel">
    <w:name w:val="bullets-3rd level"/>
    <w:autoRedefine/>
    <w:rsid w:val="00821E2E"/>
    <w:pPr>
      <w:numPr>
        <w:ilvl w:val="1"/>
        <w:numId w:val="6"/>
      </w:numPr>
      <w:tabs>
        <w:tab w:val="clear" w:pos="2880"/>
      </w:tabs>
      <w:spacing w:after="0" w:line="240" w:lineRule="auto"/>
      <w:ind w:left="1800"/>
    </w:pPr>
    <w:rPr>
      <w:rFonts w:ascii="Times New Roman" w:eastAsia="Times New Roman" w:hAnsi="Times New Roman" w:cs="Times New Roman"/>
      <w:szCs w:val="20"/>
    </w:rPr>
  </w:style>
  <w:style w:type="paragraph" w:customStyle="1" w:styleId="bullets-2ndlevel">
    <w:name w:val="bullets-2nd level"/>
    <w:autoRedefine/>
    <w:rsid w:val="00821E2E"/>
    <w:pPr>
      <w:numPr>
        <w:numId w:val="6"/>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821E2E"/>
    <w:pPr>
      <w:keepLines/>
      <w:spacing w:before="120"/>
      <w:ind w:left="187" w:hanging="187"/>
    </w:pPr>
    <w:rPr>
      <w:rFonts w:eastAsia="Times New Roman" w:cs="Times New Roman"/>
      <w:sz w:val="20"/>
      <w:szCs w:val="20"/>
    </w:rPr>
  </w:style>
  <w:style w:type="paragraph" w:customStyle="1" w:styleId="toc0">
    <w:name w:val="toc 0"/>
    <w:basedOn w:val="Normal"/>
    <w:rsid w:val="00821E2E"/>
    <w:pPr>
      <w:pBdr>
        <w:top w:val="thinThickSmallGap" w:sz="24" w:space="12" w:color="auto"/>
        <w:bottom w:val="single" w:sz="6" w:space="12" w:color="auto"/>
      </w:pBdr>
      <w:spacing w:before="240" w:after="60"/>
    </w:pPr>
    <w:rPr>
      <w:rFonts w:ascii="Arial" w:eastAsia="Times New Roman" w:hAnsi="Arial" w:cs="Times New Roman"/>
      <w:b/>
      <w:i/>
      <w:sz w:val="40"/>
      <w:szCs w:val="20"/>
    </w:rPr>
  </w:style>
  <w:style w:type="character" w:styleId="PageNumber">
    <w:name w:val="page number"/>
    <w:rsid w:val="00821E2E"/>
    <w:rPr>
      <w:rFonts w:ascii="Arial" w:hAnsi="Arial"/>
      <w:b/>
      <w:sz w:val="24"/>
    </w:rPr>
  </w:style>
  <w:style w:type="paragraph" w:styleId="FootnoteText">
    <w:name w:val="footnote text"/>
    <w:basedOn w:val="Normal"/>
    <w:link w:val="FootnoteTextChar"/>
    <w:rsid w:val="00821E2E"/>
    <w:pPr>
      <w:spacing w:after="0"/>
      <w:ind w:left="180" w:hanging="180"/>
    </w:pPr>
    <w:rPr>
      <w:rFonts w:eastAsia="Times New Roman" w:cs="Times New Roman"/>
      <w:sz w:val="20"/>
      <w:szCs w:val="20"/>
    </w:rPr>
  </w:style>
  <w:style w:type="character" w:customStyle="1" w:styleId="FootnoteTextChar">
    <w:name w:val="Footnote Text Char"/>
    <w:basedOn w:val="DefaultParagraphFont"/>
    <w:link w:val="FootnoteText"/>
    <w:rsid w:val="00821E2E"/>
    <w:rPr>
      <w:rFonts w:ascii="Times New Roman" w:eastAsia="Times New Roman" w:hAnsi="Times New Roman" w:cs="Times New Roman"/>
      <w:sz w:val="20"/>
      <w:szCs w:val="20"/>
    </w:rPr>
  </w:style>
  <w:style w:type="paragraph" w:customStyle="1" w:styleId="FigureTitle">
    <w:name w:val="Figure Title"/>
    <w:basedOn w:val="Normal"/>
    <w:rsid w:val="00821E2E"/>
    <w:pPr>
      <w:keepNext/>
      <w:keepLines/>
      <w:spacing w:before="240"/>
      <w:ind w:left="1440" w:hanging="1440"/>
    </w:pPr>
    <w:rPr>
      <w:rFonts w:ascii="Arial" w:eastAsia="Times New Roman" w:hAnsi="Arial" w:cs="Times New Roman"/>
      <w:b/>
      <w:snapToGrid w:val="0"/>
      <w:sz w:val="24"/>
      <w:szCs w:val="20"/>
    </w:rPr>
  </w:style>
  <w:style w:type="paragraph" w:styleId="Index2">
    <w:name w:val="index 2"/>
    <w:basedOn w:val="Normal"/>
    <w:next w:val="Normal"/>
    <w:autoRedefine/>
    <w:semiHidden/>
    <w:rsid w:val="00821E2E"/>
    <w:pPr>
      <w:spacing w:after="0"/>
      <w:ind w:left="480" w:hanging="240"/>
    </w:pPr>
    <w:rPr>
      <w:rFonts w:eastAsia="Times New Roman" w:cs="Times New Roman"/>
      <w:sz w:val="24"/>
      <w:szCs w:val="20"/>
    </w:rPr>
  </w:style>
  <w:style w:type="paragraph" w:styleId="Index3">
    <w:name w:val="index 3"/>
    <w:basedOn w:val="Normal"/>
    <w:next w:val="Normal"/>
    <w:autoRedefine/>
    <w:semiHidden/>
    <w:rsid w:val="00821E2E"/>
    <w:pPr>
      <w:spacing w:after="0"/>
      <w:ind w:left="720" w:hanging="240"/>
    </w:pPr>
    <w:rPr>
      <w:rFonts w:eastAsia="Times New Roman" w:cs="Times New Roman"/>
      <w:sz w:val="24"/>
      <w:szCs w:val="20"/>
    </w:rPr>
  </w:style>
  <w:style w:type="paragraph" w:styleId="Index4">
    <w:name w:val="index 4"/>
    <w:basedOn w:val="Normal"/>
    <w:next w:val="Normal"/>
    <w:autoRedefine/>
    <w:semiHidden/>
    <w:rsid w:val="00821E2E"/>
    <w:pPr>
      <w:spacing w:after="0"/>
      <w:ind w:left="960" w:hanging="240"/>
    </w:pPr>
    <w:rPr>
      <w:rFonts w:eastAsia="Times New Roman" w:cs="Times New Roman"/>
      <w:sz w:val="24"/>
      <w:szCs w:val="20"/>
    </w:rPr>
  </w:style>
  <w:style w:type="paragraph" w:styleId="Index5">
    <w:name w:val="index 5"/>
    <w:basedOn w:val="Normal"/>
    <w:next w:val="Normal"/>
    <w:autoRedefine/>
    <w:semiHidden/>
    <w:rsid w:val="00821E2E"/>
    <w:pPr>
      <w:spacing w:after="0"/>
      <w:ind w:left="1200" w:hanging="240"/>
    </w:pPr>
    <w:rPr>
      <w:rFonts w:eastAsia="Times New Roman" w:cs="Times New Roman"/>
      <w:sz w:val="24"/>
      <w:szCs w:val="20"/>
    </w:rPr>
  </w:style>
  <w:style w:type="paragraph" w:styleId="Index6">
    <w:name w:val="index 6"/>
    <w:basedOn w:val="Normal"/>
    <w:next w:val="Normal"/>
    <w:autoRedefine/>
    <w:semiHidden/>
    <w:rsid w:val="00821E2E"/>
    <w:pPr>
      <w:spacing w:after="0"/>
      <w:ind w:left="1440" w:hanging="240"/>
    </w:pPr>
    <w:rPr>
      <w:rFonts w:eastAsia="Times New Roman" w:cs="Times New Roman"/>
      <w:sz w:val="24"/>
      <w:szCs w:val="20"/>
    </w:rPr>
  </w:style>
  <w:style w:type="paragraph" w:styleId="Index7">
    <w:name w:val="index 7"/>
    <w:basedOn w:val="Normal"/>
    <w:next w:val="Normal"/>
    <w:autoRedefine/>
    <w:semiHidden/>
    <w:rsid w:val="00821E2E"/>
    <w:pPr>
      <w:spacing w:after="0"/>
      <w:ind w:left="1680" w:hanging="240"/>
    </w:pPr>
    <w:rPr>
      <w:rFonts w:eastAsia="Times New Roman" w:cs="Times New Roman"/>
      <w:sz w:val="24"/>
      <w:szCs w:val="20"/>
    </w:rPr>
  </w:style>
  <w:style w:type="paragraph" w:styleId="Index8">
    <w:name w:val="index 8"/>
    <w:basedOn w:val="Normal"/>
    <w:next w:val="Normal"/>
    <w:autoRedefine/>
    <w:semiHidden/>
    <w:rsid w:val="00821E2E"/>
    <w:pPr>
      <w:spacing w:after="0"/>
      <w:ind w:left="1920" w:hanging="240"/>
    </w:pPr>
    <w:rPr>
      <w:rFonts w:eastAsia="Times New Roman" w:cs="Times New Roman"/>
      <w:sz w:val="24"/>
      <w:szCs w:val="20"/>
    </w:rPr>
  </w:style>
  <w:style w:type="paragraph" w:styleId="Index9">
    <w:name w:val="index 9"/>
    <w:basedOn w:val="Normal"/>
    <w:next w:val="Normal"/>
    <w:autoRedefine/>
    <w:semiHidden/>
    <w:rsid w:val="00821E2E"/>
    <w:pPr>
      <w:spacing w:after="0"/>
      <w:ind w:left="2160" w:hanging="240"/>
    </w:pPr>
    <w:rPr>
      <w:rFonts w:eastAsia="Times New Roman" w:cs="Times New Roman"/>
      <w:sz w:val="24"/>
      <w:szCs w:val="20"/>
    </w:rPr>
  </w:style>
  <w:style w:type="paragraph" w:styleId="IndexHeading">
    <w:name w:val="index heading"/>
    <w:basedOn w:val="Normal"/>
    <w:next w:val="Index1"/>
    <w:semiHidden/>
    <w:rsid w:val="00821E2E"/>
    <w:pPr>
      <w:spacing w:after="0"/>
    </w:pPr>
    <w:rPr>
      <w:rFonts w:eastAsia="Times New Roman" w:cs="Times New Roman"/>
      <w:sz w:val="24"/>
      <w:szCs w:val="20"/>
    </w:rPr>
  </w:style>
  <w:style w:type="paragraph" w:styleId="TOC1">
    <w:name w:val="toc 1"/>
    <w:basedOn w:val="Normal"/>
    <w:next w:val="Normal"/>
    <w:uiPriority w:val="39"/>
    <w:rsid w:val="00821E2E"/>
    <w:pPr>
      <w:tabs>
        <w:tab w:val="right" w:leader="dot" w:pos="9350"/>
      </w:tabs>
      <w:spacing w:before="240" w:after="0"/>
      <w:ind w:left="720" w:hanging="450"/>
    </w:pPr>
    <w:rPr>
      <w:rFonts w:eastAsia="Times New Roman" w:cs="Times New Roman"/>
      <w:noProof/>
      <w:szCs w:val="20"/>
    </w:rPr>
  </w:style>
  <w:style w:type="paragraph" w:styleId="TOC2">
    <w:name w:val="toc 2"/>
    <w:basedOn w:val="Normal"/>
    <w:next w:val="Normal"/>
    <w:uiPriority w:val="39"/>
    <w:rsid w:val="00821E2E"/>
    <w:pPr>
      <w:tabs>
        <w:tab w:val="right" w:leader="dot" w:pos="9350"/>
      </w:tabs>
      <w:spacing w:after="0"/>
      <w:ind w:left="1260" w:hanging="540"/>
    </w:pPr>
    <w:rPr>
      <w:rFonts w:eastAsia="Times New Roman" w:cs="Times New Roman"/>
      <w:noProof/>
      <w:szCs w:val="20"/>
    </w:rPr>
  </w:style>
  <w:style w:type="paragraph" w:styleId="TOC3">
    <w:name w:val="toc 3"/>
    <w:basedOn w:val="Normal"/>
    <w:next w:val="Normal"/>
    <w:uiPriority w:val="39"/>
    <w:rsid w:val="00821E2E"/>
    <w:pPr>
      <w:tabs>
        <w:tab w:val="right" w:leader="dot" w:pos="9360"/>
      </w:tabs>
      <w:spacing w:after="0"/>
      <w:ind w:left="1980" w:hanging="720"/>
    </w:pPr>
    <w:rPr>
      <w:rFonts w:eastAsia="Times New Roman" w:cs="Times New Roman"/>
      <w:noProof/>
      <w:szCs w:val="20"/>
    </w:rPr>
  </w:style>
  <w:style w:type="paragraph" w:styleId="TOC4">
    <w:name w:val="toc 4"/>
    <w:basedOn w:val="Normal"/>
    <w:next w:val="Normal"/>
    <w:rsid w:val="00821E2E"/>
    <w:pPr>
      <w:tabs>
        <w:tab w:val="right" w:leader="dot" w:pos="9360"/>
      </w:tabs>
      <w:spacing w:after="0"/>
      <w:ind w:left="2880" w:hanging="900"/>
    </w:pPr>
    <w:rPr>
      <w:rFonts w:eastAsia="Times New Roman" w:cs="Times New Roman"/>
      <w:szCs w:val="20"/>
    </w:rPr>
  </w:style>
  <w:style w:type="paragraph" w:styleId="TOC5">
    <w:name w:val="toc 5"/>
    <w:aliases w:val="toc tab/fig"/>
    <w:basedOn w:val="Normal"/>
    <w:next w:val="Normal"/>
    <w:rsid w:val="00821E2E"/>
    <w:pPr>
      <w:tabs>
        <w:tab w:val="right" w:leader="dot" w:pos="9360"/>
      </w:tabs>
      <w:spacing w:after="120"/>
      <w:ind w:left="734" w:hanging="547"/>
    </w:pPr>
    <w:rPr>
      <w:rFonts w:eastAsia="Times New Roman" w:cs="Times New Roman"/>
      <w:szCs w:val="20"/>
    </w:rPr>
  </w:style>
  <w:style w:type="paragraph" w:styleId="TOC6">
    <w:name w:val="toc 6"/>
    <w:basedOn w:val="Normal"/>
    <w:next w:val="Normal"/>
    <w:autoRedefine/>
    <w:semiHidden/>
    <w:rsid w:val="00821E2E"/>
    <w:pPr>
      <w:spacing w:after="0"/>
      <w:ind w:left="1200"/>
    </w:pPr>
    <w:rPr>
      <w:rFonts w:eastAsia="Times New Roman" w:cs="Times New Roman"/>
      <w:szCs w:val="20"/>
    </w:rPr>
  </w:style>
  <w:style w:type="paragraph" w:styleId="TOC7">
    <w:name w:val="toc 7"/>
    <w:basedOn w:val="Normal"/>
    <w:next w:val="Normal"/>
    <w:autoRedefine/>
    <w:semiHidden/>
    <w:rsid w:val="00821E2E"/>
    <w:pPr>
      <w:spacing w:after="0"/>
      <w:ind w:left="1440"/>
    </w:pPr>
    <w:rPr>
      <w:rFonts w:eastAsia="Times New Roman" w:cs="Times New Roman"/>
      <w:szCs w:val="20"/>
    </w:rPr>
  </w:style>
  <w:style w:type="paragraph" w:styleId="TOC8">
    <w:name w:val="toc 8"/>
    <w:basedOn w:val="Normal"/>
    <w:next w:val="Normal"/>
    <w:autoRedefine/>
    <w:semiHidden/>
    <w:rsid w:val="00821E2E"/>
    <w:pPr>
      <w:spacing w:after="0"/>
      <w:ind w:left="1680"/>
    </w:pPr>
    <w:rPr>
      <w:rFonts w:eastAsia="Times New Roman" w:cs="Times New Roman"/>
      <w:szCs w:val="20"/>
    </w:rPr>
  </w:style>
  <w:style w:type="paragraph" w:styleId="TOC9">
    <w:name w:val="toc 9"/>
    <w:basedOn w:val="Normal"/>
    <w:next w:val="Normal"/>
    <w:autoRedefine/>
    <w:semiHidden/>
    <w:rsid w:val="00821E2E"/>
    <w:pPr>
      <w:spacing w:after="0"/>
      <w:ind w:left="1920"/>
    </w:pPr>
    <w:rPr>
      <w:rFonts w:eastAsia="Times New Roman" w:cs="Times New Roman"/>
      <w:szCs w:val="20"/>
    </w:rPr>
  </w:style>
  <w:style w:type="paragraph" w:customStyle="1" w:styleId="biblio">
    <w:name w:val="biblio"/>
    <w:basedOn w:val="Normal"/>
    <w:rsid w:val="00821E2E"/>
    <w:pPr>
      <w:keepLines/>
      <w:ind w:left="720" w:hanging="720"/>
    </w:pPr>
    <w:rPr>
      <w:rFonts w:eastAsia="Times New Roman" w:cs="Times New Roman"/>
      <w:szCs w:val="20"/>
    </w:rPr>
  </w:style>
  <w:style w:type="paragraph" w:customStyle="1" w:styleId="ChNumber">
    <w:name w:val="ChNumber"/>
    <w:rsid w:val="00821E2E"/>
    <w:pPr>
      <w:widowControl w:val="0"/>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rsid w:val="00821E2E"/>
    <w:pPr>
      <w:pBdr>
        <w:top w:val="single" w:sz="12" w:space="9" w:color="auto"/>
        <w:left w:val="single" w:sz="12" w:space="6" w:color="auto"/>
        <w:bottom w:val="single" w:sz="12" w:space="9" w:color="auto"/>
        <w:right w:val="single" w:sz="12" w:space="4" w:color="auto"/>
      </w:pBdr>
      <w:spacing w:after="0"/>
      <w:ind w:left="180" w:right="180"/>
      <w:jc w:val="center"/>
    </w:pPr>
    <w:rPr>
      <w:rFonts w:eastAsia="Times New Roman" w:cs="Times New Roman"/>
      <w:sz w:val="24"/>
      <w:szCs w:val="20"/>
    </w:rPr>
  </w:style>
  <w:style w:type="paragraph" w:customStyle="1" w:styleId="figurewobox">
    <w:name w:val="figure w/o box"/>
    <w:basedOn w:val="Normal"/>
    <w:rsid w:val="00821E2E"/>
    <w:pPr>
      <w:keepNext/>
      <w:spacing w:after="0"/>
      <w:jc w:val="center"/>
    </w:pPr>
    <w:rPr>
      <w:rFonts w:eastAsia="Times New Roman" w:cs="Times New Roman"/>
      <w:szCs w:val="20"/>
    </w:rPr>
  </w:style>
  <w:style w:type="paragraph" w:customStyle="1" w:styleId="equation">
    <w:name w:val="equation"/>
    <w:basedOn w:val="Normal"/>
    <w:rsid w:val="00821E2E"/>
    <w:pPr>
      <w:tabs>
        <w:tab w:val="center" w:pos="4680"/>
        <w:tab w:val="right" w:pos="9360"/>
      </w:tabs>
      <w:spacing w:line="480" w:lineRule="exact"/>
    </w:pPr>
    <w:rPr>
      <w:rFonts w:eastAsia="Times New Roman" w:cs="Times New Roman"/>
      <w:szCs w:val="20"/>
    </w:rPr>
  </w:style>
  <w:style w:type="paragraph" w:customStyle="1" w:styleId="bullets-blank">
    <w:name w:val="bullets-blank"/>
    <w:basedOn w:val="Normal"/>
    <w:rsid w:val="00821E2E"/>
    <w:pPr>
      <w:ind w:left="1080" w:hanging="360"/>
    </w:pPr>
    <w:rPr>
      <w:rFonts w:eastAsia="Times New Roman" w:cs="Times New Roman"/>
      <w:szCs w:val="20"/>
    </w:rPr>
  </w:style>
  <w:style w:type="paragraph" w:customStyle="1" w:styleId="Cov-Date">
    <w:name w:val="Cov-Date"/>
    <w:basedOn w:val="Normal"/>
    <w:rsid w:val="00821E2E"/>
    <w:pPr>
      <w:spacing w:after="0"/>
      <w:jc w:val="right"/>
    </w:pPr>
    <w:rPr>
      <w:rFonts w:ascii="Arial" w:eastAsia="Times New Roman" w:hAnsi="Arial" w:cs="Times New Roman"/>
      <w:b/>
      <w:sz w:val="28"/>
      <w:szCs w:val="20"/>
    </w:rPr>
  </w:style>
  <w:style w:type="paragraph" w:customStyle="1" w:styleId="Cov-Disclaimer">
    <w:name w:val="Cov-Disclaimer"/>
    <w:basedOn w:val="Normal"/>
    <w:rsid w:val="00821E2E"/>
    <w:pPr>
      <w:spacing w:after="0"/>
      <w:jc w:val="right"/>
    </w:pPr>
    <w:rPr>
      <w:rFonts w:ascii="Arial" w:eastAsia="Times New Roman" w:hAnsi="Arial" w:cs="Arial"/>
      <w:sz w:val="18"/>
      <w:szCs w:val="18"/>
    </w:rPr>
  </w:style>
  <w:style w:type="paragraph" w:customStyle="1" w:styleId="Cov-Title">
    <w:name w:val="Cov-Title"/>
    <w:basedOn w:val="Normal"/>
    <w:rsid w:val="00821E2E"/>
    <w:pPr>
      <w:spacing w:after="0"/>
      <w:jc w:val="right"/>
    </w:pPr>
    <w:rPr>
      <w:rFonts w:ascii="Arial Black" w:eastAsia="Times New Roman" w:hAnsi="Arial Black" w:cs="Times New Roman"/>
      <w:sz w:val="48"/>
      <w:szCs w:val="20"/>
    </w:rPr>
  </w:style>
  <w:style w:type="paragraph" w:customStyle="1" w:styleId="Cov-Subtitle">
    <w:name w:val="Cov-Subtitle"/>
    <w:basedOn w:val="Normal"/>
    <w:rsid w:val="00821E2E"/>
    <w:pPr>
      <w:spacing w:after="0"/>
      <w:jc w:val="right"/>
    </w:pPr>
    <w:rPr>
      <w:rFonts w:ascii="Arial Black" w:eastAsia="Times New Roman" w:hAnsi="Arial Black" w:cs="Times New Roman"/>
      <w:sz w:val="36"/>
      <w:szCs w:val="20"/>
    </w:rPr>
  </w:style>
  <w:style w:type="paragraph" w:customStyle="1" w:styleId="Cov-Author">
    <w:name w:val="Cov-Author"/>
    <w:basedOn w:val="Normal"/>
    <w:rsid w:val="00821E2E"/>
    <w:pPr>
      <w:spacing w:after="0"/>
      <w:jc w:val="right"/>
    </w:pPr>
    <w:rPr>
      <w:rFonts w:ascii="Arial Black" w:eastAsia="Times New Roman" w:hAnsi="Arial Black" w:cs="Times New Roman"/>
      <w:sz w:val="24"/>
      <w:szCs w:val="20"/>
    </w:rPr>
  </w:style>
  <w:style w:type="paragraph" w:customStyle="1" w:styleId="Cov-Address">
    <w:name w:val="Cov-Address"/>
    <w:basedOn w:val="Normal"/>
    <w:rsid w:val="00821E2E"/>
    <w:pPr>
      <w:spacing w:after="0"/>
      <w:jc w:val="right"/>
    </w:pPr>
    <w:rPr>
      <w:rFonts w:ascii="Arial" w:eastAsia="Times New Roman" w:hAnsi="Arial" w:cs="Times New Roman"/>
      <w:sz w:val="24"/>
      <w:szCs w:val="20"/>
    </w:rPr>
  </w:style>
  <w:style w:type="paragraph" w:customStyle="1" w:styleId="AppHeading1">
    <w:name w:val="App Heading 1"/>
    <w:basedOn w:val="Heading1"/>
    <w:rsid w:val="00821E2E"/>
    <w:pPr>
      <w:keepLines w:val="0"/>
      <w:numPr>
        <w:numId w:val="0"/>
      </w:numPr>
      <w:pBdr>
        <w:top w:val="thinThickSmallGap" w:sz="24" w:space="12" w:color="auto"/>
        <w:bottom w:val="single" w:sz="6" w:space="12" w:color="auto"/>
      </w:pBdr>
      <w:spacing w:before="240" w:after="480"/>
      <w:ind w:left="2520" w:hanging="2520"/>
    </w:pPr>
    <w:rPr>
      <w:rFonts w:ascii="Arial" w:eastAsia="Times New Roman" w:hAnsi="Arial" w:cs="Times New Roman"/>
      <w:bCs w:val="0"/>
      <w:i/>
      <w:kern w:val="28"/>
      <w:sz w:val="40"/>
      <w:szCs w:val="20"/>
    </w:rPr>
  </w:style>
  <w:style w:type="paragraph" w:customStyle="1" w:styleId="AppHeading2">
    <w:name w:val="App Heading 2"/>
    <w:basedOn w:val="Heading2"/>
    <w:rsid w:val="00821E2E"/>
    <w:pPr>
      <w:keepLines w:val="0"/>
      <w:numPr>
        <w:ilvl w:val="0"/>
        <w:numId w:val="0"/>
      </w:numPr>
      <w:spacing w:before="240" w:after="120"/>
      <w:ind w:left="720" w:hanging="720"/>
    </w:pPr>
    <w:rPr>
      <w:rFonts w:ascii="Arial" w:eastAsia="Times New Roman" w:hAnsi="Arial" w:cs="Times New Roman"/>
      <w:bCs w:val="0"/>
      <w:sz w:val="28"/>
      <w:szCs w:val="20"/>
    </w:rPr>
  </w:style>
  <w:style w:type="paragraph" w:customStyle="1" w:styleId="AppHeading3">
    <w:name w:val="App Heading 3"/>
    <w:basedOn w:val="Heading3"/>
    <w:rsid w:val="00821E2E"/>
    <w:pPr>
      <w:keepLines w:val="0"/>
      <w:spacing w:before="240" w:after="120"/>
      <w:ind w:left="720" w:hanging="720"/>
    </w:pPr>
    <w:rPr>
      <w:rFonts w:ascii="Arial" w:eastAsia="Times New Roman" w:hAnsi="Arial" w:cs="Times New Roman"/>
      <w:b/>
      <w:color w:val="auto"/>
      <w:szCs w:val="20"/>
      <w:lang w:val="en-CA"/>
    </w:rPr>
  </w:style>
  <w:style w:type="paragraph" w:customStyle="1" w:styleId="TableTitleContinued">
    <w:name w:val="Table Title Continued"/>
    <w:basedOn w:val="TableTitle"/>
    <w:qFormat/>
    <w:rsid w:val="00821E2E"/>
  </w:style>
  <w:style w:type="table" w:customStyle="1" w:styleId="TableFormat3">
    <w:name w:val="Table_Format3"/>
    <w:basedOn w:val="TableNormal"/>
    <w:rsid w:val="00821E2E"/>
    <w:pPr>
      <w:spacing w:after="0" w:line="240" w:lineRule="auto"/>
    </w:pPr>
    <w:rPr>
      <w:rFonts w:ascii="Times New Roman" w:eastAsia="Times New Roman" w:hAnsi="Times New Roman" w:cs="Times New Roman"/>
      <w:sz w:val="20"/>
      <w:szCs w:val="20"/>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Pr>
    <w:trPr>
      <w:cantSplit/>
    </w:trPr>
    <w:tblStylePr w:type="firstRow">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20" w:color="auto" w:fill="auto"/>
      </w:tcPr>
    </w:tblStylePr>
  </w:style>
  <w:style w:type="paragraph" w:customStyle="1" w:styleId="bodytextLM">
    <w:name w:val="body text LM"/>
    <w:basedOn w:val="BodyText1"/>
    <w:qFormat/>
    <w:rsid w:val="00821E2E"/>
    <w:pPr>
      <w:ind w:firstLine="0"/>
    </w:pPr>
  </w:style>
  <w:style w:type="paragraph" w:customStyle="1" w:styleId="bulletslast">
    <w:name w:val="bullets_last"/>
    <w:basedOn w:val="bullets"/>
    <w:next w:val="Normal"/>
    <w:autoRedefine/>
    <w:rsid w:val="00821E2E"/>
    <w:pPr>
      <w:numPr>
        <w:numId w:val="7"/>
      </w:numPr>
      <w:spacing w:after="120"/>
    </w:pPr>
    <w:rPr>
      <w:szCs w:val="24"/>
    </w:rPr>
  </w:style>
  <w:style w:type="paragraph" w:customStyle="1" w:styleId="Head1Num">
    <w:name w:val="Head 1 Num"/>
    <w:basedOn w:val="Heading1"/>
    <w:next w:val="BodyText"/>
    <w:rsid w:val="00821E2E"/>
    <w:pPr>
      <w:keepLines w:val="0"/>
      <w:numPr>
        <w:numId w:val="0"/>
      </w:numPr>
      <w:spacing w:before="0" w:after="360"/>
      <w:ind w:firstLine="288"/>
      <w:jc w:val="center"/>
    </w:pPr>
    <w:rPr>
      <w:rFonts w:ascii="Times New Roman" w:eastAsia="Times New Roman" w:hAnsi="Times New Roman" w:cs="Times New Roman"/>
      <w:kern w:val="32"/>
      <w:sz w:val="48"/>
      <w:szCs w:val="48"/>
    </w:rPr>
  </w:style>
  <w:style w:type="paragraph" w:customStyle="1" w:styleId="Head2Num">
    <w:name w:val="Head 2 Num"/>
    <w:basedOn w:val="Heading2"/>
    <w:next w:val="BodyText"/>
    <w:rsid w:val="00821E2E"/>
    <w:pPr>
      <w:keepLines w:val="0"/>
      <w:numPr>
        <w:ilvl w:val="0"/>
        <w:numId w:val="0"/>
      </w:numPr>
      <w:tabs>
        <w:tab w:val="num" w:pos="720"/>
      </w:tabs>
      <w:spacing w:before="240"/>
      <w:ind w:left="720" w:hanging="720"/>
    </w:pPr>
    <w:rPr>
      <w:rFonts w:ascii="Times New Roman" w:eastAsia="Times New Roman" w:hAnsi="Times New Roman" w:cs="Times New Roman"/>
      <w:bCs w:val="0"/>
      <w:iCs/>
      <w:sz w:val="28"/>
      <w:szCs w:val="28"/>
    </w:rPr>
  </w:style>
  <w:style w:type="table" w:customStyle="1" w:styleId="Graytablecomplex">
    <w:name w:val="Gray_table_complex"/>
    <w:basedOn w:val="TableNormal"/>
    <w:rsid w:val="00821E2E"/>
    <w:pPr>
      <w:spacing w:after="0" w:line="240" w:lineRule="auto"/>
    </w:pPr>
    <w:rPr>
      <w:rFonts w:ascii="Times New Roman" w:eastAsia="Times New Roman" w:hAnsi="Times New Roman" w:cs="Times New Roman"/>
      <w:sz w:val="20"/>
      <w:szCs w:val="20"/>
    </w:rPr>
    <w:tblPr>
      <w:tblBorders>
        <w:top w:val="single" w:sz="6" w:space="0" w:color="auto"/>
        <w:bottom w:val="single" w:sz="6" w:space="0" w:color="auto"/>
        <w:insideH w:val="single" w:sz="6" w:space="0" w:color="auto"/>
        <w:insideV w:val="single" w:sz="6" w:space="0" w:color="auto"/>
      </w:tblBorders>
      <w:tblCellMar>
        <w:left w:w="43" w:type="dxa"/>
        <w:right w:w="43" w:type="dxa"/>
      </w:tblCellMar>
    </w:tblPr>
    <w:trPr>
      <w:cantSplit/>
    </w:trPr>
    <w:tcPr>
      <w:shd w:val="clear" w:color="auto" w:fill="FFFFFF"/>
    </w:tcPr>
    <w:tblStylePr w:type="firstRow">
      <w:pPr>
        <w:wordWrap/>
        <w:spacing w:beforeLines="0" w:before="0" w:beforeAutospacing="0" w:afterLines="0" w:after="0" w:afterAutospacing="0" w:line="240" w:lineRule="auto"/>
        <w:ind w:leftChars="0" w:left="0" w:rightChars="0" w:right="0" w:firstLineChars="0" w:firstLine="0"/>
        <w:contextualSpacing w:val="0"/>
        <w:jc w:val="center"/>
      </w:pPr>
      <w:rPr>
        <w:rFonts w:ascii="Arial" w:hAnsi="Arial"/>
        <w:sz w:val="20"/>
      </w:r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bodytextpsg">
    <w:name w:val="body text_psg"/>
    <w:basedOn w:val="Normal"/>
    <w:link w:val="bodytextpsgChar"/>
    <w:rsid w:val="00821E2E"/>
    <w:pPr>
      <w:spacing w:after="0"/>
      <w:ind w:firstLine="360"/>
    </w:pPr>
    <w:rPr>
      <w:rFonts w:ascii="Garamond" w:eastAsia="Times New Roman" w:hAnsi="Garamond" w:cs="Times New Roman"/>
      <w:sz w:val="24"/>
    </w:rPr>
  </w:style>
  <w:style w:type="character" w:customStyle="1" w:styleId="bodytextpsgChar">
    <w:name w:val="body text_psg Char"/>
    <w:link w:val="bodytextpsg"/>
    <w:rsid w:val="00821E2E"/>
    <w:rPr>
      <w:rFonts w:ascii="Garamond" w:eastAsia="Times New Roman" w:hAnsi="Garamond" w:cs="Times New Roman"/>
      <w:sz w:val="24"/>
    </w:rPr>
  </w:style>
  <w:style w:type="paragraph" w:customStyle="1" w:styleId="TablebulletLM">
    <w:name w:val="Table bullet_LM"/>
    <w:basedOn w:val="Normal"/>
    <w:next w:val="Normal"/>
    <w:autoRedefine/>
    <w:qFormat/>
    <w:rsid w:val="00821E2E"/>
    <w:pPr>
      <w:numPr>
        <w:numId w:val="8"/>
      </w:numPr>
      <w:spacing w:after="0"/>
      <w:ind w:left="144" w:hanging="144"/>
      <w:contextualSpacing/>
    </w:pPr>
    <w:rPr>
      <w:rFonts w:eastAsia="Times New Roman" w:cs="Arial"/>
      <w:bCs/>
      <w:snapToGrid w:val="0"/>
      <w:sz w:val="20"/>
      <w:szCs w:val="20"/>
    </w:rPr>
  </w:style>
  <w:style w:type="paragraph" w:customStyle="1" w:styleId="EndNoteBibliographyTitle">
    <w:name w:val="EndNote Bibliography Title"/>
    <w:basedOn w:val="Normal"/>
    <w:link w:val="EndNoteBibliographyTitleChar"/>
    <w:rsid w:val="00821E2E"/>
    <w:pPr>
      <w:spacing w:after="0"/>
      <w:jc w:val="center"/>
    </w:pPr>
    <w:rPr>
      <w:rFonts w:eastAsia="Times New Roman" w:cs="Times New Roman"/>
      <w:noProof/>
      <w:szCs w:val="20"/>
    </w:rPr>
  </w:style>
  <w:style w:type="character" w:customStyle="1" w:styleId="EndNoteBibliographyTitleChar">
    <w:name w:val="EndNote Bibliography Title Char"/>
    <w:basedOn w:val="BodyText1Char"/>
    <w:link w:val="EndNoteBibliographyTitle"/>
    <w:rsid w:val="00821E2E"/>
    <w:rPr>
      <w:rFonts w:ascii="Times New Roman" w:eastAsia="Times New Roman" w:hAnsi="Times New Roman" w:cs="Times New Roman"/>
      <w:noProof/>
      <w:szCs w:val="20"/>
    </w:rPr>
  </w:style>
  <w:style w:type="paragraph" w:customStyle="1" w:styleId="EndNoteBibliography">
    <w:name w:val="EndNote Bibliography"/>
    <w:basedOn w:val="Normal"/>
    <w:link w:val="EndNoteBibliographyChar"/>
    <w:rsid w:val="00821E2E"/>
    <w:pPr>
      <w:spacing w:after="0"/>
    </w:pPr>
    <w:rPr>
      <w:rFonts w:eastAsia="Times New Roman" w:cs="Times New Roman"/>
      <w:noProof/>
      <w:szCs w:val="20"/>
    </w:rPr>
  </w:style>
  <w:style w:type="character" w:customStyle="1" w:styleId="EndNoteBibliographyChar">
    <w:name w:val="EndNote Bibliography Char"/>
    <w:basedOn w:val="BodyText1Char"/>
    <w:link w:val="EndNoteBibliography"/>
    <w:rsid w:val="00821E2E"/>
    <w:rPr>
      <w:rFonts w:ascii="Times New Roman" w:eastAsia="Times New Roman" w:hAnsi="Times New Roman" w:cs="Times New Roman"/>
      <w:noProof/>
      <w:szCs w:val="20"/>
    </w:rPr>
  </w:style>
  <w:style w:type="paragraph" w:styleId="TableofFigures">
    <w:name w:val="table of figures"/>
    <w:basedOn w:val="Normal"/>
    <w:next w:val="Normal"/>
    <w:uiPriority w:val="99"/>
    <w:unhideWhenUsed/>
    <w:rsid w:val="00821E2E"/>
    <w:pPr>
      <w:tabs>
        <w:tab w:val="left" w:pos="1260"/>
        <w:tab w:val="right" w:leader="dot" w:pos="9350"/>
      </w:tabs>
      <w:spacing w:after="0"/>
      <w:ind w:left="1260" w:hanging="1260"/>
    </w:pPr>
    <w:rPr>
      <w:rFonts w:eastAsia="Times New Roman" w:cs="Times New Roman"/>
      <w:noProof/>
      <w:szCs w:val="20"/>
    </w:rPr>
  </w:style>
  <w:style w:type="table" w:customStyle="1" w:styleId="Graytablecomplex1">
    <w:name w:val="Gray_table_complex1"/>
    <w:basedOn w:val="TableNormal"/>
    <w:rsid w:val="00821E2E"/>
    <w:pPr>
      <w:spacing w:after="0" w:line="240" w:lineRule="auto"/>
    </w:pPr>
    <w:rPr>
      <w:rFonts w:ascii="Arial Narrow" w:eastAsia="Times New Roman" w:hAnsi="Arial Narrow" w:cs="Times New Roman"/>
      <w:sz w:val="20"/>
      <w:szCs w:val="20"/>
    </w:rPr>
    <w:tblPr>
      <w:tblBorders>
        <w:top w:val="single" w:sz="6" w:space="0" w:color="auto"/>
        <w:bottom w:val="single" w:sz="6" w:space="0" w:color="auto"/>
        <w:insideH w:val="single" w:sz="6" w:space="0" w:color="auto"/>
        <w:insideV w:val="single" w:sz="6" w:space="0" w:color="auto"/>
      </w:tblBorders>
      <w:tblCellMar>
        <w:left w:w="43" w:type="dxa"/>
        <w:right w:w="43" w:type="dxa"/>
      </w:tblCellMar>
    </w:tblPr>
    <w:trPr>
      <w:cantSplit/>
    </w:trPr>
    <w:tcPr>
      <w:shd w:val="clear" w:color="auto" w:fill="FFFFFF"/>
    </w:tcPr>
    <w:tblStylePr w:type="firstRow">
      <w:pPr>
        <w:wordWrap/>
        <w:spacing w:beforeLines="0" w:before="0" w:beforeAutospacing="0" w:afterLines="0" w:after="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table" w:customStyle="1" w:styleId="Graytablecomplex2">
    <w:name w:val="Gray_table_complex2"/>
    <w:basedOn w:val="TableNormal"/>
    <w:rsid w:val="00821E2E"/>
    <w:pPr>
      <w:spacing w:after="0" w:line="240" w:lineRule="auto"/>
    </w:pPr>
    <w:rPr>
      <w:rFonts w:ascii="Arial Narrow" w:eastAsia="Times New Roman" w:hAnsi="Arial Narrow" w:cs="Times New Roman"/>
      <w:sz w:val="20"/>
      <w:szCs w:val="20"/>
    </w:rPr>
    <w:tblPr>
      <w:tblBorders>
        <w:top w:val="single" w:sz="6" w:space="0" w:color="auto"/>
        <w:bottom w:val="single" w:sz="6" w:space="0" w:color="auto"/>
        <w:insideH w:val="single" w:sz="6" w:space="0" w:color="auto"/>
        <w:insideV w:val="single" w:sz="6" w:space="0" w:color="auto"/>
      </w:tblBorders>
      <w:tblCellMar>
        <w:left w:w="43" w:type="dxa"/>
        <w:right w:w="43" w:type="dxa"/>
      </w:tblCellMar>
    </w:tblPr>
    <w:trPr>
      <w:cantSplit/>
    </w:trPr>
    <w:tcPr>
      <w:shd w:val="clear" w:color="auto" w:fill="FFFFFF"/>
    </w:tcPr>
    <w:tblStylePr w:type="firstRow">
      <w:pPr>
        <w:wordWrap/>
        <w:spacing w:beforeLines="0" w:before="0" w:beforeAutospacing="0" w:afterLines="0" w:after="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NormalWeb">
    <w:name w:val="Normal (Web)"/>
    <w:basedOn w:val="Normal"/>
    <w:semiHidden/>
    <w:unhideWhenUsed/>
    <w:rsid w:val="00821E2E"/>
    <w:pPr>
      <w:spacing w:after="0"/>
    </w:pPr>
    <w:rPr>
      <w:rFonts w:eastAsia="Times New Roman" w:cs="Times New Roman"/>
      <w:sz w:val="24"/>
      <w:szCs w:val="24"/>
    </w:rPr>
  </w:style>
  <w:style w:type="table" w:customStyle="1" w:styleId="Graytablecomplex3">
    <w:name w:val="Gray_table_complex3"/>
    <w:basedOn w:val="TableNormal"/>
    <w:rsid w:val="00821E2E"/>
    <w:pPr>
      <w:spacing w:after="0" w:line="240" w:lineRule="auto"/>
    </w:pPr>
    <w:rPr>
      <w:rFonts w:ascii="Arial Narrow" w:eastAsia="Times New Roman" w:hAnsi="Arial Narrow" w:cs="Times New Roman"/>
      <w:sz w:val="20"/>
      <w:szCs w:val="20"/>
    </w:rPr>
    <w:tblPr>
      <w:tblBorders>
        <w:top w:val="single" w:sz="6" w:space="0" w:color="auto"/>
        <w:bottom w:val="single" w:sz="6" w:space="0" w:color="auto"/>
        <w:insideH w:val="single" w:sz="6" w:space="0" w:color="auto"/>
        <w:insideV w:val="single" w:sz="6" w:space="0" w:color="auto"/>
      </w:tblBorders>
      <w:tblCellMar>
        <w:left w:w="43" w:type="dxa"/>
        <w:right w:w="43"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Default">
    <w:name w:val="Default"/>
    <w:rsid w:val="00821E2E"/>
    <w:pPr>
      <w:autoSpaceDE w:val="0"/>
      <w:autoSpaceDN w:val="0"/>
      <w:adjustRightInd w:val="0"/>
      <w:spacing w:after="0" w:line="240" w:lineRule="auto"/>
    </w:pPr>
    <w:rPr>
      <w:rFonts w:ascii="Myriad Pro" w:eastAsia="Times New Roman" w:hAnsi="Myriad Pro" w:cs="Myriad Pro"/>
      <w:color w:val="000000"/>
      <w:sz w:val="24"/>
      <w:szCs w:val="24"/>
    </w:rPr>
  </w:style>
  <w:style w:type="character" w:customStyle="1" w:styleId="bulletsChar">
    <w:name w:val="bullets Char"/>
    <w:aliases w:val="bu Char,bu Char Char"/>
    <w:link w:val="bullets"/>
    <w:rsid w:val="00821E2E"/>
    <w:rPr>
      <w:rFonts w:ascii="Times New Roman" w:eastAsia="Times New Roman" w:hAnsi="Times New Roman" w:cs="Times New Roman"/>
      <w:szCs w:val="20"/>
    </w:rPr>
  </w:style>
  <w:style w:type="paragraph" w:customStyle="1" w:styleId="EBP">
    <w:name w:val="EBP"/>
    <w:basedOn w:val="Normal"/>
    <w:autoRedefine/>
    <w:qFormat/>
    <w:rsid w:val="00821E2E"/>
    <w:pPr>
      <w:keepNext/>
      <w:spacing w:before="40" w:after="40"/>
    </w:pPr>
    <w:rPr>
      <w:b/>
      <w:sz w:val="20"/>
    </w:rPr>
  </w:style>
  <w:style w:type="paragraph" w:customStyle="1" w:styleId="EBP2">
    <w:name w:val="EBP2"/>
    <w:basedOn w:val="Normal"/>
    <w:qFormat/>
    <w:rsid w:val="00821E2E"/>
    <w:pPr>
      <w:keepNext/>
      <w:spacing w:after="0"/>
    </w:pPr>
    <w:rPr>
      <w:i/>
      <w:sz w:val="20"/>
    </w:rPr>
  </w:style>
  <w:style w:type="paragraph" w:customStyle="1" w:styleId="EBP3">
    <w:name w:val="EBP3"/>
    <w:basedOn w:val="Normal"/>
    <w:qFormat/>
    <w:rsid w:val="00821E2E"/>
    <w:pPr>
      <w:spacing w:after="0"/>
    </w:pPr>
    <w:rPr>
      <w:sz w:val="20"/>
    </w:rPr>
  </w:style>
  <w:style w:type="paragraph" w:customStyle="1" w:styleId="EQ">
    <w:name w:val="EQ"/>
    <w:basedOn w:val="Normal"/>
    <w:autoRedefine/>
    <w:qFormat/>
    <w:rsid w:val="00821E2E"/>
    <w:pPr>
      <w:keepNext/>
      <w:spacing w:after="0"/>
      <w:ind w:left="648" w:hanging="648"/>
    </w:pPr>
    <w:rPr>
      <w:rFonts w:cs="Times New Roman"/>
      <w:b/>
      <w:szCs w:val="20"/>
    </w:rPr>
  </w:style>
  <w:style w:type="paragraph" w:customStyle="1" w:styleId="EQ2">
    <w:name w:val="EQ2"/>
    <w:basedOn w:val="Normal"/>
    <w:autoRedefine/>
    <w:qFormat/>
    <w:rsid w:val="00821E2E"/>
    <w:pPr>
      <w:keepNext/>
      <w:spacing w:after="0"/>
    </w:pPr>
    <w:rPr>
      <w:rFonts w:cs="Times New Roman"/>
      <w:i/>
      <w:iCs/>
      <w:sz w:val="20"/>
      <w:szCs w:val="20"/>
    </w:rPr>
  </w:style>
  <w:style w:type="paragraph" w:customStyle="1" w:styleId="EQ3">
    <w:name w:val="EQ3"/>
    <w:basedOn w:val="Normal"/>
    <w:qFormat/>
    <w:rsid w:val="00821E2E"/>
    <w:pPr>
      <w:spacing w:after="0"/>
    </w:pPr>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37/a001591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n.org/esa/socdev/documents/youth/youth-mental-health.pdf" TargetMode="External"/><Relationship Id="rId4" Type="http://schemas.openxmlformats.org/officeDocument/2006/relationships/webSettings" Target="webSettings.xml"/><Relationship Id="rId9" Type="http://schemas.openxmlformats.org/officeDocument/2006/relationships/hyperlink" Target="http://www.oas.samh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7153</Words>
  <Characters>40778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Ringeisen, Heather</dc:creator>
  <cp:keywords/>
  <dc:description/>
  <cp:lastModifiedBy>Tibaduiza, Elizabeth</cp:lastModifiedBy>
  <cp:revision>3</cp:revision>
  <dcterms:created xsi:type="dcterms:W3CDTF">2016-01-28T17:29:00Z</dcterms:created>
  <dcterms:modified xsi:type="dcterms:W3CDTF">2016-01-28T17:30:00Z</dcterms:modified>
</cp:coreProperties>
</file>