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46C8" w:rsidRPr="00BA178D" w:rsidRDefault="007746C8" w:rsidP="007746C8">
      <w:pPr>
        <w:tabs>
          <w:tab w:val="left" w:pos="-1440"/>
          <w:tab w:val="left" w:pos="-720"/>
          <w:tab w:val="left" w:pos="0"/>
          <w:tab w:val="left" w:pos="720"/>
          <w:tab w:val="left" w:pos="1260"/>
        </w:tabs>
        <w:rPr>
          <w:sz w:val="24"/>
        </w:rPr>
      </w:pPr>
      <w:r w:rsidRPr="00BA178D">
        <w:rPr>
          <w:sz w:val="24"/>
        </w:rPr>
        <w:t xml:space="preserve">The Centers for Medicare &amp; Medicaid Services (CMS) is the largest single payer of health care in the United States. With full implementation of the Affordable Care Act of 2010 (ACA), the agency will play a direct or indirect role in administering health insurance coverage for more than 120 million people across the Medicare, Medicaid, CHIP, and Exchange populations.  A critical aim for CMS is to be an effective steward, major force, and trustworthy partner in leading the transformation of the health care system. CMS also aims to provide Americans with high quality care and better health at lower costs through improvement.  At the forefront of these initiatives </w:t>
      </w:r>
      <w:r w:rsidR="00E35E50">
        <w:rPr>
          <w:sz w:val="24"/>
        </w:rPr>
        <w:t>is</w:t>
      </w:r>
      <w:r w:rsidR="00E35E50" w:rsidRPr="00BA178D">
        <w:rPr>
          <w:sz w:val="24"/>
        </w:rPr>
        <w:t xml:space="preserve"> </w:t>
      </w:r>
      <w:r w:rsidRPr="00BA178D">
        <w:rPr>
          <w:sz w:val="24"/>
        </w:rPr>
        <w:t>the newly formed Center for Medicare and Medicaid Innovation (CMMI).</w:t>
      </w:r>
    </w:p>
    <w:p w:rsidR="007746C8" w:rsidRPr="00BA178D" w:rsidRDefault="007746C8" w:rsidP="007746C8">
      <w:pPr>
        <w:tabs>
          <w:tab w:val="left" w:pos="-1440"/>
          <w:tab w:val="left" w:pos="-720"/>
          <w:tab w:val="left" w:pos="0"/>
          <w:tab w:val="left" w:pos="720"/>
          <w:tab w:val="left" w:pos="1260"/>
        </w:tabs>
        <w:rPr>
          <w:sz w:val="24"/>
        </w:rPr>
      </w:pPr>
    </w:p>
    <w:p w:rsidR="007746C8" w:rsidRPr="00BA178D" w:rsidRDefault="007746C8" w:rsidP="007746C8">
      <w:pPr>
        <w:tabs>
          <w:tab w:val="left" w:pos="-1440"/>
          <w:tab w:val="left" w:pos="-720"/>
          <w:tab w:val="left" w:pos="0"/>
          <w:tab w:val="left" w:pos="720"/>
          <w:tab w:val="left" w:pos="1260"/>
        </w:tabs>
        <w:rPr>
          <w:sz w:val="24"/>
        </w:rPr>
      </w:pPr>
      <w:r w:rsidRPr="00BA178D">
        <w:rPr>
          <w:sz w:val="24"/>
        </w:rPr>
        <w:t xml:space="preserve">The CMMI is authorized by Section 1115A of the Social Security Act, as established by Section 3021 of the ACA and was established to “test innovative payment and service delivery models to reduce program expenditures…while preserving or enhancing the quality of care furnished” to Medicare, Medicaid and CHIP beneficiaries.  Implicit across all of CMMI activities is an emphasis on diffusion – finding and validating innovative models that have the potential to scale, facilitating rapid adoption, and letting them take root in organizations, health systems, and communities across America.  </w:t>
      </w:r>
    </w:p>
    <w:p w:rsidR="007746C8" w:rsidRPr="00BA178D" w:rsidRDefault="007746C8" w:rsidP="007746C8">
      <w:pPr>
        <w:tabs>
          <w:tab w:val="left" w:pos="-1440"/>
          <w:tab w:val="left" w:pos="-720"/>
          <w:tab w:val="left" w:pos="0"/>
          <w:tab w:val="left" w:pos="720"/>
          <w:tab w:val="left" w:pos="1260"/>
        </w:tabs>
        <w:rPr>
          <w:sz w:val="24"/>
        </w:rPr>
      </w:pPr>
    </w:p>
    <w:p w:rsidR="007746C8" w:rsidRPr="00BA178D" w:rsidRDefault="007746C8" w:rsidP="007746C8">
      <w:pPr>
        <w:tabs>
          <w:tab w:val="left" w:pos="-1440"/>
          <w:tab w:val="left" w:pos="-720"/>
          <w:tab w:val="left" w:pos="0"/>
          <w:tab w:val="left" w:pos="720"/>
          <w:tab w:val="left" w:pos="1260"/>
        </w:tabs>
        <w:rPr>
          <w:sz w:val="24"/>
        </w:rPr>
      </w:pPr>
      <w:r w:rsidRPr="00BA178D">
        <w:rPr>
          <w:sz w:val="24"/>
        </w:rPr>
        <w:t>CMS activities result in data generation on a massive scale, and although</w:t>
      </w:r>
    </w:p>
    <w:p w:rsidR="007746C8" w:rsidRPr="00BA178D" w:rsidRDefault="007746C8" w:rsidP="007746C8">
      <w:pPr>
        <w:tabs>
          <w:tab w:val="left" w:pos="-1440"/>
          <w:tab w:val="left" w:pos="-720"/>
          <w:tab w:val="left" w:pos="0"/>
          <w:tab w:val="left" w:pos="720"/>
          <w:tab w:val="left" w:pos="1260"/>
        </w:tabs>
        <w:rPr>
          <w:sz w:val="24"/>
        </w:rPr>
      </w:pPr>
      <w:r w:rsidRPr="00BA178D">
        <w:rPr>
          <w:sz w:val="24"/>
        </w:rPr>
        <w:t xml:space="preserve">administrative data are a critical resource for CMS, CMMI and its partners, there remains an important need for self-reported data and information that is not captured through </w:t>
      </w:r>
      <w:r w:rsidR="00634530">
        <w:rPr>
          <w:sz w:val="24"/>
        </w:rPr>
        <w:t xml:space="preserve">other </w:t>
      </w:r>
      <w:r w:rsidRPr="00BA178D">
        <w:rPr>
          <w:sz w:val="24"/>
        </w:rPr>
        <w:t>CMS operations.  For example, a Medicare beneficiary’s satisfaction with, access to, and quality of care are all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survey-collected data elements complete the picture of a beneficiary’s health care experience and provide a vital component in the development and evaluation of CMMI models.</w:t>
      </w:r>
    </w:p>
    <w:p w:rsidR="007746C8" w:rsidRPr="00BA178D" w:rsidRDefault="007746C8" w:rsidP="007746C8">
      <w:pPr>
        <w:tabs>
          <w:tab w:val="left" w:pos="-1440"/>
          <w:tab w:val="left" w:pos="-720"/>
          <w:tab w:val="left" w:pos="0"/>
          <w:tab w:val="left" w:pos="720"/>
          <w:tab w:val="left" w:pos="1260"/>
        </w:tabs>
        <w:rPr>
          <w:sz w:val="24"/>
        </w:rPr>
      </w:pPr>
    </w:p>
    <w:p w:rsidR="007746C8" w:rsidRPr="00BA178D" w:rsidRDefault="007746C8" w:rsidP="007746C8">
      <w:pPr>
        <w:tabs>
          <w:tab w:val="left" w:pos="-1440"/>
          <w:tab w:val="left" w:pos="-720"/>
          <w:tab w:val="left" w:pos="0"/>
          <w:tab w:val="left" w:pos="720"/>
          <w:tab w:val="left" w:pos="1260"/>
        </w:tabs>
        <w:rPr>
          <w:sz w:val="24"/>
        </w:rPr>
      </w:pPr>
      <w:r w:rsidRPr="00BA178D">
        <w:rPr>
          <w:sz w:val="24"/>
        </w:rPr>
        <w:t xml:space="preserve">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Information Products and Data Analytics (OIPDA) in partnership with the CMMI.  The survey captures beneficiary information whether aged or disabled, living in the community or facility, or serviced by managed care or fee-for-service.  Data produced as part of the MCBS are enhanced with CMS administrative data (e.g. fee-for-service claims, prescription drug event </w:t>
      </w:r>
      <w:r w:rsidRPr="00BA178D">
        <w:rPr>
          <w:sz w:val="24"/>
        </w:rPr>
        <w:lastRenderedPageBreak/>
        <w:t>data, enrollment, etc.) to provide users with more accurate and complete estimates of total health care costs and utilization. The MCBS has been continuously fielded for more than 20 years (encompassing over 1 million interviews), and consists of three annual interviews per survey participant.</w:t>
      </w:r>
    </w:p>
    <w:p w:rsidR="007746C8" w:rsidRPr="00BA178D" w:rsidRDefault="007746C8" w:rsidP="007746C8">
      <w:pPr>
        <w:tabs>
          <w:tab w:val="left" w:pos="-1440"/>
          <w:tab w:val="left" w:pos="-720"/>
          <w:tab w:val="left" w:pos="0"/>
          <w:tab w:val="left" w:pos="720"/>
          <w:tab w:val="left" w:pos="1260"/>
        </w:tabs>
        <w:rPr>
          <w:sz w:val="24"/>
        </w:rPr>
      </w:pPr>
    </w:p>
    <w:p w:rsidR="007746C8" w:rsidRPr="00BA178D" w:rsidRDefault="007746C8" w:rsidP="007746C8">
      <w:pPr>
        <w:tabs>
          <w:tab w:val="left" w:pos="-1440"/>
          <w:tab w:val="left" w:pos="-720"/>
          <w:tab w:val="left" w:pos="0"/>
          <w:tab w:val="left" w:pos="720"/>
          <w:tab w:val="left" w:pos="1260"/>
        </w:tabs>
        <w:rPr>
          <w:sz w:val="24"/>
        </w:rPr>
      </w:pPr>
      <w:r w:rsidRPr="00BA178D">
        <w:rPr>
          <w:sz w:val="24"/>
        </w:rPr>
        <w:t>The primary goals of the MCBS are to:</w:t>
      </w:r>
    </w:p>
    <w:p w:rsidR="007746C8" w:rsidRPr="001C14CD" w:rsidRDefault="007746C8" w:rsidP="007746C8">
      <w:pPr>
        <w:pStyle w:val="ListParagraph"/>
        <w:numPr>
          <w:ilvl w:val="0"/>
          <w:numId w:val="12"/>
        </w:numPr>
        <w:tabs>
          <w:tab w:val="left" w:pos="-1440"/>
          <w:tab w:val="left" w:pos="-720"/>
          <w:tab w:val="left" w:pos="0"/>
          <w:tab w:val="left" w:pos="720"/>
          <w:tab w:val="left" w:pos="1260"/>
        </w:tabs>
        <w:ind w:left="720" w:hanging="310"/>
      </w:pPr>
      <w:r w:rsidRPr="00853ECD">
        <w:rPr>
          <w:szCs w:val="24"/>
        </w:rPr>
        <w:t>provide information on the Medicare</w:t>
      </w:r>
      <w:r w:rsidRPr="001C14CD">
        <w:t xml:space="preserve"> beneficiar</w:t>
      </w:r>
      <w:r>
        <w:t>y population</w:t>
      </w:r>
      <w:r w:rsidRPr="001C14CD">
        <w:t xml:space="preserve"> that is not available in CMS administrative data</w:t>
      </w:r>
      <w:r>
        <w:t xml:space="preserve"> and that is uniquely suited to evaluate or report on key outcomes and characteristics associated with beneficiaries treated in innovative payment and service delivery models</w:t>
      </w:r>
      <w:r w:rsidRPr="001C14CD">
        <w:t>;</w:t>
      </w:r>
    </w:p>
    <w:p w:rsidR="007746C8" w:rsidRPr="001C14CD" w:rsidRDefault="007746C8" w:rsidP="007746C8">
      <w:pPr>
        <w:pStyle w:val="ListParagraph"/>
        <w:numPr>
          <w:ilvl w:val="0"/>
          <w:numId w:val="12"/>
        </w:numPr>
        <w:tabs>
          <w:tab w:val="left" w:pos="-1440"/>
          <w:tab w:val="left" w:pos="-720"/>
          <w:tab w:val="left" w:pos="0"/>
          <w:tab w:val="left" w:pos="720"/>
          <w:tab w:val="left" w:pos="1260"/>
        </w:tabs>
        <w:ind w:left="720" w:hanging="310"/>
      </w:pPr>
      <w:r w:rsidRPr="001C14CD">
        <w:t xml:space="preserve">determine expenditures and sources of payment for all services </w:t>
      </w:r>
      <w:r>
        <w:t xml:space="preserve">(including services not covered by Medicare) </w:t>
      </w:r>
      <w:r w:rsidRPr="001C14CD">
        <w:t>used by Medicare beneficiaries, including copayments, deductibles, and non-covered services;</w:t>
      </w:r>
    </w:p>
    <w:p w:rsidR="007746C8" w:rsidRPr="001C14CD" w:rsidRDefault="007746C8" w:rsidP="007746C8">
      <w:pPr>
        <w:pStyle w:val="ListParagraph"/>
        <w:numPr>
          <w:ilvl w:val="0"/>
          <w:numId w:val="12"/>
        </w:numPr>
        <w:tabs>
          <w:tab w:val="left" w:pos="-1440"/>
          <w:tab w:val="left" w:pos="-720"/>
          <w:tab w:val="left" w:pos="0"/>
          <w:tab w:val="left" w:pos="720"/>
          <w:tab w:val="left" w:pos="1260"/>
        </w:tabs>
        <w:ind w:left="720" w:hanging="310"/>
      </w:pPr>
      <w:r>
        <w:t>a</w:t>
      </w:r>
      <w:r w:rsidRPr="001C14CD">
        <w:t xml:space="preserve">scertain all types of health insurance coverage </w:t>
      </w:r>
      <w:r>
        <w:t xml:space="preserve">among Medicare beneficiaries (e.g., Medigap coverage, retiree coverage) </w:t>
      </w:r>
      <w:r w:rsidRPr="001C14CD">
        <w:t xml:space="preserve">and relate </w:t>
      </w:r>
      <w:r>
        <w:t xml:space="preserve">this </w:t>
      </w:r>
      <w:r w:rsidRPr="001C14CD">
        <w:t>coverage to payment</w:t>
      </w:r>
      <w:r>
        <w:t xml:space="preserve"> for specific services</w:t>
      </w:r>
      <w:r w:rsidRPr="001C14CD">
        <w:t>;</w:t>
      </w:r>
      <w:r>
        <w:t xml:space="preserve"> </w:t>
      </w:r>
      <w:r w:rsidRPr="001C14CD">
        <w:t xml:space="preserve">and </w:t>
      </w:r>
    </w:p>
    <w:p w:rsidR="007746C8" w:rsidRPr="001C14CD" w:rsidRDefault="007746C8" w:rsidP="007746C8">
      <w:pPr>
        <w:pStyle w:val="ListParagraph"/>
        <w:numPr>
          <w:ilvl w:val="0"/>
          <w:numId w:val="12"/>
        </w:numPr>
        <w:tabs>
          <w:tab w:val="left" w:pos="-1440"/>
          <w:tab w:val="left" w:pos="-720"/>
          <w:tab w:val="left" w:pos="0"/>
          <w:tab w:val="left" w:pos="720"/>
          <w:tab w:val="left" w:pos="1260"/>
        </w:tabs>
        <w:ind w:left="720" w:hanging="310"/>
      </w:pPr>
      <w:r>
        <w:t>t</w:t>
      </w:r>
      <w:r w:rsidRPr="001C14CD">
        <w:t xml:space="preserve">rack changes </w:t>
      </w:r>
      <w:r>
        <w:t xml:space="preserve">in key beneficiary metrics </w:t>
      </w:r>
      <w:r w:rsidRPr="001C14CD">
        <w:t>over time, such as changes in health</w:t>
      </w:r>
      <w:r>
        <w:t xml:space="preserve"> and functional</w:t>
      </w:r>
      <w:r w:rsidRPr="001C14CD">
        <w:t xml:space="preserve"> status, spending down to Medicaid eligibility</w:t>
      </w:r>
      <w:r>
        <w:t>, access and satisfaction with Medicare programs and providers, and fluctuations in out-of-pocket spending</w:t>
      </w:r>
      <w:r w:rsidRPr="001C14CD">
        <w:t>.</w:t>
      </w:r>
    </w:p>
    <w:p w:rsidR="007746C8" w:rsidRDefault="007746C8" w:rsidP="007746C8">
      <w:pPr>
        <w:tabs>
          <w:tab w:val="left" w:pos="-1440"/>
          <w:tab w:val="left" w:pos="-720"/>
          <w:tab w:val="left" w:pos="0"/>
          <w:tab w:val="left" w:pos="720"/>
          <w:tab w:val="left" w:pos="1260"/>
        </w:tabs>
      </w:pPr>
    </w:p>
    <w:p w:rsidR="007746C8" w:rsidRPr="001C14CD" w:rsidRDefault="007746C8" w:rsidP="007746C8">
      <w:pPr>
        <w:tabs>
          <w:tab w:val="left" w:pos="-1440"/>
          <w:tab w:val="left" w:pos="-720"/>
          <w:tab w:val="left" w:pos="0"/>
          <w:tab w:val="left" w:pos="720"/>
          <w:tab w:val="left" w:pos="1260"/>
        </w:tabs>
        <w:sectPr w:rsidR="007746C8" w:rsidRPr="001C14CD" w:rsidSect="007746C8">
          <w:headerReference w:type="default" r:id="rId8"/>
          <w:endnotePr>
            <w:numFmt w:val="decimal"/>
          </w:endnotePr>
          <w:type w:val="continuous"/>
          <w:pgSz w:w="12240" w:h="15840"/>
          <w:pgMar w:top="1440" w:right="1440" w:bottom="1440" w:left="1440" w:header="1440" w:footer="1440" w:gutter="0"/>
          <w:cols w:space="720"/>
          <w:noEndnote/>
        </w:sectPr>
      </w:pPr>
    </w:p>
    <w:p w:rsidR="00853ECD" w:rsidRPr="00EF1152" w:rsidRDefault="00853ECD" w:rsidP="00853E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 xml:space="preserve">The core of the MCBS is a series of interviews administered to a stratified random sample of the Medicare population, including aged and disabled enrollees, residing in the community or in institutions.  Questions are asked about enrollees’ patterns of health care use, charges, insurance coverage, and payments over time.  Respondents are asked about their sources of health care coverage and payment, their demographic characteristics, their health and work history, and their family living circumstances.  In addition to collecting information through the core questionnaire, the MCBS collects information on special topics through supplements. </w:t>
      </w:r>
      <w:r w:rsidR="000019D2">
        <w:rPr>
          <w:sz w:val="24"/>
        </w:rPr>
        <w:t>Supplement topics include</w:t>
      </w:r>
      <w:r>
        <w:rPr>
          <w:sz w:val="24"/>
        </w:rPr>
        <w:t xml:space="preserve"> enrollees’ income and assets, access to health care, </w:t>
      </w:r>
      <w:r w:rsidRPr="00EF1152">
        <w:rPr>
          <w:sz w:val="24"/>
        </w:rPr>
        <w:t>health and functional status and satisfaction with care.</w:t>
      </w:r>
    </w:p>
    <w:p w:rsidR="00853ECD" w:rsidRPr="00EF1152" w:rsidRDefault="00853ECD" w:rsidP="00853E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ECD" w:rsidRPr="00EF1152" w:rsidRDefault="00853ECD" w:rsidP="00853E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F1152">
        <w:rPr>
          <w:sz w:val="24"/>
        </w:rPr>
        <w:t>The MCBS respondents are interviewed three times per year using four-month recall periods. Round 1 for the survey, which is administered to new survey sample members, collects baseline information for the analysis of access to care and establishes a recall boundary for the next interview (the interview reference period is since the date of the previous interview). Subsequent rounds of the survey, including our proposed extension (i.e., Rounds 58-63) collect cost and utilization information (core) and administer selected supplements on income and assets and access to care. Supplemental samples of newly eligible enrollees are added in the fall round each year.</w:t>
      </w:r>
    </w:p>
    <w:p w:rsidR="007746C8" w:rsidRDefault="007746C8" w:rsidP="007746C8">
      <w:pPr>
        <w:tabs>
          <w:tab w:val="left" w:pos="-1440"/>
          <w:tab w:val="left" w:pos="-720"/>
          <w:tab w:val="left" w:pos="0"/>
          <w:tab w:val="left" w:pos="720"/>
          <w:tab w:val="left" w:pos="1260"/>
        </w:tabs>
      </w:pPr>
    </w:p>
    <w:p w:rsidR="007746C8" w:rsidRPr="00BA178D" w:rsidRDefault="007746C8" w:rsidP="007746C8">
      <w:pPr>
        <w:tabs>
          <w:tab w:val="left" w:pos="-1440"/>
          <w:tab w:val="left" w:pos="-720"/>
          <w:tab w:val="left" w:pos="0"/>
          <w:tab w:val="left" w:pos="720"/>
          <w:tab w:val="left" w:pos="1260"/>
        </w:tabs>
        <w:rPr>
          <w:sz w:val="24"/>
        </w:rPr>
      </w:pPr>
      <w:r w:rsidRPr="00BA178D">
        <w:rPr>
          <w:sz w:val="24"/>
        </w:rPr>
        <w:t xml:space="preserve">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w:t>
      </w:r>
      <w:r w:rsidRPr="00BA178D">
        <w:rPr>
          <w:sz w:val="24"/>
        </w:rPr>
        <w:lastRenderedPageBreak/>
        <w:t>development, and to increase the survey’s ability to develop, monitor, assess and evaluate the impact of CMMI care delivery and payment models.  To succeed in these areas, CMS aims to:</w:t>
      </w:r>
    </w:p>
    <w:p w:rsidR="007746C8" w:rsidRPr="001C14CD" w:rsidRDefault="007746C8" w:rsidP="007746C8">
      <w:pPr>
        <w:pStyle w:val="ListParagraph"/>
        <w:numPr>
          <w:ilvl w:val="0"/>
          <w:numId w:val="13"/>
        </w:numPr>
        <w:tabs>
          <w:tab w:val="left" w:pos="-1440"/>
          <w:tab w:val="left" w:pos="-720"/>
          <w:tab w:val="left" w:pos="0"/>
          <w:tab w:val="left" w:pos="720"/>
          <w:tab w:val="left" w:pos="1260"/>
        </w:tabs>
        <w:ind w:left="720" w:hanging="317"/>
      </w:pPr>
      <w:r w:rsidRPr="001C14CD">
        <w:t>capture high-value, unbiased, minimally burdensome, self-reported content that is multipurpose in use;</w:t>
      </w:r>
    </w:p>
    <w:p w:rsidR="007746C8" w:rsidRDefault="007746C8" w:rsidP="007746C8">
      <w:pPr>
        <w:pStyle w:val="ListParagraph"/>
        <w:numPr>
          <w:ilvl w:val="0"/>
          <w:numId w:val="13"/>
        </w:numPr>
        <w:tabs>
          <w:tab w:val="left" w:pos="-1440"/>
          <w:tab w:val="left" w:pos="-720"/>
          <w:tab w:val="left" w:pos="0"/>
          <w:tab w:val="left" w:pos="720"/>
          <w:tab w:val="left" w:pos="1260"/>
        </w:tabs>
        <w:ind w:left="720" w:hanging="317"/>
      </w:pPr>
      <w:r>
        <w:t xml:space="preserve">improve the integration of existing and new sources of administrative data with MCBS survey collected data; </w:t>
      </w:r>
    </w:p>
    <w:p w:rsidR="007746C8" w:rsidRPr="001C14CD" w:rsidRDefault="007746C8" w:rsidP="007746C8">
      <w:pPr>
        <w:pStyle w:val="ListParagraph"/>
        <w:numPr>
          <w:ilvl w:val="0"/>
          <w:numId w:val="13"/>
        </w:numPr>
        <w:tabs>
          <w:tab w:val="left" w:pos="-1440"/>
          <w:tab w:val="left" w:pos="-720"/>
          <w:tab w:val="left" w:pos="0"/>
          <w:tab w:val="left" w:pos="720"/>
          <w:tab w:val="left" w:pos="1260"/>
        </w:tabs>
        <w:ind w:left="720" w:hanging="317"/>
      </w:pPr>
      <w:r>
        <w:t>develop</w:t>
      </w:r>
      <w:r w:rsidRPr="001C14CD">
        <w:t xml:space="preserve"> and implement more efficient, cost-effective, accurate and innovative data collection strategies when possible; and </w:t>
      </w:r>
    </w:p>
    <w:p w:rsidR="007746C8" w:rsidRDefault="007746C8" w:rsidP="007746C8">
      <w:pPr>
        <w:pStyle w:val="ListParagraph"/>
        <w:numPr>
          <w:ilvl w:val="0"/>
          <w:numId w:val="13"/>
        </w:numPr>
        <w:tabs>
          <w:tab w:val="left" w:pos="-1440"/>
          <w:tab w:val="left" w:pos="-720"/>
          <w:tab w:val="left" w:pos="0"/>
          <w:tab w:val="left" w:pos="720"/>
          <w:tab w:val="left" w:pos="1260"/>
        </w:tabs>
        <w:ind w:left="720" w:hanging="317"/>
      </w:pPr>
      <w:r w:rsidRPr="001C14CD">
        <w:t xml:space="preserve">enhance the understanding, </w:t>
      </w:r>
      <w:r>
        <w:t>usefulness,</w:t>
      </w:r>
      <w:r w:rsidRPr="001C14CD">
        <w:t xml:space="preserve"> and promotion of MCBS </w:t>
      </w:r>
      <w:r>
        <w:t xml:space="preserve">through the dissemination of user tools and key scientific findings based on MCBS data. </w:t>
      </w:r>
    </w:p>
    <w:p w:rsidR="007746C8" w:rsidRDefault="00774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746C8" w:rsidRDefault="00853ECD" w:rsidP="00BA17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F1152">
        <w:rPr>
          <w:sz w:val="24"/>
        </w:rPr>
        <w:t xml:space="preserve">This is a request to extend the existing Medicare Current Beneficiary Survey (MCBS) clearance for an additional three years. This request for continuation proposes no changes in </w:t>
      </w:r>
      <w:r>
        <w:rPr>
          <w:sz w:val="24"/>
        </w:rPr>
        <w:t>burden</w:t>
      </w:r>
      <w:r w:rsidRPr="00EF1152">
        <w:rPr>
          <w:sz w:val="24"/>
        </w:rPr>
        <w:t>. Clearances for the MCBS (OMB No. 0938-0568) were granted in October 1990 for the pilot, August 1991 for Round 1, January 1992 for Rounds 2-6, September 1993 for Rounds 7-10, November 1994 for Rounds 10-19, December 1997 for Rounds 20-28, April 2001 for Rounds 29-37, March 2004 for Rounds 38-47</w:t>
      </w:r>
      <w:r>
        <w:rPr>
          <w:sz w:val="24"/>
        </w:rPr>
        <w:t>,</w:t>
      </w:r>
      <w:r w:rsidRPr="00EF1152">
        <w:rPr>
          <w:sz w:val="24"/>
        </w:rPr>
        <w:t xml:space="preserve"> August 2007 Round 49 </w:t>
      </w:r>
      <w:r>
        <w:rPr>
          <w:sz w:val="24"/>
        </w:rPr>
        <w:t>–</w:t>
      </w:r>
      <w:r w:rsidRPr="00EF1152">
        <w:rPr>
          <w:sz w:val="24"/>
        </w:rPr>
        <w:t xml:space="preserve"> 57</w:t>
      </w:r>
      <w:r>
        <w:rPr>
          <w:sz w:val="24"/>
        </w:rPr>
        <w:t xml:space="preserve">, December 2010 for Rounds 59-67.  A Non-Substantive change was made to the MCBS March 13, 2012 to return facility data collection to a three round cycle per year.  </w:t>
      </w:r>
      <w:r w:rsidRPr="00EF1152">
        <w:rPr>
          <w:sz w:val="24"/>
        </w:rPr>
        <w:t>The present clearance request encompasses all aspects of the MCBS: the community baseline and core questionnaires, the facility screener, baseline and core questionnaires, and supplementary sections such as the income and assets supplement and the access to care supplement (i.e., usual sources of care, health status and functioning, satisfaction with care and the demographic questions).</w:t>
      </w:r>
    </w:p>
    <w:p w:rsidR="008F1EB4" w:rsidRPr="00EF115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1BBC" w:rsidRDefault="00A21B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As described in the </w:t>
      </w:r>
      <w:r w:rsidRPr="009B050C">
        <w:rPr>
          <w:b/>
          <w:sz w:val="24"/>
          <w:u w:val="single"/>
        </w:rPr>
        <w:t>Background</w:t>
      </w:r>
      <w:r>
        <w:rPr>
          <w:sz w:val="24"/>
        </w:rPr>
        <w:t>, CMS collects administrative information on the Medicare population</w:t>
      </w:r>
      <w:r w:rsidR="00FB57E8">
        <w:rPr>
          <w:sz w:val="24"/>
        </w:rPr>
        <w:t xml:space="preserve"> through its claims records</w:t>
      </w:r>
      <w:r w:rsidR="00A71151">
        <w:rPr>
          <w:sz w:val="24"/>
        </w:rPr>
        <w:t xml:space="preserve">.  </w:t>
      </w:r>
      <w:r w:rsidR="00FB57E8">
        <w:rPr>
          <w:sz w:val="24"/>
        </w:rPr>
        <w:t xml:space="preserve">Unfortunately, the current administrative information collected by CMS </w:t>
      </w:r>
      <w:r w:rsidR="004F04D1">
        <w:rPr>
          <w:sz w:val="24"/>
        </w:rPr>
        <w:t xml:space="preserve">fails to </w:t>
      </w:r>
      <w:r w:rsidR="00A71151">
        <w:rPr>
          <w:sz w:val="24"/>
        </w:rPr>
        <w:t xml:space="preserve">provide the complete picture needed </w:t>
      </w:r>
      <w:r w:rsidR="005072C3">
        <w:rPr>
          <w:sz w:val="24"/>
        </w:rPr>
        <w:t>for CMS</w:t>
      </w:r>
      <w:r w:rsidR="005972E8">
        <w:rPr>
          <w:sz w:val="24"/>
        </w:rPr>
        <w:t xml:space="preserve"> </w:t>
      </w:r>
      <w:r w:rsidR="00BC2758">
        <w:rPr>
          <w:sz w:val="24"/>
        </w:rPr>
        <w:t>to</w:t>
      </w:r>
      <w:r w:rsidR="005972E8">
        <w:rPr>
          <w:sz w:val="24"/>
        </w:rPr>
        <w:t xml:space="preserve"> </w:t>
      </w:r>
      <w:r w:rsidR="00BC2758">
        <w:rPr>
          <w:sz w:val="24"/>
        </w:rPr>
        <w:t>evaluate its programs</w:t>
      </w:r>
      <w:r w:rsidR="005072C3">
        <w:rPr>
          <w:sz w:val="24"/>
        </w:rPr>
        <w:t xml:space="preserve"> and comply with </w:t>
      </w:r>
      <w:r>
        <w:rPr>
          <w:sz w:val="24"/>
        </w:rPr>
        <w:t>legislative mandates found in both:</w:t>
      </w:r>
    </w:p>
    <w:p w:rsidR="009B050C" w:rsidRDefault="009B05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F04D1" w:rsidRPr="004F04D1" w:rsidRDefault="00A21BBC" w:rsidP="008F76E9">
      <w:pPr>
        <w:pStyle w:val="ListParagraph"/>
        <w:numPr>
          <w:ilvl w:val="0"/>
          <w:numId w:val="7"/>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21BBC">
        <w:t>Section 1115A of the Social Security Act, as established by Section 3021 of the Affordable Care Act</w:t>
      </w:r>
      <w:r w:rsidR="00FB57E8">
        <w:t xml:space="preserve"> (ACA)</w:t>
      </w:r>
      <w:r w:rsidRPr="00A21BBC">
        <w:t xml:space="preserve"> of 2010</w:t>
      </w:r>
      <w:r>
        <w:t>; and</w:t>
      </w:r>
      <w:r w:rsidR="00A71151">
        <w:t xml:space="preserve"> </w:t>
      </w:r>
    </w:p>
    <w:p w:rsidR="00F05202" w:rsidRPr="00F05202" w:rsidRDefault="00EF1152" w:rsidP="008F76E9">
      <w:pPr>
        <w:pStyle w:val="ListParagraph"/>
        <w:numPr>
          <w:ilvl w:val="0"/>
          <w:numId w:val="7"/>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71151">
        <w:rPr>
          <w:szCs w:val="24"/>
        </w:rPr>
        <w:t>Section 723 of the Medicare Prescription Drug, Improvement and Modernization Act (MMA) of 2003.</w:t>
      </w:r>
    </w:p>
    <w:p w:rsidR="00F05202" w:rsidRDefault="00F05202" w:rsidP="009B05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05202" w:rsidRPr="00BC2758" w:rsidRDefault="00921FC3" w:rsidP="009B050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pPr>
      <w:r>
        <w:rPr>
          <w:sz w:val="24"/>
        </w:rPr>
        <w:t>The MCBS</w:t>
      </w:r>
      <w:r w:rsidR="005072C3">
        <w:rPr>
          <w:sz w:val="24"/>
        </w:rPr>
        <w:t xml:space="preserve"> supports CMS’ program evaluation and legislative mandate compliance by</w:t>
      </w:r>
      <w:r>
        <w:rPr>
          <w:sz w:val="24"/>
        </w:rPr>
        <w:t xml:space="preserve"> provid</w:t>
      </w:r>
      <w:r w:rsidR="005072C3">
        <w:rPr>
          <w:sz w:val="24"/>
        </w:rPr>
        <w:t>ing</w:t>
      </w:r>
      <w:r>
        <w:rPr>
          <w:sz w:val="24"/>
        </w:rPr>
        <w:t xml:space="preserve"> data</w:t>
      </w:r>
      <w:r w:rsidR="00FB57E8" w:rsidRPr="009B050C">
        <w:rPr>
          <w:sz w:val="24"/>
        </w:rPr>
        <w:t xml:space="preserve">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w:t>
      </w:r>
      <w:r w:rsidR="005972E8">
        <w:rPr>
          <w:sz w:val="24"/>
        </w:rPr>
        <w:t>“</w:t>
      </w:r>
      <w:r w:rsidR="00FB57E8" w:rsidRPr="009B050C">
        <w:rPr>
          <w:sz w:val="24"/>
        </w:rPr>
        <w:t>spending down</w:t>
      </w:r>
      <w:r w:rsidR="005972E8">
        <w:rPr>
          <w:sz w:val="24"/>
        </w:rPr>
        <w:t>”</w:t>
      </w:r>
      <w:r w:rsidR="00FB57E8" w:rsidRPr="009B050C">
        <w:rPr>
          <w:sz w:val="24"/>
        </w:rPr>
        <w:t xml:space="preserve"> to </w:t>
      </w:r>
      <w:r w:rsidR="00FB57E8" w:rsidRPr="009B050C">
        <w:rPr>
          <w:sz w:val="24"/>
        </w:rPr>
        <w:lastRenderedPageBreak/>
        <w:t>Medicaid eligibility and the impacts of program changes, satisfaction with care, and usual source of care.</w:t>
      </w:r>
      <w:r w:rsidR="00CD2C9F">
        <w:rPr>
          <w:sz w:val="24"/>
        </w:rPr>
        <w:t xml:space="preserve"> These unique </w:t>
      </w:r>
      <w:r w:rsidR="00CD2C9F" w:rsidRPr="0053385B">
        <w:rPr>
          <w:sz w:val="24"/>
        </w:rPr>
        <w:t>design</w:t>
      </w:r>
      <w:r w:rsidR="00CD2C9F">
        <w:rPr>
          <w:sz w:val="24"/>
        </w:rPr>
        <w:t xml:space="preserve"> features of the MCBS enable it to</w:t>
      </w:r>
      <w:r w:rsidR="00CD2C9F" w:rsidRPr="0053385B">
        <w:rPr>
          <w:sz w:val="24"/>
        </w:rPr>
        <w:t xml:space="preserve"> support a variety of CMS functional areas </w:t>
      </w:r>
      <w:r w:rsidR="00CD2C9F">
        <w:rPr>
          <w:sz w:val="24"/>
        </w:rPr>
        <w:t>in</w:t>
      </w:r>
      <w:r w:rsidR="00CD2C9F" w:rsidRPr="0053385B">
        <w:rPr>
          <w:sz w:val="24"/>
        </w:rPr>
        <w:t xml:space="preserve"> address</w:t>
      </w:r>
      <w:r w:rsidR="00CD2C9F">
        <w:rPr>
          <w:sz w:val="24"/>
        </w:rPr>
        <w:t>ing</w:t>
      </w:r>
      <w:r w:rsidR="00CD2C9F" w:rsidRPr="0053385B">
        <w:rPr>
          <w:sz w:val="24"/>
        </w:rPr>
        <w:t xml:space="preserve"> both Section 3021 of ACA and Section 732 of MMA.</w:t>
      </w:r>
      <w:r w:rsidR="00CD2C9F">
        <w:rPr>
          <w:sz w:val="24"/>
        </w:rPr>
        <w:t xml:space="preserve">  For example, t</w:t>
      </w:r>
      <w:r>
        <w:rPr>
          <w:sz w:val="24"/>
        </w:rPr>
        <w:t>h</w:t>
      </w:r>
      <w:r w:rsidR="00CD2C9F">
        <w:rPr>
          <w:sz w:val="24"/>
        </w:rPr>
        <w:t>e</w:t>
      </w:r>
      <w:r>
        <w:rPr>
          <w:sz w:val="24"/>
        </w:rPr>
        <w:t xml:space="preserve"> </w:t>
      </w:r>
      <w:r w:rsidR="00CD2C9F">
        <w:rPr>
          <w:sz w:val="24"/>
        </w:rPr>
        <w:t xml:space="preserve">MCBS is </w:t>
      </w:r>
      <w:r w:rsidR="00CD2C9F" w:rsidRPr="009B050C">
        <w:rPr>
          <w:sz w:val="24"/>
        </w:rPr>
        <w:t>used</w:t>
      </w:r>
      <w:r w:rsidR="00CD2C9F">
        <w:rPr>
          <w:sz w:val="24"/>
        </w:rPr>
        <w:t xml:space="preserve"> by CMMI analysts</w:t>
      </w:r>
      <w:r w:rsidR="00CD2C9F" w:rsidRPr="009B050C">
        <w:rPr>
          <w:sz w:val="24"/>
        </w:rPr>
        <w:t xml:space="preserve"> to assess the potential number of beneficiaries eligible for proposed new care and payment models, their baseline utilization and patterns of usual care, and the decisional factors that help determine when and where beneficiaries seek care. </w:t>
      </w:r>
      <w:r w:rsidRPr="009B050C">
        <w:rPr>
          <w:sz w:val="24"/>
        </w:rPr>
        <w:t xml:space="preserve"> </w:t>
      </w:r>
    </w:p>
    <w:p w:rsidR="00D87D73" w:rsidRPr="00A62148" w:rsidRDefault="00D87D73" w:rsidP="00213553">
      <w:pPr>
        <w:tabs>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rsidP="00AD68A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68A0" w:rsidRDefault="00AD68A0" w:rsidP="00BA178D">
      <w:pPr>
        <w:tabs>
          <w:tab w:val="left" w:pos="-1440"/>
          <w:tab w:val="left" w:pos="-720"/>
          <w:tab w:val="left" w:pos="720"/>
          <w:tab w:val="left" w:pos="1260"/>
        </w:tabs>
        <w:ind w:left="432"/>
        <w:rPr>
          <w:sz w:val="24"/>
        </w:rPr>
      </w:pPr>
      <w:r w:rsidRPr="00BA178D">
        <w:rPr>
          <w:sz w:val="24"/>
        </w:rP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w:t>
      </w:r>
      <w:r w:rsidR="005519D9">
        <w:rPr>
          <w:sz w:val="24"/>
        </w:rPr>
        <w:t>ugs to Medicare beneficiaries.</w:t>
      </w:r>
    </w:p>
    <w:p w:rsidR="0027531D" w:rsidRDefault="0027531D" w:rsidP="00BA178D">
      <w:pPr>
        <w:tabs>
          <w:tab w:val="left" w:pos="-1440"/>
          <w:tab w:val="left" w:pos="-720"/>
          <w:tab w:val="left" w:pos="720"/>
          <w:tab w:val="left" w:pos="1260"/>
        </w:tabs>
        <w:ind w:left="432"/>
        <w:rPr>
          <w:sz w:val="24"/>
        </w:rPr>
      </w:pPr>
    </w:p>
    <w:p w:rsidR="0027531D" w:rsidRPr="00BA178D" w:rsidRDefault="0027531D" w:rsidP="00BA178D">
      <w:pPr>
        <w:tabs>
          <w:tab w:val="left" w:pos="-1440"/>
          <w:tab w:val="left" w:pos="-720"/>
          <w:tab w:val="left" w:pos="720"/>
          <w:tab w:val="left" w:pos="1260"/>
        </w:tabs>
        <w:ind w:left="432"/>
        <w:rPr>
          <w:sz w:val="24"/>
        </w:rPr>
      </w:pPr>
      <w:r w:rsidRPr="00AA5EB8">
        <w:rPr>
          <w:sz w:val="24"/>
        </w:rPr>
        <w:t>Moving forward</w:t>
      </w:r>
      <w:r w:rsidR="005972E8">
        <w:rPr>
          <w:sz w:val="24"/>
        </w:rPr>
        <w:t>,</w:t>
      </w:r>
      <w:r w:rsidRPr="00AA5EB8">
        <w:rPr>
          <w:sz w:val="24"/>
        </w:rPr>
        <w:t xml:space="preserve"> the MCBS will continue to play a critical role in the monitoring and evaluation of key provisions of the Affordable Care Act (ACA), with an emphasis on supporting CMMI efforts to test innovative payment and service delivery models ability to reduce costs and improve quality.  For example, the longitudinal and comprehensive nature of the MCBS provide the opportunity for both pre/post and observational studies (with a control and comparison group) for beneficiaries involved with CMMI models or new CMS programs (e.g., Accountable Care Organizations, Medical Homes).  Other areas that will be covered include changes to Part D coverage, changes to cost-sharing and premiums, and the use and knowledge of new Medicare-covered preventive services.</w:t>
      </w:r>
    </w:p>
    <w:p w:rsidR="00AD68A0" w:rsidRPr="00BA178D" w:rsidRDefault="00AD68A0" w:rsidP="00AD68A0">
      <w:pPr>
        <w:tabs>
          <w:tab w:val="left" w:pos="-1440"/>
          <w:tab w:val="left" w:pos="-720"/>
          <w:tab w:val="left" w:pos="0"/>
          <w:tab w:val="left" w:pos="720"/>
          <w:tab w:val="left" w:pos="1260"/>
        </w:tabs>
        <w:rPr>
          <w:sz w:val="24"/>
        </w:rPr>
      </w:pPr>
    </w:p>
    <w:p w:rsidR="00AE0EC4" w:rsidRPr="00AE0EC4" w:rsidRDefault="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E0EC4">
        <w:rPr>
          <w:sz w:val="24"/>
        </w:rPr>
        <w:t xml:space="preserve">MCBS data </w:t>
      </w:r>
      <w:r w:rsidR="00B5509C">
        <w:rPr>
          <w:sz w:val="24"/>
        </w:rPr>
        <w:t>will also be used by CMS to continue to</w:t>
      </w:r>
      <w:r w:rsidRPr="00AE0EC4">
        <w:rPr>
          <w:sz w:val="24"/>
        </w:rPr>
        <w:t xml:space="preserve"> assess the impact of major policy innovations and health care reform on Medicare beneficiaries (pre and post implementation). </w:t>
      </w:r>
      <w:r w:rsidR="00724458">
        <w:rPr>
          <w:sz w:val="24"/>
        </w:rPr>
        <w:t xml:space="preserve">MCBS users continue to </w:t>
      </w:r>
      <w:r w:rsidRPr="00AE0EC4">
        <w:rPr>
          <w:sz w:val="24"/>
        </w:rPr>
        <w:t>monitor delivery of services, sources of payment for Medicare covered and non-covered services, beneficiary cost sharing and financial protection, and satisfaction with and the access to health care services. Analysts can relate the dynamics of future aging patterns to age-specific rates of use of health care 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 care.</w:t>
      </w:r>
    </w:p>
    <w:p w:rsidR="00AD68A0" w:rsidRPr="00AE0EC4" w:rsidRDefault="00AD68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E0EC4" w:rsidRPr="00AE0EC4" w:rsidRDefault="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E0EC4">
        <w:rPr>
          <w:sz w:val="24"/>
        </w:rPr>
        <w:t xml:space="preserve">Analysts are able to assess the aggregate cost of short stays and long stays in nursing homes, and of combined hospital/nursing home stays. In addition, the MCBS data can be used to forecast the need and settings for selected chronic disease care and long-term care services by </w:t>
      </w:r>
      <w:r w:rsidRPr="00AE0EC4">
        <w:rPr>
          <w:sz w:val="24"/>
        </w:rPr>
        <w:lastRenderedPageBreak/>
        <w:t xml:space="preserve">examining trends in the use of health care services, </w:t>
      </w:r>
      <w:r w:rsidRPr="005F5B44">
        <w:rPr>
          <w:sz w:val="24"/>
        </w:rPr>
        <w:t xml:space="preserve">linked with morbidity, disability and mortality data. (A detailed analysis plan is included </w:t>
      </w:r>
      <w:r w:rsidRPr="009B050C">
        <w:rPr>
          <w:sz w:val="24"/>
        </w:rPr>
        <w:t>as Attachment</w:t>
      </w:r>
      <w:r w:rsidR="00D2216A" w:rsidRPr="009B050C">
        <w:rPr>
          <w:sz w:val="24"/>
        </w:rPr>
        <w:t xml:space="preserve"> 2</w:t>
      </w:r>
      <w:r w:rsidRPr="009B050C">
        <w:rPr>
          <w:sz w:val="24"/>
        </w:rPr>
        <w:t>.</w:t>
      </w:r>
      <w:r w:rsidRPr="005F5B44">
        <w:rPr>
          <w:sz w:val="24"/>
        </w:rPr>
        <w:t xml:space="preserve"> This plan discusses the analytic potential of the data and presents studies and data uses that exceed the budgetary and staffing limitations of the MCBS.)</w:t>
      </w:r>
    </w:p>
    <w:p w:rsidR="0026569A" w:rsidRPr="00AE0EC4" w:rsidRDefault="002656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E0EC4" w:rsidRPr="00AE0EC4" w:rsidRDefault="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E0EC4">
        <w:rPr>
          <w:sz w:val="24"/>
        </w:rPr>
        <w:t>The comprehensive nature of the MCBS makes its data appealing to a broad spectrum of users</w:t>
      </w:r>
      <w:r w:rsidRPr="00853ECD">
        <w:rPr>
          <w:sz w:val="24"/>
        </w:rPr>
        <w:t xml:space="preserve">. </w:t>
      </w:r>
      <w:r w:rsidR="00853ECD" w:rsidRPr="004017D8">
        <w:rPr>
          <w:sz w:val="24"/>
        </w:rPr>
        <w:t xml:space="preserve"> </w:t>
      </w:r>
      <w:r w:rsidR="00853ECD" w:rsidRPr="00BA178D">
        <w:rPr>
          <w:sz w:val="24"/>
        </w:rPr>
        <w:t xml:space="preserve">In addition to CMS use, the MCBS consistently provides value and unique data to external users, as demonstrated by more than 700 research articles published using the MCBS to date and over 300 MCBS files purchased and shipped to researchers each year.  MCBS survey data are also vital in the production of highly regarded publications, including the Kaiser Family Foundation </w:t>
      </w:r>
      <w:r w:rsidR="00853ECD" w:rsidRPr="00BA178D">
        <w:rPr>
          <w:i/>
          <w:sz w:val="24"/>
        </w:rPr>
        <w:t>Medicare Chart</w:t>
      </w:r>
      <w:r w:rsidR="00581C95">
        <w:rPr>
          <w:i/>
          <w:sz w:val="24"/>
        </w:rPr>
        <w:t>b</w:t>
      </w:r>
      <w:r w:rsidR="00853ECD" w:rsidRPr="00BA178D">
        <w:rPr>
          <w:i/>
          <w:sz w:val="24"/>
        </w:rPr>
        <w:t>ook</w:t>
      </w:r>
      <w:r w:rsidR="00853ECD" w:rsidRPr="00BA178D">
        <w:rPr>
          <w:sz w:val="24"/>
        </w:rPr>
        <w:t xml:space="preserve"> and the Medicare Payment Advisory Commission’s (MedPAC) annual </w:t>
      </w:r>
      <w:r w:rsidR="00853ECD" w:rsidRPr="00BA178D">
        <w:rPr>
          <w:i/>
          <w:sz w:val="24"/>
        </w:rPr>
        <w:t>Data Book</w:t>
      </w:r>
      <w:r w:rsidR="00853ECD" w:rsidRPr="00BA178D">
        <w:rPr>
          <w:sz w:val="24"/>
        </w:rPr>
        <w:t>.</w:t>
      </w:r>
      <w:r w:rsidR="00853ECD" w:rsidRPr="00853ECD">
        <w:rPr>
          <w:sz w:val="24"/>
        </w:rPr>
        <w:t xml:space="preserve">  </w:t>
      </w:r>
      <w:r w:rsidRPr="004017D8">
        <w:rPr>
          <w:sz w:val="24"/>
        </w:rPr>
        <w:t>There are</w:t>
      </w:r>
      <w:r w:rsidRPr="00AE0EC4">
        <w:rPr>
          <w:sz w:val="24"/>
        </w:rPr>
        <w:t xml:space="preserve"> three separate categories of data users</w:t>
      </w:r>
      <w:r w:rsidR="004017D8">
        <w:rPr>
          <w:sz w:val="24"/>
        </w:rPr>
        <w:t xml:space="preserve"> discussed below</w:t>
      </w:r>
      <w:r w:rsidRPr="00AE0EC4">
        <w:rPr>
          <w:sz w:val="24"/>
        </w:rPr>
        <w:t>.</w:t>
      </w:r>
    </w:p>
    <w:p w:rsidR="00AE0EC4" w:rsidRPr="00AE0EC4" w:rsidRDefault="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405A" w:rsidRDefault="00AE0EC4" w:rsidP="005519D9">
      <w:pPr>
        <w:numPr>
          <w:ilvl w:val="0"/>
          <w:numId w:val="10"/>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r w:rsidRPr="00FB405A">
        <w:rPr>
          <w:sz w:val="24"/>
          <w:u w:val="single"/>
        </w:rPr>
        <w:t>Within CMS.</w:t>
      </w:r>
      <w:r w:rsidRPr="00FB405A">
        <w:rPr>
          <w:sz w:val="24"/>
        </w:rPr>
        <w:t xml:space="preserve"> Survey results have been and will continue to be used by </w:t>
      </w:r>
      <w:r w:rsidR="00AB06AD" w:rsidRPr="00FB405A">
        <w:rPr>
          <w:sz w:val="24"/>
        </w:rPr>
        <w:t xml:space="preserve">various organizations within the </w:t>
      </w:r>
      <w:r w:rsidRPr="00FB405A">
        <w:rPr>
          <w:sz w:val="24"/>
        </w:rPr>
        <w:t>CMS</w:t>
      </w:r>
      <w:r w:rsidR="00AB06AD" w:rsidRPr="00FB405A">
        <w:rPr>
          <w:sz w:val="24"/>
        </w:rPr>
        <w:t xml:space="preserve">.  </w:t>
      </w:r>
      <w:r w:rsidR="005519D9" w:rsidRPr="00FB405A">
        <w:rPr>
          <w:sz w:val="24"/>
        </w:rPr>
        <w:t>CMMI analysts, for example, have frequently used the data collected by the MCBS for a variety of purposes, including to assess the potential number of beneficiaries eligible for proposed new care and payment models, their baseline utilization and patterns of usual care, and the decisional factors that help determine when and where beneficiaries seek care.</w:t>
      </w:r>
    </w:p>
    <w:p w:rsidR="00FB405A" w:rsidRDefault="00FB405A" w:rsidP="00FB405A">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FB405A" w:rsidRPr="005519D9" w:rsidRDefault="00FB405A" w:rsidP="00FB405A">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5519D9">
        <w:rPr>
          <w:sz w:val="24"/>
        </w:rPr>
        <w:t xml:space="preserve">CMMI </w:t>
      </w:r>
      <w:r>
        <w:rPr>
          <w:sz w:val="24"/>
        </w:rPr>
        <w:t xml:space="preserve">also </w:t>
      </w:r>
      <w:r w:rsidRPr="005519D9">
        <w:rPr>
          <w:sz w:val="24"/>
        </w:rPr>
        <w:t xml:space="preserve">uses the managed care supplement to the MCBS to compare fee-for-service with alternative delivery systems and </w:t>
      </w:r>
      <w:r w:rsidR="00F10838">
        <w:rPr>
          <w:sz w:val="24"/>
        </w:rPr>
        <w:t xml:space="preserve">to </w:t>
      </w:r>
      <w:r w:rsidRPr="005519D9">
        <w:rPr>
          <w:sz w:val="24"/>
        </w:rPr>
        <w:t xml:space="preserve">assess beneficiary satisfaction and access to alternative delivery systems. </w:t>
      </w:r>
      <w:r>
        <w:rPr>
          <w:sz w:val="24"/>
        </w:rPr>
        <w:t xml:space="preserve"> </w:t>
      </w:r>
      <w:r w:rsidRPr="005519D9">
        <w:rPr>
          <w:sz w:val="24"/>
        </w:rPr>
        <w:t xml:space="preserve">Also, MCBS provides information on health promotion and </w:t>
      </w:r>
      <w:r w:rsidR="00F10838">
        <w:rPr>
          <w:sz w:val="24"/>
        </w:rPr>
        <w:t>disease prevention</w:t>
      </w:r>
      <w:r w:rsidRPr="005519D9">
        <w:rPr>
          <w:sz w:val="24"/>
        </w:rPr>
        <w:t xml:space="preserve"> from the core instrument. Additional information on these areas can be obtained by the development of supplements.</w:t>
      </w:r>
    </w:p>
    <w:p w:rsidR="00FB405A" w:rsidRDefault="00FB405A" w:rsidP="00FB405A">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rsidR="005519D9" w:rsidRPr="00FB405A" w:rsidRDefault="005519D9" w:rsidP="00FB405A">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r w:rsidRPr="00FB405A">
        <w:rPr>
          <w:sz w:val="24"/>
        </w:rPr>
        <w:t xml:space="preserve">The MCBS is also used by the CMS Office of the Actuary to track trends in out-of-pocket spending and monitor Medicare supplemental insurance (Medigap), and is a major </w:t>
      </w:r>
      <w:r w:rsidR="00685A79">
        <w:rPr>
          <w:sz w:val="24"/>
        </w:rPr>
        <w:t>source of information</w:t>
      </w:r>
      <w:r w:rsidRPr="00FB405A">
        <w:rPr>
          <w:sz w:val="24"/>
        </w:rPr>
        <w:t xml:space="preserve"> for the annual Trustees’ Report.  MCBS data have also been used to track beneficiary’s knowledge and sources of information about Medicare, especially following the implementation of a new program or services (e.g. Part D, “Welcome to Medicare” benefits, etc.).  Self-reported MCBS data on immunizations is currently used to track whether CMS is meeting population health objectives.  </w:t>
      </w:r>
    </w:p>
    <w:p w:rsidR="005519D9" w:rsidRDefault="005519D9" w:rsidP="005519D9">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AE0EC4" w:rsidRPr="00AE0EC4" w:rsidRDefault="00AE0EC4" w:rsidP="00AE0EC4">
      <w:pPr>
        <w:pStyle w:val="Default"/>
        <w:ind w:left="810"/>
      </w:pPr>
      <w:r w:rsidRPr="00AE0EC4">
        <w:t xml:space="preserve">Analysis of the facility component also allows CMS to examine expenditures that are </w:t>
      </w: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r w:rsidRPr="00AE0EC4">
        <w:rPr>
          <w:sz w:val="24"/>
        </w:rPr>
        <w:t>covered by Medicaid, the shifts between private pay and Medicaid, and the cost implications for both Medicare and Medicaid in the areas of spending down assets and spousal impoverishment.</w:t>
      </w: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AE0EC4">
        <w:rPr>
          <w:sz w:val="24"/>
        </w:rPr>
        <w:t xml:space="preserve">The Office of </w:t>
      </w:r>
      <w:r w:rsidR="00210FC5">
        <w:rPr>
          <w:sz w:val="24"/>
        </w:rPr>
        <w:t>Communication</w:t>
      </w:r>
      <w:r w:rsidRPr="00AE0EC4">
        <w:rPr>
          <w:sz w:val="24"/>
        </w:rPr>
        <w:t xml:space="preserve"> uses the MCBS to track beneficiaries’ knowledge and sources of information about Medicare</w:t>
      </w:r>
      <w:r w:rsidR="00210FC5">
        <w:rPr>
          <w:sz w:val="24"/>
        </w:rPr>
        <w:t xml:space="preserve"> as well as population out of pocket spending in the Plan Finder tool</w:t>
      </w:r>
      <w:r w:rsidRPr="00AE0EC4">
        <w:rPr>
          <w:sz w:val="24"/>
        </w:rPr>
        <w:t xml:space="preserve">. The Office of Financial Management and Office of Clinical Standards </w:t>
      </w:r>
      <w:r w:rsidRPr="00AE0EC4">
        <w:rPr>
          <w:sz w:val="24"/>
        </w:rPr>
        <w:lastRenderedPageBreak/>
        <w:t xml:space="preserve">and Quality use immunization data to track whether CMS is meeting GPRA objectives. </w:t>
      </w: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AE0EC4" w:rsidRPr="00AE0EC4" w:rsidRDefault="00AE0EC4" w:rsidP="00AE0EC4">
      <w:pPr>
        <w:numPr>
          <w:ilvl w:val="0"/>
          <w:numId w:val="10"/>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A178D">
        <w:rPr>
          <w:sz w:val="24"/>
          <w:u w:val="single"/>
        </w:rPr>
        <w:t>Other Governmental / quasi-governmental, outside CMS.</w:t>
      </w:r>
      <w:r w:rsidRPr="00AE0EC4">
        <w:rPr>
          <w:sz w:val="24"/>
        </w:rPr>
        <w:t xml:space="preserve"> The MCBS is a major source of information for the Medicare Payment Advisory Commission (MedPAC) to monitor access to health care and beneficiary financial protection. The MCBS data have been routinely included in MedPAC’s Annual Reports and data collected by the MCBS have been used both in descriptive statistics and simulation.</w:t>
      </w: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AE0EC4">
        <w:rPr>
          <w:sz w:val="24"/>
        </w:rPr>
        <w:t xml:space="preserve">The MCBS is also a major source of information for the </w:t>
      </w:r>
      <w:r w:rsidR="00210FC5">
        <w:rPr>
          <w:sz w:val="24"/>
        </w:rPr>
        <w:t xml:space="preserve">Government Accountability Office (GAO) </w:t>
      </w:r>
      <w:r w:rsidRPr="00AE0EC4">
        <w:rPr>
          <w:sz w:val="24"/>
        </w:rPr>
        <w:t xml:space="preserve">to monitor </w:t>
      </w:r>
      <w:r w:rsidR="007B75AB">
        <w:rPr>
          <w:sz w:val="24"/>
        </w:rPr>
        <w:t xml:space="preserve">the impact that different types of </w:t>
      </w:r>
      <w:r w:rsidR="00F03451">
        <w:rPr>
          <w:sz w:val="24"/>
        </w:rPr>
        <w:t xml:space="preserve">insurance </w:t>
      </w:r>
      <w:r w:rsidR="007B75AB">
        <w:rPr>
          <w:sz w:val="24"/>
        </w:rPr>
        <w:t>coverage have on beneficiary health care expenses</w:t>
      </w:r>
      <w:r w:rsidR="005519D9">
        <w:rPr>
          <w:sz w:val="24"/>
        </w:rPr>
        <w:t>.</w:t>
      </w:r>
    </w:p>
    <w:p w:rsidR="005519D9" w:rsidRPr="00AE0EC4" w:rsidRDefault="005519D9"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AE0EC4">
        <w:rPr>
          <w:sz w:val="24"/>
        </w:rP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w:t>
      </w:r>
      <w:r w:rsidR="007B75AB">
        <w:rPr>
          <w:sz w:val="24"/>
        </w:rPr>
        <w:t xml:space="preserve"> Family Foundation</w:t>
      </w:r>
      <w:r w:rsidRPr="00AE0EC4">
        <w:rPr>
          <w:sz w:val="24"/>
        </w:rPr>
        <w:t>, R W Johnson, and the Commonwealth Fund also use MCBS data for policy analyses.</w:t>
      </w:r>
    </w:p>
    <w:p w:rsidR="00AE0EC4" w:rsidRPr="00AE0EC4" w:rsidRDefault="00AE0EC4" w:rsidP="00AE0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26569A" w:rsidRPr="0026569A" w:rsidRDefault="00AE0EC4" w:rsidP="0026569A">
      <w:pPr>
        <w:pStyle w:val="ListParagraph"/>
        <w:numPr>
          <w:ilvl w:val="0"/>
          <w:numId w:val="10"/>
        </w:num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69A">
        <w:rPr>
          <w:u w:val="single"/>
        </w:rPr>
        <w:t>Other researchers.</w:t>
      </w:r>
      <w:r w:rsidRPr="0026569A">
        <w:t xml:space="preserve"> Data are available to academic researchers through data use agreements. Topics of their research include: chronic disease, effects of Medicare drug coverage, racial and ethnic disparities in service use, use of preventive services, underuse of medications, hospital readmission, body mass and aging, assistance with activities of daily living, obesity, quality of care, medication use in nursing homes, alcohol use, home care, veterans’ care, disability trends, treatments for dementia, depression, beneficiary knowledge, informal assistance, use of durable medical equipment, falls, depression, and self-management for chronic disease. These are just a few examples of actual uses of MCBS data for policy research.</w:t>
      </w:r>
    </w:p>
    <w:p w:rsidR="00AE0EC4" w:rsidRPr="0026569A" w:rsidRDefault="007B75AB" w:rsidP="0026569A">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26569A">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7049D" w:rsidRPr="0057049D" w:rsidRDefault="0057049D" w:rsidP="005704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57049D">
        <w:rPr>
          <w:sz w:val="24"/>
        </w:rPr>
        <w:t xml:space="preserve">The MCBS takes full advantage of advances in survey </w:t>
      </w:r>
      <w:r w:rsidR="009B2E8D">
        <w:rPr>
          <w:sz w:val="24"/>
        </w:rPr>
        <w:t>methodology</w:t>
      </w:r>
      <w:r w:rsidR="009B2E8D" w:rsidRPr="0057049D">
        <w:rPr>
          <w:sz w:val="24"/>
        </w:rPr>
        <w:t xml:space="preserve"> </w:t>
      </w:r>
      <w:r w:rsidRPr="0057049D">
        <w:rPr>
          <w:sz w:val="24"/>
        </w:rPr>
        <w:t>by administer</w:t>
      </w:r>
      <w:r w:rsidR="009B2E8D">
        <w:rPr>
          <w:sz w:val="24"/>
        </w:rPr>
        <w:t>ing the survey</w:t>
      </w:r>
      <w:r w:rsidRPr="0057049D">
        <w:rPr>
          <w:sz w:val="24"/>
        </w:rPr>
        <w:t xml:space="preserve"> electronically.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w:t>
      </w:r>
      <w:r w:rsidR="007B75AB">
        <w:rPr>
          <w:sz w:val="24"/>
        </w:rPr>
        <w:t xml:space="preserve">proxy (i.e., </w:t>
      </w:r>
      <w:r w:rsidRPr="0057049D">
        <w:rPr>
          <w:sz w:val="24"/>
        </w:rPr>
        <w:t>facility staff</w:t>
      </w:r>
      <w:r w:rsidR="007B75AB">
        <w:rPr>
          <w:sz w:val="24"/>
        </w:rPr>
        <w:t>)</w:t>
      </w:r>
      <w:r w:rsidRPr="0057049D">
        <w:rPr>
          <w:sz w:val="24"/>
        </w:rPr>
        <w:t xml:space="preserve">.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w:t>
      </w:r>
      <w:r w:rsidR="00C368A0">
        <w:rPr>
          <w:sz w:val="24"/>
        </w:rPr>
        <w:t xml:space="preserve">also </w:t>
      </w:r>
      <w:r w:rsidRPr="0057049D">
        <w:rPr>
          <w:sz w:val="24"/>
        </w:rPr>
        <w:t>greatly increases the efficiency of the interview in the following ways:</w:t>
      </w:r>
    </w:p>
    <w:p w:rsidR="0057049D" w:rsidRPr="0057049D" w:rsidRDefault="0057049D" w:rsidP="005704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 xml:space="preserve">CAPI tailors the sequence of questions to the responses of the interviewee, resulting in few – if any – interviewer skip errors. The natural flow of the interview is maintained </w:t>
      </w:r>
      <w:r w:rsidRPr="0057049D">
        <w:rPr>
          <w:sz w:val="24"/>
        </w:rPr>
        <w:lastRenderedPageBreak/>
        <w:t>even when the pattern of questions is complex.</w:t>
      </w: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CAPI automatically provides “fills”, or word choices within questions. One keystroke can insert “you”, “he”, or “she”, as appropriate, for the duration of the interview. The sample person’s name, date of the last interview, and other items can also be filled as needed.</w:t>
      </w: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CAPI maintains rosters or lists created during the interview, such as household members, health insurance plans, medical conditions, providers, visit dates, prescription drugs, and people who help with daily activities. These rosters can be used to structure questions, e.g., cycling through a series of doctor visits and checking for missing information. Interviewers can select items from a roster, add items, or correct them. Rosters are carried over from one interview to the next.</w:t>
      </w: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CAPI edits entries for range and consistency. The interviewer can make corrections immediately. Information missing from a previous round can be inserted in the questionnaire.</w:t>
      </w: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CAPI allows instantaneous calculations to be made, such as the amount remaining to be paid on a medical bill after totaling several payments.</w:t>
      </w:r>
    </w:p>
    <w:p w:rsidR="0057049D" w:rsidRPr="0057049D" w:rsidRDefault="0057049D" w:rsidP="0057049D">
      <w:pPr>
        <w:numPr>
          <w:ilvl w:val="0"/>
          <w:numId w:val="11"/>
        </w:numPr>
        <w:tabs>
          <w:tab w:val="left" w:pos="432"/>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049D">
        <w:rPr>
          <w:sz w:val="24"/>
        </w:rPr>
        <w:t>Interviewers use the computer to electronically transmit completed cases to the central office over the telephone.</w:t>
      </w:r>
    </w:p>
    <w:p w:rsidR="0057049D" w:rsidRPr="0057049D" w:rsidRDefault="0057049D" w:rsidP="005704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57049D" w:rsidRPr="0057049D" w:rsidRDefault="0057049D" w:rsidP="005704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57049D">
        <w:rPr>
          <w:sz w:val="24"/>
        </w:rPr>
        <w:t xml:space="preserve">CAPI has strategic implications for survey design and planning, some of which are not easily predicted. CAPI </w:t>
      </w:r>
      <w:r w:rsidR="00C368A0">
        <w:rPr>
          <w:sz w:val="24"/>
        </w:rPr>
        <w:t xml:space="preserve">also </w:t>
      </w:r>
      <w:r w:rsidRPr="0057049D">
        <w:rPr>
          <w:sz w:val="24"/>
        </w:rPr>
        <w:t xml:space="preserve">strongly influences the shape of the questionnaire itself: </w:t>
      </w:r>
      <w:r w:rsidR="00F703EB">
        <w:rPr>
          <w:sz w:val="24"/>
        </w:rPr>
        <w:t>i</w:t>
      </w:r>
      <w:r w:rsidRPr="0057049D">
        <w:rPr>
          <w:sz w:val="24"/>
        </w:rPr>
        <w:t>t can be more complex, more tailored to the characteristics of respondents, with more cross-references and rosters, and have more error checks. MCBS does not require a signature from the respondent(s).</w:t>
      </w:r>
    </w:p>
    <w:p w:rsidR="0057049D" w:rsidRPr="0057049D" w:rsidRDefault="0057049D" w:rsidP="005704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Pr="00432D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2D3F" w:rsidRPr="00432D3F" w:rsidRDefault="00432D3F" w:rsidP="004924E2">
      <w:pPr>
        <w:pStyle w:val="Default"/>
        <w:ind w:left="450"/>
        <w:rPr>
          <w:color w:val="auto"/>
        </w:rPr>
      </w:pPr>
      <w:r w:rsidRPr="00432D3F">
        <w:rPr>
          <w:color w:val="auto"/>
        </w:rPr>
        <w:t>This information collection</w:t>
      </w:r>
      <w:r w:rsidR="00C368A0">
        <w:rPr>
          <w:color w:val="auto"/>
        </w:rPr>
        <w:t xml:space="preserve"> is unique and</w:t>
      </w:r>
      <w:r w:rsidRPr="00432D3F">
        <w:rPr>
          <w:color w:val="auto"/>
        </w:rPr>
        <w:t xml:space="preserve"> does not duplicate any other effort and the</w:t>
      </w:r>
      <w:r w:rsidR="00C368A0">
        <w:rPr>
          <w:color w:val="auto"/>
        </w:rPr>
        <w:t xml:space="preserve"> same</w:t>
      </w:r>
      <w:r w:rsidRPr="00432D3F">
        <w:rPr>
          <w:color w:val="auto"/>
        </w:rPr>
        <w:t xml:space="preserve"> information cannot be obtained from any other source.</w:t>
      </w:r>
    </w:p>
    <w:p w:rsidR="00432D3F" w:rsidRPr="00432D3F" w:rsidRDefault="00432D3F" w:rsidP="004924E2">
      <w:pPr>
        <w:pStyle w:val="Default"/>
        <w:ind w:left="450"/>
        <w:rPr>
          <w:color w:val="auto"/>
        </w:rPr>
      </w:pPr>
    </w:p>
    <w:p w:rsidR="00C108E0" w:rsidRDefault="004924E2" w:rsidP="004924E2">
      <w:pPr>
        <w:pStyle w:val="Default"/>
        <w:ind w:left="450"/>
      </w:pPr>
      <w:r w:rsidRPr="00432D3F">
        <w:rPr>
          <w:color w:val="auto"/>
        </w:rPr>
        <w:t xml:space="preserve">During the development and initial administration of the MCBS, a number of people inside </w:t>
      </w:r>
      <w:r w:rsidRPr="004924E2">
        <w:t>and outside the Federal government were consulted. This consultation included issues of design, content, and statistical methodology and analysis. None of the people contacted were aware of duplicative information, nor were they aware of any other survey that duplicates the efforts of MCBS. In addition, both CMS and its data collection contractor have undertaken exhaustive reviews of the literature and other data sources. In no instance have we identified another source of data</w:t>
      </w:r>
      <w:r w:rsidR="006271B7">
        <w:t xml:space="preserve"> </w:t>
      </w:r>
      <w:r w:rsidR="00F703EB">
        <w:t>that</w:t>
      </w:r>
      <w:r w:rsidRPr="004924E2">
        <w:t xml:space="preserve"> would be an effective substitute for the MCBS.</w:t>
      </w:r>
    </w:p>
    <w:p w:rsidR="00C108E0" w:rsidRDefault="00C108E0" w:rsidP="004924E2">
      <w:pPr>
        <w:pStyle w:val="Default"/>
        <w:ind w:left="450"/>
      </w:pPr>
    </w:p>
    <w:p w:rsidR="004924E2" w:rsidRDefault="00B71C90" w:rsidP="004924E2">
      <w:pPr>
        <w:pStyle w:val="Default"/>
        <w:ind w:left="450"/>
      </w:pPr>
      <w:r>
        <w:t>While c</w:t>
      </w:r>
      <w:r w:rsidR="004924E2" w:rsidRPr="004924E2">
        <w:t xml:space="preserve">ontinuing interagency collaboration </w:t>
      </w:r>
      <w:r>
        <w:t xml:space="preserve">has helped </w:t>
      </w:r>
      <w:r w:rsidR="004924E2" w:rsidRPr="004924E2">
        <w:t xml:space="preserve">insure against the likelihood of duplicative data collection processes </w:t>
      </w:r>
      <w:r>
        <w:t>in the past, i</w:t>
      </w:r>
      <w:r w:rsidR="00C108E0">
        <w:t xml:space="preserve">n </w:t>
      </w:r>
      <w:r>
        <w:t xml:space="preserve">early </w:t>
      </w:r>
      <w:r w:rsidR="00C108E0">
        <w:t xml:space="preserve">2013 the CMS contracted with MITRE </w:t>
      </w:r>
      <w:r w:rsidR="00F703EB">
        <w:t xml:space="preserve">and RAND </w:t>
      </w:r>
      <w:r w:rsidR="00C108E0">
        <w:t xml:space="preserve">to conduct an unbiased comprehensive assessment of the MCBS.  </w:t>
      </w:r>
      <w:r>
        <w:t>This evaluation will assess the current survey design (e.</w:t>
      </w:r>
      <w:r w:rsidR="00EF3002">
        <w:t>g.</w:t>
      </w:r>
      <w:r>
        <w:t xml:space="preserve">, </w:t>
      </w:r>
      <w:r w:rsidR="00C108E0">
        <w:t>mode of collection</w:t>
      </w:r>
      <w:r>
        <w:t xml:space="preserve">, </w:t>
      </w:r>
      <w:r w:rsidR="00C108E0">
        <w:t>survey content</w:t>
      </w:r>
      <w:r>
        <w:t xml:space="preserve">).  By mid-2014 CMS will have a report of recommendations as well as an advisory board. </w:t>
      </w:r>
      <w:r w:rsidR="00C108E0">
        <w:t xml:space="preserve">  </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5.</w:t>
      </w:r>
      <w:r w:rsidRPr="004924E2">
        <w:rPr>
          <w:sz w:val="24"/>
        </w:rPr>
        <w:tab/>
      </w:r>
      <w:r>
        <w:rPr>
          <w:sz w:val="24"/>
          <w:u w:val="single"/>
        </w:rPr>
        <w:t>Small Business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 xml:space="preserve">Most of the data collected for the MCBS will be from individuals in households. However, in any given round </w:t>
      </w:r>
      <w:r w:rsidRPr="00202161">
        <w:rPr>
          <w:sz w:val="24"/>
        </w:rPr>
        <w:t xml:space="preserve">about </w:t>
      </w:r>
      <w:r w:rsidR="00D31F71">
        <w:rPr>
          <w:sz w:val="24"/>
        </w:rPr>
        <w:t>1,0</w:t>
      </w:r>
      <w:r w:rsidRPr="00202161">
        <w:rPr>
          <w:sz w:val="24"/>
        </w:rPr>
        <w:t>00 sample</w:t>
      </w:r>
      <w:r w:rsidRPr="004924E2">
        <w:rPr>
          <w:sz w:val="24"/>
        </w:rPr>
        <w:t xml:space="preserve"> persons will reside in government-sponsored, non-profit, and for-profit institutions such as nursing and personal care homes. Some of these institutions qualify as small businesses. All data collected on sample persons in these institutions will be collected from small businesses, their employees serve as proxies for each sample person in their care.</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6271B7"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Interviewers in long-term settings make every effort to determine, for each type of question, which staff members are most able to answer them. The data collection procedures are designed to minimize the burden on all respondents, with skip instructions so that respondents will be asked only questions that apply to them</w:t>
      </w:r>
      <w:r w:rsidRPr="006271B7">
        <w:rPr>
          <w:sz w:val="24"/>
        </w:rPr>
        <w:t xml:space="preserve">. </w:t>
      </w:r>
      <w:r w:rsidR="006271B7" w:rsidRPr="006271B7">
        <w:rPr>
          <w:sz w:val="24"/>
        </w:rPr>
        <w:t xml:space="preserve"> Facility proxies are not asked question on beneficiary attitudes and perceptions, which they would be unlikely to know.</w:t>
      </w:r>
      <w:r w:rsidR="006271B7" w:rsidRPr="006271B7" w:rsidDel="006271B7">
        <w:rPr>
          <w:sz w:val="24"/>
        </w:rPr>
        <w:t xml:space="preserve"> </w:t>
      </w:r>
    </w:p>
    <w:p w:rsidR="006271B7" w:rsidRPr="006271B7" w:rsidRDefault="006271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All enrollees will be selected from the Medicare Enrollment Database and sample persons residing in nursing homes will be randomly distributed. Therefore, the burden for the collection of this information will be proportional to the size of nursing homes (on average), thereby reducing the burden on small nursing homes.</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6.</w:t>
      </w:r>
      <w:r w:rsidRPr="004924E2">
        <w:rPr>
          <w:sz w:val="24"/>
        </w:rPr>
        <w:tab/>
      </w:r>
      <w:r w:rsidRPr="004924E2">
        <w:rPr>
          <w:sz w:val="24"/>
          <w:u w:val="single"/>
        </w:rPr>
        <w:t>Less Frequent Collection</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Only a continuous survey can fully meet CMS’ information needs for operating the Medicare program</w:t>
      </w:r>
      <w:r w:rsidR="00B71C90">
        <w:rPr>
          <w:sz w:val="24"/>
        </w:rPr>
        <w:t xml:space="preserve"> a</w:t>
      </w:r>
      <w:r w:rsidRPr="004924E2">
        <w:rPr>
          <w:sz w:val="24"/>
        </w:rPr>
        <w:t>nd</w:t>
      </w:r>
      <w:r w:rsidR="00F703EB">
        <w:rPr>
          <w:sz w:val="24"/>
        </w:rPr>
        <w:t xml:space="preserve"> also</w:t>
      </w:r>
      <w:r w:rsidR="006271B7">
        <w:rPr>
          <w:sz w:val="24"/>
        </w:rPr>
        <w:t xml:space="preserve"> </w:t>
      </w:r>
      <w:r w:rsidRPr="004924E2">
        <w:rPr>
          <w:sz w:val="24"/>
        </w:rPr>
        <w:t>address many of the limitations of existing databases collecting information on the elderly and disabled</w:t>
      </w:r>
      <w:r w:rsidR="00F703EB">
        <w:rPr>
          <w:sz w:val="24"/>
        </w:rPr>
        <w:t>,</w:t>
      </w:r>
      <w:r w:rsidRPr="004924E2">
        <w:rPr>
          <w:sz w:val="24"/>
        </w:rPr>
        <w:t xml:space="preserve"> including the oldest old portion of the population (85+). Large changes in Medicare delivery system</w:t>
      </w:r>
      <w:r w:rsidR="00B71C90">
        <w:rPr>
          <w:sz w:val="24"/>
        </w:rPr>
        <w:t>s</w:t>
      </w:r>
      <w:r w:rsidRPr="004924E2">
        <w:rPr>
          <w:sz w:val="24"/>
        </w:rPr>
        <w:t xml:space="preserve"> and program</w:t>
      </w:r>
      <w:r w:rsidR="00B71C90">
        <w:rPr>
          <w:sz w:val="24"/>
        </w:rPr>
        <w:t>s</w:t>
      </w:r>
      <w:r w:rsidRPr="004924E2">
        <w:rPr>
          <w:sz w:val="24"/>
        </w:rPr>
        <w:t xml:space="preserve"> have been occurring with increasing frequency, </w:t>
      </w:r>
      <w:r w:rsidR="00EF3002">
        <w:rPr>
          <w:sz w:val="24"/>
        </w:rPr>
        <w:t>(</w:t>
      </w:r>
      <w:r w:rsidRPr="004924E2">
        <w:rPr>
          <w:sz w:val="24"/>
        </w:rPr>
        <w:t>e.g</w:t>
      </w:r>
      <w:r w:rsidRPr="003C3000">
        <w:rPr>
          <w:sz w:val="24"/>
        </w:rPr>
        <w:t>., The Medicare Prescription Drug, Improvement, and Modernization Act</w:t>
      </w:r>
      <w:r w:rsidR="003C3000" w:rsidRPr="003C3000">
        <w:rPr>
          <w:sz w:val="24"/>
        </w:rPr>
        <w:t>, Patient Protection and Affordable Care Act</w:t>
      </w:r>
      <w:r w:rsidR="00EF3002">
        <w:rPr>
          <w:sz w:val="24"/>
        </w:rPr>
        <w:t>)</w:t>
      </w:r>
      <w:r w:rsidRPr="003C3000">
        <w:rPr>
          <w:sz w:val="24"/>
        </w:rPr>
        <w:t>. While such extensive changes as contained in MMA</w:t>
      </w:r>
      <w:r w:rsidR="003C3000" w:rsidRPr="003C3000">
        <w:rPr>
          <w:sz w:val="24"/>
        </w:rPr>
        <w:t xml:space="preserve"> and ACA</w:t>
      </w:r>
      <w:r w:rsidRPr="003C3000">
        <w:rPr>
          <w:sz w:val="24"/>
        </w:rPr>
        <w:t xml:space="preserve"> are the exception rather than the rule, adjustments to the Medicare program continue to remain</w:t>
      </w:r>
      <w:r w:rsidRPr="004924E2">
        <w:rPr>
          <w:sz w:val="24"/>
        </w:rPr>
        <w:t xml:space="preserve"> an ongoing part of the program administration. Only a continuous survey will produce the data that support accurate evaluation of the effects of such changes.</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rsidP="004924E2">
      <w:pPr>
        <w:pStyle w:val="Default"/>
        <w:ind w:left="450"/>
      </w:pPr>
      <w:r w:rsidRPr="004924E2">
        <w:t xml:space="preserve">By re-interviewing the same respondents and replenishing the sample annually, the MCBS will continue to support longitudinal as well as cross-sectional analyses. Longitudinal data provide the material for models that analyze quantitative change over time. Longitudinal </w:t>
      </w:r>
    </w:p>
    <w:p w:rsidR="004924E2" w:rsidRPr="004924E2" w:rsidRDefault="004924E2" w:rsidP="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924E2">
        <w:rPr>
          <w:sz w:val="24"/>
        </w:rPr>
        <w:t>data are needed for causal analys</w:t>
      </w:r>
      <w:r w:rsidR="00F703EB">
        <w:rPr>
          <w:sz w:val="24"/>
        </w:rPr>
        <w:t>e</w:t>
      </w:r>
      <w:r w:rsidRPr="004924E2">
        <w:rPr>
          <w:sz w:val="24"/>
        </w:rPr>
        <w:t>s, such as the relationship between legislative and program changes and their effects on enrollees, providers, and costs. Longitudinal data can also help clarify the relationship between changes in health status and functioning and levels of health care service use and expenditures (i.e.,</w:t>
      </w:r>
      <w:r w:rsidR="00F703EB">
        <w:rPr>
          <w:sz w:val="24"/>
        </w:rPr>
        <w:t>analysis of</w:t>
      </w:r>
      <w:r w:rsidRPr="004924E2">
        <w:rPr>
          <w:sz w:val="24"/>
        </w:rPr>
        <w:t xml:space="preserve"> temporal </w:t>
      </w:r>
      <w:r w:rsidR="00F703EB">
        <w:rPr>
          <w:sz w:val="24"/>
        </w:rPr>
        <w:t>relationships</w:t>
      </w:r>
      <w:r w:rsidRPr="004924E2">
        <w:rPr>
          <w:sz w:val="24"/>
        </w:rPr>
        <w:t>).</w:t>
      </w:r>
    </w:p>
    <w:p w:rsidR="004924E2" w:rsidRPr="004924E2" w:rsidRDefault="004924E2" w:rsidP="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4924E2" w:rsidRPr="004924E2" w:rsidRDefault="004924E2" w:rsidP="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924E2">
        <w:rPr>
          <w:sz w:val="24"/>
        </w:rPr>
        <w:t>While it is necessary to conduct a continuous survey as outlined above</w:t>
      </w:r>
      <w:r w:rsidR="0022639B">
        <w:rPr>
          <w:sz w:val="24"/>
        </w:rPr>
        <w:t>,</w:t>
      </w:r>
      <w:r w:rsidRPr="004924E2">
        <w:rPr>
          <w:sz w:val="24"/>
        </w:rPr>
        <w:t xml:space="preserve"> the frequency of collection in a given year can differ</w:t>
      </w:r>
      <w:r w:rsidR="0022639B">
        <w:rPr>
          <w:sz w:val="24"/>
        </w:rPr>
        <w:t xml:space="preserve"> across community and institutional settings</w:t>
      </w:r>
      <w:r w:rsidRPr="004924E2">
        <w:rPr>
          <w:sz w:val="24"/>
        </w:rPr>
        <w:t xml:space="preserve">, while </w:t>
      </w:r>
      <w:r w:rsidRPr="004924E2">
        <w:rPr>
          <w:sz w:val="24"/>
        </w:rPr>
        <w:lastRenderedPageBreak/>
        <w:t>retaining the same outcome.</w:t>
      </w:r>
    </w:p>
    <w:p w:rsidR="004924E2" w:rsidRPr="004924E2" w:rsidRDefault="004924E2" w:rsidP="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4924E2" w:rsidRPr="004924E2" w:rsidRDefault="004924E2" w:rsidP="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924E2">
        <w:rPr>
          <w:sz w:val="24"/>
        </w:rPr>
        <w:t>Research on survey methodology shows that as the length of time between community interviews grows, there is a marked decline in the quality of the data reported (Cohen and Burt, 1985; Cohen and Cohen, 1986). The literature support</w:t>
      </w:r>
      <w:r w:rsidR="00573A98">
        <w:rPr>
          <w:sz w:val="24"/>
        </w:rPr>
        <w:t>s</w:t>
      </w:r>
      <w:r w:rsidRPr="004924E2">
        <w:rPr>
          <w:sz w:val="24"/>
        </w:rPr>
        <w:t xml:space="preserve"> spacing interviews for a continuous survey of medical care use up to four months apart. The Current Medicare Survey employed a one-month recall period, the 1977 </w:t>
      </w:r>
      <w:r w:rsidR="006271B7">
        <w:rPr>
          <w:sz w:val="24"/>
        </w:rPr>
        <w:t>National Medical Care Expenditure Survey</w:t>
      </w:r>
      <w:r w:rsidRPr="004924E2">
        <w:rPr>
          <w:sz w:val="24"/>
        </w:rPr>
        <w:t xml:space="preserve"> an average of three months, and the 1987 </w:t>
      </w:r>
      <w:r w:rsidR="006271B7">
        <w:rPr>
          <w:sz w:val="24"/>
        </w:rPr>
        <w:t>National Medical Expenditure Survey</w:t>
      </w:r>
      <w:r w:rsidRPr="004924E2">
        <w:rPr>
          <w:sz w:val="24"/>
        </w:rPr>
        <w:t xml:space="preserve"> an average of four months. In the first round of interviewing</w:t>
      </w:r>
      <w:r w:rsidR="0042059B">
        <w:rPr>
          <w:sz w:val="24"/>
        </w:rPr>
        <w:t xml:space="preserve"> in the MCBS</w:t>
      </w:r>
      <w:r w:rsidRPr="004924E2">
        <w:rPr>
          <w:sz w:val="24"/>
        </w:rPr>
        <w:t>, the sample person in the community is provided with a calendar and asked to record all visits to health care providers, expenditures and to retain all statements including private insurance and Medicare statements/bills. Thus after the initial round, the recall period for the MCBS is since the time of the last interview. Making MCBS community rounds any farther apart would significantly jeopardize the quality of the results, because of the strong potential for recall problems with the elderly. In addition, less frequent data collection may negate the opportunity to obtain additional information by using supplements; more time spent on repetition of the core items might not allow time for the inclusion of proposed supplements questions to assess legislative and program changes.</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7.</w:t>
      </w:r>
      <w:r w:rsidRPr="004924E2">
        <w:rPr>
          <w:sz w:val="24"/>
        </w:rPr>
        <w:tab/>
      </w:r>
      <w:r w:rsidRPr="004924E2">
        <w:rPr>
          <w:sz w:val="24"/>
          <w:u w:val="single"/>
        </w:rPr>
        <w:t>Special</w:t>
      </w:r>
      <w:r>
        <w:rPr>
          <w:sz w:val="24"/>
          <w:u w:val="single"/>
        </w:rPr>
        <w:t xml:space="preserve">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None of the special circumstances listed by OMB apply to the MCBS.</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8.</w:t>
      </w:r>
      <w:r w:rsidRPr="004924E2">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A529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w:t>
      </w:r>
      <w:r w:rsidR="004924E2" w:rsidRPr="004924E2">
        <w:rPr>
          <w:sz w:val="24"/>
        </w:rPr>
        <w:t xml:space="preserve"> 60-day </w:t>
      </w:r>
      <w:r w:rsidR="004924E2" w:rsidRPr="005F5B44">
        <w:rPr>
          <w:sz w:val="24"/>
        </w:rPr>
        <w:t xml:space="preserve">Federal Register Notice </w:t>
      </w:r>
      <w:r>
        <w:rPr>
          <w:sz w:val="24"/>
        </w:rPr>
        <w:t xml:space="preserve">was </w:t>
      </w:r>
      <w:r w:rsidR="004924E2" w:rsidRPr="005F5B44">
        <w:rPr>
          <w:sz w:val="24"/>
        </w:rPr>
        <w:t>published</w:t>
      </w:r>
      <w:r>
        <w:rPr>
          <w:sz w:val="24"/>
        </w:rPr>
        <w:t xml:space="preserve"> on July 26, 2013.</w:t>
      </w:r>
      <w:r w:rsidR="004924E2" w:rsidRPr="005F5B44">
        <w:rPr>
          <w:sz w:val="24"/>
        </w:rPr>
        <w:t xml:space="preserve"> Since this collection is not new, we have not gone out to solicit outside consultation; however, during the 60-day Federal Register Notice the public </w:t>
      </w:r>
      <w:r>
        <w:rPr>
          <w:sz w:val="24"/>
        </w:rPr>
        <w:t>was</w:t>
      </w:r>
      <w:r w:rsidR="002A1877">
        <w:rPr>
          <w:sz w:val="24"/>
        </w:rPr>
        <w:t xml:space="preserve"> free to comment; however, there were no comments received.</w:t>
      </w:r>
      <w:bookmarkStart w:id="0" w:name="_GoBack"/>
      <w:bookmarkEnd w:id="0"/>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9.</w:t>
      </w:r>
      <w:r w:rsidRPr="004924E2">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The MCBS does not provide payments or gifts as incentives to respond. The most important incentive we use is to persuade the respondent that his or her participation is a service to the future of Medicare. We use standard refusal conversion techniques, letters, and newsletters.</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519D9" w:rsidRDefault="005519D9">
      <w:pPr>
        <w:widowControl/>
        <w:autoSpaceDE/>
        <w:autoSpaceDN/>
        <w:adjustRightInd/>
        <w:rPr>
          <w:sz w:val="24"/>
        </w:rPr>
      </w:pPr>
      <w:r>
        <w:rPr>
          <w:sz w:val="24"/>
        </w:rPr>
        <w:br w:type="page"/>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lastRenderedPageBreak/>
        <w:t>10</w:t>
      </w:r>
      <w:r>
        <w:rPr>
          <w:sz w:val="24"/>
        </w:rPr>
        <w:t>.</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The cover letter to the respondent and a handout presented at the beginning of the interview contain the following disclosure statement:</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5F5B44" w:rsidRDefault="004924E2" w:rsidP="0049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924E2">
        <w:rPr>
          <w:sz w:val="24"/>
        </w:rPr>
        <w:t xml:space="preserve">According to the Paperwork Reduction Act of 1995, no persons are required to respond to a collection of information unless it displays a valid OMB control number. The valid OMB control number for this information collection is 0938-0568. The time required to complete this information collection is estimated to </w:t>
      </w:r>
      <w:r w:rsidRPr="00D31F71">
        <w:rPr>
          <w:sz w:val="24"/>
        </w:rPr>
        <w:t>average 1</w:t>
      </w:r>
      <w:r w:rsidR="00D31F71">
        <w:rPr>
          <w:sz w:val="24"/>
        </w:rPr>
        <w:t xml:space="preserve">½ </w:t>
      </w:r>
      <w:r w:rsidRPr="00D31F71">
        <w:rPr>
          <w:sz w:val="24"/>
        </w:rPr>
        <w:t>hour</w:t>
      </w:r>
      <w:r w:rsidR="00D31F71">
        <w:rPr>
          <w:sz w:val="24"/>
        </w:rPr>
        <w:t>s</w:t>
      </w:r>
      <w:r w:rsidRPr="00D31F71">
        <w:rPr>
          <w:sz w:val="24"/>
        </w:rPr>
        <w:t xml:space="preserve"> per response</w:t>
      </w:r>
      <w:r w:rsidRPr="004924E2">
        <w:rPr>
          <w:sz w:val="24"/>
        </w:rPr>
        <w:t xml:space="preserve">, including the time to review instructions, search existing data resources, gather the data needed, and complete and review the information collection. Additionally, a randomly selected </w:t>
      </w:r>
      <w:r w:rsidR="00C402C5">
        <w:rPr>
          <w:sz w:val="24"/>
        </w:rPr>
        <w:t>10</w:t>
      </w:r>
      <w:r w:rsidRPr="004924E2">
        <w:rPr>
          <w:sz w:val="24"/>
        </w:rPr>
        <w:t xml:space="preserve"> percent of the respondent population (per round) are contacted for a validation interview averaging 10 minutes. If you have any comments concerning the accuracy of the time estimate(s) or suggestions for improving this form, please write to: CMS, 7500 Security </w:t>
      </w:r>
      <w:r w:rsidRPr="005F5B44">
        <w:rPr>
          <w:sz w:val="24"/>
        </w:rPr>
        <w:t>Boulevard,</w:t>
      </w:r>
      <w:r w:rsidR="007855BF" w:rsidRPr="005F5B44">
        <w:rPr>
          <w:sz w:val="24"/>
        </w:rPr>
        <w:t xml:space="preserve"> Attn: PRA Reports Clearance Officer, Mail Stop C4-26-05,</w:t>
      </w:r>
      <w:r w:rsidRPr="005F5B44">
        <w:rPr>
          <w:sz w:val="24"/>
        </w:rPr>
        <w:t xml:space="preserve"> Baltimore, Maryland 21244-1850.</w:t>
      </w:r>
    </w:p>
    <w:p w:rsidR="004924E2" w:rsidRPr="005F5B44"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F5B44">
        <w:rPr>
          <w:sz w:val="24"/>
        </w:rPr>
        <w:t>(Attachment 3) is a copy of the advance letter and MCBS brochure and introduction to the MCBS sheet for the</w:t>
      </w:r>
      <w:r w:rsidRPr="004924E2">
        <w:rPr>
          <w:sz w:val="24"/>
        </w:rPr>
        <w:t xml:space="preserve"> household.</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 xml:space="preserve">This is a person-based survey. The cover letter to the respondent contains a reference to the Privacy Act of 1974, as amended. A handout sheet (provided to the household respondent at the door and the nursing home administrator and proxy respondents) contains a statement of confidentiality consistent with the Privacy Act of 1974 and the Paperwork Reduction Act of 1995. In fielding selected supplements, </w:t>
      </w:r>
      <w:r w:rsidR="00EF3002">
        <w:rPr>
          <w:sz w:val="24"/>
        </w:rPr>
        <w:t>(</w:t>
      </w:r>
      <w:r w:rsidRPr="004924E2">
        <w:rPr>
          <w:sz w:val="24"/>
        </w:rPr>
        <w:t>e.g., Income and Assets</w:t>
      </w:r>
      <w:r w:rsidR="00EF3002">
        <w:rPr>
          <w:sz w:val="24"/>
        </w:rPr>
        <w:t>)</w:t>
      </w:r>
      <w:r w:rsidRPr="004924E2">
        <w:rPr>
          <w:sz w:val="24"/>
        </w:rPr>
        <w:t xml:space="preserve"> an additional handout sheet is provided explaining the purpose of the supplement and restating the Privacy Act. Interviewer training stresses the importance of maintaining confidentiality. The household interviewer's manual specifically addresses this and it is part of the training for the interviewers (both household and nursing home). Procedures have been established to maintain and </w:t>
      </w:r>
      <w:r w:rsidR="00581C95">
        <w:rPr>
          <w:sz w:val="24"/>
        </w:rPr>
        <w:t>e</w:t>
      </w:r>
      <w:r w:rsidRPr="004924E2">
        <w:rPr>
          <w:sz w:val="24"/>
        </w:rPr>
        <w:t>nsure confidentiality. These include computer security procedures (password protection for each interview and interviewer), electronic mail submission and next of kin consent forms for following nursing home people (discharged residents).</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 xml:space="preserve">In addition, the administration of the facility component is preceded by a statement that CMS will collect only the information necessary to perform the system's functions. Any data published will exclude information </w:t>
      </w:r>
      <w:r w:rsidR="00581C95">
        <w:rPr>
          <w:sz w:val="24"/>
        </w:rPr>
        <w:t>that</w:t>
      </w:r>
      <w:r w:rsidR="00581C95" w:rsidRPr="004924E2">
        <w:rPr>
          <w:sz w:val="24"/>
        </w:rPr>
        <w:t xml:space="preserve"> </w:t>
      </w:r>
      <w:r w:rsidRPr="004924E2">
        <w:rPr>
          <w:sz w:val="24"/>
        </w:rPr>
        <w:t>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All MCBS survey staff directly involved in MCBS data collection and/or analysis activities are required to sign confidentiality agreements. Furthermore, all MCBS patient-level data are protected from public disclosure in accordance with the Privacy Act of 1974, as amended.</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4E6F" w:rsidRDefault="00A5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924E2">
        <w:rPr>
          <w:sz w:val="24"/>
        </w:rPr>
        <w:t>11.</w:t>
      </w:r>
      <w:r w:rsidRPr="004924E2">
        <w:rPr>
          <w:sz w:val="24"/>
        </w:rPr>
        <w:tab/>
      </w:r>
      <w:r w:rsidRPr="004924E2">
        <w:rPr>
          <w:sz w:val="24"/>
          <w:u w:val="single"/>
        </w:rPr>
        <w:t>Sensitive</w:t>
      </w:r>
      <w:r>
        <w:rPr>
          <w:sz w:val="24"/>
          <w:u w:val="single"/>
        </w:rPr>
        <w:t xml:space="preser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4924E2"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924E2">
        <w:rPr>
          <w:sz w:val="24"/>
        </w:rPr>
        <w:t>None of the data to be obtained by this study are considered to be sensitive.</w:t>
      </w:r>
    </w:p>
    <w:p w:rsidR="008F1EB4" w:rsidRPr="004924E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2216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2216A">
        <w:rPr>
          <w:sz w:val="24"/>
        </w:rPr>
        <w:t>12.</w:t>
      </w:r>
      <w:r w:rsidRPr="00D2216A">
        <w:rPr>
          <w:sz w:val="24"/>
        </w:rPr>
        <w:tab/>
      </w:r>
      <w:r w:rsidRPr="00D2216A">
        <w:rPr>
          <w:sz w:val="24"/>
          <w:u w:val="single"/>
        </w:rPr>
        <w:t>Burden Estimates (Hours &amp; Wages)</w:t>
      </w:r>
    </w:p>
    <w:p w:rsidR="008F1EB4" w:rsidRPr="00D2216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24E2" w:rsidRPr="00F44B38" w:rsidRDefault="004924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2216A">
        <w:rPr>
          <w:sz w:val="24"/>
        </w:rPr>
        <w:t>Table B-12 shows estimates of the annual respondent burden. The annual burden for the</w:t>
      </w:r>
      <w:r w:rsidRPr="00F44B38">
        <w:rPr>
          <w:sz w:val="24"/>
        </w:rPr>
        <w:t xml:space="preserve"> MCBS is based on three interviews per respondent. We currently estimate that our annual burden </w:t>
      </w:r>
      <w:r w:rsidRPr="00D31F71">
        <w:rPr>
          <w:sz w:val="24"/>
        </w:rPr>
        <w:t>will be 5</w:t>
      </w:r>
      <w:r w:rsidR="00D31F71" w:rsidRPr="00D31F71">
        <w:rPr>
          <w:sz w:val="24"/>
        </w:rPr>
        <w:t>8</w:t>
      </w:r>
      <w:r w:rsidRPr="00D31F71">
        <w:rPr>
          <w:sz w:val="24"/>
        </w:rPr>
        <w:t>,450 hours</w:t>
      </w:r>
      <w:r w:rsidRPr="00F44B38">
        <w:rPr>
          <w:sz w:val="24"/>
        </w:rPr>
        <w:t xml:space="preserve"> for the survey. A community interview should take roughly an hour and a half to complete and a facility interview roughly an hour.</w:t>
      </w:r>
    </w:p>
    <w:p w:rsidR="00C45E13" w:rsidRPr="00F44B38" w:rsidRDefault="00C45E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627" w:type="dxa"/>
        <w:tblInd w:w="93" w:type="dxa"/>
        <w:tblLayout w:type="fixed"/>
        <w:tblLook w:val="04A0" w:firstRow="1" w:lastRow="0" w:firstColumn="1" w:lastColumn="0" w:noHBand="0" w:noVBand="1"/>
      </w:tblPr>
      <w:tblGrid>
        <w:gridCol w:w="3969"/>
        <w:gridCol w:w="612"/>
        <w:gridCol w:w="682"/>
        <w:gridCol w:w="416"/>
        <w:gridCol w:w="79"/>
        <w:gridCol w:w="734"/>
        <w:gridCol w:w="404"/>
        <w:gridCol w:w="79"/>
        <w:gridCol w:w="1058"/>
        <w:gridCol w:w="74"/>
        <w:gridCol w:w="104"/>
        <w:gridCol w:w="1260"/>
        <w:gridCol w:w="74"/>
        <w:gridCol w:w="82"/>
      </w:tblGrid>
      <w:tr w:rsidR="003A608E" w:rsidRPr="00F44B38" w:rsidTr="005F5B44">
        <w:trPr>
          <w:trHeight w:val="330"/>
        </w:trPr>
        <w:tc>
          <w:tcPr>
            <w:tcW w:w="5761" w:type="dxa"/>
            <w:gridSpan w:val="5"/>
            <w:tcBorders>
              <w:top w:val="single" w:sz="4" w:space="0" w:color="auto"/>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Table B-12: Estimates of the Annual Respondent Burden</w:t>
            </w:r>
          </w:p>
        </w:tc>
        <w:tc>
          <w:tcPr>
            <w:tcW w:w="1217" w:type="dxa"/>
            <w:gridSpan w:val="3"/>
            <w:tcBorders>
              <w:top w:val="single" w:sz="4" w:space="0" w:color="auto"/>
              <w:left w:val="nil"/>
              <w:bottom w:val="nil"/>
              <w:right w:val="nil"/>
            </w:tcBorders>
            <w:shd w:val="clear" w:color="auto" w:fill="auto"/>
            <w:noWrap/>
            <w:vAlign w:val="bottom"/>
            <w:hideMark/>
          </w:tcPr>
          <w:p w:rsidR="003A608E" w:rsidRPr="00F44B38" w:rsidRDefault="003A608E">
            <w:pPr>
              <w:rPr>
                <w:color w:val="000000"/>
                <w:sz w:val="24"/>
              </w:rPr>
            </w:pPr>
          </w:p>
        </w:tc>
        <w:tc>
          <w:tcPr>
            <w:tcW w:w="1237" w:type="dxa"/>
            <w:gridSpan w:val="3"/>
            <w:tcBorders>
              <w:top w:val="single" w:sz="4" w:space="0" w:color="auto"/>
              <w:left w:val="nil"/>
              <w:bottom w:val="nil"/>
              <w:right w:val="nil"/>
            </w:tcBorders>
            <w:shd w:val="clear" w:color="auto" w:fill="auto"/>
            <w:noWrap/>
            <w:vAlign w:val="bottom"/>
            <w:hideMark/>
          </w:tcPr>
          <w:p w:rsidR="003A608E" w:rsidRPr="00F44B38" w:rsidRDefault="003A608E">
            <w:pPr>
              <w:rPr>
                <w:color w:val="000000"/>
                <w:sz w:val="24"/>
              </w:rPr>
            </w:pPr>
          </w:p>
        </w:tc>
        <w:tc>
          <w:tcPr>
            <w:tcW w:w="1412" w:type="dxa"/>
            <w:gridSpan w:val="3"/>
            <w:tcBorders>
              <w:top w:val="single" w:sz="4" w:space="0" w:color="auto"/>
              <w:left w:val="nil"/>
              <w:bottom w:val="nil"/>
              <w:right w:val="nil"/>
            </w:tcBorders>
            <w:shd w:val="clear" w:color="auto" w:fill="auto"/>
            <w:noWrap/>
            <w:vAlign w:val="bottom"/>
            <w:hideMark/>
          </w:tcPr>
          <w:p w:rsidR="003A608E" w:rsidRPr="00F44B38" w:rsidRDefault="003A608E">
            <w:pPr>
              <w:rPr>
                <w:color w:val="000000"/>
                <w:sz w:val="24"/>
              </w:rPr>
            </w:pPr>
          </w:p>
        </w:tc>
      </w:tr>
      <w:tr w:rsidR="003A608E" w:rsidRPr="00F44B38" w:rsidTr="005F5B44">
        <w:trPr>
          <w:gridAfter w:val="2"/>
          <w:wAfter w:w="151" w:type="dxa"/>
          <w:trHeight w:val="1260"/>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294" w:type="dxa"/>
            <w:gridSpan w:val="2"/>
            <w:tcBorders>
              <w:top w:val="nil"/>
              <w:left w:val="nil"/>
              <w:bottom w:val="nil"/>
              <w:right w:val="nil"/>
            </w:tcBorders>
            <w:shd w:val="clear" w:color="auto" w:fill="auto"/>
            <w:vAlign w:val="bottom"/>
            <w:hideMark/>
          </w:tcPr>
          <w:p w:rsidR="003A608E" w:rsidRPr="00F44B38" w:rsidRDefault="003A608E">
            <w:pPr>
              <w:jc w:val="center"/>
              <w:rPr>
                <w:color w:val="000000"/>
                <w:sz w:val="24"/>
              </w:rPr>
            </w:pPr>
            <w:r w:rsidRPr="00F44B38">
              <w:rPr>
                <w:color w:val="000000"/>
                <w:sz w:val="24"/>
              </w:rPr>
              <w:t>Time per Response</w:t>
            </w:r>
          </w:p>
        </w:tc>
        <w:tc>
          <w:tcPr>
            <w:tcW w:w="1229" w:type="dxa"/>
            <w:gridSpan w:val="3"/>
            <w:tcBorders>
              <w:top w:val="nil"/>
              <w:left w:val="nil"/>
              <w:bottom w:val="nil"/>
              <w:right w:val="nil"/>
            </w:tcBorders>
            <w:shd w:val="clear" w:color="auto" w:fill="auto"/>
            <w:vAlign w:val="bottom"/>
            <w:hideMark/>
          </w:tcPr>
          <w:p w:rsidR="003A608E" w:rsidRPr="00F44B38" w:rsidRDefault="003A608E">
            <w:pPr>
              <w:jc w:val="center"/>
              <w:rPr>
                <w:color w:val="000000"/>
                <w:sz w:val="24"/>
              </w:rPr>
            </w:pPr>
            <w:r w:rsidRPr="00F44B38">
              <w:rPr>
                <w:color w:val="000000"/>
                <w:sz w:val="24"/>
              </w:rPr>
              <w:t>Number of Interviews</w:t>
            </w:r>
          </w:p>
        </w:tc>
        <w:tc>
          <w:tcPr>
            <w:tcW w:w="1542" w:type="dxa"/>
            <w:gridSpan w:val="3"/>
            <w:tcBorders>
              <w:top w:val="nil"/>
              <w:left w:val="nil"/>
              <w:bottom w:val="nil"/>
              <w:right w:val="nil"/>
            </w:tcBorders>
            <w:shd w:val="clear" w:color="auto" w:fill="auto"/>
            <w:vAlign w:val="bottom"/>
            <w:hideMark/>
          </w:tcPr>
          <w:p w:rsidR="003A608E" w:rsidRPr="00F44B38" w:rsidRDefault="003A608E">
            <w:pPr>
              <w:jc w:val="center"/>
              <w:rPr>
                <w:color w:val="000000"/>
                <w:sz w:val="24"/>
              </w:rPr>
            </w:pPr>
            <w:r w:rsidRPr="00F44B38">
              <w:rPr>
                <w:color w:val="000000"/>
                <w:sz w:val="24"/>
              </w:rPr>
              <w:t>Expected Number of Completed Per Round</w:t>
            </w:r>
          </w:p>
        </w:tc>
        <w:tc>
          <w:tcPr>
            <w:tcW w:w="1439" w:type="dxa"/>
            <w:gridSpan w:val="3"/>
            <w:tcBorders>
              <w:top w:val="nil"/>
              <w:left w:val="nil"/>
              <w:bottom w:val="nil"/>
              <w:right w:val="nil"/>
            </w:tcBorders>
            <w:shd w:val="clear" w:color="auto" w:fill="auto"/>
            <w:vAlign w:val="bottom"/>
            <w:hideMark/>
          </w:tcPr>
          <w:p w:rsidR="003A608E" w:rsidRPr="00F44B38" w:rsidRDefault="003A608E">
            <w:pPr>
              <w:jc w:val="center"/>
              <w:rPr>
                <w:color w:val="000000"/>
                <w:sz w:val="24"/>
              </w:rPr>
            </w:pPr>
            <w:r w:rsidRPr="00F44B38">
              <w:rPr>
                <w:color w:val="000000"/>
                <w:sz w:val="24"/>
              </w:rPr>
              <w:t>Burden Hours</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rsidP="000B5221">
            <w:pPr>
              <w:rPr>
                <w:b/>
                <w:bCs/>
                <w:color w:val="000000"/>
                <w:sz w:val="24"/>
              </w:rPr>
            </w:pPr>
            <w:r w:rsidRPr="00F44B38">
              <w:rPr>
                <w:b/>
                <w:bCs/>
                <w:color w:val="000000"/>
                <w:sz w:val="24"/>
              </w:rPr>
              <w:t xml:space="preserve">Community Rounds </w:t>
            </w:r>
            <w:r w:rsidR="000B5221">
              <w:rPr>
                <w:b/>
                <w:bCs/>
                <w:color w:val="000000"/>
                <w:sz w:val="24"/>
              </w:rPr>
              <w:t>6</w:t>
            </w:r>
            <w:r w:rsidRPr="00F44B38">
              <w:rPr>
                <w:b/>
                <w:bCs/>
                <w:color w:val="000000"/>
                <w:sz w:val="24"/>
              </w:rPr>
              <w:t>8-</w:t>
            </w:r>
            <w:r w:rsidR="000B5221">
              <w:rPr>
                <w:b/>
                <w:bCs/>
                <w:color w:val="000000"/>
                <w:sz w:val="24"/>
              </w:rPr>
              <w:t>7</w:t>
            </w:r>
            <w:r w:rsidRPr="00F44B38">
              <w:rPr>
                <w:b/>
                <w:bCs/>
                <w:color w:val="000000"/>
                <w:sz w:val="24"/>
              </w:rPr>
              <w:t>0</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229"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542"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439"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-Fall Rd Supplemental Interview</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1.0 hour</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5,250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5,250</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-Fall Round Continuing Interview</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 hour</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9,250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13,875</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-Winter Round Interview</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 hour</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13,900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18,900</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-Summer Round Exit Interview</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 minutes</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3,000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750</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pPr>
              <w:rPr>
                <w:color w:val="000000"/>
                <w:sz w:val="24"/>
              </w:rPr>
            </w:pPr>
            <w:r w:rsidRPr="00F44B38">
              <w:rPr>
                <w:color w:val="000000"/>
                <w:sz w:val="24"/>
              </w:rPr>
              <w:t>-Summer Rd Continuing Interview</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 hour</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10,600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15,900</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rsidP="00C402C5">
            <w:pPr>
              <w:rPr>
                <w:b/>
                <w:bCs/>
                <w:color w:val="000000"/>
                <w:sz w:val="24"/>
              </w:rPr>
            </w:pPr>
            <w:r w:rsidRPr="00F44B38">
              <w:rPr>
                <w:b/>
                <w:bCs/>
                <w:color w:val="000000"/>
                <w:sz w:val="24"/>
              </w:rPr>
              <w:t xml:space="preserve">Validation per </w:t>
            </w:r>
            <w:r w:rsidR="00C402C5">
              <w:rPr>
                <w:b/>
                <w:bCs/>
                <w:color w:val="000000"/>
                <w:sz w:val="24"/>
              </w:rPr>
              <w:t>10</w:t>
            </w:r>
            <w:r w:rsidRPr="00F44B38">
              <w:rPr>
                <w:b/>
                <w:bCs/>
                <w:color w:val="000000"/>
                <w:sz w:val="24"/>
              </w:rPr>
              <w:t>% of Population</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10 minutes</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3</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1,550</w:t>
            </w: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775</w:t>
            </w:r>
          </w:p>
        </w:tc>
      </w:tr>
      <w:tr w:rsidR="003A608E" w:rsidRPr="00F44B38" w:rsidTr="005F5B44">
        <w:trPr>
          <w:gridAfter w:val="2"/>
          <w:wAfter w:w="151" w:type="dxa"/>
          <w:trHeight w:val="315"/>
        </w:trPr>
        <w:tc>
          <w:tcPr>
            <w:tcW w:w="3972" w:type="dxa"/>
            <w:tcBorders>
              <w:top w:val="nil"/>
              <w:left w:val="nil"/>
              <w:bottom w:val="nil"/>
              <w:right w:val="nil"/>
            </w:tcBorders>
            <w:shd w:val="clear" w:color="auto" w:fill="auto"/>
            <w:noWrap/>
            <w:vAlign w:val="bottom"/>
            <w:hideMark/>
          </w:tcPr>
          <w:p w:rsidR="003A608E" w:rsidRPr="00F44B38" w:rsidRDefault="003A608E" w:rsidP="000B5221">
            <w:pPr>
              <w:rPr>
                <w:b/>
                <w:bCs/>
                <w:color w:val="000000"/>
                <w:sz w:val="24"/>
              </w:rPr>
            </w:pPr>
            <w:r w:rsidRPr="00F44B38">
              <w:rPr>
                <w:b/>
                <w:bCs/>
                <w:color w:val="000000"/>
                <w:sz w:val="24"/>
              </w:rPr>
              <w:t xml:space="preserve">Facility Rounds </w:t>
            </w:r>
            <w:r w:rsidR="000B5221">
              <w:rPr>
                <w:b/>
                <w:bCs/>
                <w:color w:val="000000"/>
                <w:sz w:val="24"/>
              </w:rPr>
              <w:t>68</w:t>
            </w:r>
            <w:r w:rsidRPr="00F44B38">
              <w:rPr>
                <w:b/>
                <w:bCs/>
                <w:color w:val="000000"/>
                <w:sz w:val="24"/>
              </w:rPr>
              <w:t>-</w:t>
            </w:r>
            <w:r w:rsidR="000B5221">
              <w:rPr>
                <w:b/>
                <w:bCs/>
                <w:color w:val="000000"/>
                <w:sz w:val="24"/>
              </w:rPr>
              <w:t>70</w:t>
            </w:r>
          </w:p>
        </w:tc>
        <w:tc>
          <w:tcPr>
            <w:tcW w:w="1294"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1.0 hour</w:t>
            </w:r>
          </w:p>
        </w:tc>
        <w:tc>
          <w:tcPr>
            <w:tcW w:w="122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3</w:t>
            </w:r>
          </w:p>
        </w:tc>
        <w:tc>
          <w:tcPr>
            <w:tcW w:w="1542"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1,000</w:t>
            </w:r>
          </w:p>
        </w:tc>
        <w:tc>
          <w:tcPr>
            <w:tcW w:w="1439" w:type="dxa"/>
            <w:gridSpan w:val="3"/>
            <w:tcBorders>
              <w:top w:val="nil"/>
              <w:left w:val="nil"/>
              <w:bottom w:val="single" w:sz="4" w:space="0" w:color="auto"/>
              <w:right w:val="nil"/>
            </w:tcBorders>
            <w:shd w:val="clear" w:color="auto" w:fill="auto"/>
            <w:noWrap/>
            <w:vAlign w:val="bottom"/>
            <w:hideMark/>
          </w:tcPr>
          <w:p w:rsidR="003A608E" w:rsidRPr="00F44B38" w:rsidRDefault="00F44B38">
            <w:pPr>
              <w:jc w:val="center"/>
              <w:rPr>
                <w:color w:val="000000"/>
                <w:sz w:val="24"/>
              </w:rPr>
            </w:pPr>
            <w:r>
              <w:rPr>
                <w:color w:val="000000"/>
                <w:sz w:val="24"/>
              </w:rPr>
              <w:t>3</w:t>
            </w:r>
            <w:r w:rsidR="003A608E" w:rsidRPr="00F44B38">
              <w:rPr>
                <w:color w:val="000000"/>
                <w:sz w:val="24"/>
              </w:rPr>
              <w:t>,000</w:t>
            </w:r>
          </w:p>
        </w:tc>
      </w:tr>
      <w:tr w:rsidR="00F44B38" w:rsidRPr="00F44B38" w:rsidTr="005F5B44">
        <w:trPr>
          <w:gridAfter w:val="1"/>
          <w:wAfter w:w="77" w:type="dxa"/>
          <w:trHeight w:val="315"/>
        </w:trPr>
        <w:tc>
          <w:tcPr>
            <w:tcW w:w="4584" w:type="dxa"/>
            <w:gridSpan w:val="2"/>
            <w:tcBorders>
              <w:top w:val="nil"/>
              <w:left w:val="nil"/>
              <w:bottom w:val="nil"/>
              <w:right w:val="nil"/>
            </w:tcBorders>
            <w:shd w:val="clear" w:color="auto" w:fill="auto"/>
            <w:noWrap/>
            <w:vAlign w:val="bottom"/>
          </w:tcPr>
          <w:p w:rsidR="00F44B38" w:rsidRPr="00F44B38" w:rsidRDefault="00F44B38">
            <w:pPr>
              <w:rPr>
                <w:b/>
                <w:bCs/>
                <w:color w:val="000000"/>
                <w:sz w:val="24"/>
              </w:rPr>
            </w:pPr>
          </w:p>
        </w:tc>
        <w:tc>
          <w:tcPr>
            <w:tcW w:w="1177" w:type="dxa"/>
            <w:gridSpan w:val="3"/>
            <w:tcBorders>
              <w:top w:val="nil"/>
              <w:left w:val="nil"/>
              <w:bottom w:val="nil"/>
              <w:right w:val="nil"/>
            </w:tcBorders>
            <w:shd w:val="clear" w:color="auto" w:fill="auto"/>
            <w:noWrap/>
            <w:vAlign w:val="bottom"/>
          </w:tcPr>
          <w:p w:rsidR="00F44B38" w:rsidRPr="00F44B38" w:rsidRDefault="00F44B38">
            <w:pPr>
              <w:jc w:val="center"/>
              <w:rPr>
                <w:color w:val="000000"/>
                <w:sz w:val="24"/>
              </w:rPr>
            </w:pPr>
          </w:p>
        </w:tc>
        <w:tc>
          <w:tcPr>
            <w:tcW w:w="1217" w:type="dxa"/>
            <w:gridSpan w:val="3"/>
            <w:tcBorders>
              <w:top w:val="nil"/>
              <w:left w:val="nil"/>
              <w:bottom w:val="nil"/>
              <w:right w:val="nil"/>
            </w:tcBorders>
            <w:shd w:val="clear" w:color="auto" w:fill="auto"/>
            <w:noWrap/>
            <w:vAlign w:val="bottom"/>
          </w:tcPr>
          <w:p w:rsidR="00F44B38" w:rsidRPr="00F44B38" w:rsidRDefault="00F44B38">
            <w:pPr>
              <w:jc w:val="center"/>
              <w:rPr>
                <w:color w:val="000000"/>
                <w:sz w:val="24"/>
              </w:rPr>
            </w:pPr>
          </w:p>
        </w:tc>
        <w:tc>
          <w:tcPr>
            <w:tcW w:w="1133" w:type="dxa"/>
            <w:gridSpan w:val="2"/>
            <w:tcBorders>
              <w:top w:val="nil"/>
              <w:left w:val="nil"/>
              <w:bottom w:val="nil"/>
              <w:right w:val="nil"/>
            </w:tcBorders>
            <w:shd w:val="clear" w:color="auto" w:fill="auto"/>
            <w:noWrap/>
            <w:vAlign w:val="bottom"/>
          </w:tcPr>
          <w:p w:rsidR="00F44B38" w:rsidRPr="00F44B38" w:rsidRDefault="00F44B38">
            <w:pPr>
              <w:jc w:val="center"/>
              <w:rPr>
                <w:color w:val="000000"/>
                <w:sz w:val="24"/>
              </w:rPr>
            </w:pPr>
          </w:p>
        </w:tc>
        <w:tc>
          <w:tcPr>
            <w:tcW w:w="1439" w:type="dxa"/>
            <w:gridSpan w:val="3"/>
            <w:tcBorders>
              <w:top w:val="nil"/>
              <w:left w:val="nil"/>
              <w:bottom w:val="nil"/>
              <w:right w:val="nil"/>
            </w:tcBorders>
            <w:shd w:val="clear" w:color="auto" w:fill="auto"/>
            <w:noWrap/>
            <w:vAlign w:val="bottom"/>
          </w:tcPr>
          <w:p w:rsidR="00F44B38" w:rsidRPr="00F44B38" w:rsidRDefault="00F44B38">
            <w:pPr>
              <w:jc w:val="center"/>
              <w:rPr>
                <w:color w:val="000000"/>
                <w:sz w:val="24"/>
              </w:rPr>
            </w:pPr>
          </w:p>
        </w:tc>
      </w:tr>
      <w:tr w:rsidR="003A608E" w:rsidRPr="00F44B38" w:rsidTr="005F5B44">
        <w:trPr>
          <w:gridAfter w:val="1"/>
          <w:wAfter w:w="77" w:type="dxa"/>
          <w:trHeight w:val="315"/>
        </w:trPr>
        <w:tc>
          <w:tcPr>
            <w:tcW w:w="4584" w:type="dxa"/>
            <w:gridSpan w:val="2"/>
            <w:tcBorders>
              <w:top w:val="nil"/>
              <w:left w:val="nil"/>
              <w:bottom w:val="nil"/>
              <w:right w:val="nil"/>
            </w:tcBorders>
            <w:shd w:val="clear" w:color="auto" w:fill="auto"/>
            <w:noWrap/>
            <w:vAlign w:val="bottom"/>
            <w:hideMark/>
          </w:tcPr>
          <w:p w:rsidR="003A608E" w:rsidRPr="00F44B38" w:rsidRDefault="003A608E">
            <w:pPr>
              <w:rPr>
                <w:b/>
                <w:bCs/>
                <w:color w:val="000000"/>
                <w:sz w:val="24"/>
              </w:rPr>
            </w:pPr>
            <w:r w:rsidRPr="00F44B38">
              <w:rPr>
                <w:b/>
                <w:bCs/>
                <w:color w:val="000000"/>
                <w:sz w:val="24"/>
              </w:rPr>
              <w:t>Total Annual</w:t>
            </w:r>
            <w:r w:rsidR="00C45E13">
              <w:rPr>
                <w:b/>
                <w:bCs/>
                <w:color w:val="000000"/>
                <w:sz w:val="24"/>
              </w:rPr>
              <w:t xml:space="preserve"> Hours</w:t>
            </w:r>
          </w:p>
        </w:tc>
        <w:tc>
          <w:tcPr>
            <w:tcW w:w="1177"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217"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133"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439" w:type="dxa"/>
            <w:gridSpan w:val="3"/>
            <w:tcBorders>
              <w:top w:val="nil"/>
              <w:left w:val="nil"/>
              <w:bottom w:val="nil"/>
              <w:right w:val="nil"/>
            </w:tcBorders>
            <w:shd w:val="clear" w:color="auto" w:fill="auto"/>
            <w:noWrap/>
            <w:vAlign w:val="bottom"/>
            <w:hideMark/>
          </w:tcPr>
          <w:p w:rsidR="003A608E" w:rsidRPr="00F44B38" w:rsidRDefault="003A608E" w:rsidP="00F44B38">
            <w:pPr>
              <w:jc w:val="center"/>
              <w:rPr>
                <w:color w:val="000000"/>
                <w:sz w:val="24"/>
              </w:rPr>
            </w:pPr>
            <w:r w:rsidRPr="00F44B38">
              <w:rPr>
                <w:color w:val="000000"/>
                <w:sz w:val="24"/>
              </w:rPr>
              <w:t>5</w:t>
            </w:r>
            <w:r w:rsidR="00F44B38">
              <w:rPr>
                <w:color w:val="000000"/>
                <w:sz w:val="24"/>
              </w:rPr>
              <w:t>8</w:t>
            </w:r>
            <w:r w:rsidRPr="00F44B38">
              <w:rPr>
                <w:color w:val="000000"/>
                <w:sz w:val="24"/>
              </w:rPr>
              <w:t>,450</w:t>
            </w:r>
          </w:p>
        </w:tc>
      </w:tr>
      <w:tr w:rsidR="003A608E" w:rsidRPr="00F44B38" w:rsidTr="005F5B44">
        <w:trPr>
          <w:gridAfter w:val="2"/>
          <w:wAfter w:w="156" w:type="dxa"/>
          <w:trHeight w:val="315"/>
        </w:trPr>
        <w:tc>
          <w:tcPr>
            <w:tcW w:w="4584" w:type="dxa"/>
            <w:gridSpan w:val="2"/>
            <w:tcBorders>
              <w:top w:val="nil"/>
              <w:left w:val="nil"/>
              <w:bottom w:val="nil"/>
              <w:right w:val="nil"/>
            </w:tcBorders>
            <w:shd w:val="clear" w:color="auto" w:fill="auto"/>
            <w:noWrap/>
            <w:vAlign w:val="bottom"/>
          </w:tcPr>
          <w:p w:rsidR="00C45E13" w:rsidRPr="00F44B38" w:rsidRDefault="00C45E13" w:rsidP="00C45E13">
            <w:pPr>
              <w:rPr>
                <w:color w:val="000000"/>
                <w:sz w:val="24"/>
              </w:rPr>
            </w:pPr>
          </w:p>
        </w:tc>
        <w:tc>
          <w:tcPr>
            <w:tcW w:w="1098" w:type="dxa"/>
            <w:gridSpan w:val="2"/>
            <w:tcBorders>
              <w:top w:val="nil"/>
              <w:left w:val="nil"/>
              <w:bottom w:val="nil"/>
              <w:right w:val="nil"/>
            </w:tcBorders>
            <w:shd w:val="clear" w:color="auto" w:fill="auto"/>
            <w:noWrap/>
            <w:vAlign w:val="bottom"/>
            <w:hideMark/>
          </w:tcPr>
          <w:p w:rsidR="003A608E" w:rsidRPr="00F44B38" w:rsidRDefault="003A608E" w:rsidP="000F3E92">
            <w:pPr>
              <w:rPr>
                <w:color w:val="000000"/>
                <w:sz w:val="24"/>
              </w:rPr>
            </w:pPr>
          </w:p>
        </w:tc>
        <w:tc>
          <w:tcPr>
            <w:tcW w:w="1217"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133"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r>
      <w:tr w:rsidR="003A608E" w:rsidRPr="00F44B38" w:rsidTr="005F5B44">
        <w:trPr>
          <w:gridAfter w:val="1"/>
          <w:wAfter w:w="77" w:type="dxa"/>
          <w:trHeight w:val="315"/>
        </w:trPr>
        <w:tc>
          <w:tcPr>
            <w:tcW w:w="4584" w:type="dxa"/>
            <w:gridSpan w:val="2"/>
            <w:tcBorders>
              <w:top w:val="nil"/>
              <w:left w:val="nil"/>
              <w:bottom w:val="nil"/>
              <w:right w:val="nil"/>
            </w:tcBorders>
            <w:shd w:val="clear" w:color="auto" w:fill="auto"/>
            <w:noWrap/>
            <w:vAlign w:val="bottom"/>
            <w:hideMark/>
          </w:tcPr>
          <w:p w:rsidR="003A608E" w:rsidRPr="00F44B38" w:rsidRDefault="003A608E" w:rsidP="00D2216A">
            <w:pPr>
              <w:rPr>
                <w:b/>
                <w:bCs/>
                <w:color w:val="000000"/>
                <w:sz w:val="24"/>
              </w:rPr>
            </w:pPr>
            <w:r w:rsidRPr="00F44B38">
              <w:rPr>
                <w:b/>
                <w:bCs/>
                <w:color w:val="000000"/>
                <w:sz w:val="24"/>
              </w:rPr>
              <w:t>Total</w:t>
            </w:r>
            <w:r w:rsidR="00C45E13">
              <w:rPr>
                <w:b/>
                <w:bCs/>
                <w:color w:val="000000"/>
                <w:sz w:val="24"/>
              </w:rPr>
              <w:t xml:space="preserve"> </w:t>
            </w:r>
            <w:r w:rsidRPr="00F44B38">
              <w:rPr>
                <w:b/>
                <w:bCs/>
                <w:color w:val="000000"/>
                <w:sz w:val="24"/>
              </w:rPr>
              <w:t xml:space="preserve">Estimate </w:t>
            </w:r>
            <w:r w:rsidR="00D2216A">
              <w:rPr>
                <w:b/>
                <w:bCs/>
                <w:color w:val="000000"/>
                <w:sz w:val="24"/>
              </w:rPr>
              <w:t xml:space="preserve">– </w:t>
            </w:r>
            <w:r w:rsidRPr="000F3E92">
              <w:rPr>
                <w:bCs/>
                <w:color w:val="000000"/>
                <w:sz w:val="24"/>
              </w:rPr>
              <w:t>Rounds</w:t>
            </w:r>
            <w:r w:rsidR="00D2216A">
              <w:rPr>
                <w:bCs/>
                <w:color w:val="000000"/>
                <w:sz w:val="24"/>
              </w:rPr>
              <w:t xml:space="preserve"> </w:t>
            </w:r>
            <w:r w:rsidR="000B03D7" w:rsidRPr="000F3E92">
              <w:rPr>
                <w:bCs/>
                <w:color w:val="000000"/>
                <w:sz w:val="24"/>
              </w:rPr>
              <w:t>68</w:t>
            </w:r>
            <w:r w:rsidRPr="000F3E92">
              <w:rPr>
                <w:bCs/>
                <w:color w:val="000000"/>
                <w:sz w:val="24"/>
              </w:rPr>
              <w:t>-</w:t>
            </w:r>
            <w:r w:rsidR="000B03D7" w:rsidRPr="000F3E92">
              <w:rPr>
                <w:bCs/>
                <w:color w:val="000000"/>
                <w:sz w:val="24"/>
              </w:rPr>
              <w:t>76</w:t>
            </w:r>
            <w:r w:rsidRPr="000F3E92">
              <w:rPr>
                <w:bCs/>
                <w:color w:val="000000"/>
                <w:sz w:val="24"/>
              </w:rPr>
              <w:t xml:space="preserve"> </w:t>
            </w:r>
            <w:r w:rsidR="00D2216A">
              <w:rPr>
                <w:bCs/>
                <w:color w:val="000000"/>
                <w:sz w:val="24"/>
              </w:rPr>
              <w:t>(</w:t>
            </w:r>
            <w:r w:rsidRPr="000F3E92">
              <w:rPr>
                <w:bCs/>
                <w:color w:val="000000"/>
                <w:sz w:val="24"/>
              </w:rPr>
              <w:t>3 Years)</w:t>
            </w:r>
          </w:p>
        </w:tc>
        <w:tc>
          <w:tcPr>
            <w:tcW w:w="1177"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217"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133" w:type="dxa"/>
            <w:gridSpan w:val="2"/>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p>
        </w:tc>
        <w:tc>
          <w:tcPr>
            <w:tcW w:w="1439" w:type="dxa"/>
            <w:gridSpan w:val="3"/>
            <w:tcBorders>
              <w:top w:val="nil"/>
              <w:left w:val="nil"/>
              <w:bottom w:val="nil"/>
              <w:right w:val="nil"/>
            </w:tcBorders>
            <w:shd w:val="clear" w:color="auto" w:fill="auto"/>
            <w:noWrap/>
            <w:vAlign w:val="bottom"/>
            <w:hideMark/>
          </w:tcPr>
          <w:p w:rsidR="003A608E" w:rsidRPr="00F44B38" w:rsidRDefault="003A608E">
            <w:pPr>
              <w:jc w:val="center"/>
              <w:rPr>
                <w:color w:val="000000"/>
                <w:sz w:val="24"/>
              </w:rPr>
            </w:pPr>
            <w:r w:rsidRPr="00F44B38">
              <w:rPr>
                <w:color w:val="000000"/>
                <w:sz w:val="24"/>
              </w:rPr>
              <w:t>172,350</w:t>
            </w:r>
          </w:p>
        </w:tc>
      </w:tr>
      <w:tr w:rsidR="003A608E" w:rsidRPr="00F44B38" w:rsidTr="005F5B44">
        <w:trPr>
          <w:trHeight w:val="315"/>
        </w:trPr>
        <w:tc>
          <w:tcPr>
            <w:tcW w:w="4584" w:type="dxa"/>
            <w:gridSpan w:val="2"/>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177"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217"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237"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c>
          <w:tcPr>
            <w:tcW w:w="1412" w:type="dxa"/>
            <w:gridSpan w:val="3"/>
            <w:tcBorders>
              <w:top w:val="nil"/>
              <w:left w:val="nil"/>
              <w:bottom w:val="nil"/>
              <w:right w:val="nil"/>
            </w:tcBorders>
            <w:shd w:val="clear" w:color="auto" w:fill="auto"/>
            <w:noWrap/>
            <w:vAlign w:val="bottom"/>
            <w:hideMark/>
          </w:tcPr>
          <w:p w:rsidR="003A608E" w:rsidRPr="00F44B38" w:rsidRDefault="003A608E">
            <w:pPr>
              <w:rPr>
                <w:color w:val="000000"/>
                <w:sz w:val="24"/>
              </w:rPr>
            </w:pPr>
          </w:p>
        </w:tc>
      </w:tr>
      <w:tr w:rsidR="003A608E" w:rsidRPr="00F44B38" w:rsidTr="00C45E13">
        <w:trPr>
          <w:trHeight w:val="315"/>
        </w:trPr>
        <w:tc>
          <w:tcPr>
            <w:tcW w:w="9627" w:type="dxa"/>
            <w:gridSpan w:val="14"/>
            <w:tcBorders>
              <w:top w:val="nil"/>
              <w:left w:val="nil"/>
              <w:bottom w:val="single" w:sz="4" w:space="0" w:color="auto"/>
              <w:right w:val="nil"/>
            </w:tcBorders>
            <w:shd w:val="clear" w:color="auto" w:fill="auto"/>
            <w:noWrap/>
            <w:hideMark/>
          </w:tcPr>
          <w:p w:rsidR="003A608E" w:rsidRPr="00F44B38" w:rsidRDefault="003A608E" w:rsidP="000B03D7">
            <w:pPr>
              <w:rPr>
                <w:sz w:val="24"/>
              </w:rPr>
            </w:pPr>
            <w:r w:rsidRPr="00F44B38">
              <w:rPr>
                <w:sz w:val="24"/>
              </w:rPr>
              <w:t xml:space="preserve">Note: 1. During the Winter Round interview the Round </w:t>
            </w:r>
            <w:r w:rsidR="000B03D7">
              <w:rPr>
                <w:sz w:val="24"/>
              </w:rPr>
              <w:t>67</w:t>
            </w:r>
            <w:r w:rsidRPr="00F44B38">
              <w:rPr>
                <w:sz w:val="24"/>
              </w:rPr>
              <w:t xml:space="preserve"> supplemental panel and the Round 6</w:t>
            </w:r>
            <w:r w:rsidR="000B03D7">
              <w:rPr>
                <w:sz w:val="24"/>
              </w:rPr>
              <w:t>9</w:t>
            </w:r>
            <w:r w:rsidRPr="00F44B38">
              <w:rPr>
                <w:sz w:val="24"/>
              </w:rPr>
              <w:t xml:space="preserve"> exiting panel time per response is 1.25. This is a result of a utilization start and end point that deviates from the standard Continuing Interview reference point. The regular reference point is from the last interview. The Round </w:t>
            </w:r>
            <w:r w:rsidR="000B03D7">
              <w:rPr>
                <w:sz w:val="24"/>
              </w:rPr>
              <w:t>67</w:t>
            </w:r>
            <w:r w:rsidRPr="00F44B38">
              <w:rPr>
                <w:sz w:val="24"/>
              </w:rPr>
              <w:t xml:space="preserve"> supplemental </w:t>
            </w:r>
            <w:r w:rsidRPr="00D31F71">
              <w:rPr>
                <w:sz w:val="24"/>
              </w:rPr>
              <w:t>panel (4,800 completes) use January 1 as the start date in the Winter Round. The Round 6</w:t>
            </w:r>
            <w:r w:rsidR="000B03D7" w:rsidRPr="00D31F71">
              <w:rPr>
                <w:sz w:val="24"/>
              </w:rPr>
              <w:t>9</w:t>
            </w:r>
            <w:r w:rsidRPr="00D31F71">
              <w:rPr>
                <w:sz w:val="24"/>
              </w:rPr>
              <w:t xml:space="preserve"> exiting panel (3,000 completes) use</w:t>
            </w:r>
            <w:r w:rsidRPr="00F44B38">
              <w:rPr>
                <w:sz w:val="24"/>
              </w:rPr>
              <w:t xml:space="preserve"> December 31 as the end date in the Winter Round. </w:t>
            </w:r>
          </w:p>
        </w:tc>
      </w:tr>
    </w:tbl>
    <w:p w:rsidR="00B26237" w:rsidRDefault="00B262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E92" w:rsidRDefault="005F5B44"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 MCBS oversamples both the under 65 and the 85 and over populations.  Consequently, t</w:t>
      </w:r>
      <w:r w:rsidR="00D2216A">
        <w:rPr>
          <w:sz w:val="24"/>
        </w:rPr>
        <w:t xml:space="preserve">he U.S. </w:t>
      </w:r>
      <w:r w:rsidR="000F3E92">
        <w:rPr>
          <w:sz w:val="24"/>
        </w:rPr>
        <w:t xml:space="preserve">minimum wage </w:t>
      </w:r>
      <w:r>
        <w:rPr>
          <w:sz w:val="24"/>
        </w:rPr>
        <w:t>(</w:t>
      </w:r>
      <w:r w:rsidR="00D2216A">
        <w:rPr>
          <w:sz w:val="24"/>
        </w:rPr>
        <w:t>$7.25 for 2013</w:t>
      </w:r>
      <w:r>
        <w:rPr>
          <w:sz w:val="24"/>
        </w:rPr>
        <w:t>) was multiplied to the</w:t>
      </w:r>
      <w:r w:rsidR="00D2216A">
        <w:rPr>
          <w:sz w:val="24"/>
        </w:rPr>
        <w:t xml:space="preserve"> Total Annual Hours for </w:t>
      </w:r>
      <w:r w:rsidR="00D2216A">
        <w:rPr>
          <w:sz w:val="24"/>
        </w:rPr>
        <w:lastRenderedPageBreak/>
        <w:t xml:space="preserve">Rounds 68-70 </w:t>
      </w:r>
      <w:r>
        <w:rPr>
          <w:sz w:val="24"/>
        </w:rPr>
        <w:t>(</w:t>
      </w:r>
      <w:r w:rsidR="00D2216A">
        <w:rPr>
          <w:sz w:val="24"/>
        </w:rPr>
        <w:t>58,450</w:t>
      </w:r>
      <w:r>
        <w:rPr>
          <w:sz w:val="24"/>
        </w:rPr>
        <w:t>)</w:t>
      </w:r>
      <w:r w:rsidR="00AD6616">
        <w:rPr>
          <w:sz w:val="24"/>
        </w:rPr>
        <w:t xml:space="preserve"> for a </w:t>
      </w:r>
      <w:r w:rsidR="00D2216A">
        <w:rPr>
          <w:sz w:val="24"/>
        </w:rPr>
        <w:t xml:space="preserve">Total Annual Cost Burden in terms of dollars </w:t>
      </w:r>
      <w:r w:rsidR="00AD6616">
        <w:rPr>
          <w:sz w:val="24"/>
        </w:rPr>
        <w:t>of</w:t>
      </w:r>
      <w:r w:rsidR="00D2216A">
        <w:rPr>
          <w:sz w:val="24"/>
        </w:rPr>
        <w:t xml:space="preserve"> roughly $423,7</w:t>
      </w:r>
      <w:r w:rsidR="00EF3002">
        <w:rPr>
          <w:sz w:val="24"/>
        </w:rPr>
        <w:t>6</w:t>
      </w:r>
      <w:r w:rsidR="00D2216A">
        <w:rPr>
          <w:sz w:val="24"/>
        </w:rPr>
        <w:t xml:space="preserve">2.50. </w:t>
      </w:r>
      <w:r w:rsidR="00AD6616">
        <w:rPr>
          <w:sz w:val="24"/>
        </w:rPr>
        <w:t xml:space="preserve"> The minimum wage was used because of the impact created by the oversampled populations.  It is possible that the under 65 population would include minors and the 85 and over could be well below the poverty line, having spent down all assets and institutionalized.</w:t>
      </w:r>
    </w:p>
    <w:p w:rsidR="000F3E92" w:rsidRDefault="000F3E92"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F44B38" w:rsidRPr="00F44B38" w:rsidRDefault="00F44B38"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F44B38">
        <w:rPr>
          <w:sz w:val="24"/>
        </w:rPr>
        <w:t>The MCBS survey methodology is designed to reduce burden on the survey respondents in the community and facility setting. In the community setting logical skip patterns and rotating supplements limit the time per response. In the facility setting, questionnaire flow designed around likely respondents in addition to reduction in data collection rounds help reduce burden.</w:t>
      </w:r>
    </w:p>
    <w:p w:rsidR="00F44B38" w:rsidRPr="00F44B38"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44B38">
        <w:rPr>
          <w:sz w:val="24"/>
        </w:rPr>
        <w:t>13.</w:t>
      </w:r>
      <w:r w:rsidRPr="00F44B38">
        <w:rPr>
          <w:sz w:val="24"/>
        </w:rPr>
        <w:tab/>
      </w:r>
      <w:r w:rsidRPr="00F44B38">
        <w:rPr>
          <w:sz w:val="24"/>
          <w:u w:val="single"/>
        </w:rPr>
        <w:t>Capital</w:t>
      </w:r>
      <w:r>
        <w:rPr>
          <w:sz w:val="24"/>
          <w:u w:val="single"/>
        </w:rPr>
        <w:t xml:space="preserve"> Costs</w:t>
      </w:r>
    </w:p>
    <w:p w:rsidR="008F1EB4" w:rsidRPr="00F44B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rsidR="00F44B38" w:rsidRPr="00F44B38"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44B38">
        <w:rPr>
          <w:sz w:val="24"/>
        </w:rPr>
        <w:t>All costs associated with this effort are reported in Items 12 and 14.</w:t>
      </w:r>
    </w:p>
    <w:p w:rsidR="008F1EB4" w:rsidRPr="00F44B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632A3">
        <w:rPr>
          <w:sz w:val="24"/>
        </w:rPr>
        <w:t>14.</w:t>
      </w:r>
      <w:r w:rsidRPr="008632A3">
        <w:rPr>
          <w:sz w:val="24"/>
        </w:rPr>
        <w:tab/>
      </w:r>
      <w:r w:rsidRPr="008632A3">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4B38" w:rsidRPr="00C43805"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3805">
        <w:rPr>
          <w:sz w:val="24"/>
        </w:rPr>
        <w:t>The estimated cost to the government for collecting these data includes the Westat contract, and direct CMS expenses for labor and travel.</w:t>
      </w:r>
    </w:p>
    <w:p w:rsidR="00F44B38" w:rsidRPr="00C43805"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44B38" w:rsidRPr="00C43805"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3805">
        <w:rPr>
          <w:sz w:val="24"/>
        </w:rPr>
        <w:t>The estimated cost for the planning, sampling, data collection and analysis for the MCBS in each year is: (The following estimated costs per Fiscal Year are approximated amounts based on the current MCBS contract and include the cost associated with conversion from a DOS based platform to a Windows based platform.)</w:t>
      </w:r>
    </w:p>
    <w:p w:rsidR="00F44B38" w:rsidRPr="00C43805" w:rsidRDefault="00F44B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44B38" w:rsidRPr="00C43805" w:rsidRDefault="00F44B38" w:rsidP="00F44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43805">
        <w:rPr>
          <w:sz w:val="24"/>
        </w:rPr>
        <w:t>FY 201</w:t>
      </w:r>
      <w:r w:rsidR="00025A28">
        <w:rPr>
          <w:sz w:val="24"/>
        </w:rPr>
        <w:t>4</w:t>
      </w:r>
      <w:r w:rsidRPr="00C43805">
        <w:rPr>
          <w:sz w:val="24"/>
        </w:rPr>
        <w:t>: Data collection and analysis</w:t>
      </w:r>
      <w:r w:rsidRPr="00C43805">
        <w:rPr>
          <w:sz w:val="24"/>
        </w:rPr>
        <w:tab/>
        <w:t>$1</w:t>
      </w:r>
      <w:r w:rsidR="00025A28">
        <w:rPr>
          <w:sz w:val="24"/>
        </w:rPr>
        <w:t>8</w:t>
      </w:r>
      <w:r w:rsidRPr="00C43805">
        <w:rPr>
          <w:sz w:val="24"/>
        </w:rPr>
        <w:t>,</w:t>
      </w:r>
      <w:r w:rsidR="00025A28">
        <w:rPr>
          <w:sz w:val="24"/>
        </w:rPr>
        <w:t>5</w:t>
      </w:r>
      <w:r w:rsidRPr="00C43805">
        <w:rPr>
          <w:sz w:val="24"/>
        </w:rPr>
        <w:t>00,000</w:t>
      </w:r>
    </w:p>
    <w:p w:rsidR="00F44B38" w:rsidRPr="00C43805" w:rsidRDefault="00F44B38" w:rsidP="00F44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43805">
        <w:rPr>
          <w:sz w:val="24"/>
        </w:rPr>
        <w:t>FY 201</w:t>
      </w:r>
      <w:r w:rsidR="00025A28">
        <w:rPr>
          <w:sz w:val="24"/>
        </w:rPr>
        <w:t>5</w:t>
      </w:r>
      <w:r w:rsidRPr="00C43805">
        <w:rPr>
          <w:sz w:val="24"/>
        </w:rPr>
        <w:t>: Data collection and analysis</w:t>
      </w:r>
      <w:r w:rsidRPr="00C43805">
        <w:rPr>
          <w:sz w:val="24"/>
        </w:rPr>
        <w:tab/>
        <w:t>$1</w:t>
      </w:r>
      <w:r w:rsidR="00025A28">
        <w:rPr>
          <w:sz w:val="24"/>
        </w:rPr>
        <w:t>8</w:t>
      </w:r>
      <w:r w:rsidRPr="00C43805">
        <w:rPr>
          <w:sz w:val="24"/>
        </w:rPr>
        <w:t>,</w:t>
      </w:r>
      <w:r w:rsidR="00025A28">
        <w:rPr>
          <w:sz w:val="24"/>
        </w:rPr>
        <w:t>5</w:t>
      </w:r>
      <w:r w:rsidRPr="00C43805">
        <w:rPr>
          <w:sz w:val="24"/>
        </w:rPr>
        <w:t>00,000</w:t>
      </w:r>
    </w:p>
    <w:p w:rsidR="00F44B38" w:rsidRPr="00C43805" w:rsidRDefault="00F44B38" w:rsidP="00F44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C43805">
        <w:rPr>
          <w:sz w:val="24"/>
        </w:rPr>
        <w:t>FY 201</w:t>
      </w:r>
      <w:r w:rsidR="00025A28">
        <w:rPr>
          <w:sz w:val="24"/>
        </w:rPr>
        <w:t>6</w:t>
      </w:r>
      <w:r w:rsidRPr="00C43805">
        <w:rPr>
          <w:sz w:val="24"/>
        </w:rPr>
        <w:t>: Data collection and analysis</w:t>
      </w:r>
      <w:r w:rsidRPr="00C43805">
        <w:rPr>
          <w:sz w:val="24"/>
        </w:rPr>
        <w:tab/>
        <w:t>$1</w:t>
      </w:r>
      <w:r w:rsidR="00025A28">
        <w:rPr>
          <w:sz w:val="24"/>
        </w:rPr>
        <w:t>9</w:t>
      </w:r>
      <w:r w:rsidRPr="00C43805">
        <w:rPr>
          <w:sz w:val="24"/>
        </w:rPr>
        <w:t>,000,000</w:t>
      </w:r>
    </w:p>
    <w:p w:rsidR="00F44B38" w:rsidRPr="00C43805" w:rsidRDefault="00F44B38" w:rsidP="00F44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4B38" w:rsidRPr="00C43805" w:rsidRDefault="00F44B38"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These costs include all labor hours, materials and supplies, reproduction, postage, telephone charges and indirect costs.</w:t>
      </w:r>
    </w:p>
    <w:p w:rsidR="00F44B38" w:rsidRPr="00C43805" w:rsidRDefault="00F44B38"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5519D9" w:rsidRDefault="005519D9">
      <w:pPr>
        <w:widowControl/>
        <w:autoSpaceDE/>
        <w:autoSpaceDN/>
        <w:adjustRightInd/>
        <w:rPr>
          <w:sz w:val="24"/>
        </w:rPr>
      </w:pPr>
      <w:r>
        <w:rPr>
          <w:sz w:val="24"/>
        </w:rPr>
        <w:br w:type="page"/>
      </w:r>
    </w:p>
    <w:p w:rsidR="00F44B38" w:rsidRPr="00C43805" w:rsidRDefault="00F44B38" w:rsidP="00F44B38">
      <w:pPr>
        <w:pBdr>
          <w:bottom w:val="single" w:sz="12" w:space="1" w:color="auto"/>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lastRenderedPageBreak/>
        <w:t xml:space="preserve">CMS personnel involved in MCBS include approximately </w:t>
      </w:r>
      <w:r w:rsidR="008632A3">
        <w:rPr>
          <w:sz w:val="24"/>
        </w:rPr>
        <w:t>11</w:t>
      </w:r>
      <w:r w:rsidRPr="00C43805">
        <w:rPr>
          <w:sz w:val="24"/>
        </w:rPr>
        <w:t xml:space="preserve"> FTEs broken out by pay grade in Table B-14.</w:t>
      </w:r>
    </w:p>
    <w:p w:rsidR="00564D54" w:rsidRPr="00C43805" w:rsidRDefault="00564D54" w:rsidP="00F44B38">
      <w:pPr>
        <w:pBdr>
          <w:bottom w:val="single" w:sz="12" w:space="1" w:color="auto"/>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F44B38" w:rsidRPr="00C43805" w:rsidRDefault="00F44B38" w:rsidP="00564D54">
      <w:pPr>
        <w:pStyle w:val="Default"/>
        <w:ind w:left="450"/>
      </w:pPr>
      <w:r w:rsidRPr="00C43805">
        <w:t xml:space="preserve">Table B-14: CMS Personnel </w:t>
      </w:r>
    </w:p>
    <w:p w:rsidR="00F44B38" w:rsidRPr="00C43805" w:rsidRDefault="00F44B38" w:rsidP="00F44B38">
      <w:pPr>
        <w:pStyle w:val="Default"/>
      </w:pPr>
    </w:p>
    <w:tbl>
      <w:tblPr>
        <w:tblW w:w="6840" w:type="dxa"/>
        <w:tblInd w:w="558" w:type="dxa"/>
        <w:tblLook w:val="04A0" w:firstRow="1" w:lastRow="0" w:firstColumn="1" w:lastColumn="0" w:noHBand="0" w:noVBand="1"/>
      </w:tblPr>
      <w:tblGrid>
        <w:gridCol w:w="1530"/>
        <w:gridCol w:w="686"/>
        <w:gridCol w:w="2374"/>
        <w:gridCol w:w="2250"/>
      </w:tblGrid>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564D54">
            <w:pPr>
              <w:jc w:val="center"/>
              <w:rPr>
                <w:color w:val="000000"/>
                <w:sz w:val="24"/>
              </w:rPr>
            </w:pPr>
            <w:r w:rsidRPr="00C43805">
              <w:rPr>
                <w:color w:val="000000"/>
                <w:sz w:val="24"/>
              </w:rPr>
              <w:t>Grade</w:t>
            </w:r>
          </w:p>
        </w:tc>
        <w:tc>
          <w:tcPr>
            <w:tcW w:w="686" w:type="dxa"/>
            <w:tcBorders>
              <w:top w:val="nil"/>
              <w:left w:val="nil"/>
              <w:bottom w:val="nil"/>
              <w:right w:val="nil"/>
            </w:tcBorders>
            <w:shd w:val="clear" w:color="auto" w:fill="auto"/>
            <w:noWrap/>
            <w:vAlign w:val="bottom"/>
            <w:hideMark/>
          </w:tcPr>
          <w:p w:rsidR="00564D54" w:rsidRPr="00C43805" w:rsidRDefault="00564D54" w:rsidP="00564D54">
            <w:pPr>
              <w:jc w:val="center"/>
              <w:rPr>
                <w:color w:val="000000"/>
                <w:sz w:val="24"/>
              </w:rPr>
            </w:pPr>
            <w:r w:rsidRPr="00C43805">
              <w:rPr>
                <w:color w:val="000000"/>
                <w:sz w:val="24"/>
              </w:rPr>
              <w:t>FTE</w:t>
            </w:r>
          </w:p>
        </w:tc>
        <w:tc>
          <w:tcPr>
            <w:tcW w:w="2374" w:type="dxa"/>
            <w:tcBorders>
              <w:top w:val="nil"/>
              <w:left w:val="nil"/>
              <w:bottom w:val="nil"/>
              <w:right w:val="nil"/>
            </w:tcBorders>
            <w:shd w:val="clear" w:color="auto" w:fill="auto"/>
            <w:noWrap/>
            <w:vAlign w:val="bottom"/>
            <w:hideMark/>
          </w:tcPr>
          <w:p w:rsidR="00564D54" w:rsidRPr="00C43805" w:rsidRDefault="00564D54" w:rsidP="0043438D">
            <w:pPr>
              <w:jc w:val="center"/>
              <w:rPr>
                <w:color w:val="000000"/>
                <w:sz w:val="24"/>
              </w:rPr>
            </w:pPr>
            <w:r w:rsidRPr="00C43805">
              <w:rPr>
                <w:color w:val="000000"/>
                <w:sz w:val="24"/>
              </w:rPr>
              <w:t>201</w:t>
            </w:r>
            <w:r w:rsidR="0043438D">
              <w:rPr>
                <w:color w:val="000000"/>
                <w:sz w:val="24"/>
              </w:rPr>
              <w:t>3</w:t>
            </w:r>
            <w:r w:rsidRPr="00C43805">
              <w:rPr>
                <w:color w:val="000000"/>
                <w:sz w:val="24"/>
              </w:rPr>
              <w:t xml:space="preserve"> Annual Salary</w:t>
            </w:r>
          </w:p>
        </w:tc>
        <w:tc>
          <w:tcPr>
            <w:tcW w:w="2250" w:type="dxa"/>
            <w:tcBorders>
              <w:top w:val="nil"/>
              <w:left w:val="nil"/>
              <w:bottom w:val="nil"/>
              <w:right w:val="nil"/>
            </w:tcBorders>
            <w:shd w:val="clear" w:color="auto" w:fill="auto"/>
            <w:noWrap/>
            <w:vAlign w:val="bottom"/>
            <w:hideMark/>
          </w:tcPr>
          <w:p w:rsidR="00564D54" w:rsidRPr="00C43805" w:rsidRDefault="00564D54" w:rsidP="00564D54">
            <w:pPr>
              <w:jc w:val="center"/>
              <w:rPr>
                <w:color w:val="000000"/>
                <w:sz w:val="24"/>
              </w:rPr>
            </w:pPr>
            <w:r w:rsidRPr="00C43805">
              <w:rPr>
                <w:color w:val="000000"/>
                <w:sz w:val="24"/>
              </w:rPr>
              <w:t>Cost to Government</w:t>
            </w:r>
          </w:p>
        </w:tc>
      </w:tr>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GS12 step 1</w:t>
            </w:r>
          </w:p>
        </w:tc>
        <w:tc>
          <w:tcPr>
            <w:tcW w:w="686"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1.0</w:t>
            </w:r>
          </w:p>
        </w:tc>
        <w:tc>
          <w:tcPr>
            <w:tcW w:w="2374"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$74,872</w:t>
            </w:r>
          </w:p>
        </w:tc>
        <w:tc>
          <w:tcPr>
            <w:tcW w:w="225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$74,872</w:t>
            </w:r>
          </w:p>
        </w:tc>
      </w:tr>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GS13 step 6</w:t>
            </w:r>
          </w:p>
        </w:tc>
        <w:tc>
          <w:tcPr>
            <w:tcW w:w="686" w:type="dxa"/>
            <w:tcBorders>
              <w:top w:val="nil"/>
              <w:left w:val="nil"/>
              <w:bottom w:val="nil"/>
              <w:right w:val="nil"/>
            </w:tcBorders>
            <w:shd w:val="clear" w:color="auto" w:fill="auto"/>
            <w:noWrap/>
            <w:vAlign w:val="bottom"/>
            <w:hideMark/>
          </w:tcPr>
          <w:p w:rsidR="00564D54" w:rsidRPr="00C43805" w:rsidRDefault="0043438D" w:rsidP="0043438D">
            <w:pPr>
              <w:jc w:val="center"/>
              <w:rPr>
                <w:color w:val="000000"/>
                <w:sz w:val="24"/>
              </w:rPr>
            </w:pPr>
            <w:r>
              <w:rPr>
                <w:color w:val="000000"/>
                <w:sz w:val="24"/>
              </w:rPr>
              <w:t>7</w:t>
            </w:r>
            <w:r w:rsidR="00564D54" w:rsidRPr="00C43805">
              <w:rPr>
                <w:color w:val="000000"/>
                <w:sz w:val="24"/>
              </w:rPr>
              <w:t>.0</w:t>
            </w:r>
          </w:p>
        </w:tc>
        <w:tc>
          <w:tcPr>
            <w:tcW w:w="2374"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$103,872</w:t>
            </w:r>
          </w:p>
        </w:tc>
        <w:tc>
          <w:tcPr>
            <w:tcW w:w="2250" w:type="dxa"/>
            <w:tcBorders>
              <w:top w:val="nil"/>
              <w:left w:val="nil"/>
              <w:bottom w:val="nil"/>
              <w:right w:val="nil"/>
            </w:tcBorders>
            <w:shd w:val="clear" w:color="auto" w:fill="auto"/>
            <w:noWrap/>
            <w:vAlign w:val="bottom"/>
            <w:hideMark/>
          </w:tcPr>
          <w:p w:rsidR="00564D54" w:rsidRPr="00C43805" w:rsidRDefault="00564D54" w:rsidP="0043438D">
            <w:pPr>
              <w:jc w:val="center"/>
              <w:rPr>
                <w:color w:val="000000"/>
                <w:sz w:val="24"/>
              </w:rPr>
            </w:pPr>
            <w:r w:rsidRPr="00C43805">
              <w:rPr>
                <w:color w:val="000000"/>
                <w:sz w:val="24"/>
              </w:rPr>
              <w:t>$</w:t>
            </w:r>
            <w:r w:rsidR="0043438D">
              <w:rPr>
                <w:color w:val="000000"/>
                <w:sz w:val="24"/>
              </w:rPr>
              <w:t>727,104</w:t>
            </w:r>
          </w:p>
        </w:tc>
      </w:tr>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GS14 step 5</w:t>
            </w:r>
          </w:p>
        </w:tc>
        <w:tc>
          <w:tcPr>
            <w:tcW w:w="686" w:type="dxa"/>
            <w:tcBorders>
              <w:top w:val="nil"/>
              <w:left w:val="nil"/>
              <w:bottom w:val="nil"/>
              <w:right w:val="nil"/>
            </w:tcBorders>
            <w:shd w:val="clear" w:color="auto" w:fill="auto"/>
            <w:noWrap/>
            <w:vAlign w:val="bottom"/>
            <w:hideMark/>
          </w:tcPr>
          <w:p w:rsidR="00564D54" w:rsidRPr="00C43805" w:rsidRDefault="0043438D" w:rsidP="0043438D">
            <w:pPr>
              <w:jc w:val="center"/>
              <w:rPr>
                <w:color w:val="000000"/>
                <w:sz w:val="24"/>
              </w:rPr>
            </w:pPr>
            <w:r>
              <w:rPr>
                <w:color w:val="000000"/>
                <w:sz w:val="24"/>
              </w:rPr>
              <w:t>2</w:t>
            </w:r>
            <w:r w:rsidR="00564D54" w:rsidRPr="00C43805">
              <w:rPr>
                <w:color w:val="000000"/>
                <w:sz w:val="24"/>
              </w:rPr>
              <w:t>.</w:t>
            </w:r>
            <w:r>
              <w:rPr>
                <w:color w:val="000000"/>
                <w:sz w:val="24"/>
              </w:rPr>
              <w:t>0</w:t>
            </w:r>
          </w:p>
        </w:tc>
        <w:tc>
          <w:tcPr>
            <w:tcW w:w="2374"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$119,238</w:t>
            </w:r>
          </w:p>
        </w:tc>
        <w:tc>
          <w:tcPr>
            <w:tcW w:w="2250" w:type="dxa"/>
            <w:tcBorders>
              <w:top w:val="nil"/>
              <w:left w:val="nil"/>
              <w:right w:val="nil"/>
            </w:tcBorders>
            <w:shd w:val="clear" w:color="auto" w:fill="auto"/>
            <w:noWrap/>
            <w:vAlign w:val="bottom"/>
            <w:hideMark/>
          </w:tcPr>
          <w:p w:rsidR="00564D54" w:rsidRPr="00C43805" w:rsidRDefault="00564D54" w:rsidP="0043438D">
            <w:pPr>
              <w:jc w:val="center"/>
              <w:rPr>
                <w:color w:val="000000"/>
                <w:sz w:val="24"/>
              </w:rPr>
            </w:pPr>
            <w:r w:rsidRPr="00C43805">
              <w:rPr>
                <w:color w:val="000000"/>
                <w:sz w:val="24"/>
              </w:rPr>
              <w:t>$</w:t>
            </w:r>
            <w:r w:rsidR="0043438D">
              <w:rPr>
                <w:color w:val="000000"/>
                <w:sz w:val="24"/>
              </w:rPr>
              <w:t>238</w:t>
            </w:r>
            <w:r w:rsidRPr="00C43805">
              <w:rPr>
                <w:color w:val="000000"/>
                <w:sz w:val="24"/>
              </w:rPr>
              <w:t>,</w:t>
            </w:r>
            <w:r w:rsidR="0043438D">
              <w:rPr>
                <w:color w:val="000000"/>
                <w:sz w:val="24"/>
              </w:rPr>
              <w:t>476</w:t>
            </w:r>
          </w:p>
        </w:tc>
      </w:tr>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GS15 step 3</w:t>
            </w:r>
          </w:p>
        </w:tc>
        <w:tc>
          <w:tcPr>
            <w:tcW w:w="686" w:type="dxa"/>
            <w:tcBorders>
              <w:top w:val="nil"/>
              <w:left w:val="nil"/>
              <w:bottom w:val="nil"/>
              <w:right w:val="nil"/>
            </w:tcBorders>
            <w:shd w:val="clear" w:color="auto" w:fill="auto"/>
            <w:noWrap/>
            <w:vAlign w:val="bottom"/>
            <w:hideMark/>
          </w:tcPr>
          <w:p w:rsidR="00564D54" w:rsidRPr="00C43805" w:rsidRDefault="0043438D" w:rsidP="0043438D">
            <w:pPr>
              <w:jc w:val="center"/>
              <w:rPr>
                <w:color w:val="000000"/>
                <w:sz w:val="24"/>
              </w:rPr>
            </w:pPr>
            <w:r>
              <w:rPr>
                <w:color w:val="000000"/>
                <w:sz w:val="24"/>
              </w:rPr>
              <w:t>1</w:t>
            </w:r>
            <w:r w:rsidR="00564D54" w:rsidRPr="00C43805">
              <w:rPr>
                <w:color w:val="000000"/>
                <w:sz w:val="24"/>
              </w:rPr>
              <w:t>.0</w:t>
            </w:r>
          </w:p>
        </w:tc>
        <w:tc>
          <w:tcPr>
            <w:tcW w:w="2374"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$132,009</w:t>
            </w:r>
          </w:p>
        </w:tc>
        <w:tc>
          <w:tcPr>
            <w:tcW w:w="2250" w:type="dxa"/>
            <w:tcBorders>
              <w:top w:val="nil"/>
              <w:left w:val="nil"/>
              <w:bottom w:val="single" w:sz="4" w:space="0" w:color="auto"/>
              <w:right w:val="nil"/>
            </w:tcBorders>
            <w:shd w:val="clear" w:color="auto" w:fill="auto"/>
            <w:noWrap/>
            <w:vAlign w:val="bottom"/>
            <w:hideMark/>
          </w:tcPr>
          <w:p w:rsidR="00564D54" w:rsidRPr="00C43805" w:rsidRDefault="00564D54" w:rsidP="00C43805">
            <w:pPr>
              <w:jc w:val="center"/>
              <w:rPr>
                <w:color w:val="000000"/>
                <w:sz w:val="24"/>
              </w:rPr>
            </w:pPr>
            <w:r w:rsidRPr="00C43805">
              <w:rPr>
                <w:color w:val="000000"/>
                <w:sz w:val="24"/>
              </w:rPr>
              <w:t>$132,009</w:t>
            </w:r>
          </w:p>
        </w:tc>
      </w:tr>
      <w:tr w:rsidR="00564D54" w:rsidRPr="00C43805" w:rsidTr="00C43805">
        <w:trPr>
          <w:trHeight w:val="315"/>
        </w:trPr>
        <w:tc>
          <w:tcPr>
            <w:tcW w:w="1530"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p>
        </w:tc>
        <w:tc>
          <w:tcPr>
            <w:tcW w:w="686"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p>
        </w:tc>
        <w:tc>
          <w:tcPr>
            <w:tcW w:w="2374" w:type="dxa"/>
            <w:tcBorders>
              <w:top w:val="nil"/>
              <w:left w:val="nil"/>
              <w:bottom w:val="nil"/>
              <w:right w:val="nil"/>
            </w:tcBorders>
            <w:shd w:val="clear" w:color="auto" w:fill="auto"/>
            <w:noWrap/>
            <w:vAlign w:val="bottom"/>
            <w:hideMark/>
          </w:tcPr>
          <w:p w:rsidR="00564D54" w:rsidRPr="00C43805" w:rsidRDefault="00564D54" w:rsidP="00C43805">
            <w:pPr>
              <w:jc w:val="center"/>
              <w:rPr>
                <w:color w:val="000000"/>
                <w:sz w:val="24"/>
              </w:rPr>
            </w:pPr>
          </w:p>
        </w:tc>
        <w:tc>
          <w:tcPr>
            <w:tcW w:w="2250" w:type="dxa"/>
            <w:tcBorders>
              <w:top w:val="single" w:sz="4" w:space="0" w:color="auto"/>
              <w:left w:val="nil"/>
              <w:bottom w:val="nil"/>
              <w:right w:val="nil"/>
            </w:tcBorders>
            <w:shd w:val="clear" w:color="auto" w:fill="auto"/>
            <w:noWrap/>
            <w:vAlign w:val="bottom"/>
            <w:hideMark/>
          </w:tcPr>
          <w:p w:rsidR="00564D54" w:rsidRPr="00C43805" w:rsidRDefault="00564D54" w:rsidP="0043438D">
            <w:pPr>
              <w:jc w:val="center"/>
              <w:rPr>
                <w:color w:val="000000"/>
                <w:sz w:val="24"/>
              </w:rPr>
            </w:pPr>
            <w:r w:rsidRPr="00C43805">
              <w:rPr>
                <w:color w:val="000000"/>
                <w:sz w:val="24"/>
              </w:rPr>
              <w:t>$1,</w:t>
            </w:r>
            <w:r w:rsidR="0043438D">
              <w:rPr>
                <w:color w:val="000000"/>
                <w:sz w:val="24"/>
              </w:rPr>
              <w:t>172</w:t>
            </w:r>
            <w:r w:rsidRPr="00C43805">
              <w:rPr>
                <w:color w:val="000000"/>
                <w:sz w:val="24"/>
              </w:rPr>
              <w:t>,</w:t>
            </w:r>
            <w:r w:rsidR="0043438D">
              <w:rPr>
                <w:color w:val="000000"/>
                <w:sz w:val="24"/>
              </w:rPr>
              <w:t>461</w:t>
            </w:r>
          </w:p>
        </w:tc>
      </w:tr>
    </w:tbl>
    <w:p w:rsidR="008F1EB4" w:rsidRPr="00C43805" w:rsidRDefault="008F1EB4" w:rsidP="00F44B38">
      <w:pPr>
        <w:pBdr>
          <w:bottom w:val="single" w:sz="6" w:space="1" w:color="auto"/>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564D54" w:rsidRPr="00C43805" w:rsidRDefault="00564D54"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564D54" w:rsidRPr="00C43805" w:rsidRDefault="00564D54"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 xml:space="preserve">CMS staff costs are approximately </w:t>
      </w:r>
      <w:r w:rsidR="0043438D" w:rsidRPr="00C43805">
        <w:rPr>
          <w:color w:val="000000"/>
          <w:sz w:val="24"/>
        </w:rPr>
        <w:t>$1,</w:t>
      </w:r>
      <w:r w:rsidR="0043438D">
        <w:rPr>
          <w:color w:val="000000"/>
          <w:sz w:val="24"/>
        </w:rPr>
        <w:t>172</w:t>
      </w:r>
      <w:r w:rsidR="0043438D" w:rsidRPr="00C43805">
        <w:rPr>
          <w:color w:val="000000"/>
          <w:sz w:val="24"/>
        </w:rPr>
        <w:t>,</w:t>
      </w:r>
      <w:r w:rsidR="0043438D">
        <w:rPr>
          <w:color w:val="000000"/>
          <w:sz w:val="24"/>
        </w:rPr>
        <w:t>461</w:t>
      </w:r>
      <w:r w:rsidRPr="00C43805">
        <w:rPr>
          <w:sz w:val="24"/>
        </w:rPr>
        <w:t>. In addition, staff travel is budgeted for $</w:t>
      </w:r>
      <w:r w:rsidR="008632A3">
        <w:rPr>
          <w:sz w:val="24"/>
        </w:rPr>
        <w:t>8</w:t>
      </w:r>
      <w:r w:rsidRPr="00C43805">
        <w:rPr>
          <w:sz w:val="24"/>
        </w:rPr>
        <w:t>,000. The MCBS releases its documentation on CD Rom thus eliminating its printing budget. Thus, in-house CMS cost will be $1,</w:t>
      </w:r>
      <w:r w:rsidR="008632A3">
        <w:rPr>
          <w:sz w:val="24"/>
        </w:rPr>
        <w:t>18</w:t>
      </w:r>
      <w:r w:rsidRPr="00C43805">
        <w:rPr>
          <w:sz w:val="24"/>
        </w:rPr>
        <w:t>0,</w:t>
      </w:r>
      <w:r w:rsidR="008632A3">
        <w:rPr>
          <w:sz w:val="24"/>
        </w:rPr>
        <w:t>461</w:t>
      </w:r>
      <w:r w:rsidRPr="00C43805">
        <w:rPr>
          <w:sz w:val="24"/>
        </w:rPr>
        <w:t>.</w:t>
      </w:r>
    </w:p>
    <w:p w:rsidR="00564D54" w:rsidRPr="00C43805" w:rsidRDefault="00564D54" w:rsidP="00F44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43805">
        <w:rPr>
          <w:sz w:val="24"/>
        </w:rPr>
        <w:t>15.</w:t>
      </w:r>
      <w:r w:rsidRPr="00C43805">
        <w:rPr>
          <w:sz w:val="24"/>
        </w:rPr>
        <w:tab/>
      </w:r>
      <w:r w:rsidRPr="00C43805">
        <w:rPr>
          <w:sz w:val="24"/>
          <w:u w:val="single"/>
        </w:rPr>
        <w:t>Changes</w:t>
      </w:r>
      <w:r>
        <w:rPr>
          <w:sz w:val="24"/>
          <w:u w:val="single"/>
        </w:rPr>
        <w:t xml:space="preserve">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59E" w:rsidRPr="00C43805" w:rsidRDefault="00C43805" w:rsidP="00BE65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3805">
        <w:rPr>
          <w:sz w:val="24"/>
        </w:rPr>
        <w:t>The</w:t>
      </w:r>
      <w:r w:rsidR="00BE659E">
        <w:rPr>
          <w:sz w:val="24"/>
        </w:rPr>
        <w:t>re are no changes to the burden contained in this clearance request.</w:t>
      </w:r>
    </w:p>
    <w:p w:rsidR="008F1EB4" w:rsidRPr="00C4380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43805">
        <w:rPr>
          <w:sz w:val="24"/>
        </w:rPr>
        <w:t>16.</w:t>
      </w:r>
      <w:r w:rsidRPr="00C43805">
        <w:rPr>
          <w:sz w:val="24"/>
        </w:rPr>
        <w:tab/>
      </w:r>
      <w:r w:rsidRPr="00C43805">
        <w:rPr>
          <w:sz w:val="24"/>
          <w:u w:val="single"/>
        </w:rPr>
        <w:t>Publication</w:t>
      </w:r>
      <w:r>
        <w:rPr>
          <w:sz w:val="24"/>
          <w:u w:val="single"/>
        </w:rPr>
        <w:t>/Tabulation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43805" w:rsidRPr="00C43805" w:rsidRDefault="00C43805" w:rsidP="00C43805">
      <w:pPr>
        <w:pBdr>
          <w:bottom w:val="single" w:sz="6" w:space="1" w:color="auto"/>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 xml:space="preserve">A number of published methodological studies have been </w:t>
      </w:r>
      <w:r w:rsidRPr="005F5B44">
        <w:rPr>
          <w:sz w:val="24"/>
        </w:rPr>
        <w:t>conducted (Attachment 2). In addition, data files will continue to be prepared over the course of the survey, see Table B-16.</w:t>
      </w:r>
    </w:p>
    <w:p w:rsidR="00C43805" w:rsidRPr="00C43805" w:rsidRDefault="00C43805" w:rsidP="00C43805">
      <w:pPr>
        <w:pBdr>
          <w:bottom w:val="single" w:sz="6" w:space="1" w:color="auto"/>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Table B-16: Schedule for information collection and dissemination</w:t>
      </w: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3F46FF" w:rsidRDefault="003F46FF" w:rsidP="00C43805">
      <w:pPr>
        <w:pStyle w:val="Default"/>
        <w:tabs>
          <w:tab w:val="left" w:pos="2160"/>
        </w:tabs>
        <w:ind w:left="450"/>
      </w:pPr>
      <w:r w:rsidRPr="00C43805">
        <w:t>01/01/201</w:t>
      </w:r>
      <w:r>
        <w:t>4</w:t>
      </w:r>
      <w:r w:rsidRPr="00C43805">
        <w:tab/>
        <w:t>Data collection begun for MCBS Round 6</w:t>
      </w:r>
      <w:r>
        <w:t>8</w:t>
      </w:r>
      <w:r w:rsidRPr="00C43805">
        <w:t>.</w:t>
      </w:r>
    </w:p>
    <w:p w:rsidR="00C43805" w:rsidRPr="00C43805" w:rsidRDefault="00C43805" w:rsidP="00C43805">
      <w:pPr>
        <w:pStyle w:val="Default"/>
        <w:tabs>
          <w:tab w:val="left" w:pos="2160"/>
        </w:tabs>
        <w:ind w:left="450"/>
      </w:pPr>
      <w:r w:rsidRPr="00C43805">
        <w:t>05/01/201</w:t>
      </w:r>
      <w:r w:rsidR="003F46FF">
        <w:t>4</w:t>
      </w:r>
      <w:r w:rsidRPr="00C43805">
        <w:tab/>
        <w:t xml:space="preserve">Data collection begun for MCBS Round </w:t>
      </w:r>
      <w:r w:rsidR="003F46FF">
        <w:t>69</w:t>
      </w:r>
      <w:r w:rsidRPr="00C43805">
        <w:t xml:space="preserve">. </w:t>
      </w:r>
    </w:p>
    <w:p w:rsidR="00C43805" w:rsidRPr="00C43805" w:rsidRDefault="00C43805" w:rsidP="00C43805">
      <w:pPr>
        <w:pStyle w:val="Default"/>
        <w:tabs>
          <w:tab w:val="left" w:pos="2160"/>
        </w:tabs>
        <w:ind w:left="450"/>
      </w:pPr>
      <w:r w:rsidRPr="00C43805">
        <w:t>09/01/201</w:t>
      </w:r>
      <w:r w:rsidR="003F46FF">
        <w:t>4</w:t>
      </w:r>
      <w:r w:rsidRPr="00C43805">
        <w:tab/>
        <w:t xml:space="preserve">Data collection begun for MCBS Round </w:t>
      </w:r>
      <w:r w:rsidR="003F46FF">
        <w:t>70</w:t>
      </w:r>
      <w:r w:rsidRPr="00C43805">
        <w:t xml:space="preserve">. </w:t>
      </w:r>
    </w:p>
    <w:p w:rsidR="00C43805" w:rsidRPr="00C43805" w:rsidRDefault="00C43805" w:rsidP="00C43805">
      <w:pPr>
        <w:pStyle w:val="Default"/>
        <w:tabs>
          <w:tab w:val="left" w:pos="2160"/>
        </w:tabs>
        <w:ind w:left="450"/>
      </w:pPr>
      <w:r w:rsidRPr="00C43805">
        <w:t>10/01/201</w:t>
      </w:r>
      <w:r w:rsidR="003F46FF">
        <w:t>4</w:t>
      </w:r>
      <w:r w:rsidRPr="00C43805">
        <w:tab/>
        <w:t>Public Use File available for 20</w:t>
      </w:r>
      <w:r w:rsidR="00AB357F">
        <w:t>13</w:t>
      </w:r>
      <w:r w:rsidRPr="00C43805">
        <w:t xml:space="preserve"> Access to Care series. </w:t>
      </w:r>
    </w:p>
    <w:p w:rsidR="00C43805" w:rsidRPr="00C43805" w:rsidRDefault="00C43805" w:rsidP="00C43805">
      <w:pPr>
        <w:pStyle w:val="Default"/>
        <w:tabs>
          <w:tab w:val="left" w:pos="2160"/>
        </w:tabs>
        <w:ind w:left="450"/>
      </w:pPr>
      <w:r w:rsidRPr="00C43805">
        <w:t>12/01/201</w:t>
      </w:r>
      <w:r w:rsidR="003F46FF">
        <w:t>4</w:t>
      </w:r>
      <w:r w:rsidRPr="00C43805">
        <w:tab/>
        <w:t>Public Use File available for 20</w:t>
      </w:r>
      <w:r w:rsidR="00AB357F">
        <w:t>1</w:t>
      </w:r>
      <w:r w:rsidR="00EF3002">
        <w:t>1</w:t>
      </w:r>
      <w:r w:rsidRPr="00C43805">
        <w:t xml:space="preserve"> Cost and Utilization series. </w:t>
      </w:r>
    </w:p>
    <w:p w:rsidR="00C43805" w:rsidRPr="00C43805" w:rsidRDefault="00C43805" w:rsidP="00C43805">
      <w:pPr>
        <w:pStyle w:val="Default"/>
        <w:tabs>
          <w:tab w:val="left" w:pos="2160"/>
        </w:tabs>
        <w:ind w:left="450"/>
      </w:pPr>
      <w:r w:rsidRPr="00C43805">
        <w:t>01/01/201</w:t>
      </w:r>
      <w:r w:rsidR="003F46FF">
        <w:t>5</w:t>
      </w:r>
      <w:r w:rsidRPr="00C43805">
        <w:tab/>
        <w:t xml:space="preserve">Data collection begun for MCBS Round </w:t>
      </w:r>
      <w:r w:rsidR="003F46FF">
        <w:t>71</w:t>
      </w:r>
      <w:r w:rsidRPr="00C43805">
        <w:t xml:space="preserve">. </w:t>
      </w:r>
    </w:p>
    <w:p w:rsidR="00C43805" w:rsidRPr="00C43805" w:rsidRDefault="00C43805" w:rsidP="00C43805">
      <w:pPr>
        <w:pStyle w:val="Default"/>
        <w:tabs>
          <w:tab w:val="left" w:pos="2160"/>
        </w:tabs>
        <w:ind w:left="450"/>
      </w:pPr>
      <w:r w:rsidRPr="00C43805">
        <w:t>05/01/201</w:t>
      </w:r>
      <w:r w:rsidR="003F46FF">
        <w:t>5</w:t>
      </w:r>
      <w:r w:rsidRPr="00C43805">
        <w:tab/>
        <w:t xml:space="preserve">Data collection begun for MCBS Round </w:t>
      </w:r>
      <w:r w:rsidR="003F46FF">
        <w:t>72</w:t>
      </w:r>
      <w:r w:rsidRPr="00C43805">
        <w:t xml:space="preserve">. </w:t>
      </w:r>
    </w:p>
    <w:p w:rsidR="00C43805" w:rsidRPr="00C43805" w:rsidRDefault="00C43805" w:rsidP="00C43805">
      <w:pPr>
        <w:pStyle w:val="Default"/>
        <w:tabs>
          <w:tab w:val="left" w:pos="2160"/>
        </w:tabs>
        <w:ind w:left="450"/>
      </w:pPr>
      <w:r w:rsidRPr="00C43805">
        <w:t>09/01/201</w:t>
      </w:r>
      <w:r w:rsidR="003F46FF">
        <w:t>5</w:t>
      </w:r>
      <w:r w:rsidRPr="00C43805">
        <w:tab/>
        <w:t xml:space="preserve">Data collection began for MCBS Round </w:t>
      </w:r>
      <w:r w:rsidR="003F46FF">
        <w:t>73</w:t>
      </w:r>
      <w:r w:rsidRPr="00C43805">
        <w:t xml:space="preserve">. </w:t>
      </w:r>
    </w:p>
    <w:p w:rsidR="00C43805" w:rsidRPr="00C43805" w:rsidRDefault="00C43805" w:rsidP="00C43805">
      <w:pPr>
        <w:pStyle w:val="Default"/>
        <w:tabs>
          <w:tab w:val="left" w:pos="2160"/>
        </w:tabs>
        <w:ind w:left="450"/>
      </w:pPr>
      <w:r w:rsidRPr="00C43805">
        <w:t>10/01/201</w:t>
      </w:r>
      <w:r w:rsidR="003F46FF">
        <w:t>5</w:t>
      </w:r>
      <w:r w:rsidRPr="00C43805">
        <w:tab/>
        <w:t>Public Use File available for 201</w:t>
      </w:r>
      <w:r w:rsidR="00AB357F">
        <w:t>4</w:t>
      </w:r>
      <w:r w:rsidRPr="00C43805">
        <w:t xml:space="preserve"> Access to Care series. </w:t>
      </w:r>
    </w:p>
    <w:p w:rsidR="00C43805" w:rsidRPr="00C43805" w:rsidRDefault="00C43805" w:rsidP="00C43805">
      <w:pPr>
        <w:pStyle w:val="Default"/>
        <w:tabs>
          <w:tab w:val="left" w:pos="2160"/>
        </w:tabs>
        <w:ind w:left="450"/>
      </w:pPr>
      <w:r w:rsidRPr="00C43805">
        <w:t>12/01/201</w:t>
      </w:r>
      <w:r w:rsidR="003F46FF">
        <w:t>5</w:t>
      </w:r>
      <w:r w:rsidRPr="00C43805">
        <w:tab/>
        <w:t>Public Use File available for 20</w:t>
      </w:r>
      <w:r w:rsidR="00AB357F">
        <w:t>1</w:t>
      </w:r>
      <w:r w:rsidR="00EF3002">
        <w:t>2</w:t>
      </w:r>
      <w:r w:rsidRPr="00C43805">
        <w:t xml:space="preserve"> Cost and Utilization series. </w:t>
      </w:r>
    </w:p>
    <w:p w:rsidR="00C43805" w:rsidRPr="00C43805" w:rsidRDefault="00C43805" w:rsidP="00C43805">
      <w:pPr>
        <w:pStyle w:val="Default"/>
        <w:tabs>
          <w:tab w:val="left" w:pos="2160"/>
        </w:tabs>
        <w:ind w:left="450"/>
      </w:pPr>
      <w:r w:rsidRPr="00C43805">
        <w:t>01/01/201</w:t>
      </w:r>
      <w:r w:rsidR="003F46FF">
        <w:t>6</w:t>
      </w:r>
      <w:r w:rsidRPr="00C43805">
        <w:tab/>
        <w:t xml:space="preserve">Data collection begun for MCBS Round </w:t>
      </w:r>
      <w:r w:rsidR="003F46FF">
        <w:t>74</w:t>
      </w:r>
      <w:r w:rsidRPr="00C43805">
        <w:t xml:space="preserve">. </w:t>
      </w:r>
    </w:p>
    <w:p w:rsidR="00C43805" w:rsidRPr="00C43805" w:rsidRDefault="00C43805" w:rsidP="00C43805">
      <w:pPr>
        <w:pStyle w:val="Default"/>
        <w:tabs>
          <w:tab w:val="left" w:pos="2160"/>
        </w:tabs>
        <w:ind w:left="450"/>
      </w:pPr>
      <w:r w:rsidRPr="00C43805">
        <w:t>05/01/201</w:t>
      </w:r>
      <w:r w:rsidR="003F46FF">
        <w:t>6</w:t>
      </w:r>
      <w:r w:rsidRPr="00C43805">
        <w:tab/>
        <w:t xml:space="preserve">Data collection begun for MCBS Round </w:t>
      </w:r>
      <w:r w:rsidR="003F46FF">
        <w:t>75</w:t>
      </w:r>
      <w:r w:rsidRPr="00C43805">
        <w:t xml:space="preserve">. </w:t>
      </w:r>
    </w:p>
    <w:p w:rsidR="00C43805" w:rsidRPr="00C43805" w:rsidRDefault="00C43805" w:rsidP="00C43805">
      <w:pPr>
        <w:pStyle w:val="Default"/>
        <w:tabs>
          <w:tab w:val="left" w:pos="2160"/>
        </w:tabs>
        <w:ind w:left="450"/>
      </w:pPr>
      <w:r w:rsidRPr="00C43805">
        <w:t>09/01/201</w:t>
      </w:r>
      <w:r w:rsidR="003F46FF">
        <w:t>6</w:t>
      </w:r>
      <w:r w:rsidRPr="00C43805">
        <w:tab/>
        <w:t xml:space="preserve">Data collection began for MCBS Round </w:t>
      </w:r>
      <w:r w:rsidR="003F46FF">
        <w:t>76</w:t>
      </w:r>
      <w:r w:rsidRPr="00C43805">
        <w:t xml:space="preserve">. </w:t>
      </w:r>
    </w:p>
    <w:p w:rsidR="00C43805" w:rsidRPr="00C43805" w:rsidRDefault="00C43805" w:rsidP="00C43805">
      <w:pPr>
        <w:pStyle w:val="Default"/>
        <w:tabs>
          <w:tab w:val="left" w:pos="2160"/>
        </w:tabs>
        <w:ind w:left="450"/>
      </w:pPr>
      <w:r w:rsidRPr="00C43805">
        <w:t>10/01/201</w:t>
      </w:r>
      <w:r w:rsidR="003F46FF">
        <w:t>6</w:t>
      </w:r>
      <w:r w:rsidRPr="00C43805">
        <w:tab/>
        <w:t>Public Use File available for 201</w:t>
      </w:r>
      <w:r w:rsidR="00AB357F">
        <w:t>5</w:t>
      </w:r>
      <w:r w:rsidRPr="00C43805">
        <w:t xml:space="preserve"> Access to Care series. </w:t>
      </w:r>
    </w:p>
    <w:p w:rsidR="00AB357F" w:rsidRDefault="00AB357F" w:rsidP="00C43805">
      <w:pPr>
        <w:pStyle w:val="Default"/>
        <w:tabs>
          <w:tab w:val="left" w:pos="2160"/>
        </w:tabs>
        <w:ind w:left="450"/>
      </w:pPr>
      <w:r w:rsidRPr="00C43805">
        <w:lastRenderedPageBreak/>
        <w:t>10/01/201</w:t>
      </w:r>
      <w:r>
        <w:t>6</w:t>
      </w:r>
      <w:r w:rsidRPr="00C43805">
        <w:tab/>
        <w:t>Prepare cleara</w:t>
      </w:r>
      <w:r>
        <w:t>nce package for Rounds 77 – 85.</w:t>
      </w:r>
    </w:p>
    <w:p w:rsidR="00C43805" w:rsidRPr="00C43805" w:rsidRDefault="00C43805" w:rsidP="00C43805">
      <w:pPr>
        <w:pStyle w:val="Default"/>
        <w:pBdr>
          <w:bottom w:val="single" w:sz="6" w:space="1" w:color="auto"/>
        </w:pBdr>
        <w:tabs>
          <w:tab w:val="left" w:pos="2160"/>
        </w:tabs>
        <w:ind w:left="450"/>
      </w:pPr>
      <w:r w:rsidRPr="00C43805">
        <w:t>12/01/201</w:t>
      </w:r>
      <w:r w:rsidR="003F46FF">
        <w:t>6</w:t>
      </w:r>
      <w:r w:rsidRPr="00C43805">
        <w:tab/>
        <w:t>Public Use File available for 201</w:t>
      </w:r>
      <w:r w:rsidR="00EF3002">
        <w:t>3</w:t>
      </w:r>
      <w:r w:rsidRPr="00C43805">
        <w:t xml:space="preserve"> Cost and Utilization series. </w:t>
      </w:r>
    </w:p>
    <w:p w:rsidR="00AB357F" w:rsidRPr="00C43805" w:rsidRDefault="00AB357F"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 xml:space="preserve">There are two special reports being issued on an annual basis by CMS, </w:t>
      </w:r>
      <w:r w:rsidRPr="00C43805">
        <w:rPr>
          <w:sz w:val="24"/>
          <w:u w:val="single"/>
        </w:rPr>
        <w:t>Health and Health Care of the Medicare Population: Data from the Medicare Current Beneficiary Survey</w:t>
      </w:r>
      <w:r w:rsidRPr="00C43805">
        <w:rPr>
          <w:sz w:val="24"/>
        </w:rPr>
        <w:t xml:space="preserve"> and </w:t>
      </w:r>
      <w:r w:rsidRPr="00C43805">
        <w:rPr>
          <w:sz w:val="24"/>
          <w:u w:val="single"/>
        </w:rPr>
        <w:t>Characteristics and Perceptions of the Medicare Population: Data from the Medicare Current Beneficiary Survey</w:t>
      </w:r>
      <w:r w:rsidRPr="00C43805">
        <w:rPr>
          <w:sz w:val="24"/>
        </w:rPr>
        <w:t>. These reports or “chartbooks” contain a comprehensive set of statistical tables describing the Medicare population in terms of its demographic and socioeconomic characteristics, use of and expenditures on health care, perceived health and functional status, and access to and satisfaction with health care. The tables, which were created from Access to Care and Cost and Use files released to the public, are intended as references for persons interested in using MCBS data to analyze the health and health care of the Medicare population.</w:t>
      </w: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 xml:space="preserve">CMS </w:t>
      </w:r>
      <w:r w:rsidR="00AB357F">
        <w:rPr>
          <w:sz w:val="24"/>
        </w:rPr>
        <w:t xml:space="preserve">posts </w:t>
      </w:r>
      <w:r w:rsidRPr="00C43805">
        <w:rPr>
          <w:sz w:val="24"/>
        </w:rPr>
        <w:t xml:space="preserve">these chartbooks </w:t>
      </w:r>
      <w:r w:rsidR="00AB357F">
        <w:rPr>
          <w:sz w:val="24"/>
        </w:rPr>
        <w:t xml:space="preserve">online at </w:t>
      </w:r>
      <w:r w:rsidR="00A62148" w:rsidRPr="00A62148">
        <w:rPr>
          <w:sz w:val="24"/>
        </w:rPr>
        <w:t>www.cms.hhs.gov/mcbs</w:t>
      </w:r>
      <w:r w:rsidRPr="00C43805">
        <w:rPr>
          <w:sz w:val="24"/>
        </w:rPr>
        <w:t>. The data in these tables are being updated as new files become available, and are released to the public in the two series of chartbooks. In addition to providing statistics from the annual MCBS releases, the chartbooks can be used to follow trends and measure change in the Medicare population. Subsequent chart books have illustrated the types of longitudinal analysis that can be performed with MCBS data.</w:t>
      </w:r>
    </w:p>
    <w:p w:rsidR="00C43805" w:rsidRPr="00C43805"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43805">
        <w:rPr>
          <w:sz w:val="24"/>
        </w:rPr>
        <w:t>Annual updates to the two chartbooks are available for the following years. (For years w</w:t>
      </w:r>
      <w:r w:rsidR="00581C95">
        <w:rPr>
          <w:sz w:val="24"/>
        </w:rPr>
        <w:t>h</w:t>
      </w:r>
      <w:r w:rsidRPr="00C43805">
        <w:rPr>
          <w:sz w:val="24"/>
        </w:rPr>
        <w:t xml:space="preserve">ere the chartbooks are still unavailable an asterisk is used as a denotation and an estimated date of </w:t>
      </w:r>
      <w:r w:rsidRPr="007E5FEF">
        <w:rPr>
          <w:sz w:val="24"/>
        </w:rPr>
        <w:t>completion follows.)</w:t>
      </w: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7E5FEF">
        <w:rPr>
          <w:sz w:val="24"/>
          <w:u w:val="single"/>
        </w:rPr>
        <w:t>Health and Health Care of the Medicare Population: Data from the MCBS</w:t>
      </w: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7E5FEF">
        <w:rPr>
          <w:sz w:val="24"/>
        </w:rPr>
        <w:t>1992 – 20</w:t>
      </w:r>
      <w:r w:rsidR="007E5FEF" w:rsidRPr="007E5FEF">
        <w:rPr>
          <w:sz w:val="24"/>
        </w:rPr>
        <w:t>09</w:t>
      </w:r>
      <w:r w:rsidRPr="007E5FEF">
        <w:rPr>
          <w:sz w:val="24"/>
        </w:rPr>
        <w:t>, 20</w:t>
      </w:r>
      <w:r w:rsidR="007E5FEF" w:rsidRPr="007E5FEF">
        <w:rPr>
          <w:sz w:val="24"/>
        </w:rPr>
        <w:t>1</w:t>
      </w:r>
      <w:r w:rsidRPr="007E5FEF">
        <w:rPr>
          <w:sz w:val="24"/>
        </w:rPr>
        <w:t>0* (December 201</w:t>
      </w:r>
      <w:r w:rsidR="007E5FEF" w:rsidRPr="007E5FEF">
        <w:rPr>
          <w:sz w:val="24"/>
        </w:rPr>
        <w:t>3</w:t>
      </w:r>
      <w:r w:rsidRPr="007E5FEF">
        <w:rPr>
          <w:sz w:val="24"/>
        </w:rPr>
        <w:t>), 20</w:t>
      </w:r>
      <w:r w:rsidR="007E5FEF" w:rsidRPr="007E5FEF">
        <w:rPr>
          <w:sz w:val="24"/>
        </w:rPr>
        <w:t>11</w:t>
      </w:r>
      <w:r w:rsidRPr="007E5FEF">
        <w:rPr>
          <w:sz w:val="24"/>
        </w:rPr>
        <w:t>* (December 201</w:t>
      </w:r>
      <w:r w:rsidR="007E5FEF" w:rsidRPr="007E5FEF">
        <w:rPr>
          <w:sz w:val="24"/>
        </w:rPr>
        <w:t>4</w:t>
      </w:r>
      <w:r w:rsidRPr="007E5FEF">
        <w:rPr>
          <w:sz w:val="24"/>
        </w:rPr>
        <w:t>), and 20</w:t>
      </w:r>
      <w:r w:rsidR="007E5FEF" w:rsidRPr="007E5FEF">
        <w:rPr>
          <w:sz w:val="24"/>
        </w:rPr>
        <w:t>12</w:t>
      </w:r>
      <w:r w:rsidRPr="007E5FEF">
        <w:rPr>
          <w:sz w:val="24"/>
        </w:rPr>
        <w:t>* (December 201</w:t>
      </w:r>
      <w:r w:rsidR="007E5FEF" w:rsidRPr="007E5FEF">
        <w:rPr>
          <w:sz w:val="24"/>
        </w:rPr>
        <w:t>5</w:t>
      </w:r>
      <w:r w:rsidRPr="007E5FEF">
        <w:rPr>
          <w:sz w:val="24"/>
        </w:rPr>
        <w:t>)</w:t>
      </w: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7E5FEF">
        <w:rPr>
          <w:sz w:val="24"/>
          <w:u w:val="single"/>
        </w:rPr>
        <w:t>Characteristics and Perceptions of the Medicare Population: Data from the MCBS</w:t>
      </w: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7E5FEF">
        <w:rPr>
          <w:sz w:val="24"/>
        </w:rPr>
        <w:t>1995 – 20</w:t>
      </w:r>
      <w:r w:rsidR="007E5FEF" w:rsidRPr="007E5FEF">
        <w:rPr>
          <w:sz w:val="24"/>
        </w:rPr>
        <w:t>11</w:t>
      </w:r>
      <w:r w:rsidRPr="007E5FEF">
        <w:rPr>
          <w:sz w:val="24"/>
        </w:rPr>
        <w:t>, 20</w:t>
      </w:r>
      <w:r w:rsidR="007E5FEF" w:rsidRPr="007E5FEF">
        <w:rPr>
          <w:sz w:val="24"/>
        </w:rPr>
        <w:t>12</w:t>
      </w:r>
      <w:r w:rsidRPr="007E5FEF">
        <w:rPr>
          <w:sz w:val="24"/>
        </w:rPr>
        <w:t>* (</w:t>
      </w:r>
      <w:r w:rsidR="007E5FEF" w:rsidRPr="007E5FEF">
        <w:rPr>
          <w:sz w:val="24"/>
        </w:rPr>
        <w:t>May</w:t>
      </w:r>
      <w:r w:rsidRPr="007E5FEF">
        <w:rPr>
          <w:sz w:val="24"/>
        </w:rPr>
        <w:t xml:space="preserve"> 201</w:t>
      </w:r>
      <w:r w:rsidR="007E5FEF" w:rsidRPr="007E5FEF">
        <w:rPr>
          <w:sz w:val="24"/>
        </w:rPr>
        <w:t>4</w:t>
      </w:r>
      <w:r w:rsidRPr="007E5FEF">
        <w:rPr>
          <w:sz w:val="24"/>
        </w:rPr>
        <w:t>), 20</w:t>
      </w:r>
      <w:r w:rsidR="007E5FEF" w:rsidRPr="007E5FEF">
        <w:rPr>
          <w:sz w:val="24"/>
        </w:rPr>
        <w:t>13</w:t>
      </w:r>
      <w:r w:rsidRPr="007E5FEF">
        <w:rPr>
          <w:sz w:val="24"/>
        </w:rPr>
        <w:t>* (</w:t>
      </w:r>
      <w:r w:rsidR="007E5FEF" w:rsidRPr="007E5FEF">
        <w:rPr>
          <w:sz w:val="24"/>
        </w:rPr>
        <w:t>May</w:t>
      </w:r>
      <w:r w:rsidRPr="007E5FEF">
        <w:rPr>
          <w:sz w:val="24"/>
        </w:rPr>
        <w:t xml:space="preserve"> 201</w:t>
      </w:r>
      <w:r w:rsidR="007E5FEF" w:rsidRPr="007E5FEF">
        <w:rPr>
          <w:sz w:val="24"/>
        </w:rPr>
        <w:t>5</w:t>
      </w:r>
      <w:r w:rsidRPr="007E5FEF">
        <w:rPr>
          <w:sz w:val="24"/>
        </w:rPr>
        <w:t>), and 201</w:t>
      </w:r>
      <w:r w:rsidR="007E5FEF" w:rsidRPr="007E5FEF">
        <w:rPr>
          <w:sz w:val="24"/>
        </w:rPr>
        <w:t>4</w:t>
      </w:r>
      <w:r w:rsidRPr="007E5FEF">
        <w:rPr>
          <w:sz w:val="24"/>
        </w:rPr>
        <w:t>* (</w:t>
      </w:r>
      <w:r w:rsidR="007E5FEF" w:rsidRPr="007E5FEF">
        <w:rPr>
          <w:sz w:val="24"/>
        </w:rPr>
        <w:t>May</w:t>
      </w:r>
      <w:r w:rsidRPr="007E5FEF">
        <w:rPr>
          <w:sz w:val="24"/>
        </w:rPr>
        <w:t xml:space="preserve"> 201</w:t>
      </w:r>
      <w:r w:rsidR="007E5FEF" w:rsidRPr="007E5FEF">
        <w:rPr>
          <w:sz w:val="24"/>
        </w:rPr>
        <w:t>6</w:t>
      </w:r>
      <w:r w:rsidRPr="007E5FEF">
        <w:rPr>
          <w:sz w:val="24"/>
        </w:rPr>
        <w:t>)</w:t>
      </w:r>
    </w:p>
    <w:p w:rsidR="00C43805" w:rsidRPr="007E5FEF" w:rsidRDefault="00C43805" w:rsidP="00C4380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E5FEF">
        <w:rPr>
          <w:sz w:val="24"/>
        </w:rPr>
        <w:t>17.</w:t>
      </w:r>
      <w:r w:rsidRPr="007E5FEF">
        <w:rPr>
          <w:sz w:val="24"/>
        </w:rPr>
        <w:tab/>
      </w:r>
      <w:r w:rsidRPr="007E5FEF">
        <w:rPr>
          <w:sz w:val="24"/>
          <w:u w:val="single"/>
        </w:rPr>
        <w:t>Expiration</w:t>
      </w:r>
      <w:r>
        <w:rPr>
          <w:sz w:val="24"/>
          <w:u w:val="single"/>
        </w:rPr>
        <w:t xml:space="preserve">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43805" w:rsidRPr="00C43805" w:rsidRDefault="00C438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3805">
        <w:rPr>
          <w:sz w:val="24"/>
        </w:rPr>
        <w:t>CMS would like an exemption from displaying the expiration date as the collection of the MCBS is an ongoing endeavor</w:t>
      </w:r>
      <w:r w:rsidR="00745DC3">
        <w:rPr>
          <w:sz w:val="24"/>
        </w:rPr>
        <w:t xml:space="preserve"> with rotating panels of respondents</w:t>
      </w:r>
      <w:r w:rsidRPr="00C43805">
        <w:rPr>
          <w:sz w:val="24"/>
        </w:rPr>
        <w:t>. Therefore, an expiration date</w:t>
      </w:r>
      <w:r w:rsidR="00745DC3">
        <w:rPr>
          <w:sz w:val="24"/>
        </w:rPr>
        <w:t xml:space="preserve"> would cause unnecessary confusion on the part of the respondent and </w:t>
      </w:r>
      <w:r w:rsidRPr="00C43805">
        <w:rPr>
          <w:sz w:val="24"/>
        </w:rPr>
        <w:t>is</w:t>
      </w:r>
      <w:r w:rsidR="002365E0">
        <w:rPr>
          <w:sz w:val="24"/>
        </w:rPr>
        <w:t xml:space="preserve"> therefore</w:t>
      </w:r>
      <w:r w:rsidRPr="00C43805">
        <w:rPr>
          <w:sz w:val="24"/>
        </w:rPr>
        <w:t xml:space="preserve"> not practical.</w:t>
      </w:r>
    </w:p>
    <w:p w:rsidR="008F1EB4" w:rsidRPr="00C4380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4380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43805">
        <w:rPr>
          <w:sz w:val="24"/>
        </w:rPr>
        <w:t>18.</w:t>
      </w:r>
      <w:r w:rsidRPr="00C43805">
        <w:rPr>
          <w:sz w:val="24"/>
        </w:rPr>
        <w:tab/>
      </w:r>
      <w:r w:rsidRPr="00C43805">
        <w:rPr>
          <w:sz w:val="24"/>
          <w:u w:val="single"/>
        </w:rPr>
        <w:t>Certification Statement</w:t>
      </w:r>
    </w:p>
    <w:p w:rsidR="008F1EB4" w:rsidRPr="00C4380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2365E0" w:rsidRDefault="00C43805" w:rsidP="00236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43805">
        <w:rPr>
          <w:sz w:val="24"/>
        </w:rPr>
        <w:t>There are no exceptions to this certification statement.</w:t>
      </w:r>
    </w:p>
    <w:sectPr w:rsidR="000F3AF4" w:rsidRPr="002365E0">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DF" w:rsidRDefault="005021DF">
      <w:r>
        <w:separator/>
      </w:r>
    </w:p>
  </w:endnote>
  <w:endnote w:type="continuationSeparator" w:id="0">
    <w:p w:rsidR="005021DF" w:rsidRDefault="0050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A1877">
      <w:rPr>
        <w:noProof/>
        <w:sz w:val="24"/>
      </w:rPr>
      <w:t>9</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DF" w:rsidRDefault="005021DF">
      <w:r>
        <w:separator/>
      </w:r>
    </w:p>
  </w:footnote>
  <w:footnote w:type="continuationSeparator" w:id="0">
    <w:p w:rsidR="005021DF" w:rsidRDefault="00502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6C8" w:rsidRDefault="007746C8" w:rsidP="00482E46">
    <w:pPr>
      <w:spacing w:line="240" w:lineRule="exact"/>
      <w:jc w:val="right"/>
    </w:pPr>
    <w:r>
      <w:rPr>
        <w:rStyle w:val="PageNumber"/>
      </w:rPr>
      <w:fldChar w:fldCharType="begin"/>
    </w:r>
    <w:r>
      <w:rPr>
        <w:rStyle w:val="PageNumber"/>
      </w:rPr>
      <w:instrText xml:space="preserve"> PAGE </w:instrText>
    </w:r>
    <w:r>
      <w:rPr>
        <w:rStyle w:val="PageNumber"/>
      </w:rPr>
      <w:fldChar w:fldCharType="separate"/>
    </w:r>
    <w:r w:rsidR="002A1877">
      <w:rPr>
        <w:rStyle w:val="PageNumber"/>
        <w:noProof/>
      </w:rPr>
      <w:t>9</w:t>
    </w:r>
    <w:r>
      <w:rPr>
        <w:rStyle w:val="PageNumber"/>
      </w:rPr>
      <w:fldChar w:fldCharType="end"/>
    </w:r>
  </w:p>
  <w:p w:rsidR="007746C8" w:rsidRDefault="007746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E2C"/>
    <w:multiLevelType w:val="hybridMultilevel"/>
    <w:tmpl w:val="F5427D78"/>
    <w:lvl w:ilvl="0" w:tplc="D688A6E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332732"/>
    <w:multiLevelType w:val="hybridMultilevel"/>
    <w:tmpl w:val="345C3F5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8F7A00"/>
    <w:multiLevelType w:val="hybridMultilevel"/>
    <w:tmpl w:val="C7EEA178"/>
    <w:lvl w:ilvl="0" w:tplc="04090019">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4AA397F"/>
    <w:multiLevelType w:val="hybridMultilevel"/>
    <w:tmpl w:val="18C0DF0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85591E"/>
    <w:multiLevelType w:val="hybridMultilevel"/>
    <w:tmpl w:val="9FA623F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41418DE"/>
    <w:multiLevelType w:val="hybridMultilevel"/>
    <w:tmpl w:val="60202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4C0430"/>
    <w:multiLevelType w:val="hybridMultilevel"/>
    <w:tmpl w:val="17A2EC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3F9C7B72"/>
    <w:multiLevelType w:val="hybridMultilevel"/>
    <w:tmpl w:val="41A2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FA6B18"/>
    <w:multiLevelType w:val="hybridMultilevel"/>
    <w:tmpl w:val="BC9AFDE0"/>
    <w:lvl w:ilvl="0" w:tplc="D688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041A1E"/>
    <w:multiLevelType w:val="hybridMultilevel"/>
    <w:tmpl w:val="5F827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0D7EDD"/>
    <w:multiLevelType w:val="hybridMultilevel"/>
    <w:tmpl w:val="5C3488B4"/>
    <w:lvl w:ilvl="0" w:tplc="D688A6E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0E62C9"/>
    <w:multiLevelType w:val="hybridMultilevel"/>
    <w:tmpl w:val="1A4E7F42"/>
    <w:lvl w:ilvl="0" w:tplc="20D6F3B4">
      <w:start w:val="1"/>
      <w:numFmt w:val="decimal"/>
      <w:lvlText w:val="(%1)"/>
      <w:lvlJc w:val="left"/>
      <w:pPr>
        <w:ind w:left="1800" w:hanging="360"/>
      </w:pPr>
      <w:rPr>
        <w:rFonts w:hint="default"/>
      </w:rPr>
    </w:lvl>
    <w:lvl w:ilvl="1" w:tplc="9870809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53370B"/>
    <w:multiLevelType w:val="hybridMultilevel"/>
    <w:tmpl w:val="8B76A2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9"/>
  </w:num>
  <w:num w:numId="6">
    <w:abstractNumId w:val="10"/>
  </w:num>
  <w:num w:numId="7">
    <w:abstractNumId w:val="1"/>
  </w:num>
  <w:num w:numId="8">
    <w:abstractNumId w:val="11"/>
  </w:num>
  <w:num w:numId="9">
    <w:abstractNumId w:val="7"/>
  </w:num>
  <w:num w:numId="10">
    <w:abstractNumId w:val="2"/>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9D2"/>
    <w:rsid w:val="00025A28"/>
    <w:rsid w:val="000A7196"/>
    <w:rsid w:val="000B03D7"/>
    <w:rsid w:val="000B5221"/>
    <w:rsid w:val="000F3AF4"/>
    <w:rsid w:val="000F3E92"/>
    <w:rsid w:val="001414BC"/>
    <w:rsid w:val="00202161"/>
    <w:rsid w:val="00210FC5"/>
    <w:rsid w:val="00213553"/>
    <w:rsid w:val="0022639B"/>
    <w:rsid w:val="002365E0"/>
    <w:rsid w:val="0026569A"/>
    <w:rsid w:val="0027531D"/>
    <w:rsid w:val="00282C14"/>
    <w:rsid w:val="002A1877"/>
    <w:rsid w:val="002A6D4E"/>
    <w:rsid w:val="00381CA0"/>
    <w:rsid w:val="003A3854"/>
    <w:rsid w:val="003A608E"/>
    <w:rsid w:val="003C3000"/>
    <w:rsid w:val="003F46FF"/>
    <w:rsid w:val="004017D8"/>
    <w:rsid w:val="0042059B"/>
    <w:rsid w:val="00432D3F"/>
    <w:rsid w:val="0043438D"/>
    <w:rsid w:val="004924E2"/>
    <w:rsid w:val="004B1239"/>
    <w:rsid w:val="004F04D1"/>
    <w:rsid w:val="004F1BDE"/>
    <w:rsid w:val="005021DF"/>
    <w:rsid w:val="005072C3"/>
    <w:rsid w:val="005519D9"/>
    <w:rsid w:val="00564D54"/>
    <w:rsid w:val="0057049D"/>
    <w:rsid w:val="00573A98"/>
    <w:rsid w:val="00581C95"/>
    <w:rsid w:val="005972E8"/>
    <w:rsid w:val="005F5B44"/>
    <w:rsid w:val="006271B7"/>
    <w:rsid w:val="00634530"/>
    <w:rsid w:val="006348AF"/>
    <w:rsid w:val="006379C5"/>
    <w:rsid w:val="00685A79"/>
    <w:rsid w:val="006E6E6D"/>
    <w:rsid w:val="00724458"/>
    <w:rsid w:val="00745DC3"/>
    <w:rsid w:val="007746C8"/>
    <w:rsid w:val="007855BF"/>
    <w:rsid w:val="007B75AB"/>
    <w:rsid w:val="007E5FEF"/>
    <w:rsid w:val="0083278D"/>
    <w:rsid w:val="008518A3"/>
    <w:rsid w:val="00853ECD"/>
    <w:rsid w:val="008632A3"/>
    <w:rsid w:val="00870D59"/>
    <w:rsid w:val="008A730C"/>
    <w:rsid w:val="008F1EB4"/>
    <w:rsid w:val="008F76E9"/>
    <w:rsid w:val="00921FC3"/>
    <w:rsid w:val="00947335"/>
    <w:rsid w:val="009B050C"/>
    <w:rsid w:val="009B233F"/>
    <w:rsid w:val="009B2E8D"/>
    <w:rsid w:val="009E38B8"/>
    <w:rsid w:val="00A21BBC"/>
    <w:rsid w:val="00A4217E"/>
    <w:rsid w:val="00A529BC"/>
    <w:rsid w:val="00A54E6F"/>
    <w:rsid w:val="00A62148"/>
    <w:rsid w:val="00A71151"/>
    <w:rsid w:val="00AA28DF"/>
    <w:rsid w:val="00AA3BF5"/>
    <w:rsid w:val="00AB06AD"/>
    <w:rsid w:val="00AB357F"/>
    <w:rsid w:val="00AC12F6"/>
    <w:rsid w:val="00AD49AE"/>
    <w:rsid w:val="00AD6616"/>
    <w:rsid w:val="00AD68A0"/>
    <w:rsid w:val="00AE0EC4"/>
    <w:rsid w:val="00AE58CD"/>
    <w:rsid w:val="00B03EAB"/>
    <w:rsid w:val="00B26237"/>
    <w:rsid w:val="00B5509C"/>
    <w:rsid w:val="00B71C90"/>
    <w:rsid w:val="00BA178D"/>
    <w:rsid w:val="00BC2758"/>
    <w:rsid w:val="00BD75FB"/>
    <w:rsid w:val="00BE659E"/>
    <w:rsid w:val="00C108E0"/>
    <w:rsid w:val="00C368A0"/>
    <w:rsid w:val="00C402C5"/>
    <w:rsid w:val="00C43805"/>
    <w:rsid w:val="00C45E13"/>
    <w:rsid w:val="00CD2C9F"/>
    <w:rsid w:val="00D2216A"/>
    <w:rsid w:val="00D31F71"/>
    <w:rsid w:val="00D41882"/>
    <w:rsid w:val="00D87D73"/>
    <w:rsid w:val="00DD2760"/>
    <w:rsid w:val="00E066C1"/>
    <w:rsid w:val="00E06BA5"/>
    <w:rsid w:val="00E35E50"/>
    <w:rsid w:val="00E42C5F"/>
    <w:rsid w:val="00EF1152"/>
    <w:rsid w:val="00EF3002"/>
    <w:rsid w:val="00F03451"/>
    <w:rsid w:val="00F05202"/>
    <w:rsid w:val="00F10838"/>
    <w:rsid w:val="00F21B2F"/>
    <w:rsid w:val="00F44B38"/>
    <w:rsid w:val="00F703EB"/>
    <w:rsid w:val="00F74D68"/>
    <w:rsid w:val="00F82C86"/>
    <w:rsid w:val="00FB405A"/>
    <w:rsid w:val="00FB57E8"/>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213553"/>
    <w:pPr>
      <w:autoSpaceDE w:val="0"/>
      <w:autoSpaceDN w:val="0"/>
      <w:adjustRightInd w:val="0"/>
    </w:pPr>
    <w:rPr>
      <w:color w:val="000000"/>
      <w:sz w:val="24"/>
      <w:szCs w:val="24"/>
    </w:rPr>
  </w:style>
  <w:style w:type="character" w:styleId="Hyperlink">
    <w:name w:val="Hyperlink"/>
    <w:basedOn w:val="DefaultParagraphFont"/>
    <w:rsid w:val="00AB357F"/>
    <w:rPr>
      <w:color w:val="0000FF" w:themeColor="hyperlink"/>
      <w:u w:val="single"/>
    </w:rPr>
  </w:style>
  <w:style w:type="paragraph" w:styleId="ListParagraph">
    <w:name w:val="List Paragraph"/>
    <w:basedOn w:val="Normal"/>
    <w:uiPriority w:val="34"/>
    <w:qFormat/>
    <w:rsid w:val="00D87D73"/>
    <w:pPr>
      <w:autoSpaceDE/>
      <w:autoSpaceDN/>
      <w:adjustRightInd/>
      <w:ind w:left="720"/>
      <w:contextualSpacing/>
    </w:pPr>
    <w:rPr>
      <w:snapToGrid w:val="0"/>
      <w:sz w:val="24"/>
      <w:szCs w:val="20"/>
    </w:rPr>
  </w:style>
  <w:style w:type="paragraph" w:styleId="BalloonText">
    <w:name w:val="Balloon Text"/>
    <w:basedOn w:val="Normal"/>
    <w:link w:val="BalloonTextChar"/>
    <w:rsid w:val="007B75AB"/>
    <w:rPr>
      <w:rFonts w:ascii="Tahoma" w:hAnsi="Tahoma" w:cs="Tahoma"/>
      <w:sz w:val="16"/>
      <w:szCs w:val="16"/>
    </w:rPr>
  </w:style>
  <w:style w:type="character" w:customStyle="1" w:styleId="BalloonTextChar">
    <w:name w:val="Balloon Text Char"/>
    <w:basedOn w:val="DefaultParagraphFont"/>
    <w:link w:val="BalloonText"/>
    <w:rsid w:val="007B75AB"/>
    <w:rPr>
      <w:rFonts w:ascii="Tahoma" w:hAnsi="Tahoma" w:cs="Tahoma"/>
      <w:sz w:val="16"/>
      <w:szCs w:val="16"/>
    </w:rPr>
  </w:style>
  <w:style w:type="character" w:styleId="PageNumber">
    <w:name w:val="page number"/>
    <w:basedOn w:val="DefaultParagraphFont"/>
    <w:rsid w:val="007746C8"/>
  </w:style>
  <w:style w:type="character" w:styleId="CommentReference">
    <w:name w:val="annotation reference"/>
    <w:basedOn w:val="DefaultParagraphFont"/>
    <w:rsid w:val="00E35E50"/>
    <w:rPr>
      <w:sz w:val="16"/>
      <w:szCs w:val="16"/>
    </w:rPr>
  </w:style>
  <w:style w:type="paragraph" w:styleId="CommentText">
    <w:name w:val="annotation text"/>
    <w:basedOn w:val="Normal"/>
    <w:link w:val="CommentTextChar"/>
    <w:rsid w:val="00E35E50"/>
    <w:rPr>
      <w:szCs w:val="20"/>
    </w:rPr>
  </w:style>
  <w:style w:type="character" w:customStyle="1" w:styleId="CommentTextChar">
    <w:name w:val="Comment Text Char"/>
    <w:basedOn w:val="DefaultParagraphFont"/>
    <w:link w:val="CommentText"/>
    <w:rsid w:val="00E35E50"/>
  </w:style>
  <w:style w:type="paragraph" w:styleId="CommentSubject">
    <w:name w:val="annotation subject"/>
    <w:basedOn w:val="CommentText"/>
    <w:next w:val="CommentText"/>
    <w:link w:val="CommentSubjectChar"/>
    <w:rsid w:val="00E35E50"/>
    <w:rPr>
      <w:b/>
      <w:bCs/>
    </w:rPr>
  </w:style>
  <w:style w:type="character" w:customStyle="1" w:styleId="CommentSubjectChar">
    <w:name w:val="Comment Subject Char"/>
    <w:basedOn w:val="CommentTextChar"/>
    <w:link w:val="CommentSubject"/>
    <w:rsid w:val="00E35E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213553"/>
    <w:pPr>
      <w:autoSpaceDE w:val="0"/>
      <w:autoSpaceDN w:val="0"/>
      <w:adjustRightInd w:val="0"/>
    </w:pPr>
    <w:rPr>
      <w:color w:val="000000"/>
      <w:sz w:val="24"/>
      <w:szCs w:val="24"/>
    </w:rPr>
  </w:style>
  <w:style w:type="character" w:styleId="Hyperlink">
    <w:name w:val="Hyperlink"/>
    <w:basedOn w:val="DefaultParagraphFont"/>
    <w:rsid w:val="00AB357F"/>
    <w:rPr>
      <w:color w:val="0000FF" w:themeColor="hyperlink"/>
      <w:u w:val="single"/>
    </w:rPr>
  </w:style>
  <w:style w:type="paragraph" w:styleId="ListParagraph">
    <w:name w:val="List Paragraph"/>
    <w:basedOn w:val="Normal"/>
    <w:uiPriority w:val="34"/>
    <w:qFormat/>
    <w:rsid w:val="00D87D73"/>
    <w:pPr>
      <w:autoSpaceDE/>
      <w:autoSpaceDN/>
      <w:adjustRightInd/>
      <w:ind w:left="720"/>
      <w:contextualSpacing/>
    </w:pPr>
    <w:rPr>
      <w:snapToGrid w:val="0"/>
      <w:sz w:val="24"/>
      <w:szCs w:val="20"/>
    </w:rPr>
  </w:style>
  <w:style w:type="paragraph" w:styleId="BalloonText">
    <w:name w:val="Balloon Text"/>
    <w:basedOn w:val="Normal"/>
    <w:link w:val="BalloonTextChar"/>
    <w:rsid w:val="007B75AB"/>
    <w:rPr>
      <w:rFonts w:ascii="Tahoma" w:hAnsi="Tahoma" w:cs="Tahoma"/>
      <w:sz w:val="16"/>
      <w:szCs w:val="16"/>
    </w:rPr>
  </w:style>
  <w:style w:type="character" w:customStyle="1" w:styleId="BalloonTextChar">
    <w:name w:val="Balloon Text Char"/>
    <w:basedOn w:val="DefaultParagraphFont"/>
    <w:link w:val="BalloonText"/>
    <w:rsid w:val="007B75AB"/>
    <w:rPr>
      <w:rFonts w:ascii="Tahoma" w:hAnsi="Tahoma" w:cs="Tahoma"/>
      <w:sz w:val="16"/>
      <w:szCs w:val="16"/>
    </w:rPr>
  </w:style>
  <w:style w:type="character" w:styleId="PageNumber">
    <w:name w:val="page number"/>
    <w:basedOn w:val="DefaultParagraphFont"/>
    <w:rsid w:val="007746C8"/>
  </w:style>
  <w:style w:type="character" w:styleId="CommentReference">
    <w:name w:val="annotation reference"/>
    <w:basedOn w:val="DefaultParagraphFont"/>
    <w:rsid w:val="00E35E50"/>
    <w:rPr>
      <w:sz w:val="16"/>
      <w:szCs w:val="16"/>
    </w:rPr>
  </w:style>
  <w:style w:type="paragraph" w:styleId="CommentText">
    <w:name w:val="annotation text"/>
    <w:basedOn w:val="Normal"/>
    <w:link w:val="CommentTextChar"/>
    <w:rsid w:val="00E35E50"/>
    <w:rPr>
      <w:szCs w:val="20"/>
    </w:rPr>
  </w:style>
  <w:style w:type="character" w:customStyle="1" w:styleId="CommentTextChar">
    <w:name w:val="Comment Text Char"/>
    <w:basedOn w:val="DefaultParagraphFont"/>
    <w:link w:val="CommentText"/>
    <w:rsid w:val="00E35E50"/>
  </w:style>
  <w:style w:type="paragraph" w:styleId="CommentSubject">
    <w:name w:val="annotation subject"/>
    <w:basedOn w:val="CommentText"/>
    <w:next w:val="CommentText"/>
    <w:link w:val="CommentSubjectChar"/>
    <w:rsid w:val="00E35E50"/>
    <w:rPr>
      <w:b/>
      <w:bCs/>
    </w:rPr>
  </w:style>
  <w:style w:type="character" w:customStyle="1" w:styleId="CommentSubjectChar">
    <w:name w:val="Comment Subject Char"/>
    <w:basedOn w:val="CommentTextChar"/>
    <w:link w:val="CommentSubject"/>
    <w:rsid w:val="00E35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6945">
      <w:bodyDiv w:val="1"/>
      <w:marLeft w:val="0"/>
      <w:marRight w:val="0"/>
      <w:marTop w:val="0"/>
      <w:marBottom w:val="0"/>
      <w:divBdr>
        <w:top w:val="none" w:sz="0" w:space="0" w:color="auto"/>
        <w:left w:val="none" w:sz="0" w:space="0" w:color="auto"/>
        <w:bottom w:val="none" w:sz="0" w:space="0" w:color="auto"/>
        <w:right w:val="none" w:sz="0" w:space="0" w:color="auto"/>
      </w:divBdr>
    </w:div>
    <w:div w:id="17141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5517</Words>
  <Characters>31058</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3</cp:revision>
  <cp:lastPrinted>2013-07-01T16:45:00Z</cp:lastPrinted>
  <dcterms:created xsi:type="dcterms:W3CDTF">2013-10-29T15:22:00Z</dcterms:created>
  <dcterms:modified xsi:type="dcterms:W3CDTF">2013-10-29T15:22:00Z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-43888043</vt:i4>
  </property>
  <property fmtid="{D5CDD505-2E9C-101B-9397-08002B2CF9AE}" pid="3" name="_NewReviewCycle">
    <vt:lpwstr/>
  </property>
  <property fmtid="{D5CDD505-2E9C-101B-9397-08002B2CF9AE}" pid="4" name="_EmailSubject">
    <vt:lpwstr>MCBS</vt:lpwstr>
  </property>
  <property fmtid="{D5CDD505-2E9C-101B-9397-08002B2CF9AE}" pid="5" name="_AuthorEmail">
    <vt:lpwstr>Jason.Petroski@cms.hhs.gov</vt:lpwstr>
  </property>
  <property fmtid="{D5CDD505-2E9C-101B-9397-08002B2CF9AE}" pid="6" name="_AuthorEmailDisplayName">
    <vt:lpwstr>Petroski, Jason G. (CMS/OEM)</vt:lpwstr>
  </property>
  <property fmtid="{D5CDD505-2E9C-101B-9397-08002B2CF9AE}" pid="7" name="_ReviewingToolsShownOnce">
    <vt:lpwstr/>
  </property>
</Properties>
</file>