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23" w:rsidRPr="00B54823" w:rsidRDefault="00B54823" w:rsidP="00B54823">
      <w:pPr>
        <w:jc w:val="center"/>
        <w:rPr>
          <w:b/>
        </w:rPr>
      </w:pPr>
      <w:r w:rsidRPr="00B54823">
        <w:rPr>
          <w:b/>
        </w:rPr>
        <w:t>Supporting Statement for Paperwork Reduction Act Submissions</w:t>
      </w:r>
    </w:p>
    <w:p w:rsidR="001244C1" w:rsidRDefault="001244C1" w:rsidP="001244C1">
      <w:pPr>
        <w:jc w:val="center"/>
        <w:rPr>
          <w:b/>
        </w:rPr>
      </w:pPr>
      <w:r>
        <w:rPr>
          <w:b/>
        </w:rPr>
        <w:t>Annual Reporting for Manufacturers of Listed Chemicals</w:t>
      </w:r>
    </w:p>
    <w:p w:rsidR="00B54823" w:rsidRPr="00B54823" w:rsidRDefault="00B54823" w:rsidP="00B54823">
      <w:pPr>
        <w:jc w:val="center"/>
        <w:rPr>
          <w:b/>
        </w:rPr>
      </w:pPr>
      <w:r w:rsidRPr="00B54823">
        <w:rPr>
          <w:b/>
        </w:rPr>
        <w:t>OMB</w:t>
      </w:r>
      <w:r w:rsidR="00486CC2">
        <w:rPr>
          <w:b/>
        </w:rPr>
        <w:t xml:space="preserve"> Approval #1117-00</w:t>
      </w:r>
      <w:r w:rsidR="001244C1">
        <w:rPr>
          <w:b/>
        </w:rPr>
        <w:t>29</w:t>
      </w:r>
    </w:p>
    <w:p w:rsidR="00B54823" w:rsidRPr="0086545A" w:rsidRDefault="00B54823" w:rsidP="00A84F9C">
      <w:pPr>
        <w:ind w:left="2160" w:firstLine="720"/>
        <w:rPr>
          <w:rFonts w:cs="Shruti"/>
          <w:b/>
        </w:rPr>
      </w:pPr>
    </w:p>
    <w:p w:rsidR="005038D3" w:rsidRDefault="005038D3" w:rsidP="005038D3"/>
    <w:p w:rsidR="00A84F9C" w:rsidRDefault="00A84F9C" w:rsidP="00E00A7B">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0086545A" w:rsidRPr="0086545A">
        <w:t xml:space="preserve">– </w:t>
      </w:r>
      <w:r>
        <w:t xml:space="preserve">OMB Approval </w:t>
      </w:r>
      <w:r w:rsidR="00687388">
        <w:t>#</w:t>
      </w:r>
      <w:r>
        <w:t>11</w:t>
      </w:r>
      <w:r w:rsidR="00B449EE">
        <w:t>1</w:t>
      </w:r>
      <w:r>
        <w:t>7-00</w:t>
      </w:r>
      <w:r w:rsidR="001244C1">
        <w:t>29</w:t>
      </w:r>
      <w:r>
        <w:t xml:space="preserve">, </w:t>
      </w:r>
      <w:r w:rsidR="001244C1">
        <w:t>Annual Reporting for Manufacturers of Listed Chemicals.</w:t>
      </w:r>
    </w:p>
    <w:p w:rsidR="00A84F9C" w:rsidRDefault="00A84F9C" w:rsidP="005038D3"/>
    <w:p w:rsidR="005038D3" w:rsidRPr="0086545A" w:rsidRDefault="00F73DE8" w:rsidP="005038D3">
      <w:pPr>
        <w:rPr>
          <w:b/>
        </w:rPr>
      </w:pPr>
      <w:r w:rsidRPr="0086545A">
        <w:rPr>
          <w:b/>
        </w:rPr>
        <w:t>Part A.  Justification</w:t>
      </w:r>
    </w:p>
    <w:p w:rsidR="005038D3" w:rsidRDefault="005038D3" w:rsidP="005038D3"/>
    <w:p w:rsidR="00E76F31" w:rsidRDefault="00B763DD" w:rsidP="005038D3">
      <w:r>
        <w:t xml:space="preserve">1. </w:t>
      </w:r>
      <w:r w:rsidR="00F73DE8" w:rsidRPr="0086545A">
        <w:rPr>
          <w:u w:val="single"/>
        </w:rPr>
        <w:t>Necessity of Information</w:t>
      </w:r>
      <w:r w:rsidR="00886498" w:rsidRPr="0086545A">
        <w:rPr>
          <w:u w:val="single"/>
        </w:rPr>
        <w:t>:</w:t>
      </w:r>
      <w:r w:rsidR="00886498">
        <w:t xml:space="preserve"> </w:t>
      </w:r>
    </w:p>
    <w:p w:rsidR="007D1B51" w:rsidRDefault="007D1B51" w:rsidP="001244C1"/>
    <w:p w:rsidR="001244C1" w:rsidRDefault="001244C1" w:rsidP="001244C1">
      <w:r>
        <w:t xml:space="preserve">This information collection permits the </w:t>
      </w:r>
      <w:r w:rsidR="00A303AC">
        <w:t>DEA</w:t>
      </w:r>
      <w:r>
        <w:t xml:space="preserve"> to monitor the volume and availability of domestically manufactured listed chemicals.</w:t>
      </w:r>
      <w:r w:rsidR="002A4117">
        <w:t xml:space="preserve"> </w:t>
      </w:r>
      <w:r>
        <w:t>These listed chemicals may be subject to diversion for the illicit prod</w:t>
      </w:r>
      <w:r w:rsidR="001D5F94">
        <w:t xml:space="preserve">uction of controlled substances.  </w:t>
      </w:r>
      <w:r>
        <w:t>This information collection is authorized by Title 21 U</w:t>
      </w:r>
      <w:r w:rsidR="002A4117">
        <w:t xml:space="preserve">nited States Code, </w:t>
      </w:r>
      <w:r w:rsidR="00242E45">
        <w:t xml:space="preserve">Section 830(b) (21 U.S.C. § </w:t>
      </w:r>
      <w:r w:rsidR="002A4117">
        <w:t>830(b</w:t>
      </w:r>
      <w:r w:rsidR="001D5F94">
        <w:t>)(</w:t>
      </w:r>
      <w:r w:rsidR="007D1B51">
        <w:t>2)</w:t>
      </w:r>
      <w:r w:rsidR="00242E45">
        <w:t>)</w:t>
      </w:r>
      <w:r w:rsidR="009911A4">
        <w:t>.</w:t>
      </w:r>
      <w:r w:rsidR="009911A4" w:rsidRPr="00486CC2">
        <w:t xml:space="preserve"> </w:t>
      </w:r>
      <w:r w:rsidR="002A4117">
        <w:t xml:space="preserve"> </w:t>
      </w:r>
    </w:p>
    <w:p w:rsidR="00DE6049" w:rsidRDefault="00DE6049" w:rsidP="005038D3"/>
    <w:p w:rsidR="00E76F31" w:rsidRDefault="00B763DD" w:rsidP="00364CDC">
      <w:r>
        <w:t xml:space="preserve">2.  </w:t>
      </w:r>
      <w:r w:rsidR="005D6B8B" w:rsidRPr="0086545A">
        <w:rPr>
          <w:u w:val="single"/>
        </w:rPr>
        <w:t>Needs and Uses</w:t>
      </w:r>
      <w:r w:rsidR="00886498" w:rsidRPr="0086545A">
        <w:rPr>
          <w:u w:val="single"/>
        </w:rPr>
        <w:t>:</w:t>
      </w:r>
      <w:r w:rsidR="00886498">
        <w:t xml:space="preserve"> </w:t>
      </w:r>
    </w:p>
    <w:p w:rsidR="00E76F31" w:rsidRDefault="00E76F31" w:rsidP="00364CDC"/>
    <w:p w:rsidR="001244C1" w:rsidRDefault="00E9334D" w:rsidP="001244C1">
      <w:r>
        <w:t xml:space="preserve">The </w:t>
      </w:r>
      <w:r w:rsidR="00486CC2" w:rsidRPr="00486CC2">
        <w:t xml:space="preserve">DEA uses </w:t>
      </w:r>
      <w:r w:rsidR="001244C1">
        <w:t xml:space="preserve">this information from businesses and other for-profit entities which manufacture listed chemicals domestically.  </w:t>
      </w:r>
      <w:r w:rsidR="00057629">
        <w:t>The c</w:t>
      </w:r>
      <w:r w:rsidR="001244C1">
        <w:t xml:space="preserve">ollection of this information enables the </w:t>
      </w:r>
      <w:r w:rsidR="008A527A">
        <w:t>DEA</w:t>
      </w:r>
      <w:r w:rsidR="001244C1">
        <w:t xml:space="preserve"> to monitor the domestic manufacture and availability of listed chemicals.  This reporting is mandated by the Domestic Chemical Diversion Control Act of 1993.  Failure to collect such information would impede </w:t>
      </w:r>
      <w:r w:rsidR="008A527A">
        <w:t xml:space="preserve">the </w:t>
      </w:r>
      <w:r w:rsidR="001244C1">
        <w:t>DEA’s enforcement of the Controlled Substances Act.</w:t>
      </w:r>
    </w:p>
    <w:p w:rsidR="00703A7C" w:rsidRDefault="00703A7C" w:rsidP="00364CDC"/>
    <w:p w:rsidR="00E76F31" w:rsidRDefault="004150F8" w:rsidP="00364CDC">
      <w:r>
        <w:t>3.</w:t>
      </w:r>
      <w:r w:rsidR="00406453" w:rsidRPr="00406453">
        <w:t xml:space="preserve"> </w:t>
      </w:r>
      <w:r w:rsidR="00B763DD">
        <w:t xml:space="preserve"> </w:t>
      </w:r>
      <w:r w:rsidR="00406453" w:rsidRPr="00E73F83">
        <w:rPr>
          <w:u w:val="single"/>
        </w:rPr>
        <w:t>Use of</w:t>
      </w:r>
      <w:r w:rsidR="00A84F9C" w:rsidRPr="00E73F83">
        <w:rPr>
          <w:u w:val="single"/>
        </w:rPr>
        <w:t xml:space="preserve"> Information</w:t>
      </w:r>
      <w:r w:rsidR="00406453" w:rsidRPr="00E73F83">
        <w:rPr>
          <w:u w:val="single"/>
        </w:rPr>
        <w:t xml:space="preserve"> Technology</w:t>
      </w:r>
      <w:r w:rsidR="00886498" w:rsidRPr="0086545A">
        <w:rPr>
          <w:u w:val="single"/>
        </w:rPr>
        <w:t>:</w:t>
      </w:r>
      <w:r w:rsidR="00886498">
        <w:t xml:space="preserve"> </w:t>
      </w:r>
    </w:p>
    <w:p w:rsidR="00E76F31" w:rsidRDefault="00E76F31" w:rsidP="00364CDC"/>
    <w:p w:rsidR="00ED54CD" w:rsidRPr="00991B94" w:rsidRDefault="001244C1" w:rsidP="00991B94">
      <w:pPr>
        <w:rPr>
          <w:noProof/>
        </w:rPr>
      </w:pPr>
      <w:r>
        <w:rPr>
          <w:noProof/>
        </w:rPr>
        <w:t>Each year, businesses domestically manufacturing listed c</w:t>
      </w:r>
      <w:r w:rsidR="009A4EA0">
        <w:rPr>
          <w:noProof/>
        </w:rPr>
        <w:t>hemicals are required to submit the amount of each chemical produced.  Manufacturers create accou</w:t>
      </w:r>
      <w:r w:rsidR="00BE2DC0">
        <w:rPr>
          <w:noProof/>
        </w:rPr>
        <w:t>n</w:t>
      </w:r>
      <w:r w:rsidR="009A4EA0">
        <w:rPr>
          <w:noProof/>
        </w:rPr>
        <w:t>ts which</w:t>
      </w:r>
      <w:r w:rsidR="00991B94" w:rsidRPr="00991B94">
        <w:rPr>
          <w:noProof/>
        </w:rPr>
        <w:t xml:space="preserve"> </w:t>
      </w:r>
      <w:r w:rsidR="00360AD1">
        <w:rPr>
          <w:noProof/>
        </w:rPr>
        <w:t>are</w:t>
      </w:r>
      <w:r w:rsidR="00991B94" w:rsidRPr="00991B94">
        <w:rPr>
          <w:noProof/>
        </w:rPr>
        <w:t xml:space="preserve"> available to be completed and subm</w:t>
      </w:r>
      <w:r w:rsidR="009A4EA0">
        <w:rPr>
          <w:noProof/>
        </w:rPr>
        <w:t xml:space="preserve">itted electronically </w:t>
      </w:r>
      <w:r w:rsidR="00991B94" w:rsidRPr="00991B94">
        <w:rPr>
          <w:noProof/>
        </w:rPr>
        <w:t>on the DEA</w:t>
      </w:r>
      <w:r w:rsidR="00360AD1">
        <w:rPr>
          <w:noProof/>
        </w:rPr>
        <w:t xml:space="preserve"> Office of  Diversion Control </w:t>
      </w:r>
      <w:r w:rsidR="00057629">
        <w:rPr>
          <w:noProof/>
        </w:rPr>
        <w:t>W</w:t>
      </w:r>
      <w:r w:rsidR="00991B94" w:rsidRPr="00991B94">
        <w:rPr>
          <w:noProof/>
        </w:rPr>
        <w:t>eb site (</w:t>
      </w:r>
      <w:hyperlink r:id="rId9" w:history="1">
        <w:r w:rsidR="00991B94" w:rsidRPr="00991B94">
          <w:rPr>
            <w:noProof/>
            <w:color w:val="0000FF" w:themeColor="hyperlink"/>
            <w:u w:val="single"/>
          </w:rPr>
          <w:t>http://www.deadiversion.usdoj.gov</w:t>
        </w:r>
      </w:hyperlink>
      <w:r w:rsidR="00991B94" w:rsidRPr="00991B94">
        <w:rPr>
          <w:noProof/>
        </w:rPr>
        <w:t>)</w:t>
      </w:r>
      <w:r w:rsidR="009A4EA0">
        <w:rPr>
          <w:noProof/>
        </w:rPr>
        <w:t xml:space="preserve">.  The accounts are used to submit reports and update contact information.  </w:t>
      </w:r>
      <w:r w:rsidR="002A4117" w:rsidRPr="00242ADC">
        <w:rPr>
          <w:noProof/>
        </w:rPr>
        <w:t xml:space="preserve">Currently, </w:t>
      </w:r>
      <w:r w:rsidR="00A50885" w:rsidRPr="00242ADC">
        <w:rPr>
          <w:noProof/>
        </w:rPr>
        <w:t>100</w:t>
      </w:r>
      <w:r w:rsidR="002A4117" w:rsidRPr="00242ADC">
        <w:rPr>
          <w:noProof/>
        </w:rPr>
        <w:t>% of DEA annual reports are submitted electronically.</w:t>
      </w:r>
      <w:r w:rsidR="002A4117" w:rsidRPr="00991B94">
        <w:rPr>
          <w:noProof/>
        </w:rPr>
        <w:t xml:space="preserve"> </w:t>
      </w:r>
    </w:p>
    <w:p w:rsidR="000157AD" w:rsidRDefault="000157AD" w:rsidP="00364CDC">
      <w:pPr>
        <w:rPr>
          <w:color w:val="000000"/>
        </w:rPr>
      </w:pPr>
    </w:p>
    <w:p w:rsidR="00E76F31" w:rsidRDefault="00A7508F" w:rsidP="00364CDC">
      <w:pPr>
        <w:rPr>
          <w:color w:val="000000"/>
        </w:rPr>
      </w:pPr>
      <w:r>
        <w:rPr>
          <w:color w:val="000000"/>
        </w:rPr>
        <w:t xml:space="preserve">4. </w:t>
      </w:r>
      <w:r w:rsidR="00B763DD">
        <w:rPr>
          <w:color w:val="000000"/>
        </w:rPr>
        <w:t xml:space="preserve"> </w:t>
      </w:r>
      <w:r w:rsidRPr="0086545A">
        <w:rPr>
          <w:color w:val="000000"/>
          <w:u w:val="single"/>
        </w:rPr>
        <w:t>Efforts to Identify Duplication</w:t>
      </w:r>
      <w:r w:rsidR="00886498" w:rsidRPr="0086545A">
        <w:rPr>
          <w:color w:val="000000"/>
          <w:u w:val="single"/>
        </w:rPr>
        <w:t>:</w:t>
      </w:r>
      <w:r w:rsidR="00886498">
        <w:rPr>
          <w:color w:val="000000"/>
        </w:rPr>
        <w:t xml:space="preserve"> </w:t>
      </w:r>
    </w:p>
    <w:p w:rsidR="00E76F31" w:rsidRDefault="00E76F31" w:rsidP="00364CDC">
      <w:pPr>
        <w:rPr>
          <w:color w:val="000000"/>
        </w:rPr>
      </w:pPr>
    </w:p>
    <w:p w:rsidR="00E9334D" w:rsidRDefault="00682AC6" w:rsidP="00364CDC">
      <w:r w:rsidRPr="00682AC6">
        <w:t xml:space="preserve">The DEA has made efforts to identify and prevent duplication of the collection of information.  The collection of this information is unique to the DEA.  </w:t>
      </w:r>
    </w:p>
    <w:p w:rsidR="00ED54CD" w:rsidRDefault="00ED54CD" w:rsidP="00364CDC"/>
    <w:p w:rsidR="00E76F31" w:rsidRDefault="00A7508F" w:rsidP="00364CDC">
      <w:r>
        <w:t xml:space="preserve">5. </w:t>
      </w:r>
      <w:r w:rsidR="00B763DD">
        <w:t xml:space="preserve"> </w:t>
      </w:r>
      <w:r w:rsidR="00A84F9C" w:rsidRPr="0086545A">
        <w:rPr>
          <w:u w:val="single"/>
        </w:rPr>
        <w:t>Impact</w:t>
      </w:r>
      <w:r w:rsidRPr="0086545A">
        <w:rPr>
          <w:u w:val="single"/>
        </w:rPr>
        <w:t xml:space="preserve"> on Small Businesses</w:t>
      </w:r>
      <w:r w:rsidR="00A84F9C" w:rsidRPr="0086545A">
        <w:rPr>
          <w:u w:val="single"/>
        </w:rPr>
        <w:t xml:space="preserve"> or Entities</w:t>
      </w:r>
      <w:r w:rsidR="00886498">
        <w:t>:</w:t>
      </w:r>
    </w:p>
    <w:p w:rsidR="00F81836" w:rsidRDefault="00F81836" w:rsidP="009911A4"/>
    <w:p w:rsidR="00886498" w:rsidRDefault="00057629" w:rsidP="009911A4">
      <w:pPr>
        <w:rPr>
          <w:rStyle w:val="CommentReference"/>
        </w:rPr>
      </w:pPr>
      <w:r w:rsidRPr="00057629">
        <w:lastRenderedPageBreak/>
        <w:t>Th</w:t>
      </w:r>
      <w:r w:rsidR="00F81836">
        <w:t>is</w:t>
      </w:r>
      <w:r w:rsidRPr="00057629">
        <w:t xml:space="preserve"> </w:t>
      </w:r>
      <w:r w:rsidR="00F81836">
        <w:t>information collection</w:t>
      </w:r>
      <w:r w:rsidRPr="00057629">
        <w:t xml:space="preserve"> will not have a significant economic impact on small businesses or other small entities within the meaning and intent of the Regulatory Flexibility Act, 5 U.S.C. 601–612.  </w:t>
      </w:r>
    </w:p>
    <w:p w:rsidR="009911A4" w:rsidRDefault="009911A4" w:rsidP="009911A4"/>
    <w:p w:rsidR="00E76F31" w:rsidRDefault="00A7508F" w:rsidP="00364CDC">
      <w:r>
        <w:t xml:space="preserve">6. </w:t>
      </w:r>
      <w:r w:rsidR="00B763DD">
        <w:t xml:space="preserve"> </w:t>
      </w:r>
      <w:r w:rsidRPr="0086545A">
        <w:rPr>
          <w:u w:val="single"/>
        </w:rPr>
        <w:t>Consequences of Less Frequent Collection</w:t>
      </w:r>
      <w:r w:rsidR="00886498" w:rsidRPr="0086545A">
        <w:rPr>
          <w:u w:val="single"/>
        </w:rPr>
        <w:t>:</w:t>
      </w:r>
      <w:r w:rsidR="00886498">
        <w:t xml:space="preserve"> </w:t>
      </w:r>
    </w:p>
    <w:p w:rsidR="00E76F31" w:rsidRDefault="00E76F31" w:rsidP="00364CDC"/>
    <w:p w:rsidR="00923609" w:rsidRDefault="007D1B51" w:rsidP="00364CDC">
      <w:r>
        <w:t xml:space="preserve">This information collection is required by law on a yearly basis.  This yearly reporting requirement permits the </w:t>
      </w:r>
      <w:r w:rsidR="00A303AC">
        <w:t xml:space="preserve">DEA </w:t>
      </w:r>
      <w:r>
        <w:t>to carry out its policies and programs as they relate to the diversion of listed chemicals for the illicit manufacture of controlled substances.  Businesses and other for-profit entities manufacturing listed chemicals maintain the requested data as part of usual and customary business practice.</w:t>
      </w:r>
    </w:p>
    <w:p w:rsidR="007D1B51" w:rsidRDefault="007D1B51" w:rsidP="00364CDC"/>
    <w:p w:rsidR="00E76F31" w:rsidRDefault="00A7508F" w:rsidP="00364CDC">
      <w:r>
        <w:t xml:space="preserve">7. </w:t>
      </w:r>
      <w:r w:rsidR="00B763DD">
        <w:t xml:space="preserve"> </w:t>
      </w:r>
      <w:r w:rsidRPr="0086545A">
        <w:rPr>
          <w:u w:val="single"/>
        </w:rPr>
        <w:t>Special Circumstances Influencing Collection</w:t>
      </w:r>
      <w:r w:rsidR="00886498" w:rsidRPr="0086545A">
        <w:rPr>
          <w:u w:val="single"/>
        </w:rPr>
        <w:t>:</w:t>
      </w:r>
      <w:r w:rsidR="00886498">
        <w:t xml:space="preserve"> </w:t>
      </w:r>
    </w:p>
    <w:p w:rsidR="00E76F31" w:rsidRDefault="00E76F31" w:rsidP="00364CDC"/>
    <w:p w:rsidR="00A7508F" w:rsidRDefault="00B5274C" w:rsidP="00364CDC">
      <w:r>
        <w:t>There are no special circumstances applicable</w:t>
      </w:r>
      <w:r w:rsidR="007D1B51">
        <w:t xml:space="preserve"> to this information collection.  R</w:t>
      </w:r>
      <w:r w:rsidR="006F5B00">
        <w:t>espondents submit yearly reports in which the requested information is maintained as a usual and customary business practice.</w:t>
      </w:r>
      <w:r w:rsidR="00EA0412">
        <w:t xml:space="preserve">  </w:t>
      </w:r>
    </w:p>
    <w:p w:rsidR="00886498" w:rsidRDefault="00886498" w:rsidP="00364CDC"/>
    <w:p w:rsidR="00E76F31" w:rsidRDefault="00EA0412" w:rsidP="00364CDC">
      <w:r>
        <w:t xml:space="preserve">8. </w:t>
      </w:r>
      <w:r w:rsidR="00B763DD">
        <w:t xml:space="preserve"> </w:t>
      </w:r>
      <w:r w:rsidR="00A84F9C" w:rsidRPr="0086545A">
        <w:rPr>
          <w:u w:val="single"/>
        </w:rPr>
        <w:t>Consultation with persons outside the Agency:</w:t>
      </w:r>
      <w:r w:rsidR="00A84F9C">
        <w:t xml:space="preserve"> </w:t>
      </w:r>
    </w:p>
    <w:p w:rsidR="00E76F31" w:rsidRDefault="00E76F31" w:rsidP="00364CDC"/>
    <w:p w:rsidR="00E91224" w:rsidRDefault="00015843" w:rsidP="00455755">
      <w:r>
        <w:t>Public comment was solicited in the 60-day Federal Register Notice o</w:t>
      </w:r>
      <w:r w:rsidR="005924C8">
        <w:t>f Information Collection,</w:t>
      </w:r>
      <w:r w:rsidR="00934EE3">
        <w:t xml:space="preserve"> 81</w:t>
      </w:r>
      <w:r w:rsidR="00E50782">
        <w:t xml:space="preserve"> FR</w:t>
      </w:r>
      <w:r w:rsidR="005924C8">
        <w:t xml:space="preserve"> </w:t>
      </w:r>
      <w:r w:rsidR="00934EE3">
        <w:t>1443</w:t>
      </w:r>
      <w:r w:rsidR="005924C8">
        <w:t xml:space="preserve">, published </w:t>
      </w:r>
      <w:r w:rsidR="00934EE3">
        <w:t>January 12</w:t>
      </w:r>
      <w:r w:rsidR="00360AD1">
        <w:t>, 2016</w:t>
      </w:r>
      <w:r>
        <w:t xml:space="preserve"> and the 30-day Federal Register Notice of Information Collection, </w:t>
      </w:r>
      <w:r w:rsidR="00934EE3">
        <w:t>81</w:t>
      </w:r>
      <w:r w:rsidR="00E50782">
        <w:t xml:space="preserve"> FR </w:t>
      </w:r>
      <w:r w:rsidR="0099523E">
        <w:t>15351</w:t>
      </w:r>
      <w:r w:rsidR="00E50782">
        <w:t>,</w:t>
      </w:r>
      <w:r w:rsidR="005C291B">
        <w:t xml:space="preserve"> </w:t>
      </w:r>
      <w:r>
        <w:t xml:space="preserve">published </w:t>
      </w:r>
      <w:r w:rsidR="0099523E">
        <w:t>March 22</w:t>
      </w:r>
      <w:bookmarkStart w:id="0" w:name="_GoBack"/>
      <w:bookmarkEnd w:id="0"/>
      <w:r w:rsidR="00360AD1">
        <w:t>, 2016</w:t>
      </w:r>
      <w:r>
        <w:t>.  The DEA did not receive any comments concerning this collection.</w:t>
      </w:r>
    </w:p>
    <w:p w:rsidR="00015843" w:rsidRDefault="00015843" w:rsidP="00455755"/>
    <w:p w:rsidR="00015843" w:rsidRDefault="00015843" w:rsidP="00455755">
      <w: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015843" w:rsidRDefault="00015843" w:rsidP="00455755"/>
    <w:p w:rsidR="00E76F31" w:rsidRDefault="00533C25" w:rsidP="00364CDC">
      <w:r>
        <w:t xml:space="preserve">9. </w:t>
      </w:r>
      <w:r w:rsidR="00B763DD">
        <w:t xml:space="preserve"> </w:t>
      </w:r>
      <w:r w:rsidRPr="0086545A">
        <w:rPr>
          <w:u w:val="single"/>
        </w:rPr>
        <w:t>Payment or Gift to Claimants</w:t>
      </w:r>
      <w:r w:rsidR="00886498" w:rsidRPr="0086545A">
        <w:rPr>
          <w:u w:val="single"/>
        </w:rPr>
        <w:t>:</w:t>
      </w:r>
      <w:r w:rsidR="00886498">
        <w:t xml:space="preserve"> </w:t>
      </w:r>
    </w:p>
    <w:p w:rsidR="00E76F31" w:rsidRDefault="00E76F31" w:rsidP="00364CDC"/>
    <w:p w:rsidR="00533C25" w:rsidRDefault="00362449" w:rsidP="00364CDC">
      <w:r>
        <w:t>This collection of information does not propose to provide any payment o</w:t>
      </w:r>
      <w:r w:rsidR="00E719E1">
        <w:t>r</w:t>
      </w:r>
      <w:r>
        <w:t xml:space="preserve"> gift to respondents.  </w:t>
      </w:r>
    </w:p>
    <w:p w:rsidR="00886498" w:rsidRDefault="00886498" w:rsidP="00364CDC"/>
    <w:p w:rsidR="00E76F31" w:rsidRDefault="00410863" w:rsidP="00364CDC">
      <w:r>
        <w:t xml:space="preserve">10. </w:t>
      </w:r>
      <w:r w:rsidR="00B763DD">
        <w:t xml:space="preserve"> </w:t>
      </w:r>
      <w:r w:rsidRPr="0086545A">
        <w:rPr>
          <w:u w:val="single"/>
        </w:rPr>
        <w:t>Assurance of Confidentiality</w:t>
      </w:r>
      <w:r w:rsidR="00886498" w:rsidRPr="0086545A">
        <w:rPr>
          <w:u w:val="single"/>
        </w:rPr>
        <w:t>:</w:t>
      </w:r>
      <w:r w:rsidR="00886498">
        <w:t xml:space="preserve"> </w:t>
      </w:r>
    </w:p>
    <w:p w:rsidR="007005F4" w:rsidRDefault="007005F4" w:rsidP="007005F4"/>
    <w:p w:rsidR="00410863" w:rsidRDefault="00E719E1" w:rsidP="00364CDC">
      <w:r w:rsidRPr="00E719E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834C96" w:rsidRDefault="00834C96" w:rsidP="00364CDC"/>
    <w:p w:rsidR="00E76F31" w:rsidRDefault="00410863" w:rsidP="00364CDC">
      <w:r>
        <w:t xml:space="preserve">11. </w:t>
      </w:r>
      <w:r w:rsidR="00B763DD">
        <w:t xml:space="preserve"> </w:t>
      </w:r>
      <w:r w:rsidRPr="0086545A">
        <w:rPr>
          <w:u w:val="single"/>
        </w:rPr>
        <w:t>Justification for Sensitive Questions</w:t>
      </w:r>
      <w:r w:rsidR="00801C74" w:rsidRPr="0086545A">
        <w:rPr>
          <w:u w:val="single"/>
        </w:rPr>
        <w:t>:</w:t>
      </w:r>
      <w:r w:rsidR="00801C74">
        <w:t xml:space="preserve"> </w:t>
      </w:r>
    </w:p>
    <w:p w:rsidR="00E76F31" w:rsidRDefault="00E76F31" w:rsidP="00364CDC"/>
    <w:p w:rsidR="00410863" w:rsidRDefault="000A765F" w:rsidP="00364CDC">
      <w:r>
        <w:t xml:space="preserve">This collection of information does not ask any questions of a sensitive nature. </w:t>
      </w:r>
    </w:p>
    <w:p w:rsidR="00801C74" w:rsidRDefault="00801C74" w:rsidP="00364CDC"/>
    <w:p w:rsidR="001358D7" w:rsidRDefault="001358D7" w:rsidP="001358D7">
      <w:r w:rsidRPr="00242ADC">
        <w:t xml:space="preserve">12. </w:t>
      </w:r>
      <w:r w:rsidR="00B763DD" w:rsidRPr="00242ADC">
        <w:t xml:space="preserve"> </w:t>
      </w:r>
      <w:r w:rsidRPr="00242ADC">
        <w:rPr>
          <w:u w:val="single"/>
        </w:rPr>
        <w:t>Estimate</w:t>
      </w:r>
      <w:r w:rsidR="00451924" w:rsidRPr="00242ADC">
        <w:rPr>
          <w:u w:val="single"/>
        </w:rPr>
        <w:t xml:space="preserve"> of</w:t>
      </w:r>
      <w:r w:rsidRPr="00242ADC">
        <w:rPr>
          <w:u w:val="single"/>
        </w:rPr>
        <w:t xml:space="preserve"> Hour Burden</w:t>
      </w:r>
      <w:r w:rsidRPr="00242ADC">
        <w:t>:</w:t>
      </w:r>
    </w:p>
    <w:p w:rsidR="001358D7" w:rsidRDefault="001358D7" w:rsidP="001358D7"/>
    <w:p w:rsidR="0005421C" w:rsidRDefault="0005421C" w:rsidP="001358D7">
      <w:r>
        <w:t>Reports are made on an annual basis.</w:t>
      </w:r>
      <w:r w:rsidR="0039505B">
        <w:t xml:space="preserve">  All reports are submitted electronically.</w:t>
      </w:r>
    </w:p>
    <w:p w:rsidR="0005421C" w:rsidRDefault="0005421C" w:rsidP="001358D7"/>
    <w:p w:rsidR="00C1790C" w:rsidRDefault="00540498" w:rsidP="00C1790C">
      <w:r>
        <w:t>Total n</w:t>
      </w:r>
      <w:r w:rsidR="00C1790C">
        <w:t xml:space="preserve">umber of </w:t>
      </w:r>
      <w:r>
        <w:t>r</w:t>
      </w:r>
      <w:r w:rsidR="00C1790C">
        <w:t>espondents:</w:t>
      </w:r>
      <w:r w:rsidR="00242ADC">
        <w:t xml:space="preserve"> </w:t>
      </w:r>
      <w:r w:rsidR="00C1790C">
        <w:t xml:space="preserve"> 100</w:t>
      </w:r>
    </w:p>
    <w:p w:rsidR="00540498" w:rsidRDefault="00540498" w:rsidP="00C1790C"/>
    <w:p w:rsidR="00C1790C" w:rsidRDefault="00540498" w:rsidP="00C1790C">
      <w:r>
        <w:t>Total n</w:t>
      </w:r>
      <w:r w:rsidR="00C1790C">
        <w:t xml:space="preserve">umber of </w:t>
      </w:r>
      <w:r>
        <w:t>r</w:t>
      </w:r>
      <w:r w:rsidR="00C1790C">
        <w:t xml:space="preserve">esponses per </w:t>
      </w:r>
      <w:r>
        <w:t>r</w:t>
      </w:r>
      <w:r w:rsidR="00C1790C">
        <w:t>espondent</w:t>
      </w:r>
      <w:r>
        <w:t xml:space="preserve"> per year</w:t>
      </w:r>
      <w:r w:rsidR="00C1790C">
        <w:t xml:space="preserve">: </w:t>
      </w:r>
      <w:r w:rsidR="00E73F83">
        <w:t xml:space="preserve"> </w:t>
      </w:r>
      <w:r w:rsidR="00C1790C">
        <w:t>1</w:t>
      </w:r>
    </w:p>
    <w:p w:rsidR="00540498" w:rsidRDefault="00540498" w:rsidP="00C1790C"/>
    <w:p w:rsidR="00C1790C" w:rsidRDefault="00C1790C" w:rsidP="00C1790C">
      <w:r>
        <w:t xml:space="preserve">Total </w:t>
      </w:r>
      <w:r w:rsidR="00540498">
        <w:t>a</w:t>
      </w:r>
      <w:r>
        <w:t xml:space="preserve">nnual </w:t>
      </w:r>
      <w:r w:rsidR="00540498">
        <w:t>r</w:t>
      </w:r>
      <w:r>
        <w:t>esponses:</w:t>
      </w:r>
      <w:r w:rsidR="00E73F83">
        <w:t xml:space="preserve"> </w:t>
      </w:r>
      <w:r>
        <w:t xml:space="preserve"> 100</w:t>
      </w:r>
    </w:p>
    <w:p w:rsidR="00540498" w:rsidRDefault="00540498" w:rsidP="00C1790C"/>
    <w:p w:rsidR="00C1790C" w:rsidRDefault="00C1790C" w:rsidP="00C1790C">
      <w:r>
        <w:t xml:space="preserve">Total </w:t>
      </w:r>
      <w:r w:rsidR="00FC5039">
        <w:t>annual b</w:t>
      </w:r>
      <w:r>
        <w:t xml:space="preserve">urden </w:t>
      </w:r>
      <w:r w:rsidR="00FC5039">
        <w:t>h</w:t>
      </w:r>
      <w:r>
        <w:t xml:space="preserve">ours: </w:t>
      </w:r>
      <w:r w:rsidR="00242ADC">
        <w:t xml:space="preserve"> </w:t>
      </w:r>
      <w:r w:rsidR="00276989">
        <w:t>25</w:t>
      </w:r>
      <w:r w:rsidR="00FC5039">
        <w:t xml:space="preserve"> </w:t>
      </w:r>
      <w:r>
        <w:t>hours</w:t>
      </w:r>
    </w:p>
    <w:p w:rsidR="00C1790C" w:rsidRDefault="00C1790C" w:rsidP="00C1790C"/>
    <w:p w:rsidR="00C1790C" w:rsidRDefault="00FC5039" w:rsidP="00C1790C">
      <w:r>
        <w:t>Average burden hour:</w:t>
      </w:r>
      <w:r>
        <w:tab/>
      </w:r>
      <w:r>
        <w:tab/>
        <w:t>Per collection:</w:t>
      </w:r>
      <w:r w:rsidR="00242ADC">
        <w:tab/>
      </w:r>
      <w:r w:rsidR="00242ADC">
        <w:tab/>
      </w:r>
      <w:r>
        <w:t>0.</w:t>
      </w:r>
      <w:r w:rsidR="001C4591">
        <w:t xml:space="preserve">25 </w:t>
      </w:r>
      <w:r>
        <w:t>hour</w:t>
      </w:r>
    </w:p>
    <w:p w:rsidR="00FC5039" w:rsidRDefault="00FC5039" w:rsidP="00C1790C"/>
    <w:p w:rsidR="00FC5039" w:rsidRDefault="00FC5039" w:rsidP="00C1790C">
      <w:r>
        <w:tab/>
      </w:r>
      <w:r>
        <w:tab/>
      </w:r>
      <w:r>
        <w:tab/>
      </w:r>
      <w:r>
        <w:tab/>
        <w:t>Per respondent:</w:t>
      </w:r>
      <w:r w:rsidR="00242ADC">
        <w:tab/>
      </w:r>
      <w:r>
        <w:t>0.</w:t>
      </w:r>
      <w:r w:rsidR="001C4591">
        <w:t xml:space="preserve">25 </w:t>
      </w:r>
      <w:r>
        <w:t>hour</w:t>
      </w:r>
    </w:p>
    <w:p w:rsidR="00FC5039" w:rsidRDefault="00FC5039" w:rsidP="00C1790C"/>
    <w:p w:rsidR="00C1790C" w:rsidRDefault="00664BE6" w:rsidP="00577441">
      <w:pPr>
        <w:rPr>
          <w:noProof/>
        </w:rPr>
      </w:pPr>
      <w:r>
        <w:rPr>
          <w:noProof/>
        </w:rPr>
        <w:t>B</w:t>
      </w:r>
      <w:r w:rsidR="00C63417">
        <w:rPr>
          <w:noProof/>
        </w:rPr>
        <w:t>urden dollar:</w:t>
      </w:r>
    </w:p>
    <w:p w:rsidR="00664BE6" w:rsidRDefault="00664BE6" w:rsidP="00577441">
      <w:pPr>
        <w:rPr>
          <w:noProof/>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080"/>
      </w:tblGrid>
      <w:tr w:rsidR="00664BE6" w:rsidTr="00664BE6">
        <w:tc>
          <w:tcPr>
            <w:tcW w:w="4428" w:type="dxa"/>
          </w:tcPr>
          <w:p w:rsidR="00664BE6" w:rsidRDefault="007B3740" w:rsidP="00FC4E5D">
            <w:pPr>
              <w:spacing w:line="480" w:lineRule="auto"/>
              <w:rPr>
                <w:noProof/>
              </w:rPr>
            </w:pPr>
            <w:r>
              <w:rPr>
                <w:noProof/>
              </w:rPr>
              <w:t>Estimate hourly</w:t>
            </w:r>
            <w:r w:rsidR="00F8767A">
              <w:rPr>
                <w:noProof/>
              </w:rPr>
              <w:t xml:space="preserve"> wage</w:t>
            </w:r>
            <w:r w:rsidR="00664BE6">
              <w:rPr>
                <w:noProof/>
              </w:rPr>
              <w:t xml:space="preserve"> ($/hour):</w:t>
            </w:r>
            <w:r w:rsidR="0005421C" w:rsidRPr="0005421C">
              <w:rPr>
                <w:rStyle w:val="FootnoteReference"/>
                <w:noProof/>
                <w:vertAlign w:val="superscript"/>
              </w:rPr>
              <w:footnoteReference w:id="1"/>
            </w:r>
          </w:p>
        </w:tc>
        <w:tc>
          <w:tcPr>
            <w:tcW w:w="1080" w:type="dxa"/>
          </w:tcPr>
          <w:p w:rsidR="00664BE6" w:rsidRDefault="00664BE6" w:rsidP="00FC4E5D">
            <w:pPr>
              <w:spacing w:line="480" w:lineRule="auto"/>
              <w:jc w:val="right"/>
              <w:rPr>
                <w:noProof/>
              </w:rPr>
            </w:pPr>
            <w:r>
              <w:rPr>
                <w:noProof/>
              </w:rPr>
              <w:t>$55.52</w:t>
            </w:r>
          </w:p>
        </w:tc>
      </w:tr>
      <w:tr w:rsidR="00664BE6" w:rsidRPr="0005421C" w:rsidTr="00664BE6">
        <w:tc>
          <w:tcPr>
            <w:tcW w:w="4428" w:type="dxa"/>
          </w:tcPr>
          <w:p w:rsidR="00664BE6" w:rsidRDefault="00664BE6" w:rsidP="00FC4E5D">
            <w:pPr>
              <w:spacing w:line="480" w:lineRule="auto"/>
              <w:rPr>
                <w:noProof/>
              </w:rPr>
            </w:pPr>
            <w:r>
              <w:rPr>
                <w:noProof/>
              </w:rPr>
              <w:t>Load for benefits (percent of labor rate):</w:t>
            </w:r>
            <w:r w:rsidR="007B3740" w:rsidRPr="007B3740">
              <w:rPr>
                <w:rStyle w:val="FootnoteReference"/>
                <w:noProof/>
                <w:vertAlign w:val="superscript"/>
              </w:rPr>
              <w:footnoteReference w:id="2"/>
            </w:r>
          </w:p>
        </w:tc>
        <w:tc>
          <w:tcPr>
            <w:tcW w:w="1080" w:type="dxa"/>
          </w:tcPr>
          <w:p w:rsidR="00664BE6" w:rsidRPr="0005421C" w:rsidRDefault="00664BE6" w:rsidP="00FC4E5D">
            <w:pPr>
              <w:spacing w:line="480" w:lineRule="auto"/>
              <w:jc w:val="right"/>
              <w:rPr>
                <w:noProof/>
              </w:rPr>
            </w:pPr>
            <w:r w:rsidRPr="0005421C">
              <w:rPr>
                <w:noProof/>
              </w:rPr>
              <w:t>43.5%</w:t>
            </w:r>
          </w:p>
        </w:tc>
      </w:tr>
      <w:tr w:rsidR="00664BE6" w:rsidRPr="0005421C" w:rsidTr="00664BE6">
        <w:tc>
          <w:tcPr>
            <w:tcW w:w="4428" w:type="dxa"/>
          </w:tcPr>
          <w:p w:rsidR="00664BE6" w:rsidRDefault="00664BE6" w:rsidP="00FC4E5D">
            <w:pPr>
              <w:spacing w:line="480" w:lineRule="auto"/>
              <w:rPr>
                <w:noProof/>
              </w:rPr>
            </w:pPr>
            <w:r>
              <w:rPr>
                <w:noProof/>
              </w:rPr>
              <w:t>Loaded labor rate ($/hour):</w:t>
            </w:r>
            <w:r w:rsidR="007B3740" w:rsidRPr="007B3740">
              <w:rPr>
                <w:rStyle w:val="FootnoteReference"/>
                <w:noProof/>
                <w:vertAlign w:val="superscript"/>
              </w:rPr>
              <w:footnoteReference w:id="3"/>
            </w:r>
          </w:p>
        </w:tc>
        <w:tc>
          <w:tcPr>
            <w:tcW w:w="1080" w:type="dxa"/>
          </w:tcPr>
          <w:p w:rsidR="00664BE6" w:rsidRPr="0005421C" w:rsidRDefault="00664BE6" w:rsidP="00FC4E5D">
            <w:pPr>
              <w:spacing w:line="480" w:lineRule="auto"/>
              <w:jc w:val="right"/>
              <w:rPr>
                <w:noProof/>
              </w:rPr>
            </w:pPr>
            <w:r w:rsidRPr="0005421C">
              <w:rPr>
                <w:noProof/>
              </w:rPr>
              <w:t>$79.67</w:t>
            </w:r>
          </w:p>
        </w:tc>
      </w:tr>
      <w:tr w:rsidR="00664BE6" w:rsidTr="00664BE6">
        <w:tc>
          <w:tcPr>
            <w:tcW w:w="4428" w:type="dxa"/>
          </w:tcPr>
          <w:p w:rsidR="00664BE6" w:rsidRDefault="00664BE6" w:rsidP="00FC4E5D">
            <w:pPr>
              <w:spacing w:line="480" w:lineRule="auto"/>
              <w:rPr>
                <w:noProof/>
              </w:rPr>
            </w:pPr>
            <w:r>
              <w:rPr>
                <w:noProof/>
              </w:rPr>
              <w:t>Total annual burden dollar:</w:t>
            </w:r>
          </w:p>
        </w:tc>
        <w:tc>
          <w:tcPr>
            <w:tcW w:w="1080" w:type="dxa"/>
          </w:tcPr>
          <w:p w:rsidR="00664BE6" w:rsidRDefault="00664BE6" w:rsidP="0039505B">
            <w:pPr>
              <w:spacing w:line="480" w:lineRule="auto"/>
              <w:jc w:val="right"/>
              <w:rPr>
                <w:noProof/>
              </w:rPr>
            </w:pPr>
            <w:r>
              <w:rPr>
                <w:noProof/>
              </w:rPr>
              <w:t>$</w:t>
            </w:r>
            <w:r w:rsidR="0039505B">
              <w:rPr>
                <w:noProof/>
              </w:rPr>
              <w:t>1,992</w:t>
            </w:r>
          </w:p>
        </w:tc>
      </w:tr>
      <w:tr w:rsidR="00664BE6" w:rsidTr="00664BE6">
        <w:tc>
          <w:tcPr>
            <w:tcW w:w="4428" w:type="dxa"/>
          </w:tcPr>
          <w:p w:rsidR="00664BE6" w:rsidRDefault="00664BE6" w:rsidP="00FC4E5D">
            <w:pPr>
              <w:spacing w:line="480" w:lineRule="auto"/>
              <w:rPr>
                <w:noProof/>
              </w:rPr>
            </w:pPr>
            <w:r>
              <w:rPr>
                <w:noProof/>
              </w:rPr>
              <w:t>Average burden dollars per collection:</w:t>
            </w:r>
          </w:p>
        </w:tc>
        <w:tc>
          <w:tcPr>
            <w:tcW w:w="1080" w:type="dxa"/>
          </w:tcPr>
          <w:p w:rsidR="00664BE6" w:rsidRDefault="00664BE6" w:rsidP="0039505B">
            <w:pPr>
              <w:spacing w:line="480" w:lineRule="auto"/>
              <w:jc w:val="right"/>
              <w:rPr>
                <w:noProof/>
              </w:rPr>
            </w:pPr>
            <w:r>
              <w:rPr>
                <w:noProof/>
              </w:rPr>
              <w:t>$</w:t>
            </w:r>
            <w:r w:rsidR="0039505B">
              <w:rPr>
                <w:noProof/>
              </w:rPr>
              <w:t>19.92</w:t>
            </w:r>
          </w:p>
        </w:tc>
      </w:tr>
    </w:tbl>
    <w:p w:rsidR="000A08B0" w:rsidRDefault="000A08B0" w:rsidP="000A08B0">
      <w:r w:rsidRPr="00E73F83">
        <w:t xml:space="preserve">13. </w:t>
      </w:r>
      <w:r w:rsidR="00B763DD" w:rsidRPr="00E73F83">
        <w:t xml:space="preserve"> </w:t>
      </w:r>
      <w:r w:rsidRPr="00E73F83">
        <w:rPr>
          <w:u w:val="single"/>
        </w:rPr>
        <w:t>Estimate of Cost Burden:</w:t>
      </w:r>
      <w:r>
        <w:t xml:space="preserve">  </w:t>
      </w:r>
    </w:p>
    <w:p w:rsidR="000A08B0" w:rsidRDefault="000A08B0" w:rsidP="009304DC"/>
    <w:p w:rsidR="00577441" w:rsidRPr="00577441" w:rsidRDefault="00577441" w:rsidP="00577441">
      <w:pPr>
        <w:rPr>
          <w:noProof/>
        </w:rPr>
      </w:pPr>
      <w:r w:rsidRPr="00577441">
        <w:rPr>
          <w:noProof/>
        </w:rPr>
        <w:t>The estimated annual cost burden is zero.  Respondents are estimated to not incur any a) additional start-up cost or capital expenditure, or b) additional operation and maintenance costs or purchase services as a result of this information collection.</w:t>
      </w:r>
    </w:p>
    <w:p w:rsidR="00E9334D" w:rsidRDefault="00E9334D" w:rsidP="009304DC"/>
    <w:p w:rsidR="009304DC" w:rsidRDefault="009304DC" w:rsidP="009304DC">
      <w:r w:rsidRPr="00E73F83">
        <w:t xml:space="preserve">14. </w:t>
      </w:r>
      <w:r w:rsidR="00B763DD" w:rsidRPr="00E73F83">
        <w:t xml:space="preserve"> </w:t>
      </w:r>
      <w:r w:rsidRPr="00E73F83">
        <w:rPr>
          <w:u w:val="single"/>
        </w:rPr>
        <w:t>Estimated Annualized Cost to</w:t>
      </w:r>
      <w:r w:rsidR="00A84F9C" w:rsidRPr="00E73F83">
        <w:rPr>
          <w:u w:val="single"/>
        </w:rPr>
        <w:t xml:space="preserve"> the</w:t>
      </w:r>
      <w:r w:rsidRPr="00E73F83">
        <w:rPr>
          <w:u w:val="single"/>
        </w:rPr>
        <w:t xml:space="preserve"> Federal Government:</w:t>
      </w:r>
    </w:p>
    <w:p w:rsidR="00FD3D4C" w:rsidRDefault="00FD3D4C" w:rsidP="00FD3D4C"/>
    <w:p w:rsidR="00E902FA" w:rsidRPr="008929A7" w:rsidRDefault="00E902FA" w:rsidP="00E902FA">
      <w:pPr>
        <w:rPr>
          <w:color w:val="000000"/>
        </w:rPr>
      </w:pPr>
      <w:r w:rsidRPr="008929A7">
        <w:rPr>
          <w:color w:val="000000"/>
        </w:rPr>
        <w:t>Estimated Annual Production Cost to Government:</w:t>
      </w:r>
    </w:p>
    <w:p w:rsidR="00E902FA" w:rsidRDefault="00E902FA" w:rsidP="00C1790C"/>
    <w:p w:rsidR="00C1790C" w:rsidRDefault="00E902FA" w:rsidP="00E902FA">
      <w:pPr>
        <w:ind w:firstLine="720"/>
      </w:pPr>
      <w:r>
        <w:t xml:space="preserve">Production </w:t>
      </w:r>
      <w:r w:rsidR="00C1790C">
        <w:t xml:space="preserve">Costs to Government: </w:t>
      </w:r>
      <w:r w:rsidR="00E73F83">
        <w:t xml:space="preserve"> </w:t>
      </w:r>
      <w:r w:rsidR="00C1790C">
        <w:t>$0</w:t>
      </w:r>
    </w:p>
    <w:p w:rsidR="00E902FA" w:rsidRDefault="00E902FA" w:rsidP="00C1790C"/>
    <w:p w:rsidR="00E902FA" w:rsidRDefault="00E902FA" w:rsidP="00E902FA">
      <w:pPr>
        <w:rPr>
          <w:color w:val="000000"/>
        </w:rPr>
      </w:pPr>
      <w:r w:rsidRPr="008929A7">
        <w:rPr>
          <w:color w:val="000000"/>
        </w:rPr>
        <w:t>Estimated Annual Labor Cost to Government:</w:t>
      </w:r>
    </w:p>
    <w:p w:rsidR="0071464C" w:rsidRDefault="0071464C" w:rsidP="00E902FA">
      <w:pPr>
        <w:rPr>
          <w:color w:val="000000"/>
        </w:rPr>
      </w:pP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028"/>
        <w:gridCol w:w="820"/>
        <w:gridCol w:w="1392"/>
      </w:tblGrid>
      <w:tr w:rsidR="00FC4E5D" w:rsidRPr="00FC4E5D" w:rsidTr="00FC4E5D">
        <w:trPr>
          <w:trHeight w:val="315"/>
        </w:trPr>
        <w:tc>
          <w:tcPr>
            <w:tcW w:w="3240" w:type="dxa"/>
            <w:shd w:val="clear" w:color="auto" w:fill="auto"/>
            <w:noWrap/>
            <w:vAlign w:val="bottom"/>
            <w:hideMark/>
          </w:tcPr>
          <w:p w:rsidR="00E902FA" w:rsidRPr="00FC4E5D" w:rsidRDefault="00E902FA" w:rsidP="00DD3565">
            <w:pPr>
              <w:rPr>
                <w:b/>
                <w:bCs/>
                <w:color w:val="000000"/>
                <w:sz w:val="20"/>
                <w:szCs w:val="20"/>
              </w:rPr>
            </w:pPr>
            <w:r w:rsidRPr="00FC4E5D">
              <w:rPr>
                <w:b/>
                <w:bCs/>
                <w:color w:val="000000"/>
                <w:sz w:val="20"/>
                <w:szCs w:val="20"/>
              </w:rPr>
              <w:t xml:space="preserve">Labor Category </w:t>
            </w:r>
          </w:p>
        </w:tc>
        <w:tc>
          <w:tcPr>
            <w:tcW w:w="1028" w:type="dxa"/>
            <w:shd w:val="clear" w:color="auto" w:fill="auto"/>
            <w:noWrap/>
            <w:vAlign w:val="bottom"/>
            <w:hideMark/>
          </w:tcPr>
          <w:p w:rsidR="00E902FA" w:rsidRPr="00FC4E5D" w:rsidRDefault="00E902FA" w:rsidP="00DD3565">
            <w:pPr>
              <w:rPr>
                <w:b/>
                <w:bCs/>
                <w:color w:val="000000"/>
                <w:sz w:val="20"/>
                <w:szCs w:val="20"/>
              </w:rPr>
            </w:pPr>
            <w:r w:rsidRPr="00FC4E5D">
              <w:rPr>
                <w:b/>
                <w:bCs/>
                <w:color w:val="000000"/>
                <w:sz w:val="20"/>
                <w:szCs w:val="20"/>
              </w:rPr>
              <w:t>Number</w:t>
            </w:r>
          </w:p>
        </w:tc>
        <w:tc>
          <w:tcPr>
            <w:tcW w:w="820" w:type="dxa"/>
            <w:shd w:val="clear" w:color="auto" w:fill="auto"/>
            <w:noWrap/>
            <w:vAlign w:val="bottom"/>
            <w:hideMark/>
          </w:tcPr>
          <w:p w:rsidR="00E902FA" w:rsidRPr="00FC4E5D" w:rsidRDefault="00E902FA" w:rsidP="00E902FA">
            <w:pPr>
              <w:jc w:val="center"/>
              <w:rPr>
                <w:b/>
                <w:bCs/>
                <w:color w:val="000000"/>
                <w:sz w:val="20"/>
                <w:szCs w:val="20"/>
              </w:rPr>
            </w:pPr>
            <w:r w:rsidRPr="00FC4E5D">
              <w:rPr>
                <w:b/>
                <w:bCs/>
                <w:color w:val="000000"/>
                <w:sz w:val="20"/>
                <w:szCs w:val="20"/>
              </w:rPr>
              <w:t>% of time</w:t>
            </w:r>
          </w:p>
        </w:tc>
        <w:tc>
          <w:tcPr>
            <w:tcW w:w="1392" w:type="dxa"/>
            <w:shd w:val="clear" w:color="auto" w:fill="auto"/>
            <w:noWrap/>
            <w:vAlign w:val="bottom"/>
            <w:hideMark/>
          </w:tcPr>
          <w:p w:rsidR="00E902FA" w:rsidRPr="00FC4E5D" w:rsidRDefault="00E902FA" w:rsidP="00E902FA">
            <w:pPr>
              <w:jc w:val="center"/>
              <w:rPr>
                <w:b/>
                <w:bCs/>
                <w:color w:val="000000"/>
                <w:sz w:val="20"/>
                <w:szCs w:val="20"/>
              </w:rPr>
            </w:pPr>
            <w:r w:rsidRPr="00FC4E5D">
              <w:rPr>
                <w:b/>
                <w:bCs/>
                <w:color w:val="000000"/>
                <w:sz w:val="20"/>
                <w:szCs w:val="20"/>
              </w:rPr>
              <w:t>Cost</w:t>
            </w:r>
            <w:r w:rsidR="00FC4E5D" w:rsidRPr="00FC4E5D">
              <w:rPr>
                <w:rStyle w:val="FootnoteReference"/>
                <w:b/>
                <w:bCs/>
                <w:color w:val="000000"/>
                <w:sz w:val="20"/>
                <w:szCs w:val="20"/>
                <w:vertAlign w:val="superscript"/>
              </w:rPr>
              <w:footnoteReference w:id="4"/>
            </w:r>
          </w:p>
        </w:tc>
      </w:tr>
      <w:tr w:rsidR="00FC4E5D" w:rsidRPr="00FC4E5D" w:rsidTr="00FC4E5D">
        <w:trPr>
          <w:trHeight w:val="315"/>
        </w:trPr>
        <w:tc>
          <w:tcPr>
            <w:tcW w:w="3240" w:type="dxa"/>
            <w:shd w:val="clear" w:color="auto" w:fill="auto"/>
            <w:noWrap/>
            <w:vAlign w:val="bottom"/>
            <w:hideMark/>
          </w:tcPr>
          <w:p w:rsidR="00E902FA" w:rsidRPr="00FC4E5D" w:rsidRDefault="00E902FA" w:rsidP="00E902FA">
            <w:pPr>
              <w:rPr>
                <w:bCs/>
                <w:color w:val="000000"/>
                <w:sz w:val="20"/>
                <w:szCs w:val="20"/>
              </w:rPr>
            </w:pPr>
            <w:r w:rsidRPr="00FC4E5D">
              <w:rPr>
                <w:bCs/>
                <w:color w:val="000000"/>
                <w:sz w:val="20"/>
                <w:szCs w:val="20"/>
              </w:rPr>
              <w:t>Program Analyst – GS-14</w:t>
            </w:r>
          </w:p>
        </w:tc>
        <w:tc>
          <w:tcPr>
            <w:tcW w:w="1028" w:type="dxa"/>
            <w:shd w:val="clear" w:color="auto" w:fill="auto"/>
            <w:noWrap/>
            <w:vAlign w:val="bottom"/>
            <w:hideMark/>
          </w:tcPr>
          <w:p w:rsidR="00E902FA" w:rsidRPr="00FC4E5D" w:rsidRDefault="00E902FA" w:rsidP="00E902FA">
            <w:pPr>
              <w:jc w:val="center"/>
              <w:rPr>
                <w:bCs/>
                <w:color w:val="000000"/>
                <w:sz w:val="20"/>
                <w:szCs w:val="20"/>
              </w:rPr>
            </w:pPr>
            <w:r w:rsidRPr="00FC4E5D">
              <w:rPr>
                <w:bCs/>
                <w:color w:val="000000"/>
                <w:sz w:val="20"/>
                <w:szCs w:val="20"/>
              </w:rPr>
              <w:t>1</w:t>
            </w:r>
          </w:p>
        </w:tc>
        <w:tc>
          <w:tcPr>
            <w:tcW w:w="820" w:type="dxa"/>
            <w:shd w:val="clear" w:color="auto" w:fill="auto"/>
            <w:noWrap/>
            <w:vAlign w:val="bottom"/>
            <w:hideMark/>
          </w:tcPr>
          <w:p w:rsidR="00E902FA" w:rsidRPr="00FC4E5D" w:rsidRDefault="00E902FA" w:rsidP="00DD3565">
            <w:pPr>
              <w:jc w:val="right"/>
              <w:rPr>
                <w:bCs/>
                <w:color w:val="000000"/>
                <w:sz w:val="20"/>
                <w:szCs w:val="20"/>
              </w:rPr>
            </w:pPr>
            <w:r w:rsidRPr="00FC4E5D">
              <w:rPr>
                <w:bCs/>
                <w:color w:val="000000"/>
                <w:sz w:val="20"/>
                <w:szCs w:val="20"/>
              </w:rPr>
              <w:t>20%</w:t>
            </w:r>
          </w:p>
        </w:tc>
        <w:tc>
          <w:tcPr>
            <w:tcW w:w="1392" w:type="dxa"/>
            <w:shd w:val="clear" w:color="auto" w:fill="auto"/>
            <w:noWrap/>
            <w:vAlign w:val="bottom"/>
            <w:hideMark/>
          </w:tcPr>
          <w:p w:rsidR="00E902FA" w:rsidRPr="00FC4E5D" w:rsidRDefault="00E902FA" w:rsidP="00E902FA">
            <w:pPr>
              <w:rPr>
                <w:bCs/>
                <w:color w:val="000000"/>
                <w:sz w:val="20"/>
                <w:szCs w:val="20"/>
              </w:rPr>
            </w:pPr>
            <w:r w:rsidRPr="00FC4E5D">
              <w:rPr>
                <w:bCs/>
                <w:color w:val="000000"/>
                <w:sz w:val="20"/>
                <w:szCs w:val="20"/>
              </w:rPr>
              <w:t xml:space="preserve"> $     38,746 </w:t>
            </w:r>
          </w:p>
        </w:tc>
      </w:tr>
      <w:tr w:rsidR="00FC4E5D" w:rsidRPr="00FC4E5D" w:rsidTr="00FC4E5D">
        <w:trPr>
          <w:trHeight w:val="315"/>
        </w:trPr>
        <w:tc>
          <w:tcPr>
            <w:tcW w:w="3240" w:type="dxa"/>
            <w:shd w:val="clear" w:color="auto" w:fill="auto"/>
            <w:noWrap/>
            <w:vAlign w:val="bottom"/>
            <w:hideMark/>
          </w:tcPr>
          <w:p w:rsidR="00E902FA" w:rsidRPr="00FC4E5D" w:rsidRDefault="00E902FA" w:rsidP="00DD3565">
            <w:pPr>
              <w:rPr>
                <w:bCs/>
                <w:color w:val="000000"/>
                <w:sz w:val="20"/>
                <w:szCs w:val="20"/>
              </w:rPr>
            </w:pPr>
            <w:r w:rsidRPr="00FC4E5D">
              <w:rPr>
                <w:bCs/>
                <w:color w:val="000000"/>
                <w:sz w:val="20"/>
                <w:szCs w:val="20"/>
              </w:rPr>
              <w:t>Total</w:t>
            </w:r>
          </w:p>
        </w:tc>
        <w:tc>
          <w:tcPr>
            <w:tcW w:w="1028" w:type="dxa"/>
            <w:shd w:val="clear" w:color="auto" w:fill="auto"/>
            <w:noWrap/>
            <w:vAlign w:val="bottom"/>
            <w:hideMark/>
          </w:tcPr>
          <w:p w:rsidR="00E902FA" w:rsidRPr="00FC4E5D" w:rsidRDefault="00E902FA" w:rsidP="00DD3565">
            <w:pPr>
              <w:rPr>
                <w:bCs/>
                <w:color w:val="000000"/>
                <w:sz w:val="20"/>
                <w:szCs w:val="20"/>
              </w:rPr>
            </w:pPr>
          </w:p>
        </w:tc>
        <w:tc>
          <w:tcPr>
            <w:tcW w:w="820" w:type="dxa"/>
            <w:shd w:val="clear" w:color="auto" w:fill="auto"/>
            <w:noWrap/>
            <w:vAlign w:val="bottom"/>
            <w:hideMark/>
          </w:tcPr>
          <w:p w:rsidR="00E902FA" w:rsidRPr="00FC4E5D" w:rsidRDefault="00E902FA" w:rsidP="00DD3565">
            <w:pPr>
              <w:rPr>
                <w:bCs/>
                <w:color w:val="000000"/>
                <w:sz w:val="20"/>
                <w:szCs w:val="20"/>
              </w:rPr>
            </w:pPr>
          </w:p>
        </w:tc>
        <w:tc>
          <w:tcPr>
            <w:tcW w:w="1392" w:type="dxa"/>
            <w:shd w:val="clear" w:color="auto" w:fill="auto"/>
            <w:noWrap/>
            <w:vAlign w:val="bottom"/>
            <w:hideMark/>
          </w:tcPr>
          <w:p w:rsidR="00E902FA" w:rsidRPr="00FC4E5D" w:rsidRDefault="00E902FA" w:rsidP="00E902FA">
            <w:pPr>
              <w:rPr>
                <w:bCs/>
                <w:color w:val="000000"/>
                <w:sz w:val="20"/>
                <w:szCs w:val="20"/>
              </w:rPr>
            </w:pPr>
            <w:r w:rsidRPr="00FC4E5D">
              <w:rPr>
                <w:bCs/>
                <w:color w:val="000000"/>
                <w:sz w:val="20"/>
                <w:szCs w:val="20"/>
              </w:rPr>
              <w:t xml:space="preserve"> $     38,746 </w:t>
            </w:r>
          </w:p>
        </w:tc>
      </w:tr>
    </w:tbl>
    <w:p w:rsidR="00E902FA" w:rsidRDefault="00FC4E5D" w:rsidP="00C1790C">
      <w:pPr>
        <w:rPr>
          <w:color w:val="000000"/>
          <w:sz w:val="20"/>
        </w:rPr>
      </w:pPr>
      <w:r>
        <w:rPr>
          <w:color w:val="000000"/>
          <w:sz w:val="20"/>
        </w:rPr>
        <w:t>*</w:t>
      </w:r>
      <w:r w:rsidRPr="003238C7">
        <w:rPr>
          <w:color w:val="000000"/>
          <w:sz w:val="20"/>
        </w:rPr>
        <w:t>Figures are rounded.</w:t>
      </w:r>
    </w:p>
    <w:p w:rsidR="00FC4E5D" w:rsidRDefault="00FC4E5D" w:rsidP="00C1790C"/>
    <w:p w:rsidR="00C1790C" w:rsidRDefault="00C1790C" w:rsidP="00C1790C">
      <w:r>
        <w:t>Total costs to Government:</w:t>
      </w:r>
      <w:r w:rsidR="00B40EB0">
        <w:t xml:space="preserve"> </w:t>
      </w:r>
      <w:r>
        <w:t xml:space="preserve"> $</w:t>
      </w:r>
      <w:r w:rsidR="00FC4E5D">
        <w:t>38,746</w:t>
      </w:r>
    </w:p>
    <w:p w:rsidR="00577441" w:rsidRPr="00577441" w:rsidRDefault="00577441" w:rsidP="00577441">
      <w:pPr>
        <w:rPr>
          <w:noProof/>
        </w:rPr>
      </w:pPr>
    </w:p>
    <w:p w:rsidR="00FC4E5D" w:rsidRPr="00F117FD" w:rsidRDefault="00FC4E5D" w:rsidP="00FC4E5D">
      <w:r>
        <w:rPr>
          <w:color w:val="000000"/>
        </w:rPr>
        <w:t>A</w:t>
      </w:r>
      <w:r w:rsidRPr="00F117FD">
        <w:rPr>
          <w:color w:val="000000"/>
        </w:rPr>
        <w:t>ll costs are recovered from registrants through registration fees, as required by the</w:t>
      </w:r>
      <w:r>
        <w:rPr>
          <w:color w:val="000000"/>
        </w:rPr>
        <w:t xml:space="preserve"> CSA</w:t>
      </w:r>
      <w:r w:rsidRPr="00F117FD">
        <w:rPr>
          <w:color w:val="000000"/>
        </w:rPr>
        <w:t>.</w:t>
      </w:r>
      <w:r>
        <w:rPr>
          <w:color w:val="000000"/>
        </w:rPr>
        <w:t xml:space="preserve">  21 U.S.C. 886a.</w:t>
      </w:r>
    </w:p>
    <w:p w:rsidR="00577441" w:rsidRPr="00577441" w:rsidRDefault="00577441" w:rsidP="00577441">
      <w:pPr>
        <w:rPr>
          <w:noProof/>
        </w:rPr>
      </w:pPr>
    </w:p>
    <w:p w:rsidR="00801C74" w:rsidRPr="00A74C21" w:rsidRDefault="00A34480" w:rsidP="00A74C21">
      <w:r w:rsidRPr="00E73F83">
        <w:t xml:space="preserve">15. </w:t>
      </w:r>
      <w:r w:rsidR="00B763DD" w:rsidRPr="00E73F83">
        <w:t xml:space="preserve"> </w:t>
      </w:r>
      <w:r w:rsidRPr="00E73F83">
        <w:rPr>
          <w:u w:val="single"/>
        </w:rPr>
        <w:t>Reasons for Change in Burden</w:t>
      </w:r>
      <w:r w:rsidR="00801C74" w:rsidRPr="00E73F83">
        <w:rPr>
          <w:u w:val="single"/>
        </w:rPr>
        <w:t>:</w:t>
      </w:r>
      <w:r w:rsidR="00977C25" w:rsidRPr="00A74C21">
        <w:t xml:space="preserve"> </w:t>
      </w:r>
      <w:r w:rsidR="007B6879" w:rsidRPr="00A74C21">
        <w:t xml:space="preserve"> </w:t>
      </w:r>
    </w:p>
    <w:p w:rsidR="00015C6C" w:rsidRDefault="00015C6C" w:rsidP="00364CDC"/>
    <w:p w:rsidR="00577441" w:rsidRPr="00577441" w:rsidRDefault="0039505B" w:rsidP="00577441">
      <w:pPr>
        <w:rPr>
          <w:noProof/>
        </w:rPr>
      </w:pPr>
      <w:r w:rsidRPr="0039505B">
        <w:t>Changes to the annual burden hours reflect chemical registrant population adjustments and greater use of online applications, which take less time to complete</w:t>
      </w:r>
      <w:r>
        <w:t xml:space="preserve">. </w:t>
      </w:r>
      <w:r w:rsidRPr="0039505B">
        <w:t xml:space="preserve"> </w:t>
      </w:r>
      <w:r w:rsidR="0071464C">
        <w:t xml:space="preserve">Although there is </w:t>
      </w:r>
      <w:r>
        <w:t>a decrease</w:t>
      </w:r>
      <w:r w:rsidR="0071464C">
        <w:t xml:space="preserve"> in annual burden hours there is an increase in annual burden dollars due to a change in calculation method.*  There have been no statutory or regulatory changes affecting this information collection.  </w:t>
      </w:r>
      <w:r w:rsidR="00577441" w:rsidRPr="00577441">
        <w:rPr>
          <w:noProof/>
        </w:rPr>
        <w:t>The table below summarizes the changes since the last renewal of this information collection.</w:t>
      </w:r>
    </w:p>
    <w:p w:rsidR="00577441" w:rsidRPr="00577441" w:rsidRDefault="00577441" w:rsidP="00577441">
      <w:pPr>
        <w:rPr>
          <w:noProof/>
        </w:rPr>
      </w:pPr>
    </w:p>
    <w:tbl>
      <w:tblPr>
        <w:tblStyle w:val="TableGrid1"/>
        <w:tblW w:w="0" w:type="auto"/>
        <w:tblInd w:w="108" w:type="dxa"/>
        <w:tblLook w:val="04A0" w:firstRow="1" w:lastRow="0" w:firstColumn="1" w:lastColumn="0" w:noHBand="0" w:noVBand="1"/>
      </w:tblPr>
      <w:tblGrid>
        <w:gridCol w:w="2430"/>
        <w:gridCol w:w="1866"/>
        <w:gridCol w:w="2236"/>
        <w:gridCol w:w="1478"/>
      </w:tblGrid>
      <w:tr w:rsidR="00577441" w:rsidRPr="00C54935" w:rsidTr="00E73F83">
        <w:tc>
          <w:tcPr>
            <w:tcW w:w="2430" w:type="dxa"/>
          </w:tcPr>
          <w:p w:rsidR="00577441" w:rsidRPr="00C54935" w:rsidRDefault="00577441" w:rsidP="00577441">
            <w:pPr>
              <w:rPr>
                <w:rFonts w:ascii="Times New Roman" w:hAnsi="Times New Roman"/>
                <w:noProof/>
                <w:sz w:val="20"/>
                <w:szCs w:val="20"/>
              </w:rPr>
            </w:pPr>
          </w:p>
        </w:tc>
        <w:tc>
          <w:tcPr>
            <w:tcW w:w="1866" w:type="dxa"/>
          </w:tcPr>
          <w:p w:rsidR="00577441" w:rsidRPr="00C54935" w:rsidRDefault="00577441" w:rsidP="003B394E">
            <w:pPr>
              <w:jc w:val="center"/>
              <w:rPr>
                <w:rFonts w:ascii="Times New Roman" w:hAnsi="Times New Roman"/>
                <w:b/>
                <w:noProof/>
                <w:sz w:val="20"/>
                <w:szCs w:val="20"/>
              </w:rPr>
            </w:pPr>
            <w:r w:rsidRPr="00C54935">
              <w:rPr>
                <w:rFonts w:ascii="Times New Roman" w:hAnsi="Times New Roman"/>
                <w:b/>
                <w:noProof/>
                <w:sz w:val="20"/>
                <w:szCs w:val="20"/>
              </w:rPr>
              <w:t>2012 Approved Burden</w:t>
            </w:r>
          </w:p>
        </w:tc>
        <w:tc>
          <w:tcPr>
            <w:tcW w:w="2236" w:type="dxa"/>
          </w:tcPr>
          <w:p w:rsidR="00577441" w:rsidRPr="00C54935" w:rsidRDefault="00577441" w:rsidP="003B394E">
            <w:pPr>
              <w:jc w:val="center"/>
              <w:rPr>
                <w:rFonts w:ascii="Times New Roman" w:hAnsi="Times New Roman"/>
                <w:b/>
                <w:noProof/>
                <w:sz w:val="20"/>
                <w:szCs w:val="20"/>
              </w:rPr>
            </w:pPr>
            <w:r w:rsidRPr="00C54935">
              <w:rPr>
                <w:rFonts w:ascii="Times New Roman" w:hAnsi="Times New Roman"/>
                <w:b/>
                <w:noProof/>
                <w:sz w:val="20"/>
                <w:szCs w:val="20"/>
              </w:rPr>
              <w:t>2015 Requested Burden</w:t>
            </w:r>
          </w:p>
        </w:tc>
        <w:tc>
          <w:tcPr>
            <w:tcW w:w="1478" w:type="dxa"/>
          </w:tcPr>
          <w:p w:rsidR="00577441" w:rsidRPr="00C54935" w:rsidRDefault="00577441" w:rsidP="003B394E">
            <w:pPr>
              <w:jc w:val="center"/>
              <w:rPr>
                <w:rFonts w:ascii="Times New Roman" w:hAnsi="Times New Roman"/>
                <w:b/>
                <w:noProof/>
                <w:sz w:val="20"/>
                <w:szCs w:val="20"/>
              </w:rPr>
            </w:pPr>
            <w:r w:rsidRPr="00C54935">
              <w:rPr>
                <w:rFonts w:ascii="Times New Roman" w:hAnsi="Times New Roman"/>
                <w:b/>
                <w:noProof/>
                <w:sz w:val="20"/>
                <w:szCs w:val="20"/>
              </w:rPr>
              <w:t>Difference</w:t>
            </w:r>
          </w:p>
        </w:tc>
      </w:tr>
      <w:tr w:rsidR="00577441" w:rsidRPr="00C54935" w:rsidTr="00E73F83">
        <w:tc>
          <w:tcPr>
            <w:tcW w:w="2430" w:type="dxa"/>
          </w:tcPr>
          <w:p w:rsidR="00577441" w:rsidRPr="00C54935" w:rsidRDefault="00577441" w:rsidP="00577441">
            <w:pPr>
              <w:rPr>
                <w:rFonts w:ascii="Times New Roman" w:hAnsi="Times New Roman"/>
                <w:noProof/>
                <w:sz w:val="20"/>
                <w:szCs w:val="20"/>
              </w:rPr>
            </w:pPr>
            <w:r w:rsidRPr="00C54935">
              <w:rPr>
                <w:rFonts w:ascii="Times New Roman" w:hAnsi="Times New Roman"/>
                <w:noProof/>
                <w:sz w:val="20"/>
                <w:szCs w:val="20"/>
              </w:rPr>
              <w:t>Annual responses</w:t>
            </w:r>
          </w:p>
        </w:tc>
        <w:tc>
          <w:tcPr>
            <w:tcW w:w="1866" w:type="dxa"/>
          </w:tcPr>
          <w:p w:rsidR="00577441" w:rsidRPr="00C54935" w:rsidRDefault="003B394E" w:rsidP="003B394E">
            <w:pPr>
              <w:jc w:val="right"/>
              <w:rPr>
                <w:rFonts w:ascii="Times New Roman" w:hAnsi="Times New Roman"/>
                <w:noProof/>
                <w:sz w:val="20"/>
                <w:szCs w:val="20"/>
              </w:rPr>
            </w:pPr>
            <w:r w:rsidRPr="00C54935">
              <w:rPr>
                <w:rFonts w:ascii="Times New Roman" w:hAnsi="Times New Roman"/>
                <w:noProof/>
                <w:sz w:val="20"/>
                <w:szCs w:val="20"/>
              </w:rPr>
              <w:t>100</w:t>
            </w:r>
          </w:p>
        </w:tc>
        <w:tc>
          <w:tcPr>
            <w:tcW w:w="2236" w:type="dxa"/>
          </w:tcPr>
          <w:p w:rsidR="00577441" w:rsidRPr="00C54935" w:rsidRDefault="003B394E" w:rsidP="003B394E">
            <w:pPr>
              <w:jc w:val="right"/>
              <w:rPr>
                <w:rFonts w:ascii="Times New Roman" w:hAnsi="Times New Roman"/>
                <w:noProof/>
                <w:sz w:val="20"/>
                <w:szCs w:val="20"/>
              </w:rPr>
            </w:pPr>
            <w:r w:rsidRPr="00C54935">
              <w:rPr>
                <w:rFonts w:ascii="Times New Roman" w:hAnsi="Times New Roman"/>
                <w:noProof/>
                <w:sz w:val="20"/>
                <w:szCs w:val="20"/>
              </w:rPr>
              <w:t>100</w:t>
            </w:r>
          </w:p>
        </w:tc>
        <w:tc>
          <w:tcPr>
            <w:tcW w:w="1478" w:type="dxa"/>
          </w:tcPr>
          <w:p w:rsidR="00577441" w:rsidRPr="00C54935" w:rsidRDefault="003B394E" w:rsidP="003B394E">
            <w:pPr>
              <w:jc w:val="right"/>
              <w:rPr>
                <w:rFonts w:ascii="Times New Roman" w:hAnsi="Times New Roman"/>
                <w:noProof/>
                <w:sz w:val="20"/>
                <w:szCs w:val="20"/>
              </w:rPr>
            </w:pPr>
            <w:r w:rsidRPr="00C54935">
              <w:rPr>
                <w:rFonts w:ascii="Times New Roman" w:hAnsi="Times New Roman"/>
                <w:noProof/>
                <w:sz w:val="20"/>
                <w:szCs w:val="20"/>
              </w:rPr>
              <w:t>0</w:t>
            </w:r>
          </w:p>
        </w:tc>
      </w:tr>
      <w:tr w:rsidR="00577441" w:rsidRPr="00C54935" w:rsidTr="00E73F83">
        <w:tc>
          <w:tcPr>
            <w:tcW w:w="2430" w:type="dxa"/>
          </w:tcPr>
          <w:p w:rsidR="00577441" w:rsidRPr="00C54935" w:rsidRDefault="00577441" w:rsidP="00577441">
            <w:pPr>
              <w:rPr>
                <w:rFonts w:ascii="Times New Roman" w:hAnsi="Times New Roman"/>
                <w:noProof/>
                <w:sz w:val="20"/>
                <w:szCs w:val="20"/>
              </w:rPr>
            </w:pPr>
            <w:r w:rsidRPr="00C54935">
              <w:rPr>
                <w:rFonts w:ascii="Times New Roman" w:hAnsi="Times New Roman"/>
                <w:noProof/>
                <w:sz w:val="20"/>
                <w:szCs w:val="20"/>
              </w:rPr>
              <w:t>Annual burden hours</w:t>
            </w:r>
          </w:p>
        </w:tc>
        <w:tc>
          <w:tcPr>
            <w:tcW w:w="1866" w:type="dxa"/>
          </w:tcPr>
          <w:p w:rsidR="00577441" w:rsidRPr="00C54935" w:rsidRDefault="003B394E" w:rsidP="003B394E">
            <w:pPr>
              <w:jc w:val="right"/>
              <w:rPr>
                <w:rFonts w:ascii="Times New Roman" w:hAnsi="Times New Roman"/>
                <w:noProof/>
                <w:sz w:val="20"/>
                <w:szCs w:val="20"/>
              </w:rPr>
            </w:pPr>
            <w:r w:rsidRPr="00C54935">
              <w:rPr>
                <w:rFonts w:ascii="Times New Roman" w:hAnsi="Times New Roman"/>
                <w:noProof/>
                <w:sz w:val="20"/>
                <w:szCs w:val="20"/>
              </w:rPr>
              <w:t>98</w:t>
            </w:r>
          </w:p>
        </w:tc>
        <w:tc>
          <w:tcPr>
            <w:tcW w:w="2236" w:type="dxa"/>
          </w:tcPr>
          <w:p w:rsidR="00577441" w:rsidRPr="00C54935" w:rsidRDefault="0039505B" w:rsidP="003B394E">
            <w:pPr>
              <w:jc w:val="right"/>
              <w:rPr>
                <w:rFonts w:ascii="Times New Roman" w:hAnsi="Times New Roman"/>
                <w:noProof/>
                <w:sz w:val="20"/>
                <w:szCs w:val="20"/>
              </w:rPr>
            </w:pPr>
            <w:r>
              <w:rPr>
                <w:rFonts w:ascii="Times New Roman" w:hAnsi="Times New Roman"/>
                <w:noProof/>
                <w:sz w:val="20"/>
                <w:szCs w:val="20"/>
              </w:rPr>
              <w:t>25</w:t>
            </w:r>
          </w:p>
        </w:tc>
        <w:tc>
          <w:tcPr>
            <w:tcW w:w="1478" w:type="dxa"/>
          </w:tcPr>
          <w:p w:rsidR="00577441" w:rsidRPr="00C54935" w:rsidRDefault="0039505B" w:rsidP="003B394E">
            <w:pPr>
              <w:jc w:val="right"/>
              <w:rPr>
                <w:rFonts w:ascii="Times New Roman" w:hAnsi="Times New Roman"/>
                <w:noProof/>
                <w:sz w:val="20"/>
                <w:szCs w:val="20"/>
              </w:rPr>
            </w:pPr>
            <w:r>
              <w:rPr>
                <w:rFonts w:ascii="Times New Roman" w:hAnsi="Times New Roman"/>
                <w:noProof/>
                <w:sz w:val="20"/>
                <w:szCs w:val="20"/>
              </w:rPr>
              <w:t>(73)</w:t>
            </w:r>
          </w:p>
        </w:tc>
      </w:tr>
      <w:tr w:rsidR="00577441" w:rsidRPr="00C54935" w:rsidTr="00E73F83">
        <w:tc>
          <w:tcPr>
            <w:tcW w:w="2430" w:type="dxa"/>
          </w:tcPr>
          <w:p w:rsidR="00577441" w:rsidRPr="00C54935" w:rsidRDefault="00577441" w:rsidP="0071464C">
            <w:pPr>
              <w:rPr>
                <w:rFonts w:ascii="Times New Roman" w:hAnsi="Times New Roman"/>
                <w:noProof/>
                <w:sz w:val="20"/>
                <w:szCs w:val="20"/>
              </w:rPr>
            </w:pPr>
            <w:r w:rsidRPr="00C54935">
              <w:rPr>
                <w:rFonts w:ascii="Times New Roman" w:hAnsi="Times New Roman"/>
                <w:noProof/>
                <w:sz w:val="20"/>
                <w:szCs w:val="20"/>
              </w:rPr>
              <w:t xml:space="preserve">Annual </w:t>
            </w:r>
            <w:r w:rsidR="0071464C" w:rsidRPr="00C54935">
              <w:rPr>
                <w:rFonts w:ascii="Times New Roman" w:hAnsi="Times New Roman"/>
                <w:noProof/>
                <w:sz w:val="20"/>
                <w:szCs w:val="20"/>
              </w:rPr>
              <w:t>burden dollars</w:t>
            </w:r>
          </w:p>
        </w:tc>
        <w:tc>
          <w:tcPr>
            <w:tcW w:w="1866" w:type="dxa"/>
          </w:tcPr>
          <w:p w:rsidR="00577441" w:rsidRPr="00C54935" w:rsidRDefault="00577441" w:rsidP="003B394E">
            <w:pPr>
              <w:jc w:val="right"/>
              <w:rPr>
                <w:rFonts w:ascii="Times New Roman" w:hAnsi="Times New Roman"/>
                <w:noProof/>
                <w:sz w:val="20"/>
                <w:szCs w:val="20"/>
              </w:rPr>
            </w:pPr>
            <w:r w:rsidRPr="00C54935">
              <w:rPr>
                <w:rFonts w:ascii="Times New Roman" w:hAnsi="Times New Roman"/>
                <w:noProof/>
                <w:sz w:val="20"/>
                <w:szCs w:val="20"/>
              </w:rPr>
              <w:t>$</w:t>
            </w:r>
            <w:r w:rsidR="001065E8" w:rsidRPr="00C54935">
              <w:rPr>
                <w:rFonts w:ascii="Times New Roman" w:hAnsi="Times New Roman"/>
                <w:noProof/>
                <w:sz w:val="20"/>
                <w:szCs w:val="20"/>
              </w:rPr>
              <w:t>0</w:t>
            </w:r>
          </w:p>
        </w:tc>
        <w:tc>
          <w:tcPr>
            <w:tcW w:w="2236" w:type="dxa"/>
          </w:tcPr>
          <w:p w:rsidR="00577441" w:rsidRPr="00C54935" w:rsidRDefault="00577441" w:rsidP="0039505B">
            <w:pPr>
              <w:jc w:val="right"/>
              <w:rPr>
                <w:rFonts w:ascii="Times New Roman" w:hAnsi="Times New Roman"/>
                <w:noProof/>
                <w:sz w:val="20"/>
                <w:szCs w:val="20"/>
              </w:rPr>
            </w:pPr>
            <w:r w:rsidRPr="00C54935">
              <w:rPr>
                <w:rFonts w:ascii="Times New Roman" w:hAnsi="Times New Roman"/>
                <w:noProof/>
                <w:sz w:val="20"/>
                <w:szCs w:val="20"/>
              </w:rPr>
              <w:t>$</w:t>
            </w:r>
            <w:r w:rsidR="0039505B">
              <w:rPr>
                <w:rFonts w:ascii="Times New Roman" w:hAnsi="Times New Roman"/>
                <w:noProof/>
                <w:sz w:val="20"/>
                <w:szCs w:val="20"/>
              </w:rPr>
              <w:t>1,992</w:t>
            </w:r>
          </w:p>
        </w:tc>
        <w:tc>
          <w:tcPr>
            <w:tcW w:w="1478" w:type="dxa"/>
          </w:tcPr>
          <w:p w:rsidR="00577441" w:rsidRPr="00C54935" w:rsidRDefault="00577441" w:rsidP="0039505B">
            <w:pPr>
              <w:jc w:val="right"/>
              <w:rPr>
                <w:rFonts w:ascii="Times New Roman" w:hAnsi="Times New Roman"/>
                <w:noProof/>
                <w:sz w:val="20"/>
                <w:szCs w:val="20"/>
              </w:rPr>
            </w:pPr>
            <w:r w:rsidRPr="00C54935">
              <w:rPr>
                <w:rFonts w:ascii="Times New Roman" w:hAnsi="Times New Roman"/>
                <w:noProof/>
                <w:sz w:val="20"/>
                <w:szCs w:val="20"/>
              </w:rPr>
              <w:t>$</w:t>
            </w:r>
            <w:r w:rsidR="0039505B">
              <w:rPr>
                <w:rFonts w:ascii="Times New Roman" w:hAnsi="Times New Roman"/>
                <w:noProof/>
                <w:sz w:val="20"/>
                <w:szCs w:val="20"/>
              </w:rPr>
              <w:t>1,992</w:t>
            </w:r>
          </w:p>
        </w:tc>
      </w:tr>
    </w:tbl>
    <w:p w:rsidR="0071464C" w:rsidRDefault="0071464C" w:rsidP="0071464C">
      <w:pPr>
        <w:rPr>
          <w:sz w:val="20"/>
        </w:rPr>
      </w:pPr>
      <w:r w:rsidRPr="002C386F">
        <w:rPr>
          <w:sz w:val="20"/>
        </w:rPr>
        <w:t>(* In prior information collection requests, the</w:t>
      </w:r>
      <w:r>
        <w:rPr>
          <w:sz w:val="20"/>
        </w:rPr>
        <w:t xml:space="preserve"> estimated annual burden dollars was implied to be a </w:t>
      </w:r>
      <w:r w:rsidRPr="00F12590">
        <w:rPr>
          <w:sz w:val="20"/>
        </w:rPr>
        <w:t>usual and customary business expense not directly associated with this information collection</w:t>
      </w:r>
      <w:r>
        <w:rPr>
          <w:sz w:val="20"/>
        </w:rPr>
        <w:t xml:space="preserve">. </w:t>
      </w:r>
      <w:r w:rsidRPr="002C386F">
        <w:rPr>
          <w:sz w:val="20"/>
        </w:rPr>
        <w:t xml:space="preserve"> The DEA believes the </w:t>
      </w:r>
      <w:r>
        <w:rPr>
          <w:sz w:val="20"/>
        </w:rPr>
        <w:t>estimated annual burden associated with this</w:t>
      </w:r>
      <w:r w:rsidRPr="002C386F">
        <w:rPr>
          <w:sz w:val="20"/>
        </w:rPr>
        <w:t xml:space="preserve"> information collection </w:t>
      </w:r>
      <w:r>
        <w:rPr>
          <w:sz w:val="20"/>
        </w:rPr>
        <w:t>should be included</w:t>
      </w:r>
      <w:r w:rsidRPr="002C386F">
        <w:rPr>
          <w:sz w:val="20"/>
        </w:rPr>
        <w:t>.  This change in calculation method is employed in this and future information collection request</w:t>
      </w:r>
      <w:r>
        <w:rPr>
          <w:sz w:val="20"/>
        </w:rPr>
        <w:t>s</w:t>
      </w:r>
      <w:r w:rsidRPr="002C386F">
        <w:rPr>
          <w:sz w:val="20"/>
        </w:rPr>
        <w:t>.)</w:t>
      </w:r>
      <w:r>
        <w:rPr>
          <w:sz w:val="20"/>
        </w:rPr>
        <w:t xml:space="preserve"> </w:t>
      </w:r>
    </w:p>
    <w:p w:rsidR="00015C6C" w:rsidRDefault="00015C6C" w:rsidP="00364CDC"/>
    <w:p w:rsidR="00E76F31" w:rsidRDefault="00A34480" w:rsidP="00364CDC">
      <w:r>
        <w:t>16.</w:t>
      </w:r>
      <w:r w:rsidR="00B763DD">
        <w:t xml:space="preserve"> </w:t>
      </w:r>
      <w:r>
        <w:t xml:space="preserve"> </w:t>
      </w:r>
      <w:r w:rsidRPr="0086545A">
        <w:rPr>
          <w:u w:val="single"/>
        </w:rPr>
        <w:t>Plans for Publication</w:t>
      </w:r>
      <w:r w:rsidR="00801C74" w:rsidRPr="0086545A">
        <w:rPr>
          <w:u w:val="single"/>
        </w:rPr>
        <w:t>:</w:t>
      </w:r>
      <w:r w:rsidR="00801C74">
        <w:t xml:space="preserve"> </w:t>
      </w:r>
    </w:p>
    <w:p w:rsidR="00E76F31" w:rsidRDefault="00E76F31" w:rsidP="00364CDC"/>
    <w:p w:rsidR="00A34480" w:rsidRDefault="008C02AA" w:rsidP="00364CDC">
      <w:r>
        <w:t xml:space="preserve">The DEA will not publish the results of the information collected.  </w:t>
      </w:r>
    </w:p>
    <w:p w:rsidR="004A1568" w:rsidRDefault="004A1568" w:rsidP="00364CDC"/>
    <w:p w:rsidR="00E76F31" w:rsidRDefault="00A34480" w:rsidP="00364CDC">
      <w:r>
        <w:t xml:space="preserve">17. </w:t>
      </w:r>
      <w:r w:rsidR="00B763DD">
        <w:t xml:space="preserve"> </w:t>
      </w:r>
      <w:r w:rsidRPr="0086545A">
        <w:rPr>
          <w:u w:val="single"/>
        </w:rPr>
        <w:t>Expiration Date Approval</w:t>
      </w:r>
      <w:r w:rsidR="00801C74" w:rsidRPr="0086545A">
        <w:rPr>
          <w:u w:val="single"/>
        </w:rPr>
        <w:t>:</w:t>
      </w:r>
      <w:r w:rsidR="00801C74">
        <w:t xml:space="preserve"> </w:t>
      </w:r>
    </w:p>
    <w:p w:rsidR="00E76F31" w:rsidRDefault="00E76F31" w:rsidP="00364CDC"/>
    <w:p w:rsidR="00A34480" w:rsidRDefault="00E9334D" w:rsidP="00364CDC">
      <w:r>
        <w:t xml:space="preserve">The </w:t>
      </w:r>
      <w:r w:rsidR="003B5737" w:rsidRPr="003B5737">
        <w:t xml:space="preserve">DEA </w:t>
      </w:r>
      <w:r w:rsidR="009F6490">
        <w:t xml:space="preserve">does not </w:t>
      </w:r>
      <w:r w:rsidR="00C1790C">
        <w:t>use a form for this information collection.</w:t>
      </w:r>
      <w:r w:rsidR="00E73F83">
        <w:t xml:space="preserve"> </w:t>
      </w:r>
      <w:r w:rsidR="00C1790C">
        <w:t xml:space="preserve"> Therefore, this question is not applicable.</w:t>
      </w:r>
      <w:r w:rsidR="00BD5AA2">
        <w:t xml:space="preserve">  </w:t>
      </w:r>
    </w:p>
    <w:p w:rsidR="00095B45" w:rsidRDefault="00095B45" w:rsidP="00364CDC"/>
    <w:p w:rsidR="00E76F31" w:rsidRDefault="00A34480" w:rsidP="00364CDC">
      <w:r>
        <w:t xml:space="preserve">18. </w:t>
      </w:r>
      <w:r w:rsidR="00B763DD">
        <w:t xml:space="preserve"> </w:t>
      </w:r>
      <w:r w:rsidRPr="0086545A">
        <w:rPr>
          <w:u w:val="single"/>
        </w:rPr>
        <w:t>Exceptions to the Certification Statement</w:t>
      </w:r>
      <w:r w:rsidR="007C695C" w:rsidRPr="0086545A">
        <w:rPr>
          <w:u w:val="single"/>
        </w:rPr>
        <w:t>:</w:t>
      </w:r>
      <w:r w:rsidR="007C695C">
        <w:t xml:space="preserve"> </w:t>
      </w:r>
    </w:p>
    <w:p w:rsidR="00E76F31" w:rsidRDefault="00E76F31" w:rsidP="00364CDC"/>
    <w:p w:rsidR="00A34480" w:rsidRDefault="008C02AA" w:rsidP="00364CDC">
      <w:r>
        <w:t xml:space="preserve">The DEA is not seeking an exception to the certification statement “Certification for Paperwork Reduction Act Submissions” for this collection of information.  </w:t>
      </w:r>
    </w:p>
    <w:p w:rsidR="002A2682" w:rsidRDefault="002A2682" w:rsidP="00364CDC">
      <w:pPr>
        <w:rPr>
          <w:b/>
        </w:rPr>
      </w:pPr>
    </w:p>
    <w:p w:rsidR="002420D6" w:rsidRDefault="002420D6" w:rsidP="00435623">
      <w:pPr>
        <w:rPr>
          <w:b/>
        </w:rPr>
      </w:pPr>
    </w:p>
    <w:p w:rsidR="008C02AA" w:rsidRDefault="00A34480" w:rsidP="00435623">
      <w:pPr>
        <w:rPr>
          <w:b/>
        </w:rPr>
      </w:pPr>
      <w:r w:rsidRPr="0086545A">
        <w:rPr>
          <w:b/>
        </w:rPr>
        <w:t>Part B.  Statistical Methods</w:t>
      </w:r>
    </w:p>
    <w:p w:rsidR="002420D6" w:rsidRDefault="002420D6" w:rsidP="00435623"/>
    <w:p w:rsidR="00B54823" w:rsidRDefault="007C695C" w:rsidP="00435623">
      <w:r>
        <w:t xml:space="preserve">The DEA </w:t>
      </w:r>
      <w:r w:rsidR="00A84F9C">
        <w:t xml:space="preserve">does </w:t>
      </w:r>
      <w:r>
        <w:t>not employ statistical methods in this information collection.</w:t>
      </w:r>
      <w:r w:rsidR="00435623" w:rsidRPr="009B6DB2">
        <w:t xml:space="preserve"> </w:t>
      </w:r>
    </w:p>
    <w:sectPr w:rsidR="00B54823" w:rsidSect="00E00A7B">
      <w:footerReference w:type="default" r:id="rId10"/>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8F" w:rsidRDefault="0068538F" w:rsidP="00A4604C">
      <w:r>
        <w:separator/>
      </w:r>
    </w:p>
  </w:endnote>
  <w:endnote w:type="continuationSeparator" w:id="0">
    <w:p w:rsidR="0068538F" w:rsidRDefault="0068538F"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rsidR="00656C6B" w:rsidRDefault="00656C6B">
        <w:pPr>
          <w:pStyle w:val="Footer"/>
          <w:jc w:val="center"/>
        </w:pPr>
        <w:r>
          <w:fldChar w:fldCharType="begin"/>
        </w:r>
        <w:r>
          <w:instrText xml:space="preserve"> PAGE   \* MERGEFORMAT </w:instrText>
        </w:r>
        <w:r>
          <w:fldChar w:fldCharType="separate"/>
        </w:r>
        <w:r w:rsidR="0099523E">
          <w:rPr>
            <w:noProof/>
          </w:rPr>
          <w:t>2</w:t>
        </w:r>
        <w:r>
          <w:rPr>
            <w:noProof/>
          </w:rPr>
          <w:fldChar w:fldCharType="end"/>
        </w:r>
      </w:p>
    </w:sdtContent>
  </w:sdt>
  <w:p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8F" w:rsidRDefault="0068538F" w:rsidP="00A4604C">
      <w:r>
        <w:separator/>
      </w:r>
    </w:p>
  </w:footnote>
  <w:footnote w:type="continuationSeparator" w:id="0">
    <w:p w:rsidR="0068538F" w:rsidRDefault="0068538F" w:rsidP="00A4604C">
      <w:r>
        <w:continuationSeparator/>
      </w:r>
    </w:p>
  </w:footnote>
  <w:footnote w:id="1">
    <w:p w:rsidR="0005421C" w:rsidRPr="00D34495" w:rsidRDefault="0005421C">
      <w:pPr>
        <w:pStyle w:val="FootnoteText"/>
        <w:rPr>
          <w:rFonts w:ascii="Times New Roman" w:hAnsi="Times New Roman"/>
        </w:rPr>
      </w:pPr>
      <w:r w:rsidRPr="00D34495">
        <w:rPr>
          <w:rStyle w:val="FootnoteReference"/>
          <w:rFonts w:ascii="Times New Roman" w:hAnsi="Times New Roman"/>
          <w:vertAlign w:val="superscript"/>
        </w:rPr>
        <w:footnoteRef/>
      </w:r>
      <w:r w:rsidRPr="00D34495">
        <w:rPr>
          <w:rFonts w:ascii="Times New Roman" w:hAnsi="Times New Roman"/>
        </w:rPr>
        <w:t xml:space="preserve"> </w:t>
      </w:r>
      <w:r w:rsidR="007B3740">
        <w:rPr>
          <w:rFonts w:ascii="Times New Roman" w:hAnsi="Times New Roman"/>
        </w:rPr>
        <w:t xml:space="preserve">Hourly median wage, </w:t>
      </w:r>
      <w:r w:rsidR="00D34495" w:rsidRPr="00D34495">
        <w:rPr>
          <w:rFonts w:ascii="Times New Roman" w:hAnsi="Times New Roman"/>
        </w:rPr>
        <w:t xml:space="preserve">Bureau of Labor Statistics, Occupational and Employment and Wages, May 2014, </w:t>
      </w:r>
      <w:r w:rsidR="00D34495">
        <w:rPr>
          <w:rFonts w:ascii="Times New Roman" w:hAnsi="Times New Roman"/>
        </w:rPr>
        <w:t>11</w:t>
      </w:r>
      <w:r w:rsidR="00D34495" w:rsidRPr="00D34495">
        <w:rPr>
          <w:rFonts w:ascii="Times New Roman" w:hAnsi="Times New Roman"/>
        </w:rPr>
        <w:t>-</w:t>
      </w:r>
      <w:r w:rsidR="00D34495">
        <w:rPr>
          <w:rFonts w:ascii="Times New Roman" w:hAnsi="Times New Roman"/>
        </w:rPr>
        <w:t>3061 Purchasing Manager for North American Industry Classification System code</w:t>
      </w:r>
      <w:r w:rsidRPr="00D34495">
        <w:rPr>
          <w:rFonts w:ascii="Times New Roman" w:hAnsi="Times New Roman"/>
        </w:rPr>
        <w:t xml:space="preserve"> 325400 – Pharmaceutical and </w:t>
      </w:r>
      <w:r w:rsidR="00D34495">
        <w:rPr>
          <w:rFonts w:ascii="Times New Roman" w:hAnsi="Times New Roman"/>
        </w:rPr>
        <w:t>Medicine Manufacturing</w:t>
      </w:r>
      <w:r w:rsidR="00F8767A">
        <w:rPr>
          <w:rFonts w:ascii="Times New Roman" w:hAnsi="Times New Roman"/>
        </w:rPr>
        <w:t xml:space="preserve"> </w:t>
      </w:r>
      <w:r w:rsidRPr="00D34495">
        <w:rPr>
          <w:rFonts w:ascii="Times New Roman" w:hAnsi="Times New Roman"/>
        </w:rPr>
        <w:t>(http://www.bls.gov/oes/current/oes).</w:t>
      </w:r>
    </w:p>
  </w:footnote>
  <w:footnote w:id="2">
    <w:p w:rsidR="007B3740" w:rsidRPr="007B3740" w:rsidRDefault="007B3740">
      <w:pPr>
        <w:pStyle w:val="FootnoteText"/>
        <w:rPr>
          <w:rFonts w:ascii="Times New Roman" w:hAnsi="Times New Roman"/>
        </w:rPr>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Pr>
          <w:rFonts w:ascii="Times New Roman" w:hAnsi="Times New Roman"/>
        </w:rPr>
        <w:t>September</w:t>
      </w:r>
      <w:r w:rsidRPr="007B3740">
        <w:rPr>
          <w:rFonts w:ascii="Times New Roman" w:hAnsi="Times New Roman"/>
        </w:rPr>
        <w:t xml:space="preserve"> 201</w:t>
      </w:r>
      <w:r>
        <w:rPr>
          <w:rFonts w:ascii="Times New Roman" w:hAnsi="Times New Roman"/>
        </w:rPr>
        <w:t>5</w:t>
      </w:r>
      <w:r w:rsidRPr="007B3740">
        <w:rPr>
          <w:rFonts w:ascii="Times New Roman" w:hAnsi="Times New Roman"/>
        </w:rPr>
        <w:t xml:space="preserve">” </w:t>
      </w:r>
      <w:r w:rsidR="00FC4E5D">
        <w:rPr>
          <w:rFonts w:ascii="Times New Roman" w:hAnsi="Times New Roman"/>
        </w:rPr>
        <w:t xml:space="preserve">(ECEC) </w:t>
      </w:r>
      <w:r w:rsidRPr="007B3740">
        <w:rPr>
          <w:rFonts w:ascii="Times New Roman" w:hAnsi="Times New Roman"/>
        </w:rPr>
        <w:t>reports that benef</w:t>
      </w:r>
      <w:r>
        <w:rPr>
          <w:rFonts w:ascii="Times New Roman" w:hAnsi="Times New Roman"/>
        </w:rPr>
        <w:t>its for private industry is 30.3</w:t>
      </w:r>
      <w:r w:rsidRPr="007B3740">
        <w:rPr>
          <w:rFonts w:ascii="Times New Roman" w:hAnsi="Times New Roman"/>
        </w:rPr>
        <w:t>% of total compensation.  The 30.</w:t>
      </w:r>
      <w:r w:rsidR="00355AB7">
        <w:rPr>
          <w:rFonts w:ascii="Times New Roman" w:hAnsi="Times New Roman"/>
        </w:rPr>
        <w:t>3</w:t>
      </w:r>
      <w:r w:rsidRPr="007B3740">
        <w:rPr>
          <w:rFonts w:ascii="Times New Roman" w:hAnsi="Times New Roman"/>
        </w:rPr>
        <w:t>% of total com</w:t>
      </w:r>
      <w:r>
        <w:rPr>
          <w:rFonts w:ascii="Times New Roman" w:hAnsi="Times New Roman"/>
        </w:rPr>
        <w:t>pensation equates to 43.5% (30.3% / 69.7</w:t>
      </w:r>
      <w:r w:rsidRPr="007B3740">
        <w:rPr>
          <w:rFonts w:ascii="Times New Roman" w:hAnsi="Times New Roman"/>
        </w:rPr>
        <w:t>%) load on wages and salaries.</w:t>
      </w:r>
    </w:p>
  </w:footnote>
  <w:footnote w:id="3">
    <w:p w:rsidR="007B3740" w:rsidRPr="007B3740" w:rsidRDefault="007B3740">
      <w:pPr>
        <w:pStyle w:val="FootnoteText"/>
        <w:rPr>
          <w:rFonts w:ascii="Times New Roman" w:hAnsi="Times New Roman"/>
        </w:rPr>
      </w:pPr>
      <w:r w:rsidRPr="007B3740">
        <w:rPr>
          <w:rStyle w:val="FootnoteReference"/>
          <w:rFonts w:ascii="Times New Roman" w:hAnsi="Times New Roman"/>
          <w:vertAlign w:val="superscript"/>
        </w:rPr>
        <w:footnoteRef/>
      </w:r>
      <w:r w:rsidRPr="007B3740">
        <w:rPr>
          <w:rFonts w:ascii="Times New Roman" w:hAnsi="Times New Roman"/>
        </w:rPr>
        <w:t xml:space="preserve"> $55.52 x (1 + 0.435) = $79.67</w:t>
      </w:r>
      <w:r>
        <w:rPr>
          <w:rFonts w:ascii="Times New Roman" w:hAnsi="Times New Roman"/>
        </w:rPr>
        <w:t>.</w:t>
      </w:r>
    </w:p>
  </w:footnote>
  <w:footnote w:id="4">
    <w:p w:rsidR="00FC4E5D" w:rsidRPr="00FC4E5D" w:rsidRDefault="00FC4E5D">
      <w:pPr>
        <w:pStyle w:val="FootnoteText"/>
        <w:rPr>
          <w:rFonts w:ascii="Times New Roman" w:hAnsi="Times New Roman"/>
        </w:rPr>
      </w:pPr>
      <w:r w:rsidRPr="00FC4E5D">
        <w:rPr>
          <w:rStyle w:val="FootnoteReference"/>
          <w:rFonts w:ascii="Times New Roman" w:hAnsi="Times New Roman"/>
          <w:vertAlign w:val="superscript"/>
        </w:rPr>
        <w:footnoteRef/>
      </w:r>
      <w:r w:rsidRPr="00FC4E5D">
        <w:rPr>
          <w:rFonts w:ascii="Times New Roman" w:hAnsi="Times New Roman"/>
        </w:rPr>
        <w:t xml:space="preserve"> Government salary figures include 57% load for benefits based on the ECEC for “State and local government.”  The ECEC does not include figures for the Federal Government.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22843"/>
    <w:rsid w:val="0002411E"/>
    <w:rsid w:val="00027249"/>
    <w:rsid w:val="00042A55"/>
    <w:rsid w:val="00046701"/>
    <w:rsid w:val="00046C80"/>
    <w:rsid w:val="00047647"/>
    <w:rsid w:val="0005161C"/>
    <w:rsid w:val="0005421C"/>
    <w:rsid w:val="000559CE"/>
    <w:rsid w:val="00056526"/>
    <w:rsid w:val="00057629"/>
    <w:rsid w:val="00062089"/>
    <w:rsid w:val="00065AA1"/>
    <w:rsid w:val="00075D28"/>
    <w:rsid w:val="00077AEE"/>
    <w:rsid w:val="00086C4E"/>
    <w:rsid w:val="00091222"/>
    <w:rsid w:val="00091D82"/>
    <w:rsid w:val="000946E0"/>
    <w:rsid w:val="00095B45"/>
    <w:rsid w:val="000A0554"/>
    <w:rsid w:val="000A07AE"/>
    <w:rsid w:val="000A08B0"/>
    <w:rsid w:val="000A765F"/>
    <w:rsid w:val="000B10DF"/>
    <w:rsid w:val="000B2792"/>
    <w:rsid w:val="000C037D"/>
    <w:rsid w:val="000D0306"/>
    <w:rsid w:val="000D14F8"/>
    <w:rsid w:val="000E05DA"/>
    <w:rsid w:val="001003BA"/>
    <w:rsid w:val="0010615F"/>
    <w:rsid w:val="001065E8"/>
    <w:rsid w:val="00114925"/>
    <w:rsid w:val="001244C1"/>
    <w:rsid w:val="0012601D"/>
    <w:rsid w:val="001303A3"/>
    <w:rsid w:val="0013057A"/>
    <w:rsid w:val="0013097C"/>
    <w:rsid w:val="00131FAC"/>
    <w:rsid w:val="001358D7"/>
    <w:rsid w:val="00135F36"/>
    <w:rsid w:val="0014509F"/>
    <w:rsid w:val="00146E47"/>
    <w:rsid w:val="001478D7"/>
    <w:rsid w:val="00151EBF"/>
    <w:rsid w:val="00153D60"/>
    <w:rsid w:val="00155F4A"/>
    <w:rsid w:val="00156A7C"/>
    <w:rsid w:val="001629EF"/>
    <w:rsid w:val="00170FF7"/>
    <w:rsid w:val="00180530"/>
    <w:rsid w:val="0018342A"/>
    <w:rsid w:val="00186A88"/>
    <w:rsid w:val="0019243D"/>
    <w:rsid w:val="00193A2A"/>
    <w:rsid w:val="001951FA"/>
    <w:rsid w:val="00196821"/>
    <w:rsid w:val="001A1D02"/>
    <w:rsid w:val="001A3426"/>
    <w:rsid w:val="001A3D1A"/>
    <w:rsid w:val="001A5790"/>
    <w:rsid w:val="001B03C9"/>
    <w:rsid w:val="001B0CE5"/>
    <w:rsid w:val="001C0719"/>
    <w:rsid w:val="001C4591"/>
    <w:rsid w:val="001D57E4"/>
    <w:rsid w:val="001D5F94"/>
    <w:rsid w:val="001D6D3A"/>
    <w:rsid w:val="001E1897"/>
    <w:rsid w:val="001E289B"/>
    <w:rsid w:val="001F1F2B"/>
    <w:rsid w:val="002011D1"/>
    <w:rsid w:val="00202776"/>
    <w:rsid w:val="00206888"/>
    <w:rsid w:val="00206FBD"/>
    <w:rsid w:val="00212C00"/>
    <w:rsid w:val="00221BF3"/>
    <w:rsid w:val="00231A4D"/>
    <w:rsid w:val="00232B29"/>
    <w:rsid w:val="00233550"/>
    <w:rsid w:val="002420D6"/>
    <w:rsid w:val="00242ADC"/>
    <w:rsid w:val="00242E45"/>
    <w:rsid w:val="00243B24"/>
    <w:rsid w:val="00245D20"/>
    <w:rsid w:val="00252A0A"/>
    <w:rsid w:val="002534C3"/>
    <w:rsid w:val="002579A9"/>
    <w:rsid w:val="002614CC"/>
    <w:rsid w:val="00262356"/>
    <w:rsid w:val="00270E57"/>
    <w:rsid w:val="00270F93"/>
    <w:rsid w:val="0027139C"/>
    <w:rsid w:val="00271B7C"/>
    <w:rsid w:val="00275719"/>
    <w:rsid w:val="002767DD"/>
    <w:rsid w:val="00276989"/>
    <w:rsid w:val="00285933"/>
    <w:rsid w:val="00292A5D"/>
    <w:rsid w:val="002A2682"/>
    <w:rsid w:val="002A4117"/>
    <w:rsid w:val="002B62B3"/>
    <w:rsid w:val="002C132D"/>
    <w:rsid w:val="002C13A1"/>
    <w:rsid w:val="002C386F"/>
    <w:rsid w:val="002C44C3"/>
    <w:rsid w:val="002D0920"/>
    <w:rsid w:val="002D26AD"/>
    <w:rsid w:val="002D2CEC"/>
    <w:rsid w:val="002E4F17"/>
    <w:rsid w:val="002E55EE"/>
    <w:rsid w:val="002F0F67"/>
    <w:rsid w:val="003027E6"/>
    <w:rsid w:val="00302C34"/>
    <w:rsid w:val="003062B2"/>
    <w:rsid w:val="00307C6A"/>
    <w:rsid w:val="00312CA5"/>
    <w:rsid w:val="00320D44"/>
    <w:rsid w:val="003210C0"/>
    <w:rsid w:val="003239F1"/>
    <w:rsid w:val="00327860"/>
    <w:rsid w:val="00331399"/>
    <w:rsid w:val="00335F29"/>
    <w:rsid w:val="00341D99"/>
    <w:rsid w:val="00343F10"/>
    <w:rsid w:val="003442C9"/>
    <w:rsid w:val="00347E26"/>
    <w:rsid w:val="00350948"/>
    <w:rsid w:val="003515A2"/>
    <w:rsid w:val="00355AB7"/>
    <w:rsid w:val="0035642D"/>
    <w:rsid w:val="003603FE"/>
    <w:rsid w:val="00360AD1"/>
    <w:rsid w:val="00362449"/>
    <w:rsid w:val="00364CDC"/>
    <w:rsid w:val="00376E84"/>
    <w:rsid w:val="00381061"/>
    <w:rsid w:val="003824C9"/>
    <w:rsid w:val="003827F4"/>
    <w:rsid w:val="003926D3"/>
    <w:rsid w:val="00392BC5"/>
    <w:rsid w:val="0039505B"/>
    <w:rsid w:val="0039568F"/>
    <w:rsid w:val="003A4D2E"/>
    <w:rsid w:val="003B394E"/>
    <w:rsid w:val="003B5737"/>
    <w:rsid w:val="003C71F1"/>
    <w:rsid w:val="003D0831"/>
    <w:rsid w:val="003D2A99"/>
    <w:rsid w:val="003D515F"/>
    <w:rsid w:val="003E0DF7"/>
    <w:rsid w:val="003E1798"/>
    <w:rsid w:val="003E2EE3"/>
    <w:rsid w:val="003E6000"/>
    <w:rsid w:val="003E7902"/>
    <w:rsid w:val="003E7CEA"/>
    <w:rsid w:val="003F6E87"/>
    <w:rsid w:val="00406453"/>
    <w:rsid w:val="00410863"/>
    <w:rsid w:val="004139E9"/>
    <w:rsid w:val="004150F8"/>
    <w:rsid w:val="00425DB3"/>
    <w:rsid w:val="0043504A"/>
    <w:rsid w:val="00435623"/>
    <w:rsid w:val="00435833"/>
    <w:rsid w:val="004469C9"/>
    <w:rsid w:val="00451924"/>
    <w:rsid w:val="00452D0C"/>
    <w:rsid w:val="00455755"/>
    <w:rsid w:val="00462C7C"/>
    <w:rsid w:val="004639A7"/>
    <w:rsid w:val="00480329"/>
    <w:rsid w:val="004806A4"/>
    <w:rsid w:val="00481474"/>
    <w:rsid w:val="00484C88"/>
    <w:rsid w:val="00486CC2"/>
    <w:rsid w:val="004872FE"/>
    <w:rsid w:val="00493CC5"/>
    <w:rsid w:val="004A1568"/>
    <w:rsid w:val="004A1C12"/>
    <w:rsid w:val="004A3C90"/>
    <w:rsid w:val="004A4023"/>
    <w:rsid w:val="004A7931"/>
    <w:rsid w:val="004B2158"/>
    <w:rsid w:val="004B3069"/>
    <w:rsid w:val="004C1008"/>
    <w:rsid w:val="004D3F41"/>
    <w:rsid w:val="004D4D8F"/>
    <w:rsid w:val="004E244E"/>
    <w:rsid w:val="004E36D0"/>
    <w:rsid w:val="004F0FEE"/>
    <w:rsid w:val="004F4E97"/>
    <w:rsid w:val="005038D3"/>
    <w:rsid w:val="00505A4C"/>
    <w:rsid w:val="00505C03"/>
    <w:rsid w:val="0051491F"/>
    <w:rsid w:val="0051788D"/>
    <w:rsid w:val="005227F3"/>
    <w:rsid w:val="00523E6D"/>
    <w:rsid w:val="00533C25"/>
    <w:rsid w:val="00537E0D"/>
    <w:rsid w:val="00540498"/>
    <w:rsid w:val="00552D79"/>
    <w:rsid w:val="00556234"/>
    <w:rsid w:val="00560BF9"/>
    <w:rsid w:val="00562D4A"/>
    <w:rsid w:val="005708BB"/>
    <w:rsid w:val="005717A0"/>
    <w:rsid w:val="00574861"/>
    <w:rsid w:val="00577441"/>
    <w:rsid w:val="0058315F"/>
    <w:rsid w:val="00584F37"/>
    <w:rsid w:val="00584FDC"/>
    <w:rsid w:val="005911E0"/>
    <w:rsid w:val="0059227E"/>
    <w:rsid w:val="005924C8"/>
    <w:rsid w:val="00596CD8"/>
    <w:rsid w:val="005A1F0F"/>
    <w:rsid w:val="005B2A88"/>
    <w:rsid w:val="005B7F2D"/>
    <w:rsid w:val="005C291B"/>
    <w:rsid w:val="005C713B"/>
    <w:rsid w:val="005D22EC"/>
    <w:rsid w:val="005D5AE4"/>
    <w:rsid w:val="005D5B3B"/>
    <w:rsid w:val="005D6B8B"/>
    <w:rsid w:val="005E361D"/>
    <w:rsid w:val="006137AD"/>
    <w:rsid w:val="0061433E"/>
    <w:rsid w:val="0062322F"/>
    <w:rsid w:val="00623FE9"/>
    <w:rsid w:val="006244C6"/>
    <w:rsid w:val="006246DC"/>
    <w:rsid w:val="006264C0"/>
    <w:rsid w:val="00627475"/>
    <w:rsid w:val="0063143C"/>
    <w:rsid w:val="0063449E"/>
    <w:rsid w:val="006360DA"/>
    <w:rsid w:val="00637FFD"/>
    <w:rsid w:val="0064411B"/>
    <w:rsid w:val="00650ED9"/>
    <w:rsid w:val="00656C6B"/>
    <w:rsid w:val="00662FDA"/>
    <w:rsid w:val="00664BE6"/>
    <w:rsid w:val="00666307"/>
    <w:rsid w:val="00666907"/>
    <w:rsid w:val="00670012"/>
    <w:rsid w:val="00680FE6"/>
    <w:rsid w:val="00682AC6"/>
    <w:rsid w:val="0068538F"/>
    <w:rsid w:val="00687388"/>
    <w:rsid w:val="00694429"/>
    <w:rsid w:val="00694C8A"/>
    <w:rsid w:val="006A0FFE"/>
    <w:rsid w:val="006A352E"/>
    <w:rsid w:val="006B2A40"/>
    <w:rsid w:val="006C2659"/>
    <w:rsid w:val="006C3833"/>
    <w:rsid w:val="006C47B2"/>
    <w:rsid w:val="006C6685"/>
    <w:rsid w:val="006D55C0"/>
    <w:rsid w:val="006E6D94"/>
    <w:rsid w:val="006E6E0C"/>
    <w:rsid w:val="006F5B00"/>
    <w:rsid w:val="007005F4"/>
    <w:rsid w:val="00700DA6"/>
    <w:rsid w:val="00703A7C"/>
    <w:rsid w:val="007058D0"/>
    <w:rsid w:val="0070668A"/>
    <w:rsid w:val="007102D0"/>
    <w:rsid w:val="00713042"/>
    <w:rsid w:val="0071464C"/>
    <w:rsid w:val="007151AE"/>
    <w:rsid w:val="00717016"/>
    <w:rsid w:val="0072110C"/>
    <w:rsid w:val="00721EBF"/>
    <w:rsid w:val="0072345B"/>
    <w:rsid w:val="00727906"/>
    <w:rsid w:val="00736E03"/>
    <w:rsid w:val="00740955"/>
    <w:rsid w:val="00745496"/>
    <w:rsid w:val="0075354D"/>
    <w:rsid w:val="00755569"/>
    <w:rsid w:val="0076615E"/>
    <w:rsid w:val="00766FB1"/>
    <w:rsid w:val="00773274"/>
    <w:rsid w:val="00780719"/>
    <w:rsid w:val="007826B9"/>
    <w:rsid w:val="00786336"/>
    <w:rsid w:val="00786BA5"/>
    <w:rsid w:val="007A3913"/>
    <w:rsid w:val="007A78EF"/>
    <w:rsid w:val="007B20B9"/>
    <w:rsid w:val="007B24CE"/>
    <w:rsid w:val="007B3740"/>
    <w:rsid w:val="007B6879"/>
    <w:rsid w:val="007B7ED8"/>
    <w:rsid w:val="007C23B5"/>
    <w:rsid w:val="007C695C"/>
    <w:rsid w:val="007D0CE2"/>
    <w:rsid w:val="007D1B51"/>
    <w:rsid w:val="007E0121"/>
    <w:rsid w:val="007E2861"/>
    <w:rsid w:val="007F395D"/>
    <w:rsid w:val="00801C74"/>
    <w:rsid w:val="00803023"/>
    <w:rsid w:val="008043AF"/>
    <w:rsid w:val="008127A2"/>
    <w:rsid w:val="008130FA"/>
    <w:rsid w:val="00817898"/>
    <w:rsid w:val="008232D8"/>
    <w:rsid w:val="00824B77"/>
    <w:rsid w:val="00834C96"/>
    <w:rsid w:val="00840A55"/>
    <w:rsid w:val="0084346A"/>
    <w:rsid w:val="00853E47"/>
    <w:rsid w:val="0085616F"/>
    <w:rsid w:val="00856CBE"/>
    <w:rsid w:val="008610A2"/>
    <w:rsid w:val="00863E5E"/>
    <w:rsid w:val="0086545A"/>
    <w:rsid w:val="00866748"/>
    <w:rsid w:val="00867042"/>
    <w:rsid w:val="0087035E"/>
    <w:rsid w:val="008710B5"/>
    <w:rsid w:val="00877CED"/>
    <w:rsid w:val="00881086"/>
    <w:rsid w:val="00881D7C"/>
    <w:rsid w:val="00885142"/>
    <w:rsid w:val="00885EF7"/>
    <w:rsid w:val="00886498"/>
    <w:rsid w:val="00890562"/>
    <w:rsid w:val="008933A5"/>
    <w:rsid w:val="0089645F"/>
    <w:rsid w:val="008979DC"/>
    <w:rsid w:val="008A0981"/>
    <w:rsid w:val="008A440B"/>
    <w:rsid w:val="008A527A"/>
    <w:rsid w:val="008B1B78"/>
    <w:rsid w:val="008B6018"/>
    <w:rsid w:val="008C02AA"/>
    <w:rsid w:val="008C2979"/>
    <w:rsid w:val="008C4AA3"/>
    <w:rsid w:val="008D048E"/>
    <w:rsid w:val="008D1235"/>
    <w:rsid w:val="008D242E"/>
    <w:rsid w:val="008D3BC8"/>
    <w:rsid w:val="008E18A3"/>
    <w:rsid w:val="008E36E2"/>
    <w:rsid w:val="008E7F95"/>
    <w:rsid w:val="008F099D"/>
    <w:rsid w:val="008F3C9F"/>
    <w:rsid w:val="008F47F7"/>
    <w:rsid w:val="009156E7"/>
    <w:rsid w:val="00915B72"/>
    <w:rsid w:val="009166B0"/>
    <w:rsid w:val="00921343"/>
    <w:rsid w:val="00923609"/>
    <w:rsid w:val="009255D8"/>
    <w:rsid w:val="0092785D"/>
    <w:rsid w:val="009304DC"/>
    <w:rsid w:val="00933B3B"/>
    <w:rsid w:val="00934EE3"/>
    <w:rsid w:val="00945902"/>
    <w:rsid w:val="00945E01"/>
    <w:rsid w:val="00947EC5"/>
    <w:rsid w:val="00950D4D"/>
    <w:rsid w:val="009535C7"/>
    <w:rsid w:val="00962492"/>
    <w:rsid w:val="009720C2"/>
    <w:rsid w:val="009721D7"/>
    <w:rsid w:val="009754D0"/>
    <w:rsid w:val="009778E1"/>
    <w:rsid w:val="00977C25"/>
    <w:rsid w:val="00990D4B"/>
    <w:rsid w:val="009911A4"/>
    <w:rsid w:val="00991B94"/>
    <w:rsid w:val="00992C31"/>
    <w:rsid w:val="0099417A"/>
    <w:rsid w:val="0099523E"/>
    <w:rsid w:val="009973F6"/>
    <w:rsid w:val="009A3212"/>
    <w:rsid w:val="009A45B5"/>
    <w:rsid w:val="009A4EA0"/>
    <w:rsid w:val="009B6DB2"/>
    <w:rsid w:val="009B7731"/>
    <w:rsid w:val="009C3AC1"/>
    <w:rsid w:val="009D03DE"/>
    <w:rsid w:val="009D0413"/>
    <w:rsid w:val="009D0A9A"/>
    <w:rsid w:val="009D6AB7"/>
    <w:rsid w:val="009E2801"/>
    <w:rsid w:val="009E5AAB"/>
    <w:rsid w:val="009E5FA0"/>
    <w:rsid w:val="009E77FA"/>
    <w:rsid w:val="009E7E3D"/>
    <w:rsid w:val="009F6490"/>
    <w:rsid w:val="00A03D5B"/>
    <w:rsid w:val="00A114AE"/>
    <w:rsid w:val="00A303AC"/>
    <w:rsid w:val="00A34480"/>
    <w:rsid w:val="00A345AB"/>
    <w:rsid w:val="00A36A29"/>
    <w:rsid w:val="00A40982"/>
    <w:rsid w:val="00A45884"/>
    <w:rsid w:val="00A4604C"/>
    <w:rsid w:val="00A50885"/>
    <w:rsid w:val="00A60203"/>
    <w:rsid w:val="00A62026"/>
    <w:rsid w:val="00A7034E"/>
    <w:rsid w:val="00A71B57"/>
    <w:rsid w:val="00A72B23"/>
    <w:rsid w:val="00A72B84"/>
    <w:rsid w:val="00A74C21"/>
    <w:rsid w:val="00A7508F"/>
    <w:rsid w:val="00A8105C"/>
    <w:rsid w:val="00A83133"/>
    <w:rsid w:val="00A838A0"/>
    <w:rsid w:val="00A84F9C"/>
    <w:rsid w:val="00A9223F"/>
    <w:rsid w:val="00AA658E"/>
    <w:rsid w:val="00AB0C58"/>
    <w:rsid w:val="00AB2F43"/>
    <w:rsid w:val="00AC4C1F"/>
    <w:rsid w:val="00AE0252"/>
    <w:rsid w:val="00AE4694"/>
    <w:rsid w:val="00AE550C"/>
    <w:rsid w:val="00AF19D8"/>
    <w:rsid w:val="00AF1B49"/>
    <w:rsid w:val="00AF6A02"/>
    <w:rsid w:val="00B03934"/>
    <w:rsid w:val="00B049BF"/>
    <w:rsid w:val="00B07133"/>
    <w:rsid w:val="00B155F5"/>
    <w:rsid w:val="00B15827"/>
    <w:rsid w:val="00B17264"/>
    <w:rsid w:val="00B40EB0"/>
    <w:rsid w:val="00B413E6"/>
    <w:rsid w:val="00B449EE"/>
    <w:rsid w:val="00B5274C"/>
    <w:rsid w:val="00B527A1"/>
    <w:rsid w:val="00B54823"/>
    <w:rsid w:val="00B55A48"/>
    <w:rsid w:val="00B636E8"/>
    <w:rsid w:val="00B718A3"/>
    <w:rsid w:val="00B763DD"/>
    <w:rsid w:val="00B7692D"/>
    <w:rsid w:val="00B771E3"/>
    <w:rsid w:val="00B77A08"/>
    <w:rsid w:val="00B87A66"/>
    <w:rsid w:val="00B95843"/>
    <w:rsid w:val="00B97CA7"/>
    <w:rsid w:val="00BA4D22"/>
    <w:rsid w:val="00BA6E87"/>
    <w:rsid w:val="00BC5231"/>
    <w:rsid w:val="00BC7FE3"/>
    <w:rsid w:val="00BD282E"/>
    <w:rsid w:val="00BD5AA2"/>
    <w:rsid w:val="00BE022B"/>
    <w:rsid w:val="00BE13E4"/>
    <w:rsid w:val="00BE13F7"/>
    <w:rsid w:val="00BE2DC0"/>
    <w:rsid w:val="00BF1951"/>
    <w:rsid w:val="00BF218A"/>
    <w:rsid w:val="00BF21C2"/>
    <w:rsid w:val="00BF773A"/>
    <w:rsid w:val="00BF7981"/>
    <w:rsid w:val="00C031DD"/>
    <w:rsid w:val="00C05A06"/>
    <w:rsid w:val="00C06F89"/>
    <w:rsid w:val="00C12A7A"/>
    <w:rsid w:val="00C140C8"/>
    <w:rsid w:val="00C1790C"/>
    <w:rsid w:val="00C17E77"/>
    <w:rsid w:val="00C254A4"/>
    <w:rsid w:val="00C30F94"/>
    <w:rsid w:val="00C37F02"/>
    <w:rsid w:val="00C40AF9"/>
    <w:rsid w:val="00C4278B"/>
    <w:rsid w:val="00C42A4D"/>
    <w:rsid w:val="00C44D90"/>
    <w:rsid w:val="00C459C6"/>
    <w:rsid w:val="00C54935"/>
    <w:rsid w:val="00C551EA"/>
    <w:rsid w:val="00C55F4D"/>
    <w:rsid w:val="00C6223A"/>
    <w:rsid w:val="00C63417"/>
    <w:rsid w:val="00C70976"/>
    <w:rsid w:val="00C72F57"/>
    <w:rsid w:val="00C74B91"/>
    <w:rsid w:val="00C85509"/>
    <w:rsid w:val="00C90703"/>
    <w:rsid w:val="00C90E37"/>
    <w:rsid w:val="00C92D6D"/>
    <w:rsid w:val="00CA1CCF"/>
    <w:rsid w:val="00CA43A8"/>
    <w:rsid w:val="00CA54B7"/>
    <w:rsid w:val="00CB5DF4"/>
    <w:rsid w:val="00CC4706"/>
    <w:rsid w:val="00CC6474"/>
    <w:rsid w:val="00CD172B"/>
    <w:rsid w:val="00CD462E"/>
    <w:rsid w:val="00CD4ADC"/>
    <w:rsid w:val="00CD6ED6"/>
    <w:rsid w:val="00CE0980"/>
    <w:rsid w:val="00CE742E"/>
    <w:rsid w:val="00CF206B"/>
    <w:rsid w:val="00CF4354"/>
    <w:rsid w:val="00D046FC"/>
    <w:rsid w:val="00D2434C"/>
    <w:rsid w:val="00D24891"/>
    <w:rsid w:val="00D26599"/>
    <w:rsid w:val="00D26ED2"/>
    <w:rsid w:val="00D300EB"/>
    <w:rsid w:val="00D34495"/>
    <w:rsid w:val="00D34B60"/>
    <w:rsid w:val="00D35796"/>
    <w:rsid w:val="00D370E1"/>
    <w:rsid w:val="00D4128B"/>
    <w:rsid w:val="00D44840"/>
    <w:rsid w:val="00D45522"/>
    <w:rsid w:val="00D53744"/>
    <w:rsid w:val="00D615C8"/>
    <w:rsid w:val="00D631DE"/>
    <w:rsid w:val="00D6703C"/>
    <w:rsid w:val="00D802BB"/>
    <w:rsid w:val="00D8320E"/>
    <w:rsid w:val="00D86746"/>
    <w:rsid w:val="00D86E87"/>
    <w:rsid w:val="00D9226D"/>
    <w:rsid w:val="00D947E9"/>
    <w:rsid w:val="00DA2ECF"/>
    <w:rsid w:val="00DA66EF"/>
    <w:rsid w:val="00DB0D34"/>
    <w:rsid w:val="00DB7039"/>
    <w:rsid w:val="00DB7C0D"/>
    <w:rsid w:val="00DC219C"/>
    <w:rsid w:val="00DC4D3A"/>
    <w:rsid w:val="00DD02F6"/>
    <w:rsid w:val="00DE52FE"/>
    <w:rsid w:val="00DE6049"/>
    <w:rsid w:val="00DE7517"/>
    <w:rsid w:val="00DF198E"/>
    <w:rsid w:val="00E00A7B"/>
    <w:rsid w:val="00E11929"/>
    <w:rsid w:val="00E14E29"/>
    <w:rsid w:val="00E169B8"/>
    <w:rsid w:val="00E2099F"/>
    <w:rsid w:val="00E35E25"/>
    <w:rsid w:val="00E50782"/>
    <w:rsid w:val="00E56BFC"/>
    <w:rsid w:val="00E67DF1"/>
    <w:rsid w:val="00E71007"/>
    <w:rsid w:val="00E719E1"/>
    <w:rsid w:val="00E71A5F"/>
    <w:rsid w:val="00E73F83"/>
    <w:rsid w:val="00E74546"/>
    <w:rsid w:val="00E76F31"/>
    <w:rsid w:val="00E80C16"/>
    <w:rsid w:val="00E902FA"/>
    <w:rsid w:val="00E91224"/>
    <w:rsid w:val="00E9334D"/>
    <w:rsid w:val="00E97AF0"/>
    <w:rsid w:val="00EA0412"/>
    <w:rsid w:val="00EA598D"/>
    <w:rsid w:val="00EB08B4"/>
    <w:rsid w:val="00EC1D51"/>
    <w:rsid w:val="00EC1F28"/>
    <w:rsid w:val="00EC5A2D"/>
    <w:rsid w:val="00EC6337"/>
    <w:rsid w:val="00EC6602"/>
    <w:rsid w:val="00ED5273"/>
    <w:rsid w:val="00ED54CD"/>
    <w:rsid w:val="00ED786F"/>
    <w:rsid w:val="00EE089C"/>
    <w:rsid w:val="00EF04B8"/>
    <w:rsid w:val="00EF06AA"/>
    <w:rsid w:val="00EF128B"/>
    <w:rsid w:val="00F0099A"/>
    <w:rsid w:val="00F1145F"/>
    <w:rsid w:val="00F17CA1"/>
    <w:rsid w:val="00F222E4"/>
    <w:rsid w:val="00F22F6C"/>
    <w:rsid w:val="00F25233"/>
    <w:rsid w:val="00F339B7"/>
    <w:rsid w:val="00F41A19"/>
    <w:rsid w:val="00F446CF"/>
    <w:rsid w:val="00F514F7"/>
    <w:rsid w:val="00F56586"/>
    <w:rsid w:val="00F62A23"/>
    <w:rsid w:val="00F63376"/>
    <w:rsid w:val="00F65F74"/>
    <w:rsid w:val="00F73DE8"/>
    <w:rsid w:val="00F81836"/>
    <w:rsid w:val="00F8740D"/>
    <w:rsid w:val="00F8767A"/>
    <w:rsid w:val="00F90349"/>
    <w:rsid w:val="00F90F79"/>
    <w:rsid w:val="00FB2124"/>
    <w:rsid w:val="00FC4E5D"/>
    <w:rsid w:val="00FC5039"/>
    <w:rsid w:val="00FC55E4"/>
    <w:rsid w:val="00FD3D4C"/>
    <w:rsid w:val="00FD5C16"/>
    <w:rsid w:val="00FE002E"/>
    <w:rsid w:val="00FE4688"/>
    <w:rsid w:val="00FE5FC2"/>
    <w:rsid w:val="00FE6FAA"/>
    <w:rsid w:val="00FE7815"/>
    <w:rsid w:val="00FF18CD"/>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 w:type="character" w:styleId="PlaceholderText">
    <w:name w:val="Placeholder Text"/>
    <w:basedOn w:val="DefaultParagraphFont"/>
    <w:uiPriority w:val="99"/>
    <w:semiHidden/>
    <w:rsid w:val="00242E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3"/>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34"/>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table" w:customStyle="1" w:styleId="TableGrid1">
    <w:name w:val="Table Grid1"/>
    <w:basedOn w:val="TableNormal"/>
    <w:next w:val="TableGrid"/>
    <w:uiPriority w:val="59"/>
    <w:rsid w:val="00577441"/>
    <w:rPr>
      <w:rFonts w:ascii="System" w:hAnsi="Syste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54823"/>
    <w:rPr>
      <w:rFonts w:ascii="Consolas" w:eastAsia="Calibri" w:hAnsi="Consolas"/>
      <w:sz w:val="21"/>
      <w:szCs w:val="21"/>
    </w:rPr>
  </w:style>
  <w:style w:type="character" w:customStyle="1" w:styleId="PlainTextChar">
    <w:name w:val="Plain Text Char"/>
    <w:basedOn w:val="DefaultParagraphFont"/>
    <w:link w:val="PlainText"/>
    <w:uiPriority w:val="99"/>
    <w:semiHidden/>
    <w:rsid w:val="00B54823"/>
    <w:rPr>
      <w:rFonts w:ascii="Consolas" w:eastAsia="Calibri" w:hAnsi="Consolas"/>
      <w:sz w:val="21"/>
      <w:szCs w:val="21"/>
    </w:rPr>
  </w:style>
  <w:style w:type="character" w:styleId="PlaceholderText">
    <w:name w:val="Placeholder Text"/>
    <w:basedOn w:val="DefaultParagraphFont"/>
    <w:uiPriority w:val="99"/>
    <w:semiHidden/>
    <w:rsid w:val="00242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563954162">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682703204">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adiversion.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B93F-7DC7-4807-A0B0-1E8FD7F1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Coward, Clifton A</cp:lastModifiedBy>
  <cp:revision>2</cp:revision>
  <cp:lastPrinted>2015-09-15T14:42:00Z</cp:lastPrinted>
  <dcterms:created xsi:type="dcterms:W3CDTF">2016-03-22T13:49:00Z</dcterms:created>
  <dcterms:modified xsi:type="dcterms:W3CDTF">2016-03-22T13:49:00Z</dcterms:modified>
</cp:coreProperties>
</file>