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ED8" w:rsidRDefault="00596ED8" w:rsidP="00596ED8">
      <w:pPr>
        <w:pStyle w:val="Heading6"/>
        <w:ind w:left="720"/>
        <w:jc w:val="center"/>
      </w:pPr>
    </w:p>
    <w:p w:rsidR="00596ED8" w:rsidRPr="00E12355" w:rsidRDefault="00596ED8" w:rsidP="00596ED8">
      <w:pPr>
        <w:pStyle w:val="Heading6"/>
        <w:ind w:left="720"/>
        <w:rPr>
          <w:sz w:val="20"/>
        </w:rPr>
      </w:pPr>
      <w:proofErr w:type="gramStart"/>
      <w:r w:rsidRPr="00E12355">
        <w:rPr>
          <w:sz w:val="20"/>
        </w:rPr>
        <w:t>OMB Approval No.</w:t>
      </w:r>
      <w:proofErr w:type="gramEnd"/>
      <w:r w:rsidRPr="00E12355">
        <w:rPr>
          <w:sz w:val="20"/>
        </w:rPr>
        <w:t xml:space="preserve">  1225-0059</w:t>
      </w:r>
    </w:p>
    <w:p w:rsidR="00596ED8" w:rsidRPr="005C7106" w:rsidRDefault="00596ED8" w:rsidP="00596ED8">
      <w:pPr>
        <w:ind w:left="360"/>
      </w:pPr>
    </w:p>
    <w:p w:rsidR="00596ED8" w:rsidRDefault="00596ED8" w:rsidP="00596ED8">
      <w:pPr>
        <w:jc w:val="center"/>
        <w:rPr>
          <w:b/>
          <w:sz w:val="28"/>
        </w:rPr>
      </w:pPr>
      <w:r>
        <w:rPr>
          <w:b/>
          <w:sz w:val="28"/>
        </w:rPr>
        <w:t>CUSTOMER SATISFACTION SURVEY AND CONFERENCE EVALUATION CLEARANCE FORM</w:t>
      </w:r>
    </w:p>
    <w:p w:rsidR="00596ED8" w:rsidRDefault="00596ED8" w:rsidP="00596ED8">
      <w:pPr>
        <w:ind w:left="360"/>
        <w:jc w:val="center"/>
        <w:rPr>
          <w:b/>
          <w:sz w:val="28"/>
        </w:rPr>
      </w:pPr>
    </w:p>
    <w:p w:rsidR="00596ED8" w:rsidRDefault="00596ED8" w:rsidP="00596ED8">
      <w:pPr>
        <w:ind w:left="360"/>
        <w:rPr>
          <w:b/>
          <w:sz w:val="28"/>
        </w:rPr>
      </w:pPr>
      <w:r>
        <w:rPr>
          <w:b/>
          <w:sz w:val="28"/>
        </w:rPr>
        <w:t>A. SUPPLEMENTAL SUPPORTING STATEMENT</w:t>
      </w:r>
    </w:p>
    <w:p w:rsidR="00596ED8" w:rsidRPr="005C7106" w:rsidRDefault="00596ED8" w:rsidP="00596ED8">
      <w:pPr>
        <w:ind w:left="360"/>
        <w:rPr>
          <w:b/>
          <w:sz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2286"/>
        <w:gridCol w:w="990"/>
        <w:gridCol w:w="803"/>
        <w:gridCol w:w="3157"/>
        <w:gridCol w:w="901"/>
      </w:tblGrid>
      <w:tr w:rsidR="00596ED8" w:rsidTr="00596ED8">
        <w:tblPrEx>
          <w:tblCellMar>
            <w:top w:w="0" w:type="dxa"/>
            <w:bottom w:w="0" w:type="dxa"/>
          </w:tblCellMar>
        </w:tblPrEx>
        <w:trPr>
          <w:trHeight w:val="294"/>
        </w:trPr>
        <w:tc>
          <w:tcPr>
            <w:tcW w:w="703" w:type="pct"/>
            <w:tcBorders>
              <w:right w:val="nil"/>
            </w:tcBorders>
          </w:tcPr>
          <w:p w:rsidR="00596ED8" w:rsidRDefault="00596ED8" w:rsidP="00596ED8">
            <w:pPr>
              <w:rPr>
                <w:b/>
                <w:sz w:val="24"/>
              </w:rPr>
            </w:pPr>
            <w:r>
              <w:rPr>
                <w:b/>
                <w:sz w:val="24"/>
              </w:rPr>
              <w:t>A.1. Title:</w:t>
            </w:r>
          </w:p>
        </w:tc>
        <w:tc>
          <w:tcPr>
            <w:tcW w:w="4297" w:type="pct"/>
            <w:gridSpan w:val="5"/>
            <w:tcBorders>
              <w:left w:val="nil"/>
            </w:tcBorders>
          </w:tcPr>
          <w:p w:rsidR="00596ED8" w:rsidRPr="00037F4D" w:rsidRDefault="00596ED8" w:rsidP="00596ED8">
            <w:pPr>
              <w:rPr>
                <w:sz w:val="24"/>
                <w:szCs w:val="24"/>
              </w:rPr>
            </w:pPr>
            <w:r w:rsidRPr="00037F4D">
              <w:rPr>
                <w:sz w:val="24"/>
                <w:szCs w:val="24"/>
              </w:rPr>
              <w:t>CES Confidence Interval Chart Survey</w:t>
            </w:r>
          </w:p>
        </w:tc>
      </w:tr>
      <w:tr w:rsidR="00596ED8" w:rsidTr="00596ED8">
        <w:tblPrEx>
          <w:tblCellMar>
            <w:top w:w="0" w:type="dxa"/>
            <w:bottom w:w="0" w:type="dxa"/>
          </w:tblCellMar>
        </w:tblPrEx>
        <w:trPr>
          <w:trHeight w:val="1205"/>
        </w:trPr>
        <w:tc>
          <w:tcPr>
            <w:tcW w:w="2857" w:type="pct"/>
            <w:gridSpan w:val="4"/>
          </w:tcPr>
          <w:p w:rsidR="00596ED8" w:rsidRDefault="00596ED8" w:rsidP="00596ED8">
            <w:pPr>
              <w:rPr>
                <w:sz w:val="24"/>
              </w:rPr>
            </w:pPr>
            <w:r>
              <w:rPr>
                <w:b/>
                <w:sz w:val="24"/>
              </w:rPr>
              <w:t>A.2. Compliance with 5 CFR 1320.5:</w:t>
            </w:r>
            <w:r>
              <w:rPr>
                <w:sz w:val="24"/>
              </w:rPr>
              <w:t xml:space="preserve">  </w:t>
            </w:r>
          </w:p>
          <w:p w:rsidR="00596ED8" w:rsidRDefault="00596ED8" w:rsidP="00596ED8">
            <w:pPr>
              <w:rPr>
                <w:sz w:val="24"/>
              </w:rPr>
            </w:pPr>
            <w:r>
              <w:rPr>
                <w:sz w:val="24"/>
              </w:rPr>
              <w:tab/>
              <w:t>Yes ___X__ No _____</w:t>
            </w:r>
          </w:p>
          <w:p w:rsidR="00596ED8" w:rsidRPr="005E18DB" w:rsidRDefault="00596ED8" w:rsidP="00596ED8"/>
        </w:tc>
        <w:tc>
          <w:tcPr>
            <w:tcW w:w="2143" w:type="pct"/>
            <w:gridSpan w:val="2"/>
          </w:tcPr>
          <w:p w:rsidR="00596ED8" w:rsidRDefault="00596ED8" w:rsidP="00596ED8">
            <w:pPr>
              <w:rPr>
                <w:sz w:val="24"/>
              </w:rPr>
            </w:pPr>
            <w:r>
              <w:rPr>
                <w:b/>
                <w:sz w:val="24"/>
              </w:rPr>
              <w:t>A.3. Assurances of confidentiality:</w:t>
            </w:r>
            <w:r>
              <w:rPr>
                <w:sz w:val="24"/>
              </w:rPr>
              <w:t xml:space="preserve">  </w:t>
            </w:r>
          </w:p>
          <w:p w:rsidR="00596ED8" w:rsidRPr="00C2048A" w:rsidRDefault="00596ED8" w:rsidP="00596ED8">
            <w:pPr>
              <w:rPr>
                <w:sz w:val="24"/>
                <w:szCs w:val="24"/>
              </w:rPr>
            </w:pPr>
            <w:r w:rsidRPr="00C2048A">
              <w:rPr>
                <w:sz w:val="24"/>
                <w:szCs w:val="24"/>
              </w:rPr>
              <w:t>No pledge of confidentiality will be given.</w:t>
            </w:r>
          </w:p>
        </w:tc>
      </w:tr>
      <w:tr w:rsidR="00596ED8" w:rsidTr="00596ED8">
        <w:tblPrEx>
          <w:tblCellMar>
            <w:top w:w="0" w:type="dxa"/>
            <w:bottom w:w="0" w:type="dxa"/>
          </w:tblCellMar>
        </w:tblPrEx>
        <w:trPr>
          <w:trHeight w:val="861"/>
        </w:trPr>
        <w:tc>
          <w:tcPr>
            <w:tcW w:w="2857" w:type="pct"/>
            <w:gridSpan w:val="4"/>
          </w:tcPr>
          <w:p w:rsidR="00596ED8" w:rsidRPr="00217C58" w:rsidRDefault="00596ED8" w:rsidP="00596ED8">
            <w:pPr>
              <w:rPr>
                <w:bCs/>
                <w:sz w:val="24"/>
              </w:rPr>
            </w:pPr>
            <w:r>
              <w:rPr>
                <w:b/>
                <w:sz w:val="24"/>
              </w:rPr>
              <w:t>A.4. Federal cost</w:t>
            </w:r>
            <w:r>
              <w:rPr>
                <w:bCs/>
                <w:sz w:val="24"/>
              </w:rPr>
              <w:t xml:space="preserve">:  </w:t>
            </w:r>
            <w:r w:rsidRPr="00C32E8B">
              <w:rPr>
                <w:b/>
                <w:bCs/>
                <w:sz w:val="24"/>
              </w:rPr>
              <w:t xml:space="preserve">$ </w:t>
            </w:r>
            <w:r>
              <w:rPr>
                <w:b/>
                <w:bCs/>
                <w:sz w:val="24"/>
              </w:rPr>
              <w:t>5,922</w:t>
            </w:r>
            <w:r>
              <w:rPr>
                <w:bCs/>
                <w:sz w:val="24"/>
              </w:rPr>
              <w:t xml:space="preserve"> </w:t>
            </w:r>
            <w:r w:rsidRPr="00C32E8B">
              <w:rPr>
                <w:bCs/>
                <w:sz w:val="24"/>
              </w:rPr>
              <w:t>(</w:t>
            </w:r>
            <w:r>
              <w:rPr>
                <w:sz w:val="24"/>
              </w:rPr>
              <w:t>90</w:t>
            </w:r>
            <w:r w:rsidRPr="00C32E8B">
              <w:rPr>
                <w:sz w:val="24"/>
              </w:rPr>
              <w:t xml:space="preserve"> hours of BLS employee work)</w:t>
            </w:r>
          </w:p>
        </w:tc>
        <w:tc>
          <w:tcPr>
            <w:tcW w:w="2143" w:type="pct"/>
            <w:gridSpan w:val="2"/>
          </w:tcPr>
          <w:p w:rsidR="00596ED8" w:rsidRDefault="00596ED8" w:rsidP="00596ED8">
            <w:pPr>
              <w:pStyle w:val="BodyText2"/>
            </w:pPr>
            <w:r>
              <w:t>A.5. Requested expiration date (Month/Year):</w:t>
            </w:r>
            <w:r>
              <w:tab/>
            </w:r>
            <w:r w:rsidRPr="00B235E2">
              <w:rPr>
                <w:b w:val="0"/>
              </w:rPr>
              <w:t>0</w:t>
            </w:r>
            <w:r>
              <w:rPr>
                <w:b w:val="0"/>
              </w:rPr>
              <w:t>8</w:t>
            </w:r>
            <w:r w:rsidRPr="00B235E2">
              <w:rPr>
                <w:b w:val="0"/>
              </w:rPr>
              <w:t>/2016</w:t>
            </w:r>
          </w:p>
        </w:tc>
      </w:tr>
      <w:tr w:rsidR="00596ED8" w:rsidTr="00596ED8">
        <w:tblPrEx>
          <w:tblCellMar>
            <w:top w:w="0" w:type="dxa"/>
            <w:bottom w:w="0" w:type="dxa"/>
          </w:tblCellMar>
        </w:tblPrEx>
        <w:trPr>
          <w:trHeight w:val="2357"/>
        </w:trPr>
        <w:tc>
          <w:tcPr>
            <w:tcW w:w="2857" w:type="pct"/>
            <w:gridSpan w:val="4"/>
          </w:tcPr>
          <w:p w:rsidR="00596ED8" w:rsidRDefault="00596ED8" w:rsidP="00596ED8">
            <w:pPr>
              <w:rPr>
                <w:b/>
                <w:sz w:val="24"/>
              </w:rPr>
            </w:pPr>
            <w:r>
              <w:rPr>
                <w:b/>
                <w:sz w:val="24"/>
              </w:rPr>
              <w:t>A.6. Burden Hour estimates:</w:t>
            </w:r>
          </w:p>
          <w:p w:rsidR="00596ED8" w:rsidRDefault="00596ED8" w:rsidP="00596ED8">
            <w:pPr>
              <w:ind w:left="360"/>
              <w:rPr>
                <w:sz w:val="24"/>
              </w:rPr>
            </w:pPr>
          </w:p>
          <w:p w:rsidR="00596ED8" w:rsidRDefault="00596ED8" w:rsidP="00596ED8">
            <w:pPr>
              <w:rPr>
                <w:bCs/>
                <w:sz w:val="24"/>
              </w:rPr>
            </w:pPr>
            <w:r>
              <w:rPr>
                <w:bCs/>
                <w:sz w:val="24"/>
              </w:rPr>
              <w:t>a. Number of Respondents:</w:t>
            </w:r>
            <w:r>
              <w:rPr>
                <w:bCs/>
                <w:sz w:val="24"/>
              </w:rPr>
              <w:tab/>
            </w:r>
            <w:r w:rsidRPr="003438BF">
              <w:rPr>
                <w:bCs/>
                <w:sz w:val="24"/>
              </w:rPr>
              <w:t xml:space="preserve">    </w:t>
            </w:r>
            <w:r>
              <w:rPr>
                <w:bCs/>
                <w:sz w:val="24"/>
              </w:rPr>
              <w:t>CES homepage:  300</w:t>
            </w:r>
          </w:p>
          <w:p w:rsidR="00596ED8" w:rsidRDefault="00596ED8" w:rsidP="00596ED8">
            <w:pPr>
              <w:spacing w:after="80"/>
              <w:rPr>
                <w:bCs/>
                <w:sz w:val="24"/>
              </w:rPr>
            </w:pPr>
            <w:r>
              <w:rPr>
                <w:bCs/>
                <w:sz w:val="24"/>
              </w:rPr>
              <w:t xml:space="preserve">                                     Customer email response: 100</w:t>
            </w:r>
          </w:p>
          <w:p w:rsidR="00596ED8" w:rsidRDefault="00596ED8" w:rsidP="00596ED8">
            <w:pPr>
              <w:spacing w:after="80"/>
              <w:rPr>
                <w:bCs/>
                <w:sz w:val="24"/>
              </w:rPr>
            </w:pPr>
            <w:r>
              <w:rPr>
                <w:bCs/>
                <w:sz w:val="24"/>
              </w:rPr>
              <w:t xml:space="preserve">                                CES NR Release Subscriber: </w:t>
            </w:r>
            <w:r w:rsidRPr="003E0328">
              <w:rPr>
                <w:bCs/>
                <w:sz w:val="24"/>
                <w:u w:val="single"/>
              </w:rPr>
              <w:t>200</w:t>
            </w:r>
            <w:r w:rsidRPr="003438BF">
              <w:rPr>
                <w:bCs/>
                <w:sz w:val="24"/>
              </w:rPr>
              <w:t xml:space="preserve"> </w:t>
            </w:r>
          </w:p>
          <w:p w:rsidR="00596ED8" w:rsidRPr="003438BF" w:rsidRDefault="00596ED8" w:rsidP="00596ED8">
            <w:pPr>
              <w:spacing w:after="80"/>
              <w:rPr>
                <w:bCs/>
                <w:sz w:val="24"/>
              </w:rPr>
            </w:pPr>
            <w:r>
              <w:rPr>
                <w:bCs/>
                <w:sz w:val="24"/>
              </w:rPr>
              <w:t xml:space="preserve">                                                                   Total = 600</w:t>
            </w:r>
          </w:p>
          <w:p w:rsidR="00596ED8" w:rsidRPr="003438BF" w:rsidRDefault="00596ED8" w:rsidP="00596ED8">
            <w:pPr>
              <w:pStyle w:val="BodyText"/>
              <w:spacing w:after="120"/>
              <w:rPr>
                <w:bCs/>
              </w:rPr>
            </w:pPr>
            <w:r w:rsidRPr="003438BF">
              <w:rPr>
                <w:bCs/>
              </w:rPr>
              <w:t>b. Frequency:</w:t>
            </w:r>
            <w:r w:rsidRPr="003438BF">
              <w:rPr>
                <w:bCs/>
              </w:rPr>
              <w:tab/>
              <w:t xml:space="preserve">                                       </w:t>
            </w:r>
            <w:r w:rsidRPr="003438BF">
              <w:rPr>
                <w:szCs w:val="24"/>
              </w:rPr>
              <w:t>One-time</w:t>
            </w:r>
          </w:p>
          <w:p w:rsidR="00596ED8" w:rsidRPr="003438BF" w:rsidRDefault="00596ED8" w:rsidP="00596ED8">
            <w:pPr>
              <w:spacing w:after="120"/>
              <w:rPr>
                <w:bCs/>
                <w:sz w:val="24"/>
              </w:rPr>
            </w:pPr>
            <w:r w:rsidRPr="003438BF">
              <w:rPr>
                <w:bCs/>
                <w:sz w:val="24"/>
              </w:rPr>
              <w:t xml:space="preserve">c. Average Response Time:                   </w:t>
            </w:r>
            <w:r>
              <w:rPr>
                <w:bCs/>
                <w:sz w:val="24"/>
              </w:rPr>
              <w:t>5 minutes</w:t>
            </w:r>
          </w:p>
          <w:p w:rsidR="00596ED8" w:rsidRDefault="00596ED8" w:rsidP="00596ED8">
            <w:pPr>
              <w:rPr>
                <w:b/>
                <w:sz w:val="24"/>
              </w:rPr>
            </w:pPr>
            <w:r w:rsidRPr="003438BF">
              <w:rPr>
                <w:bCs/>
                <w:sz w:val="24"/>
              </w:rPr>
              <w:t xml:space="preserve">d. Total Annual Burden Hours:             </w:t>
            </w:r>
            <w:r w:rsidRPr="00C2048A">
              <w:rPr>
                <w:b/>
                <w:bCs/>
                <w:sz w:val="24"/>
              </w:rPr>
              <w:t>50</w:t>
            </w:r>
            <w:r>
              <w:rPr>
                <w:bCs/>
                <w:sz w:val="24"/>
              </w:rPr>
              <w:t xml:space="preserve"> </w:t>
            </w:r>
            <w:r w:rsidRPr="003438BF">
              <w:rPr>
                <w:b/>
                <w:sz w:val="24"/>
              </w:rPr>
              <w:t>hours</w:t>
            </w:r>
            <w:r w:rsidRPr="005C7106">
              <w:rPr>
                <w:sz w:val="24"/>
                <w:u w:val="single"/>
              </w:rPr>
              <w:t xml:space="preserve"> </w:t>
            </w:r>
          </w:p>
        </w:tc>
        <w:tc>
          <w:tcPr>
            <w:tcW w:w="2143" w:type="pct"/>
            <w:gridSpan w:val="2"/>
          </w:tcPr>
          <w:p w:rsidR="00596ED8" w:rsidRDefault="00596ED8" w:rsidP="00596ED8">
            <w:pPr>
              <w:rPr>
                <w:b/>
                <w:bCs/>
                <w:sz w:val="24"/>
              </w:rPr>
            </w:pPr>
            <w:r>
              <w:rPr>
                <w:b/>
                <w:bCs/>
                <w:sz w:val="24"/>
              </w:rPr>
              <w:t>A7.  Does the collection of information employ statistical methods?</w:t>
            </w:r>
          </w:p>
          <w:p w:rsidR="00596ED8" w:rsidRDefault="00596ED8" w:rsidP="00596ED8">
            <w:pPr>
              <w:ind w:left="360"/>
              <w:rPr>
                <w:b/>
                <w:sz w:val="24"/>
              </w:rPr>
            </w:pPr>
          </w:p>
          <w:p w:rsidR="00596ED8" w:rsidRDefault="00596ED8" w:rsidP="00596ED8">
            <w:pPr>
              <w:rPr>
                <w:bCs/>
                <w:sz w:val="24"/>
              </w:rPr>
            </w:pPr>
            <w:r>
              <w:rPr>
                <w:b/>
                <w:sz w:val="24"/>
              </w:rPr>
              <w:t xml:space="preserve">____X___ </w:t>
            </w:r>
            <w:r>
              <w:rPr>
                <w:bCs/>
                <w:sz w:val="24"/>
              </w:rPr>
              <w:t xml:space="preserve">No </w:t>
            </w:r>
          </w:p>
          <w:p w:rsidR="00596ED8" w:rsidRDefault="00596ED8" w:rsidP="00596ED8">
            <w:pPr>
              <w:ind w:left="360"/>
              <w:rPr>
                <w:b/>
                <w:sz w:val="24"/>
              </w:rPr>
            </w:pPr>
          </w:p>
          <w:p w:rsidR="00596ED8" w:rsidRPr="00217C58" w:rsidRDefault="00596ED8" w:rsidP="00596ED8">
            <w:pPr>
              <w:rPr>
                <w:bCs/>
                <w:sz w:val="24"/>
              </w:rPr>
            </w:pPr>
            <w:r>
              <w:rPr>
                <w:bCs/>
                <w:sz w:val="24"/>
              </w:rPr>
              <w:t xml:space="preserve"> </w:t>
            </w:r>
            <w:r>
              <w:rPr>
                <w:bCs/>
                <w:sz w:val="24"/>
                <w:u w:val="single"/>
              </w:rPr>
              <w:t xml:space="preserve">           </w:t>
            </w:r>
            <w:r w:rsidRPr="001D57C3">
              <w:rPr>
                <w:bCs/>
                <w:sz w:val="24"/>
              </w:rPr>
              <w:t xml:space="preserve"> </w:t>
            </w:r>
            <w:r>
              <w:rPr>
                <w:bCs/>
                <w:sz w:val="24"/>
              </w:rPr>
              <w:t>Yes (Complete Section B and attach BLS review sheet).</w:t>
            </w:r>
          </w:p>
        </w:tc>
      </w:tr>
      <w:tr w:rsidR="00596ED8" w:rsidTr="00596ED8">
        <w:tblPrEx>
          <w:tblCellMar>
            <w:top w:w="0" w:type="dxa"/>
            <w:bottom w:w="0" w:type="dxa"/>
          </w:tblCellMar>
        </w:tblPrEx>
        <w:trPr>
          <w:cantSplit/>
          <w:trHeight w:val="4346"/>
        </w:trPr>
        <w:tc>
          <w:tcPr>
            <w:tcW w:w="5000" w:type="pct"/>
            <w:gridSpan w:val="6"/>
          </w:tcPr>
          <w:p w:rsidR="00596ED8" w:rsidRPr="00DA49FD" w:rsidRDefault="00596ED8" w:rsidP="00596ED8">
            <w:pPr>
              <w:spacing w:after="120"/>
              <w:rPr>
                <w:b/>
              </w:rPr>
            </w:pPr>
            <w:r w:rsidRPr="00DA49FD">
              <w:rPr>
                <w:b/>
                <w:bCs/>
              </w:rPr>
              <w:lastRenderedPageBreak/>
              <w:t>A.8. Abstract:</w:t>
            </w:r>
          </w:p>
          <w:p w:rsidR="00596ED8" w:rsidRPr="00DA49FD" w:rsidRDefault="00596ED8" w:rsidP="00596ED8">
            <w:pPr>
              <w:contextualSpacing/>
            </w:pPr>
            <w:r w:rsidRPr="00DA49FD">
              <w:t>In an effort to graphically display the reliability of the Current Employment Statistics (CES) survey estimates, the Bureau of Labor Statistics would like to provide its users with a single chart showing the 90-percent confidence intervals for each major industry sector. Significant over-the-month changes are calculated at a 90-percent confidence level. The standard error is used for a 1-month change. The 90</w:t>
            </w:r>
            <w:r>
              <w:t>-per</w:t>
            </w:r>
            <w:r w:rsidRPr="00DA49FD">
              <w:t xml:space="preserve">cent confidence interval represents the symmetric range of values around the estimate for which there is 90-percent probability that the actual over-the-month change is contained within that range of values. The variance for total nonfarm employment is an approximation because government and rail transportation are not based on a probability sample. Federal government and rail transportation are essentially full population counts and do not contribute to variance. </w:t>
            </w:r>
          </w:p>
          <w:p w:rsidR="00596ED8" w:rsidRPr="00DA49FD" w:rsidRDefault="00596ED8" w:rsidP="00596ED8">
            <w:pPr>
              <w:contextualSpacing/>
            </w:pPr>
          </w:p>
          <w:p w:rsidR="00596ED8" w:rsidRPr="00DA49FD" w:rsidRDefault="00596ED8" w:rsidP="00596ED8">
            <w:pPr>
              <w:contextualSpacing/>
            </w:pPr>
            <w:r w:rsidRPr="00DA49FD">
              <w:t xml:space="preserve">Data users’ reactions to two alternative graphical approaches for presenting the confidence interval data will be compared.  Both charts (see Attachment 1) show the over-the-month change in employment for total nonfarm and major industry sectors (represented by the red dot) and the range for the 90-percent confidence interval (represented by the blue bar). </w:t>
            </w:r>
          </w:p>
          <w:p w:rsidR="00596ED8" w:rsidRPr="00DA49FD" w:rsidRDefault="00596ED8" w:rsidP="00596E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lang w:val="en"/>
              </w:rPr>
            </w:pPr>
          </w:p>
          <w:p w:rsidR="00596ED8" w:rsidRPr="00DA49FD" w:rsidRDefault="00596ED8" w:rsidP="00596ED8">
            <w:pPr>
              <w:contextualSpacing/>
              <w:rPr>
                <w:lang w:val="en"/>
              </w:rPr>
            </w:pPr>
            <w:r w:rsidRPr="00DA49FD">
              <w:t xml:space="preserve">In Chart 1, </w:t>
            </w:r>
            <w:r>
              <w:t xml:space="preserve">the confidence interval is computed around the mean </w:t>
            </w:r>
            <w:r w:rsidRPr="00DA49FD">
              <w:t xml:space="preserve">over-the-month change </w:t>
            </w:r>
            <w:r>
              <w:t>for an industry. I</w:t>
            </w:r>
            <w:r w:rsidRPr="00DA49FD">
              <w:t xml:space="preserve">f the over-the-month change is statistically significant, the blue bar will </w:t>
            </w:r>
            <w:r w:rsidRPr="003E78E1">
              <w:rPr>
                <w:b/>
              </w:rPr>
              <w:t>not</w:t>
            </w:r>
            <w:r w:rsidRPr="00DA49FD">
              <w:t xml:space="preserve"> cross the black zero line. The red dot representing the over-the-month change </w:t>
            </w:r>
            <w:r>
              <w:t>lies on</w:t>
            </w:r>
            <w:r w:rsidRPr="00DA49FD">
              <w:t xml:space="preserve"> the middle</w:t>
            </w:r>
            <w:r>
              <w:t xml:space="preserve"> (mean)</w:t>
            </w:r>
            <w:r w:rsidRPr="00DA49FD">
              <w:t xml:space="preserve"> </w:t>
            </w:r>
            <w:r>
              <w:t xml:space="preserve">value </w:t>
            </w:r>
            <w:r w:rsidRPr="00DA49FD">
              <w:t xml:space="preserve">of the blue bar that shows the confidence interval for the specific industry. For example, the over-the-month change for construction is 18,000 with a 90-percent confidence interval of plus or minus 25,900 so the range is -7,900 to 43,900. </w:t>
            </w:r>
            <w:r w:rsidRPr="00DA49FD">
              <w:rPr>
                <w:lang w:val="en"/>
              </w:rPr>
              <w:t>These figures do not mean that the sample results are off by these magnitudes, but rather that there is about a 90-percent chance that the true over-the-month change lies within this interval. Since this range includes values of less than zero, we could not say with confidence that construction employment had, in fact, increased that month. For manufacturing, the</w:t>
            </w:r>
            <w:r w:rsidRPr="00DA49FD">
              <w:t xml:space="preserve"> over-the-month change is 29,000 with a 90-percent confidence interval of plus or minus 18,700 so the range is 10,300 to 47,700. </w:t>
            </w:r>
            <w:r w:rsidRPr="00DA49FD">
              <w:rPr>
                <w:lang w:val="en"/>
              </w:rPr>
              <w:t>In this case, it is likely (at least a 90-percent chance) that manufacturing employment had, in fact, risen over the month.</w:t>
            </w:r>
          </w:p>
          <w:p w:rsidR="00596ED8" w:rsidRPr="00DA49FD" w:rsidRDefault="00596ED8" w:rsidP="00596E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lang w:val="en"/>
              </w:rPr>
            </w:pPr>
          </w:p>
          <w:p w:rsidR="00596ED8" w:rsidRPr="00DA49FD" w:rsidRDefault="00596ED8" w:rsidP="00596ED8">
            <w:pPr>
              <w:contextualSpacing/>
            </w:pPr>
            <w:r w:rsidRPr="00DA49FD">
              <w:t>In Chart 2,</w:t>
            </w:r>
            <w:r>
              <w:t xml:space="preserve"> the confidence interval for each industry is computed assuming that the mean </w:t>
            </w:r>
            <w:r w:rsidRPr="00DA49FD">
              <w:t xml:space="preserve">over-the-month </w:t>
            </w:r>
            <w:r>
              <w:t>change is zero. So</w:t>
            </w:r>
            <w:r w:rsidRPr="00DA49FD">
              <w:t xml:space="preserve"> if the over-the-month change is statistically significant, the red dot </w:t>
            </w:r>
            <w:r>
              <w:t>falls</w:t>
            </w:r>
            <w:r w:rsidRPr="00DA49FD">
              <w:t xml:space="preserve"> outside of the blue bar</w:t>
            </w:r>
            <w:r>
              <w:t xml:space="preserve"> (in </w:t>
            </w:r>
            <w:r w:rsidRPr="00DA49FD">
              <w:t>a positive or negative direction</w:t>
            </w:r>
            <w:r>
              <w:t>)</w:t>
            </w:r>
            <w:r w:rsidRPr="00DA49FD">
              <w:t xml:space="preserve">.   </w:t>
            </w:r>
          </w:p>
          <w:p w:rsidR="00596ED8" w:rsidRPr="00DA49FD" w:rsidRDefault="00596ED8" w:rsidP="00596ED8"/>
          <w:p w:rsidR="00596ED8" w:rsidRPr="00DA49FD" w:rsidRDefault="00596ED8" w:rsidP="00596ED8">
            <w:r>
              <w:t>Based on past experience, we assume</w:t>
            </w:r>
            <w:r w:rsidRPr="00DA49FD">
              <w:t xml:space="preserve"> that one percent of the visitors to the CES homepage will compare the graphical approaches and </w:t>
            </w:r>
            <w:r>
              <w:t>take</w:t>
            </w:r>
            <w:r w:rsidRPr="00DA49FD">
              <w:t xml:space="preserve"> the survey</w:t>
            </w:r>
            <w:r>
              <w:t>.  Therefore,</w:t>
            </w:r>
            <w:r w:rsidRPr="00DA49FD">
              <w:t xml:space="preserve"> we expect that 300 people will complete the evaluation survey over a two month period.  The evaluation questionnaire will take an average of 5 minutes to complete, resulting in 25 burden hours (300 x 5 min divided by 60 min).</w:t>
            </w:r>
            <w:r>
              <w:t xml:space="preserve">  </w:t>
            </w:r>
          </w:p>
          <w:p w:rsidR="00596ED8" w:rsidRPr="00DA49FD" w:rsidRDefault="00596ED8" w:rsidP="00596ED8"/>
          <w:p w:rsidR="00596ED8" w:rsidRPr="00DA49FD" w:rsidRDefault="00596ED8" w:rsidP="00596ED8">
            <w:r w:rsidRPr="00DA49FD">
              <w:t xml:space="preserve">The CES program will also </w:t>
            </w:r>
            <w:r>
              <w:t xml:space="preserve">ask a convenience sample of </w:t>
            </w:r>
            <w:r w:rsidRPr="00DA49FD">
              <w:t xml:space="preserve">data users who have </w:t>
            </w:r>
            <w:r>
              <w:t>sent</w:t>
            </w:r>
            <w:r w:rsidRPr="00DA49FD">
              <w:t xml:space="preserve"> CE staff a</w:t>
            </w:r>
            <w:r>
              <w:t>n email</w:t>
            </w:r>
            <w:r w:rsidRPr="00DA49FD">
              <w:t xml:space="preserve"> question to compare the </w:t>
            </w:r>
            <w:r>
              <w:t xml:space="preserve">two </w:t>
            </w:r>
            <w:r w:rsidRPr="00DA49FD">
              <w:t>graphical approaches</w:t>
            </w:r>
            <w:r>
              <w:t>. This will be done</w:t>
            </w:r>
            <w:r w:rsidRPr="00DA49FD">
              <w:t xml:space="preserve"> </w:t>
            </w:r>
            <w:r>
              <w:t>by including a survey-invitation link at the bottom of</w:t>
            </w:r>
            <w:r w:rsidRPr="00DA49FD">
              <w:t xml:space="preserve"> email responses. We hope to obtain 100 responses using this approach.</w:t>
            </w:r>
            <w:r>
              <w:t xml:space="preserve">  Finally, we will send a survey email invitation to CES NR news release subscribers in the hope of obtaining another 200 respondents. These latter two approaches will result in an additional 25 burden hours </w:t>
            </w:r>
            <w:r w:rsidRPr="00DA49FD">
              <w:t>(300 x 5 min divided by 60 min)</w:t>
            </w:r>
            <w:r>
              <w:t xml:space="preserve">, and a total of 50 burden hours.  All survey responses will be collected using </w:t>
            </w:r>
            <w:proofErr w:type="spellStart"/>
            <w:r>
              <w:t>SurveyMonkey</w:t>
            </w:r>
            <w:proofErr w:type="spellEnd"/>
            <w:r>
              <w:t>, and no pledge of confidentiality will be given.</w:t>
            </w:r>
          </w:p>
          <w:p w:rsidR="00596ED8" w:rsidRPr="00DA49FD" w:rsidRDefault="00596ED8" w:rsidP="00596ED8"/>
          <w:p w:rsidR="00596ED8" w:rsidRPr="00DA49FD" w:rsidRDefault="00596ED8" w:rsidP="00596ED8">
            <w:r w:rsidRPr="00DA49FD">
              <w:t xml:space="preserve">We are only using the results of </w:t>
            </w:r>
            <w:r>
              <w:t>this</w:t>
            </w:r>
            <w:r w:rsidRPr="00DA49FD">
              <w:t xml:space="preserve"> survey </w:t>
            </w:r>
            <w:r w:rsidRPr="00DA49FD">
              <w:rPr>
                <w:b/>
              </w:rPr>
              <w:t>internally for planning purposes</w:t>
            </w:r>
            <w:r w:rsidRPr="00DA49FD">
              <w:t xml:space="preserve">.  We are not employing statistical methods because we don’t have a sample frame of </w:t>
            </w:r>
            <w:r w:rsidRPr="00DA49FD">
              <w:rPr>
                <w:b/>
                <w:i/>
              </w:rPr>
              <w:t>all</w:t>
            </w:r>
            <w:r w:rsidRPr="00DA49FD">
              <w:t xml:space="preserve"> data users who visit the </w:t>
            </w:r>
            <w:r>
              <w:t xml:space="preserve">CES </w:t>
            </w:r>
            <w:r w:rsidRPr="00DA49FD">
              <w:t>website and, therefore, can’t extrapolate the results to all data users.</w:t>
            </w:r>
            <w:r>
              <w:t xml:space="preserve">  </w:t>
            </w:r>
          </w:p>
          <w:p w:rsidR="00596ED8" w:rsidRPr="00DA49FD" w:rsidRDefault="00596ED8" w:rsidP="00596ED8"/>
          <w:p w:rsidR="00596ED8" w:rsidRPr="00AE2F86" w:rsidRDefault="00596ED8" w:rsidP="00596ED8">
            <w:r>
              <w:t xml:space="preserve">A copy of the survey is </w:t>
            </w:r>
            <w:r w:rsidRPr="00DA49FD">
              <w:t>attached.</w:t>
            </w:r>
          </w:p>
        </w:tc>
      </w:tr>
      <w:tr w:rsidR="00596ED8" w:rsidTr="00596ED8">
        <w:tblPrEx>
          <w:tblCellMar>
            <w:top w:w="0" w:type="dxa"/>
            <w:bottom w:w="0" w:type="dxa"/>
          </w:tblCellMar>
        </w:tblPrEx>
        <w:trPr>
          <w:cantSplit/>
          <w:trHeight w:val="151"/>
        </w:trPr>
        <w:tc>
          <w:tcPr>
            <w:tcW w:w="1910" w:type="pct"/>
            <w:gridSpan w:val="2"/>
          </w:tcPr>
          <w:p w:rsidR="00596ED8" w:rsidRPr="00BD47B5" w:rsidRDefault="00596ED8" w:rsidP="00596ED8">
            <w:pPr>
              <w:pStyle w:val="Heading4"/>
              <w:rPr>
                <w:sz w:val="20"/>
              </w:rPr>
            </w:pPr>
            <w:r w:rsidRPr="00BD47B5">
              <w:rPr>
                <w:sz w:val="20"/>
              </w:rPr>
              <w:t xml:space="preserve">Program Official   </w:t>
            </w:r>
          </w:p>
          <w:p w:rsidR="00596ED8" w:rsidRPr="005C7106" w:rsidRDefault="00596ED8" w:rsidP="00596ED8">
            <w:pPr>
              <w:pStyle w:val="Heading4"/>
            </w:pPr>
            <w:r>
              <w:t xml:space="preserve">                  </w:t>
            </w:r>
          </w:p>
        </w:tc>
        <w:tc>
          <w:tcPr>
            <w:tcW w:w="523" w:type="pct"/>
          </w:tcPr>
          <w:p w:rsidR="00596ED8" w:rsidRPr="00BD47B5" w:rsidRDefault="00596ED8" w:rsidP="00596ED8">
            <w:pPr>
              <w:jc w:val="center"/>
              <w:rPr>
                <w:b/>
                <w:sz w:val="24"/>
                <w:szCs w:val="24"/>
              </w:rPr>
            </w:pPr>
            <w:r w:rsidRPr="00BD47B5">
              <w:rPr>
                <w:b/>
                <w:bCs/>
                <w:sz w:val="24"/>
                <w:szCs w:val="24"/>
              </w:rPr>
              <w:t>Date</w:t>
            </w:r>
          </w:p>
        </w:tc>
        <w:tc>
          <w:tcPr>
            <w:tcW w:w="2091" w:type="pct"/>
            <w:gridSpan w:val="2"/>
          </w:tcPr>
          <w:p w:rsidR="00596ED8" w:rsidRPr="00BD47B5" w:rsidRDefault="00596ED8" w:rsidP="00596ED8">
            <w:pPr>
              <w:rPr>
                <w:b/>
                <w:bCs/>
                <w:sz w:val="24"/>
                <w:szCs w:val="24"/>
              </w:rPr>
            </w:pPr>
            <w:r w:rsidRPr="00BD47B5">
              <w:rPr>
                <w:b/>
                <w:bCs/>
                <w:sz w:val="24"/>
                <w:szCs w:val="24"/>
              </w:rPr>
              <w:t xml:space="preserve">Departmental Clearance Officer             </w:t>
            </w:r>
          </w:p>
          <w:p w:rsidR="00596ED8" w:rsidRPr="00BD47B5" w:rsidRDefault="00596ED8" w:rsidP="00596ED8">
            <w:pPr>
              <w:rPr>
                <w:b/>
                <w:bCs/>
                <w:sz w:val="24"/>
                <w:szCs w:val="24"/>
              </w:rPr>
            </w:pPr>
          </w:p>
        </w:tc>
        <w:tc>
          <w:tcPr>
            <w:tcW w:w="476" w:type="pct"/>
          </w:tcPr>
          <w:p w:rsidR="00596ED8" w:rsidRPr="00BD47B5" w:rsidRDefault="00596ED8" w:rsidP="00596ED8">
            <w:pPr>
              <w:jc w:val="center"/>
              <w:rPr>
                <w:b/>
                <w:bCs/>
                <w:sz w:val="24"/>
                <w:szCs w:val="24"/>
              </w:rPr>
            </w:pPr>
            <w:r w:rsidRPr="00BD47B5">
              <w:rPr>
                <w:b/>
                <w:bCs/>
                <w:sz w:val="24"/>
                <w:szCs w:val="24"/>
              </w:rPr>
              <w:t>Date</w:t>
            </w:r>
          </w:p>
        </w:tc>
      </w:tr>
    </w:tbl>
    <w:p w:rsidR="002809F3" w:rsidRDefault="002809F3"/>
    <w:p w:rsidR="00385E84" w:rsidRDefault="00385E84"/>
    <w:p w:rsidR="00385E84" w:rsidRDefault="00385E84"/>
    <w:p w:rsidR="00385E84" w:rsidRDefault="00385E84"/>
    <w:p w:rsidR="00385E84" w:rsidRPr="00385E84" w:rsidRDefault="00385E84" w:rsidP="00385E84">
      <w:pPr>
        <w:jc w:val="both"/>
        <w:rPr>
          <w:b/>
          <w:sz w:val="24"/>
          <w:szCs w:val="24"/>
        </w:rPr>
      </w:pPr>
      <w:r w:rsidRPr="00385E84">
        <w:rPr>
          <w:b/>
          <w:sz w:val="24"/>
          <w:szCs w:val="24"/>
        </w:rPr>
        <w:t>B. SURVEYS AND EVALUATIONS EMPLOYING STATISTICAL METHODS</w:t>
      </w:r>
    </w:p>
    <w:p w:rsidR="00385E84" w:rsidRPr="00385E84" w:rsidRDefault="00385E84" w:rsidP="00385E84">
      <w:pPr>
        <w:jc w:val="both"/>
      </w:pPr>
    </w:p>
    <w:p w:rsidR="00385E84" w:rsidRPr="00385E84" w:rsidRDefault="00385E84" w:rsidP="00385E84">
      <w:pPr>
        <w:jc w:val="both"/>
        <w:rPr>
          <w:b/>
          <w:bCs/>
          <w:color w:val="000000"/>
          <w:szCs w:val="21"/>
        </w:rPr>
      </w:pPr>
      <w:r w:rsidRPr="00385E84">
        <w:rPr>
          <w:b/>
          <w:bCs/>
          <w:color w:val="000000"/>
          <w:szCs w:val="21"/>
        </w:rPr>
        <w:t>B.1</w:t>
      </w:r>
    </w:p>
    <w:p w:rsidR="00385E84" w:rsidRPr="00385E84" w:rsidRDefault="00385E84" w:rsidP="00385E84">
      <w:pPr>
        <w:jc w:val="both"/>
        <w:rPr>
          <w:b/>
          <w:bCs/>
          <w:color w:val="000000"/>
          <w:szCs w:val="21"/>
          <w:u w:val="single"/>
        </w:rPr>
      </w:pPr>
    </w:p>
    <w:p w:rsidR="00385E84" w:rsidRPr="00385E84" w:rsidRDefault="00385E84" w:rsidP="00385E84">
      <w:pPr>
        <w:jc w:val="both"/>
        <w:rPr>
          <w:b/>
          <w:bCs/>
          <w:color w:val="000000"/>
          <w:szCs w:val="21"/>
          <w:u w:val="single"/>
        </w:rPr>
      </w:pPr>
      <w:r w:rsidRPr="00385E84">
        <w:rPr>
          <w:b/>
          <w:bCs/>
          <w:color w:val="000000"/>
          <w:szCs w:val="21"/>
          <w:u w:val="single"/>
        </w:rPr>
        <w:t>Sample Frames:</w:t>
      </w:r>
    </w:p>
    <w:p w:rsidR="00385E84" w:rsidRPr="00385E84" w:rsidRDefault="00385E84" w:rsidP="00385E84">
      <w:pPr>
        <w:ind w:firstLine="720"/>
        <w:jc w:val="both"/>
        <w:rPr>
          <w:b/>
          <w:bCs/>
          <w:color w:val="000000"/>
          <w:szCs w:val="21"/>
          <w:u w:val="single"/>
        </w:rPr>
      </w:pPr>
    </w:p>
    <w:p w:rsidR="00385E84" w:rsidRPr="00385E84" w:rsidRDefault="00385E84" w:rsidP="00385E84">
      <w:pPr>
        <w:jc w:val="both"/>
      </w:pPr>
    </w:p>
    <w:p w:rsidR="00385E84" w:rsidRPr="00385E84" w:rsidRDefault="00385E84" w:rsidP="00385E84">
      <w:pPr>
        <w:jc w:val="both"/>
        <w:rPr>
          <w:b/>
          <w:u w:val="single"/>
        </w:rPr>
      </w:pPr>
      <w:r w:rsidRPr="00385E84">
        <w:rPr>
          <w:b/>
          <w:u w:val="single"/>
        </w:rPr>
        <w:t>Limitations of the Sample Frames:</w:t>
      </w:r>
    </w:p>
    <w:p w:rsidR="00385E84" w:rsidRPr="00385E84" w:rsidRDefault="00385E84" w:rsidP="00385E84">
      <w:pPr>
        <w:jc w:val="both"/>
        <w:rPr>
          <w:u w:val="single"/>
        </w:rPr>
      </w:pPr>
    </w:p>
    <w:p w:rsidR="00385E84" w:rsidRPr="00385E84" w:rsidRDefault="00385E84" w:rsidP="00385E84">
      <w:pPr>
        <w:jc w:val="both"/>
      </w:pPr>
    </w:p>
    <w:p w:rsidR="00385E84" w:rsidRPr="00385E84" w:rsidRDefault="00385E84" w:rsidP="00385E84">
      <w:pPr>
        <w:jc w:val="both"/>
        <w:rPr>
          <w:b/>
          <w:u w:val="single"/>
        </w:rPr>
      </w:pPr>
      <w:r w:rsidRPr="00385E84">
        <w:rPr>
          <w:b/>
          <w:u w:val="single"/>
        </w:rPr>
        <w:t>Expected Response Rates:</w:t>
      </w:r>
    </w:p>
    <w:p w:rsidR="00385E84" w:rsidRPr="00385E84" w:rsidRDefault="00385E84" w:rsidP="00385E84">
      <w:pPr>
        <w:jc w:val="both"/>
      </w:pPr>
    </w:p>
    <w:p w:rsidR="00385E84" w:rsidRPr="00385E84" w:rsidRDefault="00385E84" w:rsidP="00385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
    <w:p w:rsidR="00385E84" w:rsidRPr="00385E84" w:rsidRDefault="00385E84" w:rsidP="00385E84">
      <w:pPr>
        <w:rPr>
          <w:b/>
          <w:bCs/>
          <w:color w:val="000000"/>
        </w:rPr>
      </w:pPr>
      <w:r w:rsidRPr="00385E84">
        <w:rPr>
          <w:b/>
          <w:bCs/>
          <w:color w:val="000000"/>
        </w:rPr>
        <w:t>B.2</w:t>
      </w:r>
      <w:r w:rsidRPr="00385E84">
        <w:rPr>
          <w:b/>
          <w:bCs/>
          <w:color w:val="000000"/>
        </w:rPr>
        <w:tab/>
      </w:r>
    </w:p>
    <w:p w:rsidR="00385E84" w:rsidRPr="00385E84" w:rsidRDefault="00385E84" w:rsidP="00385E84">
      <w:pPr>
        <w:rPr>
          <w:b/>
          <w:bCs/>
          <w:color w:val="000000"/>
        </w:rPr>
      </w:pPr>
    </w:p>
    <w:p w:rsidR="00385E84" w:rsidRPr="00385E84" w:rsidRDefault="00385E84" w:rsidP="00385E84">
      <w:pPr>
        <w:jc w:val="both"/>
        <w:rPr>
          <w:b/>
          <w:u w:val="single"/>
        </w:rPr>
      </w:pPr>
      <w:r w:rsidRPr="00385E84">
        <w:rPr>
          <w:b/>
          <w:u w:val="single"/>
        </w:rPr>
        <w:t>Sample Size:</w:t>
      </w:r>
    </w:p>
    <w:p w:rsidR="00385E84" w:rsidRPr="00385E84" w:rsidRDefault="00385E84" w:rsidP="00385E84">
      <w:pPr>
        <w:jc w:val="both"/>
        <w:rPr>
          <w:b/>
          <w:u w:val="single"/>
        </w:rPr>
      </w:pPr>
    </w:p>
    <w:p w:rsidR="00385E84" w:rsidRPr="00385E84" w:rsidRDefault="00385E84" w:rsidP="00385E84">
      <w:pPr>
        <w:jc w:val="both"/>
        <w:rPr>
          <w:color w:val="000000"/>
        </w:rPr>
      </w:pPr>
      <w:r w:rsidRPr="00385E84">
        <w:tab/>
      </w:r>
    </w:p>
    <w:p w:rsidR="00385E84" w:rsidRPr="00385E84" w:rsidRDefault="00385E84" w:rsidP="00385E84">
      <w:pPr>
        <w:jc w:val="both"/>
        <w:rPr>
          <w:b/>
          <w:u w:val="single"/>
        </w:rPr>
      </w:pPr>
      <w:r w:rsidRPr="00385E84">
        <w:rPr>
          <w:b/>
          <w:u w:val="single"/>
        </w:rPr>
        <w:t>Sample Allocation:</w:t>
      </w:r>
    </w:p>
    <w:p w:rsidR="00385E84" w:rsidRPr="00385E84" w:rsidRDefault="00385E84" w:rsidP="00385E84">
      <w:pPr>
        <w:jc w:val="both"/>
      </w:pPr>
    </w:p>
    <w:p w:rsidR="00385E84" w:rsidRPr="00385E84" w:rsidRDefault="00385E84" w:rsidP="00385E84">
      <w:pPr>
        <w:rPr>
          <w:b/>
          <w:bCs/>
          <w:color w:val="000000"/>
        </w:rPr>
      </w:pPr>
    </w:p>
    <w:p w:rsidR="00385E84" w:rsidRPr="00385E84" w:rsidRDefault="00385E84" w:rsidP="00385E84">
      <w:pPr>
        <w:rPr>
          <w:b/>
          <w:bCs/>
          <w:color w:val="000000"/>
          <w:u w:val="single"/>
        </w:rPr>
      </w:pPr>
      <w:r w:rsidRPr="00385E84">
        <w:rPr>
          <w:b/>
          <w:u w:val="single"/>
        </w:rPr>
        <w:t>Sample Selection:</w:t>
      </w:r>
    </w:p>
    <w:p w:rsidR="00385E84" w:rsidRPr="00385E84" w:rsidRDefault="00385E84" w:rsidP="00385E84">
      <w:pPr>
        <w:jc w:val="both"/>
      </w:pPr>
    </w:p>
    <w:p w:rsidR="00385E84" w:rsidRPr="00385E84" w:rsidRDefault="00385E84" w:rsidP="00385E84">
      <w:pPr>
        <w:ind w:left="1080"/>
      </w:pPr>
    </w:p>
    <w:p w:rsidR="00385E84" w:rsidRPr="00385E84" w:rsidRDefault="00385E84" w:rsidP="00385E84">
      <w:pPr>
        <w:rPr>
          <w:b/>
          <w:u w:val="single"/>
        </w:rPr>
      </w:pPr>
      <w:r w:rsidRPr="00385E84">
        <w:rPr>
          <w:b/>
          <w:u w:val="single"/>
        </w:rPr>
        <w:t>Procedure for Sample Selection:</w:t>
      </w:r>
    </w:p>
    <w:p w:rsidR="00385E84" w:rsidRPr="00385E84" w:rsidRDefault="00385E84" w:rsidP="00385E84">
      <w:pPr>
        <w:ind w:left="1080"/>
      </w:pPr>
    </w:p>
    <w:p w:rsidR="00385E84" w:rsidRPr="00385E84" w:rsidRDefault="00385E84" w:rsidP="00385E84">
      <w:pPr>
        <w:jc w:val="both"/>
        <w:rPr>
          <w:b/>
          <w:bCs/>
          <w:color w:val="000000"/>
          <w:szCs w:val="21"/>
        </w:rPr>
      </w:pPr>
    </w:p>
    <w:p w:rsidR="00385E84" w:rsidRPr="00385E84" w:rsidRDefault="00385E84" w:rsidP="00385E84">
      <w:pPr>
        <w:jc w:val="both"/>
        <w:rPr>
          <w:b/>
          <w:bCs/>
          <w:color w:val="000000"/>
          <w:szCs w:val="21"/>
        </w:rPr>
      </w:pPr>
      <w:r w:rsidRPr="00385E84">
        <w:rPr>
          <w:b/>
          <w:bCs/>
          <w:color w:val="000000"/>
          <w:szCs w:val="21"/>
        </w:rPr>
        <w:t>B.3</w:t>
      </w:r>
    </w:p>
    <w:p w:rsidR="00385E84" w:rsidRPr="00385E84" w:rsidRDefault="00385E84" w:rsidP="00385E84">
      <w:pPr>
        <w:jc w:val="both"/>
        <w:rPr>
          <w:b/>
          <w:bCs/>
          <w:color w:val="000000"/>
          <w:szCs w:val="21"/>
        </w:rPr>
      </w:pPr>
    </w:p>
    <w:p w:rsidR="00385E84" w:rsidRPr="00385E84" w:rsidRDefault="00385E84" w:rsidP="00385E84">
      <w:pPr>
        <w:jc w:val="both"/>
        <w:rPr>
          <w:b/>
          <w:u w:val="single"/>
        </w:rPr>
      </w:pPr>
      <w:r w:rsidRPr="00385E84">
        <w:rPr>
          <w:b/>
          <w:u w:val="single"/>
        </w:rPr>
        <w:t xml:space="preserve">Methods to Reduce Non-Response: </w:t>
      </w:r>
    </w:p>
    <w:p w:rsidR="00385E84" w:rsidRPr="00385E84" w:rsidRDefault="00385E84" w:rsidP="00385E84">
      <w:pPr>
        <w:jc w:val="both"/>
        <w:rPr>
          <w:b/>
          <w:u w:val="single"/>
        </w:rPr>
      </w:pPr>
    </w:p>
    <w:p w:rsidR="00385E84" w:rsidRPr="00385E84" w:rsidRDefault="00385E84" w:rsidP="00385E84">
      <w:pPr>
        <w:jc w:val="both"/>
      </w:pPr>
    </w:p>
    <w:p w:rsidR="00385E84" w:rsidRPr="00385E84" w:rsidRDefault="00385E84" w:rsidP="00385E84">
      <w:pPr>
        <w:jc w:val="both"/>
        <w:rPr>
          <w:b/>
          <w:u w:val="single"/>
        </w:rPr>
      </w:pPr>
      <w:r w:rsidRPr="00385E84">
        <w:rPr>
          <w:b/>
          <w:u w:val="single"/>
        </w:rPr>
        <w:t>Survey Distribution Procedures:</w:t>
      </w:r>
    </w:p>
    <w:p w:rsidR="00385E84" w:rsidRPr="00385E84" w:rsidRDefault="00385E84" w:rsidP="00385E84">
      <w:pPr>
        <w:jc w:val="both"/>
      </w:pPr>
    </w:p>
    <w:p w:rsidR="00385E84" w:rsidRPr="00385E84" w:rsidRDefault="00385E84" w:rsidP="00385E84">
      <w:pPr>
        <w:jc w:val="both"/>
        <w:rPr>
          <w:color w:val="000000"/>
          <w:szCs w:val="21"/>
        </w:rPr>
      </w:pPr>
    </w:p>
    <w:p w:rsidR="00385E84" w:rsidRPr="00385E84" w:rsidRDefault="00385E84" w:rsidP="00385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p>
    <w:p w:rsidR="00385E84" w:rsidRPr="00385E84" w:rsidRDefault="00385E84" w:rsidP="00385E84">
      <w:pPr>
        <w:tabs>
          <w:tab w:val="left" w:pos="-1080"/>
          <w:tab w:val="left" w:pos="-720"/>
          <w:tab w:val="left" w:pos="0"/>
          <w:tab w:val="left" w:pos="360"/>
          <w:tab w:val="left" w:pos="720"/>
          <w:tab w:val="left" w:pos="2160"/>
        </w:tabs>
        <w:ind w:left="360" w:hanging="360"/>
        <w:rPr>
          <w:b/>
          <w:bCs/>
          <w:color w:val="000000"/>
          <w:szCs w:val="21"/>
        </w:rPr>
      </w:pPr>
      <w:r w:rsidRPr="00385E84">
        <w:rPr>
          <w:b/>
          <w:bCs/>
          <w:color w:val="000000"/>
          <w:szCs w:val="21"/>
        </w:rPr>
        <w:t>B.4</w:t>
      </w:r>
    </w:p>
    <w:p w:rsidR="00385E84" w:rsidRPr="00385E84" w:rsidRDefault="00385E84" w:rsidP="00385E84">
      <w:pPr>
        <w:tabs>
          <w:tab w:val="left" w:pos="-1080"/>
          <w:tab w:val="left" w:pos="-720"/>
          <w:tab w:val="left" w:pos="0"/>
          <w:tab w:val="left" w:pos="360"/>
          <w:tab w:val="left" w:pos="720"/>
          <w:tab w:val="left" w:pos="2160"/>
        </w:tabs>
        <w:ind w:left="360" w:hanging="360"/>
        <w:rPr>
          <w:b/>
          <w:bCs/>
          <w:color w:val="000000"/>
          <w:szCs w:val="21"/>
        </w:rPr>
      </w:pPr>
    </w:p>
    <w:p w:rsidR="00385E84" w:rsidRPr="00385E84" w:rsidRDefault="00385E84" w:rsidP="00385E84">
      <w:pPr>
        <w:tabs>
          <w:tab w:val="left" w:pos="-1080"/>
          <w:tab w:val="left" w:pos="-720"/>
          <w:tab w:val="left" w:pos="0"/>
          <w:tab w:val="left" w:pos="360"/>
          <w:tab w:val="left" w:pos="720"/>
          <w:tab w:val="left" w:pos="2160"/>
        </w:tabs>
        <w:ind w:left="360" w:hanging="360"/>
        <w:rPr>
          <w:b/>
          <w:u w:val="single"/>
        </w:rPr>
      </w:pPr>
      <w:r w:rsidRPr="00385E84">
        <w:rPr>
          <w:b/>
          <w:u w:val="single"/>
        </w:rPr>
        <w:t>Test of Procedures:</w:t>
      </w:r>
    </w:p>
    <w:p w:rsidR="00385E84" w:rsidRPr="00385E84" w:rsidRDefault="00385E84" w:rsidP="00385E84">
      <w:pPr>
        <w:ind w:firstLine="360"/>
        <w:jc w:val="both"/>
      </w:pPr>
      <w:r w:rsidRPr="00385E84">
        <w:t xml:space="preserve"> </w:t>
      </w:r>
    </w:p>
    <w:p w:rsidR="00385E84" w:rsidRPr="00385E84" w:rsidRDefault="00385E84" w:rsidP="00385E84">
      <w:pPr>
        <w:ind w:firstLine="360"/>
        <w:jc w:val="both"/>
      </w:pPr>
    </w:p>
    <w:p w:rsidR="00385E84" w:rsidRPr="00385E84" w:rsidRDefault="00385E84" w:rsidP="00385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r w:rsidRPr="00385E84">
        <w:rPr>
          <w:b/>
          <w:bCs/>
          <w:color w:val="000000"/>
          <w:szCs w:val="21"/>
        </w:rPr>
        <w:t xml:space="preserve">B.5 </w:t>
      </w:r>
    </w:p>
    <w:p w:rsidR="00385E84" w:rsidRPr="00385E84" w:rsidRDefault="00385E84" w:rsidP="00385E84">
      <w:pPr>
        <w:ind w:left="360"/>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1"/>
        <w:gridCol w:w="3282"/>
        <w:gridCol w:w="2973"/>
      </w:tblGrid>
      <w:tr w:rsidR="00385E84" w:rsidRPr="00385E84" w:rsidTr="003A288A">
        <w:tblPrEx>
          <w:tblCellMar>
            <w:top w:w="0" w:type="dxa"/>
            <w:bottom w:w="0" w:type="dxa"/>
          </w:tblCellMar>
        </w:tblPrEx>
        <w:tc>
          <w:tcPr>
            <w:tcW w:w="2961" w:type="dxa"/>
          </w:tcPr>
          <w:p w:rsidR="00385E84" w:rsidRPr="00385E84" w:rsidRDefault="00385E84" w:rsidP="00385E84">
            <w:pPr>
              <w:jc w:val="center"/>
              <w:rPr>
                <w:sz w:val="24"/>
                <w:u w:val="single"/>
              </w:rPr>
            </w:pPr>
            <w:r w:rsidRPr="00385E84">
              <w:rPr>
                <w:sz w:val="24"/>
                <w:u w:val="single"/>
              </w:rPr>
              <w:t>Name</w:t>
            </w:r>
          </w:p>
        </w:tc>
        <w:tc>
          <w:tcPr>
            <w:tcW w:w="3282" w:type="dxa"/>
          </w:tcPr>
          <w:p w:rsidR="00385E84" w:rsidRPr="00385E84" w:rsidRDefault="00385E84" w:rsidP="00385E84">
            <w:pPr>
              <w:jc w:val="center"/>
              <w:rPr>
                <w:sz w:val="24"/>
                <w:u w:val="single"/>
              </w:rPr>
            </w:pPr>
            <w:r w:rsidRPr="00385E84">
              <w:rPr>
                <w:sz w:val="24"/>
                <w:u w:val="single"/>
              </w:rPr>
              <w:t>Agency/Company/Organization</w:t>
            </w:r>
          </w:p>
        </w:tc>
        <w:tc>
          <w:tcPr>
            <w:tcW w:w="2973" w:type="dxa"/>
          </w:tcPr>
          <w:p w:rsidR="00385E84" w:rsidRPr="00385E84" w:rsidRDefault="00385E84" w:rsidP="00385E84">
            <w:pPr>
              <w:jc w:val="center"/>
              <w:rPr>
                <w:sz w:val="24"/>
                <w:u w:val="single"/>
              </w:rPr>
            </w:pPr>
            <w:r w:rsidRPr="00385E84">
              <w:rPr>
                <w:sz w:val="24"/>
                <w:u w:val="single"/>
              </w:rPr>
              <w:t>Number Telephone</w:t>
            </w:r>
          </w:p>
        </w:tc>
      </w:tr>
      <w:tr w:rsidR="00385E84" w:rsidRPr="00385E84" w:rsidTr="003A288A">
        <w:tblPrEx>
          <w:tblCellMar>
            <w:top w:w="0" w:type="dxa"/>
            <w:bottom w:w="0" w:type="dxa"/>
          </w:tblCellMar>
        </w:tblPrEx>
        <w:tc>
          <w:tcPr>
            <w:tcW w:w="2961" w:type="dxa"/>
          </w:tcPr>
          <w:p w:rsidR="00385E84" w:rsidRPr="00385E84" w:rsidRDefault="00385E84" w:rsidP="00385E84">
            <w:pPr>
              <w:rPr>
                <w:sz w:val="24"/>
              </w:rPr>
            </w:pPr>
            <w:r w:rsidRPr="00385E84">
              <w:rPr>
                <w:sz w:val="24"/>
              </w:rPr>
              <w:t xml:space="preserve">Bill </w:t>
            </w:r>
            <w:proofErr w:type="spellStart"/>
            <w:r w:rsidRPr="00385E84">
              <w:rPr>
                <w:sz w:val="24"/>
              </w:rPr>
              <w:t>Mockovak</w:t>
            </w:r>
            <w:proofErr w:type="spellEnd"/>
          </w:p>
        </w:tc>
        <w:tc>
          <w:tcPr>
            <w:tcW w:w="3282" w:type="dxa"/>
          </w:tcPr>
          <w:p w:rsidR="00385E84" w:rsidRPr="00385E84" w:rsidRDefault="00385E84" w:rsidP="00385E84">
            <w:pPr>
              <w:rPr>
                <w:sz w:val="24"/>
              </w:rPr>
            </w:pPr>
            <w:r w:rsidRPr="00385E84">
              <w:rPr>
                <w:sz w:val="24"/>
              </w:rPr>
              <w:t>DOL/BLS/OSMR</w:t>
            </w:r>
          </w:p>
        </w:tc>
        <w:tc>
          <w:tcPr>
            <w:tcW w:w="2973" w:type="dxa"/>
          </w:tcPr>
          <w:p w:rsidR="00385E84" w:rsidRPr="00385E84" w:rsidRDefault="00385E84" w:rsidP="00385E84">
            <w:pPr>
              <w:rPr>
                <w:sz w:val="24"/>
              </w:rPr>
            </w:pPr>
            <w:r w:rsidRPr="00385E84">
              <w:rPr>
                <w:sz w:val="24"/>
              </w:rPr>
              <w:t>202-691-7414</w:t>
            </w:r>
          </w:p>
        </w:tc>
      </w:tr>
      <w:tr w:rsidR="00385E84" w:rsidRPr="00385E84" w:rsidTr="003A288A">
        <w:tblPrEx>
          <w:tblCellMar>
            <w:top w:w="0" w:type="dxa"/>
            <w:bottom w:w="0" w:type="dxa"/>
          </w:tblCellMar>
        </w:tblPrEx>
        <w:tc>
          <w:tcPr>
            <w:tcW w:w="2961" w:type="dxa"/>
          </w:tcPr>
          <w:p w:rsidR="00385E84" w:rsidRPr="00385E84" w:rsidRDefault="00385E84" w:rsidP="00385E84">
            <w:pPr>
              <w:rPr>
                <w:sz w:val="24"/>
              </w:rPr>
            </w:pPr>
            <w:r w:rsidRPr="00385E84">
              <w:rPr>
                <w:sz w:val="24"/>
              </w:rPr>
              <w:t>Karen Ransom</w:t>
            </w:r>
          </w:p>
        </w:tc>
        <w:tc>
          <w:tcPr>
            <w:tcW w:w="3282" w:type="dxa"/>
          </w:tcPr>
          <w:p w:rsidR="00385E84" w:rsidRPr="00385E84" w:rsidRDefault="00385E84" w:rsidP="00385E84">
            <w:pPr>
              <w:rPr>
                <w:sz w:val="24"/>
              </w:rPr>
            </w:pPr>
            <w:r w:rsidRPr="00385E84">
              <w:rPr>
                <w:sz w:val="24"/>
              </w:rPr>
              <w:t>DOL/BLS/CES</w:t>
            </w:r>
          </w:p>
        </w:tc>
        <w:tc>
          <w:tcPr>
            <w:tcW w:w="2973" w:type="dxa"/>
          </w:tcPr>
          <w:p w:rsidR="00385E84" w:rsidRPr="00385E84" w:rsidRDefault="00385E84" w:rsidP="00385E84">
            <w:pPr>
              <w:rPr>
                <w:sz w:val="24"/>
              </w:rPr>
            </w:pPr>
            <w:r w:rsidRPr="00385E84">
              <w:rPr>
                <w:sz w:val="24"/>
              </w:rPr>
              <w:t>202-691-7625</w:t>
            </w:r>
          </w:p>
        </w:tc>
      </w:tr>
    </w:tbl>
    <w:p w:rsidR="00385E84" w:rsidRDefault="00385E84"/>
    <w:p w:rsidR="008656A1" w:rsidRDefault="008656A1">
      <w:bookmarkStart w:id="0" w:name="_GoBack"/>
      <w:bookmarkEnd w:id="0"/>
    </w:p>
    <w:sectPr w:rsidR="008656A1">
      <w:footerReference w:type="even"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AC1" w:rsidRDefault="00350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D90AC1" w:rsidRDefault="00350DA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D8"/>
    <w:rsid w:val="002809F3"/>
    <w:rsid w:val="00350DA2"/>
    <w:rsid w:val="00385E84"/>
    <w:rsid w:val="00596ED8"/>
    <w:rsid w:val="008656A1"/>
    <w:rsid w:val="0097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8"/>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596ED8"/>
    <w:pPr>
      <w:keepNext/>
      <w:outlineLvl w:val="3"/>
    </w:pPr>
    <w:rPr>
      <w:b/>
      <w:sz w:val="24"/>
    </w:rPr>
  </w:style>
  <w:style w:type="paragraph" w:styleId="Heading6">
    <w:name w:val="heading 6"/>
    <w:basedOn w:val="Normal"/>
    <w:next w:val="Normal"/>
    <w:link w:val="Heading6Char"/>
    <w:qFormat/>
    <w:rsid w:val="00596ED8"/>
    <w:pPr>
      <w:keepNext/>
      <w:ind w:left="360"/>
      <w:jc w:val="righ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96ED8"/>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596ED8"/>
    <w:rPr>
      <w:rFonts w:ascii="Times New Roman" w:eastAsia="Times New Roman" w:hAnsi="Times New Roman" w:cs="Times New Roman"/>
      <w:sz w:val="24"/>
      <w:szCs w:val="20"/>
    </w:rPr>
  </w:style>
  <w:style w:type="paragraph" w:styleId="BodyText">
    <w:name w:val="Body Text"/>
    <w:basedOn w:val="Normal"/>
    <w:link w:val="BodyTextChar"/>
    <w:rsid w:val="00596ED8"/>
    <w:rPr>
      <w:sz w:val="24"/>
    </w:rPr>
  </w:style>
  <w:style w:type="character" w:customStyle="1" w:styleId="BodyTextChar">
    <w:name w:val="Body Text Char"/>
    <w:basedOn w:val="DefaultParagraphFont"/>
    <w:link w:val="BodyText"/>
    <w:rsid w:val="00596ED8"/>
    <w:rPr>
      <w:rFonts w:ascii="Times New Roman" w:eastAsia="Times New Roman" w:hAnsi="Times New Roman" w:cs="Times New Roman"/>
      <w:sz w:val="24"/>
      <w:szCs w:val="20"/>
    </w:rPr>
  </w:style>
  <w:style w:type="paragraph" w:styleId="BodyText2">
    <w:name w:val="Body Text 2"/>
    <w:basedOn w:val="Normal"/>
    <w:link w:val="BodyText2Char"/>
    <w:rsid w:val="00596ED8"/>
    <w:rPr>
      <w:b/>
      <w:sz w:val="24"/>
    </w:rPr>
  </w:style>
  <w:style w:type="character" w:customStyle="1" w:styleId="BodyText2Char">
    <w:name w:val="Body Text 2 Char"/>
    <w:basedOn w:val="DefaultParagraphFont"/>
    <w:link w:val="BodyText2"/>
    <w:rsid w:val="00596ED8"/>
    <w:rPr>
      <w:rFonts w:ascii="Times New Roman" w:eastAsia="Times New Roman" w:hAnsi="Times New Roman" w:cs="Times New Roman"/>
      <w:b/>
      <w:sz w:val="24"/>
      <w:szCs w:val="20"/>
    </w:rPr>
  </w:style>
  <w:style w:type="paragraph" w:styleId="Footer">
    <w:name w:val="footer"/>
    <w:basedOn w:val="Normal"/>
    <w:link w:val="FooterChar"/>
    <w:uiPriority w:val="99"/>
    <w:semiHidden/>
    <w:unhideWhenUsed/>
    <w:rsid w:val="00385E84"/>
    <w:pPr>
      <w:tabs>
        <w:tab w:val="center" w:pos="4680"/>
        <w:tab w:val="right" w:pos="9360"/>
      </w:tabs>
    </w:pPr>
  </w:style>
  <w:style w:type="character" w:customStyle="1" w:styleId="FooterChar">
    <w:name w:val="Footer Char"/>
    <w:basedOn w:val="DefaultParagraphFont"/>
    <w:link w:val="Footer"/>
    <w:uiPriority w:val="99"/>
    <w:semiHidden/>
    <w:rsid w:val="00385E84"/>
    <w:rPr>
      <w:rFonts w:ascii="Times New Roman" w:eastAsia="Times New Roman" w:hAnsi="Times New Roman" w:cs="Times New Roman"/>
      <w:sz w:val="20"/>
      <w:szCs w:val="20"/>
    </w:rPr>
  </w:style>
  <w:style w:type="character" w:styleId="PageNumber">
    <w:name w:val="page number"/>
    <w:basedOn w:val="DefaultParagraphFont"/>
    <w:rsid w:val="00385E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8"/>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596ED8"/>
    <w:pPr>
      <w:keepNext/>
      <w:outlineLvl w:val="3"/>
    </w:pPr>
    <w:rPr>
      <w:b/>
      <w:sz w:val="24"/>
    </w:rPr>
  </w:style>
  <w:style w:type="paragraph" w:styleId="Heading6">
    <w:name w:val="heading 6"/>
    <w:basedOn w:val="Normal"/>
    <w:next w:val="Normal"/>
    <w:link w:val="Heading6Char"/>
    <w:qFormat/>
    <w:rsid w:val="00596ED8"/>
    <w:pPr>
      <w:keepNext/>
      <w:ind w:left="360"/>
      <w:jc w:val="righ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96ED8"/>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596ED8"/>
    <w:rPr>
      <w:rFonts w:ascii="Times New Roman" w:eastAsia="Times New Roman" w:hAnsi="Times New Roman" w:cs="Times New Roman"/>
      <w:sz w:val="24"/>
      <w:szCs w:val="20"/>
    </w:rPr>
  </w:style>
  <w:style w:type="paragraph" w:styleId="BodyText">
    <w:name w:val="Body Text"/>
    <w:basedOn w:val="Normal"/>
    <w:link w:val="BodyTextChar"/>
    <w:rsid w:val="00596ED8"/>
    <w:rPr>
      <w:sz w:val="24"/>
    </w:rPr>
  </w:style>
  <w:style w:type="character" w:customStyle="1" w:styleId="BodyTextChar">
    <w:name w:val="Body Text Char"/>
    <w:basedOn w:val="DefaultParagraphFont"/>
    <w:link w:val="BodyText"/>
    <w:rsid w:val="00596ED8"/>
    <w:rPr>
      <w:rFonts w:ascii="Times New Roman" w:eastAsia="Times New Roman" w:hAnsi="Times New Roman" w:cs="Times New Roman"/>
      <w:sz w:val="24"/>
      <w:szCs w:val="20"/>
    </w:rPr>
  </w:style>
  <w:style w:type="paragraph" w:styleId="BodyText2">
    <w:name w:val="Body Text 2"/>
    <w:basedOn w:val="Normal"/>
    <w:link w:val="BodyText2Char"/>
    <w:rsid w:val="00596ED8"/>
    <w:rPr>
      <w:b/>
      <w:sz w:val="24"/>
    </w:rPr>
  </w:style>
  <w:style w:type="character" w:customStyle="1" w:styleId="BodyText2Char">
    <w:name w:val="Body Text 2 Char"/>
    <w:basedOn w:val="DefaultParagraphFont"/>
    <w:link w:val="BodyText2"/>
    <w:rsid w:val="00596ED8"/>
    <w:rPr>
      <w:rFonts w:ascii="Times New Roman" w:eastAsia="Times New Roman" w:hAnsi="Times New Roman" w:cs="Times New Roman"/>
      <w:b/>
      <w:sz w:val="24"/>
      <w:szCs w:val="20"/>
    </w:rPr>
  </w:style>
  <w:style w:type="paragraph" w:styleId="Footer">
    <w:name w:val="footer"/>
    <w:basedOn w:val="Normal"/>
    <w:link w:val="FooterChar"/>
    <w:uiPriority w:val="99"/>
    <w:semiHidden/>
    <w:unhideWhenUsed/>
    <w:rsid w:val="00385E84"/>
    <w:pPr>
      <w:tabs>
        <w:tab w:val="center" w:pos="4680"/>
        <w:tab w:val="right" w:pos="9360"/>
      </w:tabs>
    </w:pPr>
  </w:style>
  <w:style w:type="character" w:customStyle="1" w:styleId="FooterChar">
    <w:name w:val="Footer Char"/>
    <w:basedOn w:val="DefaultParagraphFont"/>
    <w:link w:val="Footer"/>
    <w:uiPriority w:val="99"/>
    <w:semiHidden/>
    <w:rsid w:val="00385E84"/>
    <w:rPr>
      <w:rFonts w:ascii="Times New Roman" w:eastAsia="Times New Roman" w:hAnsi="Times New Roman" w:cs="Times New Roman"/>
      <w:sz w:val="20"/>
      <w:szCs w:val="20"/>
    </w:rPr>
  </w:style>
  <w:style w:type="character" w:styleId="PageNumber">
    <w:name w:val="page number"/>
    <w:basedOn w:val="DefaultParagraphFont"/>
    <w:rsid w:val="0038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McGee, Keisha L - OASAM OCIO CTR</dc:creator>
  <cp:lastModifiedBy>McGee, Keisha L - OASAM OCIO CTR</cp:lastModifiedBy>
  <cp:revision>2</cp:revision>
  <dcterms:created xsi:type="dcterms:W3CDTF">2016-05-23T15:04:00Z</dcterms:created>
  <dcterms:modified xsi:type="dcterms:W3CDTF">2016-05-23T15:04:00Z</dcterms:modified>
</cp:coreProperties>
</file>