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80" w:rsidRDefault="00651D80" w:rsidP="00651D80">
      <w:pPr>
        <w:pStyle w:val="Heading6"/>
      </w:pPr>
      <w:bookmarkStart w:id="0" w:name="_GoBack"/>
      <w:bookmarkEnd w:id="0"/>
      <w:r>
        <w:t>OMB Approval No.  1225-0059</w:t>
      </w:r>
    </w:p>
    <w:p w:rsidR="00651D80" w:rsidRDefault="00651D80" w:rsidP="00651D80">
      <w:pPr>
        <w:jc w:val="center"/>
        <w:rPr>
          <w:b/>
          <w:sz w:val="28"/>
        </w:rPr>
      </w:pPr>
    </w:p>
    <w:p w:rsidR="00651D80" w:rsidRDefault="00651D80" w:rsidP="00651D80">
      <w:pPr>
        <w:jc w:val="center"/>
        <w:rPr>
          <w:b/>
          <w:sz w:val="28"/>
        </w:rPr>
      </w:pPr>
      <w:r w:rsidRPr="00786E56">
        <w:rPr>
          <w:b/>
          <w:sz w:val="28"/>
        </w:rPr>
        <w:t xml:space="preserve">DEPARTMENT OF LABOR GENERIC SOLUTION FOR </w:t>
      </w:r>
    </w:p>
    <w:p w:rsidR="00651D80" w:rsidRDefault="00651D80" w:rsidP="00651D80">
      <w:pPr>
        <w:jc w:val="center"/>
        <w:rPr>
          <w:b/>
          <w:sz w:val="28"/>
        </w:rPr>
      </w:pPr>
      <w:r>
        <w:rPr>
          <w:b/>
          <w:sz w:val="28"/>
        </w:rPr>
        <w:t xml:space="preserve">CUSTOMER SATISFACTION, CONFERENCE, and </w:t>
      </w:r>
    </w:p>
    <w:p w:rsidR="00651D80" w:rsidRDefault="00651D80" w:rsidP="00651D80">
      <w:pPr>
        <w:jc w:val="center"/>
        <w:rPr>
          <w:b/>
          <w:sz w:val="28"/>
        </w:rPr>
      </w:pPr>
      <w:r>
        <w:rPr>
          <w:b/>
          <w:sz w:val="28"/>
        </w:rPr>
        <w:t xml:space="preserve">OUTREACH </w:t>
      </w:r>
      <w:r w:rsidRPr="00786E56">
        <w:rPr>
          <w:b/>
          <w:sz w:val="28"/>
        </w:rPr>
        <w:t>ACTIVITIES</w:t>
      </w:r>
      <w:r>
        <w:rPr>
          <w:b/>
          <w:sz w:val="28"/>
        </w:rPr>
        <w:t xml:space="preserve"> CLEARANCE</w:t>
      </w:r>
    </w:p>
    <w:p w:rsidR="00651D80" w:rsidRDefault="00651D80" w:rsidP="00651D80">
      <w:pPr>
        <w:ind w:left="360"/>
        <w:jc w:val="center"/>
        <w:rPr>
          <w:b/>
          <w:sz w:val="28"/>
        </w:rPr>
      </w:pPr>
    </w:p>
    <w:p w:rsidR="00651D80" w:rsidRDefault="00651D80" w:rsidP="00651D80">
      <w:pPr>
        <w:ind w:left="360"/>
        <w:jc w:val="center"/>
        <w:rPr>
          <w:b/>
          <w:sz w:val="28"/>
        </w:rPr>
      </w:pPr>
    </w:p>
    <w:p w:rsidR="00651D80" w:rsidRDefault="00651D80" w:rsidP="00651D80">
      <w:pPr>
        <w:ind w:left="360"/>
        <w:rPr>
          <w:b/>
          <w:sz w:val="28"/>
        </w:rPr>
      </w:pPr>
      <w:r>
        <w:rPr>
          <w:b/>
          <w:sz w:val="28"/>
        </w:rPr>
        <w:t>A. SUPPLEMENTAL SUPPORTING STATEMENT</w:t>
      </w:r>
    </w:p>
    <w:p w:rsidR="00651D80" w:rsidRDefault="00651D80" w:rsidP="00651D80">
      <w:pPr>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3341"/>
        <w:gridCol w:w="4597"/>
      </w:tblGrid>
      <w:tr w:rsidR="00651D80" w:rsidTr="00C36AE2">
        <w:trPr>
          <w:trHeight w:val="557"/>
        </w:trPr>
        <w:tc>
          <w:tcPr>
            <w:tcW w:w="1278" w:type="dxa"/>
            <w:tcBorders>
              <w:right w:val="nil"/>
            </w:tcBorders>
            <w:vAlign w:val="center"/>
          </w:tcPr>
          <w:p w:rsidR="00651D80" w:rsidRDefault="00651D80" w:rsidP="00C36AE2">
            <w:pPr>
              <w:rPr>
                <w:b/>
                <w:sz w:val="24"/>
              </w:rPr>
            </w:pPr>
            <w:r>
              <w:rPr>
                <w:b/>
                <w:sz w:val="24"/>
              </w:rPr>
              <w:t>A.1. Title:</w:t>
            </w:r>
          </w:p>
        </w:tc>
        <w:tc>
          <w:tcPr>
            <w:tcW w:w="7938" w:type="dxa"/>
            <w:gridSpan w:val="2"/>
            <w:tcBorders>
              <w:left w:val="nil"/>
            </w:tcBorders>
            <w:vAlign w:val="center"/>
          </w:tcPr>
          <w:p w:rsidR="00651D80" w:rsidRDefault="00651D80" w:rsidP="00C36AE2">
            <w:pPr>
              <w:rPr>
                <w:b/>
                <w:sz w:val="24"/>
              </w:rPr>
            </w:pPr>
            <w:r>
              <w:rPr>
                <w:b/>
                <w:sz w:val="24"/>
              </w:rPr>
              <w:t>Government User Experience Survey</w:t>
            </w:r>
          </w:p>
        </w:tc>
      </w:tr>
      <w:tr w:rsidR="00651D80" w:rsidTr="00C36AE2">
        <w:tc>
          <w:tcPr>
            <w:tcW w:w="4619" w:type="dxa"/>
            <w:gridSpan w:val="2"/>
          </w:tcPr>
          <w:p w:rsidR="00651D80" w:rsidRDefault="00651D80" w:rsidP="00C36AE2">
            <w:pPr>
              <w:rPr>
                <w:sz w:val="24"/>
              </w:rPr>
            </w:pPr>
            <w:r>
              <w:rPr>
                <w:b/>
                <w:sz w:val="24"/>
              </w:rPr>
              <w:t>A.2. Compliance with 5 CFR 1320.5:</w:t>
            </w:r>
            <w:r>
              <w:rPr>
                <w:sz w:val="24"/>
              </w:rPr>
              <w:t xml:space="preserve">  </w:t>
            </w:r>
          </w:p>
          <w:p w:rsidR="00651D80" w:rsidRDefault="00651D80" w:rsidP="00C36AE2">
            <w:pPr>
              <w:rPr>
                <w:sz w:val="24"/>
              </w:rPr>
            </w:pPr>
            <w:r>
              <w:rPr>
                <w:sz w:val="24"/>
              </w:rPr>
              <w:tab/>
              <w:t>Yes _____ No __X___</w:t>
            </w:r>
          </w:p>
          <w:p w:rsidR="00651D80" w:rsidRPr="00356C21" w:rsidRDefault="00651D80" w:rsidP="00C36AE2">
            <w:pPr>
              <w:rPr>
                <w:b/>
                <w:sz w:val="22"/>
                <w:szCs w:val="22"/>
              </w:rPr>
            </w:pPr>
            <w:r w:rsidRPr="00356C21">
              <w:rPr>
                <w:sz w:val="22"/>
                <w:szCs w:val="22"/>
              </w:rPr>
              <w:t xml:space="preserve">Respondents will be asked </w:t>
            </w:r>
            <w:r>
              <w:rPr>
                <w:sz w:val="22"/>
                <w:szCs w:val="22"/>
              </w:rPr>
              <w:t>to complete this survey within three</w:t>
            </w:r>
            <w:r w:rsidRPr="00356C21">
              <w:rPr>
                <w:sz w:val="22"/>
                <w:szCs w:val="22"/>
              </w:rPr>
              <w:t xml:space="preserve"> weeks.  Because the survey is a short, one-time survey, collection in fewer than 30 days is considered appropriate.</w:t>
            </w:r>
          </w:p>
        </w:tc>
        <w:tc>
          <w:tcPr>
            <w:tcW w:w="4597" w:type="dxa"/>
          </w:tcPr>
          <w:p w:rsidR="00651D80" w:rsidRDefault="00651D80" w:rsidP="00C36AE2">
            <w:pPr>
              <w:rPr>
                <w:sz w:val="24"/>
              </w:rPr>
            </w:pPr>
            <w:r>
              <w:rPr>
                <w:b/>
                <w:sz w:val="24"/>
              </w:rPr>
              <w:t>A.3. Assurances of confidentiality:</w:t>
            </w:r>
            <w:r>
              <w:rPr>
                <w:sz w:val="24"/>
              </w:rPr>
              <w:t xml:space="preserve">  </w:t>
            </w:r>
          </w:p>
          <w:p w:rsidR="00651D80" w:rsidRDefault="00651D80" w:rsidP="00C36AE2">
            <w:pPr>
              <w:rPr>
                <w:sz w:val="24"/>
              </w:rPr>
            </w:pPr>
            <w:r w:rsidRPr="00786E56">
              <w:rPr>
                <w:sz w:val="24"/>
              </w:rPr>
              <w:t>Yes _____ No __</w:t>
            </w:r>
            <w:r>
              <w:rPr>
                <w:sz w:val="24"/>
              </w:rPr>
              <w:t>X</w:t>
            </w:r>
            <w:r w:rsidRPr="00786E56">
              <w:rPr>
                <w:sz w:val="24"/>
              </w:rPr>
              <w:t>___</w:t>
            </w:r>
          </w:p>
          <w:p w:rsidR="00651D80" w:rsidRDefault="00651D80" w:rsidP="00C36AE2">
            <w:pPr>
              <w:rPr>
                <w:sz w:val="24"/>
              </w:rPr>
            </w:pPr>
          </w:p>
          <w:p w:rsidR="00651D80" w:rsidRPr="00786E56" w:rsidRDefault="00651D80" w:rsidP="00C36AE2">
            <w:pPr>
              <w:rPr>
                <w:sz w:val="24"/>
              </w:rPr>
            </w:pPr>
            <w:r w:rsidRPr="00786E56">
              <w:rPr>
                <w:sz w:val="24"/>
              </w:rPr>
              <w:t>If yes, basis in law:</w:t>
            </w:r>
          </w:p>
        </w:tc>
      </w:tr>
      <w:tr w:rsidR="00651D80" w:rsidTr="00C36AE2">
        <w:tc>
          <w:tcPr>
            <w:tcW w:w="4619" w:type="dxa"/>
            <w:gridSpan w:val="2"/>
          </w:tcPr>
          <w:p w:rsidR="00651D80" w:rsidRDefault="00651D80" w:rsidP="00C36AE2">
            <w:pPr>
              <w:rPr>
                <w:bCs/>
                <w:sz w:val="24"/>
              </w:rPr>
            </w:pPr>
            <w:r>
              <w:rPr>
                <w:b/>
                <w:sz w:val="24"/>
              </w:rPr>
              <w:t>A.4. Federal cost</w:t>
            </w:r>
            <w:r w:rsidRPr="00A310B0">
              <w:rPr>
                <w:bCs/>
                <w:sz w:val="24"/>
                <w:szCs w:val="24"/>
              </w:rPr>
              <w:t>:  $ 5,200</w:t>
            </w:r>
            <w:r w:rsidRPr="00A310B0">
              <w:rPr>
                <w:bCs/>
              </w:rPr>
              <w:t xml:space="preserve">  </w:t>
            </w:r>
          </w:p>
          <w:p w:rsidR="00651D80" w:rsidRDefault="00651D80" w:rsidP="00C36AE2">
            <w:pPr>
              <w:rPr>
                <w:bCs/>
                <w:sz w:val="24"/>
              </w:rPr>
            </w:pPr>
          </w:p>
          <w:p w:rsidR="00651D80" w:rsidRPr="00356C21" w:rsidRDefault="00651D80" w:rsidP="00C36AE2">
            <w:pPr>
              <w:rPr>
                <w:bCs/>
                <w:sz w:val="24"/>
              </w:rPr>
            </w:pPr>
            <w:r>
              <w:rPr>
                <w:bCs/>
                <w:sz w:val="24"/>
              </w:rPr>
              <w:t xml:space="preserve">How Determined:  </w:t>
            </w:r>
            <w:r w:rsidRPr="00356C21">
              <w:rPr>
                <w:bCs/>
                <w:sz w:val="22"/>
                <w:szCs w:val="22"/>
              </w:rPr>
              <w:t>4</w:t>
            </w:r>
            <w:r w:rsidRPr="00356C21">
              <w:rPr>
                <w:sz w:val="22"/>
                <w:szCs w:val="22"/>
              </w:rPr>
              <w:t>0 hours of BLS employee work</w:t>
            </w:r>
          </w:p>
        </w:tc>
        <w:tc>
          <w:tcPr>
            <w:tcW w:w="4597" w:type="dxa"/>
          </w:tcPr>
          <w:p w:rsidR="00651D80" w:rsidRPr="00802DAE" w:rsidRDefault="00651D80" w:rsidP="00C36AE2">
            <w:pPr>
              <w:pStyle w:val="BodyText2"/>
            </w:pPr>
            <w:r>
              <w:t>A.5. Requested expiration date (Month/Year):</w:t>
            </w:r>
            <w:r>
              <w:tab/>
            </w:r>
            <w:r>
              <w:rPr>
                <w:b w:val="0"/>
              </w:rPr>
              <w:t>06/2018</w:t>
            </w:r>
          </w:p>
          <w:p w:rsidR="00651D80" w:rsidRDefault="00651D80" w:rsidP="00C36AE2">
            <w:pPr>
              <w:pStyle w:val="BodyText2"/>
              <w:rPr>
                <w:b w:val="0"/>
              </w:rPr>
            </w:pPr>
          </w:p>
        </w:tc>
      </w:tr>
      <w:tr w:rsidR="00651D80" w:rsidTr="00C36AE2">
        <w:tc>
          <w:tcPr>
            <w:tcW w:w="4619" w:type="dxa"/>
            <w:gridSpan w:val="2"/>
          </w:tcPr>
          <w:p w:rsidR="00651D80" w:rsidRDefault="00651D80" w:rsidP="00C36AE2">
            <w:pPr>
              <w:rPr>
                <w:b/>
                <w:sz w:val="24"/>
              </w:rPr>
            </w:pPr>
            <w:r>
              <w:rPr>
                <w:b/>
                <w:sz w:val="24"/>
              </w:rPr>
              <w:t>A.6. Burden Hour estimates:</w:t>
            </w:r>
          </w:p>
          <w:p w:rsidR="00651D80" w:rsidRDefault="00651D80" w:rsidP="00C36AE2">
            <w:pPr>
              <w:ind w:left="360"/>
              <w:rPr>
                <w:sz w:val="24"/>
              </w:rPr>
            </w:pPr>
          </w:p>
          <w:p w:rsidR="00651D80" w:rsidRDefault="00651D80" w:rsidP="00C36AE2">
            <w:pPr>
              <w:rPr>
                <w:bCs/>
                <w:sz w:val="24"/>
              </w:rPr>
            </w:pPr>
            <w:r>
              <w:rPr>
                <w:bCs/>
                <w:sz w:val="24"/>
              </w:rPr>
              <w:t>a. Number of Respondents:</w:t>
            </w:r>
            <w:r>
              <w:rPr>
                <w:bCs/>
                <w:sz w:val="24"/>
              </w:rPr>
              <w:tab/>
              <w:t xml:space="preserve">          58</w:t>
            </w:r>
          </w:p>
          <w:p w:rsidR="00651D80" w:rsidRDefault="00651D80" w:rsidP="00C36AE2">
            <w:pPr>
              <w:rPr>
                <w:bCs/>
                <w:sz w:val="24"/>
              </w:rPr>
            </w:pPr>
            <w:r>
              <w:rPr>
                <w:bCs/>
                <w:sz w:val="24"/>
              </w:rPr>
              <w:t xml:space="preserve">   a.1. % Received Electronically    100%</w:t>
            </w:r>
          </w:p>
          <w:p w:rsidR="00651D80" w:rsidRDefault="00651D80" w:rsidP="00C36AE2">
            <w:pPr>
              <w:pStyle w:val="BodyText"/>
              <w:rPr>
                <w:bCs/>
              </w:rPr>
            </w:pPr>
            <w:r>
              <w:rPr>
                <w:bCs/>
              </w:rPr>
              <w:t>b. Frequency:</w:t>
            </w:r>
            <w:r>
              <w:rPr>
                <w:bCs/>
              </w:rPr>
              <w:tab/>
              <w:t xml:space="preserve">                        one-time</w:t>
            </w:r>
          </w:p>
          <w:p w:rsidR="00651D80" w:rsidRDefault="00651D80" w:rsidP="00C36AE2">
            <w:pPr>
              <w:rPr>
                <w:bCs/>
                <w:sz w:val="24"/>
              </w:rPr>
            </w:pPr>
            <w:r>
              <w:rPr>
                <w:bCs/>
                <w:sz w:val="24"/>
              </w:rPr>
              <w:t>c. Average Response Time:</w:t>
            </w:r>
            <w:r>
              <w:rPr>
                <w:bCs/>
                <w:sz w:val="24"/>
              </w:rPr>
              <w:tab/>
              <w:t xml:space="preserve">    10 minutes</w:t>
            </w:r>
          </w:p>
          <w:p w:rsidR="00651D80" w:rsidRPr="003A0144" w:rsidRDefault="00651D80" w:rsidP="00C36AE2">
            <w:pPr>
              <w:rPr>
                <w:sz w:val="24"/>
              </w:rPr>
            </w:pPr>
            <w:r>
              <w:rPr>
                <w:bCs/>
                <w:sz w:val="24"/>
              </w:rPr>
              <w:t>d. Total Annual Burden Hours:</w:t>
            </w:r>
            <w:r>
              <w:rPr>
                <w:b/>
                <w:sz w:val="24"/>
              </w:rPr>
              <w:t xml:space="preserve">  </w:t>
            </w:r>
            <w:r w:rsidRPr="00135FD5">
              <w:rPr>
                <w:sz w:val="24"/>
              </w:rPr>
              <w:t>10</w:t>
            </w:r>
            <w:r>
              <w:rPr>
                <w:sz w:val="24"/>
              </w:rPr>
              <w:t xml:space="preserve"> hours</w:t>
            </w:r>
          </w:p>
          <w:p w:rsidR="00651D80" w:rsidRDefault="00651D80" w:rsidP="00C36AE2">
            <w:pPr>
              <w:rPr>
                <w:b/>
                <w:sz w:val="24"/>
              </w:rPr>
            </w:pPr>
          </w:p>
        </w:tc>
        <w:tc>
          <w:tcPr>
            <w:tcW w:w="4597" w:type="dxa"/>
          </w:tcPr>
          <w:p w:rsidR="00651D80" w:rsidRDefault="00651D80" w:rsidP="00C36AE2">
            <w:pPr>
              <w:rPr>
                <w:b/>
                <w:bCs/>
                <w:sz w:val="24"/>
              </w:rPr>
            </w:pPr>
            <w:r>
              <w:rPr>
                <w:b/>
                <w:bCs/>
                <w:sz w:val="24"/>
              </w:rPr>
              <w:t>A7.  Does the collection of information employ statistical methods?</w:t>
            </w:r>
          </w:p>
          <w:p w:rsidR="00651D80" w:rsidRDefault="00651D80" w:rsidP="00C36AE2">
            <w:pPr>
              <w:ind w:left="360"/>
              <w:rPr>
                <w:b/>
                <w:sz w:val="24"/>
              </w:rPr>
            </w:pPr>
          </w:p>
          <w:p w:rsidR="00651D80" w:rsidRDefault="00651D80" w:rsidP="00C36AE2">
            <w:pPr>
              <w:rPr>
                <w:bCs/>
                <w:sz w:val="24"/>
              </w:rPr>
            </w:pPr>
            <w:r>
              <w:rPr>
                <w:b/>
                <w:sz w:val="24"/>
              </w:rPr>
              <w:t>____</w:t>
            </w:r>
            <w:r w:rsidRPr="00E52AB5">
              <w:rPr>
                <w:sz w:val="24"/>
              </w:rPr>
              <w:t>X</w:t>
            </w:r>
            <w:r>
              <w:rPr>
                <w:b/>
                <w:sz w:val="24"/>
              </w:rPr>
              <w:t xml:space="preserve">___ </w:t>
            </w:r>
            <w:r>
              <w:rPr>
                <w:bCs/>
                <w:sz w:val="24"/>
              </w:rPr>
              <w:t xml:space="preserve">No </w:t>
            </w:r>
          </w:p>
          <w:p w:rsidR="00651D80" w:rsidRDefault="00651D80" w:rsidP="00C36AE2">
            <w:pPr>
              <w:ind w:left="360"/>
              <w:rPr>
                <w:b/>
                <w:sz w:val="24"/>
              </w:rPr>
            </w:pPr>
          </w:p>
          <w:p w:rsidR="00651D80" w:rsidRDefault="00651D80" w:rsidP="00C36AE2">
            <w:pPr>
              <w:rPr>
                <w:bCs/>
                <w:sz w:val="24"/>
              </w:rPr>
            </w:pPr>
            <w:r>
              <w:rPr>
                <w:b/>
                <w:sz w:val="24"/>
              </w:rPr>
              <w:t xml:space="preserve">_______ </w:t>
            </w:r>
            <w:r>
              <w:rPr>
                <w:bCs/>
                <w:sz w:val="24"/>
              </w:rPr>
              <w:t>Yes (Complete Section B and attach BLS review sheet).</w:t>
            </w:r>
          </w:p>
          <w:p w:rsidR="00651D80" w:rsidRDefault="00651D80" w:rsidP="00C36AE2">
            <w:pPr>
              <w:rPr>
                <w:b/>
                <w:sz w:val="24"/>
              </w:rPr>
            </w:pPr>
          </w:p>
        </w:tc>
      </w:tr>
      <w:tr w:rsidR="00651D80" w:rsidTr="00C36AE2">
        <w:trPr>
          <w:cantSplit/>
        </w:trPr>
        <w:tc>
          <w:tcPr>
            <w:tcW w:w="9216" w:type="dxa"/>
            <w:gridSpan w:val="3"/>
          </w:tcPr>
          <w:p w:rsidR="00651D80" w:rsidRDefault="00651D80" w:rsidP="00C36AE2">
            <w:pPr>
              <w:rPr>
                <w:b/>
                <w:bCs/>
                <w:sz w:val="24"/>
              </w:rPr>
            </w:pPr>
            <w:r>
              <w:rPr>
                <w:b/>
                <w:bCs/>
                <w:sz w:val="24"/>
              </w:rPr>
              <w:lastRenderedPageBreak/>
              <w:t>A.8. Abstract:</w:t>
            </w:r>
          </w:p>
          <w:p w:rsidR="00651D80" w:rsidRPr="00895183" w:rsidRDefault="00651D80" w:rsidP="00C36AE2">
            <w:pPr>
              <w:rPr>
                <w:sz w:val="24"/>
                <w:szCs w:val="24"/>
              </w:rPr>
            </w:pPr>
            <w:r w:rsidRPr="00895183">
              <w:rPr>
                <w:sz w:val="24"/>
                <w:szCs w:val="24"/>
              </w:rPr>
              <w:t>The User Experience (UX) Community of Practice (CoP) is an interagency group working to promote and support UX in the US government.  There are over 1,100 members of the group, which includes employees and contractors at federal, state, local</w:t>
            </w:r>
            <w:r>
              <w:rPr>
                <w:sz w:val="24"/>
                <w:szCs w:val="24"/>
              </w:rPr>
              <w:t>, and tribal</w:t>
            </w:r>
            <w:r w:rsidRPr="00895183">
              <w:rPr>
                <w:sz w:val="24"/>
                <w:szCs w:val="24"/>
              </w:rPr>
              <w:t xml:space="preserve"> governments.  I currently serve as a Co-Chair of the group.  </w:t>
            </w:r>
          </w:p>
          <w:p w:rsidR="00651D80" w:rsidRPr="00895183" w:rsidRDefault="00651D80" w:rsidP="00C36AE2">
            <w:pPr>
              <w:rPr>
                <w:sz w:val="24"/>
                <w:szCs w:val="24"/>
              </w:rPr>
            </w:pPr>
          </w:p>
          <w:p w:rsidR="00651D80" w:rsidRPr="00895183" w:rsidRDefault="00651D80" w:rsidP="00C36AE2">
            <w:pPr>
              <w:rPr>
                <w:sz w:val="24"/>
                <w:szCs w:val="24"/>
              </w:rPr>
            </w:pPr>
            <w:r w:rsidRPr="00895183">
              <w:rPr>
                <w:sz w:val="24"/>
                <w:szCs w:val="24"/>
              </w:rPr>
              <w:t xml:space="preserve">Currently, the primary activity of the UX CoP is to provide a listserv for the group, where members can ask questions, provide support, and share lessons learned.  This has been a great resource for group members, but </w:t>
            </w:r>
            <w:r>
              <w:rPr>
                <w:sz w:val="24"/>
                <w:szCs w:val="24"/>
              </w:rPr>
              <w:t>the group leaders</w:t>
            </w:r>
            <w:r w:rsidRPr="00895183">
              <w:rPr>
                <w:sz w:val="24"/>
                <w:szCs w:val="24"/>
              </w:rPr>
              <w:t xml:space="preserve"> would like to provide more resources for the members.  Towards that end, this survey of group members and others who are doing government UX work will uncover what their backgrounds are, what kind of UX work they are doing, and what areas they would like training in.  </w:t>
            </w:r>
          </w:p>
          <w:p w:rsidR="00651D80" w:rsidRPr="00895183" w:rsidRDefault="00651D80" w:rsidP="00C36AE2">
            <w:pPr>
              <w:rPr>
                <w:sz w:val="24"/>
                <w:szCs w:val="24"/>
              </w:rPr>
            </w:pPr>
          </w:p>
          <w:p w:rsidR="00651D80" w:rsidRPr="00895183" w:rsidRDefault="00651D80" w:rsidP="00C36AE2">
            <w:pPr>
              <w:rPr>
                <w:b/>
                <w:sz w:val="24"/>
                <w:szCs w:val="24"/>
              </w:rPr>
            </w:pPr>
            <w:r w:rsidRPr="00895183">
              <w:rPr>
                <w:sz w:val="24"/>
                <w:szCs w:val="24"/>
              </w:rPr>
              <w:t>The results will provide the UX CoP leadership with a better understanding of (1) the membership of the UX CoP and (2) the type of UX work that US government agencies are conducting.  We will use the information to improve the services provided to the UX CoP and to publically report on the state of UX work at government agencies.</w:t>
            </w:r>
          </w:p>
          <w:p w:rsidR="00651D80" w:rsidRPr="00895183" w:rsidRDefault="00651D80" w:rsidP="00C36AE2">
            <w:pPr>
              <w:rPr>
                <w:bCs/>
                <w:sz w:val="24"/>
                <w:szCs w:val="24"/>
              </w:rPr>
            </w:pPr>
          </w:p>
          <w:p w:rsidR="00651D80" w:rsidRPr="00895183" w:rsidRDefault="00651D80" w:rsidP="00C36AE2">
            <w:pPr>
              <w:rPr>
                <w:sz w:val="24"/>
                <w:szCs w:val="24"/>
              </w:rPr>
            </w:pPr>
            <w:r w:rsidRPr="00895183">
              <w:rPr>
                <w:sz w:val="24"/>
                <w:szCs w:val="24"/>
              </w:rPr>
              <w:t xml:space="preserve">We will allow three weeks for the data collection (from survey invitation to the closing of the survey).  We will send potential respondents the survey invitation via the listservs listed below.  We will also send two follow-up emails, one during the second week, and one during the third week.     </w:t>
            </w:r>
          </w:p>
          <w:p w:rsidR="00651D80" w:rsidRPr="00895183" w:rsidRDefault="00651D80" w:rsidP="00C36AE2">
            <w:pPr>
              <w:rPr>
                <w:sz w:val="24"/>
                <w:szCs w:val="24"/>
              </w:rPr>
            </w:pPr>
          </w:p>
          <w:p w:rsidR="00651D80" w:rsidRPr="00895183" w:rsidRDefault="00651D80" w:rsidP="00C36AE2">
            <w:pPr>
              <w:rPr>
                <w:sz w:val="24"/>
                <w:szCs w:val="24"/>
              </w:rPr>
            </w:pPr>
            <w:r w:rsidRPr="00895183">
              <w:rPr>
                <w:sz w:val="24"/>
                <w:szCs w:val="24"/>
              </w:rPr>
              <w:t>All of our responses will be collected via web (using Survey Monkey).  We will include the required warning about storing data on a third-party server.  We expect that it will take the respondents an average of ten minutes to complete the survey.</w:t>
            </w:r>
            <w:r>
              <w:rPr>
                <w:sz w:val="24"/>
                <w:szCs w:val="24"/>
              </w:rPr>
              <w:t xml:space="preserve">  We will include t</w:t>
            </w:r>
            <w:r w:rsidRPr="00895183">
              <w:rPr>
                <w:sz w:val="24"/>
                <w:szCs w:val="24"/>
              </w:rPr>
              <w:t>he following statement</w:t>
            </w:r>
            <w:r>
              <w:rPr>
                <w:sz w:val="24"/>
                <w:szCs w:val="24"/>
              </w:rPr>
              <w:t>s</w:t>
            </w:r>
            <w:r w:rsidRPr="00895183">
              <w:rPr>
                <w:sz w:val="24"/>
                <w:szCs w:val="24"/>
              </w:rPr>
              <w:t xml:space="preserve"> in the introduction to the survey:</w:t>
            </w:r>
          </w:p>
          <w:p w:rsidR="00651D80" w:rsidRPr="00895183" w:rsidRDefault="00651D80" w:rsidP="00C36AE2">
            <w:pPr>
              <w:rPr>
                <w:sz w:val="24"/>
                <w:szCs w:val="24"/>
              </w:rPr>
            </w:pPr>
          </w:p>
          <w:p w:rsidR="00651D80" w:rsidRDefault="00651D80" w:rsidP="00C36AE2">
            <w:pPr>
              <w:ind w:left="517" w:right="427"/>
              <w:rPr>
                <w:sz w:val="24"/>
                <w:szCs w:val="24"/>
              </w:rPr>
            </w:pPr>
            <w:r w:rsidRPr="00895183">
              <w:rPr>
                <w:sz w:val="24"/>
                <w:szCs w:val="24"/>
              </w:rPr>
              <w:t>“We estimate that it will take you 10 minutes to complete</w:t>
            </w:r>
            <w:r>
              <w:rPr>
                <w:sz w:val="24"/>
                <w:szCs w:val="24"/>
              </w:rPr>
              <w:t xml:space="preserve"> this survey.  </w:t>
            </w:r>
            <w:r w:rsidRPr="00895183">
              <w:rPr>
                <w:sz w:val="24"/>
                <w:szCs w:val="24"/>
              </w:rPr>
              <w:t xml:space="preserve">Your participation </w:t>
            </w:r>
            <w:r>
              <w:rPr>
                <w:sz w:val="24"/>
                <w:szCs w:val="24"/>
              </w:rPr>
              <w:t xml:space="preserve">is voluntary.” </w:t>
            </w:r>
          </w:p>
          <w:p w:rsidR="00651D80" w:rsidRDefault="00651D80" w:rsidP="00C36AE2">
            <w:pPr>
              <w:ind w:left="517" w:right="427"/>
              <w:rPr>
                <w:sz w:val="24"/>
                <w:szCs w:val="24"/>
              </w:rPr>
            </w:pPr>
          </w:p>
          <w:p w:rsidR="00651D80" w:rsidRPr="00895183" w:rsidRDefault="00651D80" w:rsidP="00C36AE2">
            <w:pPr>
              <w:ind w:left="517" w:right="427"/>
              <w:rPr>
                <w:sz w:val="24"/>
                <w:szCs w:val="24"/>
              </w:rPr>
            </w:pPr>
            <w:r>
              <w:rPr>
                <w:sz w:val="24"/>
                <w:szCs w:val="24"/>
              </w:rPr>
              <w:t>“</w:t>
            </w:r>
            <w:r w:rsidRPr="00895183">
              <w:rPr>
                <w:sz w:val="24"/>
                <w:szCs w:val="24"/>
              </w:rPr>
              <w:t>We are collecting this information under OMB Number 1225-0059.  Without this currently-approved number, we could not conduct this survey.  (Expiration:  November, 30, 2020).</w:t>
            </w:r>
            <w:r>
              <w:rPr>
                <w:sz w:val="24"/>
                <w:szCs w:val="24"/>
              </w:rPr>
              <w:t xml:space="preserve">  </w:t>
            </w:r>
            <w:r w:rsidRPr="001E6409">
              <w:rPr>
                <w:sz w:val="24"/>
                <w:szCs w:val="24"/>
              </w:rPr>
              <w:t>This survey is being administered by Surveymonkey.com and resides on a server outside of the BLS domain. BLS cannot guarantee the protection of survey responses and advises against the inclusion of sensitive personal information in any response.</w:t>
            </w:r>
            <w:r w:rsidRPr="00895183">
              <w:rPr>
                <w:sz w:val="24"/>
                <w:szCs w:val="24"/>
              </w:rPr>
              <w:t>”</w:t>
            </w:r>
          </w:p>
          <w:p w:rsidR="00651D80" w:rsidRPr="00895183" w:rsidRDefault="00651D80" w:rsidP="00C36AE2">
            <w:pPr>
              <w:rPr>
                <w:sz w:val="24"/>
                <w:szCs w:val="24"/>
              </w:rPr>
            </w:pPr>
          </w:p>
          <w:p w:rsidR="00651D80" w:rsidRPr="00895183" w:rsidRDefault="00651D80" w:rsidP="00C36AE2">
            <w:pPr>
              <w:rPr>
                <w:sz w:val="24"/>
                <w:szCs w:val="24"/>
              </w:rPr>
            </w:pPr>
            <w:r w:rsidRPr="00895183">
              <w:rPr>
                <w:sz w:val="24"/>
                <w:szCs w:val="24"/>
              </w:rPr>
              <w:t>Attached please find copies of:</w:t>
            </w:r>
          </w:p>
          <w:p w:rsidR="00651D80" w:rsidRPr="00895183" w:rsidRDefault="00651D80" w:rsidP="00651D80">
            <w:pPr>
              <w:numPr>
                <w:ilvl w:val="0"/>
                <w:numId w:val="3"/>
              </w:numPr>
              <w:rPr>
                <w:sz w:val="24"/>
                <w:szCs w:val="24"/>
              </w:rPr>
            </w:pPr>
            <w:r w:rsidRPr="00895183">
              <w:rPr>
                <w:sz w:val="24"/>
                <w:szCs w:val="24"/>
              </w:rPr>
              <w:t xml:space="preserve">The initial </w:t>
            </w:r>
            <w:r>
              <w:rPr>
                <w:sz w:val="24"/>
                <w:szCs w:val="24"/>
              </w:rPr>
              <w:t xml:space="preserve">email </w:t>
            </w:r>
            <w:r w:rsidRPr="00895183">
              <w:rPr>
                <w:sz w:val="24"/>
                <w:szCs w:val="24"/>
              </w:rPr>
              <w:t xml:space="preserve">invitation </w:t>
            </w:r>
            <w:r>
              <w:rPr>
                <w:sz w:val="24"/>
                <w:szCs w:val="24"/>
              </w:rPr>
              <w:t>and two reminders for the UX CoP</w:t>
            </w:r>
          </w:p>
          <w:p w:rsidR="00651D80" w:rsidRPr="00895183" w:rsidRDefault="00651D80" w:rsidP="00651D80">
            <w:pPr>
              <w:numPr>
                <w:ilvl w:val="0"/>
                <w:numId w:val="3"/>
              </w:numPr>
              <w:rPr>
                <w:sz w:val="24"/>
                <w:szCs w:val="24"/>
              </w:rPr>
            </w:pPr>
            <w:r w:rsidRPr="00895183">
              <w:rPr>
                <w:sz w:val="24"/>
                <w:szCs w:val="24"/>
              </w:rPr>
              <w:t xml:space="preserve">The initial </w:t>
            </w:r>
            <w:r>
              <w:rPr>
                <w:sz w:val="24"/>
                <w:szCs w:val="24"/>
              </w:rPr>
              <w:t xml:space="preserve">email </w:t>
            </w:r>
            <w:r w:rsidRPr="00895183">
              <w:rPr>
                <w:sz w:val="24"/>
                <w:szCs w:val="24"/>
              </w:rPr>
              <w:t xml:space="preserve">invitation </w:t>
            </w:r>
            <w:r>
              <w:rPr>
                <w:sz w:val="24"/>
                <w:szCs w:val="24"/>
              </w:rPr>
              <w:t>and one reminder for the other CoPs</w:t>
            </w:r>
          </w:p>
          <w:p w:rsidR="00651D80" w:rsidRPr="00895183" w:rsidRDefault="00651D80" w:rsidP="00651D80">
            <w:pPr>
              <w:numPr>
                <w:ilvl w:val="0"/>
                <w:numId w:val="3"/>
              </w:numPr>
              <w:rPr>
                <w:sz w:val="24"/>
                <w:szCs w:val="24"/>
              </w:rPr>
            </w:pPr>
            <w:r w:rsidRPr="00895183">
              <w:rPr>
                <w:sz w:val="24"/>
                <w:szCs w:val="24"/>
              </w:rPr>
              <w:t xml:space="preserve">A copy of the survey  </w:t>
            </w:r>
          </w:p>
          <w:p w:rsidR="00651D80" w:rsidRDefault="00651D80" w:rsidP="00C36AE2">
            <w:pPr>
              <w:rPr>
                <w:bCs/>
                <w:sz w:val="24"/>
                <w:szCs w:val="24"/>
              </w:rPr>
            </w:pPr>
          </w:p>
          <w:p w:rsidR="00651D80" w:rsidRDefault="00651D80" w:rsidP="00C36AE2">
            <w:pPr>
              <w:rPr>
                <w:bCs/>
                <w:sz w:val="24"/>
                <w:szCs w:val="24"/>
              </w:rPr>
            </w:pPr>
          </w:p>
          <w:p w:rsidR="00651D80" w:rsidRDefault="00651D80" w:rsidP="00C36AE2">
            <w:pPr>
              <w:rPr>
                <w:bCs/>
                <w:sz w:val="24"/>
                <w:szCs w:val="24"/>
              </w:rPr>
            </w:pPr>
          </w:p>
          <w:p w:rsidR="00651D80" w:rsidRPr="0038412B" w:rsidRDefault="00651D80" w:rsidP="00C36AE2">
            <w:pPr>
              <w:rPr>
                <w:bCs/>
                <w:sz w:val="24"/>
                <w:szCs w:val="24"/>
              </w:rPr>
            </w:pPr>
          </w:p>
          <w:p w:rsidR="00651D80" w:rsidRDefault="00651D80" w:rsidP="00C36AE2">
            <w:pPr>
              <w:rPr>
                <w:sz w:val="24"/>
              </w:rPr>
            </w:pPr>
            <w:r>
              <w:rPr>
                <w:b/>
                <w:sz w:val="24"/>
              </w:rPr>
              <w:t>Burden Estimate</w:t>
            </w:r>
          </w:p>
          <w:p w:rsidR="00651D80" w:rsidRDefault="00651D80" w:rsidP="00C36AE2">
            <w:pPr>
              <w:pStyle w:val="FootnoteText"/>
              <w:rPr>
                <w:sz w:val="24"/>
                <w:szCs w:val="24"/>
              </w:rPr>
            </w:pPr>
            <w:r>
              <w:rPr>
                <w:sz w:val="24"/>
                <w:szCs w:val="24"/>
              </w:rPr>
              <w:t>Participants for the survey will be recruited primarily from the UX CoP.  In addition, participants will be recruited from the related CoPs for Customer Experience (CX) and Mobile products (MobileGov).</w:t>
            </w:r>
          </w:p>
          <w:p w:rsidR="00651D80" w:rsidRDefault="00651D80" w:rsidP="00C36AE2">
            <w:pPr>
              <w:pStyle w:val="FootnoteText"/>
              <w:rPr>
                <w:sz w:val="24"/>
                <w:szCs w:val="24"/>
              </w:rPr>
            </w:pPr>
          </w:p>
          <w:p w:rsidR="00651D80" w:rsidRDefault="00651D80" w:rsidP="00C36AE2">
            <w:pPr>
              <w:pStyle w:val="FootnoteText"/>
              <w:rPr>
                <w:sz w:val="24"/>
                <w:szCs w:val="24"/>
              </w:rPr>
            </w:pPr>
            <w:r>
              <w:rPr>
                <w:sz w:val="24"/>
                <w:szCs w:val="24"/>
              </w:rPr>
              <w:t>The UX CoP has about 1,100 members and the CX CoP has about 700.  For both groups, it is estimated that 90% of the members are federal employees and the remaining 10% are state and local employees or contractors working for government agencies.  The MobilGov CoP has only federal members.  It is expected that about 40% of UX CoP members will respond and only about 20% of CX CoP members will.</w:t>
            </w:r>
          </w:p>
          <w:p w:rsidR="00651D80" w:rsidRDefault="00651D80" w:rsidP="00C36AE2">
            <w:pPr>
              <w:pStyle w:val="FootnoteText"/>
              <w:rPr>
                <w:sz w:val="24"/>
                <w:szCs w:val="24"/>
              </w:rPr>
            </w:pPr>
          </w:p>
          <w:p w:rsidR="00651D80" w:rsidRDefault="00651D80" w:rsidP="00C36AE2">
            <w:pPr>
              <w:rPr>
                <w:sz w:val="24"/>
              </w:rPr>
            </w:pPr>
            <w:r>
              <w:rPr>
                <w:sz w:val="24"/>
                <w:szCs w:val="24"/>
              </w:rPr>
              <w:t>Invitations to complete the survey will be sent by email to each of the groups, so all members of the groups will have an opportunity to participate.</w:t>
            </w:r>
          </w:p>
          <w:p w:rsidR="00651D80" w:rsidRDefault="00651D80" w:rsidP="00C36AE2">
            <w:pPr>
              <w:rPr>
                <w:b/>
                <w:sz w:val="24"/>
              </w:rPr>
            </w:pPr>
          </w:p>
          <w:p w:rsidR="00651D80" w:rsidRDefault="00651D80" w:rsidP="00C36AE2">
            <w:pPr>
              <w:rPr>
                <w:b/>
                <w:sz w:val="24"/>
              </w:rPr>
            </w:pPr>
            <w:r w:rsidRPr="004E402F">
              <w:rPr>
                <w:sz w:val="24"/>
              </w:rPr>
              <w:t xml:space="preserve">We expect responses from federal government employees as well as the non-federal employees.  However, </w:t>
            </w:r>
            <w:r>
              <w:rPr>
                <w:sz w:val="24"/>
              </w:rPr>
              <w:t xml:space="preserve">the burden includes </w:t>
            </w:r>
            <w:r w:rsidRPr="004E402F">
              <w:rPr>
                <w:sz w:val="24"/>
              </w:rPr>
              <w:t>only the non-Federal employees</w:t>
            </w:r>
            <w:r>
              <w:rPr>
                <w:b/>
                <w:sz w:val="24"/>
              </w:rPr>
              <w:t>.</w:t>
            </w:r>
          </w:p>
          <w:p w:rsidR="00651D80" w:rsidRDefault="00651D80" w:rsidP="00C36AE2">
            <w:pPr>
              <w:rPr>
                <w:b/>
                <w:sz w:val="24"/>
              </w:rPr>
            </w:pPr>
          </w:p>
          <w:p w:rsidR="00651D80" w:rsidRPr="0038412B" w:rsidRDefault="00651D80" w:rsidP="00C36AE2">
            <w:pPr>
              <w:tabs>
                <w:tab w:val="center" w:pos="4837"/>
                <w:tab w:val="center" w:pos="6570"/>
                <w:tab w:val="center" w:pos="8100"/>
              </w:tabs>
              <w:ind w:left="113"/>
              <w:rPr>
                <w:b/>
                <w:sz w:val="24"/>
                <w:szCs w:val="24"/>
              </w:rPr>
            </w:pPr>
            <w:r w:rsidRPr="0038412B">
              <w:rPr>
                <w:b/>
                <w:sz w:val="24"/>
                <w:szCs w:val="24"/>
              </w:rPr>
              <w:tab/>
              <w:t xml:space="preserve">No. of </w:t>
            </w:r>
            <w:r w:rsidRPr="0038412B">
              <w:rPr>
                <w:b/>
                <w:sz w:val="24"/>
                <w:szCs w:val="24"/>
              </w:rPr>
              <w:tab/>
              <w:t>Participation</w:t>
            </w:r>
            <w:r w:rsidRPr="0038412B">
              <w:rPr>
                <w:b/>
                <w:sz w:val="24"/>
                <w:szCs w:val="24"/>
              </w:rPr>
              <w:tab/>
              <w:t>Total</w:t>
            </w:r>
          </w:p>
          <w:p w:rsidR="00651D80" w:rsidRPr="0038412B" w:rsidRDefault="00651D80" w:rsidP="00C36AE2">
            <w:pPr>
              <w:tabs>
                <w:tab w:val="center" w:pos="4837"/>
                <w:tab w:val="center" w:pos="6570"/>
                <w:tab w:val="center" w:pos="8100"/>
              </w:tabs>
              <w:ind w:left="113"/>
              <w:rPr>
                <w:b/>
                <w:sz w:val="24"/>
                <w:szCs w:val="24"/>
              </w:rPr>
            </w:pPr>
            <w:r w:rsidRPr="0038412B">
              <w:rPr>
                <w:b/>
                <w:sz w:val="24"/>
                <w:szCs w:val="24"/>
              </w:rPr>
              <w:t>Category of Respondent</w:t>
            </w:r>
            <w:r w:rsidRPr="0038412B">
              <w:rPr>
                <w:b/>
                <w:sz w:val="24"/>
                <w:szCs w:val="24"/>
              </w:rPr>
              <w:tab/>
              <w:t>Respondents</w:t>
            </w:r>
            <w:r w:rsidRPr="0038412B">
              <w:rPr>
                <w:b/>
                <w:sz w:val="24"/>
                <w:szCs w:val="24"/>
              </w:rPr>
              <w:tab/>
              <w:t>Time</w:t>
            </w:r>
            <w:r w:rsidRPr="0038412B">
              <w:rPr>
                <w:b/>
                <w:sz w:val="24"/>
                <w:szCs w:val="24"/>
              </w:rPr>
              <w:tab/>
              <w:t>Burden</w:t>
            </w:r>
          </w:p>
          <w:p w:rsidR="00651D80" w:rsidRPr="0038412B" w:rsidRDefault="00651D80" w:rsidP="00C36AE2">
            <w:pPr>
              <w:tabs>
                <w:tab w:val="decimal" w:pos="5130"/>
                <w:tab w:val="left" w:pos="6048"/>
                <w:tab w:val="left" w:pos="7668"/>
              </w:tabs>
              <w:ind w:left="113"/>
              <w:rPr>
                <w:sz w:val="24"/>
                <w:szCs w:val="24"/>
              </w:rPr>
            </w:pPr>
          </w:p>
          <w:p w:rsidR="00651D80" w:rsidRPr="0038412B" w:rsidRDefault="00651D80" w:rsidP="00C36AE2">
            <w:pPr>
              <w:tabs>
                <w:tab w:val="decimal" w:pos="4927"/>
                <w:tab w:val="left" w:pos="6048"/>
                <w:tab w:val="left" w:pos="7668"/>
              </w:tabs>
              <w:ind w:left="113"/>
              <w:rPr>
                <w:sz w:val="24"/>
                <w:szCs w:val="24"/>
              </w:rPr>
            </w:pPr>
            <w:r>
              <w:rPr>
                <w:sz w:val="24"/>
                <w:szCs w:val="24"/>
              </w:rPr>
              <w:t xml:space="preserve">40% of non-Federal </w:t>
            </w:r>
            <w:r w:rsidRPr="0038412B">
              <w:rPr>
                <w:sz w:val="24"/>
                <w:szCs w:val="24"/>
              </w:rPr>
              <w:t>UX CoP members</w:t>
            </w:r>
            <w:r w:rsidRPr="0038412B">
              <w:rPr>
                <w:sz w:val="24"/>
                <w:szCs w:val="24"/>
              </w:rPr>
              <w:tab/>
            </w:r>
            <w:r>
              <w:rPr>
                <w:sz w:val="24"/>
                <w:szCs w:val="24"/>
              </w:rPr>
              <w:t>44</w:t>
            </w:r>
            <w:r w:rsidRPr="0038412B">
              <w:rPr>
                <w:sz w:val="24"/>
                <w:szCs w:val="24"/>
              </w:rPr>
              <w:tab/>
              <w:t>10 minutes</w:t>
            </w:r>
            <w:r w:rsidRPr="0038412B">
              <w:rPr>
                <w:sz w:val="24"/>
                <w:szCs w:val="24"/>
              </w:rPr>
              <w:tab/>
              <w:t>7.3 hours</w:t>
            </w:r>
          </w:p>
          <w:p w:rsidR="00651D80" w:rsidRPr="0038412B" w:rsidRDefault="00651D80" w:rsidP="00C36AE2">
            <w:pPr>
              <w:tabs>
                <w:tab w:val="decimal" w:pos="4927"/>
                <w:tab w:val="left" w:pos="6048"/>
                <w:tab w:val="left" w:pos="7668"/>
              </w:tabs>
              <w:ind w:left="113"/>
              <w:rPr>
                <w:sz w:val="24"/>
                <w:szCs w:val="24"/>
              </w:rPr>
            </w:pPr>
            <w:r>
              <w:rPr>
                <w:sz w:val="24"/>
                <w:szCs w:val="24"/>
              </w:rPr>
              <w:t>20% of non-Federal CX</w:t>
            </w:r>
            <w:r w:rsidRPr="0038412B">
              <w:rPr>
                <w:sz w:val="24"/>
                <w:szCs w:val="24"/>
              </w:rPr>
              <w:t xml:space="preserve"> CoP members</w:t>
            </w:r>
            <w:r w:rsidRPr="0038412B">
              <w:rPr>
                <w:sz w:val="24"/>
                <w:szCs w:val="24"/>
              </w:rPr>
              <w:tab/>
            </w:r>
            <w:r>
              <w:rPr>
                <w:sz w:val="24"/>
                <w:szCs w:val="24"/>
              </w:rPr>
              <w:t>14</w:t>
            </w:r>
            <w:r w:rsidRPr="0038412B">
              <w:rPr>
                <w:sz w:val="24"/>
                <w:szCs w:val="24"/>
              </w:rPr>
              <w:tab/>
              <w:t>10 minutes</w:t>
            </w:r>
            <w:r w:rsidRPr="0038412B">
              <w:rPr>
                <w:sz w:val="24"/>
                <w:szCs w:val="24"/>
              </w:rPr>
              <w:tab/>
              <w:t>2.3 hours</w:t>
            </w:r>
          </w:p>
          <w:p w:rsidR="00651D80" w:rsidRPr="0038412B" w:rsidRDefault="00651D80" w:rsidP="00C36AE2">
            <w:pPr>
              <w:tabs>
                <w:tab w:val="decimal" w:pos="4927"/>
                <w:tab w:val="left" w:pos="6048"/>
                <w:tab w:val="left" w:pos="7668"/>
              </w:tabs>
              <w:ind w:left="113"/>
              <w:rPr>
                <w:sz w:val="24"/>
                <w:szCs w:val="24"/>
              </w:rPr>
            </w:pPr>
          </w:p>
          <w:p w:rsidR="00651D80" w:rsidRPr="0038412B" w:rsidRDefault="00651D80" w:rsidP="00C36AE2">
            <w:pPr>
              <w:tabs>
                <w:tab w:val="decimal" w:pos="4927"/>
                <w:tab w:val="left" w:pos="6048"/>
                <w:tab w:val="left" w:pos="7668"/>
              </w:tabs>
              <w:ind w:left="113"/>
              <w:rPr>
                <w:sz w:val="24"/>
                <w:szCs w:val="24"/>
              </w:rPr>
            </w:pPr>
            <w:r w:rsidRPr="0038412B">
              <w:rPr>
                <w:b/>
                <w:sz w:val="24"/>
                <w:szCs w:val="24"/>
              </w:rPr>
              <w:t>Totals</w:t>
            </w:r>
            <w:r w:rsidRPr="0038412B">
              <w:rPr>
                <w:b/>
                <w:sz w:val="24"/>
                <w:szCs w:val="24"/>
              </w:rPr>
              <w:tab/>
            </w:r>
            <w:r>
              <w:rPr>
                <w:sz w:val="24"/>
                <w:szCs w:val="24"/>
              </w:rPr>
              <w:t>58</w:t>
            </w:r>
            <w:r w:rsidRPr="0038412B">
              <w:rPr>
                <w:sz w:val="24"/>
                <w:szCs w:val="24"/>
              </w:rPr>
              <w:tab/>
            </w:r>
            <w:r w:rsidRPr="0038412B">
              <w:rPr>
                <w:sz w:val="24"/>
                <w:szCs w:val="24"/>
              </w:rPr>
              <w:tab/>
              <w:t>9.6 hours</w:t>
            </w:r>
          </w:p>
          <w:p w:rsidR="00651D80" w:rsidRDefault="00651D80" w:rsidP="00C36AE2"/>
          <w:p w:rsidR="00651D80" w:rsidRPr="00211982" w:rsidRDefault="00651D80" w:rsidP="00C36AE2">
            <w:pPr>
              <w:rPr>
                <w:sz w:val="24"/>
              </w:rPr>
            </w:pPr>
            <w:r w:rsidRPr="00211982">
              <w:rPr>
                <w:sz w:val="24"/>
              </w:rPr>
              <w:t>Rounding up</w:t>
            </w:r>
            <w:r>
              <w:rPr>
                <w:sz w:val="24"/>
              </w:rPr>
              <w:t>, this study is expected to require 10 burden hours.</w:t>
            </w:r>
          </w:p>
          <w:p w:rsidR="00651D80" w:rsidRDefault="00651D80" w:rsidP="00C36AE2">
            <w:pPr>
              <w:rPr>
                <w:b/>
                <w:sz w:val="24"/>
              </w:rPr>
            </w:pPr>
          </w:p>
        </w:tc>
      </w:tr>
      <w:tr w:rsidR="00651D80" w:rsidTr="00C36AE2">
        <w:trPr>
          <w:cantSplit/>
        </w:trPr>
        <w:tc>
          <w:tcPr>
            <w:tcW w:w="9216" w:type="dxa"/>
            <w:gridSpan w:val="3"/>
          </w:tcPr>
          <w:p w:rsidR="00651D80" w:rsidRPr="00786E56" w:rsidRDefault="00651D80" w:rsidP="00C36AE2">
            <w:pPr>
              <w:pStyle w:val="Heading4"/>
              <w:rPr>
                <w:rStyle w:val="Heading9Char"/>
                <w:b/>
              </w:rPr>
            </w:pPr>
            <w:r>
              <w:rPr>
                <w:rStyle w:val="Heading9Char"/>
                <w:b/>
              </w:rPr>
              <w:lastRenderedPageBreak/>
              <w:t>Program Agency PO</w:t>
            </w:r>
          </w:p>
          <w:p w:rsidR="00651D80" w:rsidRDefault="00651D80" w:rsidP="00C36AE2"/>
          <w:p w:rsidR="00651D80" w:rsidRDefault="00651D80" w:rsidP="00C36AE2">
            <w:pPr>
              <w:jc w:val="center"/>
              <w:rPr>
                <w:b/>
                <w:bCs/>
              </w:rPr>
            </w:pPr>
          </w:p>
        </w:tc>
      </w:tr>
    </w:tbl>
    <w:p w:rsidR="00651D80" w:rsidRDefault="00651D80" w:rsidP="00651D80">
      <w:pPr>
        <w:rPr>
          <w:b/>
          <w:sz w:val="24"/>
        </w:rPr>
      </w:pPr>
    </w:p>
    <w:p w:rsidR="00651D80" w:rsidRDefault="00651D80" w:rsidP="00651D80">
      <w:pPr>
        <w:rPr>
          <w:b/>
          <w:sz w:val="24"/>
        </w:rPr>
      </w:pPr>
    </w:p>
    <w:p w:rsidR="00651D80" w:rsidRDefault="00651D80" w:rsidP="00651D80">
      <w:pPr>
        <w:rPr>
          <w:b/>
          <w:sz w:val="24"/>
        </w:rPr>
      </w:pPr>
    </w:p>
    <w:p w:rsidR="00651D80" w:rsidRDefault="00651D80" w:rsidP="00651D80">
      <w:pPr>
        <w:rPr>
          <w:b/>
          <w:sz w:val="24"/>
        </w:rPr>
      </w:pPr>
    </w:p>
    <w:p w:rsidR="00651D80" w:rsidRDefault="00651D80" w:rsidP="00651D80">
      <w:pPr>
        <w:rPr>
          <w:b/>
          <w:sz w:val="24"/>
        </w:rPr>
      </w:pPr>
    </w:p>
    <w:p w:rsidR="00651D80" w:rsidRDefault="00651D80" w:rsidP="00651D80">
      <w:pPr>
        <w:pStyle w:val="Heading2"/>
        <w:numPr>
          <w:ilvl w:val="0"/>
          <w:numId w:val="2"/>
        </w:numPr>
      </w:pPr>
      <w:r>
        <w:t>SURVEYS AND EVALUATIONS EMPLOYING STATISTICAL METHODS</w:t>
      </w:r>
    </w:p>
    <w:p w:rsidR="00651D80" w:rsidRDefault="00651D80" w:rsidP="00651D80"/>
    <w:p w:rsidR="00651D80" w:rsidRDefault="00651D80" w:rsidP="00651D80">
      <w:pPr>
        <w:ind w:left="360"/>
        <w:rPr>
          <w:bCs/>
        </w:rPr>
      </w:pPr>
      <w:r>
        <w:rPr>
          <w:bCs/>
        </w:rPr>
        <w:t>N/A</w:t>
      </w:r>
    </w:p>
    <w:p w:rsidR="00651D80" w:rsidRDefault="00651D80" w:rsidP="00651D80">
      <w:pPr>
        <w:ind w:left="360"/>
        <w:rPr>
          <w:bCs/>
        </w:rPr>
      </w:pPr>
    </w:p>
    <w:p w:rsidR="00DC2E98" w:rsidRPr="00651D80" w:rsidRDefault="00DC2E98">
      <w:pPr>
        <w:rPr>
          <w:bCs/>
        </w:rPr>
      </w:pPr>
    </w:p>
    <w:sectPr w:rsidR="00DC2E98" w:rsidRPr="00651D80" w:rsidSect="00651D80">
      <w:footerReference w:type="even" r:id="rId8"/>
      <w:footerReference w:type="default" r:id="rId9"/>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6000F">
      <w:r>
        <w:separator/>
      </w:r>
    </w:p>
  </w:endnote>
  <w:endnote w:type="continuationSeparator" w:id="0">
    <w:p w:rsidR="00000000" w:rsidRDefault="0086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E1" w:rsidRDefault="00651D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863E1" w:rsidRDefault="00860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E1" w:rsidRDefault="00651D80" w:rsidP="005F2BE3">
    <w:pPr>
      <w:pStyle w:val="Footer"/>
      <w:jc w:val="center"/>
    </w:pPr>
    <w:r>
      <w:fldChar w:fldCharType="begin"/>
    </w:r>
    <w:r>
      <w:instrText xml:space="preserve"> PAGE   \* MERGEFORMAT </w:instrText>
    </w:r>
    <w:r>
      <w:fldChar w:fldCharType="separate"/>
    </w:r>
    <w:r w:rsidR="0086000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6000F">
      <w:r>
        <w:separator/>
      </w:r>
    </w:p>
  </w:footnote>
  <w:footnote w:type="continuationSeparator" w:id="0">
    <w:p w:rsidR="00000000" w:rsidRDefault="00860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2A4439DE"/>
    <w:multiLevelType w:val="hybridMultilevel"/>
    <w:tmpl w:val="7B5C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301C40"/>
    <w:multiLevelType w:val="hybridMultilevel"/>
    <w:tmpl w:val="145C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80"/>
    <w:rsid w:val="00651D80"/>
    <w:rsid w:val="0086000F"/>
    <w:rsid w:val="00DC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8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51D80"/>
    <w:pPr>
      <w:keepNext/>
      <w:numPr>
        <w:numId w:val="1"/>
      </w:numPr>
      <w:outlineLvl w:val="1"/>
    </w:pPr>
    <w:rPr>
      <w:b/>
      <w:sz w:val="28"/>
    </w:rPr>
  </w:style>
  <w:style w:type="paragraph" w:styleId="Heading4">
    <w:name w:val="heading 4"/>
    <w:basedOn w:val="Normal"/>
    <w:next w:val="Normal"/>
    <w:link w:val="Heading4Char"/>
    <w:qFormat/>
    <w:rsid w:val="00651D80"/>
    <w:pPr>
      <w:keepNext/>
      <w:outlineLvl w:val="3"/>
    </w:pPr>
    <w:rPr>
      <w:b/>
      <w:sz w:val="24"/>
    </w:rPr>
  </w:style>
  <w:style w:type="paragraph" w:styleId="Heading6">
    <w:name w:val="heading 6"/>
    <w:basedOn w:val="Normal"/>
    <w:next w:val="Normal"/>
    <w:link w:val="Heading6Char"/>
    <w:qFormat/>
    <w:rsid w:val="00651D80"/>
    <w:pPr>
      <w:keepNext/>
      <w:ind w:left="360"/>
      <w:jc w:val="right"/>
      <w:outlineLvl w:val="5"/>
    </w:pPr>
    <w:rPr>
      <w:sz w:val="24"/>
    </w:rPr>
  </w:style>
  <w:style w:type="paragraph" w:styleId="Heading9">
    <w:name w:val="heading 9"/>
    <w:basedOn w:val="Normal"/>
    <w:next w:val="Normal"/>
    <w:link w:val="Heading9Char"/>
    <w:qFormat/>
    <w:rsid w:val="00651D80"/>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1D80"/>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651D8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651D8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651D80"/>
    <w:rPr>
      <w:rFonts w:ascii="Times New Roman" w:eastAsia="Times New Roman" w:hAnsi="Times New Roman" w:cs="Times New Roman"/>
      <w:b/>
      <w:bCs/>
      <w:sz w:val="20"/>
      <w:szCs w:val="20"/>
    </w:rPr>
  </w:style>
  <w:style w:type="paragraph" w:styleId="Footer">
    <w:name w:val="footer"/>
    <w:basedOn w:val="Normal"/>
    <w:link w:val="FooterChar"/>
    <w:rsid w:val="00651D80"/>
    <w:pPr>
      <w:tabs>
        <w:tab w:val="center" w:pos="4320"/>
        <w:tab w:val="right" w:pos="8640"/>
      </w:tabs>
    </w:pPr>
  </w:style>
  <w:style w:type="character" w:customStyle="1" w:styleId="FooterChar">
    <w:name w:val="Footer Char"/>
    <w:basedOn w:val="DefaultParagraphFont"/>
    <w:link w:val="Footer"/>
    <w:rsid w:val="00651D80"/>
    <w:rPr>
      <w:rFonts w:ascii="Times New Roman" w:eastAsia="Times New Roman" w:hAnsi="Times New Roman" w:cs="Times New Roman"/>
      <w:sz w:val="20"/>
      <w:szCs w:val="20"/>
    </w:rPr>
  </w:style>
  <w:style w:type="character" w:styleId="PageNumber">
    <w:name w:val="page number"/>
    <w:basedOn w:val="DefaultParagraphFont"/>
    <w:rsid w:val="00651D80"/>
  </w:style>
  <w:style w:type="paragraph" w:styleId="BodyText">
    <w:name w:val="Body Text"/>
    <w:basedOn w:val="Normal"/>
    <w:link w:val="BodyTextChar"/>
    <w:rsid w:val="00651D80"/>
    <w:rPr>
      <w:sz w:val="24"/>
    </w:rPr>
  </w:style>
  <w:style w:type="character" w:customStyle="1" w:styleId="BodyTextChar">
    <w:name w:val="Body Text Char"/>
    <w:basedOn w:val="DefaultParagraphFont"/>
    <w:link w:val="BodyText"/>
    <w:rsid w:val="00651D80"/>
    <w:rPr>
      <w:rFonts w:ascii="Times New Roman" w:eastAsia="Times New Roman" w:hAnsi="Times New Roman" w:cs="Times New Roman"/>
      <w:sz w:val="24"/>
      <w:szCs w:val="20"/>
    </w:rPr>
  </w:style>
  <w:style w:type="paragraph" w:styleId="BodyText2">
    <w:name w:val="Body Text 2"/>
    <w:basedOn w:val="Normal"/>
    <w:link w:val="BodyText2Char"/>
    <w:rsid w:val="00651D80"/>
    <w:rPr>
      <w:b/>
      <w:sz w:val="24"/>
    </w:rPr>
  </w:style>
  <w:style w:type="character" w:customStyle="1" w:styleId="BodyText2Char">
    <w:name w:val="Body Text 2 Char"/>
    <w:basedOn w:val="DefaultParagraphFont"/>
    <w:link w:val="BodyText2"/>
    <w:rsid w:val="00651D80"/>
    <w:rPr>
      <w:rFonts w:ascii="Times New Roman" w:eastAsia="Times New Roman" w:hAnsi="Times New Roman" w:cs="Times New Roman"/>
      <w:b/>
      <w:sz w:val="24"/>
      <w:szCs w:val="20"/>
    </w:rPr>
  </w:style>
  <w:style w:type="paragraph" w:styleId="FootnoteText">
    <w:name w:val="footnote text"/>
    <w:basedOn w:val="Normal"/>
    <w:link w:val="FootnoteTextChar"/>
    <w:uiPriority w:val="99"/>
    <w:rsid w:val="00651D80"/>
  </w:style>
  <w:style w:type="character" w:customStyle="1" w:styleId="FootnoteTextChar">
    <w:name w:val="Footnote Text Char"/>
    <w:basedOn w:val="DefaultParagraphFont"/>
    <w:link w:val="FootnoteText"/>
    <w:uiPriority w:val="99"/>
    <w:rsid w:val="00651D80"/>
    <w:rPr>
      <w:rFonts w:ascii="Times New Roman" w:eastAsia="Times New Roman" w:hAnsi="Times New Roman" w:cs="Times New Roman"/>
      <w:sz w:val="20"/>
      <w:szCs w:val="20"/>
    </w:rPr>
  </w:style>
  <w:style w:type="character" w:styleId="Hyperlink">
    <w:name w:val="Hyperlink"/>
    <w:rsid w:val="00651D80"/>
    <w:rPr>
      <w:color w:val="0000FF"/>
      <w:u w:val="single"/>
    </w:rPr>
  </w:style>
  <w:style w:type="paragraph" w:styleId="ListParagraph">
    <w:name w:val="List Paragraph"/>
    <w:basedOn w:val="Normal"/>
    <w:uiPriority w:val="34"/>
    <w:qFormat/>
    <w:rsid w:val="00651D80"/>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8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51D80"/>
    <w:pPr>
      <w:keepNext/>
      <w:numPr>
        <w:numId w:val="1"/>
      </w:numPr>
      <w:outlineLvl w:val="1"/>
    </w:pPr>
    <w:rPr>
      <w:b/>
      <w:sz w:val="28"/>
    </w:rPr>
  </w:style>
  <w:style w:type="paragraph" w:styleId="Heading4">
    <w:name w:val="heading 4"/>
    <w:basedOn w:val="Normal"/>
    <w:next w:val="Normal"/>
    <w:link w:val="Heading4Char"/>
    <w:qFormat/>
    <w:rsid w:val="00651D80"/>
    <w:pPr>
      <w:keepNext/>
      <w:outlineLvl w:val="3"/>
    </w:pPr>
    <w:rPr>
      <w:b/>
      <w:sz w:val="24"/>
    </w:rPr>
  </w:style>
  <w:style w:type="paragraph" w:styleId="Heading6">
    <w:name w:val="heading 6"/>
    <w:basedOn w:val="Normal"/>
    <w:next w:val="Normal"/>
    <w:link w:val="Heading6Char"/>
    <w:qFormat/>
    <w:rsid w:val="00651D80"/>
    <w:pPr>
      <w:keepNext/>
      <w:ind w:left="360"/>
      <w:jc w:val="right"/>
      <w:outlineLvl w:val="5"/>
    </w:pPr>
    <w:rPr>
      <w:sz w:val="24"/>
    </w:rPr>
  </w:style>
  <w:style w:type="paragraph" w:styleId="Heading9">
    <w:name w:val="heading 9"/>
    <w:basedOn w:val="Normal"/>
    <w:next w:val="Normal"/>
    <w:link w:val="Heading9Char"/>
    <w:qFormat/>
    <w:rsid w:val="00651D80"/>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1D80"/>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651D8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651D8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651D80"/>
    <w:rPr>
      <w:rFonts w:ascii="Times New Roman" w:eastAsia="Times New Roman" w:hAnsi="Times New Roman" w:cs="Times New Roman"/>
      <w:b/>
      <w:bCs/>
      <w:sz w:val="20"/>
      <w:szCs w:val="20"/>
    </w:rPr>
  </w:style>
  <w:style w:type="paragraph" w:styleId="Footer">
    <w:name w:val="footer"/>
    <w:basedOn w:val="Normal"/>
    <w:link w:val="FooterChar"/>
    <w:rsid w:val="00651D80"/>
    <w:pPr>
      <w:tabs>
        <w:tab w:val="center" w:pos="4320"/>
        <w:tab w:val="right" w:pos="8640"/>
      </w:tabs>
    </w:pPr>
  </w:style>
  <w:style w:type="character" w:customStyle="1" w:styleId="FooterChar">
    <w:name w:val="Footer Char"/>
    <w:basedOn w:val="DefaultParagraphFont"/>
    <w:link w:val="Footer"/>
    <w:rsid w:val="00651D80"/>
    <w:rPr>
      <w:rFonts w:ascii="Times New Roman" w:eastAsia="Times New Roman" w:hAnsi="Times New Roman" w:cs="Times New Roman"/>
      <w:sz w:val="20"/>
      <w:szCs w:val="20"/>
    </w:rPr>
  </w:style>
  <w:style w:type="character" w:styleId="PageNumber">
    <w:name w:val="page number"/>
    <w:basedOn w:val="DefaultParagraphFont"/>
    <w:rsid w:val="00651D80"/>
  </w:style>
  <w:style w:type="paragraph" w:styleId="BodyText">
    <w:name w:val="Body Text"/>
    <w:basedOn w:val="Normal"/>
    <w:link w:val="BodyTextChar"/>
    <w:rsid w:val="00651D80"/>
    <w:rPr>
      <w:sz w:val="24"/>
    </w:rPr>
  </w:style>
  <w:style w:type="character" w:customStyle="1" w:styleId="BodyTextChar">
    <w:name w:val="Body Text Char"/>
    <w:basedOn w:val="DefaultParagraphFont"/>
    <w:link w:val="BodyText"/>
    <w:rsid w:val="00651D80"/>
    <w:rPr>
      <w:rFonts w:ascii="Times New Roman" w:eastAsia="Times New Roman" w:hAnsi="Times New Roman" w:cs="Times New Roman"/>
      <w:sz w:val="24"/>
      <w:szCs w:val="20"/>
    </w:rPr>
  </w:style>
  <w:style w:type="paragraph" w:styleId="BodyText2">
    <w:name w:val="Body Text 2"/>
    <w:basedOn w:val="Normal"/>
    <w:link w:val="BodyText2Char"/>
    <w:rsid w:val="00651D80"/>
    <w:rPr>
      <w:b/>
      <w:sz w:val="24"/>
    </w:rPr>
  </w:style>
  <w:style w:type="character" w:customStyle="1" w:styleId="BodyText2Char">
    <w:name w:val="Body Text 2 Char"/>
    <w:basedOn w:val="DefaultParagraphFont"/>
    <w:link w:val="BodyText2"/>
    <w:rsid w:val="00651D80"/>
    <w:rPr>
      <w:rFonts w:ascii="Times New Roman" w:eastAsia="Times New Roman" w:hAnsi="Times New Roman" w:cs="Times New Roman"/>
      <w:b/>
      <w:sz w:val="24"/>
      <w:szCs w:val="20"/>
    </w:rPr>
  </w:style>
  <w:style w:type="paragraph" w:styleId="FootnoteText">
    <w:name w:val="footnote text"/>
    <w:basedOn w:val="Normal"/>
    <w:link w:val="FootnoteTextChar"/>
    <w:uiPriority w:val="99"/>
    <w:rsid w:val="00651D80"/>
  </w:style>
  <w:style w:type="character" w:customStyle="1" w:styleId="FootnoteTextChar">
    <w:name w:val="Footnote Text Char"/>
    <w:basedOn w:val="DefaultParagraphFont"/>
    <w:link w:val="FootnoteText"/>
    <w:uiPriority w:val="99"/>
    <w:rsid w:val="00651D80"/>
    <w:rPr>
      <w:rFonts w:ascii="Times New Roman" w:eastAsia="Times New Roman" w:hAnsi="Times New Roman" w:cs="Times New Roman"/>
      <w:sz w:val="20"/>
      <w:szCs w:val="20"/>
    </w:rPr>
  </w:style>
  <w:style w:type="character" w:styleId="Hyperlink">
    <w:name w:val="Hyperlink"/>
    <w:rsid w:val="00651D80"/>
    <w:rPr>
      <w:color w:val="0000FF"/>
      <w:u w:val="single"/>
    </w:rPr>
  </w:style>
  <w:style w:type="paragraph" w:styleId="ListParagraph">
    <w:name w:val="List Paragraph"/>
    <w:basedOn w:val="Normal"/>
    <w:uiPriority w:val="34"/>
    <w:qFormat/>
    <w:rsid w:val="00651D80"/>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Mammyaa</dc:creator>
  <cp:keywords/>
  <dc:description/>
  <cp:lastModifiedBy>SYSTEM</cp:lastModifiedBy>
  <cp:revision>2</cp:revision>
  <dcterms:created xsi:type="dcterms:W3CDTF">2018-01-25T19:12:00Z</dcterms:created>
  <dcterms:modified xsi:type="dcterms:W3CDTF">2018-01-25T19:12:00Z</dcterms:modified>
</cp:coreProperties>
</file>