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836B20" w:rsidP="00836B20">
      <w:pPr>
        <w:spacing w:after="0" w:line="240" w:lineRule="auto"/>
        <w:jc w:val="center"/>
        <w:rPr>
          <w:rFonts w:ascii="Times New Roman" w:eastAsia="Times New Roman" w:hAnsi="Times New Roman" w:cs="Times New Roman"/>
          <w:sz w:val="24"/>
          <w:szCs w:val="24"/>
        </w:rPr>
      </w:pPr>
      <w:r w:rsidRPr="00836B20">
        <w:rPr>
          <w:rFonts w:ascii="Times New Roman" w:eastAsia="Times New Roman" w:hAnsi="Times New Roman" w:cs="Times New Roman"/>
          <w:b/>
          <w:color w:val="000000"/>
          <w:sz w:val="24"/>
        </w:rPr>
        <w:t xml:space="preserve">Notice of Intent to Fund Project on Occupational Licensing Review and Portability </w:t>
      </w:r>
      <w:r w:rsidR="00C97D02"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836B20" w:rsidRDefault="00C97D02" w:rsidP="00471D5F">
      <w:pPr>
        <w:spacing w:after="0" w:line="240" w:lineRule="auto"/>
        <w:rPr>
          <w:rFonts w:ascii="Times New Roman" w:eastAsia="Times New Roman" w:hAnsi="Times New Roman" w:cs="Times New Roman"/>
          <w:color w:val="000000"/>
          <w:sz w:val="24"/>
        </w:rPr>
      </w:pPr>
      <w:bookmarkStart w:id="0" w:name="_Toc207778202"/>
      <w:bookmarkStart w:id="1" w:name="_Toc208654602"/>
      <w:bookmarkStart w:id="2" w:name="_Toc228885476"/>
      <w:bookmarkStart w:id="3"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836B20" w:rsidRPr="00836B20">
        <w:rPr>
          <w:rFonts w:ascii="Times New Roman" w:eastAsia="Times New Roman" w:hAnsi="Times New Roman" w:cs="Times New Roman"/>
          <w:color w:val="000000"/>
          <w:sz w:val="24"/>
        </w:rPr>
        <w:t xml:space="preserve">Notice of Intent </w:t>
      </w:r>
      <w:r w:rsidR="00836B20">
        <w:rPr>
          <w:rFonts w:ascii="Times New Roman" w:eastAsia="Times New Roman" w:hAnsi="Times New Roman" w:cs="Times New Roman"/>
          <w:color w:val="000000"/>
          <w:sz w:val="24"/>
        </w:rPr>
        <w:t xml:space="preserve">(NOI) </w:t>
      </w:r>
      <w:r w:rsidR="00836B20" w:rsidRPr="00836B20">
        <w:rPr>
          <w:rFonts w:ascii="Times New Roman" w:eastAsia="Times New Roman" w:hAnsi="Times New Roman" w:cs="Times New Roman"/>
          <w:color w:val="000000"/>
          <w:sz w:val="24"/>
        </w:rPr>
        <w:t>to Fund Project on Occupational Licensing Review and Portability</w:t>
      </w:r>
      <w:r w:rsidR="00836B20">
        <w:rPr>
          <w:rFonts w:ascii="Times New Roman" w:eastAsia="Times New Roman" w:hAnsi="Times New Roman" w:cs="Times New Roman"/>
          <w:color w:val="000000"/>
          <w:sz w:val="24"/>
        </w:rPr>
        <w:t>.</w:t>
      </w:r>
    </w:p>
    <w:p w:rsidR="00836B20" w:rsidRDefault="00836B20" w:rsidP="00471D5F">
      <w:pPr>
        <w:spacing w:after="0" w:line="240" w:lineRule="auto"/>
        <w:rPr>
          <w:rFonts w:ascii="Times New Roman" w:eastAsia="Times New Roman" w:hAnsi="Times New Roman" w:cs="Times New Roman"/>
          <w:color w:val="000000"/>
          <w:sz w:val="24"/>
        </w:rPr>
      </w:pPr>
    </w:p>
    <w:p w:rsidR="00836B20" w:rsidRPr="00836B20" w:rsidRDefault="00836B20" w:rsidP="00836B20">
      <w:pPr>
        <w:spacing w:after="0" w:line="240" w:lineRule="auto"/>
        <w:rPr>
          <w:rFonts w:ascii="Times New Roman" w:eastAsia="Times New Roman" w:hAnsi="Times New Roman" w:cs="Times New Roman"/>
          <w:sz w:val="24"/>
          <w:szCs w:val="24"/>
        </w:rPr>
      </w:pPr>
      <w:r w:rsidRPr="00836B20">
        <w:rPr>
          <w:rFonts w:ascii="Times New Roman" w:eastAsia="Times New Roman" w:hAnsi="Times New Roman" w:cs="Times New Roman"/>
          <w:sz w:val="24"/>
          <w:szCs w:val="24"/>
        </w:rPr>
        <w:t>The Employment and Training Administration (ETA) intends to award up to a total of $7,500,000 to one or a few national or regional organizations that will establish consortia of states to design and implement strategies that enhance the portability of occupational licenses and to otherwise reduce overly burdensome restrictions.  These funds are authorized in paragraph (6) under the heading “State Unemployment Insurance and Employment Services Operations” in Title I of Division H of the Consolidated Appropriations Act, 2016, as further explained in the Explanatory Statement of the Consolidated Appropriations Act, 2016, 161 Cong. Rec. H. 10281 (Dec. 17, 2015).</w:t>
      </w:r>
    </w:p>
    <w:p w:rsidR="00836B20" w:rsidRPr="00836B20" w:rsidRDefault="00836B20" w:rsidP="00836B20">
      <w:pPr>
        <w:spacing w:after="0" w:line="240" w:lineRule="auto"/>
        <w:rPr>
          <w:rFonts w:ascii="Times New Roman" w:eastAsia="Times New Roman" w:hAnsi="Times New Roman" w:cs="Times New Roman"/>
          <w:sz w:val="24"/>
          <w:szCs w:val="24"/>
        </w:rPr>
      </w:pPr>
    </w:p>
    <w:p w:rsidR="00836B20" w:rsidRPr="00836B20" w:rsidRDefault="00836B20" w:rsidP="00836B20">
      <w:pPr>
        <w:spacing w:after="0" w:line="240" w:lineRule="auto"/>
        <w:rPr>
          <w:rFonts w:ascii="Times New Roman" w:eastAsia="Times New Roman" w:hAnsi="Times New Roman" w:cs="Times New Roman"/>
          <w:sz w:val="24"/>
          <w:szCs w:val="24"/>
        </w:rPr>
      </w:pPr>
      <w:proofErr w:type="gramStart"/>
      <w:r w:rsidRPr="00836B20">
        <w:rPr>
          <w:rFonts w:ascii="Times New Roman" w:eastAsia="Times New Roman" w:hAnsi="Times New Roman" w:cs="Times New Roman"/>
          <w:sz w:val="24"/>
          <w:szCs w:val="24"/>
        </w:rPr>
        <w:t>When designed and implemented carefully, licensing can offer important health and safety protections to consumers, as well as benefits to workers.</w:t>
      </w:r>
      <w:proofErr w:type="gramEnd"/>
      <w:r w:rsidRPr="00836B20">
        <w:rPr>
          <w:rFonts w:ascii="Times New Roman" w:eastAsia="Times New Roman" w:hAnsi="Times New Roman" w:cs="Times New Roman"/>
          <w:sz w:val="24"/>
          <w:szCs w:val="24"/>
        </w:rPr>
        <w:t xml:space="preserve">  However, the current licensing landscape in the United States also creates substantial costs; and often the requirements for obtaining a license are not well aligned with the skills needed for the job. </w:t>
      </w:r>
    </w:p>
    <w:p w:rsidR="00836B20" w:rsidRPr="00836B20" w:rsidRDefault="00836B20" w:rsidP="00836B20">
      <w:pPr>
        <w:spacing w:after="0" w:line="240" w:lineRule="auto"/>
        <w:rPr>
          <w:rFonts w:ascii="Times New Roman" w:eastAsia="Times New Roman" w:hAnsi="Times New Roman" w:cs="Times New Roman"/>
          <w:sz w:val="24"/>
          <w:szCs w:val="24"/>
        </w:rPr>
      </w:pPr>
    </w:p>
    <w:p w:rsidR="00836B20" w:rsidRPr="00836B20" w:rsidRDefault="00836B20" w:rsidP="00836B20">
      <w:pPr>
        <w:spacing w:after="0" w:line="240" w:lineRule="auto"/>
        <w:rPr>
          <w:rFonts w:ascii="Times New Roman" w:eastAsia="Times New Roman" w:hAnsi="Times New Roman" w:cs="Times New Roman"/>
          <w:sz w:val="24"/>
          <w:szCs w:val="24"/>
        </w:rPr>
      </w:pPr>
      <w:r w:rsidRPr="00836B20">
        <w:rPr>
          <w:rFonts w:ascii="Times New Roman" w:eastAsia="Times New Roman" w:hAnsi="Times New Roman" w:cs="Times New Roman"/>
          <w:sz w:val="24"/>
          <w:szCs w:val="24"/>
        </w:rPr>
        <w:t xml:space="preserve">Selected organizations will work with states in the established consortia to review and analyze occupational licensing requirements and develop recommendations to make progress toward two main objectives: 1) identifying licensing criteria to ensure that existing and new licensing requirements are not overly broad or burdensome and that they do not create unnecessary barriers to labor market entry; 2) improving portability and reciprocity provisions for selected occupational licenses across state lines.  Alternatives to current licensing approaches that may be considered include:  streamlining administrative procedures for applying for licenses; recognizing prior learning from education or experience obtained either in another state, from the U.S. military or in another country; the formation of interstate reciprocity agreements; unilateral recognition of out-of-state licenses; harmonization of licensing requirements across states; or the development of accelerated pathways to licensure for workers moving across states. </w:t>
      </w:r>
    </w:p>
    <w:p w:rsidR="00836B20" w:rsidRPr="00836B20" w:rsidRDefault="00836B20" w:rsidP="00471D5F">
      <w:pPr>
        <w:spacing w:after="0" w:line="240" w:lineRule="auto"/>
        <w:rPr>
          <w:rFonts w:ascii="Times New Roman" w:eastAsia="Times New Roman" w:hAnsi="Times New Roman" w:cs="Times New Roman"/>
          <w:sz w:val="24"/>
          <w:szCs w:val="24"/>
        </w:rPr>
      </w:pPr>
    </w:p>
    <w:p w:rsidR="003B4E9E" w:rsidRPr="00C97D02" w:rsidRDefault="003B4E9E"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w:t>
      </w:r>
      <w:r w:rsidR="00836B20">
        <w:rPr>
          <w:rFonts w:ascii="Times New Roman" w:eastAsia="Times New Roman" w:hAnsi="Times New Roman" w:cs="Times New Roman"/>
          <w:sz w:val="24"/>
          <w:szCs w:val="24"/>
        </w:rPr>
        <w:t xml:space="preserve">Letter of Interest </w:t>
      </w:r>
      <w:r w:rsidRPr="00C97D02">
        <w:rPr>
          <w:rFonts w:ascii="Times New Roman" w:eastAsia="Times New Roman" w:hAnsi="Times New Roman" w:cs="Times New Roman"/>
          <w:sz w:val="24"/>
          <w:szCs w:val="24"/>
        </w:rPr>
        <w:t xml:space="preserve">Project Narrative, and 4) Attachments to the Project Narrative.  </w:t>
      </w:r>
    </w:p>
    <w:bookmarkEnd w:id="0"/>
    <w:bookmarkEnd w:id="1"/>
    <w:bookmarkEnd w:id="2"/>
    <w:bookmarkEnd w:id="3"/>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 xml:space="preserve">This </w:t>
      </w:r>
      <w:r w:rsidR="005866BE">
        <w:rPr>
          <w:rFonts w:ascii="Times New Roman" w:eastAsia="Times New Roman" w:hAnsi="Times New Roman" w:cs="BookAntiqua"/>
          <w:color w:val="000000"/>
          <w:sz w:val="24"/>
          <w:szCs w:val="24"/>
        </w:rPr>
        <w:t>NOI</w:t>
      </w:r>
      <w:r w:rsidRPr="00C97D02">
        <w:rPr>
          <w:rFonts w:ascii="Times New Roman" w:eastAsia="Times New Roman" w:hAnsi="Times New Roman" w:cs="BookAntiqua"/>
          <w:color w:val="000000"/>
          <w:sz w:val="24"/>
          <w:szCs w:val="24"/>
        </w:rPr>
        <w:t xml:space="preserve">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E00F02">
        <w:rPr>
          <w:rFonts w:ascii="Times New Roman" w:eastAsia="Calibri" w:hAnsi="Times New Roman" w:cs="Times New Roman"/>
          <w:color w:val="000000"/>
          <w:sz w:val="24"/>
          <w:szCs w:val="24"/>
        </w:rPr>
        <w:t>10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E00F02"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10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200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416BD2" w:rsidRDefault="00416BD2" w:rsidP="00C97D02">
      <w:pPr>
        <w:spacing w:after="0" w:line="240" w:lineRule="auto"/>
        <w:rPr>
          <w:rFonts w:ascii="Times New Roman" w:eastAsia="Calibri" w:hAnsi="Times New Roman" w:cs="Times New Roman"/>
          <w:color w:val="000000"/>
          <w:sz w:val="24"/>
          <w:szCs w:val="24"/>
        </w:rPr>
      </w:pPr>
      <w:r w:rsidRPr="00416BD2">
        <w:rPr>
          <w:rFonts w:ascii="Times New Roman" w:eastAsia="Calibri" w:hAnsi="Times New Roman" w:cs="Times New Roman"/>
          <w:color w:val="000000"/>
          <w:sz w:val="24"/>
          <w:szCs w:val="24"/>
        </w:rPr>
        <w:t xml:space="preserve">The DOL </w:t>
      </w:r>
      <w:r>
        <w:rPr>
          <w:rFonts w:ascii="Times New Roman" w:eastAsia="Calibri" w:hAnsi="Times New Roman" w:cs="Times New Roman"/>
          <w:color w:val="000000"/>
          <w:sz w:val="24"/>
          <w:szCs w:val="24"/>
        </w:rPr>
        <w:t xml:space="preserve">is using the May 2016 </w:t>
      </w:r>
      <w:r w:rsidRPr="00416BD2">
        <w:rPr>
          <w:rFonts w:ascii="Times New Roman" w:eastAsia="Calibri" w:hAnsi="Times New Roman" w:cs="Times New Roman"/>
          <w:color w:val="000000"/>
          <w:sz w:val="24"/>
          <w:szCs w:val="24"/>
        </w:rPr>
        <w:t>hourly earnings in the professional and business services industry</w:t>
      </w:r>
      <w:r>
        <w:rPr>
          <w:rFonts w:ascii="Times New Roman" w:eastAsia="Calibri" w:hAnsi="Times New Roman" w:cs="Times New Roman"/>
          <w:color w:val="000000"/>
          <w:sz w:val="24"/>
          <w:szCs w:val="24"/>
        </w:rPr>
        <w:t xml:space="preserve"> category, </w:t>
      </w:r>
      <w:r w:rsidRPr="00416BD2">
        <w:rPr>
          <w:rFonts w:ascii="Times New Roman" w:eastAsia="Calibri" w:hAnsi="Times New Roman" w:cs="Times New Roman"/>
          <w:color w:val="000000"/>
          <w:sz w:val="24"/>
          <w:szCs w:val="24"/>
        </w:rPr>
        <w:t xml:space="preserve">$30.56 per </w:t>
      </w:r>
      <w:proofErr w:type="gramStart"/>
      <w:r w:rsidRPr="00416BD2">
        <w:rPr>
          <w:rFonts w:ascii="Times New Roman" w:eastAsia="Calibri" w:hAnsi="Times New Roman" w:cs="Times New Roman"/>
          <w:color w:val="000000"/>
          <w:sz w:val="24"/>
          <w:szCs w:val="24"/>
        </w:rPr>
        <w:t xml:space="preserve">hour </w:t>
      </w:r>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r w:rsidRPr="00416BD2">
        <w:rPr>
          <w:rFonts w:ascii="Times New Roman" w:eastAsia="Calibri" w:hAnsi="Times New Roman" w:cs="Times New Roman"/>
          <w:color w:val="000000"/>
          <w:sz w:val="24"/>
          <w:szCs w:val="24"/>
        </w:rPr>
        <w:t xml:space="preserve">to </w:t>
      </w:r>
      <w:r>
        <w:rPr>
          <w:rFonts w:ascii="Times New Roman" w:eastAsia="Calibri" w:hAnsi="Times New Roman" w:cs="Times New Roman"/>
          <w:color w:val="000000"/>
          <w:sz w:val="24"/>
          <w:szCs w:val="24"/>
        </w:rPr>
        <w:t>calculate the respondent cost of this request.</w:t>
      </w:r>
      <w:r w:rsidRPr="00416BD2">
        <w:rPr>
          <w:rFonts w:ascii="Times New Roman" w:eastAsia="Calibri" w:hAnsi="Times New Roman" w:cs="Times New Roman"/>
          <w:color w:val="000000"/>
          <w:sz w:val="24"/>
          <w:szCs w:val="24"/>
        </w:rPr>
        <w:t xml:space="preserve">  See </w:t>
      </w:r>
      <w:r w:rsidRPr="00416BD2">
        <w:rPr>
          <w:rFonts w:ascii="Times New Roman" w:eastAsia="Calibri" w:hAnsi="Times New Roman" w:cs="Times New Roman"/>
          <w:i/>
          <w:color w:val="000000"/>
          <w:sz w:val="24"/>
          <w:szCs w:val="24"/>
        </w:rPr>
        <w:t>The Employment Situation—May 2016, DOL</w:t>
      </w:r>
      <w:r w:rsidRPr="00416BD2">
        <w:rPr>
          <w:rFonts w:ascii="Times New Roman" w:eastAsia="Calibri" w:hAnsi="Times New Roman" w:cs="Times New Roman"/>
          <w:color w:val="000000"/>
          <w:sz w:val="24"/>
          <w:szCs w:val="24"/>
        </w:rPr>
        <w:t xml:space="preserve">, Bureau of Labor Statistics, </w:t>
      </w:r>
      <w:hyperlink r:id="rId8" w:history="1">
        <w:r w:rsidRPr="00416A83">
          <w:rPr>
            <w:rStyle w:val="Hyperlink"/>
            <w:rFonts w:ascii="Times New Roman" w:eastAsia="Calibri" w:hAnsi="Times New Roman" w:cs="Times New Roman"/>
            <w:sz w:val="24"/>
            <w:szCs w:val="24"/>
          </w:rPr>
          <w:t>http://www.bls.gov/news.release/archives/em</w:t>
        </w:r>
        <w:r w:rsidRPr="00416A83">
          <w:rPr>
            <w:rStyle w:val="Hyperlink"/>
            <w:rFonts w:ascii="Times New Roman" w:eastAsia="Calibri" w:hAnsi="Times New Roman" w:cs="Times New Roman"/>
            <w:sz w:val="24"/>
            <w:szCs w:val="24"/>
          </w:rPr>
          <w:t>p</w:t>
        </w:r>
        <w:r w:rsidRPr="00416A83">
          <w:rPr>
            <w:rStyle w:val="Hyperlink"/>
            <w:rFonts w:ascii="Times New Roman" w:eastAsia="Calibri" w:hAnsi="Times New Roman" w:cs="Times New Roman"/>
            <w:sz w:val="24"/>
            <w:szCs w:val="24"/>
          </w:rPr>
          <w:t>sit_06032016.pdf</w:t>
        </w:r>
      </w:hyperlink>
      <w:r w:rsidRPr="00416BD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w:t>
      </w:r>
      <w:r w:rsidRPr="00416BD2">
        <w:rPr>
          <w:rFonts w:ascii="Times New Roman" w:eastAsia="Calibri" w:hAnsi="Times New Roman" w:cs="Times New Roman"/>
          <w:color w:val="000000"/>
          <w:sz w:val="24"/>
          <w:szCs w:val="24"/>
        </w:rPr>
        <w:t>t page 33.</w:t>
      </w:r>
    </w:p>
    <w:p w:rsidR="00416BD2" w:rsidRPr="00C97D02" w:rsidRDefault="00416BD2" w:rsidP="00C97D02">
      <w:pPr>
        <w:spacing w:after="0" w:line="240" w:lineRule="auto"/>
        <w:rPr>
          <w:rFonts w:ascii="Times New Roman" w:eastAsia="Calibri" w:hAnsi="Times New Roman" w:cs="Times New Roman"/>
          <w:color w:val="000000"/>
          <w:sz w:val="24"/>
          <w:szCs w:val="24"/>
        </w:rPr>
      </w:pPr>
    </w:p>
    <w:p w:rsidR="00C97D02" w:rsidRPr="00C97D02" w:rsidRDefault="00E00F02" w:rsidP="00C97D02">
      <w:pPr>
        <w:spacing w:after="0" w:line="240" w:lineRule="auto"/>
        <w:rPr>
          <w:rFonts w:ascii="Times New Roman" w:eastAsia="Calibri" w:hAnsi="Times New Roman" w:cs="Times New Roman"/>
          <w:color w:val="000000"/>
          <w:sz w:val="24"/>
          <w:szCs w:val="24"/>
        </w:rPr>
      </w:pPr>
      <w:bookmarkStart w:id="4" w:name="_GoBack"/>
      <w:bookmarkEnd w:id="4"/>
      <w:r>
        <w:rPr>
          <w:rFonts w:ascii="Times New Roman" w:eastAsia="Calibri" w:hAnsi="Times New Roman" w:cs="Times New Roman"/>
          <w:color w:val="000000"/>
          <w:sz w:val="24"/>
          <w:szCs w:val="24"/>
        </w:rPr>
        <w:t>200</w:t>
      </w:r>
      <w:r w:rsidR="00C97D02" w:rsidRPr="00C97D02">
        <w:rPr>
          <w:rFonts w:ascii="Times New Roman" w:eastAsia="Calibri" w:hAnsi="Times New Roman" w:cs="Times New Roman"/>
          <w:color w:val="000000"/>
          <w:sz w:val="24"/>
          <w:szCs w:val="24"/>
        </w:rPr>
        <w:t xml:space="preserve"> hours x $</w:t>
      </w:r>
      <w:r w:rsidR="00416BD2">
        <w:rPr>
          <w:rFonts w:ascii="Times New Roman" w:eastAsia="Calibri" w:hAnsi="Times New Roman" w:cs="Times New Roman"/>
          <w:color w:val="000000"/>
          <w:sz w:val="24"/>
          <w:szCs w:val="24"/>
        </w:rPr>
        <w:t>30.56</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sidR="00416BD2">
        <w:rPr>
          <w:rFonts w:ascii="Times New Roman" w:eastAsia="Calibri" w:hAnsi="Times New Roman" w:cs="Times New Roman"/>
          <w:color w:val="000000"/>
          <w:sz w:val="24"/>
          <w:szCs w:val="24"/>
        </w:rPr>
        <w:t>6,112.</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E00F02">
        <w:rPr>
          <w:rFonts w:ascii="Times New Roman" w:eastAsia="Times New Roman" w:hAnsi="Times New Roman" w:cs="Times New Roman"/>
          <w:i/>
          <w:color w:val="000000"/>
          <w:sz w:val="24"/>
          <w:szCs w:val="24"/>
        </w:rPr>
        <w:t>10</w:t>
      </w:r>
      <w:r w:rsidRPr="00C97D02">
        <w:rPr>
          <w:rFonts w:ascii="Times New Roman" w:eastAsia="Times New Roman" w:hAnsi="Times New Roman" w:cs="Times New Roman"/>
          <w:i/>
          <w:color w:val="000000"/>
          <w:sz w:val="24"/>
          <w:szCs w:val="24"/>
        </w:rPr>
        <w:t xml:space="preserve"> respondents,</w:t>
      </w:r>
      <w:r w:rsidR="00E00F02">
        <w:rPr>
          <w:rFonts w:ascii="Times New Roman" w:eastAsia="Times New Roman" w:hAnsi="Times New Roman" w:cs="Times New Roman"/>
          <w:i/>
          <w:color w:val="000000"/>
          <w:sz w:val="24"/>
          <w:szCs w:val="24"/>
        </w:rPr>
        <w:t xml:space="preserve"> 10</w:t>
      </w:r>
      <w:r w:rsidRPr="00C97D02">
        <w:rPr>
          <w:rFonts w:ascii="Times New Roman" w:eastAsia="Times New Roman" w:hAnsi="Times New Roman" w:cs="Times New Roman"/>
          <w:i/>
          <w:color w:val="000000"/>
          <w:sz w:val="24"/>
          <w:szCs w:val="24"/>
        </w:rPr>
        <w:t xml:space="preserve"> responses,</w:t>
      </w:r>
      <w:r w:rsidR="00E00F02">
        <w:rPr>
          <w:rFonts w:ascii="Times New Roman" w:eastAsia="Times New Roman" w:hAnsi="Times New Roman" w:cs="Times New Roman"/>
          <w:i/>
          <w:color w:val="000000"/>
          <w:sz w:val="24"/>
          <w:szCs w:val="24"/>
        </w:rPr>
        <w:t xml:space="preserve"> 200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Default="00C97D02" w:rsidP="00A86BFB">
      <w:pPr>
        <w:spacing w:after="0" w:line="240" w:lineRule="auto"/>
      </w:pPr>
      <w:r w:rsidRPr="00C97D02">
        <w:rPr>
          <w:rFonts w:ascii="Times New Roman" w:eastAsia="Times New Roman" w:hAnsi="Times New Roman" w:cs="BookAntiqua"/>
          <w:color w:val="000000"/>
          <w:sz w:val="24"/>
          <w:szCs w:val="24"/>
        </w:rPr>
        <w:t>This information collection does not employ statistical methods.</w:t>
      </w:r>
    </w:p>
    <w:sectPr w:rsidR="00033F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51" w:rsidRDefault="006B4A51" w:rsidP="00C97D02">
      <w:pPr>
        <w:spacing w:after="0" w:line="240" w:lineRule="auto"/>
      </w:pPr>
      <w:r>
        <w:separator/>
      </w:r>
    </w:p>
  </w:endnote>
  <w:endnote w:type="continuationSeparator" w:id="0">
    <w:p w:rsidR="006B4A51" w:rsidRDefault="006B4A51"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011014">
          <w:rPr>
            <w:noProof/>
          </w:rPr>
          <w:t>2</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51" w:rsidRDefault="006B4A51" w:rsidP="00C97D02">
      <w:pPr>
        <w:spacing w:after="0" w:line="240" w:lineRule="auto"/>
      </w:pPr>
      <w:r>
        <w:separator/>
      </w:r>
    </w:p>
  </w:footnote>
  <w:footnote w:type="continuationSeparator" w:id="0">
    <w:p w:rsidR="006B4A51" w:rsidRDefault="006B4A51"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11014"/>
    <w:rsid w:val="00025C36"/>
    <w:rsid w:val="000278E8"/>
    <w:rsid w:val="000306E2"/>
    <w:rsid w:val="00033FCA"/>
    <w:rsid w:val="00036333"/>
    <w:rsid w:val="00075A18"/>
    <w:rsid w:val="000A4A71"/>
    <w:rsid w:val="000C2781"/>
    <w:rsid w:val="000D0095"/>
    <w:rsid w:val="000D77F4"/>
    <w:rsid w:val="000E36A8"/>
    <w:rsid w:val="000E6452"/>
    <w:rsid w:val="001127D3"/>
    <w:rsid w:val="001142E2"/>
    <w:rsid w:val="001216F9"/>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77FE2"/>
    <w:rsid w:val="00280875"/>
    <w:rsid w:val="00282C52"/>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47EA2"/>
    <w:rsid w:val="00357969"/>
    <w:rsid w:val="003664FB"/>
    <w:rsid w:val="003719E6"/>
    <w:rsid w:val="003B4E9E"/>
    <w:rsid w:val="003B58AD"/>
    <w:rsid w:val="003C249A"/>
    <w:rsid w:val="0041166A"/>
    <w:rsid w:val="00413F86"/>
    <w:rsid w:val="00416BD2"/>
    <w:rsid w:val="0043347F"/>
    <w:rsid w:val="00471D5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47052"/>
    <w:rsid w:val="0056684F"/>
    <w:rsid w:val="005866BE"/>
    <w:rsid w:val="00587656"/>
    <w:rsid w:val="005934FD"/>
    <w:rsid w:val="005A34DF"/>
    <w:rsid w:val="005B3BCB"/>
    <w:rsid w:val="005B667B"/>
    <w:rsid w:val="005C4DA7"/>
    <w:rsid w:val="005E1A27"/>
    <w:rsid w:val="005E3012"/>
    <w:rsid w:val="005E6A31"/>
    <w:rsid w:val="005E79E9"/>
    <w:rsid w:val="005F078E"/>
    <w:rsid w:val="005F42D6"/>
    <w:rsid w:val="00624753"/>
    <w:rsid w:val="00626D51"/>
    <w:rsid w:val="00633991"/>
    <w:rsid w:val="00655DEC"/>
    <w:rsid w:val="00661610"/>
    <w:rsid w:val="00664A39"/>
    <w:rsid w:val="00665A0C"/>
    <w:rsid w:val="006808AA"/>
    <w:rsid w:val="0068481D"/>
    <w:rsid w:val="006934C7"/>
    <w:rsid w:val="006A6570"/>
    <w:rsid w:val="006B4A51"/>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7F6EF0"/>
    <w:rsid w:val="00804B47"/>
    <w:rsid w:val="00810904"/>
    <w:rsid w:val="008218BF"/>
    <w:rsid w:val="008315E9"/>
    <w:rsid w:val="00834C46"/>
    <w:rsid w:val="00836B20"/>
    <w:rsid w:val="00851DB7"/>
    <w:rsid w:val="00851FB8"/>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C31A7"/>
    <w:rsid w:val="009F00EE"/>
    <w:rsid w:val="00A02531"/>
    <w:rsid w:val="00A10EFD"/>
    <w:rsid w:val="00A249EF"/>
    <w:rsid w:val="00A50716"/>
    <w:rsid w:val="00A53500"/>
    <w:rsid w:val="00A55AFF"/>
    <w:rsid w:val="00A63065"/>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B0424"/>
    <w:rsid w:val="00BC0E37"/>
    <w:rsid w:val="00BC0F38"/>
    <w:rsid w:val="00BE01D1"/>
    <w:rsid w:val="00BE355C"/>
    <w:rsid w:val="00BF0768"/>
    <w:rsid w:val="00BF4378"/>
    <w:rsid w:val="00BF792F"/>
    <w:rsid w:val="00C048EC"/>
    <w:rsid w:val="00C11B68"/>
    <w:rsid w:val="00C34505"/>
    <w:rsid w:val="00C54AA8"/>
    <w:rsid w:val="00C56380"/>
    <w:rsid w:val="00C57116"/>
    <w:rsid w:val="00C80CCE"/>
    <w:rsid w:val="00C93CEB"/>
    <w:rsid w:val="00C97D02"/>
    <w:rsid w:val="00CA586F"/>
    <w:rsid w:val="00CD079A"/>
    <w:rsid w:val="00CD6CE4"/>
    <w:rsid w:val="00CF7E6B"/>
    <w:rsid w:val="00D07AF1"/>
    <w:rsid w:val="00D107B1"/>
    <w:rsid w:val="00D33C49"/>
    <w:rsid w:val="00D35E0E"/>
    <w:rsid w:val="00D47F8F"/>
    <w:rsid w:val="00D521FD"/>
    <w:rsid w:val="00D62192"/>
    <w:rsid w:val="00D623D4"/>
    <w:rsid w:val="00D70C6D"/>
    <w:rsid w:val="00D71F8F"/>
    <w:rsid w:val="00D94816"/>
    <w:rsid w:val="00DA7C6B"/>
    <w:rsid w:val="00DC095D"/>
    <w:rsid w:val="00DC1648"/>
    <w:rsid w:val="00DD7F4D"/>
    <w:rsid w:val="00E00F02"/>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1BFF"/>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347E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347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320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Perryman, Seleda M - OASAM OCIO</cp:lastModifiedBy>
  <cp:revision>3</cp:revision>
  <dcterms:created xsi:type="dcterms:W3CDTF">2016-06-17T23:21:00Z</dcterms:created>
  <dcterms:modified xsi:type="dcterms:W3CDTF">2016-06-17T23:21:00Z</dcterms:modified>
</cp:coreProperties>
</file>