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bookmarkStart w:id="0" w:name="_GoBack"/>
      <w:bookmarkEnd w:id="0"/>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5E79E9" w:rsidRDefault="00547052"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Reentry Demonstration Projects for Young Adults</w:t>
      </w: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51557A" w:rsidRPr="00304BFE" w:rsidRDefault="00C97D02" w:rsidP="00304BFE">
      <w:pPr>
        <w:pStyle w:val="Footer"/>
        <w:tabs>
          <w:tab w:val="clear" w:pos="4680"/>
          <w:tab w:val="clear" w:pos="9360"/>
        </w:tabs>
        <w:rPr>
          <w:rFonts w:ascii="Times New Roman" w:hAnsi="Times New Roman" w:cs="Times New Roman"/>
          <w:sz w:val="24"/>
          <w:szCs w:val="24"/>
        </w:rPr>
      </w:pPr>
      <w:bookmarkStart w:id="1" w:name="_Toc207778202"/>
      <w:bookmarkStart w:id="2" w:name="_Toc208654602"/>
      <w:bookmarkStart w:id="3" w:name="_Toc228885476"/>
      <w:bookmarkStart w:id="4" w:name="_Toc229889134"/>
      <w:r w:rsidRPr="00304BFE">
        <w:rPr>
          <w:rFonts w:ascii="Times New Roman" w:hAnsi="Times New Roman" w:cs="Times New Roman"/>
          <w:sz w:val="24"/>
          <w:szCs w:val="24"/>
        </w:rPr>
        <w:t xml:space="preserve">This request seeks OMB approval under the Paperwork Reduction Act for the unique information collection requirements in the </w:t>
      </w:r>
      <w:r w:rsidR="00547052" w:rsidRPr="00304BFE">
        <w:rPr>
          <w:rFonts w:ascii="Times New Roman" w:hAnsi="Times New Roman" w:cs="Times New Roman"/>
          <w:sz w:val="24"/>
          <w:szCs w:val="24"/>
        </w:rPr>
        <w:t>Reentry Demonstration Projects for Young Adults</w:t>
      </w:r>
      <w:r w:rsidR="00471D5F" w:rsidRPr="00304BFE">
        <w:rPr>
          <w:rFonts w:ascii="Times New Roman" w:hAnsi="Times New Roman" w:cs="Times New Roman"/>
          <w:sz w:val="24"/>
          <w:szCs w:val="24"/>
        </w:rPr>
        <w:t xml:space="preserve"> </w:t>
      </w:r>
      <w:r w:rsidRPr="00304BFE">
        <w:rPr>
          <w:rFonts w:ascii="Times New Roman" w:hAnsi="Times New Roman" w:cs="Times New Roman"/>
          <w:sz w:val="24"/>
          <w:szCs w:val="24"/>
        </w:rPr>
        <w:t xml:space="preserve">Funding Opportunity Announcement (FOA). The Employment and Training Administration (ETA), U.S. Department of Labor (DOL), </w:t>
      </w:r>
      <w:r w:rsidR="00662BBA" w:rsidRPr="00304BFE">
        <w:rPr>
          <w:rFonts w:ascii="Times New Roman" w:hAnsi="Times New Roman" w:cs="Times New Roman"/>
          <w:sz w:val="24"/>
          <w:szCs w:val="24"/>
        </w:rPr>
        <w:t xml:space="preserve">will </w:t>
      </w:r>
      <w:r w:rsidRPr="00304BFE">
        <w:rPr>
          <w:rFonts w:ascii="Times New Roman" w:hAnsi="Times New Roman" w:cs="Times New Roman"/>
          <w:sz w:val="24"/>
          <w:szCs w:val="24"/>
        </w:rPr>
        <w:t xml:space="preserve">announce the availability of </w:t>
      </w:r>
      <w:r w:rsidR="000278E8" w:rsidRPr="00304BFE">
        <w:rPr>
          <w:rFonts w:ascii="Times New Roman" w:hAnsi="Times New Roman" w:cs="Times New Roman"/>
          <w:sz w:val="24"/>
          <w:szCs w:val="24"/>
        </w:rPr>
        <w:t>approximately</w:t>
      </w:r>
      <w:r w:rsidR="00C56380" w:rsidRPr="00304BFE">
        <w:rPr>
          <w:rFonts w:ascii="Times New Roman" w:hAnsi="Times New Roman" w:cs="Times New Roman"/>
          <w:sz w:val="24"/>
          <w:szCs w:val="24"/>
        </w:rPr>
        <w:t xml:space="preserve"> </w:t>
      </w:r>
      <w:r w:rsidR="00C93CEB" w:rsidRPr="00304BFE">
        <w:rPr>
          <w:rFonts w:ascii="Times New Roman" w:hAnsi="Times New Roman" w:cs="Times New Roman"/>
          <w:sz w:val="24"/>
          <w:szCs w:val="24"/>
        </w:rPr>
        <w:t>$30,250,000 in grant funds authorized by the Workforce Innovation and Opportunity Act (WIOA</w:t>
      </w:r>
      <w:r w:rsidR="00EF1BFF" w:rsidRPr="00304BFE">
        <w:rPr>
          <w:rFonts w:ascii="Times New Roman" w:hAnsi="Times New Roman" w:cs="Times New Roman"/>
          <w:sz w:val="24"/>
          <w:szCs w:val="24"/>
        </w:rPr>
        <w:t xml:space="preserve">) to prevent and reduce crime and enhance young adult reentry strategies through collaboration with the field to identify, define, and respond to emerging or chronic youthful offender reentry challenges and issues. </w:t>
      </w:r>
      <w:r w:rsidR="00304BFE">
        <w:rPr>
          <w:rFonts w:ascii="Times New Roman" w:hAnsi="Times New Roman" w:cs="Times New Roman"/>
          <w:sz w:val="24"/>
          <w:szCs w:val="24"/>
        </w:rPr>
        <w:t xml:space="preserve">The </w:t>
      </w:r>
      <w:r w:rsidR="00EF1BFF" w:rsidRPr="00304BFE">
        <w:rPr>
          <w:rFonts w:ascii="Times New Roman" w:hAnsi="Times New Roman" w:cs="Times New Roman"/>
          <w:sz w:val="24"/>
          <w:szCs w:val="24"/>
        </w:rPr>
        <w:t>ETA is seeking proposed strategies to address these issues, including trying new approaches, addressing gaps in services, building or translating research knowledge, or building capacity</w:t>
      </w:r>
    </w:p>
    <w:p w:rsidR="00471D5F" w:rsidRPr="00C43A37" w:rsidRDefault="00471D5F" w:rsidP="00471D5F">
      <w:pPr>
        <w:spacing w:after="0" w:line="240" w:lineRule="auto"/>
        <w:rPr>
          <w:rFonts w:ascii="Times New Roman" w:hAnsi="Times New Roman" w:cs="Times New Roman"/>
          <w:color w:val="000000" w:themeColor="text1"/>
          <w:sz w:val="24"/>
          <w:szCs w:val="24"/>
        </w:rPr>
      </w:pPr>
    </w:p>
    <w:p w:rsidR="002B6BCF" w:rsidRPr="00C43A37" w:rsidRDefault="00EF1BFF" w:rsidP="0051557A">
      <w:pPr>
        <w:spacing w:after="0" w:line="240" w:lineRule="auto"/>
        <w:rPr>
          <w:rFonts w:ascii="Times New Roman" w:hAnsi="Times New Roman" w:cs="Times New Roman"/>
          <w:color w:val="000000" w:themeColor="text1"/>
          <w:sz w:val="24"/>
          <w:szCs w:val="24"/>
        </w:rPr>
      </w:pPr>
      <w:r w:rsidRPr="00C43A37">
        <w:rPr>
          <w:rFonts w:ascii="Times New Roman" w:hAnsi="Times New Roman" w:cs="Times New Roman"/>
          <w:color w:val="000000" w:themeColor="text1"/>
          <w:sz w:val="24"/>
          <w:szCs w:val="24"/>
        </w:rPr>
        <w:t>This FOA provides the opportunity for organizations to build a customized project built on evidence-based and informed interventions. These projects will serve male and female young adults between the ages of 18 to 24 who have been involved in the adult justice system or were previously involved in the juvenile justice system and reside in high-poverty, high-crime communities</w:t>
      </w:r>
      <w:r w:rsidR="00471D5F" w:rsidRPr="00C43A37">
        <w:rPr>
          <w:rFonts w:ascii="Times New Roman" w:hAnsi="Times New Roman" w:cs="Times New Roman"/>
          <w:color w:val="000000" w:themeColor="text1"/>
          <w:sz w:val="24"/>
          <w:szCs w:val="24"/>
        </w:rPr>
        <w:t>.</w:t>
      </w:r>
      <w:r w:rsidR="002B6BCF" w:rsidRPr="00C43A37">
        <w:rPr>
          <w:rFonts w:ascii="Times New Roman" w:hAnsi="Times New Roman" w:cs="Times New Roman"/>
          <w:color w:val="000000" w:themeColor="text1"/>
          <w:sz w:val="24"/>
          <w:szCs w:val="24"/>
        </w:rPr>
        <w:t xml:space="preserve">  </w:t>
      </w:r>
    </w:p>
    <w:p w:rsidR="0041166A" w:rsidRPr="00C43A37" w:rsidRDefault="0041166A" w:rsidP="0051557A">
      <w:pPr>
        <w:spacing w:after="0" w:line="240" w:lineRule="auto"/>
        <w:rPr>
          <w:rFonts w:ascii="Times New Roman" w:hAnsi="Times New Roman" w:cs="Times New Roman"/>
          <w:color w:val="000000" w:themeColor="text1"/>
          <w:sz w:val="24"/>
          <w:szCs w:val="24"/>
        </w:rPr>
      </w:pPr>
    </w:p>
    <w:p w:rsidR="00285E2D" w:rsidRPr="00C43A37" w:rsidRDefault="00662BBA" w:rsidP="00C97D02">
      <w:pPr>
        <w:spacing w:after="0" w:line="240" w:lineRule="auto"/>
        <w:rPr>
          <w:rFonts w:ascii="Times New Roman" w:hAnsi="Times New Roman" w:cs="Times New Roman"/>
          <w:color w:val="000000" w:themeColor="text1"/>
          <w:sz w:val="24"/>
          <w:szCs w:val="24"/>
        </w:rPr>
      </w:pPr>
      <w:r w:rsidRPr="00C43A37">
        <w:rPr>
          <w:rFonts w:ascii="Times New Roman" w:hAnsi="Times New Roman" w:cs="Times New Roman"/>
          <w:color w:val="000000" w:themeColor="text1"/>
          <w:sz w:val="24"/>
          <w:szCs w:val="24"/>
        </w:rPr>
        <w:t xml:space="preserve">The DOL </w:t>
      </w:r>
      <w:r w:rsidR="0051557A" w:rsidRPr="00C43A37">
        <w:rPr>
          <w:rFonts w:ascii="Times New Roman" w:hAnsi="Times New Roman" w:cs="Times New Roman"/>
          <w:color w:val="000000" w:themeColor="text1"/>
          <w:sz w:val="24"/>
          <w:szCs w:val="24"/>
        </w:rPr>
        <w:t>expect</w:t>
      </w:r>
      <w:r w:rsidRPr="00C43A37">
        <w:rPr>
          <w:rFonts w:ascii="Times New Roman" w:hAnsi="Times New Roman" w:cs="Times New Roman"/>
          <w:color w:val="000000" w:themeColor="text1"/>
          <w:sz w:val="24"/>
          <w:szCs w:val="24"/>
        </w:rPr>
        <w:t>s</w:t>
      </w:r>
      <w:r w:rsidR="0051557A" w:rsidRPr="00C43A37">
        <w:rPr>
          <w:rFonts w:ascii="Times New Roman" w:hAnsi="Times New Roman" w:cs="Times New Roman"/>
          <w:color w:val="000000" w:themeColor="text1"/>
          <w:sz w:val="24"/>
          <w:szCs w:val="24"/>
        </w:rPr>
        <w:t xml:space="preserve"> to </w:t>
      </w:r>
      <w:r w:rsidR="002E0740" w:rsidRPr="00C43A37">
        <w:rPr>
          <w:rFonts w:ascii="Times New Roman" w:hAnsi="Times New Roman" w:cs="Times New Roman"/>
          <w:color w:val="000000" w:themeColor="text1"/>
          <w:sz w:val="24"/>
          <w:szCs w:val="24"/>
        </w:rPr>
        <w:t>a</w:t>
      </w:r>
      <w:r w:rsidR="003B58AD" w:rsidRPr="00C43A37">
        <w:rPr>
          <w:rFonts w:ascii="Times New Roman" w:hAnsi="Times New Roman" w:cs="Times New Roman"/>
          <w:color w:val="000000" w:themeColor="text1"/>
          <w:sz w:val="24"/>
          <w:szCs w:val="24"/>
        </w:rPr>
        <w:t xml:space="preserve">ward </w:t>
      </w:r>
      <w:r w:rsidR="00D33C49" w:rsidRPr="00C43A37">
        <w:rPr>
          <w:rFonts w:ascii="Times New Roman" w:hAnsi="Times New Roman" w:cs="Times New Roman"/>
          <w:color w:val="000000" w:themeColor="text1"/>
          <w:sz w:val="24"/>
          <w:szCs w:val="24"/>
        </w:rPr>
        <w:t xml:space="preserve">approximately </w:t>
      </w:r>
      <w:r w:rsidR="00EF1BFF" w:rsidRPr="00C43A37">
        <w:rPr>
          <w:rFonts w:ascii="Times New Roman" w:hAnsi="Times New Roman" w:cs="Times New Roman"/>
          <w:color w:val="000000" w:themeColor="text1"/>
          <w:sz w:val="24"/>
          <w:szCs w:val="24"/>
        </w:rPr>
        <w:t>seven</w:t>
      </w:r>
      <w:r w:rsidR="00D33C49" w:rsidRPr="00C43A37">
        <w:rPr>
          <w:rFonts w:ascii="Times New Roman" w:hAnsi="Times New Roman" w:cs="Times New Roman"/>
          <w:color w:val="000000" w:themeColor="text1"/>
          <w:sz w:val="24"/>
          <w:szCs w:val="24"/>
        </w:rPr>
        <w:t xml:space="preserve"> grants of up to $</w:t>
      </w:r>
      <w:r w:rsidR="00EF1BFF" w:rsidRPr="00C43A37">
        <w:rPr>
          <w:rFonts w:ascii="Times New Roman" w:hAnsi="Times New Roman" w:cs="Times New Roman"/>
          <w:color w:val="000000" w:themeColor="text1"/>
          <w:sz w:val="24"/>
          <w:szCs w:val="24"/>
        </w:rPr>
        <w:t>4,</w:t>
      </w:r>
      <w:r w:rsidR="00D33C49" w:rsidRPr="00C43A37">
        <w:rPr>
          <w:rFonts w:ascii="Times New Roman" w:hAnsi="Times New Roman" w:cs="Times New Roman"/>
          <w:color w:val="000000" w:themeColor="text1"/>
          <w:sz w:val="24"/>
          <w:szCs w:val="24"/>
        </w:rPr>
        <w:t xml:space="preserve">500,000 each to </w:t>
      </w:r>
      <w:r w:rsidR="00EF1BFF" w:rsidRPr="00C43A37">
        <w:rPr>
          <w:rFonts w:ascii="Times New Roman" w:hAnsi="Times New Roman" w:cs="Times New Roman"/>
          <w:color w:val="000000" w:themeColor="text1"/>
          <w:sz w:val="24"/>
          <w:szCs w:val="24"/>
        </w:rPr>
        <w:t xml:space="preserve">either: 1) intermediary organizations that have an affiliate network or offices in at least three communities and across at least two states and that are community- or faith-based organizations with 501(c)(3) non-profit status (including women’s and minority organizations) or 2) any Indian and Native American entity eligible for grants under </w:t>
      </w:r>
      <w:r w:rsidRPr="00C43A37">
        <w:rPr>
          <w:rFonts w:ascii="Times New Roman" w:hAnsi="Times New Roman" w:cs="Times New Roman"/>
          <w:color w:val="000000" w:themeColor="text1"/>
          <w:sz w:val="24"/>
          <w:szCs w:val="24"/>
        </w:rPr>
        <w:t>WIOA s</w:t>
      </w:r>
      <w:r w:rsidR="00EF1BFF" w:rsidRPr="00C43A37">
        <w:rPr>
          <w:rFonts w:ascii="Times New Roman" w:hAnsi="Times New Roman" w:cs="Times New Roman"/>
          <w:color w:val="000000" w:themeColor="text1"/>
          <w:sz w:val="24"/>
          <w:szCs w:val="24"/>
        </w:rPr>
        <w:t>ection 166 that has a presence in at least three communities and across at least two states.</w:t>
      </w:r>
      <w:r w:rsidR="00D33C49" w:rsidRPr="00C43A37">
        <w:rPr>
          <w:rFonts w:ascii="Times New Roman" w:hAnsi="Times New Roman" w:cs="Times New Roman"/>
          <w:color w:val="000000" w:themeColor="text1"/>
          <w:sz w:val="24"/>
          <w:szCs w:val="24"/>
        </w:rPr>
        <w:t xml:space="preserve"> </w:t>
      </w:r>
      <w:r w:rsidRPr="00C43A37">
        <w:rPr>
          <w:rFonts w:ascii="Times New Roman" w:hAnsi="Times New Roman" w:cs="Times New Roman"/>
          <w:color w:val="000000" w:themeColor="text1"/>
          <w:sz w:val="24"/>
          <w:szCs w:val="24"/>
        </w:rPr>
        <w:t>The</w:t>
      </w:r>
      <w:r w:rsidR="00D33C49" w:rsidRPr="00C43A37">
        <w:rPr>
          <w:rFonts w:ascii="Times New Roman" w:hAnsi="Times New Roman" w:cs="Times New Roman"/>
          <w:color w:val="000000" w:themeColor="text1"/>
          <w:sz w:val="24"/>
          <w:szCs w:val="24"/>
        </w:rPr>
        <w:t xml:space="preserve"> </w:t>
      </w:r>
      <w:r w:rsidR="00EF1BFF" w:rsidRPr="00C43A37">
        <w:rPr>
          <w:rFonts w:ascii="Times New Roman" w:hAnsi="Times New Roman" w:cs="Times New Roman"/>
          <w:color w:val="000000" w:themeColor="text1"/>
          <w:sz w:val="24"/>
          <w:szCs w:val="24"/>
        </w:rPr>
        <w:t>DOL intends to award these grants to a combination of rural- and urban-serving organizations. These grants have a performance period of 36 months, which includes a planning period, period of operation, and follow-up period; the period of operation must be at least 24 months of the total period of performance</w:t>
      </w:r>
      <w:r w:rsidR="00D33C49" w:rsidRPr="00C43A37">
        <w:rPr>
          <w:rFonts w:ascii="Times New Roman" w:hAnsi="Times New Roman" w:cs="Times New Roman"/>
          <w:color w:val="000000" w:themeColor="text1"/>
          <w:sz w:val="24"/>
          <w:szCs w:val="24"/>
        </w:rPr>
        <w:t xml:space="preserve">. </w:t>
      </w:r>
      <w:r w:rsidR="00EF1BFF" w:rsidRPr="00C43A37">
        <w:rPr>
          <w:rFonts w:ascii="Times New Roman" w:hAnsi="Times New Roman" w:cs="Times New Roman"/>
          <w:color w:val="000000" w:themeColor="text1"/>
          <w:sz w:val="24"/>
          <w:szCs w:val="24"/>
        </w:rPr>
        <w:t xml:space="preserve">Applicants must identify and include in their application the local sub-grantees that will operate their identified program designs; applicants must identify the communities that will be served by the sub-grantees and the project must be in a minimum of three communities. The communities must be located in high-poverty, high-crime areas. Sub-grantee projects must be </w:t>
      </w:r>
      <w:r w:rsidR="00304BFE">
        <w:rPr>
          <w:rFonts w:ascii="Times New Roman" w:hAnsi="Times New Roman" w:cs="Times New Roman"/>
          <w:color w:val="000000" w:themeColor="text1"/>
          <w:sz w:val="24"/>
          <w:szCs w:val="24"/>
        </w:rPr>
        <w:t>located in at least two states.</w:t>
      </w:r>
    </w:p>
    <w:p w:rsidR="00D33C49" w:rsidRPr="00C43A37" w:rsidRDefault="00D33C49" w:rsidP="00C97D02">
      <w:pPr>
        <w:spacing w:after="0" w:line="240" w:lineRule="auto"/>
        <w:rPr>
          <w:rFonts w:ascii="Times New Roman" w:eastAsia="Times New Roman" w:hAnsi="Times New Roman" w:cs="Times New Roman"/>
          <w:color w:val="000000" w:themeColor="text1"/>
          <w:sz w:val="24"/>
          <w:szCs w:val="24"/>
        </w:rPr>
      </w:pPr>
    </w:p>
    <w:p w:rsidR="00C97D02" w:rsidRPr="00304BFE" w:rsidRDefault="00C97D02" w:rsidP="00304BFE">
      <w:pPr>
        <w:pStyle w:val="Footer"/>
        <w:rPr>
          <w:rFonts w:ascii="Times New Roman" w:hAnsi="Times New Roman" w:cs="Times New Roman"/>
          <w:color w:val="000000" w:themeColor="text1"/>
          <w:sz w:val="24"/>
          <w:szCs w:val="24"/>
        </w:rPr>
      </w:pPr>
      <w:r w:rsidRPr="00304BFE">
        <w:rPr>
          <w:rFonts w:ascii="Times New Roman" w:hAnsi="Times New Roman" w:cs="Times New Roman"/>
          <w:color w:val="000000" w:themeColor="text1"/>
          <w:sz w:val="24"/>
          <w:szCs w:val="24"/>
        </w:rPr>
        <w:t xml:space="preserve">Applications will include the following information collections: 1) Form SF-424 “Application for Federal Assistance,” separately cleared under OMB control number </w:t>
      </w:r>
      <w:r w:rsidR="00517E2A" w:rsidRPr="00304BFE">
        <w:rPr>
          <w:rFonts w:ascii="Times New Roman" w:hAnsi="Times New Roman" w:cs="Times New Roman"/>
          <w:color w:val="000000" w:themeColor="text1"/>
          <w:sz w:val="24"/>
          <w:szCs w:val="24"/>
        </w:rPr>
        <w:t>4040-0004</w:t>
      </w:r>
      <w:r w:rsidRPr="00304BFE">
        <w:rPr>
          <w:rFonts w:ascii="Times New Roman" w:hAnsi="Times New Roman" w:cs="Times New Roman"/>
          <w:color w:val="000000" w:themeColor="text1"/>
          <w:sz w:val="24"/>
          <w:szCs w:val="24"/>
        </w:rPr>
        <w:t>, 2) Project Budget, 3) Project Narrative, and 4) Attachments to the Project Narrative.</w:t>
      </w:r>
    </w:p>
    <w:bookmarkEnd w:id="1"/>
    <w:bookmarkEnd w:id="2"/>
    <w:bookmarkEnd w:id="3"/>
    <w:bookmarkEnd w:id="4"/>
    <w:p w:rsidR="00C97D02" w:rsidRPr="00A06A6A" w:rsidRDefault="00C97D02" w:rsidP="00C97D02">
      <w:pPr>
        <w:spacing w:after="0" w:line="240" w:lineRule="auto"/>
        <w:rPr>
          <w:rFonts w:ascii="Times New Roman" w:eastAsia="Times New Roman" w:hAnsi="Times New Roman" w:cs="Times New Roman"/>
          <w:color w:val="000000" w:themeColor="text1"/>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lastRenderedPageBreak/>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A86BFB">
        <w:rPr>
          <w:rFonts w:ascii="Times New Roman" w:eastAsia="Calibri" w:hAnsi="Times New Roman" w:cs="Times New Roman"/>
          <w:color w:val="000000"/>
          <w:sz w:val="24"/>
          <w:szCs w:val="24"/>
        </w:rPr>
        <w:t>6</w:t>
      </w:r>
      <w:r w:rsidR="0054705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A86BFB"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6</w:t>
      </w:r>
      <w:r w:rsidR="00547052">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1</w:t>
      </w:r>
      <w:r w:rsidR="00662BBA">
        <w:rPr>
          <w:rFonts w:ascii="Times New Roman" w:eastAsia="Calibri" w:hAnsi="Times New Roman" w:cs="Times New Roman"/>
          <w:color w:val="000000"/>
          <w:sz w:val="24"/>
          <w:szCs w:val="24"/>
        </w:rPr>
        <w:t>,</w:t>
      </w:r>
      <w:r w:rsidR="00547052">
        <w:rPr>
          <w:rFonts w:ascii="Times New Roman" w:eastAsia="Calibri" w:hAnsi="Times New Roman" w:cs="Times New Roman"/>
          <w:color w:val="000000"/>
          <w:sz w:val="24"/>
          <w:szCs w:val="24"/>
        </w:rPr>
        <w:t>2</w:t>
      </w:r>
      <w:r w:rsidR="00C54AA8" w:rsidRPr="005A34DF">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662BBA" w:rsidRPr="00304BFE" w:rsidRDefault="00C97D02" w:rsidP="00304BFE">
      <w:pPr>
        <w:pStyle w:val="Footer"/>
        <w:rPr>
          <w:rFonts w:ascii="Times New Roman" w:hAnsi="Times New Roman" w:cs="Times New Roman"/>
          <w:color w:val="000000" w:themeColor="text1"/>
          <w:sz w:val="24"/>
          <w:szCs w:val="24"/>
        </w:rPr>
      </w:pPr>
      <w:r w:rsidRPr="00304BFE">
        <w:rPr>
          <w:rFonts w:ascii="Times New Roman" w:hAnsi="Times New Roman" w:cs="Times New Roman"/>
          <w:color w:val="000000" w:themeColor="text1"/>
          <w:sz w:val="24"/>
          <w:szCs w:val="24"/>
        </w:rPr>
        <w:t xml:space="preserve">The DOL has increased the </w:t>
      </w:r>
      <w:r w:rsidR="00662BBA" w:rsidRPr="00304BFE">
        <w:rPr>
          <w:rFonts w:ascii="Times New Roman" w:hAnsi="Times New Roman" w:cs="Times New Roman"/>
          <w:color w:val="000000" w:themeColor="text1"/>
          <w:sz w:val="24"/>
          <w:szCs w:val="24"/>
        </w:rPr>
        <w:t>December 2015</w:t>
      </w:r>
      <w:r w:rsidRPr="00304BFE">
        <w:rPr>
          <w:rFonts w:ascii="Times New Roman" w:hAnsi="Times New Roman" w:cs="Times New Roman"/>
          <w:color w:val="000000" w:themeColor="text1"/>
          <w:sz w:val="24"/>
          <w:szCs w:val="24"/>
        </w:rPr>
        <w:t>, average hourly earnings in the professional and business services industry of $</w:t>
      </w:r>
      <w:r w:rsidR="00662BBA" w:rsidRPr="00304BFE">
        <w:rPr>
          <w:rFonts w:ascii="Times New Roman" w:hAnsi="Times New Roman" w:cs="Times New Roman"/>
          <w:color w:val="000000" w:themeColor="text1"/>
          <w:sz w:val="24"/>
          <w:szCs w:val="24"/>
        </w:rPr>
        <w:t>30.26</w:t>
      </w:r>
      <w:r w:rsidRPr="00304BFE">
        <w:rPr>
          <w:rFonts w:ascii="Times New Roman" w:hAnsi="Times New Roman" w:cs="Times New Roman"/>
          <w:color w:val="000000" w:themeColor="text1"/>
          <w:sz w:val="24"/>
          <w:szCs w:val="24"/>
        </w:rPr>
        <w:t xml:space="preserve"> per hour by </w:t>
      </w:r>
      <w:r w:rsidR="00D70C6D" w:rsidRPr="00304BFE">
        <w:rPr>
          <w:rFonts w:ascii="Times New Roman" w:hAnsi="Times New Roman" w:cs="Times New Roman"/>
          <w:color w:val="000000" w:themeColor="text1"/>
          <w:sz w:val="24"/>
          <w:szCs w:val="24"/>
        </w:rPr>
        <w:t>4</w:t>
      </w:r>
      <w:r w:rsidR="000306E2" w:rsidRPr="00304BFE">
        <w:rPr>
          <w:rFonts w:ascii="Times New Roman" w:hAnsi="Times New Roman" w:cs="Times New Roman"/>
          <w:color w:val="000000" w:themeColor="text1"/>
          <w:sz w:val="24"/>
          <w:szCs w:val="24"/>
        </w:rPr>
        <w:t>0</w:t>
      </w:r>
      <w:r w:rsidRPr="00304BFE">
        <w:rPr>
          <w:rFonts w:ascii="Times New Roman" w:hAnsi="Times New Roman" w:cs="Times New Roman"/>
          <w:color w:val="000000" w:themeColor="text1"/>
          <w:sz w:val="24"/>
          <w:szCs w:val="24"/>
        </w:rPr>
        <w:t xml:space="preserve"> percent (total $4</w:t>
      </w:r>
      <w:r w:rsidR="00662BBA" w:rsidRPr="00304BFE">
        <w:rPr>
          <w:rFonts w:ascii="Times New Roman" w:hAnsi="Times New Roman" w:cs="Times New Roman"/>
          <w:color w:val="000000" w:themeColor="text1"/>
          <w:sz w:val="24"/>
          <w:szCs w:val="24"/>
        </w:rPr>
        <w:t>2.36</w:t>
      </w:r>
      <w:r w:rsidRPr="00304BFE">
        <w:rPr>
          <w:rFonts w:ascii="Times New Roman" w:hAnsi="Times New Roman" w:cs="Times New Roman"/>
          <w:color w:val="000000" w:themeColor="text1"/>
          <w:sz w:val="24"/>
          <w:szCs w:val="24"/>
        </w:rPr>
        <w:t xml:space="preserve"> per hour) to monetize this burden. </w:t>
      </w:r>
      <w:r w:rsidRPr="00304BFE">
        <w:rPr>
          <w:rFonts w:ascii="Times New Roman" w:hAnsi="Times New Roman" w:cs="Times New Roman"/>
          <w:i/>
          <w:iCs/>
          <w:color w:val="000000" w:themeColor="text1"/>
          <w:sz w:val="24"/>
          <w:szCs w:val="24"/>
        </w:rPr>
        <w:t xml:space="preserve">See </w:t>
      </w:r>
      <w:hyperlink r:id="rId8" w:history="1">
        <w:r w:rsidRPr="00304BFE">
          <w:rPr>
            <w:rStyle w:val="Hyperlink"/>
            <w:rFonts w:ascii="Times New Roman" w:eastAsia="Calibri" w:hAnsi="Times New Roman" w:cs="Times New Roman"/>
            <w:i/>
            <w:iCs/>
            <w:sz w:val="24"/>
            <w:szCs w:val="24"/>
          </w:rPr>
          <w:t>The Employment Situation—</w:t>
        </w:r>
        <w:r w:rsidR="00662BBA" w:rsidRPr="00304BFE">
          <w:rPr>
            <w:rStyle w:val="Hyperlink"/>
            <w:rFonts w:ascii="Times New Roman" w:eastAsia="Calibri" w:hAnsi="Times New Roman" w:cs="Times New Roman"/>
            <w:i/>
            <w:iCs/>
            <w:sz w:val="24"/>
            <w:szCs w:val="24"/>
          </w:rPr>
          <w:t>February 2016</w:t>
        </w:r>
      </w:hyperlink>
      <w:r w:rsidRPr="00304BFE">
        <w:rPr>
          <w:rFonts w:ascii="Times New Roman" w:hAnsi="Times New Roman" w:cs="Times New Roman"/>
          <w:color w:val="000000" w:themeColor="text1"/>
          <w:sz w:val="24"/>
          <w:szCs w:val="24"/>
        </w:rPr>
        <w:t>, DOL, Bureau of Labor Statistics,</w:t>
      </w:r>
      <w:r w:rsidR="00662BBA" w:rsidRPr="00304BFE">
        <w:rPr>
          <w:rFonts w:ascii="Times New Roman" w:hAnsi="Times New Roman" w:cs="Times New Roman"/>
          <w:color w:val="000000" w:themeColor="text1"/>
          <w:sz w:val="24"/>
          <w:szCs w:val="24"/>
        </w:rPr>
        <w:t xml:space="preserve"> at 33</w:t>
      </w:r>
      <w:r w:rsidRPr="00304BFE">
        <w:rPr>
          <w:rFonts w:ascii="Times New Roman" w:hAnsi="Times New Roman" w:cs="Times New Roman"/>
          <w:color w:val="000000" w:themeColor="text1"/>
          <w:sz w:val="24"/>
          <w:szCs w:val="24"/>
        </w:rPr>
        <w:t>.</w:t>
      </w:r>
    </w:p>
    <w:p w:rsidR="00C97D02" w:rsidRPr="00C97D02" w:rsidRDefault="00662BBA"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 </w:t>
      </w:r>
    </w:p>
    <w:p w:rsidR="00C97D02" w:rsidRPr="00C97D02" w:rsidRDefault="00A86BFB"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662BBA">
        <w:rPr>
          <w:rFonts w:ascii="Times New Roman" w:eastAsia="Calibri" w:hAnsi="Times New Roman" w:cs="Times New Roman"/>
          <w:color w:val="000000"/>
          <w:sz w:val="24"/>
          <w:szCs w:val="24"/>
        </w:rPr>
        <w:t>,</w:t>
      </w:r>
      <w:r w:rsidR="00547052">
        <w:rPr>
          <w:rFonts w:ascii="Times New Roman" w:eastAsia="Calibri" w:hAnsi="Times New Roman" w:cs="Times New Roman"/>
          <w:color w:val="000000"/>
          <w:sz w:val="24"/>
          <w:szCs w:val="24"/>
        </w:rPr>
        <w:t>2</w:t>
      </w:r>
      <w:r w:rsidR="003B58AD" w:rsidRPr="005A34DF">
        <w:rPr>
          <w:rFonts w:ascii="Times New Roman" w:eastAsia="Calibri" w:hAnsi="Times New Roman" w:cs="Times New Roman"/>
          <w:color w:val="000000"/>
          <w:sz w:val="24"/>
          <w:szCs w:val="24"/>
        </w:rPr>
        <w:t>0</w:t>
      </w:r>
      <w:r w:rsidR="00C54AA8" w:rsidRPr="005A34DF">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hours x $4</w:t>
      </w:r>
      <w:r w:rsidR="00662BBA">
        <w:rPr>
          <w:rFonts w:ascii="Times New Roman" w:eastAsia="Calibri" w:hAnsi="Times New Roman" w:cs="Times New Roman"/>
          <w:color w:val="000000"/>
          <w:sz w:val="24"/>
          <w:szCs w:val="24"/>
        </w:rPr>
        <w:t>2.36</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5A34DF">
        <w:rPr>
          <w:rFonts w:ascii="Times New Roman" w:eastAsia="Calibri" w:hAnsi="Times New Roman" w:cs="Times New Roman"/>
          <w:color w:val="000000"/>
          <w:sz w:val="24"/>
          <w:szCs w:val="24"/>
        </w:rPr>
        <w:t>$</w:t>
      </w:r>
      <w:r w:rsidR="00662BBA">
        <w:rPr>
          <w:rFonts w:ascii="Times New Roman" w:eastAsia="Calibri" w:hAnsi="Times New Roman" w:cs="Times New Roman"/>
          <w:color w:val="000000"/>
          <w:sz w:val="24"/>
          <w:szCs w:val="24"/>
        </w:rPr>
        <w:t>50,832</w:t>
      </w:r>
      <w:r w:rsidR="00C97D02" w:rsidRPr="005A34DF">
        <w:rPr>
          <w:rFonts w:ascii="Times New Roman" w:eastAsia="Calibri" w:hAnsi="Times New Roman" w:cs="Times New Roman"/>
          <w:color w:val="000000"/>
          <w:sz w:val="24"/>
          <w:szCs w:val="24"/>
        </w:rPr>
        <w:t>.</w:t>
      </w:r>
      <w:r w:rsidR="003B58AD" w:rsidRPr="005A34DF">
        <w:rPr>
          <w:rFonts w:ascii="Times New Roman" w:eastAsia="Calibri" w:hAnsi="Times New Roman" w:cs="Times New Roman"/>
          <w:color w:val="000000"/>
          <w:sz w:val="24"/>
          <w:szCs w:val="24"/>
        </w:rPr>
        <w:t>00</w:t>
      </w:r>
      <w:r w:rsidR="00662BBA">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A86BFB">
        <w:rPr>
          <w:rFonts w:ascii="Times New Roman" w:eastAsia="Times New Roman" w:hAnsi="Times New Roman" w:cs="Times New Roman"/>
          <w:i/>
          <w:color w:val="000000"/>
          <w:sz w:val="24"/>
          <w:szCs w:val="24"/>
        </w:rPr>
        <w:t>6</w:t>
      </w:r>
      <w:r w:rsidR="0054705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A86BFB">
        <w:rPr>
          <w:rFonts w:ascii="Times New Roman" w:eastAsia="Times New Roman" w:hAnsi="Times New Roman" w:cs="Times New Roman"/>
          <w:i/>
          <w:color w:val="000000"/>
          <w:sz w:val="24"/>
          <w:szCs w:val="24"/>
        </w:rPr>
        <w:t>6</w:t>
      </w:r>
      <w:r w:rsidR="0054705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A86BFB">
        <w:rPr>
          <w:rFonts w:ascii="Times New Roman" w:eastAsia="Times New Roman" w:hAnsi="Times New Roman" w:cs="Times New Roman"/>
          <w:i/>
          <w:color w:val="000000"/>
          <w:sz w:val="24"/>
          <w:szCs w:val="24"/>
        </w:rPr>
        <w:t>1</w:t>
      </w:r>
      <w:r w:rsidR="00662BBA">
        <w:rPr>
          <w:rFonts w:ascii="Times New Roman" w:eastAsia="Times New Roman" w:hAnsi="Times New Roman" w:cs="Times New Roman"/>
          <w:i/>
          <w:color w:val="000000"/>
          <w:sz w:val="24"/>
          <w:szCs w:val="24"/>
        </w:rPr>
        <w:t>,</w:t>
      </w:r>
      <w:r w:rsidR="00547052">
        <w:rPr>
          <w:rFonts w:ascii="Times New Roman" w:eastAsia="Times New Roman" w:hAnsi="Times New Roman" w:cs="Times New Roman"/>
          <w:i/>
          <w:color w:val="000000"/>
          <w:sz w:val="24"/>
          <w:szCs w:val="24"/>
        </w:rPr>
        <w:t>2</w:t>
      </w:r>
      <w:r w:rsidR="00A86BFB">
        <w:rPr>
          <w:rFonts w:ascii="Times New Roman" w:eastAsia="Times New Roman" w:hAnsi="Times New Roman" w:cs="Times New Roman"/>
          <w:i/>
          <w:color w:val="000000"/>
          <w:sz w:val="24"/>
          <w:szCs w:val="24"/>
        </w:rPr>
        <w:t>00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Pr="00304BFE" w:rsidRDefault="00C97D02" w:rsidP="00304BFE">
      <w:pPr>
        <w:pStyle w:val="Footer"/>
        <w:rPr>
          <w:rFonts w:ascii="Times New Roman" w:hAnsi="Times New Roman" w:cs="Times New Roman"/>
          <w:sz w:val="24"/>
          <w:szCs w:val="24"/>
        </w:rPr>
      </w:pPr>
      <w:r w:rsidRPr="00304BFE">
        <w:rPr>
          <w:rFonts w:ascii="Times New Roman" w:hAnsi="Times New Roman" w:cs="Times New Roman"/>
          <w:color w:val="000000" w:themeColor="text1"/>
          <w:sz w:val="24"/>
          <w:szCs w:val="24"/>
        </w:rPr>
        <w:t>This information collection does not employ statistical methods.</w:t>
      </w:r>
    </w:p>
    <w:sectPr w:rsidR="00033FCA" w:rsidRPr="00304BF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51" w:rsidRDefault="006B4A51" w:rsidP="00C97D02">
      <w:pPr>
        <w:spacing w:after="0" w:line="240" w:lineRule="auto"/>
      </w:pPr>
      <w:r>
        <w:separator/>
      </w:r>
    </w:p>
  </w:endnote>
  <w:endnote w:type="continuationSeparator" w:id="0">
    <w:p w:rsidR="006B4A51" w:rsidRDefault="006B4A51"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BF14B0">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51" w:rsidRDefault="006B4A51" w:rsidP="00C97D02">
      <w:pPr>
        <w:spacing w:after="0" w:line="240" w:lineRule="auto"/>
      </w:pPr>
      <w:r>
        <w:separator/>
      </w:r>
    </w:p>
  </w:footnote>
  <w:footnote w:type="continuationSeparator" w:id="0">
    <w:p w:rsidR="006B4A51" w:rsidRDefault="006B4A51"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3A5D"/>
    <w:rsid w:val="002220B6"/>
    <w:rsid w:val="0024004B"/>
    <w:rsid w:val="002460A8"/>
    <w:rsid w:val="002528B1"/>
    <w:rsid w:val="0025433B"/>
    <w:rsid w:val="00276526"/>
    <w:rsid w:val="00277FE2"/>
    <w:rsid w:val="00280875"/>
    <w:rsid w:val="00282C52"/>
    <w:rsid w:val="00285E2D"/>
    <w:rsid w:val="00296DDE"/>
    <w:rsid w:val="002B3647"/>
    <w:rsid w:val="002B3B0A"/>
    <w:rsid w:val="002B6BCF"/>
    <w:rsid w:val="002C4631"/>
    <w:rsid w:val="002D1A6C"/>
    <w:rsid w:val="002D1EC1"/>
    <w:rsid w:val="002D2A16"/>
    <w:rsid w:val="002E0740"/>
    <w:rsid w:val="003021B4"/>
    <w:rsid w:val="00304BFE"/>
    <w:rsid w:val="00320E77"/>
    <w:rsid w:val="00323359"/>
    <w:rsid w:val="0033099A"/>
    <w:rsid w:val="00332BE0"/>
    <w:rsid w:val="00357969"/>
    <w:rsid w:val="003664FB"/>
    <w:rsid w:val="003719E6"/>
    <w:rsid w:val="003B58AD"/>
    <w:rsid w:val="003C249A"/>
    <w:rsid w:val="0041166A"/>
    <w:rsid w:val="00413F86"/>
    <w:rsid w:val="0043347F"/>
    <w:rsid w:val="00471D5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47052"/>
    <w:rsid w:val="0056684F"/>
    <w:rsid w:val="00587656"/>
    <w:rsid w:val="005934FD"/>
    <w:rsid w:val="005A34DF"/>
    <w:rsid w:val="005B3BCB"/>
    <w:rsid w:val="005B667B"/>
    <w:rsid w:val="005C4DA7"/>
    <w:rsid w:val="005E1A27"/>
    <w:rsid w:val="005E3012"/>
    <w:rsid w:val="005E6A31"/>
    <w:rsid w:val="005E79E9"/>
    <w:rsid w:val="005F078E"/>
    <w:rsid w:val="005F42D6"/>
    <w:rsid w:val="00624753"/>
    <w:rsid w:val="00626D51"/>
    <w:rsid w:val="00633991"/>
    <w:rsid w:val="00655DEC"/>
    <w:rsid w:val="00661610"/>
    <w:rsid w:val="00662BBA"/>
    <w:rsid w:val="00664A39"/>
    <w:rsid w:val="00665A0C"/>
    <w:rsid w:val="006808AA"/>
    <w:rsid w:val="0068481D"/>
    <w:rsid w:val="006934C7"/>
    <w:rsid w:val="006A6570"/>
    <w:rsid w:val="006B4A51"/>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C31A7"/>
    <w:rsid w:val="009F00EE"/>
    <w:rsid w:val="00A02531"/>
    <w:rsid w:val="00A06A6A"/>
    <w:rsid w:val="00A249EF"/>
    <w:rsid w:val="00A50716"/>
    <w:rsid w:val="00A53500"/>
    <w:rsid w:val="00A55AFF"/>
    <w:rsid w:val="00A63065"/>
    <w:rsid w:val="00A80C7F"/>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B0424"/>
    <w:rsid w:val="00BC0E37"/>
    <w:rsid w:val="00BC0F38"/>
    <w:rsid w:val="00BE355C"/>
    <w:rsid w:val="00BF0768"/>
    <w:rsid w:val="00BF14B0"/>
    <w:rsid w:val="00BF4378"/>
    <w:rsid w:val="00BF792F"/>
    <w:rsid w:val="00C048EC"/>
    <w:rsid w:val="00C11B68"/>
    <w:rsid w:val="00C34505"/>
    <w:rsid w:val="00C43A37"/>
    <w:rsid w:val="00C54AA8"/>
    <w:rsid w:val="00C56380"/>
    <w:rsid w:val="00C57116"/>
    <w:rsid w:val="00C80CCE"/>
    <w:rsid w:val="00C93CEB"/>
    <w:rsid w:val="00C97D02"/>
    <w:rsid w:val="00CA586F"/>
    <w:rsid w:val="00CD079A"/>
    <w:rsid w:val="00CD6CE4"/>
    <w:rsid w:val="00CF7E6B"/>
    <w:rsid w:val="00D07AF1"/>
    <w:rsid w:val="00D107B1"/>
    <w:rsid w:val="00D33C49"/>
    <w:rsid w:val="00D35E0E"/>
    <w:rsid w:val="00D47F8F"/>
    <w:rsid w:val="00D521FD"/>
    <w:rsid w:val="00D62192"/>
    <w:rsid w:val="00D623D4"/>
    <w:rsid w:val="00D70C6D"/>
    <w:rsid w:val="00D71F8F"/>
    <w:rsid w:val="00D94816"/>
    <w:rsid w:val="00DA7C6B"/>
    <w:rsid w:val="00DC095D"/>
    <w:rsid w:val="00DC1648"/>
    <w:rsid w:val="00DD043C"/>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1BFF"/>
    <w:rsid w:val="00EF7F10"/>
    <w:rsid w:val="00F3022A"/>
    <w:rsid w:val="00F327C3"/>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DD04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DD04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304201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dcterms:created xsi:type="dcterms:W3CDTF">2016-05-06T19:28:00Z</dcterms:created>
  <dcterms:modified xsi:type="dcterms:W3CDTF">2016-05-06T19:28:00Z</dcterms:modified>
</cp:coreProperties>
</file>