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D02" w:rsidRPr="00C97D02" w:rsidRDefault="00C97D02" w:rsidP="00C97D02">
      <w:pPr>
        <w:spacing w:after="0" w:line="240" w:lineRule="auto"/>
        <w:jc w:val="center"/>
        <w:rPr>
          <w:rFonts w:ascii="Times New Roman" w:eastAsia="Times New Roman" w:hAnsi="Times New Roman" w:cs="Times New Roman"/>
          <w:b/>
          <w:color w:val="000000"/>
          <w:sz w:val="24"/>
        </w:rPr>
      </w:pPr>
      <w:r w:rsidRPr="00C97D02">
        <w:rPr>
          <w:rFonts w:ascii="Times New Roman" w:eastAsia="Times New Roman" w:hAnsi="Times New Roman" w:cs="Times New Roman"/>
          <w:b/>
          <w:color w:val="000000"/>
          <w:sz w:val="24"/>
        </w:rPr>
        <w:t>F</w:t>
      </w:r>
      <w:r w:rsidR="00E45924">
        <w:rPr>
          <w:rFonts w:ascii="Times New Roman" w:eastAsia="Times New Roman" w:hAnsi="Times New Roman" w:cs="Times New Roman"/>
          <w:b/>
          <w:color w:val="000000"/>
          <w:sz w:val="24"/>
        </w:rPr>
        <w:t xml:space="preserve">unding Opportunity </w:t>
      </w:r>
      <w:r w:rsidR="001C4718">
        <w:rPr>
          <w:rFonts w:ascii="Times New Roman" w:eastAsia="Times New Roman" w:hAnsi="Times New Roman" w:cs="Times New Roman"/>
          <w:b/>
          <w:color w:val="000000"/>
          <w:sz w:val="24"/>
        </w:rPr>
        <w:t>Announcement</w:t>
      </w:r>
    </w:p>
    <w:p w:rsidR="005E79E9" w:rsidRDefault="00A10EFD" w:rsidP="00C97D02">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America’s Promise Job Driven Grant Program</w:t>
      </w:r>
    </w:p>
    <w:p w:rsidR="00C97D02" w:rsidRPr="00C97D02" w:rsidRDefault="00C97D02" w:rsidP="00C97D02">
      <w:pPr>
        <w:widowControl w:val="0"/>
        <w:spacing w:after="0" w:line="240" w:lineRule="auto"/>
        <w:jc w:val="center"/>
        <w:rPr>
          <w:rFonts w:ascii="Times New Roman" w:eastAsia="Times New Roman" w:hAnsi="Times New Roman" w:cs="Times New Roman"/>
          <w:sz w:val="24"/>
          <w:szCs w:val="24"/>
        </w:rPr>
      </w:pPr>
      <w:r w:rsidRPr="00C97D02">
        <w:rPr>
          <w:rFonts w:ascii="Times New Roman" w:eastAsia="Times New Roman" w:hAnsi="Times New Roman" w:cs="Times New Roman"/>
          <w:b/>
          <w:sz w:val="24"/>
          <w:szCs w:val="24"/>
        </w:rPr>
        <w:t>Supplemental Justification</w:t>
      </w:r>
    </w:p>
    <w:p w:rsidR="00C97D02" w:rsidRPr="00C97D02" w:rsidRDefault="00C97D02" w:rsidP="00C97D02">
      <w:pPr>
        <w:spacing w:after="0" w:line="240" w:lineRule="auto"/>
        <w:jc w:val="center"/>
        <w:rPr>
          <w:rFonts w:ascii="Times New Roman Bold" w:eastAsia="Times New Roman" w:hAnsi="Times New Roman Bold" w:cs="Arial"/>
          <w:b/>
          <w:color w:val="000000"/>
          <w:sz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BookAntiqua"/>
          <w:b/>
          <w:i/>
          <w:color w:val="000000"/>
          <w:sz w:val="24"/>
          <w:szCs w:val="24"/>
          <w:u w:val="single"/>
        </w:rPr>
      </w:pPr>
      <w:r w:rsidRPr="00C97D02">
        <w:rPr>
          <w:rFonts w:ascii="Times New Roman" w:eastAsia="Times New Roman" w:hAnsi="Times New Roman" w:cs="BookAntiqua"/>
          <w:b/>
          <w:i/>
          <w:color w:val="000000"/>
          <w:sz w:val="24"/>
          <w:szCs w:val="24"/>
          <w:u w:val="single"/>
        </w:rPr>
        <w:t>Supplemental Supporting Statement A: Justification</w:t>
      </w:r>
    </w:p>
    <w:p w:rsidR="00C97D02" w:rsidRPr="00C97D02" w:rsidRDefault="00C97D02" w:rsidP="00C97D02">
      <w:pPr>
        <w:autoSpaceDE w:val="0"/>
        <w:autoSpaceDN w:val="0"/>
        <w:adjustRightInd w:val="0"/>
        <w:spacing w:after="0" w:line="240" w:lineRule="auto"/>
        <w:rPr>
          <w:rFonts w:ascii="Times New Roman" w:eastAsia="Times New Roman" w:hAnsi="Times New Roman" w:cs="Arial"/>
          <w:b/>
          <w:color w:val="000000"/>
          <w:sz w:val="24"/>
          <w:szCs w:val="24"/>
          <w:u w:val="single"/>
        </w:rPr>
      </w:pPr>
    </w:p>
    <w:p w:rsidR="0051557A" w:rsidRDefault="00C97D02" w:rsidP="00471D5F">
      <w:pPr>
        <w:spacing w:after="0" w:line="240" w:lineRule="auto"/>
        <w:rPr>
          <w:rFonts w:ascii="Times New Roman" w:hAnsi="Times New Roman" w:cs="Times New Roman"/>
          <w:sz w:val="24"/>
          <w:szCs w:val="24"/>
        </w:rPr>
      </w:pPr>
      <w:bookmarkStart w:id="0" w:name="_Toc207778202"/>
      <w:bookmarkStart w:id="1" w:name="_Toc208654602"/>
      <w:bookmarkStart w:id="2" w:name="_Toc228885476"/>
      <w:bookmarkStart w:id="3" w:name="_Toc229889134"/>
      <w:r w:rsidRPr="00C97D02">
        <w:rPr>
          <w:rFonts w:ascii="Times New Roman" w:eastAsia="Times New Roman" w:hAnsi="Times New Roman" w:cs="Times New Roman"/>
          <w:sz w:val="24"/>
          <w:szCs w:val="24"/>
        </w:rPr>
        <w:t xml:space="preserve">This request seeks OMB approval under the Paperwork Reduction Act for the unique information collection requirements in the </w:t>
      </w:r>
      <w:r w:rsidR="00A10EFD">
        <w:rPr>
          <w:rFonts w:ascii="Times New Roman" w:hAnsi="Times New Roman" w:cs="Times New Roman"/>
          <w:sz w:val="24"/>
          <w:szCs w:val="24"/>
        </w:rPr>
        <w:t>America’s Promise Job Driven Grant Program</w:t>
      </w:r>
      <w:r w:rsidR="00471D5F" w:rsidRPr="00471D5F">
        <w:rPr>
          <w:rFonts w:ascii="Times New Roman" w:hAnsi="Times New Roman" w:cs="Times New Roman"/>
          <w:sz w:val="24"/>
          <w:szCs w:val="24"/>
        </w:rPr>
        <w:t xml:space="preserve"> </w:t>
      </w:r>
      <w:r w:rsidRPr="00C97D02">
        <w:rPr>
          <w:rFonts w:ascii="Times New Roman" w:eastAsia="Times New Roman" w:hAnsi="Times New Roman" w:cs="Times New Roman"/>
          <w:sz w:val="24"/>
          <w:szCs w:val="24"/>
        </w:rPr>
        <w:t>Funding Opportunity Announcement (FOA).  The Employment and Training Administration (ETA), U.S. Department of Labor (DOL), announce</w:t>
      </w:r>
      <w:r w:rsidR="00DC1648">
        <w:rPr>
          <w:rFonts w:ascii="Times New Roman" w:eastAsia="Times New Roman" w:hAnsi="Times New Roman" w:cs="Times New Roman"/>
          <w:sz w:val="24"/>
          <w:szCs w:val="24"/>
        </w:rPr>
        <w:t>s</w:t>
      </w:r>
      <w:r w:rsidRPr="00C97D02">
        <w:rPr>
          <w:rFonts w:ascii="Times New Roman" w:eastAsia="Times New Roman" w:hAnsi="Times New Roman" w:cs="Times New Roman"/>
          <w:sz w:val="24"/>
          <w:szCs w:val="24"/>
        </w:rPr>
        <w:t xml:space="preserve"> the availability of </w:t>
      </w:r>
      <w:r w:rsidR="000278E8" w:rsidRPr="00C97D02">
        <w:rPr>
          <w:rFonts w:ascii="Times New Roman" w:eastAsia="Times New Roman" w:hAnsi="Times New Roman" w:cs="Times New Roman"/>
          <w:sz w:val="24"/>
          <w:szCs w:val="24"/>
        </w:rPr>
        <w:t>approximately</w:t>
      </w:r>
      <w:r w:rsidR="00C56380">
        <w:rPr>
          <w:rFonts w:ascii="Times New Roman" w:eastAsia="Times New Roman" w:hAnsi="Times New Roman" w:cs="Times New Roman"/>
          <w:sz w:val="24"/>
          <w:szCs w:val="24"/>
        </w:rPr>
        <w:t xml:space="preserve"> </w:t>
      </w:r>
      <w:r w:rsidR="00C93CEB" w:rsidRPr="00C93CEB">
        <w:rPr>
          <w:rFonts w:ascii="Times New Roman" w:hAnsi="Times New Roman" w:cs="Times New Roman"/>
          <w:sz w:val="24"/>
          <w:szCs w:val="24"/>
        </w:rPr>
        <w:t>$</w:t>
      </w:r>
      <w:r w:rsidR="00A10EFD">
        <w:rPr>
          <w:rFonts w:ascii="Times New Roman" w:hAnsi="Times New Roman" w:cs="Times New Roman"/>
          <w:sz w:val="24"/>
          <w:szCs w:val="24"/>
        </w:rPr>
        <w:t>10</w:t>
      </w:r>
      <w:r w:rsidR="00C93CEB" w:rsidRPr="00C93CEB">
        <w:rPr>
          <w:rFonts w:ascii="Times New Roman" w:hAnsi="Times New Roman" w:cs="Times New Roman"/>
          <w:sz w:val="24"/>
          <w:szCs w:val="24"/>
        </w:rPr>
        <w:t>0,</w:t>
      </w:r>
      <w:r w:rsidR="00A10EFD">
        <w:rPr>
          <w:rFonts w:ascii="Times New Roman" w:hAnsi="Times New Roman" w:cs="Times New Roman"/>
          <w:sz w:val="24"/>
          <w:szCs w:val="24"/>
        </w:rPr>
        <w:t>000</w:t>
      </w:r>
      <w:r w:rsidR="00C93CEB" w:rsidRPr="00C93CEB">
        <w:rPr>
          <w:rFonts w:ascii="Times New Roman" w:hAnsi="Times New Roman" w:cs="Times New Roman"/>
          <w:sz w:val="24"/>
          <w:szCs w:val="24"/>
        </w:rPr>
        <w:t xml:space="preserve">,000 in grant funds authorized </w:t>
      </w:r>
      <w:r w:rsidR="00A10EFD">
        <w:rPr>
          <w:rFonts w:ascii="Times New Roman" w:hAnsi="Times New Roman" w:cs="Times New Roman"/>
          <w:sz w:val="24"/>
          <w:szCs w:val="24"/>
        </w:rPr>
        <w:t>under</w:t>
      </w:r>
      <w:r w:rsidR="00C93CEB" w:rsidRPr="00C93CEB">
        <w:rPr>
          <w:rFonts w:ascii="Times New Roman" w:hAnsi="Times New Roman" w:cs="Times New Roman"/>
          <w:sz w:val="24"/>
          <w:szCs w:val="24"/>
        </w:rPr>
        <w:t xml:space="preserve"> the </w:t>
      </w:r>
      <w:r w:rsidR="00A10EFD">
        <w:rPr>
          <w:rFonts w:ascii="Times New Roman" w:hAnsi="Times New Roman" w:cs="Times New Roman"/>
          <w:sz w:val="24"/>
          <w:szCs w:val="24"/>
        </w:rPr>
        <w:t xml:space="preserve">American Competitiveness and Workforce Improvement Act of 1998 </w:t>
      </w:r>
      <w:r w:rsidR="00C93CEB" w:rsidRPr="00C93CEB">
        <w:rPr>
          <w:rFonts w:ascii="Times New Roman" w:hAnsi="Times New Roman" w:cs="Times New Roman"/>
          <w:sz w:val="24"/>
          <w:szCs w:val="24"/>
        </w:rPr>
        <w:t>(</w:t>
      </w:r>
      <w:r w:rsidR="00A10EFD">
        <w:rPr>
          <w:rFonts w:ascii="Times New Roman" w:hAnsi="Times New Roman" w:cs="Times New Roman"/>
          <w:sz w:val="24"/>
          <w:szCs w:val="24"/>
        </w:rPr>
        <w:t>AC</w:t>
      </w:r>
      <w:r w:rsidR="00C93CEB" w:rsidRPr="00C93CEB">
        <w:rPr>
          <w:rFonts w:ascii="Times New Roman" w:hAnsi="Times New Roman" w:cs="Times New Roman"/>
          <w:sz w:val="24"/>
          <w:szCs w:val="24"/>
        </w:rPr>
        <w:t>WIA</w:t>
      </w:r>
      <w:r w:rsidR="00EF1BFF">
        <w:rPr>
          <w:rFonts w:ascii="Times New Roman" w:hAnsi="Times New Roman" w:cs="Times New Roman"/>
          <w:sz w:val="24"/>
          <w:szCs w:val="24"/>
        </w:rPr>
        <w:t>)</w:t>
      </w:r>
      <w:r w:rsidR="00EF1BFF" w:rsidRPr="00EF1BFF">
        <w:t xml:space="preserve"> </w:t>
      </w:r>
      <w:r w:rsidR="00A10EFD" w:rsidRPr="00A10EFD">
        <w:rPr>
          <w:rFonts w:ascii="Times New Roman" w:hAnsi="Times New Roman" w:cs="Times New Roman"/>
          <w:sz w:val="24"/>
          <w:szCs w:val="24"/>
        </w:rPr>
        <w:t>to create or expand regional partnerships between employers, economic development, workforce development, community colleges, training programs, K-12 education systems, and community-based organizations that make a commitment – or a “promise” – to provide a pipeline of workers to fill existing job openings, meet existing employer needs for expansion, fuel the talent needs of entrepreneurs, and attract more jobs from overseas. These funds will be used to cover tuition and the costs of training-related activities on a first-dollar basis ensuring that training and education are free to individuals.</w:t>
      </w:r>
    </w:p>
    <w:p w:rsidR="00471D5F" w:rsidRDefault="00471D5F" w:rsidP="00471D5F">
      <w:pPr>
        <w:spacing w:after="0" w:line="240" w:lineRule="auto"/>
        <w:rPr>
          <w:rFonts w:ascii="Times New Roman" w:hAnsi="Times New Roman" w:cs="Times New Roman"/>
          <w:sz w:val="24"/>
          <w:szCs w:val="24"/>
        </w:rPr>
      </w:pPr>
    </w:p>
    <w:p w:rsidR="0041166A" w:rsidRDefault="00A10EFD" w:rsidP="0051557A">
      <w:pPr>
        <w:spacing w:after="0" w:line="240" w:lineRule="auto"/>
        <w:rPr>
          <w:rFonts w:ascii="Times New Roman" w:hAnsi="Times New Roman" w:cs="Times New Roman"/>
          <w:sz w:val="24"/>
          <w:szCs w:val="24"/>
        </w:rPr>
      </w:pPr>
      <w:r w:rsidRPr="00A10EFD">
        <w:rPr>
          <w:rFonts w:ascii="Times New Roman" w:hAnsi="Times New Roman" w:cs="Times New Roman"/>
          <w:sz w:val="24"/>
          <w:szCs w:val="24"/>
        </w:rPr>
        <w:t>Through strong regional partnerships and commitments, communities will maximize the use of their resources and minimize duplication of effort. Projects funded through th</w:t>
      </w:r>
      <w:r>
        <w:rPr>
          <w:rFonts w:ascii="Times New Roman" w:hAnsi="Times New Roman" w:cs="Times New Roman"/>
          <w:sz w:val="24"/>
          <w:szCs w:val="24"/>
        </w:rPr>
        <w:t xml:space="preserve">is </w:t>
      </w:r>
      <w:r w:rsidRPr="00A10EFD">
        <w:rPr>
          <w:rFonts w:ascii="Times New Roman" w:hAnsi="Times New Roman" w:cs="Times New Roman"/>
          <w:sz w:val="24"/>
          <w:szCs w:val="24"/>
        </w:rPr>
        <w:t xml:space="preserve">FOA will leverage resources from Federal place-based partnerships and sector-based programs, such as EDA’s </w:t>
      </w:r>
      <w:proofErr w:type="gramStart"/>
      <w:r w:rsidRPr="00A10EFD">
        <w:rPr>
          <w:rFonts w:ascii="Times New Roman" w:hAnsi="Times New Roman" w:cs="Times New Roman"/>
          <w:sz w:val="24"/>
          <w:szCs w:val="24"/>
        </w:rPr>
        <w:t>Investing</w:t>
      </w:r>
      <w:proofErr w:type="gramEnd"/>
      <w:r w:rsidRPr="00A10EFD">
        <w:rPr>
          <w:rFonts w:ascii="Times New Roman" w:hAnsi="Times New Roman" w:cs="Times New Roman"/>
          <w:sz w:val="24"/>
          <w:szCs w:val="24"/>
        </w:rPr>
        <w:t xml:space="preserve"> in Manufacturing Community Partnership communities and Department of Transportation’s Ladders programs, among others.</w:t>
      </w:r>
    </w:p>
    <w:p w:rsidR="00A10EFD" w:rsidRDefault="00A10EFD" w:rsidP="0051557A">
      <w:pPr>
        <w:spacing w:after="0" w:line="240" w:lineRule="auto"/>
        <w:rPr>
          <w:rFonts w:ascii="Times New Roman" w:hAnsi="Times New Roman" w:cs="Times New Roman"/>
          <w:sz w:val="24"/>
          <w:szCs w:val="24"/>
        </w:rPr>
      </w:pPr>
    </w:p>
    <w:p w:rsidR="00D33C49" w:rsidRDefault="00AA4FB1" w:rsidP="00C97D02">
      <w:pPr>
        <w:spacing w:after="0" w:line="240" w:lineRule="auto"/>
        <w:rPr>
          <w:rFonts w:ascii="Times New Roman" w:hAnsi="Times New Roman" w:cs="Times New Roman"/>
          <w:sz w:val="24"/>
          <w:szCs w:val="24"/>
        </w:rPr>
      </w:pPr>
      <w:r w:rsidRPr="003B4E9E">
        <w:rPr>
          <w:rFonts w:ascii="Times New Roman" w:hAnsi="Times New Roman" w:cs="Times New Roman"/>
          <w:sz w:val="24"/>
          <w:szCs w:val="24"/>
        </w:rPr>
        <w:t>W</w:t>
      </w:r>
      <w:r w:rsidR="0051557A" w:rsidRPr="003B4E9E">
        <w:rPr>
          <w:rFonts w:ascii="Times New Roman" w:hAnsi="Times New Roman" w:cs="Times New Roman"/>
          <w:sz w:val="24"/>
          <w:szCs w:val="24"/>
        </w:rPr>
        <w:t xml:space="preserve">e expect to </w:t>
      </w:r>
      <w:r w:rsidR="002E0740" w:rsidRPr="003B4E9E">
        <w:rPr>
          <w:rFonts w:ascii="Times New Roman" w:hAnsi="Times New Roman" w:cs="Times New Roman"/>
          <w:sz w:val="24"/>
          <w:szCs w:val="24"/>
        </w:rPr>
        <w:t>a</w:t>
      </w:r>
      <w:r w:rsidR="003B58AD" w:rsidRPr="003B4E9E">
        <w:rPr>
          <w:rFonts w:ascii="Times New Roman" w:hAnsi="Times New Roman" w:cs="Times New Roman"/>
          <w:sz w:val="24"/>
          <w:szCs w:val="24"/>
        </w:rPr>
        <w:t xml:space="preserve">ward </w:t>
      </w:r>
      <w:r w:rsidR="00D33C49" w:rsidRPr="003B4E9E">
        <w:rPr>
          <w:rFonts w:ascii="Times New Roman" w:hAnsi="Times New Roman" w:cs="Times New Roman"/>
          <w:sz w:val="24"/>
          <w:szCs w:val="24"/>
        </w:rPr>
        <w:t xml:space="preserve">approximately </w:t>
      </w:r>
      <w:r w:rsidR="00A10EFD" w:rsidRPr="003B4E9E">
        <w:rPr>
          <w:rFonts w:ascii="Times New Roman" w:hAnsi="Times New Roman" w:cs="Times New Roman"/>
          <w:sz w:val="24"/>
          <w:szCs w:val="24"/>
        </w:rPr>
        <w:t>20 to 40</w:t>
      </w:r>
      <w:r w:rsidR="00D33C49" w:rsidRPr="003B4E9E">
        <w:rPr>
          <w:rFonts w:ascii="Times New Roman" w:hAnsi="Times New Roman" w:cs="Times New Roman"/>
          <w:sz w:val="24"/>
          <w:szCs w:val="24"/>
        </w:rPr>
        <w:t xml:space="preserve"> grants </w:t>
      </w:r>
      <w:r w:rsidR="00A10EFD" w:rsidRPr="003B4E9E">
        <w:rPr>
          <w:rFonts w:ascii="Times New Roman" w:hAnsi="Times New Roman" w:cs="Times New Roman"/>
          <w:sz w:val="24"/>
          <w:szCs w:val="24"/>
        </w:rPr>
        <w:t>ranging from</w:t>
      </w:r>
      <w:r w:rsidR="00D33C49" w:rsidRPr="003B4E9E">
        <w:rPr>
          <w:rFonts w:ascii="Times New Roman" w:hAnsi="Times New Roman" w:cs="Times New Roman"/>
          <w:sz w:val="24"/>
          <w:szCs w:val="24"/>
        </w:rPr>
        <w:t xml:space="preserve"> $</w:t>
      </w:r>
      <w:r w:rsidR="00A10EFD" w:rsidRPr="003B4E9E">
        <w:rPr>
          <w:rFonts w:ascii="Times New Roman" w:hAnsi="Times New Roman" w:cs="Times New Roman"/>
          <w:sz w:val="24"/>
          <w:szCs w:val="24"/>
        </w:rPr>
        <w:t>1 million to $6 million</w:t>
      </w:r>
      <w:r w:rsidR="00D33C49" w:rsidRPr="003B4E9E">
        <w:rPr>
          <w:rFonts w:ascii="Times New Roman" w:hAnsi="Times New Roman" w:cs="Times New Roman"/>
          <w:sz w:val="24"/>
          <w:szCs w:val="24"/>
        </w:rPr>
        <w:t xml:space="preserve"> each </w:t>
      </w:r>
      <w:r w:rsidR="003B4E9E" w:rsidRPr="003B4E9E">
        <w:rPr>
          <w:rFonts w:ascii="Times New Roman" w:hAnsi="Times New Roman" w:cs="Times New Roman"/>
          <w:sz w:val="24"/>
          <w:szCs w:val="24"/>
        </w:rPr>
        <w:t xml:space="preserve">to the lead applicant of a regional workforce partnership, which must be a public or nonprofit organization that: 1) meets the FOA definition of one of the three types of eligible entities (workforce investment system; education and training provider; and a business-related nonprofit organizations, an organization functioning as a workforce intermediary for the express purpose of serving the needs of an industry, or a regional or industry association that represents at least five employers); and 2) includes in the partnership at least one representative of each of the four types of required regional workforce partnership entities (employers and industry representatives aligning with the partnership’s regional sector strategies; workforce investment system; economic development agency representing the regional service area; and education and training provider representing the regional service area).  </w:t>
      </w:r>
      <w:r w:rsidR="00EF1BFF" w:rsidRPr="003B4E9E">
        <w:rPr>
          <w:rFonts w:ascii="Times New Roman" w:hAnsi="Times New Roman" w:cs="Times New Roman"/>
          <w:sz w:val="24"/>
          <w:szCs w:val="24"/>
        </w:rPr>
        <w:t xml:space="preserve">These grants have a performance period of </w:t>
      </w:r>
      <w:r w:rsidR="00A10EFD" w:rsidRPr="003B4E9E">
        <w:rPr>
          <w:rFonts w:ascii="Times New Roman" w:hAnsi="Times New Roman" w:cs="Times New Roman"/>
          <w:sz w:val="24"/>
          <w:szCs w:val="24"/>
        </w:rPr>
        <w:t>48</w:t>
      </w:r>
      <w:r w:rsidR="00EF1BFF" w:rsidRPr="003B4E9E">
        <w:rPr>
          <w:rFonts w:ascii="Times New Roman" w:hAnsi="Times New Roman" w:cs="Times New Roman"/>
          <w:sz w:val="24"/>
          <w:szCs w:val="24"/>
        </w:rPr>
        <w:t xml:space="preserve"> months, which includes a</w:t>
      </w:r>
      <w:r w:rsidR="00A10EFD" w:rsidRPr="003B4E9E">
        <w:rPr>
          <w:rFonts w:ascii="Times New Roman" w:hAnsi="Times New Roman" w:cs="Times New Roman"/>
          <w:sz w:val="24"/>
          <w:szCs w:val="24"/>
        </w:rPr>
        <w:t>ll necessary implementation and startup activities. Grantees should begin serving participants no later than six months after the date of grant award.</w:t>
      </w:r>
      <w:r w:rsidR="00EF1BFF" w:rsidRPr="00EF1BFF">
        <w:rPr>
          <w:rFonts w:ascii="Times New Roman" w:hAnsi="Times New Roman" w:cs="Times New Roman"/>
          <w:sz w:val="24"/>
          <w:szCs w:val="24"/>
        </w:rPr>
        <w:t xml:space="preserve"> </w:t>
      </w:r>
    </w:p>
    <w:p w:rsidR="003B4E9E" w:rsidRPr="00C97D02" w:rsidRDefault="003B4E9E" w:rsidP="00C97D02">
      <w:pPr>
        <w:spacing w:after="0" w:line="240" w:lineRule="auto"/>
        <w:rPr>
          <w:rFonts w:ascii="Times New Roman" w:eastAsia="Times New Roman" w:hAnsi="Times New Roman" w:cs="Times New Roman"/>
          <w:sz w:val="24"/>
          <w:szCs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Arial Unicode MS"/>
          <w:color w:val="000000"/>
        </w:rPr>
      </w:pPr>
      <w:r w:rsidRPr="00C97D02">
        <w:rPr>
          <w:rFonts w:ascii="Times New Roman" w:eastAsia="Times New Roman" w:hAnsi="Times New Roman" w:cs="Times New Roman"/>
          <w:color w:val="000000"/>
          <w:sz w:val="24"/>
          <w:szCs w:val="24"/>
        </w:rPr>
        <w:t xml:space="preserve">Applications will include the following information collections:  </w:t>
      </w:r>
      <w:r w:rsidRPr="00C97D02">
        <w:rPr>
          <w:rFonts w:ascii="Times New Roman" w:eastAsia="Times New Roman" w:hAnsi="Times New Roman" w:cs="Times New Roman"/>
          <w:sz w:val="24"/>
          <w:szCs w:val="24"/>
        </w:rPr>
        <w:t xml:space="preserve">1) Form SF-424 “Application for Federal Assistance,” separately cleared under OMB control number </w:t>
      </w:r>
      <w:r w:rsidR="00517E2A">
        <w:rPr>
          <w:rFonts w:ascii="Times New Roman" w:eastAsia="Times New Roman" w:hAnsi="Times New Roman" w:cs="Times New Roman"/>
          <w:sz w:val="24"/>
          <w:szCs w:val="24"/>
        </w:rPr>
        <w:t>4040-0004</w:t>
      </w:r>
      <w:r w:rsidRPr="00C97D02">
        <w:rPr>
          <w:rFonts w:ascii="Times New Roman" w:eastAsia="Times New Roman" w:hAnsi="Times New Roman" w:cs="Times New Roman"/>
          <w:sz w:val="24"/>
          <w:szCs w:val="24"/>
        </w:rPr>
        <w:t xml:space="preserve">, 2) Project Budget, 3) Project Narrative, and 4) Attachments to the Project Narrative.  </w:t>
      </w:r>
    </w:p>
    <w:bookmarkEnd w:id="0"/>
    <w:bookmarkEnd w:id="1"/>
    <w:bookmarkEnd w:id="2"/>
    <w:bookmarkEnd w:id="3"/>
    <w:p w:rsidR="00C97D02" w:rsidRPr="00C97D02" w:rsidRDefault="00C97D02" w:rsidP="00C97D02">
      <w:pPr>
        <w:spacing w:after="0" w:line="240" w:lineRule="auto"/>
        <w:rPr>
          <w:rFonts w:ascii="Times New Roman" w:eastAsia="Times New Roman" w:hAnsi="Times New Roman" w:cs="Times New Roman"/>
          <w:sz w:val="24"/>
          <w:szCs w:val="24"/>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Electronic availability:</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lastRenderedPageBreak/>
        <w:t xml:space="preserve">This grant solicitation is available on the grants.gov Web site.  Based on past DOL experience, the Department anticipates </w:t>
      </w:r>
      <w:r w:rsidR="00C56380">
        <w:rPr>
          <w:rFonts w:ascii="Times New Roman" w:eastAsia="Times New Roman" w:hAnsi="Times New Roman" w:cs="Times New Roman"/>
          <w:color w:val="000000"/>
          <w:sz w:val="24"/>
          <w:szCs w:val="24"/>
        </w:rPr>
        <w:t>75</w:t>
      </w:r>
      <w:r w:rsidRPr="00C97D02">
        <w:rPr>
          <w:rFonts w:ascii="Times New Roman" w:eastAsia="Times New Roman" w:hAnsi="Times New Roman" w:cs="Times New Roman"/>
          <w:color w:val="000000"/>
          <w:sz w:val="24"/>
          <w:szCs w:val="24"/>
        </w:rPr>
        <w:t xml:space="preserve"> percent of responses will be submitted electronically.</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Small Entities:</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This information collection will not have a significant impact on a substantial number of small entities.</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BookAntiqua"/>
          <w:b/>
          <w:color w:val="000000"/>
          <w:sz w:val="24"/>
          <w:szCs w:val="24"/>
          <w:u w:val="single"/>
        </w:rPr>
      </w:pPr>
      <w:r w:rsidRPr="00C97D02">
        <w:rPr>
          <w:rFonts w:ascii="Times New Roman" w:eastAsia="Times New Roman" w:hAnsi="Times New Roman" w:cs="BookAntiqua"/>
          <w:b/>
          <w:color w:val="000000"/>
          <w:sz w:val="24"/>
          <w:szCs w:val="24"/>
          <w:u w:val="single"/>
        </w:rPr>
        <w:t>Assurances of confidentiality:</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BookAntiqua"/>
          <w:color w:val="000000"/>
          <w:sz w:val="24"/>
          <w:szCs w:val="24"/>
        </w:rPr>
        <w:t>These grant solicitations do not offer applicants assurances of confidentiality.</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BookAntiqua"/>
          <w:b/>
          <w:color w:val="000000"/>
          <w:sz w:val="24"/>
          <w:szCs w:val="24"/>
          <w:u w:val="single"/>
        </w:rPr>
      </w:pPr>
      <w:r w:rsidRPr="00C97D02">
        <w:rPr>
          <w:rFonts w:ascii="Times New Roman" w:eastAsia="Times New Roman" w:hAnsi="Times New Roman" w:cs="BookAntiqua"/>
          <w:b/>
          <w:color w:val="000000"/>
          <w:sz w:val="24"/>
          <w:szCs w:val="24"/>
          <w:u w:val="single"/>
        </w:rPr>
        <w:t>Special circumstances:</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BookAntiqua"/>
          <w:color w:val="000000"/>
          <w:sz w:val="24"/>
          <w:szCs w:val="24"/>
        </w:rPr>
      </w:pPr>
      <w:r w:rsidRPr="00C97D02">
        <w:rPr>
          <w:rFonts w:ascii="Times New Roman" w:eastAsia="Times New Roman" w:hAnsi="Times New Roman" w:cs="BookAntiqua"/>
          <w:color w:val="000000"/>
          <w:sz w:val="24"/>
          <w:szCs w:val="24"/>
        </w:rPr>
        <w:t>This FOA implicates no special circumstances.</w:t>
      </w: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Burden:</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Calibri" w:hAnsi="Times New Roman" w:cs="Times New Roman"/>
          <w:color w:val="000000"/>
          <w:sz w:val="24"/>
          <w:szCs w:val="24"/>
        </w:rPr>
      </w:pPr>
      <w:r w:rsidRPr="00C97D02">
        <w:rPr>
          <w:rFonts w:ascii="Times New Roman" w:eastAsia="Calibri" w:hAnsi="Times New Roman" w:cs="Times New Roman"/>
          <w:color w:val="000000"/>
          <w:sz w:val="24"/>
          <w:szCs w:val="24"/>
        </w:rPr>
        <w:t xml:space="preserve">Based on past experience, the DOL expects to receive approximately </w:t>
      </w:r>
      <w:r w:rsidR="007F6EF0">
        <w:rPr>
          <w:rFonts w:ascii="Times New Roman" w:eastAsia="Calibri" w:hAnsi="Times New Roman" w:cs="Times New Roman"/>
          <w:color w:val="000000"/>
          <w:sz w:val="24"/>
          <w:szCs w:val="24"/>
        </w:rPr>
        <w:t>20</w:t>
      </w:r>
      <w:r w:rsidR="00547052">
        <w:rPr>
          <w:rFonts w:ascii="Times New Roman" w:eastAsia="Calibri" w:hAnsi="Times New Roman" w:cs="Times New Roman"/>
          <w:color w:val="000000"/>
          <w:sz w:val="24"/>
          <w:szCs w:val="24"/>
        </w:rPr>
        <w:t>0</w:t>
      </w:r>
      <w:r w:rsidRPr="00C97D02">
        <w:rPr>
          <w:rFonts w:ascii="Times New Roman" w:eastAsia="Calibri" w:hAnsi="Times New Roman" w:cs="Times New Roman"/>
          <w:color w:val="000000"/>
          <w:sz w:val="24"/>
          <w:szCs w:val="24"/>
        </w:rPr>
        <w:t xml:space="preserve"> applications from an equal number of respondents.  The ETA estimates public reporting burden for the information collection to average </w:t>
      </w:r>
      <w:r w:rsidR="00C56380">
        <w:rPr>
          <w:rFonts w:ascii="Times New Roman" w:eastAsia="Calibri" w:hAnsi="Times New Roman" w:cs="Times New Roman"/>
          <w:color w:val="000000"/>
          <w:sz w:val="24"/>
          <w:szCs w:val="24"/>
        </w:rPr>
        <w:t>20</w:t>
      </w:r>
      <w:r w:rsidRPr="00C97D02">
        <w:rPr>
          <w:rFonts w:ascii="Times New Roman" w:eastAsia="Calibri" w:hAnsi="Times New Roman" w:cs="Times New Roman"/>
          <w:color w:val="000000"/>
          <w:sz w:val="24"/>
          <w:szCs w:val="24"/>
        </w:rPr>
        <w:t xml:space="preserve"> hours per response for reviewing instructions, searching existing data sources, gathering and maintaining needed data, and completing and reviewing the collection of information.</w:t>
      </w:r>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C97D02" w:rsidRDefault="007F6EF0" w:rsidP="00C97D02">
      <w:pPr>
        <w:spacing w:after="0" w:line="240" w:lineRule="auto"/>
        <w:rPr>
          <w:rFonts w:ascii="Times New Roman" w:eastAsia="Calibri" w:hAnsi="Times New Roman" w:cs="Times New Roman"/>
          <w:color w:val="000000"/>
          <w:sz w:val="24"/>
          <w:szCs w:val="24"/>
        </w:rPr>
      </w:pPr>
      <w:proofErr w:type="gramStart"/>
      <w:r>
        <w:rPr>
          <w:rFonts w:ascii="Times New Roman" w:eastAsia="Calibri" w:hAnsi="Times New Roman" w:cs="Times New Roman"/>
          <w:color w:val="000000"/>
          <w:sz w:val="24"/>
          <w:szCs w:val="24"/>
        </w:rPr>
        <w:t>20</w:t>
      </w:r>
      <w:r w:rsidR="00547052">
        <w:rPr>
          <w:rFonts w:ascii="Times New Roman" w:eastAsia="Calibri" w:hAnsi="Times New Roman" w:cs="Times New Roman"/>
          <w:color w:val="000000"/>
          <w:sz w:val="24"/>
          <w:szCs w:val="24"/>
        </w:rPr>
        <w:t>0</w:t>
      </w:r>
      <w:r w:rsidR="00C97D02" w:rsidRPr="00C97D02">
        <w:rPr>
          <w:rFonts w:ascii="Times New Roman" w:eastAsia="Calibri" w:hAnsi="Times New Roman" w:cs="Times New Roman"/>
          <w:color w:val="000000"/>
          <w:sz w:val="24"/>
          <w:szCs w:val="24"/>
        </w:rPr>
        <w:t xml:space="preserve"> applications x </w:t>
      </w:r>
      <w:r w:rsidR="00C54AA8">
        <w:rPr>
          <w:rFonts w:ascii="Times New Roman" w:eastAsia="Calibri" w:hAnsi="Times New Roman" w:cs="Times New Roman"/>
          <w:color w:val="000000"/>
          <w:sz w:val="24"/>
          <w:szCs w:val="24"/>
        </w:rPr>
        <w:t>20</w:t>
      </w:r>
      <w:r w:rsidR="00C97D02" w:rsidRPr="00C97D02">
        <w:rPr>
          <w:rFonts w:ascii="Times New Roman" w:eastAsia="Calibri" w:hAnsi="Times New Roman" w:cs="Times New Roman"/>
          <w:color w:val="000000"/>
          <w:sz w:val="24"/>
          <w:szCs w:val="24"/>
        </w:rPr>
        <w:t xml:space="preserve"> hours =</w:t>
      </w:r>
      <w:r w:rsidR="00C97D02">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40</w:t>
      </w:r>
      <w:r w:rsidR="00C54AA8" w:rsidRPr="005A34DF">
        <w:rPr>
          <w:rFonts w:ascii="Times New Roman" w:eastAsia="Calibri" w:hAnsi="Times New Roman" w:cs="Times New Roman"/>
          <w:color w:val="000000"/>
          <w:sz w:val="24"/>
          <w:szCs w:val="24"/>
        </w:rPr>
        <w:t>00</w:t>
      </w:r>
      <w:r w:rsidR="00C97D02" w:rsidRPr="00C97D02">
        <w:rPr>
          <w:rFonts w:ascii="Times New Roman" w:eastAsia="Calibri" w:hAnsi="Times New Roman" w:cs="Times New Roman"/>
          <w:color w:val="000000"/>
          <w:sz w:val="24"/>
          <w:szCs w:val="24"/>
        </w:rPr>
        <w:t xml:space="preserve"> hours.</w:t>
      </w:r>
      <w:proofErr w:type="gramEnd"/>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C97D02" w:rsidRDefault="00C97D02" w:rsidP="00C97D02">
      <w:pPr>
        <w:spacing w:after="0" w:line="240" w:lineRule="auto"/>
        <w:rPr>
          <w:rFonts w:ascii="Times New Roman" w:eastAsia="Calibri" w:hAnsi="Times New Roman" w:cs="Times New Roman"/>
          <w:color w:val="000000"/>
          <w:sz w:val="24"/>
          <w:szCs w:val="24"/>
        </w:rPr>
      </w:pPr>
      <w:r w:rsidRPr="00C97D02">
        <w:rPr>
          <w:rFonts w:ascii="Times New Roman" w:eastAsia="Calibri" w:hAnsi="Times New Roman" w:cs="Times New Roman"/>
          <w:color w:val="000000"/>
          <w:sz w:val="24"/>
          <w:szCs w:val="24"/>
        </w:rPr>
        <w:t>The DOL has increased the</w:t>
      </w:r>
      <w:r>
        <w:rPr>
          <w:rFonts w:ascii="Times New Roman" w:eastAsia="Calibri" w:hAnsi="Times New Roman" w:cs="Times New Roman"/>
          <w:color w:val="000000"/>
          <w:sz w:val="24"/>
          <w:szCs w:val="24"/>
        </w:rPr>
        <w:t xml:space="preserve"> </w:t>
      </w:r>
      <w:r w:rsidR="00C56380">
        <w:rPr>
          <w:rFonts w:ascii="Times New Roman" w:eastAsia="Calibri" w:hAnsi="Times New Roman" w:cs="Times New Roman"/>
          <w:color w:val="000000"/>
          <w:sz w:val="24"/>
          <w:szCs w:val="24"/>
        </w:rPr>
        <w:t>October</w:t>
      </w:r>
      <w:r w:rsidR="00D70C6D" w:rsidRPr="00C97D02">
        <w:rPr>
          <w:rFonts w:ascii="Times New Roman" w:eastAsia="Calibri" w:hAnsi="Times New Roman" w:cs="Times New Roman"/>
          <w:color w:val="000000"/>
          <w:sz w:val="24"/>
          <w:szCs w:val="24"/>
        </w:rPr>
        <w:t xml:space="preserve"> </w:t>
      </w:r>
      <w:r w:rsidRPr="00C97D02">
        <w:rPr>
          <w:rFonts w:ascii="Times New Roman" w:eastAsia="Calibri" w:hAnsi="Times New Roman" w:cs="Times New Roman"/>
          <w:color w:val="000000"/>
          <w:sz w:val="24"/>
          <w:szCs w:val="24"/>
        </w:rPr>
        <w:t xml:space="preserve">2014, average hourly earnings in the professional and business services industry of $29.29 per hour by </w:t>
      </w:r>
      <w:r w:rsidR="00D70C6D">
        <w:rPr>
          <w:rFonts w:ascii="Times New Roman" w:eastAsia="Calibri" w:hAnsi="Times New Roman" w:cs="Times New Roman"/>
          <w:color w:val="000000"/>
          <w:sz w:val="24"/>
          <w:szCs w:val="24"/>
        </w:rPr>
        <w:t>4</w:t>
      </w:r>
      <w:r w:rsidR="000306E2">
        <w:rPr>
          <w:rFonts w:ascii="Times New Roman" w:eastAsia="Calibri" w:hAnsi="Times New Roman" w:cs="Times New Roman"/>
          <w:color w:val="000000"/>
          <w:sz w:val="24"/>
          <w:szCs w:val="24"/>
        </w:rPr>
        <w:t>0</w:t>
      </w:r>
      <w:r w:rsidRPr="00C97D02">
        <w:rPr>
          <w:rFonts w:ascii="Times New Roman" w:eastAsia="Calibri" w:hAnsi="Times New Roman" w:cs="Times New Roman"/>
          <w:color w:val="000000"/>
          <w:sz w:val="24"/>
          <w:szCs w:val="24"/>
        </w:rPr>
        <w:t xml:space="preserve"> percent (total</w:t>
      </w:r>
      <w:r>
        <w:rPr>
          <w:rFonts w:ascii="Times New Roman" w:eastAsia="Calibri" w:hAnsi="Times New Roman" w:cs="Times New Roman"/>
          <w:color w:val="000000"/>
          <w:sz w:val="24"/>
          <w:szCs w:val="24"/>
        </w:rPr>
        <w:t xml:space="preserve"> </w:t>
      </w:r>
      <w:r w:rsidRPr="00C97D02">
        <w:rPr>
          <w:rFonts w:ascii="Times New Roman" w:eastAsia="Calibri" w:hAnsi="Times New Roman" w:cs="Times New Roman"/>
          <w:color w:val="000000"/>
          <w:sz w:val="24"/>
          <w:szCs w:val="24"/>
        </w:rPr>
        <w:t xml:space="preserve">$41.01 per hour) to monetize this burden.  </w:t>
      </w:r>
      <w:r w:rsidRPr="00C97D02">
        <w:rPr>
          <w:rFonts w:ascii="Times New Roman" w:eastAsia="Calibri" w:hAnsi="Times New Roman" w:cs="Times New Roman"/>
          <w:i/>
          <w:iCs/>
          <w:color w:val="000000"/>
          <w:sz w:val="24"/>
          <w:szCs w:val="24"/>
        </w:rPr>
        <w:t>See The Employment Situation—</w:t>
      </w:r>
      <w:r w:rsidR="00D70C6D">
        <w:rPr>
          <w:rFonts w:ascii="Times New Roman" w:eastAsia="Calibri" w:hAnsi="Times New Roman" w:cs="Times New Roman"/>
          <w:i/>
          <w:iCs/>
          <w:color w:val="000000"/>
          <w:sz w:val="24"/>
          <w:szCs w:val="24"/>
        </w:rPr>
        <w:t>October</w:t>
      </w:r>
      <w:r w:rsidR="00D70C6D" w:rsidRPr="00C97D02">
        <w:rPr>
          <w:rFonts w:ascii="Times New Roman" w:eastAsia="Calibri" w:hAnsi="Times New Roman" w:cs="Times New Roman"/>
          <w:i/>
          <w:iCs/>
          <w:color w:val="000000"/>
          <w:sz w:val="24"/>
          <w:szCs w:val="24"/>
        </w:rPr>
        <w:t xml:space="preserve"> </w:t>
      </w:r>
      <w:r w:rsidRPr="00C97D02">
        <w:rPr>
          <w:rFonts w:ascii="Times New Roman" w:eastAsia="Calibri" w:hAnsi="Times New Roman" w:cs="Times New Roman"/>
          <w:i/>
          <w:iCs/>
          <w:color w:val="000000"/>
          <w:sz w:val="24"/>
          <w:szCs w:val="24"/>
        </w:rPr>
        <w:t>2014</w:t>
      </w:r>
      <w:r w:rsidRPr="00C97D02">
        <w:rPr>
          <w:rFonts w:ascii="Times New Roman" w:eastAsia="Calibri" w:hAnsi="Times New Roman" w:cs="Times New Roman"/>
          <w:color w:val="000000"/>
          <w:sz w:val="24"/>
          <w:szCs w:val="24"/>
        </w:rPr>
        <w:t xml:space="preserve">, DOL, Bureau of Labor Statistics, </w:t>
      </w:r>
      <w:hyperlink r:id="rId8" w:history="1">
        <w:r w:rsidR="00D70C6D" w:rsidRPr="00347EA2">
          <w:rPr>
            <w:rStyle w:val="Hyperlink"/>
            <w:rFonts w:ascii="Times New Roman" w:eastAsia="Calibri" w:hAnsi="Times New Roman" w:cs="Times New Roman"/>
            <w:sz w:val="24"/>
            <w:szCs w:val="24"/>
          </w:rPr>
          <w:t>http://www.bls.gov/news.release/archives/empsit_11072014.pdf</w:t>
        </w:r>
      </w:hyperlink>
      <w:bookmarkStart w:id="4" w:name="_GoBack"/>
      <w:bookmarkEnd w:id="4"/>
      <w:r w:rsidR="00D70C6D" w:rsidRPr="00347EA2">
        <w:rPr>
          <w:rFonts w:ascii="Times New Roman" w:eastAsia="Calibri" w:hAnsi="Times New Roman" w:cs="Times New Roman"/>
          <w:sz w:val="24"/>
          <w:szCs w:val="24"/>
        </w:rPr>
        <w:t xml:space="preserve"> at page 32</w:t>
      </w:r>
      <w:r w:rsidRPr="007F6EF0">
        <w:rPr>
          <w:rFonts w:ascii="Times New Roman" w:eastAsia="Calibri" w:hAnsi="Times New Roman" w:cs="Times New Roman"/>
          <w:color w:val="000000"/>
          <w:sz w:val="24"/>
          <w:szCs w:val="24"/>
        </w:rPr>
        <w:t>.</w:t>
      </w:r>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C97D02" w:rsidRDefault="007F6EF0" w:rsidP="00C97D02">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40</w:t>
      </w:r>
      <w:r w:rsidR="003B58AD" w:rsidRPr="005A34DF">
        <w:rPr>
          <w:rFonts w:ascii="Times New Roman" w:eastAsia="Calibri" w:hAnsi="Times New Roman" w:cs="Times New Roman"/>
          <w:color w:val="000000"/>
          <w:sz w:val="24"/>
          <w:szCs w:val="24"/>
        </w:rPr>
        <w:t>0</w:t>
      </w:r>
      <w:r w:rsidR="00C54AA8" w:rsidRPr="005A34DF">
        <w:rPr>
          <w:rFonts w:ascii="Times New Roman" w:eastAsia="Calibri" w:hAnsi="Times New Roman" w:cs="Times New Roman"/>
          <w:color w:val="000000"/>
          <w:sz w:val="24"/>
          <w:szCs w:val="24"/>
        </w:rPr>
        <w:t>0</w:t>
      </w:r>
      <w:r w:rsidR="00C97D02" w:rsidRPr="00C97D02">
        <w:rPr>
          <w:rFonts w:ascii="Times New Roman" w:eastAsia="Calibri" w:hAnsi="Times New Roman" w:cs="Times New Roman"/>
          <w:color w:val="000000"/>
          <w:sz w:val="24"/>
          <w:szCs w:val="24"/>
        </w:rPr>
        <w:t xml:space="preserve"> hours x $41.01</w:t>
      </w:r>
      <w:r w:rsidR="00C97D02">
        <w:rPr>
          <w:rFonts w:ascii="Times New Roman" w:eastAsia="Calibri" w:hAnsi="Times New Roman" w:cs="Times New Roman"/>
          <w:color w:val="000000"/>
          <w:sz w:val="24"/>
          <w:szCs w:val="24"/>
        </w:rPr>
        <w:t xml:space="preserve"> </w:t>
      </w:r>
      <w:r w:rsidR="00C97D02" w:rsidRPr="00C97D02">
        <w:rPr>
          <w:rFonts w:ascii="Times New Roman" w:eastAsia="Calibri" w:hAnsi="Times New Roman" w:cs="Times New Roman"/>
          <w:color w:val="000000"/>
          <w:sz w:val="24"/>
          <w:szCs w:val="24"/>
        </w:rPr>
        <w:t>=</w:t>
      </w:r>
      <w:r w:rsidR="00C97D02">
        <w:rPr>
          <w:rFonts w:ascii="Times New Roman" w:eastAsia="Calibri" w:hAnsi="Times New Roman" w:cs="Times New Roman"/>
          <w:color w:val="000000"/>
          <w:sz w:val="24"/>
          <w:szCs w:val="24"/>
        </w:rPr>
        <w:t xml:space="preserve"> </w:t>
      </w:r>
      <w:r w:rsidR="00C97D02" w:rsidRPr="005A34DF">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16</w:t>
      </w:r>
      <w:r w:rsidR="00547052">
        <w:rPr>
          <w:rFonts w:ascii="Times New Roman" w:eastAsia="Calibri" w:hAnsi="Times New Roman" w:cs="Times New Roman"/>
          <w:color w:val="000000"/>
          <w:sz w:val="24"/>
          <w:szCs w:val="24"/>
        </w:rPr>
        <w:t>4</w:t>
      </w:r>
      <w:r w:rsidR="00A86BFB">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040</w:t>
      </w:r>
      <w:r w:rsidR="00C97D02" w:rsidRPr="005A34DF">
        <w:rPr>
          <w:rFonts w:ascii="Times New Roman" w:eastAsia="Calibri" w:hAnsi="Times New Roman" w:cs="Times New Roman"/>
          <w:color w:val="000000"/>
          <w:sz w:val="24"/>
          <w:szCs w:val="24"/>
        </w:rPr>
        <w:t>.</w:t>
      </w:r>
      <w:r w:rsidR="003B58AD" w:rsidRPr="005A34DF">
        <w:rPr>
          <w:rFonts w:ascii="Times New Roman" w:eastAsia="Calibri" w:hAnsi="Times New Roman" w:cs="Times New Roman"/>
          <w:color w:val="000000"/>
          <w:sz w:val="24"/>
          <w:szCs w:val="24"/>
        </w:rPr>
        <w:t>00</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The DOL associates no other burden costs with this information collection.  In addition to the application, each grantee will be required to submit quarterly financial, performance, and narrative reports to the ETA.  Those information collection requirements will be cleared under a separate control number.</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i/>
          <w:color w:val="000000"/>
          <w:sz w:val="24"/>
          <w:szCs w:val="24"/>
        </w:rPr>
      </w:pPr>
      <w:r w:rsidRPr="00C97D02">
        <w:rPr>
          <w:rFonts w:ascii="Times New Roman" w:eastAsia="Times New Roman" w:hAnsi="Times New Roman" w:cs="Times New Roman"/>
          <w:i/>
          <w:color w:val="000000"/>
          <w:sz w:val="24"/>
          <w:szCs w:val="24"/>
        </w:rPr>
        <w:t xml:space="preserve">Total burden: </w:t>
      </w:r>
      <w:r w:rsidR="007F6EF0">
        <w:rPr>
          <w:rFonts w:ascii="Times New Roman" w:eastAsia="Times New Roman" w:hAnsi="Times New Roman" w:cs="Times New Roman"/>
          <w:i/>
          <w:color w:val="000000"/>
          <w:sz w:val="24"/>
          <w:szCs w:val="24"/>
        </w:rPr>
        <w:t>200</w:t>
      </w:r>
      <w:r w:rsidRPr="00C97D02">
        <w:rPr>
          <w:rFonts w:ascii="Times New Roman" w:eastAsia="Times New Roman" w:hAnsi="Times New Roman" w:cs="Times New Roman"/>
          <w:i/>
          <w:color w:val="000000"/>
          <w:sz w:val="24"/>
          <w:szCs w:val="24"/>
        </w:rPr>
        <w:t xml:space="preserve"> respondents,</w:t>
      </w:r>
      <w:r w:rsidR="00C56380">
        <w:rPr>
          <w:rFonts w:ascii="Times New Roman" w:eastAsia="Times New Roman" w:hAnsi="Times New Roman" w:cs="Times New Roman"/>
          <w:i/>
          <w:color w:val="000000"/>
          <w:sz w:val="24"/>
          <w:szCs w:val="24"/>
        </w:rPr>
        <w:t xml:space="preserve"> </w:t>
      </w:r>
      <w:r w:rsidR="007F6EF0">
        <w:rPr>
          <w:rFonts w:ascii="Times New Roman" w:eastAsia="Times New Roman" w:hAnsi="Times New Roman" w:cs="Times New Roman"/>
          <w:i/>
          <w:color w:val="000000"/>
          <w:sz w:val="24"/>
          <w:szCs w:val="24"/>
        </w:rPr>
        <w:t>20</w:t>
      </w:r>
      <w:r w:rsidR="00547052">
        <w:rPr>
          <w:rFonts w:ascii="Times New Roman" w:eastAsia="Times New Roman" w:hAnsi="Times New Roman" w:cs="Times New Roman"/>
          <w:i/>
          <w:color w:val="000000"/>
          <w:sz w:val="24"/>
          <w:szCs w:val="24"/>
        </w:rPr>
        <w:t>0</w:t>
      </w:r>
      <w:r w:rsidRPr="00C97D02">
        <w:rPr>
          <w:rFonts w:ascii="Times New Roman" w:eastAsia="Times New Roman" w:hAnsi="Times New Roman" w:cs="Times New Roman"/>
          <w:i/>
          <w:color w:val="000000"/>
          <w:sz w:val="24"/>
          <w:szCs w:val="24"/>
        </w:rPr>
        <w:t xml:space="preserve"> responses,</w:t>
      </w:r>
      <w:r w:rsidR="00C56380">
        <w:rPr>
          <w:rFonts w:ascii="Times New Roman" w:eastAsia="Times New Roman" w:hAnsi="Times New Roman" w:cs="Times New Roman"/>
          <w:i/>
          <w:color w:val="000000"/>
          <w:sz w:val="24"/>
          <w:szCs w:val="24"/>
        </w:rPr>
        <w:t xml:space="preserve"> </w:t>
      </w:r>
      <w:r w:rsidR="007F6EF0">
        <w:rPr>
          <w:rFonts w:ascii="Times New Roman" w:eastAsia="Times New Roman" w:hAnsi="Times New Roman" w:cs="Times New Roman"/>
          <w:i/>
          <w:color w:val="000000"/>
          <w:sz w:val="24"/>
          <w:szCs w:val="24"/>
        </w:rPr>
        <w:t>400</w:t>
      </w:r>
      <w:r w:rsidR="00A86BFB">
        <w:rPr>
          <w:rFonts w:ascii="Times New Roman" w:eastAsia="Times New Roman" w:hAnsi="Times New Roman" w:cs="Times New Roman"/>
          <w:i/>
          <w:color w:val="000000"/>
          <w:sz w:val="24"/>
          <w:szCs w:val="24"/>
        </w:rPr>
        <w:t>0</w:t>
      </w:r>
      <w:r w:rsidRPr="00C97D02">
        <w:rPr>
          <w:rFonts w:ascii="Times New Roman" w:eastAsia="Times New Roman" w:hAnsi="Times New Roman" w:cs="Times New Roman"/>
          <w:i/>
          <w:color w:val="000000"/>
          <w:sz w:val="24"/>
          <w:szCs w:val="24"/>
        </w:rPr>
        <w:t xml:space="preserve"> hours, $</w:t>
      </w:r>
      <w:r w:rsidR="000306E2">
        <w:rPr>
          <w:rFonts w:ascii="Times New Roman" w:eastAsia="Times New Roman" w:hAnsi="Times New Roman" w:cs="Times New Roman"/>
          <w:i/>
          <w:color w:val="000000"/>
          <w:sz w:val="24"/>
          <w:szCs w:val="24"/>
        </w:rPr>
        <w:t>0</w:t>
      </w:r>
      <w:r w:rsidRPr="00C97D02">
        <w:rPr>
          <w:rFonts w:ascii="Times New Roman" w:eastAsia="Times New Roman" w:hAnsi="Times New Roman" w:cs="Times New Roman"/>
          <w:i/>
          <w:color w:val="000000"/>
          <w:sz w:val="24"/>
          <w:szCs w:val="24"/>
        </w:rPr>
        <w:t xml:space="preserve"> other cost burden.</w:t>
      </w:r>
    </w:p>
    <w:p w:rsidR="00C97D02" w:rsidRPr="00C97D02" w:rsidRDefault="00C97D02" w:rsidP="00C97D02">
      <w:pPr>
        <w:spacing w:after="0" w:line="240" w:lineRule="auto"/>
        <w:rPr>
          <w:rFonts w:ascii="Times New Roman" w:eastAsia="Times New Roman" w:hAnsi="Times New Roman" w:cs="BookAntiqua"/>
          <w:b/>
          <w:color w:val="000000"/>
          <w:sz w:val="24"/>
          <w:szCs w:val="24"/>
          <w:u w:val="single"/>
        </w:rPr>
      </w:pPr>
    </w:p>
    <w:p w:rsidR="00C97D02" w:rsidRPr="00C97D02" w:rsidRDefault="00C97D02" w:rsidP="00C97D02">
      <w:pPr>
        <w:spacing w:after="0" w:line="240" w:lineRule="auto"/>
        <w:rPr>
          <w:rFonts w:ascii="Times New Roman" w:eastAsia="Times New Roman" w:hAnsi="Times New Roman" w:cs="BookAntiqua"/>
          <w:b/>
          <w:i/>
          <w:color w:val="000000"/>
          <w:sz w:val="24"/>
          <w:szCs w:val="24"/>
          <w:u w:val="single"/>
        </w:rPr>
      </w:pPr>
      <w:r w:rsidRPr="00C97D02">
        <w:rPr>
          <w:rFonts w:ascii="Times New Roman" w:eastAsia="Times New Roman" w:hAnsi="Times New Roman" w:cs="BookAntiqua"/>
          <w:b/>
          <w:i/>
          <w:color w:val="000000"/>
          <w:sz w:val="24"/>
          <w:szCs w:val="24"/>
          <w:u w:val="single"/>
        </w:rPr>
        <w:t>Supplemental Supporting Statement B: Statistical Methods</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033FCA" w:rsidRDefault="00C97D02" w:rsidP="00A86BFB">
      <w:pPr>
        <w:spacing w:after="0" w:line="240" w:lineRule="auto"/>
      </w:pPr>
      <w:r w:rsidRPr="00C97D02">
        <w:rPr>
          <w:rFonts w:ascii="Times New Roman" w:eastAsia="Times New Roman" w:hAnsi="Times New Roman" w:cs="BookAntiqua"/>
          <w:color w:val="000000"/>
          <w:sz w:val="24"/>
          <w:szCs w:val="24"/>
        </w:rPr>
        <w:t>This information collection does not employ statistical methods.</w:t>
      </w:r>
    </w:p>
    <w:sectPr w:rsidR="00033FC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A51" w:rsidRDefault="006B4A51" w:rsidP="00C97D02">
      <w:pPr>
        <w:spacing w:after="0" w:line="240" w:lineRule="auto"/>
      </w:pPr>
      <w:r>
        <w:separator/>
      </w:r>
    </w:p>
  </w:endnote>
  <w:endnote w:type="continuationSeparator" w:id="0">
    <w:p w:rsidR="006B4A51" w:rsidRDefault="006B4A51"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BookAntiqua">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16011"/>
      <w:docPartObj>
        <w:docPartGallery w:val="Page Numbers (Bottom of Page)"/>
        <w:docPartUnique/>
      </w:docPartObj>
    </w:sdtPr>
    <w:sdtEndPr>
      <w:rPr>
        <w:noProof/>
      </w:rPr>
    </w:sdtEndPr>
    <w:sdtContent>
      <w:p w:rsidR="0051557A" w:rsidRDefault="0051557A">
        <w:pPr>
          <w:pStyle w:val="Footer"/>
          <w:jc w:val="center"/>
        </w:pPr>
        <w:r>
          <w:fldChar w:fldCharType="begin"/>
        </w:r>
        <w:r>
          <w:instrText xml:space="preserve"> PAGE   \* MERGEFORMAT </w:instrText>
        </w:r>
        <w:r>
          <w:fldChar w:fldCharType="separate"/>
        </w:r>
        <w:r w:rsidR="00347EA2">
          <w:rPr>
            <w:noProof/>
          </w:rPr>
          <w:t>2</w:t>
        </w:r>
        <w:r>
          <w:rPr>
            <w:noProof/>
          </w:rPr>
          <w:fldChar w:fldCharType="end"/>
        </w:r>
      </w:p>
    </w:sdtContent>
  </w:sdt>
  <w:p w:rsidR="0051557A" w:rsidRDefault="00515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A51" w:rsidRDefault="006B4A51" w:rsidP="00C97D02">
      <w:pPr>
        <w:spacing w:after="0" w:line="240" w:lineRule="auto"/>
      </w:pPr>
      <w:r>
        <w:separator/>
      </w:r>
    </w:p>
  </w:footnote>
  <w:footnote w:type="continuationSeparator" w:id="0">
    <w:p w:rsidR="006B4A51" w:rsidRDefault="006B4A51" w:rsidP="00C97D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33E81A5D"/>
    <w:multiLevelType w:val="hybridMultilevel"/>
    <w:tmpl w:val="2006F53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02"/>
    <w:rsid w:val="00000897"/>
    <w:rsid w:val="00006DE9"/>
    <w:rsid w:val="00025C36"/>
    <w:rsid w:val="000278E8"/>
    <w:rsid w:val="000306E2"/>
    <w:rsid w:val="00033FCA"/>
    <w:rsid w:val="00036333"/>
    <w:rsid w:val="00075A18"/>
    <w:rsid w:val="000A4A71"/>
    <w:rsid w:val="000C2781"/>
    <w:rsid w:val="000D0095"/>
    <w:rsid w:val="000D77F4"/>
    <w:rsid w:val="000E36A8"/>
    <w:rsid w:val="000E6452"/>
    <w:rsid w:val="001127D3"/>
    <w:rsid w:val="001142E2"/>
    <w:rsid w:val="00126CC3"/>
    <w:rsid w:val="00131D17"/>
    <w:rsid w:val="001331CD"/>
    <w:rsid w:val="00137E47"/>
    <w:rsid w:val="0015387B"/>
    <w:rsid w:val="00167E40"/>
    <w:rsid w:val="001B6554"/>
    <w:rsid w:val="001C4718"/>
    <w:rsid w:val="001C5076"/>
    <w:rsid w:val="001D1F85"/>
    <w:rsid w:val="001F3A5D"/>
    <w:rsid w:val="002220B6"/>
    <w:rsid w:val="0024004B"/>
    <w:rsid w:val="002460A8"/>
    <w:rsid w:val="002528B1"/>
    <w:rsid w:val="0025433B"/>
    <w:rsid w:val="00276526"/>
    <w:rsid w:val="00277FE2"/>
    <w:rsid w:val="00280875"/>
    <w:rsid w:val="00282C52"/>
    <w:rsid w:val="00285E2D"/>
    <w:rsid w:val="00296DDE"/>
    <w:rsid w:val="002B3647"/>
    <w:rsid w:val="002B3B0A"/>
    <w:rsid w:val="002B6BCF"/>
    <w:rsid w:val="002C4631"/>
    <w:rsid w:val="002D1A6C"/>
    <w:rsid w:val="002D1EC1"/>
    <w:rsid w:val="002D2A16"/>
    <w:rsid w:val="002E0740"/>
    <w:rsid w:val="003021B4"/>
    <w:rsid w:val="00320E77"/>
    <w:rsid w:val="00323359"/>
    <w:rsid w:val="0033099A"/>
    <w:rsid w:val="00332BE0"/>
    <w:rsid w:val="00347EA2"/>
    <w:rsid w:val="00357969"/>
    <w:rsid w:val="003664FB"/>
    <w:rsid w:val="003719E6"/>
    <w:rsid w:val="003B4E9E"/>
    <w:rsid w:val="003B58AD"/>
    <w:rsid w:val="003C249A"/>
    <w:rsid w:val="0041166A"/>
    <w:rsid w:val="00413F86"/>
    <w:rsid w:val="0043347F"/>
    <w:rsid w:val="00471D5F"/>
    <w:rsid w:val="00474DAA"/>
    <w:rsid w:val="00474E78"/>
    <w:rsid w:val="0048667B"/>
    <w:rsid w:val="004B40ED"/>
    <w:rsid w:val="004B5DD0"/>
    <w:rsid w:val="004B760D"/>
    <w:rsid w:val="004C3B63"/>
    <w:rsid w:val="004D3316"/>
    <w:rsid w:val="004D3BA3"/>
    <w:rsid w:val="004E5D51"/>
    <w:rsid w:val="004F00C4"/>
    <w:rsid w:val="004F4A2C"/>
    <w:rsid w:val="0051557A"/>
    <w:rsid w:val="00515A5A"/>
    <w:rsid w:val="00517E2A"/>
    <w:rsid w:val="00526F79"/>
    <w:rsid w:val="00547052"/>
    <w:rsid w:val="0056684F"/>
    <w:rsid w:val="00587656"/>
    <w:rsid w:val="005934FD"/>
    <w:rsid w:val="005A34DF"/>
    <w:rsid w:val="005B3BCB"/>
    <w:rsid w:val="005B667B"/>
    <w:rsid w:val="005C4DA7"/>
    <w:rsid w:val="005E1A27"/>
    <w:rsid w:val="005E3012"/>
    <w:rsid w:val="005E6A31"/>
    <w:rsid w:val="005E79E9"/>
    <w:rsid w:val="005F078E"/>
    <w:rsid w:val="005F42D6"/>
    <w:rsid w:val="00624753"/>
    <w:rsid w:val="00626D51"/>
    <w:rsid w:val="00633991"/>
    <w:rsid w:val="00655DEC"/>
    <w:rsid w:val="00661610"/>
    <w:rsid w:val="00664A39"/>
    <w:rsid w:val="00665A0C"/>
    <w:rsid w:val="006808AA"/>
    <w:rsid w:val="0068481D"/>
    <w:rsid w:val="006934C7"/>
    <w:rsid w:val="006A6570"/>
    <w:rsid w:val="006B4A51"/>
    <w:rsid w:val="006F3105"/>
    <w:rsid w:val="00715E3B"/>
    <w:rsid w:val="00753F76"/>
    <w:rsid w:val="00754A05"/>
    <w:rsid w:val="00760C81"/>
    <w:rsid w:val="00763E01"/>
    <w:rsid w:val="00776DE2"/>
    <w:rsid w:val="00784C72"/>
    <w:rsid w:val="007A74DE"/>
    <w:rsid w:val="007A75C7"/>
    <w:rsid w:val="007B283B"/>
    <w:rsid w:val="007B76A8"/>
    <w:rsid w:val="007C0285"/>
    <w:rsid w:val="007D756D"/>
    <w:rsid w:val="007F013B"/>
    <w:rsid w:val="007F6EF0"/>
    <w:rsid w:val="00804B47"/>
    <w:rsid w:val="00810904"/>
    <w:rsid w:val="008218BF"/>
    <w:rsid w:val="008315E9"/>
    <w:rsid w:val="00834C46"/>
    <w:rsid w:val="00851DB7"/>
    <w:rsid w:val="00851FB8"/>
    <w:rsid w:val="008766D8"/>
    <w:rsid w:val="00897D92"/>
    <w:rsid w:val="008A44E6"/>
    <w:rsid w:val="008B3547"/>
    <w:rsid w:val="008D0FA9"/>
    <w:rsid w:val="008D179A"/>
    <w:rsid w:val="008D573D"/>
    <w:rsid w:val="008E0B8D"/>
    <w:rsid w:val="008F4B48"/>
    <w:rsid w:val="00913352"/>
    <w:rsid w:val="00926998"/>
    <w:rsid w:val="00931874"/>
    <w:rsid w:val="00931D79"/>
    <w:rsid w:val="009335C1"/>
    <w:rsid w:val="00934F65"/>
    <w:rsid w:val="00956787"/>
    <w:rsid w:val="0095680F"/>
    <w:rsid w:val="0095681D"/>
    <w:rsid w:val="00966104"/>
    <w:rsid w:val="00966A2D"/>
    <w:rsid w:val="009870B0"/>
    <w:rsid w:val="00991433"/>
    <w:rsid w:val="009A5F3A"/>
    <w:rsid w:val="009C31A7"/>
    <w:rsid w:val="009F00EE"/>
    <w:rsid w:val="00A02531"/>
    <w:rsid w:val="00A10EFD"/>
    <w:rsid w:val="00A249EF"/>
    <w:rsid w:val="00A50716"/>
    <w:rsid w:val="00A53500"/>
    <w:rsid w:val="00A55AFF"/>
    <w:rsid w:val="00A63065"/>
    <w:rsid w:val="00A86BFB"/>
    <w:rsid w:val="00AA4FB1"/>
    <w:rsid w:val="00AC1A3D"/>
    <w:rsid w:val="00AC23D5"/>
    <w:rsid w:val="00AC6E24"/>
    <w:rsid w:val="00AE2A86"/>
    <w:rsid w:val="00AE691D"/>
    <w:rsid w:val="00AF084F"/>
    <w:rsid w:val="00B0326F"/>
    <w:rsid w:val="00B12344"/>
    <w:rsid w:val="00B137D2"/>
    <w:rsid w:val="00B452CC"/>
    <w:rsid w:val="00B56961"/>
    <w:rsid w:val="00B618CB"/>
    <w:rsid w:val="00B67BC2"/>
    <w:rsid w:val="00B72F5F"/>
    <w:rsid w:val="00BA1A09"/>
    <w:rsid w:val="00BA1DE7"/>
    <w:rsid w:val="00BB0424"/>
    <w:rsid w:val="00BC0E37"/>
    <w:rsid w:val="00BC0F38"/>
    <w:rsid w:val="00BE355C"/>
    <w:rsid w:val="00BF0768"/>
    <w:rsid w:val="00BF4378"/>
    <w:rsid w:val="00BF792F"/>
    <w:rsid w:val="00C048EC"/>
    <w:rsid w:val="00C11B68"/>
    <w:rsid w:val="00C34505"/>
    <w:rsid w:val="00C54AA8"/>
    <w:rsid w:val="00C56380"/>
    <w:rsid w:val="00C57116"/>
    <w:rsid w:val="00C80CCE"/>
    <w:rsid w:val="00C93CEB"/>
    <w:rsid w:val="00C97D02"/>
    <w:rsid w:val="00CA586F"/>
    <w:rsid w:val="00CD079A"/>
    <w:rsid w:val="00CD6CE4"/>
    <w:rsid w:val="00CF7E6B"/>
    <w:rsid w:val="00D07AF1"/>
    <w:rsid w:val="00D107B1"/>
    <w:rsid w:val="00D33C49"/>
    <w:rsid w:val="00D35E0E"/>
    <w:rsid w:val="00D47F8F"/>
    <w:rsid w:val="00D521FD"/>
    <w:rsid w:val="00D62192"/>
    <w:rsid w:val="00D623D4"/>
    <w:rsid w:val="00D70C6D"/>
    <w:rsid w:val="00D71F8F"/>
    <w:rsid w:val="00D94816"/>
    <w:rsid w:val="00DA7C6B"/>
    <w:rsid w:val="00DC095D"/>
    <w:rsid w:val="00DC1648"/>
    <w:rsid w:val="00DD7F4D"/>
    <w:rsid w:val="00E03DC4"/>
    <w:rsid w:val="00E216E5"/>
    <w:rsid w:val="00E235C6"/>
    <w:rsid w:val="00E242D9"/>
    <w:rsid w:val="00E3370F"/>
    <w:rsid w:val="00E41241"/>
    <w:rsid w:val="00E45924"/>
    <w:rsid w:val="00E5450F"/>
    <w:rsid w:val="00E9234F"/>
    <w:rsid w:val="00EC62C8"/>
    <w:rsid w:val="00EC686C"/>
    <w:rsid w:val="00ED0C8E"/>
    <w:rsid w:val="00ED74FA"/>
    <w:rsid w:val="00EE1F57"/>
    <w:rsid w:val="00EF1BFF"/>
    <w:rsid w:val="00EF7F10"/>
    <w:rsid w:val="00F3022A"/>
    <w:rsid w:val="00F327C3"/>
    <w:rsid w:val="00F5653C"/>
    <w:rsid w:val="00F71A4D"/>
    <w:rsid w:val="00F95D02"/>
    <w:rsid w:val="00FB757B"/>
    <w:rsid w:val="00FE7030"/>
    <w:rsid w:val="00FF2B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character" w:styleId="FollowedHyperlink">
    <w:name w:val="FollowedHyperlink"/>
    <w:basedOn w:val="DefaultParagraphFont"/>
    <w:uiPriority w:val="99"/>
    <w:semiHidden/>
    <w:unhideWhenUsed/>
    <w:rsid w:val="00347EA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character" w:styleId="FollowedHyperlink">
    <w:name w:val="FollowedHyperlink"/>
    <w:basedOn w:val="DefaultParagraphFont"/>
    <w:uiPriority w:val="99"/>
    <w:semiHidden/>
    <w:unhideWhenUsed/>
    <w:rsid w:val="00347E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archives/empsit_11072014.pdf%2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753</Words>
  <Characters>4294</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Eric Luetkenhaus</cp:lastModifiedBy>
  <cp:revision>2</cp:revision>
  <dcterms:created xsi:type="dcterms:W3CDTF">2016-05-24T20:51:00Z</dcterms:created>
  <dcterms:modified xsi:type="dcterms:W3CDTF">2016-05-24T20:51:00Z</dcterms:modified>
</cp:coreProperties>
</file>