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7C2" w:rsidRPr="0098570D" w:rsidRDefault="003127C2" w:rsidP="003127C2">
      <w:pPr>
        <w:spacing w:after="0" w:line="240" w:lineRule="auto"/>
        <w:rPr>
          <w:rFonts w:ascii="Times New Roman" w:hAnsi="Times New Roman"/>
          <w:b/>
          <w:sz w:val="24"/>
          <w:szCs w:val="24"/>
        </w:rPr>
      </w:pPr>
      <w:r>
        <w:rPr>
          <w:rFonts w:ascii="Times New Roman" w:hAnsi="Times New Roman"/>
          <w:b/>
          <w:sz w:val="24"/>
          <w:szCs w:val="24"/>
        </w:rPr>
        <w:t>Notice of Intent to Fund Project on</w:t>
      </w:r>
      <w:r w:rsidRPr="0098570D">
        <w:rPr>
          <w:rFonts w:ascii="Times New Roman" w:hAnsi="Times New Roman"/>
          <w:b/>
          <w:sz w:val="24"/>
          <w:szCs w:val="24"/>
        </w:rPr>
        <w:t xml:space="preserve"> Occupational Licensing </w:t>
      </w:r>
      <w:r>
        <w:rPr>
          <w:rFonts w:ascii="Times New Roman" w:hAnsi="Times New Roman"/>
          <w:b/>
          <w:sz w:val="24"/>
          <w:szCs w:val="24"/>
        </w:rPr>
        <w:t xml:space="preserve">Review and </w:t>
      </w:r>
      <w:r w:rsidRPr="0098570D">
        <w:rPr>
          <w:rFonts w:ascii="Times New Roman" w:hAnsi="Times New Roman"/>
          <w:b/>
          <w:sz w:val="24"/>
          <w:szCs w:val="24"/>
        </w:rPr>
        <w:t xml:space="preserve">Portability </w:t>
      </w:r>
    </w:p>
    <w:p w:rsidR="003127C2" w:rsidRPr="0098570D" w:rsidRDefault="003127C2" w:rsidP="003127C2">
      <w:pPr>
        <w:spacing w:after="0" w:line="240" w:lineRule="auto"/>
        <w:rPr>
          <w:rFonts w:ascii="Times New Roman" w:hAnsi="Times New Roman"/>
          <w:b/>
          <w:sz w:val="24"/>
          <w:szCs w:val="24"/>
        </w:rPr>
      </w:pPr>
    </w:p>
    <w:p w:rsidR="003127C2" w:rsidRDefault="003127C2" w:rsidP="003127C2">
      <w:pPr>
        <w:pStyle w:val="ListParagraph"/>
        <w:numPr>
          <w:ilvl w:val="0"/>
          <w:numId w:val="2"/>
        </w:numPr>
        <w:spacing w:after="0" w:line="240" w:lineRule="auto"/>
        <w:ind w:left="720"/>
        <w:rPr>
          <w:rFonts w:ascii="Times New Roman" w:hAnsi="Times New Roman"/>
          <w:b/>
          <w:sz w:val="24"/>
          <w:szCs w:val="24"/>
        </w:rPr>
      </w:pPr>
      <w:r>
        <w:rPr>
          <w:rFonts w:ascii="Times New Roman" w:hAnsi="Times New Roman"/>
          <w:b/>
          <w:sz w:val="24"/>
          <w:szCs w:val="24"/>
        </w:rPr>
        <w:t>Description</w:t>
      </w:r>
    </w:p>
    <w:p w:rsidR="003127C2" w:rsidRDefault="003127C2" w:rsidP="003127C2">
      <w:pPr>
        <w:spacing w:after="0" w:line="240" w:lineRule="auto"/>
        <w:rPr>
          <w:rFonts w:ascii="Times New Roman" w:hAnsi="Times New Roman"/>
          <w:b/>
          <w:sz w:val="24"/>
          <w:szCs w:val="24"/>
        </w:rPr>
      </w:pPr>
    </w:p>
    <w:p w:rsidR="003127C2" w:rsidRPr="005C7E45" w:rsidRDefault="003127C2" w:rsidP="003127C2">
      <w:pPr>
        <w:spacing w:after="0" w:line="240" w:lineRule="auto"/>
        <w:ind w:left="720"/>
        <w:rPr>
          <w:rFonts w:ascii="Times New Roman" w:hAnsi="Times New Roman"/>
          <w:sz w:val="24"/>
          <w:szCs w:val="24"/>
        </w:rPr>
      </w:pPr>
      <w:r>
        <w:rPr>
          <w:rFonts w:ascii="Times New Roman" w:hAnsi="Times New Roman"/>
          <w:sz w:val="24"/>
          <w:szCs w:val="24"/>
        </w:rPr>
        <w:t>The U.S. Department of Labor’s Employment and Training Administration (ETA) intends to award up to $7,500,000 to help enhance the portability of occupational licensing.  This Notice of Intent requests Letters of Interest from eligible entities expressing their interest in receiving funding for this purpose.</w:t>
      </w:r>
    </w:p>
    <w:p w:rsidR="003127C2" w:rsidRPr="005C7E45" w:rsidRDefault="003127C2" w:rsidP="003127C2">
      <w:pPr>
        <w:spacing w:after="0" w:line="240" w:lineRule="auto"/>
        <w:rPr>
          <w:rFonts w:ascii="Times New Roman" w:hAnsi="Times New Roman"/>
          <w:b/>
          <w:sz w:val="24"/>
          <w:szCs w:val="24"/>
        </w:rPr>
      </w:pPr>
    </w:p>
    <w:p w:rsidR="003127C2" w:rsidRPr="0098570D" w:rsidRDefault="003127C2" w:rsidP="003127C2">
      <w:pPr>
        <w:pStyle w:val="ListParagraph"/>
        <w:numPr>
          <w:ilvl w:val="0"/>
          <w:numId w:val="2"/>
        </w:numPr>
        <w:spacing w:after="0" w:line="240" w:lineRule="auto"/>
        <w:ind w:left="720"/>
        <w:rPr>
          <w:rFonts w:ascii="Times New Roman" w:hAnsi="Times New Roman"/>
          <w:b/>
          <w:sz w:val="24"/>
          <w:szCs w:val="24"/>
        </w:rPr>
      </w:pPr>
      <w:r w:rsidRPr="0098570D">
        <w:rPr>
          <w:rFonts w:ascii="Times New Roman" w:hAnsi="Times New Roman"/>
          <w:b/>
          <w:sz w:val="24"/>
          <w:szCs w:val="24"/>
        </w:rPr>
        <w:t xml:space="preserve"> Background</w:t>
      </w:r>
    </w:p>
    <w:p w:rsidR="003127C2" w:rsidRDefault="003127C2" w:rsidP="003127C2">
      <w:pPr>
        <w:spacing w:after="0" w:line="240" w:lineRule="auto"/>
        <w:rPr>
          <w:rFonts w:ascii="Times New Roman" w:hAnsi="Times New Roman"/>
          <w:b/>
          <w:sz w:val="24"/>
          <w:szCs w:val="24"/>
        </w:rPr>
      </w:pPr>
    </w:p>
    <w:p w:rsidR="003127C2" w:rsidRDefault="003127C2" w:rsidP="003127C2">
      <w:pPr>
        <w:spacing w:after="0" w:line="240" w:lineRule="auto"/>
        <w:ind w:left="720"/>
        <w:rPr>
          <w:rFonts w:ascii="Times New Roman" w:hAnsi="Times New Roman"/>
          <w:b/>
          <w:sz w:val="24"/>
          <w:szCs w:val="24"/>
        </w:rPr>
      </w:pPr>
      <w:r>
        <w:rPr>
          <w:rFonts w:ascii="Times New Roman" w:eastAsia="Times New Roman" w:hAnsi="Times New Roman"/>
          <w:sz w:val="24"/>
          <w:szCs w:val="24"/>
        </w:rPr>
        <w:t>Over the past several decades, the share of U.S. workers holding an occupational license has grown.  The available evidence suggests that the share of the U.S. workforce covered by licensing laws grew fivefold in the second half of the 20</w:t>
      </w:r>
      <w:r>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century, from less than 5 percent in the early 1950s to roughly a quarter today.  When designed and implemented carefully, licensing can benefit consumers through higher quality services and improved health and safety standards.  However, licensing can also reduce employment opportunities.</w:t>
      </w:r>
    </w:p>
    <w:p w:rsidR="003127C2" w:rsidRPr="0098570D" w:rsidRDefault="003127C2" w:rsidP="003127C2">
      <w:pPr>
        <w:spacing w:after="0" w:line="240" w:lineRule="auto"/>
        <w:rPr>
          <w:rFonts w:ascii="Times New Roman" w:hAnsi="Times New Roman"/>
          <w:b/>
          <w:sz w:val="24"/>
          <w:szCs w:val="24"/>
        </w:rPr>
      </w:pPr>
    </w:p>
    <w:p w:rsidR="003127C2" w:rsidRPr="00744840" w:rsidRDefault="003127C2" w:rsidP="003127C2">
      <w:pPr>
        <w:spacing w:after="0" w:line="240" w:lineRule="auto"/>
        <w:ind w:left="720"/>
        <w:rPr>
          <w:rFonts w:ascii="Times New Roman" w:hAnsi="Times New Roman"/>
          <w:sz w:val="24"/>
          <w:szCs w:val="24"/>
        </w:rPr>
      </w:pPr>
      <w:r w:rsidRPr="00495ED1">
        <w:rPr>
          <w:rFonts w:ascii="Times New Roman" w:hAnsi="Times New Roman"/>
          <w:sz w:val="24"/>
          <w:szCs w:val="24"/>
        </w:rPr>
        <w:t xml:space="preserve">Since </w:t>
      </w:r>
      <w:r>
        <w:rPr>
          <w:rFonts w:ascii="Times New Roman" w:hAnsi="Times New Roman"/>
          <w:sz w:val="24"/>
          <w:szCs w:val="24"/>
        </w:rPr>
        <w:t>most</w:t>
      </w:r>
      <w:r w:rsidRPr="00495ED1">
        <w:rPr>
          <w:rFonts w:ascii="Times New Roman" w:hAnsi="Times New Roman"/>
          <w:sz w:val="24"/>
          <w:szCs w:val="24"/>
        </w:rPr>
        <w:t xml:space="preserve"> occupations are licensed at the </w:t>
      </w:r>
      <w:r>
        <w:rPr>
          <w:rFonts w:ascii="Times New Roman" w:hAnsi="Times New Roman"/>
          <w:sz w:val="24"/>
          <w:szCs w:val="24"/>
        </w:rPr>
        <w:t>state</w:t>
      </w:r>
      <w:r w:rsidRPr="00495ED1">
        <w:rPr>
          <w:rFonts w:ascii="Times New Roman" w:hAnsi="Times New Roman"/>
          <w:sz w:val="24"/>
          <w:szCs w:val="24"/>
        </w:rPr>
        <w:t xml:space="preserve"> level, licensed practitioners typically have to acquire a new license when they move across </w:t>
      </w:r>
      <w:r>
        <w:rPr>
          <w:rFonts w:ascii="Times New Roman" w:hAnsi="Times New Roman"/>
          <w:sz w:val="24"/>
          <w:szCs w:val="24"/>
        </w:rPr>
        <w:t>state line</w:t>
      </w:r>
      <w:r w:rsidRPr="00495ED1">
        <w:rPr>
          <w:rFonts w:ascii="Times New Roman" w:hAnsi="Times New Roman"/>
          <w:sz w:val="24"/>
          <w:szCs w:val="24"/>
        </w:rPr>
        <w:t xml:space="preserve">s. </w:t>
      </w:r>
      <w:r>
        <w:rPr>
          <w:rFonts w:ascii="Times New Roman" w:hAnsi="Times New Roman"/>
          <w:sz w:val="24"/>
          <w:szCs w:val="24"/>
        </w:rPr>
        <w:t xml:space="preserve"> </w:t>
      </w:r>
      <w:r w:rsidRPr="00495ED1">
        <w:rPr>
          <w:rFonts w:ascii="Times New Roman" w:hAnsi="Times New Roman"/>
          <w:sz w:val="24"/>
          <w:szCs w:val="24"/>
        </w:rPr>
        <w:t xml:space="preserve">This </w:t>
      </w:r>
      <w:r>
        <w:rPr>
          <w:rFonts w:ascii="Times New Roman" w:hAnsi="Times New Roman"/>
          <w:sz w:val="24"/>
          <w:szCs w:val="24"/>
        </w:rPr>
        <w:t>can</w:t>
      </w:r>
      <w:r w:rsidRPr="00495ED1">
        <w:rPr>
          <w:rFonts w:ascii="Times New Roman" w:hAnsi="Times New Roman"/>
          <w:sz w:val="24"/>
          <w:szCs w:val="24"/>
        </w:rPr>
        <w:t xml:space="preserve"> entail various procedural hurdles, such as paying fees, filling out administrative paperwork, and submitting an application and waiting for it to be processed. </w:t>
      </w:r>
      <w:r>
        <w:rPr>
          <w:rFonts w:ascii="Times New Roman" w:hAnsi="Times New Roman"/>
          <w:sz w:val="24"/>
          <w:szCs w:val="24"/>
        </w:rPr>
        <w:t xml:space="preserve"> </w:t>
      </w:r>
      <w:r w:rsidRPr="00495ED1">
        <w:rPr>
          <w:rFonts w:ascii="Times New Roman" w:hAnsi="Times New Roman"/>
          <w:sz w:val="24"/>
          <w:szCs w:val="24"/>
        </w:rPr>
        <w:t xml:space="preserve">Moreover, since each </w:t>
      </w:r>
      <w:r>
        <w:rPr>
          <w:rFonts w:ascii="Times New Roman" w:hAnsi="Times New Roman"/>
          <w:sz w:val="24"/>
          <w:szCs w:val="24"/>
        </w:rPr>
        <w:t>state</w:t>
      </w:r>
      <w:r w:rsidRPr="00495ED1">
        <w:rPr>
          <w:rFonts w:ascii="Times New Roman" w:hAnsi="Times New Roman"/>
          <w:sz w:val="24"/>
          <w:szCs w:val="24"/>
        </w:rPr>
        <w:t xml:space="preserve"> sets its own licensing requirements, these often vary </w:t>
      </w:r>
      <w:r>
        <w:rPr>
          <w:rFonts w:ascii="Times New Roman" w:hAnsi="Times New Roman"/>
          <w:sz w:val="24"/>
          <w:szCs w:val="24"/>
        </w:rPr>
        <w:t>from state to state</w:t>
      </w:r>
      <w:r w:rsidRPr="00495ED1">
        <w:rPr>
          <w:rFonts w:ascii="Times New Roman" w:hAnsi="Times New Roman"/>
          <w:sz w:val="24"/>
          <w:szCs w:val="24"/>
        </w:rPr>
        <w:t>, and licensed individuals seeking to move</w:t>
      </w:r>
      <w:r>
        <w:rPr>
          <w:rFonts w:ascii="Times New Roman" w:hAnsi="Times New Roman"/>
          <w:sz w:val="24"/>
          <w:szCs w:val="24"/>
        </w:rPr>
        <w:t xml:space="preserve"> from one state</w:t>
      </w:r>
      <w:r w:rsidRPr="00495ED1">
        <w:rPr>
          <w:rFonts w:ascii="Times New Roman" w:hAnsi="Times New Roman"/>
          <w:sz w:val="24"/>
          <w:szCs w:val="24"/>
        </w:rPr>
        <w:t xml:space="preserve"> to another often discover that they must meet new qualifications (such as education, experience, training, testing, etc.)</w:t>
      </w:r>
      <w:r>
        <w:rPr>
          <w:rFonts w:ascii="Times New Roman" w:hAnsi="Times New Roman"/>
          <w:sz w:val="24"/>
          <w:szCs w:val="24"/>
        </w:rPr>
        <w:t xml:space="preserve"> </w:t>
      </w:r>
      <w:r w:rsidRPr="00495ED1">
        <w:rPr>
          <w:rFonts w:ascii="Times New Roman" w:hAnsi="Times New Roman"/>
          <w:sz w:val="24"/>
          <w:szCs w:val="24"/>
        </w:rPr>
        <w:t xml:space="preserve">to continue </w:t>
      </w:r>
      <w:r>
        <w:rPr>
          <w:rFonts w:ascii="Times New Roman" w:hAnsi="Times New Roman"/>
          <w:sz w:val="24"/>
          <w:szCs w:val="24"/>
        </w:rPr>
        <w:t xml:space="preserve">to </w:t>
      </w:r>
      <w:r w:rsidRPr="00495ED1">
        <w:rPr>
          <w:rFonts w:ascii="Times New Roman" w:hAnsi="Times New Roman"/>
          <w:sz w:val="24"/>
          <w:szCs w:val="24"/>
        </w:rPr>
        <w:t>work in their occupation.</w:t>
      </w:r>
      <w:r>
        <w:rPr>
          <w:rFonts w:ascii="Times New Roman" w:hAnsi="Times New Roman"/>
          <w:sz w:val="24"/>
          <w:szCs w:val="24"/>
        </w:rPr>
        <w:t xml:space="preserve">  </w:t>
      </w:r>
      <w:r w:rsidRPr="00900884">
        <w:rPr>
          <w:rFonts w:ascii="Times New Roman" w:hAnsi="Times New Roman"/>
          <w:sz w:val="24"/>
          <w:szCs w:val="24"/>
        </w:rPr>
        <w:t>In many cases</w:t>
      </w:r>
      <w:r w:rsidRPr="006539F0">
        <w:rPr>
          <w:rFonts w:ascii="Times New Roman" w:hAnsi="Times New Roman"/>
          <w:sz w:val="24"/>
          <w:szCs w:val="24"/>
        </w:rPr>
        <w:t xml:space="preserve">, there may be no </w:t>
      </w:r>
      <w:r w:rsidRPr="00C243A5">
        <w:rPr>
          <w:rFonts w:ascii="Times New Roman" w:hAnsi="Times New Roman"/>
          <w:sz w:val="24"/>
          <w:szCs w:val="24"/>
        </w:rPr>
        <w:t>documented procedures or provision</w:t>
      </w:r>
      <w:r>
        <w:rPr>
          <w:rFonts w:ascii="Times New Roman" w:hAnsi="Times New Roman"/>
          <w:sz w:val="24"/>
          <w:szCs w:val="24"/>
        </w:rPr>
        <w:t>s</w:t>
      </w:r>
      <w:r w:rsidRPr="00C243A5">
        <w:rPr>
          <w:rFonts w:ascii="Times New Roman" w:hAnsi="Times New Roman"/>
          <w:sz w:val="24"/>
          <w:szCs w:val="24"/>
        </w:rPr>
        <w:t xml:space="preserve"> for recognition of licenses from other </w:t>
      </w:r>
      <w:r>
        <w:rPr>
          <w:rFonts w:ascii="Times New Roman" w:hAnsi="Times New Roman"/>
          <w:sz w:val="24"/>
          <w:szCs w:val="24"/>
        </w:rPr>
        <w:t>state</w:t>
      </w:r>
      <w:r w:rsidRPr="00C243A5">
        <w:rPr>
          <w:rFonts w:ascii="Times New Roman" w:hAnsi="Times New Roman"/>
          <w:sz w:val="24"/>
          <w:szCs w:val="24"/>
        </w:rPr>
        <w:t xml:space="preserve">s. </w:t>
      </w:r>
      <w:r>
        <w:rPr>
          <w:rFonts w:ascii="Times New Roman" w:hAnsi="Times New Roman"/>
          <w:sz w:val="24"/>
          <w:szCs w:val="24"/>
        </w:rPr>
        <w:t xml:space="preserve"> </w:t>
      </w:r>
      <w:r w:rsidRPr="00495ED1">
        <w:rPr>
          <w:rFonts w:ascii="Times New Roman" w:hAnsi="Times New Roman"/>
          <w:sz w:val="24"/>
          <w:szCs w:val="24"/>
        </w:rPr>
        <w:t>The resulting costs in both time and money can discourage people from moving</w:t>
      </w:r>
      <w:r>
        <w:rPr>
          <w:rFonts w:ascii="Times New Roman" w:hAnsi="Times New Roman"/>
          <w:sz w:val="24"/>
          <w:szCs w:val="24"/>
        </w:rPr>
        <w:t>, or for those who must relocate, may compel them to leave the career</w:t>
      </w:r>
      <w:r w:rsidRPr="00495ED1">
        <w:rPr>
          <w:rFonts w:ascii="Times New Roman" w:hAnsi="Times New Roman"/>
          <w:sz w:val="24"/>
          <w:szCs w:val="24"/>
        </w:rPr>
        <w:t>.</w:t>
      </w:r>
    </w:p>
    <w:p w:rsidR="003127C2" w:rsidRPr="00F60AD8" w:rsidRDefault="003127C2" w:rsidP="003127C2">
      <w:pPr>
        <w:spacing w:after="0" w:line="240" w:lineRule="auto"/>
        <w:rPr>
          <w:rFonts w:ascii="Times New Roman" w:hAnsi="Times New Roman"/>
          <w:sz w:val="24"/>
          <w:szCs w:val="24"/>
        </w:rPr>
      </w:pPr>
    </w:p>
    <w:p w:rsidR="003127C2" w:rsidRPr="006A3839" w:rsidRDefault="003127C2" w:rsidP="003127C2">
      <w:pPr>
        <w:pStyle w:val="ListParagraph"/>
        <w:spacing w:after="0" w:line="240" w:lineRule="auto"/>
        <w:rPr>
          <w:rFonts w:ascii="Times New Roman" w:hAnsi="Times New Roman"/>
          <w:color w:val="000000"/>
          <w:sz w:val="24"/>
          <w:szCs w:val="24"/>
        </w:rPr>
      </w:pPr>
      <w:r w:rsidRPr="006A3839">
        <w:rPr>
          <w:rFonts w:ascii="Times New Roman" w:eastAsia="Times New Roman" w:hAnsi="Times New Roman"/>
          <w:sz w:val="24"/>
          <w:szCs w:val="24"/>
        </w:rPr>
        <w:t xml:space="preserve">Finally, licensing </w:t>
      </w:r>
      <w:r>
        <w:rPr>
          <w:rFonts w:ascii="Times New Roman" w:eastAsia="Times New Roman" w:hAnsi="Times New Roman"/>
          <w:sz w:val="24"/>
          <w:szCs w:val="24"/>
        </w:rPr>
        <w:t xml:space="preserve">requirements </w:t>
      </w:r>
      <w:r w:rsidRPr="006A3839">
        <w:rPr>
          <w:rFonts w:ascii="Times New Roman" w:eastAsia="Times New Roman" w:hAnsi="Times New Roman"/>
          <w:sz w:val="24"/>
          <w:szCs w:val="24"/>
        </w:rPr>
        <w:t xml:space="preserve">may </w:t>
      </w:r>
      <w:r w:rsidRPr="00134EE3">
        <w:rPr>
          <w:rFonts w:ascii="Times New Roman" w:eastAsia="Times New Roman" w:hAnsi="Times New Roman"/>
          <w:sz w:val="24"/>
          <w:szCs w:val="24"/>
        </w:rPr>
        <w:t xml:space="preserve">have </w:t>
      </w:r>
      <w:r>
        <w:rPr>
          <w:rFonts w:ascii="Times New Roman" w:eastAsia="Times New Roman" w:hAnsi="Times New Roman"/>
          <w:sz w:val="24"/>
          <w:szCs w:val="24"/>
        </w:rPr>
        <w:t>disproportionate</w:t>
      </w:r>
      <w:r w:rsidRPr="00134EE3">
        <w:rPr>
          <w:rFonts w:ascii="Times New Roman" w:eastAsia="Times New Roman" w:hAnsi="Times New Roman"/>
          <w:sz w:val="24"/>
          <w:szCs w:val="24"/>
        </w:rPr>
        <w:t xml:space="preserve"> impacts</w:t>
      </w:r>
      <w:r w:rsidRPr="006A3839">
        <w:rPr>
          <w:rFonts w:ascii="Times New Roman" w:eastAsia="Times New Roman" w:hAnsi="Times New Roman"/>
          <w:sz w:val="24"/>
          <w:szCs w:val="24"/>
        </w:rPr>
        <w:t xml:space="preserve"> on certain populations. </w:t>
      </w:r>
      <w:r>
        <w:rPr>
          <w:rFonts w:ascii="Times New Roman" w:eastAsia="Times New Roman" w:hAnsi="Times New Roman"/>
          <w:sz w:val="24"/>
          <w:szCs w:val="24"/>
        </w:rPr>
        <w:t xml:space="preserve"> </w:t>
      </w:r>
      <w:r w:rsidRPr="006A3839">
        <w:rPr>
          <w:rFonts w:ascii="Times New Roman" w:hAnsi="Times New Roman"/>
          <w:sz w:val="24"/>
          <w:szCs w:val="24"/>
        </w:rPr>
        <w:t xml:space="preserve">For example, military spouses often move to different states but may not be permitted to use their previous license to practice in a new state despite having relevant qualifications and work experience (such as in teaching or nursing).  </w:t>
      </w:r>
      <w:r>
        <w:rPr>
          <w:rFonts w:ascii="Times New Roman" w:hAnsi="Times New Roman"/>
          <w:sz w:val="24"/>
          <w:szCs w:val="24"/>
        </w:rPr>
        <w:t xml:space="preserve">Similarly, </w:t>
      </w:r>
      <w:r>
        <w:rPr>
          <w:rFonts w:ascii="Times New Roman" w:hAnsi="Times New Roman"/>
          <w:color w:val="000000"/>
          <w:sz w:val="24"/>
          <w:szCs w:val="24"/>
        </w:rPr>
        <w:t>m</w:t>
      </w:r>
      <w:r w:rsidRPr="006A3839">
        <w:rPr>
          <w:rFonts w:ascii="Times New Roman" w:hAnsi="Times New Roman"/>
          <w:color w:val="000000"/>
          <w:sz w:val="24"/>
          <w:szCs w:val="24"/>
        </w:rPr>
        <w:t xml:space="preserve">any immigrants arrive in the United States </w:t>
      </w:r>
      <w:r>
        <w:rPr>
          <w:rFonts w:ascii="Times New Roman" w:hAnsi="Times New Roman"/>
          <w:color w:val="000000"/>
          <w:sz w:val="24"/>
          <w:szCs w:val="24"/>
        </w:rPr>
        <w:t>with</w:t>
      </w:r>
      <w:r w:rsidRPr="006A3839">
        <w:rPr>
          <w:rFonts w:ascii="Times New Roman" w:hAnsi="Times New Roman"/>
          <w:color w:val="000000"/>
          <w:sz w:val="24"/>
          <w:szCs w:val="24"/>
        </w:rPr>
        <w:t xml:space="preserve"> extensive education, job training, or work experience </w:t>
      </w:r>
      <w:r>
        <w:rPr>
          <w:rFonts w:ascii="Times New Roman" w:hAnsi="Times New Roman"/>
          <w:color w:val="000000"/>
          <w:sz w:val="24"/>
          <w:szCs w:val="24"/>
        </w:rPr>
        <w:t xml:space="preserve">completed </w:t>
      </w:r>
      <w:r w:rsidRPr="006A3839">
        <w:rPr>
          <w:rFonts w:ascii="Times New Roman" w:hAnsi="Times New Roman"/>
          <w:color w:val="000000"/>
          <w:sz w:val="24"/>
          <w:szCs w:val="24"/>
        </w:rPr>
        <w:t xml:space="preserve">abroad.  However, they </w:t>
      </w:r>
      <w:r w:rsidRPr="006A3839">
        <w:rPr>
          <w:rFonts w:ascii="Times New Roman" w:hAnsi="Times New Roman"/>
          <w:sz w:val="24"/>
          <w:szCs w:val="24"/>
        </w:rPr>
        <w:t>may be prevented from applying their skills</w:t>
      </w:r>
      <w:r>
        <w:rPr>
          <w:rFonts w:ascii="Times New Roman" w:hAnsi="Times New Roman"/>
          <w:sz w:val="24"/>
          <w:szCs w:val="24"/>
        </w:rPr>
        <w:t xml:space="preserve"> in the U</w:t>
      </w:r>
      <w:r w:rsidR="0047532F">
        <w:rPr>
          <w:rFonts w:ascii="Times New Roman" w:hAnsi="Times New Roman"/>
          <w:sz w:val="24"/>
          <w:szCs w:val="24"/>
        </w:rPr>
        <w:t xml:space="preserve">nited States </w:t>
      </w:r>
      <w:r w:rsidRPr="006A3839">
        <w:rPr>
          <w:rFonts w:ascii="Times New Roman" w:hAnsi="Times New Roman"/>
          <w:sz w:val="24"/>
          <w:szCs w:val="24"/>
        </w:rPr>
        <w:t>since their education or experience often is not credited toward fulfilling the requirements for licensure.  As another example, in some states, individuals with criminal records may face blanket barrier</w:t>
      </w:r>
      <w:r>
        <w:rPr>
          <w:rFonts w:ascii="Times New Roman" w:hAnsi="Times New Roman"/>
          <w:sz w:val="24"/>
          <w:szCs w:val="24"/>
        </w:rPr>
        <w:t>s</w:t>
      </w:r>
      <w:r w:rsidRPr="006A3839">
        <w:rPr>
          <w:rFonts w:ascii="Times New Roman" w:hAnsi="Times New Roman"/>
          <w:sz w:val="24"/>
          <w:szCs w:val="24"/>
        </w:rPr>
        <w:t xml:space="preserve"> to working in licensed occupation</w:t>
      </w:r>
      <w:r>
        <w:rPr>
          <w:rFonts w:ascii="Times New Roman" w:hAnsi="Times New Roman"/>
          <w:sz w:val="24"/>
          <w:szCs w:val="24"/>
        </w:rPr>
        <w:t>s</w:t>
      </w:r>
      <w:r w:rsidRPr="006A3839">
        <w:rPr>
          <w:rFonts w:ascii="Times New Roman" w:hAnsi="Times New Roman"/>
          <w:sz w:val="24"/>
          <w:szCs w:val="24"/>
        </w:rPr>
        <w:t xml:space="preserve">, with little consideration of </w:t>
      </w:r>
      <w:r w:rsidRPr="006A3839">
        <w:rPr>
          <w:rFonts w:ascii="Times New Roman" w:hAnsi="Times New Roman"/>
          <w:color w:val="000000"/>
          <w:spacing w:val="2"/>
          <w:sz w:val="24"/>
          <w:szCs w:val="24"/>
        </w:rPr>
        <w:t>whether the conviction is related or relevant to the nature or conditions of the work performed.</w:t>
      </w:r>
      <w:r w:rsidRPr="006A3839">
        <w:rPr>
          <w:rFonts w:ascii="Times New Roman" w:hAnsi="Times New Roman"/>
          <w:sz w:val="24"/>
          <w:szCs w:val="24"/>
        </w:rPr>
        <w:t xml:space="preserve"> </w:t>
      </w:r>
      <w:r w:rsidRPr="006A3839">
        <w:rPr>
          <w:rFonts w:ascii="Times New Roman" w:hAnsi="Times New Roman"/>
          <w:color w:val="000000"/>
          <w:sz w:val="24"/>
          <w:szCs w:val="24"/>
        </w:rPr>
        <w:t xml:space="preserve"> </w:t>
      </w:r>
    </w:p>
    <w:p w:rsidR="003127C2" w:rsidRDefault="003127C2" w:rsidP="003127C2">
      <w:pPr>
        <w:autoSpaceDE w:val="0"/>
        <w:autoSpaceDN w:val="0"/>
        <w:adjustRightInd w:val="0"/>
        <w:spacing w:after="0" w:line="240" w:lineRule="auto"/>
        <w:ind w:left="720"/>
        <w:rPr>
          <w:rFonts w:ascii="Times New Roman" w:hAnsi="Times New Roman"/>
          <w:sz w:val="24"/>
          <w:szCs w:val="24"/>
        </w:rPr>
      </w:pPr>
    </w:p>
    <w:p w:rsidR="003127C2" w:rsidRDefault="003127C2" w:rsidP="003127C2">
      <w:pPr>
        <w:autoSpaceDE w:val="0"/>
        <w:autoSpaceDN w:val="0"/>
        <w:adjustRightInd w:val="0"/>
        <w:spacing w:after="0" w:line="240" w:lineRule="auto"/>
        <w:ind w:left="720"/>
        <w:rPr>
          <w:rFonts w:ascii="Times New Roman" w:hAnsi="Times New Roman"/>
          <w:color w:val="000000"/>
          <w:sz w:val="24"/>
          <w:szCs w:val="24"/>
        </w:rPr>
      </w:pPr>
      <w:r>
        <w:rPr>
          <w:rFonts w:ascii="Times New Roman" w:hAnsi="Times New Roman"/>
          <w:sz w:val="24"/>
          <w:szCs w:val="24"/>
        </w:rPr>
        <w:t>In response to</w:t>
      </w:r>
      <w:r>
        <w:rPr>
          <w:rFonts w:ascii="Times New Roman" w:hAnsi="Times New Roman"/>
          <w:color w:val="000000"/>
          <w:sz w:val="24"/>
          <w:szCs w:val="24"/>
        </w:rPr>
        <w:t xml:space="preserve"> these challenges, this project will support one or a few national or regional organizations working with a group of states to examine licensing portability across state lines.  States in the consortia will objectively analyze the relevant licensing criteria, </w:t>
      </w:r>
      <w:r>
        <w:rPr>
          <w:rFonts w:ascii="Times New Roman" w:hAnsi="Times New Roman"/>
          <w:color w:val="000000"/>
          <w:sz w:val="24"/>
          <w:szCs w:val="24"/>
        </w:rPr>
        <w:lastRenderedPageBreak/>
        <w:t xml:space="preserve">potential portability issues, and whether licensing requirements are overly broad or burdensome.  States may consider the potential of </w:t>
      </w:r>
      <w:r>
        <w:rPr>
          <w:rFonts w:ascii="Times New Roman" w:hAnsi="Times New Roman"/>
          <w:sz w:val="24"/>
          <w:szCs w:val="24"/>
        </w:rPr>
        <w:t xml:space="preserve">alternative </w:t>
      </w:r>
      <w:r w:rsidRPr="00007C24">
        <w:rPr>
          <w:rFonts w:ascii="Times New Roman" w:hAnsi="Times New Roman"/>
          <w:sz w:val="24"/>
          <w:szCs w:val="24"/>
        </w:rPr>
        <w:t xml:space="preserve">approaches </w:t>
      </w:r>
      <w:r>
        <w:rPr>
          <w:rFonts w:ascii="Times New Roman" w:hAnsi="Times New Roman"/>
          <w:sz w:val="24"/>
          <w:szCs w:val="24"/>
        </w:rPr>
        <w:t>that might</w:t>
      </w:r>
      <w:r w:rsidRPr="00007C24">
        <w:rPr>
          <w:rFonts w:ascii="Times New Roman" w:hAnsi="Times New Roman"/>
          <w:sz w:val="24"/>
          <w:szCs w:val="24"/>
        </w:rPr>
        <w:t xml:space="preserve"> be adequate to protect </w:t>
      </w:r>
      <w:r>
        <w:rPr>
          <w:rFonts w:ascii="Times New Roman" w:hAnsi="Times New Roman"/>
          <w:sz w:val="24"/>
          <w:szCs w:val="24"/>
        </w:rPr>
        <w:t xml:space="preserve">public health and safety, including, but not limited to, professional certification.  </w:t>
      </w:r>
    </w:p>
    <w:p w:rsidR="003127C2" w:rsidRDefault="003127C2" w:rsidP="003127C2">
      <w:pPr>
        <w:autoSpaceDE w:val="0"/>
        <w:autoSpaceDN w:val="0"/>
        <w:adjustRightInd w:val="0"/>
        <w:spacing w:after="0" w:line="240" w:lineRule="auto"/>
        <w:ind w:left="720"/>
        <w:rPr>
          <w:rFonts w:ascii="Times New Roman" w:hAnsi="Times New Roman"/>
          <w:color w:val="000000"/>
          <w:sz w:val="24"/>
          <w:szCs w:val="24"/>
        </w:rPr>
      </w:pPr>
    </w:p>
    <w:p w:rsidR="003127C2" w:rsidRDefault="003127C2" w:rsidP="003127C2">
      <w:pPr>
        <w:pStyle w:val="ListParagraph"/>
        <w:numPr>
          <w:ilvl w:val="0"/>
          <w:numId w:val="2"/>
        </w:numPr>
        <w:spacing w:after="0" w:line="240" w:lineRule="auto"/>
        <w:rPr>
          <w:rFonts w:ascii="Times New Roman" w:hAnsi="Times New Roman"/>
          <w:b/>
          <w:sz w:val="24"/>
          <w:szCs w:val="24"/>
        </w:rPr>
      </w:pPr>
      <w:r>
        <w:rPr>
          <w:rFonts w:ascii="Times New Roman" w:hAnsi="Times New Roman"/>
          <w:b/>
          <w:sz w:val="24"/>
          <w:szCs w:val="24"/>
        </w:rPr>
        <w:t>General</w:t>
      </w:r>
      <w:r w:rsidRPr="0098570D">
        <w:rPr>
          <w:rFonts w:ascii="Times New Roman" w:hAnsi="Times New Roman"/>
          <w:b/>
          <w:sz w:val="24"/>
          <w:szCs w:val="24"/>
        </w:rPr>
        <w:t xml:space="preserve"> Information</w:t>
      </w:r>
    </w:p>
    <w:p w:rsidR="00815ED4" w:rsidRPr="00815ED4" w:rsidRDefault="00815ED4" w:rsidP="00815ED4">
      <w:pPr>
        <w:spacing w:after="0" w:line="240" w:lineRule="auto"/>
        <w:ind w:left="360"/>
        <w:rPr>
          <w:rFonts w:ascii="Times New Roman" w:hAnsi="Times New Roman"/>
          <w:b/>
          <w:sz w:val="24"/>
          <w:szCs w:val="24"/>
        </w:rPr>
      </w:pPr>
    </w:p>
    <w:tbl>
      <w:tblPr>
        <w:tblW w:w="0" w:type="auto"/>
        <w:tblCellSpacing w:w="15" w:type="dxa"/>
        <w:tblInd w:w="720" w:type="dxa"/>
        <w:tblLook w:val="04A0" w:firstRow="1" w:lastRow="0" w:firstColumn="1" w:lastColumn="0" w:noHBand="0" w:noVBand="1"/>
      </w:tblPr>
      <w:tblGrid>
        <w:gridCol w:w="4083"/>
        <w:gridCol w:w="4647"/>
      </w:tblGrid>
      <w:tr w:rsidR="003127C2" w:rsidRPr="008E5CE3" w:rsidTr="00BB7758">
        <w:trPr>
          <w:tblCellSpacing w:w="15" w:type="dxa"/>
        </w:trPr>
        <w:tc>
          <w:tcPr>
            <w:tcW w:w="0" w:type="auto"/>
            <w:tcMar>
              <w:top w:w="15" w:type="dxa"/>
              <w:left w:w="15" w:type="dxa"/>
              <w:bottom w:w="15" w:type="dxa"/>
              <w:right w:w="15" w:type="dxa"/>
            </w:tcMar>
            <w:vAlign w:val="center"/>
            <w:hideMark/>
          </w:tcPr>
          <w:p w:rsidR="003127C2" w:rsidRPr="00291032" w:rsidRDefault="003127C2" w:rsidP="00BB7758">
            <w:pPr>
              <w:spacing w:line="240" w:lineRule="auto"/>
              <w:rPr>
                <w:rFonts w:ascii="Times New Roman" w:hAnsi="Times New Roman"/>
                <w:sz w:val="24"/>
                <w:szCs w:val="24"/>
              </w:rPr>
            </w:pPr>
            <w:r w:rsidRPr="00815ED4">
              <w:rPr>
                <w:rFonts w:ascii="Times New Roman" w:hAnsi="Times New Roman"/>
                <w:sz w:val="24"/>
                <w:szCs w:val="24"/>
              </w:rPr>
              <w:t>Document Type</w:t>
            </w:r>
            <w:r w:rsidRPr="00291032">
              <w:rPr>
                <w:rFonts w:ascii="Times New Roman" w:hAnsi="Times New Roman"/>
                <w:sz w:val="24"/>
                <w:szCs w:val="24"/>
              </w:rPr>
              <w:t>:</w:t>
            </w:r>
          </w:p>
        </w:tc>
        <w:tc>
          <w:tcPr>
            <w:tcW w:w="0" w:type="auto"/>
            <w:tcMar>
              <w:top w:w="15" w:type="dxa"/>
              <w:left w:w="15" w:type="dxa"/>
              <w:bottom w:w="15" w:type="dxa"/>
              <w:right w:w="15" w:type="dxa"/>
            </w:tcMar>
            <w:vAlign w:val="center"/>
            <w:hideMark/>
          </w:tcPr>
          <w:p w:rsidR="003127C2" w:rsidRPr="00291032" w:rsidRDefault="003127C2" w:rsidP="00BB7758">
            <w:pPr>
              <w:spacing w:line="240" w:lineRule="auto"/>
              <w:rPr>
                <w:rFonts w:ascii="Times New Roman" w:hAnsi="Times New Roman"/>
                <w:sz w:val="24"/>
                <w:szCs w:val="24"/>
              </w:rPr>
            </w:pPr>
            <w:r w:rsidRPr="00291032">
              <w:rPr>
                <w:rFonts w:ascii="Times New Roman" w:hAnsi="Times New Roman"/>
                <w:sz w:val="24"/>
                <w:szCs w:val="24"/>
              </w:rPr>
              <w:t xml:space="preserve">Grants Notice </w:t>
            </w:r>
          </w:p>
        </w:tc>
      </w:tr>
      <w:tr w:rsidR="003127C2" w:rsidRPr="008E5CE3" w:rsidTr="00BB7758">
        <w:trPr>
          <w:tblCellSpacing w:w="15" w:type="dxa"/>
        </w:trPr>
        <w:tc>
          <w:tcPr>
            <w:tcW w:w="0" w:type="auto"/>
            <w:tcMar>
              <w:top w:w="15" w:type="dxa"/>
              <w:left w:w="15" w:type="dxa"/>
              <w:bottom w:w="15" w:type="dxa"/>
              <w:right w:w="15" w:type="dxa"/>
            </w:tcMar>
            <w:vAlign w:val="center"/>
            <w:hideMark/>
          </w:tcPr>
          <w:p w:rsidR="003127C2" w:rsidRPr="00291032" w:rsidRDefault="003127C2" w:rsidP="00BB7758">
            <w:pPr>
              <w:rPr>
                <w:rFonts w:ascii="Times New Roman" w:hAnsi="Times New Roman"/>
                <w:sz w:val="24"/>
                <w:szCs w:val="24"/>
              </w:rPr>
            </w:pPr>
            <w:r w:rsidRPr="00291032">
              <w:rPr>
                <w:rFonts w:ascii="Times New Roman" w:hAnsi="Times New Roman"/>
                <w:sz w:val="24"/>
                <w:szCs w:val="24"/>
              </w:rPr>
              <w:t>Funding Opportunity Number:</w:t>
            </w:r>
          </w:p>
        </w:tc>
        <w:tc>
          <w:tcPr>
            <w:tcW w:w="0" w:type="auto"/>
            <w:tcMar>
              <w:top w:w="15" w:type="dxa"/>
              <w:left w:w="15" w:type="dxa"/>
              <w:bottom w:w="15" w:type="dxa"/>
              <w:right w:w="15" w:type="dxa"/>
            </w:tcMar>
            <w:vAlign w:val="center"/>
            <w:hideMark/>
          </w:tcPr>
          <w:p w:rsidR="003127C2" w:rsidRPr="00291032" w:rsidRDefault="003127C2" w:rsidP="00BB7758">
            <w:pPr>
              <w:rPr>
                <w:rFonts w:ascii="Times New Roman" w:hAnsi="Times New Roman"/>
                <w:sz w:val="24"/>
                <w:szCs w:val="24"/>
              </w:rPr>
            </w:pPr>
            <w:r w:rsidRPr="00291032">
              <w:rPr>
                <w:rFonts w:ascii="Times New Roman" w:hAnsi="Times New Roman"/>
                <w:sz w:val="24"/>
                <w:szCs w:val="24"/>
              </w:rPr>
              <w:t>NOI-XXX-XX</w:t>
            </w:r>
          </w:p>
        </w:tc>
      </w:tr>
      <w:tr w:rsidR="003127C2" w:rsidRPr="008E5CE3" w:rsidTr="00BB7758">
        <w:trPr>
          <w:tblCellSpacing w:w="15" w:type="dxa"/>
        </w:trPr>
        <w:tc>
          <w:tcPr>
            <w:tcW w:w="0" w:type="auto"/>
            <w:tcMar>
              <w:top w:w="15" w:type="dxa"/>
              <w:left w:w="15" w:type="dxa"/>
              <w:bottom w:w="15" w:type="dxa"/>
              <w:right w:w="15" w:type="dxa"/>
            </w:tcMar>
            <w:vAlign w:val="center"/>
            <w:hideMark/>
          </w:tcPr>
          <w:p w:rsidR="003127C2" w:rsidRPr="00291032" w:rsidRDefault="003127C2" w:rsidP="00BB7758">
            <w:pPr>
              <w:rPr>
                <w:rFonts w:ascii="Times New Roman" w:hAnsi="Times New Roman"/>
                <w:sz w:val="24"/>
                <w:szCs w:val="24"/>
              </w:rPr>
            </w:pPr>
            <w:r w:rsidRPr="00291032">
              <w:rPr>
                <w:rFonts w:ascii="Times New Roman" w:hAnsi="Times New Roman"/>
                <w:sz w:val="24"/>
                <w:szCs w:val="24"/>
              </w:rPr>
              <w:t>Funding Opportunity Title:</w:t>
            </w:r>
          </w:p>
        </w:tc>
        <w:tc>
          <w:tcPr>
            <w:tcW w:w="0" w:type="auto"/>
            <w:tcMar>
              <w:top w:w="15" w:type="dxa"/>
              <w:left w:w="15" w:type="dxa"/>
              <w:bottom w:w="15" w:type="dxa"/>
              <w:right w:w="15" w:type="dxa"/>
            </w:tcMar>
            <w:vAlign w:val="center"/>
            <w:hideMark/>
          </w:tcPr>
          <w:p w:rsidR="003127C2" w:rsidRPr="00291032" w:rsidRDefault="003127C2" w:rsidP="00BB7758">
            <w:pPr>
              <w:rPr>
                <w:rFonts w:ascii="Times New Roman" w:hAnsi="Times New Roman"/>
                <w:sz w:val="24"/>
                <w:szCs w:val="24"/>
              </w:rPr>
            </w:pPr>
            <w:r w:rsidRPr="00291032">
              <w:rPr>
                <w:rFonts w:ascii="Times New Roman" w:hAnsi="Times New Roman"/>
                <w:bCs/>
                <w:sz w:val="24"/>
                <w:szCs w:val="24"/>
              </w:rPr>
              <w:t>Notice of Intent requesting Letters of Interest for a sole source award to help enhance the portability of occupational licensing</w:t>
            </w:r>
            <w:r w:rsidRPr="00291032">
              <w:rPr>
                <w:rFonts w:ascii="Times New Roman" w:hAnsi="Times New Roman"/>
                <w:bCs/>
                <w:kern w:val="36"/>
                <w:sz w:val="24"/>
                <w:szCs w:val="24"/>
              </w:rPr>
              <w:t>.</w:t>
            </w:r>
          </w:p>
        </w:tc>
      </w:tr>
      <w:tr w:rsidR="003127C2" w:rsidRPr="008E5CE3" w:rsidTr="00BB7758">
        <w:trPr>
          <w:tblCellSpacing w:w="15" w:type="dxa"/>
        </w:trPr>
        <w:tc>
          <w:tcPr>
            <w:tcW w:w="0" w:type="auto"/>
            <w:tcMar>
              <w:top w:w="15" w:type="dxa"/>
              <w:left w:w="15" w:type="dxa"/>
              <w:bottom w:w="15" w:type="dxa"/>
              <w:right w:w="15" w:type="dxa"/>
            </w:tcMar>
            <w:vAlign w:val="center"/>
            <w:hideMark/>
          </w:tcPr>
          <w:p w:rsidR="003127C2" w:rsidRPr="00291032" w:rsidRDefault="003127C2" w:rsidP="00BB7758">
            <w:pPr>
              <w:rPr>
                <w:rFonts w:ascii="Times New Roman" w:hAnsi="Times New Roman"/>
                <w:sz w:val="24"/>
                <w:szCs w:val="24"/>
              </w:rPr>
            </w:pPr>
            <w:r w:rsidRPr="00291032">
              <w:rPr>
                <w:rFonts w:ascii="Times New Roman" w:hAnsi="Times New Roman"/>
                <w:sz w:val="24"/>
                <w:szCs w:val="24"/>
              </w:rPr>
              <w:t>Opportunity Category:</w:t>
            </w:r>
          </w:p>
        </w:tc>
        <w:tc>
          <w:tcPr>
            <w:tcW w:w="0" w:type="auto"/>
            <w:tcMar>
              <w:top w:w="15" w:type="dxa"/>
              <w:left w:w="15" w:type="dxa"/>
              <w:bottom w:w="15" w:type="dxa"/>
              <w:right w:w="15" w:type="dxa"/>
            </w:tcMar>
            <w:vAlign w:val="center"/>
            <w:hideMark/>
          </w:tcPr>
          <w:p w:rsidR="003127C2" w:rsidRPr="00291032" w:rsidRDefault="003127C2" w:rsidP="00BB7758">
            <w:pPr>
              <w:rPr>
                <w:rFonts w:ascii="Times New Roman" w:hAnsi="Times New Roman"/>
                <w:sz w:val="24"/>
                <w:szCs w:val="24"/>
              </w:rPr>
            </w:pPr>
            <w:r w:rsidRPr="00291032">
              <w:rPr>
                <w:rFonts w:ascii="Times New Roman" w:hAnsi="Times New Roman"/>
                <w:sz w:val="24"/>
                <w:szCs w:val="24"/>
              </w:rPr>
              <w:t>Discretionary</w:t>
            </w:r>
          </w:p>
        </w:tc>
      </w:tr>
      <w:tr w:rsidR="003127C2" w:rsidRPr="008E5CE3" w:rsidTr="00BB7758">
        <w:trPr>
          <w:tblCellSpacing w:w="15" w:type="dxa"/>
        </w:trPr>
        <w:tc>
          <w:tcPr>
            <w:tcW w:w="0" w:type="auto"/>
            <w:tcMar>
              <w:top w:w="15" w:type="dxa"/>
              <w:left w:w="15" w:type="dxa"/>
              <w:bottom w:w="15" w:type="dxa"/>
              <w:right w:w="15" w:type="dxa"/>
            </w:tcMar>
            <w:vAlign w:val="center"/>
            <w:hideMark/>
          </w:tcPr>
          <w:p w:rsidR="003127C2" w:rsidRPr="00291032" w:rsidRDefault="003127C2" w:rsidP="00BB7758">
            <w:pPr>
              <w:rPr>
                <w:rFonts w:ascii="Times New Roman" w:hAnsi="Times New Roman"/>
                <w:sz w:val="24"/>
                <w:szCs w:val="24"/>
              </w:rPr>
            </w:pPr>
            <w:r w:rsidRPr="00291032">
              <w:rPr>
                <w:rFonts w:ascii="Times New Roman" w:hAnsi="Times New Roman"/>
                <w:sz w:val="24"/>
                <w:szCs w:val="24"/>
              </w:rPr>
              <w:t>Posted Date:</w:t>
            </w:r>
          </w:p>
        </w:tc>
        <w:tc>
          <w:tcPr>
            <w:tcW w:w="0" w:type="auto"/>
            <w:tcMar>
              <w:top w:w="15" w:type="dxa"/>
              <w:left w:w="15" w:type="dxa"/>
              <w:bottom w:w="15" w:type="dxa"/>
              <w:right w:w="15" w:type="dxa"/>
            </w:tcMar>
            <w:vAlign w:val="center"/>
            <w:hideMark/>
          </w:tcPr>
          <w:p w:rsidR="003127C2" w:rsidRPr="00291032" w:rsidRDefault="003127C2" w:rsidP="00BB7758">
            <w:pPr>
              <w:rPr>
                <w:rFonts w:ascii="Times New Roman" w:hAnsi="Times New Roman"/>
                <w:sz w:val="24"/>
                <w:szCs w:val="24"/>
              </w:rPr>
            </w:pPr>
            <w:r w:rsidRPr="00291032">
              <w:rPr>
                <w:rFonts w:ascii="Times New Roman" w:hAnsi="Times New Roman"/>
                <w:sz w:val="24"/>
                <w:szCs w:val="24"/>
              </w:rPr>
              <w:t>XXX-XX-XXX</w:t>
            </w:r>
          </w:p>
        </w:tc>
      </w:tr>
      <w:tr w:rsidR="003127C2" w:rsidRPr="008E5CE3" w:rsidTr="00BB7758">
        <w:trPr>
          <w:tblCellSpacing w:w="15" w:type="dxa"/>
        </w:trPr>
        <w:tc>
          <w:tcPr>
            <w:tcW w:w="0" w:type="auto"/>
            <w:tcMar>
              <w:top w:w="15" w:type="dxa"/>
              <w:left w:w="15" w:type="dxa"/>
              <w:bottom w:w="15" w:type="dxa"/>
              <w:right w:w="15" w:type="dxa"/>
            </w:tcMar>
            <w:vAlign w:val="center"/>
            <w:hideMark/>
          </w:tcPr>
          <w:p w:rsidR="003127C2" w:rsidRPr="00291032" w:rsidRDefault="003127C2" w:rsidP="00BB7758">
            <w:pPr>
              <w:rPr>
                <w:rFonts w:ascii="Times New Roman" w:hAnsi="Times New Roman"/>
                <w:sz w:val="24"/>
                <w:szCs w:val="24"/>
              </w:rPr>
            </w:pPr>
            <w:r w:rsidRPr="00291032">
              <w:rPr>
                <w:rFonts w:ascii="Times New Roman" w:hAnsi="Times New Roman"/>
                <w:sz w:val="24"/>
                <w:szCs w:val="24"/>
              </w:rPr>
              <w:t>Creation Date:</w:t>
            </w:r>
          </w:p>
        </w:tc>
        <w:tc>
          <w:tcPr>
            <w:tcW w:w="0" w:type="auto"/>
            <w:tcMar>
              <w:top w:w="15" w:type="dxa"/>
              <w:left w:w="15" w:type="dxa"/>
              <w:bottom w:w="15" w:type="dxa"/>
              <w:right w:w="15" w:type="dxa"/>
            </w:tcMar>
            <w:vAlign w:val="center"/>
            <w:hideMark/>
          </w:tcPr>
          <w:p w:rsidR="003127C2" w:rsidRPr="00291032" w:rsidRDefault="003127C2" w:rsidP="00BB7758">
            <w:pPr>
              <w:rPr>
                <w:rFonts w:ascii="Times New Roman" w:hAnsi="Times New Roman"/>
                <w:sz w:val="24"/>
                <w:szCs w:val="24"/>
              </w:rPr>
            </w:pPr>
            <w:r w:rsidRPr="00291032">
              <w:rPr>
                <w:rFonts w:ascii="Times New Roman" w:hAnsi="Times New Roman"/>
                <w:sz w:val="24"/>
                <w:szCs w:val="24"/>
              </w:rPr>
              <w:t>XXX-XX-XXX</w:t>
            </w:r>
          </w:p>
        </w:tc>
      </w:tr>
      <w:tr w:rsidR="003127C2" w:rsidRPr="008E5CE3" w:rsidTr="00BB7758">
        <w:trPr>
          <w:tblCellSpacing w:w="15" w:type="dxa"/>
        </w:trPr>
        <w:tc>
          <w:tcPr>
            <w:tcW w:w="0" w:type="auto"/>
            <w:tcMar>
              <w:top w:w="15" w:type="dxa"/>
              <w:left w:w="15" w:type="dxa"/>
              <w:bottom w:w="15" w:type="dxa"/>
              <w:right w:w="15" w:type="dxa"/>
            </w:tcMar>
            <w:hideMark/>
          </w:tcPr>
          <w:p w:rsidR="003127C2" w:rsidRPr="00291032" w:rsidRDefault="003127C2" w:rsidP="00BB7758">
            <w:pPr>
              <w:rPr>
                <w:rFonts w:ascii="Times New Roman" w:hAnsi="Times New Roman"/>
                <w:sz w:val="24"/>
                <w:szCs w:val="24"/>
              </w:rPr>
            </w:pPr>
            <w:r w:rsidRPr="00291032">
              <w:rPr>
                <w:rFonts w:ascii="Times New Roman" w:hAnsi="Times New Roman"/>
                <w:sz w:val="24"/>
                <w:szCs w:val="24"/>
              </w:rPr>
              <w:t>Original Closing Date for</w:t>
            </w:r>
            <w:r>
              <w:rPr>
                <w:rFonts w:ascii="Times New Roman" w:hAnsi="Times New Roman"/>
                <w:sz w:val="24"/>
                <w:szCs w:val="24"/>
              </w:rPr>
              <w:t xml:space="preserve"> Letters of Interests</w:t>
            </w:r>
            <w:r w:rsidRPr="00291032">
              <w:rPr>
                <w:rFonts w:ascii="Times New Roman" w:hAnsi="Times New Roman"/>
                <w:sz w:val="24"/>
                <w:szCs w:val="24"/>
              </w:rPr>
              <w:t>:</w:t>
            </w:r>
          </w:p>
        </w:tc>
        <w:tc>
          <w:tcPr>
            <w:tcW w:w="0" w:type="auto"/>
            <w:tcMar>
              <w:top w:w="15" w:type="dxa"/>
              <w:left w:w="15" w:type="dxa"/>
              <w:bottom w:w="15" w:type="dxa"/>
              <w:right w:w="15" w:type="dxa"/>
            </w:tcMar>
            <w:vAlign w:val="center"/>
            <w:hideMark/>
          </w:tcPr>
          <w:p w:rsidR="003127C2" w:rsidRPr="00CA26E4" w:rsidRDefault="00CA26E4" w:rsidP="00BB7758">
            <w:pPr>
              <w:rPr>
                <w:rFonts w:ascii="Times New Roman" w:hAnsi="Times New Roman"/>
                <w:i/>
                <w:sz w:val="24"/>
                <w:szCs w:val="24"/>
              </w:rPr>
            </w:pPr>
            <w:r w:rsidRPr="00CA26E4">
              <w:rPr>
                <w:rFonts w:ascii="Times New Roman" w:hAnsi="Times New Roman"/>
                <w:i/>
                <w:sz w:val="24"/>
                <w:szCs w:val="24"/>
              </w:rPr>
              <w:t>INSERT DATE HERE</w:t>
            </w:r>
          </w:p>
        </w:tc>
      </w:tr>
      <w:tr w:rsidR="003127C2" w:rsidRPr="008E5CE3" w:rsidTr="00BB7758">
        <w:trPr>
          <w:tblCellSpacing w:w="15" w:type="dxa"/>
        </w:trPr>
        <w:tc>
          <w:tcPr>
            <w:tcW w:w="0" w:type="auto"/>
            <w:tcMar>
              <w:top w:w="15" w:type="dxa"/>
              <w:left w:w="15" w:type="dxa"/>
              <w:bottom w:w="15" w:type="dxa"/>
              <w:right w:w="15" w:type="dxa"/>
            </w:tcMar>
            <w:vAlign w:val="center"/>
            <w:hideMark/>
          </w:tcPr>
          <w:p w:rsidR="003127C2" w:rsidRPr="00291032" w:rsidRDefault="003127C2" w:rsidP="00BB7758">
            <w:pPr>
              <w:rPr>
                <w:rFonts w:ascii="Times New Roman" w:hAnsi="Times New Roman"/>
                <w:sz w:val="24"/>
                <w:szCs w:val="24"/>
              </w:rPr>
            </w:pPr>
            <w:r w:rsidRPr="00291032">
              <w:rPr>
                <w:rFonts w:ascii="Times New Roman" w:hAnsi="Times New Roman"/>
                <w:sz w:val="24"/>
                <w:szCs w:val="24"/>
              </w:rPr>
              <w:t>Archive Date:</w:t>
            </w:r>
          </w:p>
        </w:tc>
        <w:tc>
          <w:tcPr>
            <w:tcW w:w="0" w:type="auto"/>
            <w:tcMar>
              <w:top w:w="15" w:type="dxa"/>
              <w:left w:w="15" w:type="dxa"/>
              <w:bottom w:w="15" w:type="dxa"/>
              <w:right w:w="15" w:type="dxa"/>
            </w:tcMar>
            <w:vAlign w:val="center"/>
            <w:hideMark/>
          </w:tcPr>
          <w:p w:rsidR="003127C2" w:rsidRPr="00291032" w:rsidRDefault="003127C2" w:rsidP="00BB7758">
            <w:pPr>
              <w:rPr>
                <w:rFonts w:ascii="Times New Roman" w:hAnsi="Times New Roman"/>
                <w:sz w:val="24"/>
                <w:szCs w:val="24"/>
              </w:rPr>
            </w:pPr>
          </w:p>
        </w:tc>
      </w:tr>
      <w:tr w:rsidR="003127C2" w:rsidRPr="008E5CE3" w:rsidTr="00BB7758">
        <w:trPr>
          <w:tblCellSpacing w:w="15" w:type="dxa"/>
        </w:trPr>
        <w:tc>
          <w:tcPr>
            <w:tcW w:w="0" w:type="auto"/>
            <w:tcMar>
              <w:top w:w="15" w:type="dxa"/>
              <w:left w:w="15" w:type="dxa"/>
              <w:bottom w:w="15" w:type="dxa"/>
              <w:right w:w="15" w:type="dxa"/>
            </w:tcMar>
            <w:hideMark/>
          </w:tcPr>
          <w:p w:rsidR="003127C2" w:rsidRPr="00291032" w:rsidRDefault="003127C2" w:rsidP="00BB7758">
            <w:pPr>
              <w:rPr>
                <w:rFonts w:ascii="Times New Roman" w:hAnsi="Times New Roman"/>
                <w:sz w:val="24"/>
                <w:szCs w:val="24"/>
              </w:rPr>
            </w:pPr>
            <w:r w:rsidRPr="00291032">
              <w:rPr>
                <w:rFonts w:ascii="Times New Roman" w:hAnsi="Times New Roman"/>
                <w:sz w:val="24"/>
                <w:szCs w:val="24"/>
              </w:rPr>
              <w:t>Funding Instrument Type:</w:t>
            </w:r>
          </w:p>
        </w:tc>
        <w:tc>
          <w:tcPr>
            <w:tcW w:w="0" w:type="auto"/>
            <w:tcMar>
              <w:top w:w="15" w:type="dxa"/>
              <w:left w:w="15" w:type="dxa"/>
              <w:bottom w:w="15" w:type="dxa"/>
              <w:right w:w="15" w:type="dxa"/>
            </w:tcMar>
            <w:vAlign w:val="center"/>
            <w:hideMark/>
          </w:tcPr>
          <w:p w:rsidR="003127C2" w:rsidRPr="00291032" w:rsidRDefault="003127C2" w:rsidP="00BB7758">
            <w:pPr>
              <w:rPr>
                <w:rFonts w:ascii="Times New Roman" w:hAnsi="Times New Roman"/>
                <w:sz w:val="24"/>
                <w:szCs w:val="24"/>
              </w:rPr>
            </w:pPr>
            <w:r w:rsidRPr="00291032">
              <w:rPr>
                <w:rFonts w:ascii="Times New Roman" w:hAnsi="Times New Roman"/>
                <w:sz w:val="24"/>
                <w:szCs w:val="24"/>
              </w:rPr>
              <w:t>Cooperative Agreement</w:t>
            </w:r>
          </w:p>
        </w:tc>
      </w:tr>
      <w:tr w:rsidR="003127C2" w:rsidRPr="008E5CE3" w:rsidTr="00BB7758">
        <w:trPr>
          <w:tblCellSpacing w:w="15" w:type="dxa"/>
        </w:trPr>
        <w:tc>
          <w:tcPr>
            <w:tcW w:w="0" w:type="auto"/>
            <w:tcMar>
              <w:top w:w="15" w:type="dxa"/>
              <w:left w:w="15" w:type="dxa"/>
              <w:bottom w:w="15" w:type="dxa"/>
              <w:right w:w="15" w:type="dxa"/>
            </w:tcMar>
            <w:hideMark/>
          </w:tcPr>
          <w:p w:rsidR="003127C2" w:rsidRPr="00291032" w:rsidRDefault="003127C2" w:rsidP="00BB7758">
            <w:pPr>
              <w:rPr>
                <w:rFonts w:ascii="Times New Roman" w:hAnsi="Times New Roman"/>
                <w:sz w:val="24"/>
                <w:szCs w:val="24"/>
              </w:rPr>
            </w:pPr>
            <w:r w:rsidRPr="00291032">
              <w:rPr>
                <w:rFonts w:ascii="Times New Roman" w:hAnsi="Times New Roman"/>
                <w:sz w:val="24"/>
                <w:szCs w:val="24"/>
              </w:rPr>
              <w:t>Category of Funding Activity:</w:t>
            </w:r>
          </w:p>
        </w:tc>
        <w:tc>
          <w:tcPr>
            <w:tcW w:w="0" w:type="auto"/>
            <w:tcMar>
              <w:top w:w="15" w:type="dxa"/>
              <w:left w:w="15" w:type="dxa"/>
              <w:bottom w:w="15" w:type="dxa"/>
              <w:right w:w="15" w:type="dxa"/>
            </w:tcMar>
            <w:vAlign w:val="center"/>
            <w:hideMark/>
          </w:tcPr>
          <w:p w:rsidR="003127C2" w:rsidRPr="00291032" w:rsidRDefault="003127C2" w:rsidP="00BB7758">
            <w:pPr>
              <w:rPr>
                <w:rFonts w:ascii="Times New Roman" w:hAnsi="Times New Roman"/>
                <w:sz w:val="24"/>
                <w:szCs w:val="24"/>
              </w:rPr>
            </w:pPr>
            <w:r w:rsidRPr="00291032">
              <w:rPr>
                <w:rFonts w:ascii="Times New Roman" w:hAnsi="Times New Roman"/>
                <w:sz w:val="24"/>
                <w:szCs w:val="24"/>
              </w:rPr>
              <w:t xml:space="preserve">Employment, </w:t>
            </w:r>
            <w:r>
              <w:rPr>
                <w:rFonts w:ascii="Times New Roman" w:hAnsi="Times New Roman"/>
                <w:sz w:val="24"/>
                <w:szCs w:val="24"/>
              </w:rPr>
              <w:t xml:space="preserve"> </w:t>
            </w:r>
            <w:r w:rsidRPr="00291032">
              <w:rPr>
                <w:rFonts w:ascii="Times New Roman" w:hAnsi="Times New Roman"/>
                <w:sz w:val="24"/>
                <w:szCs w:val="24"/>
              </w:rPr>
              <w:t>Labor and Training</w:t>
            </w:r>
          </w:p>
        </w:tc>
      </w:tr>
      <w:tr w:rsidR="003127C2" w:rsidRPr="008E5CE3" w:rsidTr="00BB7758">
        <w:trPr>
          <w:tblCellSpacing w:w="15" w:type="dxa"/>
        </w:trPr>
        <w:tc>
          <w:tcPr>
            <w:tcW w:w="0" w:type="auto"/>
            <w:tcMar>
              <w:top w:w="15" w:type="dxa"/>
              <w:left w:w="15" w:type="dxa"/>
              <w:bottom w:w="15" w:type="dxa"/>
              <w:right w:w="15" w:type="dxa"/>
            </w:tcMar>
            <w:hideMark/>
          </w:tcPr>
          <w:p w:rsidR="003127C2" w:rsidRPr="00291032" w:rsidRDefault="003127C2" w:rsidP="00BB7758">
            <w:pPr>
              <w:rPr>
                <w:rFonts w:ascii="Times New Roman" w:hAnsi="Times New Roman"/>
                <w:sz w:val="24"/>
                <w:szCs w:val="24"/>
              </w:rPr>
            </w:pPr>
            <w:r w:rsidRPr="00291032">
              <w:rPr>
                <w:rFonts w:ascii="Times New Roman" w:hAnsi="Times New Roman"/>
                <w:sz w:val="24"/>
                <w:szCs w:val="24"/>
              </w:rPr>
              <w:t>Category Explanation:</w:t>
            </w:r>
          </w:p>
        </w:tc>
        <w:tc>
          <w:tcPr>
            <w:tcW w:w="0" w:type="auto"/>
            <w:tcMar>
              <w:top w:w="15" w:type="dxa"/>
              <w:left w:w="15" w:type="dxa"/>
              <w:bottom w:w="15" w:type="dxa"/>
              <w:right w:w="15" w:type="dxa"/>
            </w:tcMar>
            <w:vAlign w:val="center"/>
            <w:hideMark/>
          </w:tcPr>
          <w:p w:rsidR="003127C2" w:rsidRPr="00291032" w:rsidRDefault="003127C2" w:rsidP="00BB7758">
            <w:pPr>
              <w:rPr>
                <w:rFonts w:ascii="Times New Roman" w:hAnsi="Times New Roman"/>
                <w:sz w:val="24"/>
                <w:szCs w:val="24"/>
              </w:rPr>
            </w:pPr>
          </w:p>
        </w:tc>
      </w:tr>
      <w:tr w:rsidR="003127C2" w:rsidRPr="008E5CE3" w:rsidTr="00BB7758">
        <w:trPr>
          <w:tblCellSpacing w:w="15" w:type="dxa"/>
        </w:trPr>
        <w:tc>
          <w:tcPr>
            <w:tcW w:w="0" w:type="auto"/>
            <w:tcMar>
              <w:top w:w="15" w:type="dxa"/>
              <w:left w:w="15" w:type="dxa"/>
              <w:bottom w:w="15" w:type="dxa"/>
              <w:right w:w="15" w:type="dxa"/>
            </w:tcMar>
            <w:vAlign w:val="center"/>
            <w:hideMark/>
          </w:tcPr>
          <w:p w:rsidR="003127C2" w:rsidRPr="00291032" w:rsidRDefault="003127C2" w:rsidP="00BB7758">
            <w:pPr>
              <w:rPr>
                <w:rFonts w:ascii="Times New Roman" w:hAnsi="Times New Roman"/>
                <w:sz w:val="24"/>
                <w:szCs w:val="24"/>
              </w:rPr>
            </w:pPr>
            <w:r w:rsidRPr="00291032">
              <w:rPr>
                <w:rFonts w:ascii="Times New Roman" w:hAnsi="Times New Roman"/>
                <w:sz w:val="24"/>
                <w:szCs w:val="24"/>
              </w:rPr>
              <w:t>Expected Number of Awards:</w:t>
            </w:r>
          </w:p>
        </w:tc>
        <w:tc>
          <w:tcPr>
            <w:tcW w:w="0" w:type="auto"/>
            <w:tcMar>
              <w:top w:w="15" w:type="dxa"/>
              <w:left w:w="15" w:type="dxa"/>
              <w:bottom w:w="15" w:type="dxa"/>
              <w:right w:w="15" w:type="dxa"/>
            </w:tcMar>
            <w:vAlign w:val="center"/>
            <w:hideMark/>
          </w:tcPr>
          <w:p w:rsidR="003127C2" w:rsidRPr="00291032" w:rsidRDefault="003127C2" w:rsidP="00BB7758">
            <w:pPr>
              <w:rPr>
                <w:rFonts w:ascii="Times New Roman" w:hAnsi="Times New Roman"/>
                <w:sz w:val="24"/>
                <w:szCs w:val="24"/>
              </w:rPr>
            </w:pPr>
            <w:r w:rsidRPr="00291032">
              <w:rPr>
                <w:rFonts w:ascii="Times New Roman" w:hAnsi="Times New Roman"/>
                <w:sz w:val="24"/>
                <w:szCs w:val="24"/>
              </w:rPr>
              <w:t>Approximately 1-3</w:t>
            </w:r>
          </w:p>
        </w:tc>
      </w:tr>
      <w:tr w:rsidR="003127C2" w:rsidRPr="008E5CE3" w:rsidTr="00BB7758">
        <w:trPr>
          <w:tblCellSpacing w:w="15" w:type="dxa"/>
        </w:trPr>
        <w:tc>
          <w:tcPr>
            <w:tcW w:w="0" w:type="auto"/>
            <w:tcMar>
              <w:top w:w="15" w:type="dxa"/>
              <w:left w:w="15" w:type="dxa"/>
              <w:bottom w:w="15" w:type="dxa"/>
              <w:right w:w="15" w:type="dxa"/>
            </w:tcMar>
            <w:vAlign w:val="center"/>
            <w:hideMark/>
          </w:tcPr>
          <w:p w:rsidR="003127C2" w:rsidRPr="00291032" w:rsidRDefault="003127C2" w:rsidP="00BB7758">
            <w:pPr>
              <w:rPr>
                <w:rFonts w:ascii="Times New Roman" w:hAnsi="Times New Roman"/>
                <w:sz w:val="24"/>
                <w:szCs w:val="24"/>
              </w:rPr>
            </w:pPr>
            <w:r w:rsidRPr="00291032">
              <w:rPr>
                <w:rFonts w:ascii="Times New Roman" w:hAnsi="Times New Roman"/>
                <w:sz w:val="24"/>
                <w:szCs w:val="24"/>
              </w:rPr>
              <w:t>Estimated Total Program Funding:</w:t>
            </w:r>
          </w:p>
        </w:tc>
        <w:tc>
          <w:tcPr>
            <w:tcW w:w="0" w:type="auto"/>
            <w:tcMar>
              <w:top w:w="15" w:type="dxa"/>
              <w:left w:w="15" w:type="dxa"/>
              <w:bottom w:w="15" w:type="dxa"/>
              <w:right w:w="15" w:type="dxa"/>
            </w:tcMar>
            <w:vAlign w:val="center"/>
            <w:hideMark/>
          </w:tcPr>
          <w:p w:rsidR="003127C2" w:rsidRPr="00291032" w:rsidRDefault="003127C2" w:rsidP="00BB7758">
            <w:pPr>
              <w:rPr>
                <w:rFonts w:ascii="Times New Roman" w:hAnsi="Times New Roman"/>
                <w:sz w:val="24"/>
                <w:szCs w:val="24"/>
              </w:rPr>
            </w:pPr>
            <w:r w:rsidRPr="00291032">
              <w:rPr>
                <w:rFonts w:ascii="Times New Roman" w:hAnsi="Times New Roman"/>
                <w:sz w:val="24"/>
                <w:szCs w:val="24"/>
              </w:rPr>
              <w:t>$7,500,000</w:t>
            </w:r>
          </w:p>
        </w:tc>
      </w:tr>
      <w:tr w:rsidR="003127C2" w:rsidRPr="008E5CE3" w:rsidTr="00BB7758">
        <w:trPr>
          <w:tblCellSpacing w:w="15" w:type="dxa"/>
        </w:trPr>
        <w:tc>
          <w:tcPr>
            <w:tcW w:w="0" w:type="auto"/>
            <w:tcMar>
              <w:top w:w="15" w:type="dxa"/>
              <w:left w:w="15" w:type="dxa"/>
              <w:bottom w:w="15" w:type="dxa"/>
              <w:right w:w="15" w:type="dxa"/>
            </w:tcMar>
            <w:vAlign w:val="center"/>
            <w:hideMark/>
          </w:tcPr>
          <w:p w:rsidR="003127C2" w:rsidRPr="00291032" w:rsidRDefault="003127C2" w:rsidP="00BB7758">
            <w:pPr>
              <w:rPr>
                <w:rFonts w:ascii="Times New Roman" w:hAnsi="Times New Roman"/>
                <w:sz w:val="24"/>
                <w:szCs w:val="24"/>
              </w:rPr>
            </w:pPr>
            <w:r w:rsidRPr="00291032">
              <w:rPr>
                <w:rFonts w:ascii="Times New Roman" w:hAnsi="Times New Roman"/>
                <w:sz w:val="24"/>
                <w:szCs w:val="24"/>
              </w:rPr>
              <w:t>Award Floor:</w:t>
            </w:r>
          </w:p>
        </w:tc>
        <w:tc>
          <w:tcPr>
            <w:tcW w:w="0" w:type="auto"/>
            <w:tcMar>
              <w:top w:w="15" w:type="dxa"/>
              <w:left w:w="15" w:type="dxa"/>
              <w:bottom w:w="15" w:type="dxa"/>
              <w:right w:w="15" w:type="dxa"/>
            </w:tcMar>
            <w:vAlign w:val="center"/>
            <w:hideMark/>
          </w:tcPr>
          <w:p w:rsidR="003127C2" w:rsidRPr="00291032" w:rsidRDefault="003127C2" w:rsidP="00BB7758">
            <w:pPr>
              <w:rPr>
                <w:rFonts w:ascii="Times New Roman" w:hAnsi="Times New Roman"/>
                <w:sz w:val="24"/>
                <w:szCs w:val="24"/>
              </w:rPr>
            </w:pPr>
            <w:r w:rsidRPr="00291032">
              <w:rPr>
                <w:rFonts w:ascii="Times New Roman" w:hAnsi="Times New Roman"/>
                <w:sz w:val="24"/>
                <w:szCs w:val="24"/>
              </w:rPr>
              <w:t xml:space="preserve">$0 </w:t>
            </w:r>
          </w:p>
        </w:tc>
      </w:tr>
      <w:tr w:rsidR="003127C2" w:rsidRPr="008E5CE3" w:rsidTr="00BB7758">
        <w:trPr>
          <w:tblCellSpacing w:w="15" w:type="dxa"/>
        </w:trPr>
        <w:tc>
          <w:tcPr>
            <w:tcW w:w="0" w:type="auto"/>
            <w:tcMar>
              <w:top w:w="15" w:type="dxa"/>
              <w:left w:w="15" w:type="dxa"/>
              <w:bottom w:w="15" w:type="dxa"/>
              <w:right w:w="15" w:type="dxa"/>
            </w:tcMar>
            <w:vAlign w:val="center"/>
            <w:hideMark/>
          </w:tcPr>
          <w:p w:rsidR="003127C2" w:rsidRPr="00291032" w:rsidRDefault="003127C2" w:rsidP="00BB7758">
            <w:pPr>
              <w:rPr>
                <w:rFonts w:ascii="Times New Roman" w:hAnsi="Times New Roman"/>
                <w:sz w:val="24"/>
                <w:szCs w:val="24"/>
              </w:rPr>
            </w:pPr>
            <w:r w:rsidRPr="00291032">
              <w:rPr>
                <w:rFonts w:ascii="Times New Roman" w:hAnsi="Times New Roman"/>
                <w:sz w:val="24"/>
                <w:szCs w:val="24"/>
              </w:rPr>
              <w:t>CFDA Number(s):</w:t>
            </w:r>
          </w:p>
        </w:tc>
        <w:tc>
          <w:tcPr>
            <w:tcW w:w="0" w:type="auto"/>
            <w:tcMar>
              <w:top w:w="15" w:type="dxa"/>
              <w:left w:w="15" w:type="dxa"/>
              <w:bottom w:w="15" w:type="dxa"/>
              <w:right w:w="15" w:type="dxa"/>
            </w:tcMar>
            <w:vAlign w:val="center"/>
            <w:hideMark/>
          </w:tcPr>
          <w:p w:rsidR="003127C2" w:rsidRPr="00291032" w:rsidRDefault="00262E44" w:rsidP="00BB7758">
            <w:pPr>
              <w:rPr>
                <w:rFonts w:ascii="Times New Roman" w:hAnsi="Times New Roman"/>
                <w:sz w:val="24"/>
                <w:szCs w:val="24"/>
              </w:rPr>
            </w:pPr>
            <w:r>
              <w:rPr>
                <w:rFonts w:ascii="Times New Roman" w:hAnsi="Times New Roman"/>
                <w:sz w:val="24"/>
                <w:szCs w:val="24"/>
              </w:rPr>
              <w:t>17.207</w:t>
            </w:r>
          </w:p>
        </w:tc>
      </w:tr>
      <w:tr w:rsidR="003127C2" w:rsidRPr="008E5CE3" w:rsidTr="00BB7758">
        <w:trPr>
          <w:tblCellSpacing w:w="15" w:type="dxa"/>
        </w:trPr>
        <w:tc>
          <w:tcPr>
            <w:tcW w:w="0" w:type="auto"/>
            <w:noWrap/>
            <w:tcMar>
              <w:top w:w="15" w:type="dxa"/>
              <w:left w:w="15" w:type="dxa"/>
              <w:bottom w:w="15" w:type="dxa"/>
              <w:right w:w="15" w:type="dxa"/>
            </w:tcMar>
            <w:hideMark/>
          </w:tcPr>
          <w:p w:rsidR="003127C2" w:rsidRPr="00291032" w:rsidRDefault="003127C2" w:rsidP="00BB7758">
            <w:pPr>
              <w:rPr>
                <w:rFonts w:ascii="Times New Roman" w:hAnsi="Times New Roman"/>
                <w:sz w:val="24"/>
                <w:szCs w:val="24"/>
              </w:rPr>
            </w:pPr>
            <w:r w:rsidRPr="00291032">
              <w:rPr>
                <w:rFonts w:ascii="Times New Roman" w:hAnsi="Times New Roman"/>
                <w:sz w:val="24"/>
                <w:szCs w:val="24"/>
              </w:rPr>
              <w:t>Cost Sharing or Matching Requirement:</w:t>
            </w:r>
          </w:p>
        </w:tc>
        <w:tc>
          <w:tcPr>
            <w:tcW w:w="0" w:type="auto"/>
            <w:tcMar>
              <w:top w:w="15" w:type="dxa"/>
              <w:left w:w="15" w:type="dxa"/>
              <w:bottom w:w="15" w:type="dxa"/>
              <w:right w:w="15" w:type="dxa"/>
            </w:tcMar>
            <w:hideMark/>
          </w:tcPr>
          <w:p w:rsidR="003127C2" w:rsidRPr="00291032" w:rsidRDefault="003127C2" w:rsidP="00BB7758">
            <w:pPr>
              <w:rPr>
                <w:rFonts w:ascii="Times New Roman" w:hAnsi="Times New Roman"/>
                <w:sz w:val="24"/>
                <w:szCs w:val="24"/>
              </w:rPr>
            </w:pPr>
            <w:r w:rsidRPr="00291032">
              <w:rPr>
                <w:rFonts w:ascii="Times New Roman" w:hAnsi="Times New Roman"/>
                <w:sz w:val="24"/>
                <w:szCs w:val="24"/>
              </w:rPr>
              <w:t xml:space="preserve">No </w:t>
            </w:r>
          </w:p>
        </w:tc>
      </w:tr>
      <w:tr w:rsidR="00815ED4" w:rsidRPr="008E5CE3" w:rsidTr="00BB7758">
        <w:trPr>
          <w:tblCellSpacing w:w="15" w:type="dxa"/>
        </w:trPr>
        <w:tc>
          <w:tcPr>
            <w:tcW w:w="0" w:type="auto"/>
            <w:noWrap/>
            <w:tcMar>
              <w:top w:w="15" w:type="dxa"/>
              <w:left w:w="15" w:type="dxa"/>
              <w:bottom w:w="15" w:type="dxa"/>
              <w:right w:w="15" w:type="dxa"/>
            </w:tcMar>
          </w:tcPr>
          <w:p w:rsidR="00815ED4" w:rsidRPr="00291032" w:rsidRDefault="00815ED4" w:rsidP="00BB7758">
            <w:pPr>
              <w:rPr>
                <w:rFonts w:ascii="Times New Roman" w:hAnsi="Times New Roman"/>
                <w:sz w:val="24"/>
                <w:szCs w:val="24"/>
              </w:rPr>
            </w:pPr>
          </w:p>
        </w:tc>
        <w:tc>
          <w:tcPr>
            <w:tcW w:w="0" w:type="auto"/>
            <w:tcMar>
              <w:top w:w="15" w:type="dxa"/>
              <w:left w:w="15" w:type="dxa"/>
              <w:bottom w:w="15" w:type="dxa"/>
              <w:right w:w="15" w:type="dxa"/>
            </w:tcMar>
          </w:tcPr>
          <w:p w:rsidR="00815ED4" w:rsidRPr="00291032" w:rsidRDefault="00815ED4" w:rsidP="00BB7758">
            <w:pPr>
              <w:rPr>
                <w:rFonts w:ascii="Times New Roman" w:hAnsi="Times New Roman"/>
                <w:sz w:val="24"/>
                <w:szCs w:val="24"/>
              </w:rPr>
            </w:pPr>
          </w:p>
        </w:tc>
      </w:tr>
    </w:tbl>
    <w:p w:rsidR="003127C2" w:rsidRPr="00D8082D" w:rsidRDefault="003127C2" w:rsidP="003127C2">
      <w:pPr>
        <w:pStyle w:val="ListParagraph"/>
        <w:numPr>
          <w:ilvl w:val="0"/>
          <w:numId w:val="2"/>
        </w:numPr>
        <w:spacing w:after="0" w:line="240" w:lineRule="auto"/>
        <w:rPr>
          <w:rFonts w:ascii="Times New Roman" w:hAnsi="Times New Roman"/>
          <w:b/>
          <w:sz w:val="24"/>
          <w:szCs w:val="24"/>
        </w:rPr>
      </w:pPr>
      <w:r>
        <w:rPr>
          <w:rFonts w:ascii="Times New Roman" w:hAnsi="Times New Roman"/>
          <w:b/>
          <w:sz w:val="24"/>
          <w:szCs w:val="24"/>
        </w:rPr>
        <w:lastRenderedPageBreak/>
        <w:t>Program Information</w:t>
      </w:r>
    </w:p>
    <w:p w:rsidR="003127C2" w:rsidRDefault="003127C2" w:rsidP="003127C2">
      <w:pPr>
        <w:spacing w:after="0" w:line="240" w:lineRule="auto"/>
        <w:ind w:left="720"/>
        <w:rPr>
          <w:rFonts w:ascii="Times New Roman" w:hAnsi="Times New Roman"/>
          <w:sz w:val="24"/>
          <w:szCs w:val="24"/>
        </w:rPr>
      </w:pPr>
    </w:p>
    <w:p w:rsidR="004F07C3" w:rsidRPr="004F07C3" w:rsidRDefault="003127C2" w:rsidP="004F07C3">
      <w:pPr>
        <w:spacing w:after="0" w:line="240" w:lineRule="auto"/>
        <w:ind w:left="720"/>
        <w:rPr>
          <w:rFonts w:ascii="Times New Roman" w:hAnsi="Times New Roman"/>
          <w:sz w:val="24"/>
          <w:szCs w:val="24"/>
        </w:rPr>
      </w:pPr>
      <w:r w:rsidRPr="00D8082D">
        <w:rPr>
          <w:rFonts w:ascii="Times New Roman" w:hAnsi="Times New Roman"/>
          <w:sz w:val="24"/>
          <w:szCs w:val="24"/>
        </w:rPr>
        <w:t>The Employment and Training Administration (ETA) intends to award up to a total of $7</w:t>
      </w:r>
      <w:r>
        <w:rPr>
          <w:rFonts w:ascii="Times New Roman" w:hAnsi="Times New Roman"/>
          <w:sz w:val="24"/>
          <w:szCs w:val="24"/>
        </w:rPr>
        <w:t xml:space="preserve">,500,000 </w:t>
      </w:r>
      <w:r w:rsidRPr="00D8082D">
        <w:rPr>
          <w:rFonts w:ascii="Times New Roman" w:hAnsi="Times New Roman"/>
          <w:sz w:val="24"/>
          <w:szCs w:val="24"/>
        </w:rPr>
        <w:t xml:space="preserve">to </w:t>
      </w:r>
      <w:r>
        <w:rPr>
          <w:rFonts w:ascii="Times New Roman" w:hAnsi="Times New Roman"/>
          <w:sz w:val="24"/>
          <w:szCs w:val="24"/>
        </w:rPr>
        <w:t xml:space="preserve">one or a </w:t>
      </w:r>
      <w:r w:rsidRPr="00D8082D">
        <w:rPr>
          <w:rFonts w:ascii="Times New Roman" w:hAnsi="Times New Roman"/>
          <w:sz w:val="24"/>
          <w:szCs w:val="24"/>
        </w:rPr>
        <w:t>few national or regional organizations</w:t>
      </w:r>
      <w:r w:rsidRPr="004F07C3">
        <w:rPr>
          <w:rFonts w:ascii="Times New Roman" w:hAnsi="Times New Roman"/>
          <w:sz w:val="24"/>
          <w:szCs w:val="24"/>
        </w:rPr>
        <w:t xml:space="preserve"> </w:t>
      </w:r>
      <w:r w:rsidRPr="00D8082D">
        <w:rPr>
          <w:rFonts w:ascii="Times New Roman" w:hAnsi="Times New Roman"/>
          <w:sz w:val="24"/>
          <w:szCs w:val="24"/>
        </w:rPr>
        <w:t xml:space="preserve">that will establish consortia </w:t>
      </w:r>
      <w:r w:rsidRPr="00EA2355">
        <w:rPr>
          <w:rFonts w:ascii="Times New Roman" w:hAnsi="Times New Roman"/>
          <w:sz w:val="24"/>
          <w:szCs w:val="24"/>
        </w:rPr>
        <w:t xml:space="preserve">of states to design and implement strategies that enhance the portability of occupational licenses and to otherwise reduce overly burdensome restrictions.  </w:t>
      </w:r>
      <w:r>
        <w:rPr>
          <w:rFonts w:ascii="Times New Roman" w:hAnsi="Times New Roman"/>
          <w:sz w:val="24"/>
          <w:szCs w:val="24"/>
        </w:rPr>
        <w:t xml:space="preserve">These funds </w:t>
      </w:r>
      <w:r w:rsidR="007C741F">
        <w:rPr>
          <w:rFonts w:ascii="Times New Roman" w:hAnsi="Times New Roman"/>
          <w:sz w:val="24"/>
          <w:szCs w:val="24"/>
        </w:rPr>
        <w:t>are</w:t>
      </w:r>
      <w:r w:rsidR="00C62222">
        <w:rPr>
          <w:rFonts w:ascii="Times New Roman" w:hAnsi="Times New Roman"/>
          <w:sz w:val="24"/>
          <w:szCs w:val="24"/>
        </w:rPr>
        <w:t xml:space="preserve"> authorized </w:t>
      </w:r>
      <w:r w:rsidR="00DD639B">
        <w:rPr>
          <w:rFonts w:ascii="Times New Roman" w:hAnsi="Times New Roman"/>
          <w:sz w:val="24"/>
          <w:szCs w:val="24"/>
        </w:rPr>
        <w:t>in</w:t>
      </w:r>
      <w:r>
        <w:rPr>
          <w:rFonts w:ascii="Times New Roman" w:hAnsi="Times New Roman"/>
          <w:sz w:val="24"/>
          <w:szCs w:val="24"/>
        </w:rPr>
        <w:t xml:space="preserve"> </w:t>
      </w:r>
      <w:r w:rsidR="00B43F92">
        <w:rPr>
          <w:rFonts w:ascii="Times New Roman" w:hAnsi="Times New Roman"/>
          <w:sz w:val="24"/>
          <w:szCs w:val="24"/>
        </w:rPr>
        <w:t>p</w:t>
      </w:r>
      <w:r w:rsidR="004F07C3" w:rsidRPr="004F07C3">
        <w:rPr>
          <w:rFonts w:ascii="Times New Roman" w:hAnsi="Times New Roman"/>
          <w:sz w:val="24"/>
          <w:szCs w:val="24"/>
        </w:rPr>
        <w:t xml:space="preserve">aragraph (6) </w:t>
      </w:r>
      <w:r w:rsidR="00DD639B">
        <w:rPr>
          <w:rFonts w:ascii="Times New Roman" w:hAnsi="Times New Roman"/>
          <w:sz w:val="24"/>
          <w:szCs w:val="24"/>
        </w:rPr>
        <w:t>under</w:t>
      </w:r>
      <w:r w:rsidR="004F07C3" w:rsidRPr="004F07C3">
        <w:rPr>
          <w:rFonts w:ascii="Times New Roman" w:hAnsi="Times New Roman"/>
          <w:sz w:val="24"/>
          <w:szCs w:val="24"/>
        </w:rPr>
        <w:t xml:space="preserve"> the heading “State Unemployment Insurance and Employment Services Operations” in Title I of Division H of the Consolidated Appropriations Act, 2016, as further explained in the Explanatory Statement of the Consolidated Appropriations Act, 2016, 161 Cong. Rec. H. 10281 (Dec. 17, 2015).</w:t>
      </w:r>
    </w:p>
    <w:p w:rsidR="003127C2" w:rsidRDefault="003127C2" w:rsidP="003127C2">
      <w:pPr>
        <w:spacing w:after="0" w:line="240" w:lineRule="auto"/>
        <w:ind w:left="720"/>
        <w:rPr>
          <w:rFonts w:ascii="Times New Roman" w:hAnsi="Times New Roman"/>
          <w:sz w:val="24"/>
          <w:szCs w:val="24"/>
        </w:rPr>
      </w:pPr>
    </w:p>
    <w:p w:rsidR="003127C2" w:rsidRDefault="003127C2" w:rsidP="003127C2">
      <w:pPr>
        <w:spacing w:after="0" w:line="240" w:lineRule="auto"/>
        <w:ind w:left="720"/>
        <w:rPr>
          <w:rFonts w:ascii="Times New Roman" w:hAnsi="Times New Roman"/>
          <w:sz w:val="24"/>
          <w:szCs w:val="24"/>
        </w:rPr>
      </w:pPr>
      <w:r w:rsidRPr="00C46658">
        <w:rPr>
          <w:rFonts w:ascii="Times New Roman" w:hAnsi="Times New Roman"/>
          <w:sz w:val="24"/>
          <w:szCs w:val="24"/>
        </w:rPr>
        <w:t>When designed and implemented carefully, licensing can offer important health and safety protections to consumers, as well as benefits to workers.</w:t>
      </w:r>
      <w:r w:rsidRPr="00EA2355">
        <w:rPr>
          <w:rFonts w:ascii="Times New Roman" w:hAnsi="Times New Roman"/>
          <w:sz w:val="24"/>
          <w:szCs w:val="24"/>
        </w:rPr>
        <w:t xml:space="preserve"> </w:t>
      </w:r>
      <w:r w:rsidRPr="00C46658">
        <w:rPr>
          <w:rFonts w:ascii="Times New Roman" w:hAnsi="Times New Roman"/>
          <w:sz w:val="24"/>
          <w:szCs w:val="24"/>
        </w:rPr>
        <w:t xml:space="preserve"> However, the current licensing </w:t>
      </w:r>
      <w:r>
        <w:rPr>
          <w:rFonts w:ascii="Times New Roman" w:hAnsi="Times New Roman"/>
          <w:sz w:val="24"/>
          <w:szCs w:val="24"/>
        </w:rPr>
        <w:t>landscape</w:t>
      </w:r>
      <w:r w:rsidRPr="00C46658">
        <w:rPr>
          <w:rFonts w:ascii="Times New Roman" w:hAnsi="Times New Roman"/>
          <w:sz w:val="24"/>
          <w:szCs w:val="24"/>
        </w:rPr>
        <w:t xml:space="preserve"> in the United States</w:t>
      </w:r>
      <w:r>
        <w:rPr>
          <w:rFonts w:ascii="Times New Roman" w:hAnsi="Times New Roman"/>
          <w:sz w:val="24"/>
          <w:szCs w:val="24"/>
        </w:rPr>
        <w:t xml:space="preserve"> also creates substantial costs;</w:t>
      </w:r>
      <w:r w:rsidRPr="00C46658">
        <w:rPr>
          <w:rFonts w:ascii="Times New Roman" w:hAnsi="Times New Roman"/>
          <w:sz w:val="24"/>
          <w:szCs w:val="24"/>
        </w:rPr>
        <w:t xml:space="preserve"> and often the requirements for obtaining a license are not </w:t>
      </w:r>
      <w:r>
        <w:rPr>
          <w:rFonts w:ascii="Times New Roman" w:hAnsi="Times New Roman"/>
          <w:sz w:val="24"/>
          <w:szCs w:val="24"/>
        </w:rPr>
        <w:t>well aligned</w:t>
      </w:r>
      <w:r w:rsidRPr="00C46658">
        <w:rPr>
          <w:rFonts w:ascii="Times New Roman" w:hAnsi="Times New Roman"/>
          <w:sz w:val="24"/>
          <w:szCs w:val="24"/>
        </w:rPr>
        <w:t xml:space="preserve"> with the skills needed for the job. </w:t>
      </w:r>
    </w:p>
    <w:p w:rsidR="003127C2" w:rsidRDefault="003127C2" w:rsidP="003127C2">
      <w:pPr>
        <w:spacing w:after="0" w:line="240" w:lineRule="auto"/>
        <w:ind w:left="720"/>
        <w:rPr>
          <w:rFonts w:ascii="Times New Roman" w:hAnsi="Times New Roman"/>
          <w:sz w:val="24"/>
          <w:szCs w:val="24"/>
        </w:rPr>
      </w:pPr>
    </w:p>
    <w:p w:rsidR="003127C2" w:rsidRPr="00705AE0" w:rsidRDefault="003127C2" w:rsidP="003127C2">
      <w:pPr>
        <w:spacing w:after="0" w:line="240" w:lineRule="auto"/>
        <w:ind w:left="720"/>
        <w:rPr>
          <w:rFonts w:ascii="Times New Roman" w:hAnsi="Times New Roman"/>
          <w:sz w:val="24"/>
          <w:szCs w:val="24"/>
        </w:rPr>
      </w:pPr>
      <w:r w:rsidRPr="00EA2355">
        <w:rPr>
          <w:rFonts w:ascii="Times New Roman" w:hAnsi="Times New Roman"/>
          <w:sz w:val="24"/>
          <w:szCs w:val="24"/>
        </w:rPr>
        <w:t>Selected organizations will work with stat</w:t>
      </w:r>
      <w:r w:rsidRPr="009F2BE1">
        <w:rPr>
          <w:rFonts w:ascii="Times New Roman" w:hAnsi="Times New Roman"/>
          <w:sz w:val="24"/>
          <w:szCs w:val="24"/>
        </w:rPr>
        <w:t xml:space="preserve">es </w:t>
      </w:r>
      <w:r>
        <w:rPr>
          <w:rFonts w:ascii="Times New Roman" w:hAnsi="Times New Roman"/>
          <w:sz w:val="24"/>
          <w:szCs w:val="24"/>
        </w:rPr>
        <w:t xml:space="preserve">in the established consortia </w:t>
      </w:r>
      <w:r w:rsidRPr="009F2BE1">
        <w:rPr>
          <w:rFonts w:ascii="Times New Roman" w:hAnsi="Times New Roman"/>
          <w:sz w:val="24"/>
          <w:szCs w:val="24"/>
        </w:rPr>
        <w:t>to review and analyze occupational licensing requirements and develop recommendations to make progress toward two</w:t>
      </w:r>
      <w:r w:rsidRPr="005F03BD">
        <w:rPr>
          <w:rFonts w:ascii="Times New Roman" w:hAnsi="Times New Roman"/>
          <w:sz w:val="24"/>
          <w:szCs w:val="24"/>
        </w:rPr>
        <w:t xml:space="preserve"> main objectives: 1) </w:t>
      </w:r>
      <w:r>
        <w:rPr>
          <w:rFonts w:ascii="Times New Roman" w:hAnsi="Times New Roman"/>
          <w:sz w:val="24"/>
          <w:szCs w:val="24"/>
        </w:rPr>
        <w:t xml:space="preserve">identifying licensing criteria to ensure that existing and new licensing requirements are not overly broad or burdensome and that they do not create unnecessary barriers to labor market entry; 2) improving </w:t>
      </w:r>
      <w:r w:rsidRPr="00705AE0">
        <w:rPr>
          <w:rFonts w:ascii="Times New Roman" w:hAnsi="Times New Roman"/>
          <w:sz w:val="24"/>
          <w:szCs w:val="24"/>
        </w:rPr>
        <w:t xml:space="preserve">portability </w:t>
      </w:r>
      <w:r>
        <w:rPr>
          <w:rFonts w:ascii="Times New Roman" w:hAnsi="Times New Roman"/>
          <w:sz w:val="24"/>
          <w:szCs w:val="24"/>
        </w:rPr>
        <w:t>and reciprocity provisions for selected occupational licenses across state lines.</w:t>
      </w:r>
      <w:r w:rsidRPr="006F355D">
        <w:rPr>
          <w:rFonts w:ascii="Times New Roman" w:hAnsi="Times New Roman"/>
          <w:sz w:val="24"/>
          <w:szCs w:val="24"/>
        </w:rPr>
        <w:t xml:space="preserve"> </w:t>
      </w:r>
      <w:r>
        <w:rPr>
          <w:rFonts w:ascii="Times New Roman" w:hAnsi="Times New Roman"/>
          <w:sz w:val="24"/>
          <w:szCs w:val="24"/>
        </w:rPr>
        <w:t xml:space="preserve"> Alternatives to current licensing approaches that may be considered include:  streamlining</w:t>
      </w:r>
      <w:r w:rsidRPr="006F355D">
        <w:rPr>
          <w:rFonts w:ascii="Times New Roman" w:hAnsi="Times New Roman"/>
          <w:sz w:val="24"/>
          <w:szCs w:val="24"/>
        </w:rPr>
        <w:t xml:space="preserve"> administrative procedures for applying for licenses</w:t>
      </w:r>
      <w:r>
        <w:rPr>
          <w:rFonts w:ascii="Times New Roman" w:hAnsi="Times New Roman"/>
          <w:sz w:val="24"/>
          <w:szCs w:val="24"/>
        </w:rPr>
        <w:t>;</w:t>
      </w:r>
      <w:r w:rsidRPr="006F355D">
        <w:rPr>
          <w:rFonts w:ascii="Times New Roman" w:hAnsi="Times New Roman"/>
          <w:sz w:val="24"/>
          <w:szCs w:val="24"/>
        </w:rPr>
        <w:t xml:space="preserve"> recognizing prior learning from education or experie</w:t>
      </w:r>
      <w:r>
        <w:rPr>
          <w:rFonts w:ascii="Times New Roman" w:hAnsi="Times New Roman"/>
          <w:sz w:val="24"/>
          <w:szCs w:val="24"/>
        </w:rPr>
        <w:t>nce obtained either in another s</w:t>
      </w:r>
      <w:r w:rsidRPr="006F355D">
        <w:rPr>
          <w:rFonts w:ascii="Times New Roman" w:hAnsi="Times New Roman"/>
          <w:sz w:val="24"/>
          <w:szCs w:val="24"/>
        </w:rPr>
        <w:t>tate, from the U</w:t>
      </w:r>
      <w:r w:rsidR="0047532F">
        <w:rPr>
          <w:rFonts w:ascii="Times New Roman" w:hAnsi="Times New Roman"/>
          <w:sz w:val="24"/>
          <w:szCs w:val="24"/>
        </w:rPr>
        <w:t>.</w:t>
      </w:r>
      <w:r w:rsidRPr="006F355D">
        <w:rPr>
          <w:rFonts w:ascii="Times New Roman" w:hAnsi="Times New Roman"/>
          <w:sz w:val="24"/>
          <w:szCs w:val="24"/>
        </w:rPr>
        <w:t>S</w:t>
      </w:r>
      <w:r w:rsidR="0047532F">
        <w:rPr>
          <w:rFonts w:ascii="Times New Roman" w:hAnsi="Times New Roman"/>
          <w:sz w:val="24"/>
          <w:szCs w:val="24"/>
        </w:rPr>
        <w:t>.</w:t>
      </w:r>
      <w:r w:rsidRPr="006F355D">
        <w:rPr>
          <w:rFonts w:ascii="Times New Roman" w:hAnsi="Times New Roman"/>
          <w:sz w:val="24"/>
          <w:szCs w:val="24"/>
        </w:rPr>
        <w:t xml:space="preserve"> military or in another country</w:t>
      </w:r>
      <w:r>
        <w:rPr>
          <w:rFonts w:ascii="Times New Roman" w:hAnsi="Times New Roman"/>
          <w:sz w:val="24"/>
          <w:szCs w:val="24"/>
        </w:rPr>
        <w:t>;</w:t>
      </w:r>
      <w:r w:rsidRPr="00705AE0">
        <w:rPr>
          <w:rFonts w:ascii="Times New Roman" w:hAnsi="Times New Roman"/>
          <w:sz w:val="24"/>
          <w:szCs w:val="24"/>
        </w:rPr>
        <w:t xml:space="preserve"> the formation of in</w:t>
      </w:r>
      <w:r>
        <w:rPr>
          <w:rFonts w:ascii="Times New Roman" w:hAnsi="Times New Roman"/>
          <w:sz w:val="24"/>
          <w:szCs w:val="24"/>
        </w:rPr>
        <w:t>terstate reciprocity agreements;</w:t>
      </w:r>
      <w:r w:rsidRPr="00705AE0">
        <w:rPr>
          <w:rFonts w:ascii="Times New Roman" w:hAnsi="Times New Roman"/>
          <w:sz w:val="24"/>
          <w:szCs w:val="24"/>
        </w:rPr>
        <w:t xml:space="preserve"> unilateral recog</w:t>
      </w:r>
      <w:r>
        <w:rPr>
          <w:rFonts w:ascii="Times New Roman" w:hAnsi="Times New Roman"/>
          <w:sz w:val="24"/>
          <w:szCs w:val="24"/>
        </w:rPr>
        <w:t>nition of out-of-state licenses;</w:t>
      </w:r>
      <w:r w:rsidRPr="00705AE0">
        <w:rPr>
          <w:rFonts w:ascii="Times New Roman" w:hAnsi="Times New Roman"/>
          <w:sz w:val="24"/>
          <w:szCs w:val="24"/>
        </w:rPr>
        <w:t xml:space="preserve"> harmonization of</w:t>
      </w:r>
      <w:r>
        <w:rPr>
          <w:rFonts w:ascii="Times New Roman" w:hAnsi="Times New Roman"/>
          <w:sz w:val="24"/>
          <w:szCs w:val="24"/>
        </w:rPr>
        <w:t xml:space="preserve"> licensing requirements across states;</w:t>
      </w:r>
      <w:r w:rsidRPr="00705AE0">
        <w:rPr>
          <w:rFonts w:ascii="Times New Roman" w:hAnsi="Times New Roman"/>
          <w:sz w:val="24"/>
          <w:szCs w:val="24"/>
        </w:rPr>
        <w:t xml:space="preserve"> </w:t>
      </w:r>
      <w:r>
        <w:rPr>
          <w:rFonts w:ascii="Times New Roman" w:hAnsi="Times New Roman"/>
          <w:sz w:val="24"/>
          <w:szCs w:val="24"/>
        </w:rPr>
        <w:t>or</w:t>
      </w:r>
      <w:r w:rsidRPr="00705AE0">
        <w:rPr>
          <w:rFonts w:ascii="Times New Roman" w:hAnsi="Times New Roman"/>
          <w:sz w:val="24"/>
          <w:szCs w:val="24"/>
        </w:rPr>
        <w:t xml:space="preserve"> the development of accelerated pathways to licen</w:t>
      </w:r>
      <w:r>
        <w:rPr>
          <w:rFonts w:ascii="Times New Roman" w:hAnsi="Times New Roman"/>
          <w:sz w:val="24"/>
          <w:szCs w:val="24"/>
        </w:rPr>
        <w:t>sure for workers moving across s</w:t>
      </w:r>
      <w:r w:rsidRPr="00705AE0">
        <w:rPr>
          <w:rFonts w:ascii="Times New Roman" w:hAnsi="Times New Roman"/>
          <w:sz w:val="24"/>
          <w:szCs w:val="24"/>
        </w:rPr>
        <w:t xml:space="preserve">tates. </w:t>
      </w:r>
    </w:p>
    <w:p w:rsidR="007C741F" w:rsidRDefault="007C741F" w:rsidP="007C741F">
      <w:pPr>
        <w:autoSpaceDE w:val="0"/>
        <w:autoSpaceDN w:val="0"/>
        <w:adjustRightInd w:val="0"/>
        <w:spacing w:after="0" w:line="240" w:lineRule="auto"/>
        <w:ind w:left="720"/>
        <w:rPr>
          <w:rFonts w:ascii="Times New Roman" w:hAnsi="Times New Roman"/>
          <w:i/>
          <w:color w:val="000000"/>
          <w:sz w:val="24"/>
          <w:szCs w:val="24"/>
        </w:rPr>
      </w:pPr>
    </w:p>
    <w:p w:rsidR="003127C2" w:rsidRDefault="003127C2" w:rsidP="007C741F">
      <w:pPr>
        <w:autoSpaceDE w:val="0"/>
        <w:autoSpaceDN w:val="0"/>
        <w:adjustRightInd w:val="0"/>
        <w:spacing w:after="0" w:line="240" w:lineRule="auto"/>
        <w:ind w:left="720"/>
        <w:rPr>
          <w:rFonts w:ascii="Times New Roman" w:hAnsi="Times New Roman"/>
          <w:color w:val="000000"/>
          <w:sz w:val="24"/>
          <w:szCs w:val="24"/>
        </w:rPr>
      </w:pPr>
      <w:r w:rsidRPr="0098570D">
        <w:rPr>
          <w:rFonts w:ascii="Times New Roman" w:hAnsi="Times New Roman"/>
          <w:i/>
          <w:color w:val="000000"/>
          <w:sz w:val="24"/>
          <w:szCs w:val="24"/>
        </w:rPr>
        <w:t>Period of Performance</w:t>
      </w:r>
      <w:r w:rsidRPr="0098570D">
        <w:rPr>
          <w:rFonts w:ascii="Times New Roman" w:hAnsi="Times New Roman"/>
          <w:color w:val="000000"/>
          <w:sz w:val="24"/>
          <w:szCs w:val="24"/>
        </w:rPr>
        <w:t>:  Awards will have a period of performance of 36 months follo</w:t>
      </w:r>
      <w:r w:rsidR="0047532F">
        <w:rPr>
          <w:rFonts w:ascii="Times New Roman" w:hAnsi="Times New Roman"/>
          <w:color w:val="000000"/>
          <w:sz w:val="24"/>
          <w:szCs w:val="24"/>
        </w:rPr>
        <w:t>wing the date of award.  The 36-</w:t>
      </w:r>
      <w:r w:rsidRPr="0098570D">
        <w:rPr>
          <w:rFonts w:ascii="Times New Roman" w:hAnsi="Times New Roman"/>
          <w:color w:val="000000"/>
          <w:sz w:val="24"/>
          <w:szCs w:val="24"/>
        </w:rPr>
        <w:t xml:space="preserve">month period of performance </w:t>
      </w:r>
      <w:r>
        <w:rPr>
          <w:rFonts w:ascii="Times New Roman" w:hAnsi="Times New Roman"/>
          <w:color w:val="000000"/>
          <w:sz w:val="24"/>
          <w:szCs w:val="24"/>
        </w:rPr>
        <w:t>should</w:t>
      </w:r>
      <w:r w:rsidRPr="0098570D">
        <w:rPr>
          <w:rFonts w:ascii="Times New Roman" w:hAnsi="Times New Roman"/>
          <w:color w:val="000000"/>
          <w:sz w:val="24"/>
          <w:szCs w:val="24"/>
        </w:rPr>
        <w:t xml:space="preserve"> include </w:t>
      </w:r>
      <w:r>
        <w:rPr>
          <w:rFonts w:ascii="Times New Roman" w:hAnsi="Times New Roman"/>
          <w:color w:val="000000"/>
          <w:sz w:val="24"/>
          <w:szCs w:val="24"/>
        </w:rPr>
        <w:t>an initial phase for</w:t>
      </w:r>
      <w:r w:rsidRPr="0098570D">
        <w:rPr>
          <w:rFonts w:ascii="Times New Roman" w:hAnsi="Times New Roman"/>
          <w:color w:val="000000"/>
          <w:sz w:val="24"/>
          <w:szCs w:val="24"/>
        </w:rPr>
        <w:t xml:space="preserve"> start-up and </w:t>
      </w:r>
      <w:r>
        <w:rPr>
          <w:rFonts w:ascii="Times New Roman" w:hAnsi="Times New Roman"/>
          <w:color w:val="000000"/>
          <w:sz w:val="24"/>
          <w:szCs w:val="24"/>
        </w:rPr>
        <w:t>orientation</w:t>
      </w:r>
      <w:r w:rsidRPr="0098570D">
        <w:rPr>
          <w:rFonts w:ascii="Times New Roman" w:hAnsi="Times New Roman"/>
          <w:color w:val="000000"/>
          <w:sz w:val="24"/>
          <w:szCs w:val="24"/>
        </w:rPr>
        <w:t xml:space="preserve"> activities </w:t>
      </w:r>
      <w:r>
        <w:rPr>
          <w:rFonts w:ascii="Times New Roman" w:hAnsi="Times New Roman"/>
          <w:color w:val="000000"/>
          <w:sz w:val="24"/>
          <w:szCs w:val="24"/>
        </w:rPr>
        <w:t xml:space="preserve">to establish consortia, </w:t>
      </w:r>
      <w:r w:rsidRPr="0098570D">
        <w:rPr>
          <w:rFonts w:ascii="Times New Roman" w:hAnsi="Times New Roman"/>
          <w:color w:val="000000"/>
          <w:sz w:val="24"/>
          <w:szCs w:val="24"/>
        </w:rPr>
        <w:t xml:space="preserve">and </w:t>
      </w:r>
      <w:r>
        <w:rPr>
          <w:rFonts w:ascii="Times New Roman" w:hAnsi="Times New Roman"/>
          <w:color w:val="000000"/>
          <w:sz w:val="24"/>
          <w:szCs w:val="24"/>
        </w:rPr>
        <w:t>sufficient time at the conclusion to prepare a final report.  However, the majority of the project period should be used for project activities as described.</w:t>
      </w:r>
      <w:r w:rsidRPr="0098570D">
        <w:rPr>
          <w:rFonts w:ascii="Times New Roman" w:hAnsi="Times New Roman"/>
          <w:color w:val="000000"/>
          <w:sz w:val="24"/>
          <w:szCs w:val="24"/>
        </w:rPr>
        <w:t xml:space="preserve"> </w:t>
      </w:r>
      <w:r>
        <w:rPr>
          <w:rFonts w:ascii="Times New Roman" w:hAnsi="Times New Roman"/>
          <w:color w:val="000000"/>
          <w:sz w:val="24"/>
          <w:szCs w:val="24"/>
        </w:rPr>
        <w:t xml:space="preserve"> Interested entities who do not propose projects that match the timeline outlined above may still be considered if their proposal appears reasonably calculated to meeting the goals of the cooperative agreement and is consistent with Federal appropriations law.  </w:t>
      </w:r>
    </w:p>
    <w:p w:rsidR="003127C2" w:rsidRPr="0098570D" w:rsidRDefault="003127C2" w:rsidP="003127C2">
      <w:pPr>
        <w:autoSpaceDE w:val="0"/>
        <w:autoSpaceDN w:val="0"/>
        <w:adjustRightInd w:val="0"/>
        <w:spacing w:before="120" w:after="0" w:line="240" w:lineRule="auto"/>
        <w:ind w:left="720"/>
        <w:rPr>
          <w:rFonts w:ascii="Times New Roman" w:hAnsi="Times New Roman"/>
          <w:color w:val="000000"/>
          <w:sz w:val="24"/>
          <w:szCs w:val="24"/>
        </w:rPr>
      </w:pPr>
      <w:r>
        <w:rPr>
          <w:rFonts w:ascii="Times New Roman" w:hAnsi="Times New Roman"/>
          <w:color w:val="000000"/>
          <w:sz w:val="24"/>
          <w:szCs w:val="24"/>
        </w:rPr>
        <w:t>Interested entities must submit a Letter of Interest to [</w:t>
      </w:r>
      <w:r>
        <w:rPr>
          <w:rFonts w:ascii="Times New Roman" w:hAnsi="Times New Roman"/>
          <w:i/>
          <w:color w:val="000000"/>
          <w:sz w:val="22"/>
          <w:szCs w:val="24"/>
        </w:rPr>
        <w:t>insert Grants office contact info</w:t>
      </w:r>
      <w:r>
        <w:rPr>
          <w:rFonts w:ascii="Times New Roman" w:hAnsi="Times New Roman"/>
          <w:color w:val="000000"/>
          <w:sz w:val="22"/>
          <w:szCs w:val="24"/>
        </w:rPr>
        <w:t>]</w:t>
      </w:r>
      <w:r>
        <w:rPr>
          <w:rFonts w:ascii="Times New Roman" w:hAnsi="Times New Roman"/>
          <w:color w:val="000000"/>
          <w:sz w:val="24"/>
          <w:szCs w:val="24"/>
        </w:rPr>
        <w:t xml:space="preserve"> by [</w:t>
      </w:r>
      <w:r>
        <w:rPr>
          <w:rFonts w:ascii="Times New Roman" w:hAnsi="Times New Roman"/>
          <w:i/>
          <w:color w:val="000000"/>
          <w:sz w:val="24"/>
          <w:szCs w:val="24"/>
        </w:rPr>
        <w:t>insert date</w:t>
      </w:r>
      <w:r>
        <w:rPr>
          <w:rFonts w:ascii="Times New Roman" w:hAnsi="Times New Roman"/>
          <w:color w:val="000000"/>
          <w:sz w:val="24"/>
          <w:szCs w:val="24"/>
        </w:rPr>
        <w:t>].  The Letter of Interest must describe the proposed strategy to build state consortia within the timeframe outlined above and details on the support participating states will receive to enhance portability and accessibility.</w:t>
      </w:r>
    </w:p>
    <w:p w:rsidR="000A1F3B" w:rsidRDefault="003127C2" w:rsidP="000A1F3B">
      <w:pPr>
        <w:autoSpaceDE w:val="0"/>
        <w:autoSpaceDN w:val="0"/>
        <w:adjustRightInd w:val="0"/>
        <w:spacing w:before="120" w:after="0" w:line="240" w:lineRule="auto"/>
        <w:ind w:left="720"/>
        <w:rPr>
          <w:rFonts w:ascii="Times New Roman" w:hAnsi="Times New Roman"/>
          <w:color w:val="000000"/>
          <w:sz w:val="24"/>
          <w:szCs w:val="24"/>
        </w:rPr>
      </w:pPr>
      <w:r w:rsidRPr="0098570D">
        <w:rPr>
          <w:rFonts w:ascii="Times New Roman" w:hAnsi="Times New Roman"/>
          <w:i/>
          <w:color w:val="000000"/>
          <w:sz w:val="24"/>
          <w:szCs w:val="24"/>
        </w:rPr>
        <w:t>Timing:</w:t>
      </w:r>
      <w:r w:rsidRPr="0098570D">
        <w:rPr>
          <w:rFonts w:ascii="Times New Roman" w:hAnsi="Times New Roman"/>
          <w:i/>
          <w:color w:val="000000"/>
          <w:sz w:val="24"/>
          <w:szCs w:val="24"/>
        </w:rPr>
        <w:tab/>
        <w:t xml:space="preserve"> </w:t>
      </w:r>
      <w:r>
        <w:rPr>
          <w:rFonts w:ascii="Times New Roman" w:hAnsi="Times New Roman"/>
          <w:color w:val="000000"/>
          <w:sz w:val="24"/>
          <w:szCs w:val="24"/>
        </w:rPr>
        <w:t>ETA intends to award f</w:t>
      </w:r>
      <w:r w:rsidRPr="0098570D">
        <w:rPr>
          <w:rFonts w:ascii="Times New Roman" w:hAnsi="Times New Roman"/>
          <w:color w:val="000000"/>
          <w:sz w:val="24"/>
          <w:szCs w:val="24"/>
        </w:rPr>
        <w:t xml:space="preserve">unds no later than </w:t>
      </w:r>
      <w:r>
        <w:rPr>
          <w:rFonts w:ascii="Times New Roman" w:hAnsi="Times New Roman"/>
          <w:color w:val="000000"/>
          <w:sz w:val="24"/>
          <w:szCs w:val="24"/>
        </w:rPr>
        <w:t>October 31</w:t>
      </w:r>
      <w:r w:rsidRPr="0098570D">
        <w:rPr>
          <w:rFonts w:ascii="Times New Roman" w:hAnsi="Times New Roman"/>
          <w:color w:val="000000"/>
          <w:sz w:val="24"/>
          <w:szCs w:val="24"/>
        </w:rPr>
        <w:t>, 201</w:t>
      </w:r>
      <w:r>
        <w:rPr>
          <w:rFonts w:ascii="Times New Roman" w:hAnsi="Times New Roman"/>
          <w:color w:val="000000"/>
          <w:sz w:val="24"/>
          <w:szCs w:val="24"/>
        </w:rPr>
        <w:t>6</w:t>
      </w:r>
      <w:r w:rsidRPr="0098570D">
        <w:rPr>
          <w:rFonts w:ascii="Times New Roman" w:hAnsi="Times New Roman"/>
          <w:color w:val="000000"/>
          <w:sz w:val="24"/>
          <w:szCs w:val="24"/>
        </w:rPr>
        <w:t>.</w:t>
      </w:r>
    </w:p>
    <w:p w:rsidR="000A1F3B" w:rsidRDefault="000A1F3B" w:rsidP="000A1F3B">
      <w:pPr>
        <w:autoSpaceDE w:val="0"/>
        <w:autoSpaceDN w:val="0"/>
        <w:adjustRightInd w:val="0"/>
        <w:spacing w:before="120" w:after="0" w:line="240" w:lineRule="auto"/>
        <w:ind w:left="720"/>
        <w:rPr>
          <w:rFonts w:ascii="Times New Roman" w:hAnsi="Times New Roman"/>
          <w:b/>
          <w:sz w:val="24"/>
          <w:szCs w:val="24"/>
        </w:rPr>
      </w:pPr>
    </w:p>
    <w:p w:rsidR="003127C2" w:rsidRPr="000A1F3B" w:rsidRDefault="003127C2" w:rsidP="000A1F3B">
      <w:pPr>
        <w:pStyle w:val="ListParagraph"/>
        <w:numPr>
          <w:ilvl w:val="0"/>
          <w:numId w:val="2"/>
        </w:numPr>
        <w:autoSpaceDE w:val="0"/>
        <w:autoSpaceDN w:val="0"/>
        <w:adjustRightInd w:val="0"/>
        <w:spacing w:before="120" w:after="0" w:line="240" w:lineRule="auto"/>
        <w:rPr>
          <w:rFonts w:ascii="Times New Roman" w:hAnsi="Times New Roman"/>
          <w:color w:val="000000"/>
          <w:sz w:val="24"/>
          <w:szCs w:val="24"/>
        </w:rPr>
      </w:pPr>
      <w:r w:rsidRPr="000A1F3B">
        <w:rPr>
          <w:rFonts w:ascii="Times New Roman" w:hAnsi="Times New Roman"/>
          <w:b/>
          <w:sz w:val="24"/>
          <w:szCs w:val="24"/>
        </w:rPr>
        <w:lastRenderedPageBreak/>
        <w:t xml:space="preserve">Eligible Entities </w:t>
      </w:r>
    </w:p>
    <w:p w:rsidR="003127C2" w:rsidRPr="0098570D" w:rsidRDefault="003127C2" w:rsidP="003127C2">
      <w:pPr>
        <w:pStyle w:val="ListParagraph"/>
        <w:spacing w:after="0" w:line="240" w:lineRule="auto"/>
        <w:ind w:left="1080"/>
        <w:rPr>
          <w:rFonts w:ascii="Times New Roman" w:hAnsi="Times New Roman"/>
          <w:b/>
          <w:sz w:val="24"/>
          <w:szCs w:val="24"/>
        </w:rPr>
      </w:pPr>
    </w:p>
    <w:p w:rsidR="003127C2" w:rsidRDefault="003127C2" w:rsidP="003127C2">
      <w:pPr>
        <w:tabs>
          <w:tab w:val="left" w:pos="2430"/>
          <w:tab w:val="left" w:pos="9252"/>
        </w:tabs>
        <w:spacing w:after="0" w:line="240" w:lineRule="auto"/>
        <w:ind w:left="720"/>
        <w:rPr>
          <w:rFonts w:ascii="Times New Roman" w:hAnsi="Times New Roman"/>
          <w:sz w:val="24"/>
          <w:szCs w:val="24"/>
        </w:rPr>
      </w:pPr>
      <w:r w:rsidRPr="0098570D">
        <w:rPr>
          <w:rFonts w:ascii="Times New Roman" w:hAnsi="Times New Roman"/>
          <w:sz w:val="24"/>
          <w:szCs w:val="24"/>
        </w:rPr>
        <w:t xml:space="preserve">Eligible </w:t>
      </w:r>
      <w:r>
        <w:rPr>
          <w:rFonts w:ascii="Times New Roman" w:hAnsi="Times New Roman"/>
          <w:sz w:val="24"/>
          <w:szCs w:val="24"/>
        </w:rPr>
        <w:t>entities</w:t>
      </w:r>
      <w:r w:rsidRPr="0098570D">
        <w:rPr>
          <w:rFonts w:ascii="Times New Roman" w:hAnsi="Times New Roman"/>
          <w:sz w:val="24"/>
          <w:szCs w:val="24"/>
        </w:rPr>
        <w:t xml:space="preserve"> </w:t>
      </w:r>
      <w:r>
        <w:rPr>
          <w:rFonts w:ascii="Times New Roman" w:hAnsi="Times New Roman"/>
          <w:sz w:val="24"/>
          <w:szCs w:val="24"/>
        </w:rPr>
        <w:t>must be</w:t>
      </w:r>
      <w:r w:rsidRPr="0098570D">
        <w:rPr>
          <w:rFonts w:ascii="Times New Roman" w:hAnsi="Times New Roman"/>
          <w:sz w:val="24"/>
          <w:szCs w:val="24"/>
        </w:rPr>
        <w:t xml:space="preserve"> </w:t>
      </w:r>
      <w:r>
        <w:rPr>
          <w:rFonts w:ascii="Times New Roman" w:hAnsi="Times New Roman"/>
          <w:sz w:val="24"/>
          <w:szCs w:val="24"/>
        </w:rPr>
        <w:t xml:space="preserve">a 501(c)(3) </w:t>
      </w:r>
      <w:r w:rsidRPr="00DF1FA6">
        <w:rPr>
          <w:rFonts w:ascii="Times New Roman" w:hAnsi="Times New Roman"/>
          <w:sz w:val="24"/>
          <w:szCs w:val="24"/>
        </w:rPr>
        <w:t>non-profit</w:t>
      </w:r>
      <w:r w:rsidR="00241C54">
        <w:rPr>
          <w:rFonts w:ascii="Times New Roman" w:hAnsi="Times New Roman"/>
          <w:sz w:val="24"/>
          <w:szCs w:val="24"/>
        </w:rPr>
        <w:t xml:space="preserve">s, including but not limited to, </w:t>
      </w:r>
      <w:bookmarkStart w:id="0" w:name="_GoBack"/>
      <w:bookmarkEnd w:id="0"/>
      <w:r w:rsidRPr="0098570D">
        <w:rPr>
          <w:rFonts w:ascii="Times New Roman" w:hAnsi="Times New Roman"/>
          <w:sz w:val="24"/>
          <w:szCs w:val="24"/>
        </w:rPr>
        <w:t>national</w:t>
      </w:r>
      <w:r>
        <w:rPr>
          <w:rFonts w:ascii="Times New Roman" w:hAnsi="Times New Roman"/>
          <w:sz w:val="24"/>
          <w:szCs w:val="24"/>
        </w:rPr>
        <w:t xml:space="preserve"> or</w:t>
      </w:r>
      <w:r w:rsidRPr="0098570D">
        <w:rPr>
          <w:rFonts w:ascii="Times New Roman" w:hAnsi="Times New Roman"/>
          <w:sz w:val="24"/>
          <w:szCs w:val="24"/>
        </w:rPr>
        <w:t xml:space="preserve"> regional</w:t>
      </w:r>
      <w:r>
        <w:rPr>
          <w:rFonts w:ascii="Times New Roman" w:hAnsi="Times New Roman"/>
          <w:sz w:val="24"/>
          <w:szCs w:val="24"/>
        </w:rPr>
        <w:t xml:space="preserve"> organizations</w:t>
      </w:r>
      <w:r w:rsidRPr="0098570D">
        <w:rPr>
          <w:rFonts w:ascii="Times New Roman" w:hAnsi="Times New Roman"/>
          <w:sz w:val="24"/>
          <w:szCs w:val="24"/>
        </w:rPr>
        <w:t xml:space="preserve"> across multiple states</w:t>
      </w:r>
      <w:r>
        <w:rPr>
          <w:rFonts w:ascii="Times New Roman" w:hAnsi="Times New Roman"/>
          <w:sz w:val="24"/>
          <w:szCs w:val="24"/>
        </w:rPr>
        <w:t xml:space="preserve"> and/or tribal areas,</w:t>
      </w:r>
      <w:r w:rsidRPr="0098570D">
        <w:rPr>
          <w:rFonts w:ascii="Times New Roman" w:hAnsi="Times New Roman"/>
          <w:sz w:val="24"/>
          <w:szCs w:val="24"/>
        </w:rPr>
        <w:t xml:space="preserve"> such as an association of governors’ offices, an association of state legislatures, an association of state l</w:t>
      </w:r>
      <w:r>
        <w:rPr>
          <w:rFonts w:ascii="Times New Roman" w:hAnsi="Times New Roman"/>
          <w:sz w:val="24"/>
          <w:szCs w:val="24"/>
        </w:rPr>
        <w:t>icensing boards or agencies, and/or a workforce intermediary or technical assistance organization.  Interested entities must document relevant experience with:</w:t>
      </w:r>
    </w:p>
    <w:p w:rsidR="003127C2" w:rsidRDefault="003127C2" w:rsidP="003127C2">
      <w:pPr>
        <w:tabs>
          <w:tab w:val="left" w:pos="2430"/>
          <w:tab w:val="left" w:pos="9252"/>
        </w:tabs>
        <w:spacing w:after="0" w:line="240" w:lineRule="auto"/>
        <w:ind w:left="720"/>
        <w:rPr>
          <w:rFonts w:ascii="Times New Roman" w:hAnsi="Times New Roman"/>
          <w:sz w:val="24"/>
          <w:szCs w:val="24"/>
        </w:rPr>
      </w:pPr>
    </w:p>
    <w:p w:rsidR="003127C2" w:rsidRDefault="003127C2" w:rsidP="003127C2">
      <w:pPr>
        <w:pStyle w:val="ListParagraph"/>
        <w:numPr>
          <w:ilvl w:val="0"/>
          <w:numId w:val="4"/>
        </w:numPr>
        <w:spacing w:after="0" w:line="240" w:lineRule="auto"/>
        <w:ind w:left="1440"/>
        <w:rPr>
          <w:rFonts w:ascii="Times New Roman" w:hAnsi="Times New Roman"/>
          <w:sz w:val="24"/>
          <w:szCs w:val="24"/>
        </w:rPr>
      </w:pPr>
      <w:r w:rsidRPr="00075BFB">
        <w:rPr>
          <w:rFonts w:ascii="Times New Roman" w:hAnsi="Times New Roman"/>
          <w:sz w:val="24"/>
          <w:szCs w:val="24"/>
        </w:rPr>
        <w:t xml:space="preserve">Conducting research on and reviewing </w:t>
      </w:r>
      <w:r>
        <w:rPr>
          <w:rFonts w:ascii="Times New Roman" w:hAnsi="Times New Roman"/>
          <w:sz w:val="24"/>
          <w:szCs w:val="24"/>
        </w:rPr>
        <w:t xml:space="preserve">licensing </w:t>
      </w:r>
      <w:r w:rsidRPr="00075BFB">
        <w:rPr>
          <w:rFonts w:ascii="Times New Roman" w:hAnsi="Times New Roman"/>
          <w:sz w:val="24"/>
          <w:szCs w:val="24"/>
        </w:rPr>
        <w:t xml:space="preserve">requirements and policies across multiple states or geographic areas.  </w:t>
      </w:r>
    </w:p>
    <w:p w:rsidR="003127C2" w:rsidRDefault="003127C2" w:rsidP="003127C2">
      <w:pPr>
        <w:pStyle w:val="ListParagraph"/>
        <w:numPr>
          <w:ilvl w:val="0"/>
          <w:numId w:val="4"/>
        </w:numPr>
        <w:spacing w:after="0" w:line="240" w:lineRule="auto"/>
        <w:ind w:left="1440"/>
        <w:rPr>
          <w:rFonts w:ascii="Times New Roman" w:hAnsi="Times New Roman"/>
          <w:sz w:val="24"/>
          <w:szCs w:val="24"/>
        </w:rPr>
      </w:pPr>
      <w:r w:rsidRPr="00075BFB">
        <w:rPr>
          <w:rFonts w:ascii="Times New Roman" w:hAnsi="Times New Roman"/>
          <w:sz w:val="24"/>
          <w:szCs w:val="24"/>
        </w:rPr>
        <w:t>Coordinating among a group of leaders across states (or other relevant entities) to come to common agreement on a set of goals and implementation plan and work together to make progress.</w:t>
      </w:r>
    </w:p>
    <w:p w:rsidR="003127C2" w:rsidRPr="00075BFB" w:rsidRDefault="003127C2" w:rsidP="003127C2">
      <w:pPr>
        <w:pStyle w:val="ListParagraph"/>
        <w:numPr>
          <w:ilvl w:val="0"/>
          <w:numId w:val="4"/>
        </w:numPr>
        <w:spacing w:after="0" w:line="240" w:lineRule="auto"/>
        <w:ind w:left="1440"/>
        <w:rPr>
          <w:rFonts w:ascii="Times New Roman" w:hAnsi="Times New Roman"/>
          <w:sz w:val="24"/>
          <w:szCs w:val="24"/>
        </w:rPr>
      </w:pPr>
      <w:r>
        <w:rPr>
          <w:rFonts w:ascii="Times New Roman" w:hAnsi="Times New Roman"/>
          <w:sz w:val="24"/>
          <w:szCs w:val="24"/>
        </w:rPr>
        <w:t>Developing best practices and recommendations for state level reforms.</w:t>
      </w:r>
    </w:p>
    <w:p w:rsidR="003127C2" w:rsidRDefault="003127C2" w:rsidP="003127C2">
      <w:pPr>
        <w:pStyle w:val="ListParagraph"/>
        <w:tabs>
          <w:tab w:val="left" w:pos="2430"/>
          <w:tab w:val="left" w:pos="9252"/>
        </w:tabs>
        <w:spacing w:after="0" w:line="240" w:lineRule="auto"/>
        <w:ind w:left="1440"/>
        <w:rPr>
          <w:rFonts w:ascii="Times New Roman" w:hAnsi="Times New Roman"/>
          <w:sz w:val="24"/>
          <w:szCs w:val="24"/>
        </w:rPr>
      </w:pPr>
    </w:p>
    <w:p w:rsidR="003127C2" w:rsidRPr="00AC0DDA" w:rsidRDefault="003127C2" w:rsidP="003127C2">
      <w:pPr>
        <w:tabs>
          <w:tab w:val="left" w:pos="2430"/>
          <w:tab w:val="left" w:pos="9252"/>
        </w:tabs>
        <w:spacing w:after="0" w:line="240" w:lineRule="auto"/>
        <w:ind w:left="720"/>
        <w:rPr>
          <w:rFonts w:ascii="Times New Roman" w:hAnsi="Times New Roman"/>
          <w:sz w:val="24"/>
          <w:szCs w:val="24"/>
        </w:rPr>
      </w:pPr>
      <w:r w:rsidRPr="00AC0DDA">
        <w:rPr>
          <w:rFonts w:ascii="Times New Roman" w:hAnsi="Times New Roman"/>
          <w:sz w:val="24"/>
          <w:szCs w:val="24"/>
        </w:rPr>
        <w:t xml:space="preserve">More than one eligible national or regional organization may partner together in this effort.  In the case of these partnerships, one partnering organization must assume the role of lead partner.  Cooperative agreements will be awarded to the lead partner, which will serve as the grantee and have overall fiscal and administrative responsibility for the project.  Sub-grants are not permissible, but contracts and other mechanisms may be permitted.  </w:t>
      </w:r>
    </w:p>
    <w:p w:rsidR="003127C2" w:rsidRDefault="003127C2" w:rsidP="003127C2">
      <w:pPr>
        <w:tabs>
          <w:tab w:val="left" w:pos="2430"/>
          <w:tab w:val="left" w:pos="9252"/>
        </w:tabs>
        <w:spacing w:after="0"/>
        <w:ind w:left="720"/>
        <w:rPr>
          <w:rFonts w:ascii="Times New Roman" w:hAnsi="Times New Roman"/>
          <w:sz w:val="24"/>
          <w:szCs w:val="24"/>
        </w:rPr>
      </w:pPr>
    </w:p>
    <w:p w:rsidR="003127C2" w:rsidRPr="000A1F3B" w:rsidRDefault="003127C2" w:rsidP="000A1F3B">
      <w:pPr>
        <w:pStyle w:val="ListParagraph"/>
        <w:numPr>
          <w:ilvl w:val="0"/>
          <w:numId w:val="2"/>
        </w:numPr>
        <w:spacing w:after="0"/>
        <w:rPr>
          <w:rFonts w:ascii="Times New Roman" w:hAnsi="Times New Roman"/>
          <w:b/>
          <w:sz w:val="24"/>
          <w:szCs w:val="24"/>
        </w:rPr>
      </w:pPr>
      <w:r w:rsidRPr="000A1F3B">
        <w:rPr>
          <w:rFonts w:ascii="Times New Roman" w:hAnsi="Times New Roman"/>
          <w:b/>
          <w:sz w:val="24"/>
          <w:szCs w:val="24"/>
        </w:rPr>
        <w:t xml:space="preserve">Letter of Interest </w:t>
      </w:r>
    </w:p>
    <w:p w:rsidR="003127C2" w:rsidRDefault="003127C2" w:rsidP="003127C2">
      <w:pPr>
        <w:autoSpaceDE w:val="0"/>
        <w:autoSpaceDN w:val="0"/>
        <w:adjustRightInd w:val="0"/>
        <w:spacing w:after="0" w:line="240" w:lineRule="auto"/>
        <w:ind w:left="720"/>
        <w:rPr>
          <w:rFonts w:ascii="Times New Roman" w:hAnsi="Times New Roman"/>
          <w:sz w:val="24"/>
          <w:szCs w:val="24"/>
        </w:rPr>
      </w:pPr>
    </w:p>
    <w:p w:rsidR="003127C2" w:rsidRDefault="003127C2" w:rsidP="003127C2">
      <w:pPr>
        <w:autoSpaceDE w:val="0"/>
        <w:autoSpaceDN w:val="0"/>
        <w:adjustRightInd w:val="0"/>
        <w:spacing w:after="0" w:line="240" w:lineRule="auto"/>
        <w:ind w:left="720"/>
        <w:rPr>
          <w:rFonts w:ascii="Times New Roman" w:hAnsi="Times New Roman"/>
          <w:b/>
          <w:sz w:val="24"/>
          <w:szCs w:val="24"/>
        </w:rPr>
      </w:pPr>
      <w:r>
        <w:rPr>
          <w:rFonts w:ascii="Times New Roman" w:hAnsi="Times New Roman"/>
          <w:sz w:val="24"/>
          <w:szCs w:val="24"/>
        </w:rPr>
        <w:t xml:space="preserve">Letters of Interest must include a description of the Proposed Approach, Project Outputs, Organizational Capacity, Proposed Partners, and Requested Amount.  </w:t>
      </w:r>
    </w:p>
    <w:p w:rsidR="003127C2" w:rsidRDefault="003127C2" w:rsidP="003127C2">
      <w:pPr>
        <w:autoSpaceDE w:val="0"/>
        <w:autoSpaceDN w:val="0"/>
        <w:adjustRightInd w:val="0"/>
        <w:spacing w:after="0" w:line="240" w:lineRule="auto"/>
        <w:ind w:left="720"/>
        <w:rPr>
          <w:rFonts w:ascii="Times New Roman" w:hAnsi="Times New Roman"/>
          <w:b/>
          <w:sz w:val="24"/>
          <w:szCs w:val="24"/>
        </w:rPr>
      </w:pPr>
    </w:p>
    <w:p w:rsidR="003127C2" w:rsidRPr="0098570D" w:rsidRDefault="003127C2" w:rsidP="003127C2">
      <w:pPr>
        <w:autoSpaceDE w:val="0"/>
        <w:autoSpaceDN w:val="0"/>
        <w:adjustRightInd w:val="0"/>
        <w:spacing w:after="0" w:line="240" w:lineRule="auto"/>
        <w:ind w:left="720"/>
        <w:rPr>
          <w:rFonts w:ascii="Times New Roman" w:hAnsi="Times New Roman"/>
          <w:sz w:val="24"/>
          <w:szCs w:val="24"/>
        </w:rPr>
      </w:pPr>
      <w:r w:rsidRPr="008D1C0F">
        <w:rPr>
          <w:rFonts w:ascii="Times New Roman" w:hAnsi="Times New Roman"/>
          <w:b/>
          <w:i/>
          <w:sz w:val="24"/>
          <w:szCs w:val="24"/>
        </w:rPr>
        <w:t>Number of Responses</w:t>
      </w:r>
      <w:r w:rsidRPr="00A3231D">
        <w:rPr>
          <w:rFonts w:ascii="Times New Roman" w:hAnsi="Times New Roman"/>
          <w:sz w:val="24"/>
          <w:szCs w:val="24"/>
        </w:rPr>
        <w:t xml:space="preserve">: </w:t>
      </w:r>
      <w:r>
        <w:rPr>
          <w:rFonts w:ascii="Times New Roman" w:hAnsi="Times New Roman"/>
          <w:sz w:val="24"/>
          <w:szCs w:val="24"/>
        </w:rPr>
        <w:t xml:space="preserve"> </w:t>
      </w:r>
      <w:r w:rsidRPr="00A3231D">
        <w:rPr>
          <w:rFonts w:ascii="Times New Roman" w:hAnsi="Times New Roman"/>
          <w:sz w:val="24"/>
          <w:szCs w:val="24"/>
        </w:rPr>
        <w:t xml:space="preserve">Organizations may submit only one </w:t>
      </w:r>
      <w:r>
        <w:rPr>
          <w:rFonts w:ascii="Times New Roman" w:hAnsi="Times New Roman"/>
          <w:sz w:val="24"/>
          <w:szCs w:val="24"/>
        </w:rPr>
        <w:t xml:space="preserve">Letter of Interest </w:t>
      </w:r>
      <w:r w:rsidRPr="00A3231D">
        <w:rPr>
          <w:rFonts w:ascii="Times New Roman" w:hAnsi="Times New Roman"/>
          <w:sz w:val="24"/>
          <w:szCs w:val="24"/>
        </w:rPr>
        <w:t>in response to this request</w:t>
      </w:r>
      <w:r>
        <w:rPr>
          <w:rFonts w:ascii="Times New Roman" w:hAnsi="Times New Roman"/>
          <w:sz w:val="24"/>
          <w:szCs w:val="24"/>
        </w:rPr>
        <w:t xml:space="preserve"> as the project lead</w:t>
      </w:r>
      <w:r w:rsidRPr="00A3231D">
        <w:rPr>
          <w:rFonts w:ascii="Times New Roman" w:hAnsi="Times New Roman"/>
          <w:sz w:val="24"/>
          <w:szCs w:val="24"/>
        </w:rPr>
        <w:t xml:space="preserve">.  However, an organization may submit </w:t>
      </w:r>
      <w:r>
        <w:rPr>
          <w:rFonts w:ascii="Times New Roman" w:hAnsi="Times New Roman"/>
          <w:sz w:val="24"/>
          <w:szCs w:val="24"/>
        </w:rPr>
        <w:t xml:space="preserve">one letter </w:t>
      </w:r>
      <w:r w:rsidRPr="00A3231D">
        <w:rPr>
          <w:rFonts w:ascii="Times New Roman" w:hAnsi="Times New Roman"/>
          <w:sz w:val="24"/>
          <w:szCs w:val="24"/>
        </w:rPr>
        <w:t xml:space="preserve">as </w:t>
      </w:r>
      <w:r>
        <w:rPr>
          <w:rFonts w:ascii="Times New Roman" w:hAnsi="Times New Roman"/>
          <w:sz w:val="24"/>
          <w:szCs w:val="24"/>
        </w:rPr>
        <w:t xml:space="preserve">the project </w:t>
      </w:r>
      <w:r w:rsidRPr="00A3231D">
        <w:rPr>
          <w:rFonts w:ascii="Times New Roman" w:hAnsi="Times New Roman"/>
          <w:sz w:val="24"/>
          <w:szCs w:val="24"/>
        </w:rPr>
        <w:t xml:space="preserve">lead and </w:t>
      </w:r>
      <w:r>
        <w:rPr>
          <w:rFonts w:ascii="Times New Roman" w:hAnsi="Times New Roman"/>
          <w:sz w:val="24"/>
          <w:szCs w:val="24"/>
        </w:rPr>
        <w:t xml:space="preserve">also </w:t>
      </w:r>
      <w:r w:rsidRPr="00A3231D">
        <w:rPr>
          <w:rFonts w:ascii="Times New Roman" w:hAnsi="Times New Roman"/>
          <w:sz w:val="24"/>
          <w:szCs w:val="24"/>
        </w:rPr>
        <w:t xml:space="preserve">be included as a partner in one or more </w:t>
      </w:r>
      <w:r>
        <w:rPr>
          <w:rFonts w:ascii="Times New Roman" w:hAnsi="Times New Roman"/>
          <w:sz w:val="24"/>
          <w:szCs w:val="24"/>
        </w:rPr>
        <w:t>Letters</w:t>
      </w:r>
      <w:r w:rsidRPr="00A3231D">
        <w:rPr>
          <w:rFonts w:ascii="Times New Roman" w:hAnsi="Times New Roman"/>
          <w:sz w:val="24"/>
          <w:szCs w:val="24"/>
        </w:rPr>
        <w:t xml:space="preserve"> </w:t>
      </w:r>
      <w:r>
        <w:rPr>
          <w:rFonts w:ascii="Times New Roman" w:hAnsi="Times New Roman"/>
          <w:sz w:val="24"/>
          <w:szCs w:val="24"/>
        </w:rPr>
        <w:t xml:space="preserve">of Interest </w:t>
      </w:r>
      <w:r w:rsidRPr="00A3231D">
        <w:rPr>
          <w:rFonts w:ascii="Times New Roman" w:hAnsi="Times New Roman"/>
          <w:sz w:val="24"/>
          <w:szCs w:val="24"/>
        </w:rPr>
        <w:t xml:space="preserve">submitted </w:t>
      </w:r>
      <w:r>
        <w:rPr>
          <w:rFonts w:ascii="Times New Roman" w:hAnsi="Times New Roman"/>
          <w:sz w:val="24"/>
          <w:szCs w:val="24"/>
        </w:rPr>
        <w:t>by other organizations that are proposing to lead the project.</w:t>
      </w:r>
      <w:r w:rsidRPr="00A3231D">
        <w:rPr>
          <w:rFonts w:ascii="Times New Roman" w:hAnsi="Times New Roman"/>
          <w:sz w:val="24"/>
          <w:szCs w:val="24"/>
        </w:rPr>
        <w:t xml:space="preserve">  </w:t>
      </w:r>
      <w:r w:rsidRPr="00054F43">
        <w:rPr>
          <w:rFonts w:ascii="Times New Roman" w:hAnsi="Times New Roman"/>
          <w:sz w:val="24"/>
          <w:szCs w:val="24"/>
        </w:rPr>
        <w:t xml:space="preserve">If multiple letters from the same lead </w:t>
      </w:r>
      <w:r>
        <w:rPr>
          <w:rFonts w:ascii="Times New Roman" w:hAnsi="Times New Roman"/>
          <w:sz w:val="24"/>
          <w:szCs w:val="24"/>
        </w:rPr>
        <w:t>organization</w:t>
      </w:r>
      <w:r w:rsidRPr="00054F43">
        <w:rPr>
          <w:rFonts w:ascii="Times New Roman" w:hAnsi="Times New Roman"/>
          <w:sz w:val="24"/>
          <w:szCs w:val="24"/>
        </w:rPr>
        <w:t xml:space="preserve"> are received, the most recent Letter of Interest submitted will be reviewed</w:t>
      </w:r>
      <w:r>
        <w:rPr>
          <w:rFonts w:ascii="Times New Roman" w:hAnsi="Times New Roman"/>
          <w:sz w:val="24"/>
          <w:szCs w:val="24"/>
        </w:rPr>
        <w:t xml:space="preserve"> and all other letters will not be reviewed</w:t>
      </w:r>
      <w:r w:rsidRPr="00A3231D">
        <w:rPr>
          <w:rFonts w:ascii="Times New Roman" w:hAnsi="Times New Roman"/>
          <w:sz w:val="24"/>
          <w:szCs w:val="24"/>
        </w:rPr>
        <w:t xml:space="preserve">.  If the most recent </w:t>
      </w:r>
      <w:r>
        <w:rPr>
          <w:rFonts w:ascii="Times New Roman" w:hAnsi="Times New Roman"/>
          <w:sz w:val="24"/>
          <w:szCs w:val="24"/>
        </w:rPr>
        <w:t xml:space="preserve">letter </w:t>
      </w:r>
      <w:r w:rsidRPr="00A3231D">
        <w:rPr>
          <w:rFonts w:ascii="Times New Roman" w:hAnsi="Times New Roman"/>
          <w:sz w:val="24"/>
          <w:szCs w:val="24"/>
        </w:rPr>
        <w:t xml:space="preserve">is disqualified for any reason, it will not be replaced with an earlier </w:t>
      </w:r>
      <w:r>
        <w:rPr>
          <w:rFonts w:ascii="Times New Roman" w:hAnsi="Times New Roman"/>
          <w:sz w:val="24"/>
          <w:szCs w:val="24"/>
        </w:rPr>
        <w:t>letter</w:t>
      </w:r>
      <w:r w:rsidRPr="00A3231D">
        <w:rPr>
          <w:rFonts w:ascii="Times New Roman" w:hAnsi="Times New Roman"/>
          <w:sz w:val="24"/>
          <w:szCs w:val="24"/>
        </w:rPr>
        <w:t>.</w:t>
      </w:r>
    </w:p>
    <w:p w:rsidR="003127C2" w:rsidRDefault="003127C2" w:rsidP="003127C2">
      <w:pPr>
        <w:spacing w:after="0" w:line="240" w:lineRule="auto"/>
        <w:ind w:left="720"/>
        <w:rPr>
          <w:rFonts w:ascii="Times New Roman" w:hAnsi="Times New Roman"/>
          <w:b/>
          <w:i/>
          <w:sz w:val="24"/>
          <w:szCs w:val="24"/>
        </w:rPr>
      </w:pPr>
    </w:p>
    <w:p w:rsidR="003127C2" w:rsidRDefault="003127C2" w:rsidP="003127C2">
      <w:pPr>
        <w:spacing w:after="0" w:line="240" w:lineRule="auto"/>
        <w:ind w:left="720"/>
        <w:rPr>
          <w:rFonts w:ascii="Times New Roman" w:hAnsi="Times New Roman"/>
          <w:sz w:val="24"/>
          <w:szCs w:val="24"/>
        </w:rPr>
      </w:pPr>
      <w:r w:rsidRPr="00054F43">
        <w:rPr>
          <w:rFonts w:ascii="Times New Roman" w:hAnsi="Times New Roman"/>
          <w:b/>
          <w:i/>
          <w:sz w:val="24"/>
          <w:szCs w:val="24"/>
        </w:rPr>
        <w:t xml:space="preserve">Proposed Approach:  </w:t>
      </w:r>
      <w:r>
        <w:rPr>
          <w:rFonts w:ascii="Times New Roman" w:hAnsi="Times New Roman"/>
          <w:sz w:val="24"/>
          <w:szCs w:val="24"/>
        </w:rPr>
        <w:t>Interested entities</w:t>
      </w:r>
      <w:r w:rsidRPr="00054F43">
        <w:rPr>
          <w:rFonts w:ascii="Times New Roman" w:hAnsi="Times New Roman"/>
          <w:sz w:val="24"/>
          <w:szCs w:val="24"/>
        </w:rPr>
        <w:t xml:space="preserve"> must describe their proposed activities for the project</w:t>
      </w:r>
      <w:r>
        <w:rPr>
          <w:rFonts w:ascii="Times New Roman" w:hAnsi="Times New Roman"/>
          <w:sz w:val="24"/>
          <w:szCs w:val="24"/>
        </w:rPr>
        <w:t xml:space="preserve"> and the strategies that will be used in working with states to review and analyze occupational licensing requirements and develop recommendations to make progress toward the two</w:t>
      </w:r>
      <w:r w:rsidRPr="00D8082D">
        <w:rPr>
          <w:rFonts w:ascii="Times New Roman" w:hAnsi="Times New Roman"/>
          <w:sz w:val="24"/>
          <w:szCs w:val="24"/>
        </w:rPr>
        <w:t xml:space="preserve"> main objectives:</w:t>
      </w:r>
      <w:r>
        <w:rPr>
          <w:rFonts w:ascii="Times New Roman" w:hAnsi="Times New Roman"/>
          <w:sz w:val="24"/>
          <w:szCs w:val="24"/>
        </w:rPr>
        <w:t xml:space="preserve"> </w:t>
      </w:r>
    </w:p>
    <w:p w:rsidR="003127C2" w:rsidRDefault="003127C2" w:rsidP="003127C2">
      <w:pPr>
        <w:spacing w:after="0" w:line="240" w:lineRule="auto"/>
        <w:ind w:left="720"/>
        <w:rPr>
          <w:rFonts w:ascii="Times New Roman" w:hAnsi="Times New Roman"/>
          <w:sz w:val="24"/>
          <w:szCs w:val="24"/>
        </w:rPr>
      </w:pPr>
    </w:p>
    <w:p w:rsidR="003127C2" w:rsidRDefault="003127C2" w:rsidP="003127C2">
      <w:pPr>
        <w:spacing w:after="0" w:line="240" w:lineRule="auto"/>
        <w:ind w:left="1440"/>
        <w:rPr>
          <w:rFonts w:ascii="Times New Roman" w:hAnsi="Times New Roman"/>
          <w:sz w:val="24"/>
          <w:szCs w:val="24"/>
        </w:rPr>
      </w:pPr>
      <w:r>
        <w:rPr>
          <w:rFonts w:ascii="Times New Roman" w:hAnsi="Times New Roman"/>
          <w:sz w:val="24"/>
          <w:szCs w:val="24"/>
        </w:rPr>
        <w:t>1) identifying licensing criteria to ensure that existing and new licensing requirements are not overly broad or burdensome and that they do not create unnecessary barriers to labor market entry; and</w:t>
      </w:r>
    </w:p>
    <w:p w:rsidR="003127C2" w:rsidRDefault="003127C2" w:rsidP="003127C2">
      <w:pPr>
        <w:spacing w:after="0" w:line="240" w:lineRule="auto"/>
        <w:ind w:left="1440"/>
        <w:rPr>
          <w:rFonts w:ascii="Times New Roman" w:hAnsi="Times New Roman"/>
          <w:sz w:val="24"/>
          <w:szCs w:val="24"/>
        </w:rPr>
      </w:pPr>
    </w:p>
    <w:p w:rsidR="003127C2" w:rsidRDefault="003127C2" w:rsidP="003127C2">
      <w:pPr>
        <w:spacing w:after="0" w:line="240" w:lineRule="auto"/>
        <w:ind w:left="1440"/>
        <w:rPr>
          <w:rFonts w:ascii="Times New Roman" w:hAnsi="Times New Roman"/>
          <w:sz w:val="24"/>
          <w:szCs w:val="24"/>
        </w:rPr>
      </w:pPr>
      <w:r>
        <w:rPr>
          <w:rFonts w:ascii="Times New Roman" w:hAnsi="Times New Roman"/>
          <w:sz w:val="24"/>
          <w:szCs w:val="24"/>
        </w:rPr>
        <w:t xml:space="preserve">2) improving </w:t>
      </w:r>
      <w:r w:rsidRPr="00705AE0">
        <w:rPr>
          <w:rFonts w:ascii="Times New Roman" w:hAnsi="Times New Roman"/>
          <w:sz w:val="24"/>
          <w:szCs w:val="24"/>
        </w:rPr>
        <w:t xml:space="preserve">portability </w:t>
      </w:r>
      <w:r>
        <w:rPr>
          <w:rFonts w:ascii="Times New Roman" w:hAnsi="Times New Roman"/>
          <w:sz w:val="24"/>
          <w:szCs w:val="24"/>
        </w:rPr>
        <w:t xml:space="preserve">and reciprocity provisions for selected occupational licenses across state lines. </w:t>
      </w:r>
    </w:p>
    <w:p w:rsidR="003127C2" w:rsidRDefault="003127C2" w:rsidP="003127C2">
      <w:pPr>
        <w:spacing w:after="0" w:line="240" w:lineRule="auto"/>
        <w:ind w:left="720"/>
        <w:rPr>
          <w:rFonts w:ascii="Times New Roman" w:hAnsi="Times New Roman"/>
          <w:sz w:val="24"/>
          <w:szCs w:val="24"/>
        </w:rPr>
      </w:pPr>
      <w:r>
        <w:rPr>
          <w:rFonts w:ascii="Times New Roman" w:hAnsi="Times New Roman"/>
          <w:sz w:val="24"/>
          <w:szCs w:val="24"/>
        </w:rPr>
        <w:lastRenderedPageBreak/>
        <w:t>In the Letter of Interest, entities must specify the proposed licensing criteria/requirements they would review and potentially revise to achieve each of the two objectives</w:t>
      </w:r>
      <w:r w:rsidRPr="0098570D">
        <w:rPr>
          <w:rFonts w:ascii="Times New Roman" w:hAnsi="Times New Roman"/>
          <w:sz w:val="24"/>
          <w:szCs w:val="24"/>
        </w:rPr>
        <w:t xml:space="preserve"> </w:t>
      </w:r>
      <w:r>
        <w:rPr>
          <w:rFonts w:ascii="Times New Roman" w:hAnsi="Times New Roman"/>
          <w:sz w:val="24"/>
          <w:szCs w:val="24"/>
        </w:rPr>
        <w:t>such as:</w:t>
      </w:r>
    </w:p>
    <w:p w:rsidR="003127C2" w:rsidRDefault="003127C2" w:rsidP="003127C2">
      <w:pPr>
        <w:spacing w:after="0" w:line="240" w:lineRule="auto"/>
        <w:ind w:left="720"/>
        <w:rPr>
          <w:rFonts w:ascii="Times New Roman" w:hAnsi="Times New Roman"/>
          <w:sz w:val="24"/>
          <w:szCs w:val="24"/>
        </w:rPr>
      </w:pPr>
    </w:p>
    <w:p w:rsidR="003127C2" w:rsidRDefault="003127C2" w:rsidP="003127C2">
      <w:pPr>
        <w:pStyle w:val="ListParagraph"/>
        <w:numPr>
          <w:ilvl w:val="0"/>
          <w:numId w:val="4"/>
        </w:numPr>
        <w:spacing w:after="0" w:line="240" w:lineRule="auto"/>
        <w:ind w:left="1440"/>
        <w:rPr>
          <w:rFonts w:ascii="Times New Roman" w:hAnsi="Times New Roman"/>
          <w:sz w:val="24"/>
          <w:szCs w:val="24"/>
        </w:rPr>
      </w:pPr>
      <w:r w:rsidRPr="009D2AC5">
        <w:rPr>
          <w:rFonts w:ascii="Times New Roman" w:hAnsi="Times New Roman"/>
          <w:sz w:val="24"/>
          <w:szCs w:val="24"/>
        </w:rPr>
        <w:t xml:space="preserve">Length </w:t>
      </w:r>
      <w:r>
        <w:rPr>
          <w:rFonts w:ascii="Times New Roman" w:hAnsi="Times New Roman"/>
          <w:sz w:val="24"/>
          <w:szCs w:val="24"/>
        </w:rPr>
        <w:t>and t</w:t>
      </w:r>
      <w:r w:rsidRPr="009D2AC5">
        <w:rPr>
          <w:rFonts w:ascii="Times New Roman" w:hAnsi="Times New Roman"/>
          <w:sz w:val="24"/>
          <w:szCs w:val="24"/>
        </w:rPr>
        <w:t xml:space="preserve">ype </w:t>
      </w:r>
      <w:r>
        <w:rPr>
          <w:rFonts w:ascii="Times New Roman" w:hAnsi="Times New Roman"/>
          <w:sz w:val="24"/>
          <w:szCs w:val="24"/>
        </w:rPr>
        <w:t>of required t</w:t>
      </w:r>
      <w:r w:rsidRPr="009D2AC5">
        <w:rPr>
          <w:rFonts w:ascii="Times New Roman" w:hAnsi="Times New Roman"/>
          <w:sz w:val="24"/>
          <w:szCs w:val="24"/>
        </w:rPr>
        <w:t>raining</w:t>
      </w:r>
      <w:r>
        <w:rPr>
          <w:rFonts w:ascii="Times New Roman" w:hAnsi="Times New Roman"/>
          <w:sz w:val="24"/>
          <w:szCs w:val="24"/>
        </w:rPr>
        <w:t xml:space="preserve"> and/or work e</w:t>
      </w:r>
      <w:r w:rsidRPr="009D2AC5">
        <w:rPr>
          <w:rFonts w:ascii="Times New Roman" w:hAnsi="Times New Roman"/>
          <w:sz w:val="24"/>
          <w:szCs w:val="24"/>
        </w:rPr>
        <w:t>xperience</w:t>
      </w:r>
      <w:r>
        <w:rPr>
          <w:rFonts w:ascii="Times New Roman" w:hAnsi="Times New Roman"/>
          <w:sz w:val="24"/>
          <w:szCs w:val="24"/>
        </w:rPr>
        <w:t>;</w:t>
      </w:r>
    </w:p>
    <w:p w:rsidR="003127C2" w:rsidRDefault="003127C2" w:rsidP="003127C2">
      <w:pPr>
        <w:pStyle w:val="ListParagraph"/>
        <w:numPr>
          <w:ilvl w:val="0"/>
          <w:numId w:val="4"/>
        </w:numPr>
        <w:spacing w:after="0" w:line="240" w:lineRule="auto"/>
        <w:ind w:left="1440"/>
        <w:rPr>
          <w:rFonts w:ascii="Times New Roman" w:hAnsi="Times New Roman"/>
          <w:sz w:val="24"/>
          <w:szCs w:val="24"/>
        </w:rPr>
      </w:pPr>
      <w:r>
        <w:rPr>
          <w:rFonts w:ascii="Times New Roman" w:hAnsi="Times New Roman"/>
          <w:sz w:val="24"/>
          <w:szCs w:val="24"/>
        </w:rPr>
        <w:t>Provisions for recognition of credit for prior education or training attained in other states, from the U</w:t>
      </w:r>
      <w:r w:rsidR="0047532F">
        <w:rPr>
          <w:rFonts w:ascii="Times New Roman" w:hAnsi="Times New Roman"/>
          <w:sz w:val="24"/>
          <w:szCs w:val="24"/>
        </w:rPr>
        <w:t>.</w:t>
      </w:r>
      <w:r>
        <w:rPr>
          <w:rFonts w:ascii="Times New Roman" w:hAnsi="Times New Roman"/>
          <w:sz w:val="24"/>
          <w:szCs w:val="24"/>
        </w:rPr>
        <w:t>S</w:t>
      </w:r>
      <w:r w:rsidR="0047532F">
        <w:rPr>
          <w:rFonts w:ascii="Times New Roman" w:hAnsi="Times New Roman"/>
          <w:sz w:val="24"/>
          <w:szCs w:val="24"/>
        </w:rPr>
        <w:t>.</w:t>
      </w:r>
      <w:r>
        <w:rPr>
          <w:rFonts w:ascii="Times New Roman" w:hAnsi="Times New Roman"/>
          <w:sz w:val="24"/>
          <w:szCs w:val="24"/>
        </w:rPr>
        <w:t xml:space="preserve"> military, or from educational institutions in other countries;</w:t>
      </w:r>
    </w:p>
    <w:p w:rsidR="003127C2" w:rsidRDefault="003127C2" w:rsidP="003127C2">
      <w:pPr>
        <w:pStyle w:val="ListParagraph"/>
        <w:numPr>
          <w:ilvl w:val="0"/>
          <w:numId w:val="4"/>
        </w:numPr>
        <w:spacing w:after="0" w:line="240" w:lineRule="auto"/>
        <w:ind w:left="1440"/>
        <w:rPr>
          <w:rFonts w:ascii="Times New Roman" w:hAnsi="Times New Roman"/>
          <w:sz w:val="24"/>
          <w:szCs w:val="24"/>
        </w:rPr>
      </w:pPr>
      <w:r>
        <w:rPr>
          <w:rFonts w:ascii="Times New Roman" w:hAnsi="Times New Roman"/>
          <w:sz w:val="24"/>
          <w:szCs w:val="24"/>
        </w:rPr>
        <w:t>Fees and application requirements;</w:t>
      </w:r>
    </w:p>
    <w:p w:rsidR="003127C2" w:rsidRPr="00B64C50" w:rsidRDefault="003127C2" w:rsidP="003127C2">
      <w:pPr>
        <w:pStyle w:val="ListParagraph"/>
        <w:numPr>
          <w:ilvl w:val="0"/>
          <w:numId w:val="4"/>
        </w:numPr>
        <w:spacing w:after="0" w:line="240" w:lineRule="auto"/>
        <w:ind w:left="1440"/>
        <w:rPr>
          <w:rFonts w:ascii="Times New Roman" w:hAnsi="Times New Roman"/>
          <w:sz w:val="24"/>
          <w:szCs w:val="24"/>
        </w:rPr>
      </w:pPr>
      <w:r>
        <w:rPr>
          <w:rFonts w:ascii="Times New Roman" w:hAnsi="Times New Roman"/>
          <w:sz w:val="24"/>
          <w:szCs w:val="24"/>
        </w:rPr>
        <w:t>Relevance of criminal record exclusions to the specific occupation;</w:t>
      </w:r>
    </w:p>
    <w:p w:rsidR="003127C2" w:rsidRDefault="003127C2" w:rsidP="003127C2">
      <w:pPr>
        <w:pStyle w:val="ListParagraph"/>
        <w:numPr>
          <w:ilvl w:val="0"/>
          <w:numId w:val="4"/>
        </w:numPr>
        <w:spacing w:after="0" w:line="240" w:lineRule="auto"/>
        <w:ind w:left="1440"/>
        <w:rPr>
          <w:rFonts w:ascii="Times New Roman" w:hAnsi="Times New Roman"/>
          <w:sz w:val="24"/>
          <w:szCs w:val="24"/>
        </w:rPr>
      </w:pPr>
      <w:r w:rsidRPr="009D2AC5">
        <w:rPr>
          <w:rFonts w:ascii="Times New Roman" w:hAnsi="Times New Roman"/>
          <w:sz w:val="24"/>
          <w:szCs w:val="24"/>
        </w:rPr>
        <w:t xml:space="preserve">Personal </w:t>
      </w:r>
      <w:r>
        <w:rPr>
          <w:rFonts w:ascii="Times New Roman" w:hAnsi="Times New Roman"/>
          <w:sz w:val="24"/>
          <w:szCs w:val="24"/>
        </w:rPr>
        <w:t>b</w:t>
      </w:r>
      <w:r w:rsidRPr="009D2AC5">
        <w:rPr>
          <w:rFonts w:ascii="Times New Roman" w:hAnsi="Times New Roman"/>
          <w:sz w:val="24"/>
          <w:szCs w:val="24"/>
        </w:rPr>
        <w:t>ackground documentation</w:t>
      </w:r>
      <w:r>
        <w:rPr>
          <w:rFonts w:ascii="Times New Roman" w:hAnsi="Times New Roman"/>
          <w:sz w:val="24"/>
          <w:szCs w:val="24"/>
        </w:rPr>
        <w:t xml:space="preserve"> required (such as credit checks, student loan status; and/or</w:t>
      </w:r>
    </w:p>
    <w:p w:rsidR="003127C2" w:rsidRDefault="003127C2" w:rsidP="003127C2">
      <w:pPr>
        <w:pStyle w:val="ListParagraph"/>
        <w:numPr>
          <w:ilvl w:val="0"/>
          <w:numId w:val="4"/>
        </w:numPr>
        <w:spacing w:after="0" w:line="240" w:lineRule="auto"/>
        <w:ind w:left="1440"/>
        <w:rPr>
          <w:rFonts w:ascii="Times New Roman" w:hAnsi="Times New Roman"/>
          <w:sz w:val="24"/>
          <w:szCs w:val="24"/>
        </w:rPr>
      </w:pPr>
      <w:r>
        <w:rPr>
          <w:rFonts w:ascii="Times New Roman" w:hAnsi="Times New Roman"/>
          <w:sz w:val="24"/>
          <w:szCs w:val="24"/>
        </w:rPr>
        <w:t>Other factors.</w:t>
      </w:r>
    </w:p>
    <w:p w:rsidR="003127C2" w:rsidRDefault="003127C2" w:rsidP="003127C2">
      <w:pPr>
        <w:spacing w:after="0" w:line="240" w:lineRule="auto"/>
        <w:ind w:left="720"/>
        <w:rPr>
          <w:rFonts w:ascii="Times New Roman" w:hAnsi="Times New Roman"/>
          <w:sz w:val="24"/>
          <w:szCs w:val="24"/>
        </w:rPr>
      </w:pPr>
    </w:p>
    <w:p w:rsidR="003127C2" w:rsidRDefault="003127C2" w:rsidP="003127C2">
      <w:pPr>
        <w:spacing w:after="0" w:line="240" w:lineRule="auto"/>
        <w:ind w:left="720"/>
        <w:rPr>
          <w:rFonts w:ascii="Times New Roman" w:hAnsi="Times New Roman"/>
          <w:sz w:val="24"/>
          <w:szCs w:val="24"/>
        </w:rPr>
      </w:pPr>
      <w:r>
        <w:rPr>
          <w:rFonts w:ascii="Times New Roman" w:hAnsi="Times New Roman"/>
          <w:sz w:val="24"/>
          <w:szCs w:val="24"/>
        </w:rPr>
        <w:t>In the Letter, interested entities may also propose a specific set of occupations or categories of occupations for the proposed approach.</w:t>
      </w:r>
    </w:p>
    <w:p w:rsidR="003127C2" w:rsidRDefault="003127C2" w:rsidP="003127C2">
      <w:pPr>
        <w:spacing w:after="0" w:line="240" w:lineRule="auto"/>
        <w:ind w:left="720"/>
        <w:rPr>
          <w:rFonts w:ascii="Times New Roman" w:hAnsi="Times New Roman"/>
          <w:sz w:val="24"/>
          <w:szCs w:val="24"/>
        </w:rPr>
      </w:pPr>
    </w:p>
    <w:p w:rsidR="003127C2" w:rsidRDefault="003127C2" w:rsidP="003127C2">
      <w:pPr>
        <w:spacing w:after="0" w:line="240" w:lineRule="auto"/>
        <w:ind w:left="720"/>
        <w:rPr>
          <w:rFonts w:ascii="Times New Roman" w:hAnsi="Times New Roman"/>
          <w:b/>
          <w:i/>
          <w:sz w:val="24"/>
          <w:szCs w:val="24"/>
        </w:rPr>
      </w:pPr>
      <w:r w:rsidRPr="00007C24">
        <w:rPr>
          <w:rFonts w:ascii="Times New Roman" w:hAnsi="Times New Roman"/>
          <w:sz w:val="24"/>
          <w:szCs w:val="24"/>
        </w:rPr>
        <w:t xml:space="preserve">In their approach, </w:t>
      </w:r>
      <w:r>
        <w:rPr>
          <w:rFonts w:ascii="Times New Roman" w:hAnsi="Times New Roman"/>
          <w:sz w:val="24"/>
          <w:szCs w:val="24"/>
        </w:rPr>
        <w:t>interested entities</w:t>
      </w:r>
      <w:r w:rsidRPr="00007C24">
        <w:rPr>
          <w:rFonts w:ascii="Times New Roman" w:hAnsi="Times New Roman"/>
          <w:sz w:val="24"/>
          <w:szCs w:val="24"/>
        </w:rPr>
        <w:t xml:space="preserve"> must </w:t>
      </w:r>
      <w:r>
        <w:rPr>
          <w:rFonts w:ascii="Times New Roman" w:hAnsi="Times New Roman"/>
          <w:sz w:val="24"/>
          <w:szCs w:val="24"/>
        </w:rPr>
        <w:t>also describe</w:t>
      </w:r>
      <w:r w:rsidRPr="00007C24">
        <w:rPr>
          <w:rFonts w:ascii="Times New Roman" w:hAnsi="Times New Roman"/>
          <w:sz w:val="24"/>
          <w:szCs w:val="24"/>
        </w:rPr>
        <w:t xml:space="preserve"> criteria for identifying and </w:t>
      </w:r>
      <w:r>
        <w:rPr>
          <w:rFonts w:ascii="Times New Roman" w:hAnsi="Times New Roman"/>
          <w:sz w:val="24"/>
          <w:szCs w:val="24"/>
        </w:rPr>
        <w:t xml:space="preserve">the process for </w:t>
      </w:r>
      <w:r w:rsidRPr="00007C24">
        <w:rPr>
          <w:rFonts w:ascii="Times New Roman" w:hAnsi="Times New Roman"/>
          <w:sz w:val="24"/>
          <w:szCs w:val="24"/>
        </w:rPr>
        <w:t xml:space="preserve">securing the commitment of </w:t>
      </w:r>
      <w:r>
        <w:rPr>
          <w:rFonts w:ascii="Times New Roman" w:hAnsi="Times New Roman"/>
          <w:sz w:val="24"/>
          <w:szCs w:val="24"/>
        </w:rPr>
        <w:t xml:space="preserve">at least three (preferably more) </w:t>
      </w:r>
      <w:r w:rsidRPr="00007C24">
        <w:rPr>
          <w:rFonts w:ascii="Times New Roman" w:hAnsi="Times New Roman"/>
          <w:sz w:val="24"/>
          <w:szCs w:val="24"/>
        </w:rPr>
        <w:t xml:space="preserve">states to participate in the </w:t>
      </w:r>
      <w:r w:rsidRPr="00054F43">
        <w:rPr>
          <w:rFonts w:ascii="Times New Roman" w:hAnsi="Times New Roman"/>
          <w:sz w:val="24"/>
          <w:szCs w:val="24"/>
        </w:rPr>
        <w:t>occupational licensing project.</w:t>
      </w:r>
      <w:r>
        <w:rPr>
          <w:rFonts w:ascii="Times New Roman" w:hAnsi="Times New Roman"/>
          <w:sz w:val="24"/>
          <w:szCs w:val="24"/>
        </w:rPr>
        <w:t xml:space="preserve"> </w:t>
      </w:r>
      <w:r w:rsidRPr="00054F43">
        <w:rPr>
          <w:rFonts w:ascii="Times New Roman" w:hAnsi="Times New Roman"/>
          <w:sz w:val="24"/>
          <w:szCs w:val="24"/>
        </w:rPr>
        <w:t xml:space="preserve"> </w:t>
      </w:r>
      <w:r>
        <w:rPr>
          <w:rFonts w:ascii="Times New Roman" w:hAnsi="Times New Roman"/>
          <w:sz w:val="24"/>
          <w:szCs w:val="24"/>
        </w:rPr>
        <w:t xml:space="preserve">In the recruitment or selection of states to participate in a consortium, interested entities are encouraged to consider </w:t>
      </w:r>
      <w:r w:rsidRPr="000B0CF8">
        <w:rPr>
          <w:rFonts w:ascii="Times New Roman" w:hAnsi="Times New Roman"/>
          <w:sz w:val="24"/>
          <w:szCs w:val="24"/>
        </w:rPr>
        <w:t>the current statu</w:t>
      </w:r>
      <w:r>
        <w:rPr>
          <w:rFonts w:ascii="Times New Roman" w:hAnsi="Times New Roman"/>
          <w:sz w:val="24"/>
          <w:szCs w:val="24"/>
        </w:rPr>
        <w:t xml:space="preserve">s of any existing efforts to reform or streamline occupational licensing, </w:t>
      </w:r>
      <w:r w:rsidRPr="00AC72A3">
        <w:rPr>
          <w:rFonts w:ascii="Times New Roman" w:hAnsi="Times New Roman"/>
          <w:sz w:val="24"/>
          <w:szCs w:val="24"/>
        </w:rPr>
        <w:t>as well as major legislative, legal, budgetary</w:t>
      </w:r>
      <w:r w:rsidRPr="000B0CF8">
        <w:rPr>
          <w:rFonts w:ascii="Times New Roman" w:hAnsi="Times New Roman"/>
          <w:sz w:val="24"/>
          <w:szCs w:val="24"/>
        </w:rPr>
        <w:t xml:space="preserve"> or ot</w:t>
      </w:r>
      <w:r>
        <w:rPr>
          <w:rFonts w:ascii="Times New Roman" w:hAnsi="Times New Roman"/>
          <w:sz w:val="24"/>
          <w:szCs w:val="24"/>
        </w:rPr>
        <w:t>her obstacles and challenges to the implementation of this project.  To that end, entities</w:t>
      </w:r>
      <w:r w:rsidRPr="00054F43">
        <w:rPr>
          <w:rFonts w:ascii="Times New Roman" w:hAnsi="Times New Roman"/>
          <w:sz w:val="24"/>
          <w:szCs w:val="24"/>
        </w:rPr>
        <w:t xml:space="preserve"> must describe the documentation</w:t>
      </w:r>
      <w:r>
        <w:rPr>
          <w:rFonts w:ascii="Times New Roman" w:hAnsi="Times New Roman"/>
          <w:sz w:val="24"/>
          <w:szCs w:val="24"/>
        </w:rPr>
        <w:t xml:space="preserve"> that</w:t>
      </w:r>
      <w:r w:rsidRPr="00054F43">
        <w:rPr>
          <w:rFonts w:ascii="Times New Roman" w:hAnsi="Times New Roman"/>
          <w:sz w:val="24"/>
          <w:szCs w:val="24"/>
        </w:rPr>
        <w:t xml:space="preserve"> they will require of state participants in the consortium, such as letters of support from elected officials, state licensing bodies, business organizations, or other relevant stakeholders. </w:t>
      </w:r>
      <w:r>
        <w:rPr>
          <w:rFonts w:ascii="Times New Roman" w:hAnsi="Times New Roman"/>
          <w:sz w:val="24"/>
          <w:szCs w:val="24"/>
        </w:rPr>
        <w:t xml:space="preserve"> Entities</w:t>
      </w:r>
      <w:r w:rsidRPr="00054F43">
        <w:rPr>
          <w:rFonts w:ascii="Times New Roman" w:hAnsi="Times New Roman"/>
          <w:sz w:val="24"/>
          <w:szCs w:val="24"/>
        </w:rPr>
        <w:t xml:space="preserve"> must also indicate how they will identify and convene relevant stakeholders</w:t>
      </w:r>
      <w:r>
        <w:rPr>
          <w:rFonts w:ascii="Times New Roman" w:hAnsi="Times New Roman"/>
          <w:sz w:val="24"/>
          <w:szCs w:val="24"/>
        </w:rPr>
        <w:t xml:space="preserve"> from each state in the consortium, and provide technical assistance on promising practices and potential alternatives with regard to occupational licensing.</w:t>
      </w:r>
    </w:p>
    <w:p w:rsidR="003127C2" w:rsidRDefault="003127C2" w:rsidP="003127C2">
      <w:pPr>
        <w:tabs>
          <w:tab w:val="left" w:pos="2430"/>
          <w:tab w:val="left" w:pos="9252"/>
        </w:tabs>
        <w:spacing w:after="0" w:line="240" w:lineRule="auto"/>
        <w:ind w:left="720"/>
        <w:rPr>
          <w:rFonts w:ascii="Times New Roman" w:hAnsi="Times New Roman"/>
          <w:sz w:val="24"/>
          <w:szCs w:val="24"/>
        </w:rPr>
      </w:pPr>
    </w:p>
    <w:p w:rsidR="003127C2" w:rsidRDefault="003127C2" w:rsidP="003127C2">
      <w:pPr>
        <w:tabs>
          <w:tab w:val="left" w:pos="2430"/>
          <w:tab w:val="left" w:pos="9252"/>
        </w:tabs>
        <w:spacing w:after="0" w:line="240" w:lineRule="auto"/>
        <w:ind w:left="720"/>
        <w:rPr>
          <w:rFonts w:ascii="Times New Roman" w:hAnsi="Times New Roman"/>
          <w:sz w:val="24"/>
          <w:szCs w:val="24"/>
        </w:rPr>
      </w:pPr>
      <w:r>
        <w:rPr>
          <w:rFonts w:ascii="Times New Roman" w:hAnsi="Times New Roman"/>
          <w:sz w:val="24"/>
          <w:szCs w:val="24"/>
        </w:rPr>
        <w:t>Interested entities</w:t>
      </w:r>
      <w:r w:rsidRPr="00415973">
        <w:rPr>
          <w:rFonts w:ascii="Times New Roman" w:hAnsi="Times New Roman"/>
          <w:sz w:val="24"/>
          <w:szCs w:val="24"/>
        </w:rPr>
        <w:t xml:space="preserve"> may propose to convene and work with more than one consortium of states that </w:t>
      </w:r>
      <w:r>
        <w:rPr>
          <w:rFonts w:ascii="Times New Roman" w:hAnsi="Times New Roman"/>
          <w:sz w:val="24"/>
          <w:szCs w:val="24"/>
        </w:rPr>
        <w:t>could</w:t>
      </w:r>
      <w:r w:rsidRPr="00415973">
        <w:rPr>
          <w:rFonts w:ascii="Times New Roman" w:hAnsi="Times New Roman"/>
          <w:sz w:val="24"/>
          <w:szCs w:val="24"/>
        </w:rPr>
        <w:t xml:space="preserve"> focus around a specific region of the country, specific industry sectors (for example, healthcare), or even on specific licensed occupations having significant employment in the states</w:t>
      </w:r>
      <w:r>
        <w:rPr>
          <w:rFonts w:ascii="Times New Roman" w:hAnsi="Times New Roman"/>
          <w:sz w:val="24"/>
          <w:szCs w:val="24"/>
        </w:rPr>
        <w:t xml:space="preserve">.  Potential criteria for selecting states to participate and particular occupations for review must also be described, such as the extent of demand for workers in particular licensed occupations where increased portability and access could help states to meet employer needs in the state.  </w:t>
      </w:r>
    </w:p>
    <w:p w:rsidR="003127C2" w:rsidRDefault="003127C2" w:rsidP="003127C2">
      <w:pPr>
        <w:tabs>
          <w:tab w:val="left" w:pos="2430"/>
          <w:tab w:val="left" w:pos="9252"/>
        </w:tabs>
        <w:spacing w:after="0" w:line="240" w:lineRule="auto"/>
        <w:ind w:left="720"/>
        <w:rPr>
          <w:rFonts w:ascii="Times New Roman" w:hAnsi="Times New Roman"/>
          <w:sz w:val="24"/>
          <w:szCs w:val="24"/>
        </w:rPr>
      </w:pPr>
    </w:p>
    <w:p w:rsidR="003127C2" w:rsidRDefault="003127C2" w:rsidP="003127C2">
      <w:pPr>
        <w:tabs>
          <w:tab w:val="left" w:pos="2430"/>
          <w:tab w:val="left" w:pos="9252"/>
        </w:tabs>
        <w:spacing w:after="0" w:line="240" w:lineRule="auto"/>
        <w:ind w:left="720"/>
        <w:rPr>
          <w:rFonts w:ascii="Times New Roman" w:hAnsi="Times New Roman"/>
          <w:sz w:val="24"/>
          <w:szCs w:val="24"/>
        </w:rPr>
      </w:pPr>
      <w:r>
        <w:rPr>
          <w:rFonts w:ascii="Times New Roman" w:hAnsi="Times New Roman"/>
          <w:sz w:val="24"/>
          <w:szCs w:val="24"/>
        </w:rPr>
        <w:t>States that have been identified and have agreed to participate at the time of the submission of a Letter of Interest must be named in the letter; however, additional states may be added after award if they meet the stated criteria, in order to extend the impact of the project.  A Letter of I</w:t>
      </w:r>
      <w:r w:rsidRPr="000B0CF8">
        <w:rPr>
          <w:rFonts w:ascii="Times New Roman" w:hAnsi="Times New Roman"/>
          <w:sz w:val="24"/>
          <w:szCs w:val="24"/>
        </w:rPr>
        <w:t xml:space="preserve">nterest </w:t>
      </w:r>
      <w:r>
        <w:rPr>
          <w:rFonts w:ascii="Times New Roman" w:hAnsi="Times New Roman"/>
          <w:sz w:val="24"/>
          <w:szCs w:val="24"/>
        </w:rPr>
        <w:t>should</w:t>
      </w:r>
      <w:r w:rsidRPr="000B0CF8">
        <w:rPr>
          <w:rFonts w:ascii="Times New Roman" w:hAnsi="Times New Roman"/>
          <w:sz w:val="24"/>
          <w:szCs w:val="24"/>
        </w:rPr>
        <w:t xml:space="preserve"> briefly describe the current statu</w:t>
      </w:r>
      <w:r>
        <w:rPr>
          <w:rFonts w:ascii="Times New Roman" w:hAnsi="Times New Roman"/>
          <w:sz w:val="24"/>
          <w:szCs w:val="24"/>
        </w:rPr>
        <w:t xml:space="preserve">s of any existing efforts to reform or streamline occupational licensing, as </w:t>
      </w:r>
      <w:r w:rsidRPr="000B0CF8">
        <w:rPr>
          <w:rFonts w:ascii="Times New Roman" w:hAnsi="Times New Roman"/>
          <w:sz w:val="24"/>
          <w:szCs w:val="24"/>
        </w:rPr>
        <w:t>well as major legislative, legal, budgetary or ot</w:t>
      </w:r>
      <w:r>
        <w:rPr>
          <w:rFonts w:ascii="Times New Roman" w:hAnsi="Times New Roman"/>
          <w:sz w:val="24"/>
          <w:szCs w:val="24"/>
        </w:rPr>
        <w:t xml:space="preserve">her obstacles and challenges to the implementation of this project.  </w:t>
      </w:r>
    </w:p>
    <w:p w:rsidR="003127C2" w:rsidRPr="002121EA" w:rsidRDefault="003127C2" w:rsidP="003127C2">
      <w:pPr>
        <w:tabs>
          <w:tab w:val="left" w:pos="2430"/>
          <w:tab w:val="left" w:pos="9252"/>
        </w:tabs>
        <w:spacing w:after="0" w:line="240" w:lineRule="auto"/>
        <w:rPr>
          <w:rFonts w:ascii="Times New Roman" w:hAnsi="Times New Roman"/>
          <w:sz w:val="24"/>
          <w:szCs w:val="24"/>
        </w:rPr>
      </w:pPr>
    </w:p>
    <w:p w:rsidR="003127C2" w:rsidRDefault="003127C2" w:rsidP="003127C2">
      <w:pPr>
        <w:spacing w:after="0" w:line="240" w:lineRule="auto"/>
        <w:ind w:left="720"/>
        <w:rPr>
          <w:rFonts w:ascii="Times New Roman" w:hAnsi="Times New Roman"/>
          <w:sz w:val="24"/>
          <w:szCs w:val="24"/>
        </w:rPr>
      </w:pPr>
      <w:r>
        <w:rPr>
          <w:rFonts w:ascii="Times New Roman" w:hAnsi="Times New Roman"/>
          <w:sz w:val="24"/>
          <w:szCs w:val="24"/>
        </w:rPr>
        <w:t xml:space="preserve">Interested entities should further describe any relevant partners within each state that will be assembled to work on various aspects of this project and the extent to which these proposed partners represent the issues involved.  These proposed partners may include </w:t>
      </w:r>
      <w:r>
        <w:rPr>
          <w:rFonts w:ascii="Times New Roman" w:hAnsi="Times New Roman"/>
          <w:sz w:val="24"/>
          <w:szCs w:val="24"/>
        </w:rPr>
        <w:lastRenderedPageBreak/>
        <w:t xml:space="preserve">the governor’s office, state workforce agency, other state agencies that either contain licensing agencies or oversee licensing boards—such as state departments of health or transportation, educational institutions, relevant licensing </w:t>
      </w:r>
      <w:r w:rsidRPr="002121EA">
        <w:rPr>
          <w:rFonts w:ascii="Times New Roman" w:hAnsi="Times New Roman"/>
          <w:sz w:val="24"/>
          <w:szCs w:val="24"/>
        </w:rPr>
        <w:t>entities, postsecondary education institutions, and industry, business, or professional associations.  Other relevant stakeholders may be proposed or involved.</w:t>
      </w:r>
      <w:r>
        <w:rPr>
          <w:rFonts w:ascii="Times New Roman" w:hAnsi="Times New Roman"/>
          <w:sz w:val="24"/>
          <w:szCs w:val="24"/>
        </w:rPr>
        <w:t xml:space="preserve"> </w:t>
      </w:r>
    </w:p>
    <w:p w:rsidR="003127C2" w:rsidRPr="00B64C50" w:rsidRDefault="003127C2" w:rsidP="003127C2">
      <w:pPr>
        <w:spacing w:after="0" w:line="240" w:lineRule="auto"/>
        <w:ind w:left="720"/>
        <w:rPr>
          <w:rFonts w:ascii="Times New Roman" w:hAnsi="Times New Roman"/>
          <w:sz w:val="24"/>
          <w:szCs w:val="24"/>
        </w:rPr>
      </w:pPr>
    </w:p>
    <w:p w:rsidR="003127C2" w:rsidRPr="00B64C50" w:rsidRDefault="003127C2" w:rsidP="003127C2">
      <w:pPr>
        <w:spacing w:after="0" w:line="240" w:lineRule="auto"/>
        <w:ind w:left="720"/>
        <w:rPr>
          <w:rFonts w:ascii="Times New Roman" w:hAnsi="Times New Roman"/>
          <w:sz w:val="24"/>
          <w:szCs w:val="24"/>
        </w:rPr>
      </w:pPr>
      <w:r w:rsidRPr="00B64C50">
        <w:rPr>
          <w:rFonts w:ascii="Times New Roman" w:hAnsi="Times New Roman"/>
          <w:sz w:val="24"/>
          <w:szCs w:val="24"/>
        </w:rPr>
        <w:t xml:space="preserve">Finally, </w:t>
      </w:r>
      <w:r>
        <w:rPr>
          <w:rFonts w:ascii="Times New Roman" w:hAnsi="Times New Roman"/>
          <w:sz w:val="24"/>
          <w:szCs w:val="24"/>
        </w:rPr>
        <w:t>entities</w:t>
      </w:r>
      <w:r w:rsidRPr="00B64C50">
        <w:rPr>
          <w:rFonts w:ascii="Times New Roman" w:hAnsi="Times New Roman"/>
          <w:sz w:val="24"/>
          <w:szCs w:val="24"/>
        </w:rPr>
        <w:t xml:space="preserve"> </w:t>
      </w:r>
      <w:r>
        <w:rPr>
          <w:rFonts w:ascii="Times New Roman" w:hAnsi="Times New Roman"/>
          <w:sz w:val="24"/>
          <w:szCs w:val="24"/>
        </w:rPr>
        <w:t xml:space="preserve">must describe how they will comply with Federal law, including a specific description of how they will comply with provisions restricting lobbying activities found in Pub. L. 114-113 and at 2 CFR 200.450. </w:t>
      </w:r>
    </w:p>
    <w:p w:rsidR="003127C2" w:rsidRDefault="003127C2" w:rsidP="003127C2">
      <w:pPr>
        <w:spacing w:after="0" w:line="240" w:lineRule="auto"/>
        <w:ind w:left="720"/>
        <w:rPr>
          <w:rFonts w:ascii="Times New Roman" w:hAnsi="Times New Roman"/>
          <w:b/>
          <w:i/>
          <w:sz w:val="24"/>
          <w:szCs w:val="24"/>
        </w:rPr>
      </w:pPr>
    </w:p>
    <w:p w:rsidR="003127C2" w:rsidRDefault="003127C2" w:rsidP="003127C2">
      <w:pPr>
        <w:spacing w:after="0" w:line="240" w:lineRule="auto"/>
        <w:ind w:left="720"/>
        <w:rPr>
          <w:rFonts w:ascii="Times New Roman" w:hAnsi="Times New Roman"/>
          <w:sz w:val="24"/>
          <w:szCs w:val="24"/>
        </w:rPr>
      </w:pPr>
      <w:r w:rsidRPr="002B474B">
        <w:rPr>
          <w:rFonts w:ascii="Times New Roman" w:hAnsi="Times New Roman"/>
          <w:b/>
          <w:i/>
          <w:sz w:val="24"/>
          <w:szCs w:val="24"/>
        </w:rPr>
        <w:t>Project Outputs:</w:t>
      </w:r>
      <w:r>
        <w:rPr>
          <w:rFonts w:ascii="Times New Roman" w:hAnsi="Times New Roman"/>
          <w:b/>
          <w:i/>
          <w:sz w:val="24"/>
          <w:szCs w:val="24"/>
        </w:rPr>
        <w:t xml:space="preserve">  </w:t>
      </w:r>
      <w:r>
        <w:rPr>
          <w:rFonts w:ascii="Times New Roman" w:hAnsi="Times New Roman"/>
          <w:sz w:val="24"/>
          <w:szCs w:val="24"/>
        </w:rPr>
        <w:t>Interested entities</w:t>
      </w:r>
      <w:r w:rsidRPr="0098570D">
        <w:rPr>
          <w:rFonts w:ascii="Times New Roman" w:hAnsi="Times New Roman"/>
          <w:sz w:val="24"/>
          <w:szCs w:val="24"/>
        </w:rPr>
        <w:t xml:space="preserve"> must describe the proposed </w:t>
      </w:r>
      <w:r>
        <w:rPr>
          <w:rFonts w:ascii="Times New Roman" w:hAnsi="Times New Roman"/>
          <w:sz w:val="24"/>
          <w:szCs w:val="24"/>
        </w:rPr>
        <w:t>plan and strategies</w:t>
      </w:r>
      <w:r w:rsidRPr="0098570D">
        <w:rPr>
          <w:rFonts w:ascii="Times New Roman" w:hAnsi="Times New Roman"/>
          <w:sz w:val="24"/>
          <w:szCs w:val="24"/>
        </w:rPr>
        <w:t xml:space="preserve"> </w:t>
      </w:r>
      <w:r>
        <w:rPr>
          <w:rFonts w:ascii="Times New Roman" w:hAnsi="Times New Roman"/>
          <w:sz w:val="24"/>
          <w:szCs w:val="24"/>
        </w:rPr>
        <w:t xml:space="preserve">to produce the following </w:t>
      </w:r>
      <w:r w:rsidRPr="0098570D">
        <w:rPr>
          <w:rFonts w:ascii="Times New Roman" w:hAnsi="Times New Roman"/>
          <w:sz w:val="24"/>
          <w:szCs w:val="24"/>
        </w:rPr>
        <w:t>outputs</w:t>
      </w:r>
      <w:r>
        <w:rPr>
          <w:rFonts w:ascii="Times New Roman" w:hAnsi="Times New Roman"/>
          <w:sz w:val="24"/>
          <w:szCs w:val="24"/>
        </w:rPr>
        <w:t>:</w:t>
      </w:r>
      <w:r w:rsidRPr="0098570D">
        <w:rPr>
          <w:rFonts w:ascii="Times New Roman" w:hAnsi="Times New Roman"/>
          <w:sz w:val="24"/>
          <w:szCs w:val="24"/>
        </w:rPr>
        <w:t xml:space="preserve"> </w:t>
      </w:r>
    </w:p>
    <w:p w:rsidR="003127C2" w:rsidRPr="0098570D" w:rsidRDefault="003127C2" w:rsidP="003127C2">
      <w:pPr>
        <w:spacing w:after="0" w:line="240" w:lineRule="auto"/>
        <w:ind w:left="720"/>
        <w:rPr>
          <w:rFonts w:ascii="Times New Roman" w:hAnsi="Times New Roman"/>
          <w:sz w:val="24"/>
          <w:szCs w:val="24"/>
        </w:rPr>
      </w:pPr>
    </w:p>
    <w:p w:rsidR="003127C2" w:rsidRDefault="003127C2" w:rsidP="003127C2">
      <w:pPr>
        <w:pStyle w:val="ListParagraph"/>
        <w:numPr>
          <w:ilvl w:val="0"/>
          <w:numId w:val="5"/>
        </w:numPr>
        <w:spacing w:after="0" w:line="240" w:lineRule="auto"/>
        <w:ind w:left="1440"/>
        <w:rPr>
          <w:rFonts w:ascii="Times New Roman" w:hAnsi="Times New Roman"/>
          <w:sz w:val="24"/>
          <w:szCs w:val="24"/>
        </w:rPr>
      </w:pPr>
      <w:r>
        <w:rPr>
          <w:rFonts w:ascii="Times New Roman" w:hAnsi="Times New Roman"/>
          <w:sz w:val="24"/>
          <w:szCs w:val="24"/>
        </w:rPr>
        <w:t xml:space="preserve">A description </w:t>
      </w:r>
      <w:r w:rsidR="00974B9C">
        <w:rPr>
          <w:rFonts w:ascii="Times New Roman" w:hAnsi="Times New Roman"/>
          <w:sz w:val="24"/>
          <w:szCs w:val="24"/>
        </w:rPr>
        <w:t>of the</w:t>
      </w:r>
      <w:r>
        <w:rPr>
          <w:rFonts w:ascii="Times New Roman" w:hAnsi="Times New Roman"/>
          <w:sz w:val="24"/>
          <w:szCs w:val="24"/>
        </w:rPr>
        <w:t xml:space="preserve"> process to establish state consortia.</w:t>
      </w:r>
    </w:p>
    <w:p w:rsidR="003127C2" w:rsidRDefault="003127C2" w:rsidP="003127C2">
      <w:pPr>
        <w:pStyle w:val="ListParagraph"/>
        <w:numPr>
          <w:ilvl w:val="0"/>
          <w:numId w:val="5"/>
        </w:numPr>
        <w:spacing w:after="0" w:line="240" w:lineRule="auto"/>
        <w:ind w:left="1440"/>
        <w:rPr>
          <w:rFonts w:ascii="Times New Roman" w:hAnsi="Times New Roman"/>
          <w:sz w:val="24"/>
          <w:szCs w:val="24"/>
        </w:rPr>
      </w:pPr>
      <w:r>
        <w:rPr>
          <w:rFonts w:ascii="Times New Roman" w:hAnsi="Times New Roman"/>
          <w:sz w:val="24"/>
          <w:szCs w:val="24"/>
        </w:rPr>
        <w:t>A</w:t>
      </w:r>
      <w:r w:rsidRPr="00A03754">
        <w:rPr>
          <w:rFonts w:ascii="Times New Roman" w:hAnsi="Times New Roman"/>
          <w:sz w:val="24"/>
          <w:szCs w:val="24"/>
        </w:rPr>
        <w:t xml:space="preserve">n assessment of the </w:t>
      </w:r>
      <w:r>
        <w:rPr>
          <w:rFonts w:ascii="Times New Roman" w:hAnsi="Times New Roman"/>
          <w:sz w:val="24"/>
          <w:szCs w:val="24"/>
        </w:rPr>
        <w:t>extent and nature of occupational licensing in each state in the consortium.</w:t>
      </w:r>
    </w:p>
    <w:p w:rsidR="003127C2" w:rsidRPr="00A03754" w:rsidRDefault="003127C2" w:rsidP="003127C2">
      <w:pPr>
        <w:pStyle w:val="ListParagraph"/>
        <w:numPr>
          <w:ilvl w:val="0"/>
          <w:numId w:val="5"/>
        </w:numPr>
        <w:spacing w:after="0" w:line="240" w:lineRule="auto"/>
        <w:ind w:left="1440"/>
        <w:rPr>
          <w:rFonts w:ascii="Times New Roman" w:hAnsi="Times New Roman"/>
          <w:sz w:val="24"/>
          <w:szCs w:val="24"/>
        </w:rPr>
      </w:pPr>
      <w:r>
        <w:rPr>
          <w:rFonts w:ascii="Times New Roman" w:hAnsi="Times New Roman"/>
          <w:sz w:val="24"/>
          <w:szCs w:val="24"/>
        </w:rPr>
        <w:t>An a</w:t>
      </w:r>
      <w:r w:rsidRPr="00A03754">
        <w:rPr>
          <w:rFonts w:ascii="Times New Roman" w:hAnsi="Times New Roman"/>
          <w:sz w:val="24"/>
          <w:szCs w:val="24"/>
        </w:rPr>
        <w:t>nalysis of compara</w:t>
      </w:r>
      <w:r>
        <w:rPr>
          <w:rFonts w:ascii="Times New Roman" w:hAnsi="Times New Roman"/>
          <w:sz w:val="24"/>
          <w:szCs w:val="24"/>
        </w:rPr>
        <w:t>ble and non-comparable</w:t>
      </w:r>
      <w:r w:rsidRPr="00A03754">
        <w:rPr>
          <w:rFonts w:ascii="Times New Roman" w:hAnsi="Times New Roman"/>
          <w:sz w:val="24"/>
          <w:szCs w:val="24"/>
        </w:rPr>
        <w:t xml:space="preserve"> licensing requirements of the states in the consortium</w:t>
      </w:r>
      <w:r>
        <w:rPr>
          <w:rFonts w:ascii="Times New Roman" w:hAnsi="Times New Roman"/>
          <w:sz w:val="24"/>
          <w:szCs w:val="24"/>
        </w:rPr>
        <w:t xml:space="preserve"> for a specific set of occupations.  It is not necessary that </w:t>
      </w:r>
      <w:r w:rsidRPr="00A03754">
        <w:rPr>
          <w:rFonts w:ascii="Times New Roman" w:hAnsi="Times New Roman"/>
          <w:sz w:val="24"/>
          <w:szCs w:val="24"/>
          <w:u w:val="single"/>
        </w:rPr>
        <w:t>every</w:t>
      </w:r>
      <w:r>
        <w:rPr>
          <w:rFonts w:ascii="Times New Roman" w:hAnsi="Times New Roman"/>
          <w:sz w:val="24"/>
          <w:szCs w:val="24"/>
        </w:rPr>
        <w:t xml:space="preserve"> state in the consortium work on each of the same set of occupations.  </w:t>
      </w:r>
    </w:p>
    <w:p w:rsidR="003127C2" w:rsidRDefault="003127C2" w:rsidP="003127C2">
      <w:pPr>
        <w:pStyle w:val="ListParagraph"/>
        <w:numPr>
          <w:ilvl w:val="0"/>
          <w:numId w:val="5"/>
        </w:numPr>
        <w:spacing w:after="0" w:line="240" w:lineRule="auto"/>
        <w:ind w:left="1440"/>
        <w:rPr>
          <w:rFonts w:ascii="Times New Roman" w:hAnsi="Times New Roman"/>
          <w:sz w:val="24"/>
          <w:szCs w:val="24"/>
        </w:rPr>
      </w:pPr>
      <w:r>
        <w:rPr>
          <w:rFonts w:ascii="Times New Roman" w:hAnsi="Times New Roman"/>
          <w:sz w:val="24"/>
          <w:szCs w:val="24"/>
        </w:rPr>
        <w:t xml:space="preserve">The technical assistance </w:t>
      </w:r>
      <w:r w:rsidR="00815ED4">
        <w:rPr>
          <w:rFonts w:ascii="Times New Roman" w:hAnsi="Times New Roman"/>
          <w:sz w:val="24"/>
          <w:szCs w:val="24"/>
        </w:rPr>
        <w:t xml:space="preserve">provided </w:t>
      </w:r>
      <w:r>
        <w:rPr>
          <w:rFonts w:ascii="Times New Roman" w:hAnsi="Times New Roman"/>
          <w:sz w:val="24"/>
          <w:szCs w:val="24"/>
        </w:rPr>
        <w:t xml:space="preserve">to states to develop plans for: </w:t>
      </w:r>
    </w:p>
    <w:p w:rsidR="003127C2" w:rsidRDefault="003D5553" w:rsidP="003127C2">
      <w:pPr>
        <w:pStyle w:val="ListParagraph"/>
        <w:numPr>
          <w:ilvl w:val="1"/>
          <w:numId w:val="5"/>
        </w:numPr>
        <w:spacing w:after="0" w:line="240" w:lineRule="auto"/>
        <w:ind w:left="2160"/>
        <w:rPr>
          <w:rFonts w:ascii="Times New Roman" w:hAnsi="Times New Roman"/>
          <w:sz w:val="24"/>
          <w:szCs w:val="24"/>
        </w:rPr>
      </w:pPr>
      <w:r>
        <w:rPr>
          <w:rFonts w:ascii="Times New Roman" w:hAnsi="Times New Roman"/>
          <w:sz w:val="24"/>
          <w:szCs w:val="24"/>
        </w:rPr>
        <w:t>i</w:t>
      </w:r>
      <w:r w:rsidR="003127C2">
        <w:rPr>
          <w:rFonts w:ascii="Times New Roman" w:hAnsi="Times New Roman"/>
          <w:sz w:val="24"/>
          <w:szCs w:val="24"/>
        </w:rPr>
        <w:t>mproving licensing portability; and</w:t>
      </w:r>
    </w:p>
    <w:p w:rsidR="003127C2" w:rsidRDefault="003D5553" w:rsidP="003127C2">
      <w:pPr>
        <w:pStyle w:val="ListParagraph"/>
        <w:numPr>
          <w:ilvl w:val="1"/>
          <w:numId w:val="5"/>
        </w:numPr>
        <w:spacing w:after="0" w:line="240" w:lineRule="auto"/>
        <w:ind w:left="2160"/>
        <w:rPr>
          <w:rFonts w:ascii="Times New Roman" w:hAnsi="Times New Roman"/>
          <w:sz w:val="24"/>
          <w:szCs w:val="24"/>
        </w:rPr>
      </w:pPr>
      <w:r>
        <w:rPr>
          <w:rFonts w:ascii="Times New Roman" w:hAnsi="Times New Roman"/>
          <w:sz w:val="24"/>
          <w:szCs w:val="24"/>
        </w:rPr>
        <w:t>r</w:t>
      </w:r>
      <w:r w:rsidR="003127C2">
        <w:rPr>
          <w:rFonts w:ascii="Times New Roman" w:hAnsi="Times New Roman"/>
          <w:sz w:val="24"/>
          <w:szCs w:val="24"/>
        </w:rPr>
        <w:t>educing licensing barriers to labor market entry, while maintaining appropriate safeguards for public health and safety within participating states.</w:t>
      </w:r>
    </w:p>
    <w:p w:rsidR="003127C2" w:rsidRPr="004F2549" w:rsidRDefault="003127C2" w:rsidP="003127C2">
      <w:pPr>
        <w:pStyle w:val="ListParagraph"/>
        <w:numPr>
          <w:ilvl w:val="1"/>
          <w:numId w:val="5"/>
        </w:numPr>
        <w:spacing w:after="0" w:line="240" w:lineRule="auto"/>
        <w:rPr>
          <w:rFonts w:ascii="Times New Roman" w:hAnsi="Times New Roman"/>
          <w:b/>
          <w:i/>
          <w:sz w:val="24"/>
          <w:szCs w:val="24"/>
        </w:rPr>
      </w:pPr>
      <w:r>
        <w:rPr>
          <w:rFonts w:ascii="Times New Roman" w:hAnsi="Times New Roman"/>
          <w:sz w:val="24"/>
          <w:szCs w:val="24"/>
        </w:rPr>
        <w:t xml:space="preserve">A </w:t>
      </w:r>
      <w:r w:rsidR="00815ED4">
        <w:rPr>
          <w:rFonts w:ascii="Times New Roman" w:hAnsi="Times New Roman"/>
          <w:sz w:val="24"/>
          <w:szCs w:val="24"/>
        </w:rPr>
        <w:t xml:space="preserve">final </w:t>
      </w:r>
      <w:r>
        <w:rPr>
          <w:rFonts w:ascii="Times New Roman" w:hAnsi="Times New Roman"/>
          <w:sz w:val="24"/>
          <w:szCs w:val="24"/>
        </w:rPr>
        <w:t xml:space="preserve">summary document </w:t>
      </w:r>
      <w:r w:rsidR="00815ED4">
        <w:rPr>
          <w:rFonts w:ascii="Times New Roman" w:hAnsi="Times New Roman"/>
          <w:sz w:val="24"/>
          <w:szCs w:val="24"/>
        </w:rPr>
        <w:t xml:space="preserve">of </w:t>
      </w:r>
      <w:r>
        <w:rPr>
          <w:rFonts w:ascii="Times New Roman" w:hAnsi="Times New Roman"/>
          <w:sz w:val="24"/>
          <w:szCs w:val="24"/>
        </w:rPr>
        <w:t>the following:  progress on the project’s two main objectives; how the licensing review was conducted; what portability and reciprocity improvements were made; and which strategies were used to reduce or prevent barriers to labor market entry.  The summary should also include a description of promising practices for state collaboration that can be shared with other states.</w:t>
      </w:r>
    </w:p>
    <w:p w:rsidR="003127C2" w:rsidRPr="009967EE" w:rsidRDefault="003127C2" w:rsidP="003127C2">
      <w:pPr>
        <w:spacing w:after="0" w:line="240" w:lineRule="auto"/>
        <w:ind w:left="720"/>
        <w:rPr>
          <w:rFonts w:ascii="Times New Roman" w:hAnsi="Times New Roman"/>
          <w:sz w:val="24"/>
          <w:szCs w:val="24"/>
        </w:rPr>
      </w:pPr>
    </w:p>
    <w:p w:rsidR="003127C2" w:rsidRPr="00D94FCA" w:rsidRDefault="003127C2" w:rsidP="003127C2">
      <w:pPr>
        <w:spacing w:line="240" w:lineRule="auto"/>
        <w:ind w:left="720"/>
        <w:rPr>
          <w:rFonts w:ascii="Times New Roman" w:hAnsi="Times New Roman"/>
          <w:b/>
          <w:i/>
          <w:sz w:val="24"/>
          <w:szCs w:val="24"/>
        </w:rPr>
      </w:pPr>
      <w:r>
        <w:rPr>
          <w:rFonts w:ascii="Times New Roman" w:hAnsi="Times New Roman"/>
          <w:b/>
          <w:i/>
          <w:sz w:val="24"/>
          <w:szCs w:val="24"/>
        </w:rPr>
        <w:t xml:space="preserve">Organizational Capacity:  </w:t>
      </w:r>
      <w:r w:rsidRPr="004600DF">
        <w:rPr>
          <w:rFonts w:ascii="Times New Roman" w:hAnsi="Times New Roman"/>
          <w:sz w:val="24"/>
          <w:szCs w:val="24"/>
        </w:rPr>
        <w:t xml:space="preserve">The lead </w:t>
      </w:r>
      <w:r>
        <w:rPr>
          <w:rFonts w:ascii="Times New Roman" w:hAnsi="Times New Roman"/>
          <w:sz w:val="24"/>
          <w:szCs w:val="24"/>
        </w:rPr>
        <w:t>partner</w:t>
      </w:r>
      <w:r w:rsidRPr="004600DF">
        <w:rPr>
          <w:rFonts w:ascii="Times New Roman" w:hAnsi="Times New Roman"/>
          <w:sz w:val="24"/>
          <w:szCs w:val="24"/>
        </w:rPr>
        <w:t xml:space="preserve"> </w:t>
      </w:r>
      <w:r>
        <w:rPr>
          <w:rFonts w:ascii="Times New Roman" w:hAnsi="Times New Roman"/>
          <w:sz w:val="24"/>
          <w:szCs w:val="24"/>
        </w:rPr>
        <w:t>must</w:t>
      </w:r>
      <w:r w:rsidRPr="004600DF">
        <w:rPr>
          <w:rFonts w:ascii="Times New Roman" w:hAnsi="Times New Roman"/>
          <w:sz w:val="24"/>
          <w:szCs w:val="24"/>
        </w:rPr>
        <w:t xml:space="preserve"> describe the capacity of their organization to lead and manage a project of this nature, noting experience in convening and providing technical assistance to states and stakeholders and in managing grant projects.</w:t>
      </w:r>
      <w:r w:rsidRPr="004600DF">
        <w:rPr>
          <w:rFonts w:ascii="Times New Roman" w:hAnsi="Times New Roman"/>
          <w:b/>
          <w:sz w:val="24"/>
          <w:szCs w:val="24"/>
        </w:rPr>
        <w:t xml:space="preserve">  </w:t>
      </w:r>
      <w:r>
        <w:rPr>
          <w:rFonts w:ascii="Times New Roman" w:hAnsi="Times New Roman"/>
          <w:sz w:val="24"/>
          <w:szCs w:val="24"/>
        </w:rPr>
        <w:t>Interested entities</w:t>
      </w:r>
      <w:r w:rsidRPr="004600DF">
        <w:rPr>
          <w:rFonts w:ascii="Times New Roman" w:hAnsi="Times New Roman"/>
          <w:sz w:val="24"/>
          <w:szCs w:val="24"/>
        </w:rPr>
        <w:t xml:space="preserve"> </w:t>
      </w:r>
      <w:r>
        <w:rPr>
          <w:rFonts w:ascii="Times New Roman" w:hAnsi="Times New Roman"/>
          <w:sz w:val="24"/>
          <w:szCs w:val="24"/>
        </w:rPr>
        <w:t>must</w:t>
      </w:r>
      <w:r w:rsidRPr="004600DF">
        <w:rPr>
          <w:rFonts w:ascii="Times New Roman" w:hAnsi="Times New Roman"/>
          <w:sz w:val="24"/>
          <w:szCs w:val="24"/>
        </w:rPr>
        <w:t xml:space="preserve"> provide details pertaining to their organization’s</w:t>
      </w:r>
      <w:r>
        <w:rPr>
          <w:rFonts w:ascii="Times New Roman" w:hAnsi="Times New Roman"/>
          <w:sz w:val="24"/>
          <w:szCs w:val="24"/>
        </w:rPr>
        <w:t xml:space="preserve"> experience with and</w:t>
      </w:r>
      <w:r w:rsidRPr="004600DF">
        <w:rPr>
          <w:rFonts w:ascii="Times New Roman" w:hAnsi="Times New Roman"/>
          <w:sz w:val="24"/>
          <w:szCs w:val="24"/>
        </w:rPr>
        <w:t xml:space="preserve"> subject matter expertise in occupational licensing.</w:t>
      </w:r>
      <w:r>
        <w:rPr>
          <w:rFonts w:ascii="Times New Roman" w:hAnsi="Times New Roman"/>
          <w:b/>
          <w:sz w:val="24"/>
          <w:szCs w:val="24"/>
        </w:rPr>
        <w:t xml:space="preserve">  </w:t>
      </w:r>
      <w:r>
        <w:rPr>
          <w:rFonts w:ascii="Times New Roman" w:hAnsi="Times New Roman"/>
          <w:sz w:val="24"/>
          <w:szCs w:val="24"/>
        </w:rPr>
        <w:t>Entities must also demonstrate that they</w:t>
      </w:r>
      <w:r w:rsidRPr="0098570D">
        <w:rPr>
          <w:rFonts w:ascii="Times New Roman" w:hAnsi="Times New Roman"/>
          <w:sz w:val="24"/>
          <w:szCs w:val="24"/>
        </w:rPr>
        <w:t xml:space="preserve"> have the capacity to form </w:t>
      </w:r>
      <w:r>
        <w:rPr>
          <w:rFonts w:ascii="Times New Roman" w:hAnsi="Times New Roman"/>
          <w:sz w:val="24"/>
          <w:szCs w:val="24"/>
        </w:rPr>
        <w:t xml:space="preserve">one or more consortia consisting </w:t>
      </w:r>
      <w:r w:rsidRPr="0098570D">
        <w:rPr>
          <w:rFonts w:ascii="Times New Roman" w:hAnsi="Times New Roman"/>
          <w:sz w:val="24"/>
          <w:szCs w:val="24"/>
        </w:rPr>
        <w:t xml:space="preserve">of </w:t>
      </w:r>
      <w:r>
        <w:rPr>
          <w:rFonts w:ascii="Times New Roman" w:hAnsi="Times New Roman"/>
          <w:sz w:val="24"/>
          <w:szCs w:val="24"/>
        </w:rPr>
        <w:t>at least three</w:t>
      </w:r>
      <w:r w:rsidRPr="0098570D">
        <w:rPr>
          <w:rFonts w:ascii="Times New Roman" w:hAnsi="Times New Roman"/>
          <w:sz w:val="24"/>
          <w:szCs w:val="24"/>
        </w:rPr>
        <w:t xml:space="preserve"> or </w:t>
      </w:r>
      <w:r>
        <w:rPr>
          <w:rFonts w:ascii="Times New Roman" w:hAnsi="Times New Roman"/>
          <w:sz w:val="24"/>
          <w:szCs w:val="24"/>
        </w:rPr>
        <w:t xml:space="preserve">preferably </w:t>
      </w:r>
      <w:r w:rsidRPr="0098570D">
        <w:rPr>
          <w:rFonts w:ascii="Times New Roman" w:hAnsi="Times New Roman"/>
          <w:sz w:val="24"/>
          <w:szCs w:val="24"/>
        </w:rPr>
        <w:t xml:space="preserve">more states each </w:t>
      </w:r>
      <w:r>
        <w:rPr>
          <w:rFonts w:ascii="Times New Roman" w:hAnsi="Times New Roman"/>
          <w:sz w:val="24"/>
          <w:szCs w:val="24"/>
        </w:rPr>
        <w:t>that will commit to develop an action plan for enhancing licensing portability and reciprocity.</w:t>
      </w:r>
    </w:p>
    <w:p w:rsidR="003127C2" w:rsidRPr="004600DF" w:rsidRDefault="003127C2" w:rsidP="003127C2">
      <w:pPr>
        <w:spacing w:line="240" w:lineRule="auto"/>
        <w:ind w:left="720"/>
        <w:rPr>
          <w:rFonts w:ascii="Times New Roman" w:hAnsi="Times New Roman"/>
          <w:sz w:val="24"/>
          <w:szCs w:val="24"/>
        </w:rPr>
      </w:pPr>
      <w:r>
        <w:rPr>
          <w:rFonts w:ascii="Times New Roman" w:hAnsi="Times New Roman"/>
          <w:sz w:val="24"/>
          <w:szCs w:val="24"/>
        </w:rPr>
        <w:t xml:space="preserve">When describing past projects, please note the funding source (including philanthropy, Federal grants and cooperative agreements, etc.) and those projects similar in size, scope or relevance to the proposed project and provide a description of the outputs and/or outcomes.  </w:t>
      </w:r>
    </w:p>
    <w:p w:rsidR="003127C2" w:rsidRDefault="003127C2" w:rsidP="003127C2">
      <w:pPr>
        <w:spacing w:line="240" w:lineRule="auto"/>
        <w:ind w:left="720"/>
        <w:rPr>
          <w:rFonts w:ascii="Times New Roman" w:hAnsi="Times New Roman"/>
          <w:sz w:val="24"/>
          <w:szCs w:val="24"/>
        </w:rPr>
      </w:pPr>
      <w:r>
        <w:rPr>
          <w:rFonts w:ascii="Times New Roman" w:hAnsi="Times New Roman"/>
          <w:b/>
          <w:i/>
          <w:sz w:val="24"/>
          <w:szCs w:val="24"/>
        </w:rPr>
        <w:t>Proposed Partners</w:t>
      </w:r>
      <w:r>
        <w:rPr>
          <w:rFonts w:ascii="Times New Roman" w:hAnsi="Times New Roman"/>
          <w:b/>
          <w:sz w:val="24"/>
          <w:szCs w:val="24"/>
        </w:rPr>
        <w:t xml:space="preserve">:  </w:t>
      </w:r>
      <w:r>
        <w:rPr>
          <w:rFonts w:ascii="Times New Roman" w:hAnsi="Times New Roman"/>
          <w:sz w:val="24"/>
          <w:szCs w:val="24"/>
        </w:rPr>
        <w:t xml:space="preserve">Lead entities proposing to partner with other organizations or associations to achieve the objectives of the project must indicate in the Letter of Interest </w:t>
      </w:r>
      <w:r>
        <w:rPr>
          <w:rFonts w:ascii="Times New Roman" w:hAnsi="Times New Roman"/>
          <w:sz w:val="24"/>
          <w:szCs w:val="24"/>
        </w:rPr>
        <w:lastRenderedPageBreak/>
        <w:t xml:space="preserve">the partner organizations, and attach letters from the partner(s) describing their planned role(s) in project activities, and their capacity and qualifications to carry out those project functions.  </w:t>
      </w:r>
    </w:p>
    <w:p w:rsidR="003127C2" w:rsidRDefault="003127C2" w:rsidP="003127C2">
      <w:pPr>
        <w:spacing w:line="240" w:lineRule="auto"/>
        <w:ind w:left="720"/>
        <w:rPr>
          <w:rFonts w:ascii="Times New Roman" w:hAnsi="Times New Roman"/>
          <w:sz w:val="24"/>
          <w:szCs w:val="24"/>
        </w:rPr>
      </w:pPr>
      <w:r>
        <w:rPr>
          <w:rFonts w:ascii="Times New Roman" w:hAnsi="Times New Roman"/>
          <w:b/>
          <w:i/>
          <w:sz w:val="24"/>
          <w:szCs w:val="24"/>
        </w:rPr>
        <w:t>Requested Amount</w:t>
      </w:r>
      <w:r>
        <w:rPr>
          <w:rFonts w:ascii="Times New Roman" w:hAnsi="Times New Roman"/>
          <w:sz w:val="24"/>
          <w:szCs w:val="24"/>
        </w:rPr>
        <w:t>:  While a detailed budget is not requested with the Letter of Interest, applicants must specify the amount requested and the amounts by major category—Staffing, Travel, Contractual, etc. using the SF 424A.  A brief narrative should explain each line item of the form.</w:t>
      </w:r>
    </w:p>
    <w:p w:rsidR="003127C2" w:rsidRPr="00344FC1" w:rsidRDefault="003127C2" w:rsidP="003127C2">
      <w:pPr>
        <w:pStyle w:val="ListParagraph"/>
        <w:numPr>
          <w:ilvl w:val="0"/>
          <w:numId w:val="2"/>
        </w:numPr>
        <w:spacing w:after="0" w:line="240" w:lineRule="auto"/>
        <w:rPr>
          <w:rFonts w:ascii="Times New Roman" w:eastAsia="Times New Roman" w:hAnsi="Times New Roman"/>
          <w:b/>
          <w:sz w:val="24"/>
          <w:szCs w:val="24"/>
        </w:rPr>
      </w:pPr>
      <w:r w:rsidRPr="00344FC1">
        <w:rPr>
          <w:rFonts w:ascii="Times New Roman" w:eastAsia="Times New Roman" w:hAnsi="Times New Roman"/>
          <w:b/>
          <w:sz w:val="24"/>
          <w:szCs w:val="24"/>
        </w:rPr>
        <w:t>Review and Selection Process</w:t>
      </w:r>
    </w:p>
    <w:p w:rsidR="003127C2" w:rsidRDefault="003127C2" w:rsidP="003127C2">
      <w:pPr>
        <w:spacing w:after="0" w:line="240" w:lineRule="auto"/>
        <w:rPr>
          <w:rFonts w:ascii="Times New Roman" w:eastAsia="Times New Roman" w:hAnsi="Times New Roman"/>
          <w:sz w:val="24"/>
          <w:szCs w:val="24"/>
        </w:rPr>
      </w:pPr>
    </w:p>
    <w:p w:rsidR="003127C2" w:rsidRDefault="003127C2" w:rsidP="003127C2">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 xml:space="preserve">The Department will review the Letters of Interest and may engage in follow-up discussions with the interested entities.  The Department will determine its process for making awards depending on the number of interested entities that are deemed eligible and capable.  Award requirements, such as terms and conditions, will be negotiated with potential awardees.  If negotiations do not result in a mutually acceptable submission, the Department reserves the right to terminate negotiations and decline to fund the award.  </w:t>
      </w:r>
    </w:p>
    <w:p w:rsidR="003127C2" w:rsidRPr="00007C24" w:rsidRDefault="003127C2" w:rsidP="003127C2">
      <w:pPr>
        <w:spacing w:after="0" w:line="240" w:lineRule="auto"/>
        <w:rPr>
          <w:rFonts w:ascii="Times New Roman" w:hAnsi="Times New Roman"/>
          <w:sz w:val="24"/>
          <w:szCs w:val="24"/>
        </w:rPr>
      </w:pPr>
    </w:p>
    <w:p w:rsidR="003127C2" w:rsidRDefault="003127C2" w:rsidP="003127C2">
      <w:pPr>
        <w:pStyle w:val="ListParagraph"/>
        <w:numPr>
          <w:ilvl w:val="0"/>
          <w:numId w:val="2"/>
        </w:numPr>
        <w:spacing w:after="0" w:line="240" w:lineRule="auto"/>
        <w:rPr>
          <w:rFonts w:ascii="Times New Roman" w:hAnsi="Times New Roman"/>
          <w:b/>
          <w:sz w:val="24"/>
          <w:szCs w:val="24"/>
        </w:rPr>
      </w:pPr>
      <w:r w:rsidRPr="00344FC1">
        <w:rPr>
          <w:rFonts w:ascii="Times New Roman" w:hAnsi="Times New Roman"/>
          <w:b/>
          <w:sz w:val="24"/>
          <w:szCs w:val="24"/>
        </w:rPr>
        <w:t>Additional Resources</w:t>
      </w:r>
    </w:p>
    <w:p w:rsidR="003127C2" w:rsidRPr="00344FC1" w:rsidRDefault="003127C2" w:rsidP="003127C2">
      <w:pPr>
        <w:pStyle w:val="ListParagraph"/>
        <w:spacing w:after="0" w:line="240" w:lineRule="auto"/>
        <w:ind w:left="1080"/>
        <w:rPr>
          <w:rFonts w:ascii="Times New Roman" w:hAnsi="Times New Roman"/>
          <w:b/>
          <w:sz w:val="24"/>
          <w:szCs w:val="24"/>
        </w:rPr>
      </w:pPr>
    </w:p>
    <w:p w:rsidR="003127C2" w:rsidRPr="00664AC7" w:rsidRDefault="003127C2" w:rsidP="003127C2">
      <w:pPr>
        <w:pStyle w:val="ListParagraph"/>
        <w:numPr>
          <w:ilvl w:val="0"/>
          <w:numId w:val="3"/>
        </w:numPr>
        <w:spacing w:after="0" w:line="240" w:lineRule="auto"/>
        <w:rPr>
          <w:rFonts w:ascii="Times New Roman" w:hAnsi="Times New Roman"/>
          <w:sz w:val="24"/>
          <w:szCs w:val="24"/>
        </w:rPr>
      </w:pPr>
      <w:r w:rsidRPr="00664AC7">
        <w:rPr>
          <w:rFonts w:ascii="Times New Roman" w:hAnsi="Times New Roman"/>
          <w:sz w:val="24"/>
          <w:szCs w:val="24"/>
          <w:u w:val="single"/>
        </w:rPr>
        <w:t>Occupational Licensing:  A Framework for Policymakers</w:t>
      </w:r>
      <w:r w:rsidRPr="00664AC7">
        <w:rPr>
          <w:rFonts w:ascii="Times New Roman" w:hAnsi="Times New Roman"/>
          <w:sz w:val="24"/>
          <w:szCs w:val="24"/>
        </w:rPr>
        <w:t xml:space="preserve">, July 2015 at: </w:t>
      </w:r>
    </w:p>
    <w:p w:rsidR="003127C2" w:rsidRPr="00DF1FA6" w:rsidRDefault="00241C54" w:rsidP="003127C2">
      <w:pPr>
        <w:spacing w:after="0" w:line="240" w:lineRule="auto"/>
        <w:ind w:left="720"/>
        <w:rPr>
          <w:rStyle w:val="Hyperlink"/>
          <w:rFonts w:ascii="Times New Roman" w:hAnsi="Times New Roman"/>
          <w:sz w:val="24"/>
          <w:szCs w:val="24"/>
        </w:rPr>
      </w:pPr>
      <w:hyperlink r:id="rId8" w:history="1">
        <w:r w:rsidR="003127C2" w:rsidRPr="00DF1FA6">
          <w:rPr>
            <w:rStyle w:val="Hyperlink"/>
            <w:rFonts w:ascii="Times New Roman" w:hAnsi="Times New Roman"/>
            <w:sz w:val="24"/>
            <w:szCs w:val="24"/>
          </w:rPr>
          <w:t>https://www.whitehouse.gov/sites/default/files/docs/licensing_report_final_nonembargo.pdf</w:t>
        </w:r>
      </w:hyperlink>
      <w:r w:rsidR="003127C2" w:rsidRPr="00DF1FA6">
        <w:rPr>
          <w:rStyle w:val="Hyperlink"/>
          <w:rFonts w:ascii="Times New Roman" w:hAnsi="Times New Roman"/>
          <w:sz w:val="24"/>
          <w:szCs w:val="24"/>
        </w:rPr>
        <w:t xml:space="preserve"> </w:t>
      </w:r>
    </w:p>
    <w:p w:rsidR="003127C2" w:rsidRPr="00DF1FA6" w:rsidRDefault="003127C2" w:rsidP="003127C2">
      <w:pPr>
        <w:pStyle w:val="ListParagraph"/>
        <w:numPr>
          <w:ilvl w:val="0"/>
          <w:numId w:val="3"/>
        </w:numPr>
        <w:spacing w:after="0" w:line="240" w:lineRule="auto"/>
        <w:rPr>
          <w:rFonts w:ascii="Times New Roman" w:hAnsi="Times New Roman"/>
          <w:sz w:val="24"/>
          <w:szCs w:val="24"/>
        </w:rPr>
      </w:pPr>
      <w:r w:rsidRPr="00CD2C67">
        <w:rPr>
          <w:rFonts w:ascii="Times New Roman" w:hAnsi="Times New Roman"/>
          <w:sz w:val="24"/>
          <w:szCs w:val="24"/>
        </w:rPr>
        <w:t>A searchable database of state occupational licenses that provides an idea of the scope and extent of licensing by occupation is available in the CareerOneStop License Finder at:</w:t>
      </w:r>
      <w:r w:rsidRPr="0047532F">
        <w:rPr>
          <w:rStyle w:val="Hyperlink"/>
          <w:rFonts w:ascii="Times New Roman" w:hAnsi="Times New Roman"/>
          <w:sz w:val="24"/>
          <w:szCs w:val="24"/>
          <w:u w:val="none"/>
        </w:rPr>
        <w:t xml:space="preserve">  </w:t>
      </w:r>
      <w:hyperlink r:id="rId9" w:history="1">
        <w:r w:rsidRPr="007510A0">
          <w:rPr>
            <w:rStyle w:val="Hyperlink"/>
            <w:rFonts w:ascii="Times New Roman" w:hAnsi="Times New Roman"/>
            <w:sz w:val="24"/>
            <w:szCs w:val="24"/>
          </w:rPr>
          <w:t>http://www.careeronestop.org/credentials/toolkit/find-licenses.aspx</w:t>
        </w:r>
      </w:hyperlink>
      <w:r w:rsidR="0047532F">
        <w:rPr>
          <w:rStyle w:val="Hyperlink"/>
          <w:rFonts w:ascii="Times New Roman" w:hAnsi="Times New Roman"/>
          <w:sz w:val="24"/>
          <w:szCs w:val="24"/>
          <w:u w:val="none"/>
        </w:rPr>
        <w:t xml:space="preserve">.  </w:t>
      </w:r>
      <w:r w:rsidRPr="00DF1FA6">
        <w:rPr>
          <w:rFonts w:ascii="Times New Roman" w:hAnsi="Times New Roman"/>
          <w:sz w:val="24"/>
          <w:szCs w:val="24"/>
        </w:rPr>
        <w:t>(Note that this database reflects information submitted periodically by the state workforce agency on behalf of multiple licensing entities within a state, and as a result may have omissions or may not reflect the most current updates).</w:t>
      </w:r>
    </w:p>
    <w:p w:rsidR="003127C2" w:rsidRDefault="003127C2" w:rsidP="003127C2">
      <w:pPr>
        <w:pStyle w:val="ListParagraph"/>
        <w:numPr>
          <w:ilvl w:val="0"/>
          <w:numId w:val="3"/>
        </w:numPr>
        <w:spacing w:after="0" w:line="240" w:lineRule="auto"/>
        <w:rPr>
          <w:rStyle w:val="Hyperlink"/>
          <w:rFonts w:ascii="Times New Roman" w:hAnsi="Times New Roman"/>
          <w:sz w:val="24"/>
          <w:szCs w:val="24"/>
        </w:rPr>
      </w:pPr>
      <w:r w:rsidRPr="00DF1FA6">
        <w:rPr>
          <w:rFonts w:ascii="Times New Roman" w:hAnsi="Times New Roman"/>
          <w:sz w:val="24"/>
          <w:szCs w:val="24"/>
          <w:u w:val="single"/>
        </w:rPr>
        <w:t>Veterans Licensing and Certification Demonstration:  Interim Report</w:t>
      </w:r>
      <w:r w:rsidRPr="00DF1FA6">
        <w:rPr>
          <w:rFonts w:ascii="Times New Roman" w:hAnsi="Times New Roman"/>
          <w:sz w:val="24"/>
          <w:szCs w:val="24"/>
        </w:rPr>
        <w:t>, March 2015, a U.S. Department of Labor research report available at:</w:t>
      </w:r>
      <w:r>
        <w:rPr>
          <w:rStyle w:val="Hyperlink"/>
          <w:rFonts w:ascii="Times New Roman" w:hAnsi="Times New Roman"/>
          <w:sz w:val="24"/>
          <w:szCs w:val="24"/>
        </w:rPr>
        <w:t xml:space="preserve">  </w:t>
      </w:r>
      <w:hyperlink r:id="rId10" w:history="1">
        <w:r w:rsidRPr="007510A0">
          <w:rPr>
            <w:rStyle w:val="Hyperlink"/>
            <w:rFonts w:ascii="Times New Roman" w:hAnsi="Times New Roman"/>
            <w:sz w:val="24"/>
            <w:szCs w:val="24"/>
          </w:rPr>
          <w:t>http://wdr.doleta.gov/research/FullText_Documents/ETAOP_2015-03.pdf</w:t>
        </w:r>
      </w:hyperlink>
      <w:r>
        <w:rPr>
          <w:rStyle w:val="Hyperlink"/>
          <w:rFonts w:ascii="Times New Roman" w:hAnsi="Times New Roman"/>
          <w:sz w:val="24"/>
          <w:szCs w:val="24"/>
        </w:rPr>
        <w:t xml:space="preserve"> </w:t>
      </w:r>
    </w:p>
    <w:p w:rsidR="00CB6912" w:rsidRDefault="00CB6912" w:rsidP="00CB6912">
      <w:pPr>
        <w:spacing w:after="0" w:line="240" w:lineRule="auto"/>
        <w:ind w:left="360"/>
        <w:rPr>
          <w:rFonts w:ascii="Times New Roman" w:hAnsi="Times New Roman"/>
          <w:color w:val="0000FF"/>
          <w:sz w:val="24"/>
          <w:szCs w:val="24"/>
          <w:u w:val="single"/>
        </w:rPr>
      </w:pPr>
    </w:p>
    <w:p w:rsidR="00CB6912" w:rsidRDefault="00CB6912" w:rsidP="00CB6912">
      <w:pPr>
        <w:pStyle w:val="ListParagraph"/>
        <w:numPr>
          <w:ilvl w:val="0"/>
          <w:numId w:val="2"/>
        </w:numPr>
        <w:spacing w:after="0" w:line="240" w:lineRule="auto"/>
        <w:rPr>
          <w:rFonts w:ascii="Times New Roman" w:hAnsi="Times New Roman"/>
          <w:b/>
          <w:sz w:val="24"/>
          <w:szCs w:val="24"/>
        </w:rPr>
      </w:pPr>
      <w:r w:rsidRPr="00CB6912">
        <w:rPr>
          <w:rFonts w:ascii="Times New Roman" w:hAnsi="Times New Roman"/>
          <w:b/>
          <w:sz w:val="24"/>
          <w:szCs w:val="24"/>
        </w:rPr>
        <w:t>OMB Clearance</w:t>
      </w:r>
    </w:p>
    <w:p w:rsidR="00CB6912" w:rsidRDefault="00CB6912" w:rsidP="00CB6912">
      <w:pPr>
        <w:pStyle w:val="ListParagraph"/>
        <w:spacing w:after="0" w:line="240" w:lineRule="auto"/>
        <w:ind w:left="1080"/>
        <w:rPr>
          <w:rFonts w:ascii="Times New Roman" w:hAnsi="Times New Roman"/>
          <w:b/>
          <w:sz w:val="24"/>
          <w:szCs w:val="24"/>
        </w:rPr>
      </w:pPr>
    </w:p>
    <w:p w:rsidR="00CB6912" w:rsidRPr="00CB6912" w:rsidRDefault="00CB6912" w:rsidP="00CB6912">
      <w:pPr>
        <w:spacing w:after="0" w:line="240" w:lineRule="auto"/>
        <w:ind w:left="720"/>
        <w:rPr>
          <w:rFonts w:ascii="Times New Roman" w:eastAsia="Times New Roman" w:hAnsi="Times New Roman"/>
          <w:sz w:val="24"/>
          <w:szCs w:val="24"/>
        </w:rPr>
      </w:pPr>
      <w:r w:rsidRPr="00CB6912">
        <w:rPr>
          <w:rFonts w:ascii="Times New Roman" w:eastAsia="Times New Roman" w:hAnsi="Times New Roman"/>
          <w:sz w:val="24"/>
          <w:szCs w:val="24"/>
        </w:rPr>
        <w:t xml:space="preserve">OMB Information Collection No 1225-0086, Expires May 31, 2019. </w:t>
      </w:r>
    </w:p>
    <w:p w:rsidR="00CB6912" w:rsidRDefault="00CB6912" w:rsidP="00CB6912">
      <w:pPr>
        <w:spacing w:after="0" w:line="240" w:lineRule="auto"/>
        <w:ind w:left="720"/>
        <w:rPr>
          <w:rFonts w:ascii="Times New Roman" w:eastAsia="Times New Roman" w:hAnsi="Times New Roman"/>
          <w:sz w:val="24"/>
          <w:szCs w:val="24"/>
        </w:rPr>
      </w:pPr>
    </w:p>
    <w:p w:rsidR="00CB6912" w:rsidRPr="00CB6912" w:rsidRDefault="00CB6912" w:rsidP="00CB6912">
      <w:pPr>
        <w:spacing w:after="0" w:line="240" w:lineRule="auto"/>
        <w:ind w:left="720"/>
        <w:rPr>
          <w:color w:val="1F497D"/>
        </w:rPr>
      </w:pPr>
      <w:r w:rsidRPr="00CB6912">
        <w:rPr>
          <w:rFonts w:ascii="Times New Roman" w:eastAsia="Times New Roman" w:hAnsi="Times New Roman"/>
          <w:sz w:val="24"/>
          <w:szCs w:val="24"/>
        </w:rPr>
        <w:t>According to the Paperwork Reduction Act of 1995, no persons are required to respond to a collection of information unless such collection displays a valid OMB control number. Public reporting burden for this collection of information is estimated to average 20 hours per response, including time for reviewing instructions, searching existing data sources, gathering and maintaining the data needed, and completing and reviewing the collection of</w:t>
      </w:r>
      <w:r w:rsidRPr="00CB6912">
        <w:rPr>
          <w:color w:val="1F497D"/>
        </w:rPr>
        <w:t xml:space="preserve"> </w:t>
      </w:r>
      <w:r w:rsidRPr="00CB6912">
        <w:rPr>
          <w:rFonts w:ascii="Times New Roman" w:eastAsia="Times New Roman" w:hAnsi="Times New Roman"/>
          <w:sz w:val="24"/>
          <w:szCs w:val="24"/>
        </w:rPr>
        <w:t>information.  Send comments about the burden estimated or any other aspect of this collection of information, including suggestions for reducing this burden, to the U.S. Department of Labor, to the attention of the Departmental Clearance Officer 200 Constitution Avenue NW, Room N1301, Washington, DC 20210. Comments may also be emailed to</w:t>
      </w:r>
      <w:r w:rsidRPr="00CB6912">
        <w:rPr>
          <w:color w:val="1F497D"/>
        </w:rPr>
        <w:t xml:space="preserve"> </w:t>
      </w:r>
      <w:hyperlink r:id="rId11" w:history="1">
        <w:r w:rsidRPr="00CB6912">
          <w:rPr>
            <w:rStyle w:val="Hyperlink"/>
            <w:rFonts w:ascii="Times New Roman" w:hAnsi="Times New Roman"/>
            <w:sz w:val="24"/>
            <w:szCs w:val="24"/>
          </w:rPr>
          <w:t>DOL_PRA_PUBLIC@dol.gov</w:t>
        </w:r>
      </w:hyperlink>
      <w:r w:rsidRPr="00CB6912">
        <w:rPr>
          <w:rFonts w:ascii="Times New Roman" w:hAnsi="Times New Roman"/>
          <w:color w:val="1F497D"/>
          <w:sz w:val="24"/>
          <w:szCs w:val="24"/>
        </w:rPr>
        <w:t>.</w:t>
      </w:r>
      <w:r w:rsidRPr="00CB6912">
        <w:rPr>
          <w:color w:val="1F497D"/>
        </w:rPr>
        <w:t xml:space="preserve"> </w:t>
      </w:r>
    </w:p>
    <w:sectPr w:rsidR="00CB6912" w:rsidRPr="00CB6912">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92F" w:rsidRDefault="00FF7876">
      <w:pPr>
        <w:spacing w:after="0" w:line="240" w:lineRule="auto"/>
      </w:pPr>
      <w:r>
        <w:separator/>
      </w:r>
    </w:p>
  </w:endnote>
  <w:endnote w:type="continuationSeparator" w:id="0">
    <w:p w:rsidR="00E6492F" w:rsidRDefault="00FF7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BF6" w:rsidRDefault="00E15B26">
    <w:pPr>
      <w:pStyle w:val="Footer"/>
      <w:jc w:val="center"/>
    </w:pPr>
    <w:r>
      <w:fldChar w:fldCharType="begin"/>
    </w:r>
    <w:r>
      <w:instrText xml:space="preserve"> PAGE   \* MERGEFORMAT </w:instrText>
    </w:r>
    <w:r>
      <w:fldChar w:fldCharType="separate"/>
    </w:r>
    <w:r w:rsidR="00241C54">
      <w:rPr>
        <w:noProof/>
      </w:rPr>
      <w:t>4</w:t>
    </w:r>
    <w:r>
      <w:rPr>
        <w:noProof/>
      </w:rPr>
      <w:fldChar w:fldCharType="end"/>
    </w:r>
  </w:p>
  <w:p w:rsidR="00585BF6" w:rsidRDefault="00241C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92F" w:rsidRDefault="00FF7876">
      <w:pPr>
        <w:spacing w:after="0" w:line="240" w:lineRule="auto"/>
      </w:pPr>
      <w:r>
        <w:separator/>
      </w:r>
    </w:p>
  </w:footnote>
  <w:footnote w:type="continuationSeparator" w:id="0">
    <w:p w:rsidR="00E6492F" w:rsidRDefault="00FF78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BF6" w:rsidRDefault="00E15B26" w:rsidP="008E5CE3">
    <w:pPr>
      <w:pStyle w:val="Header"/>
      <w:tabs>
        <w:tab w:val="clear" w:pos="4680"/>
      </w:tabs>
    </w:pPr>
    <w:r w:rsidRPr="008E5CE3">
      <w:rPr>
        <w:rFonts w:ascii="Cambria" w:eastAsia="Times New Roman" w:hAnsi="Cambria"/>
        <w:color w:val="4F81BD"/>
        <w:sz w:val="24"/>
      </w:rPr>
      <w:t xml:space="preserve">     </w:t>
    </w:r>
    <w:r w:rsidRPr="00827921">
      <w:rPr>
        <w:rFonts w:ascii="Cambria" w:eastAsia="Times New Roman" w:hAnsi="Cambria"/>
        <w:color w:val="4F81BD"/>
        <w:sz w:val="24"/>
      </w:rPr>
      <w:tab/>
    </w:r>
    <w:r w:rsidRPr="008E5CE3">
      <w:rPr>
        <w:rFonts w:ascii="Cambria" w:eastAsia="Times New Roman" w:hAnsi="Cambria"/>
        <w:color w:val="4F81BD"/>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63250"/>
    <w:multiLevelType w:val="hybridMultilevel"/>
    <w:tmpl w:val="4D4A5EA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36032A"/>
    <w:multiLevelType w:val="hybridMultilevel"/>
    <w:tmpl w:val="98A802B6"/>
    <w:lvl w:ilvl="0" w:tplc="3AB497C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377D8D"/>
    <w:multiLevelType w:val="hybridMultilevel"/>
    <w:tmpl w:val="AC408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122DCC"/>
    <w:multiLevelType w:val="hybridMultilevel"/>
    <w:tmpl w:val="A98020D4"/>
    <w:lvl w:ilvl="0" w:tplc="D4A8E9F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F40489"/>
    <w:multiLevelType w:val="hybridMultilevel"/>
    <w:tmpl w:val="46E2A5A2"/>
    <w:lvl w:ilvl="0" w:tplc="4AECB38E">
      <w:start w:val="1"/>
      <w:numFmt w:val="upperRoman"/>
      <w:lvlText w:val="%1."/>
      <w:lvlJc w:val="left"/>
      <w:pPr>
        <w:ind w:left="1080" w:hanging="720"/>
      </w:pPr>
      <w:rPr>
        <w:rFonts w:hint="default"/>
      </w:rPr>
    </w:lvl>
    <w:lvl w:ilvl="1" w:tplc="E9004E8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7C2"/>
    <w:rsid w:val="000A1F3B"/>
    <w:rsid w:val="00165064"/>
    <w:rsid w:val="00241C54"/>
    <w:rsid w:val="00262E44"/>
    <w:rsid w:val="003127C2"/>
    <w:rsid w:val="00377402"/>
    <w:rsid w:val="003B2978"/>
    <w:rsid w:val="003C1C09"/>
    <w:rsid w:val="003D5553"/>
    <w:rsid w:val="0047532F"/>
    <w:rsid w:val="004D30A3"/>
    <w:rsid w:val="004F07C3"/>
    <w:rsid w:val="007024C4"/>
    <w:rsid w:val="007C741F"/>
    <w:rsid w:val="00815ED4"/>
    <w:rsid w:val="00860BF6"/>
    <w:rsid w:val="008D5373"/>
    <w:rsid w:val="0094792B"/>
    <w:rsid w:val="00974B9C"/>
    <w:rsid w:val="009F164D"/>
    <w:rsid w:val="00AF1CBC"/>
    <w:rsid w:val="00B43F92"/>
    <w:rsid w:val="00BD3854"/>
    <w:rsid w:val="00BE7343"/>
    <w:rsid w:val="00C62222"/>
    <w:rsid w:val="00CA26E4"/>
    <w:rsid w:val="00CB6912"/>
    <w:rsid w:val="00DD639B"/>
    <w:rsid w:val="00E15B26"/>
    <w:rsid w:val="00E6492F"/>
    <w:rsid w:val="00F30308"/>
    <w:rsid w:val="00F60FFF"/>
    <w:rsid w:val="00FF7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7C2"/>
    <w:rPr>
      <w:rFonts w:ascii="Calibri" w:eastAsia="Calibri" w:hAnsi="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7C2"/>
    <w:pPr>
      <w:ind w:left="720"/>
      <w:contextualSpacing/>
    </w:pPr>
  </w:style>
  <w:style w:type="character" w:styleId="Hyperlink">
    <w:name w:val="Hyperlink"/>
    <w:uiPriority w:val="99"/>
    <w:unhideWhenUsed/>
    <w:rsid w:val="003127C2"/>
    <w:rPr>
      <w:color w:val="0000FF"/>
      <w:u w:val="single"/>
    </w:rPr>
  </w:style>
  <w:style w:type="paragraph" w:styleId="Header">
    <w:name w:val="header"/>
    <w:basedOn w:val="Normal"/>
    <w:link w:val="HeaderChar"/>
    <w:uiPriority w:val="99"/>
    <w:unhideWhenUsed/>
    <w:rsid w:val="00312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7C2"/>
    <w:rPr>
      <w:rFonts w:ascii="Calibri" w:eastAsia="Calibri" w:hAnsi="Calibri" w:cs="Times New Roman"/>
      <w:sz w:val="20"/>
      <w:szCs w:val="20"/>
    </w:rPr>
  </w:style>
  <w:style w:type="paragraph" w:styleId="Footer">
    <w:name w:val="footer"/>
    <w:basedOn w:val="Normal"/>
    <w:link w:val="FooterChar"/>
    <w:uiPriority w:val="99"/>
    <w:unhideWhenUsed/>
    <w:rsid w:val="00312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7C2"/>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7C74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41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7C2"/>
    <w:rPr>
      <w:rFonts w:ascii="Calibri" w:eastAsia="Calibri" w:hAnsi="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7C2"/>
    <w:pPr>
      <w:ind w:left="720"/>
      <w:contextualSpacing/>
    </w:pPr>
  </w:style>
  <w:style w:type="character" w:styleId="Hyperlink">
    <w:name w:val="Hyperlink"/>
    <w:uiPriority w:val="99"/>
    <w:unhideWhenUsed/>
    <w:rsid w:val="003127C2"/>
    <w:rPr>
      <w:color w:val="0000FF"/>
      <w:u w:val="single"/>
    </w:rPr>
  </w:style>
  <w:style w:type="paragraph" w:styleId="Header">
    <w:name w:val="header"/>
    <w:basedOn w:val="Normal"/>
    <w:link w:val="HeaderChar"/>
    <w:uiPriority w:val="99"/>
    <w:unhideWhenUsed/>
    <w:rsid w:val="00312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7C2"/>
    <w:rPr>
      <w:rFonts w:ascii="Calibri" w:eastAsia="Calibri" w:hAnsi="Calibri" w:cs="Times New Roman"/>
      <w:sz w:val="20"/>
      <w:szCs w:val="20"/>
    </w:rPr>
  </w:style>
  <w:style w:type="paragraph" w:styleId="Footer">
    <w:name w:val="footer"/>
    <w:basedOn w:val="Normal"/>
    <w:link w:val="FooterChar"/>
    <w:uiPriority w:val="99"/>
    <w:unhideWhenUsed/>
    <w:rsid w:val="00312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7C2"/>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7C74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41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08885">
      <w:bodyDiv w:val="1"/>
      <w:marLeft w:val="0"/>
      <w:marRight w:val="0"/>
      <w:marTop w:val="0"/>
      <w:marBottom w:val="0"/>
      <w:divBdr>
        <w:top w:val="none" w:sz="0" w:space="0" w:color="auto"/>
        <w:left w:val="none" w:sz="0" w:space="0" w:color="auto"/>
        <w:bottom w:val="none" w:sz="0" w:space="0" w:color="auto"/>
        <w:right w:val="none" w:sz="0" w:space="0" w:color="auto"/>
      </w:divBdr>
      <w:divsChild>
        <w:div w:id="501092666">
          <w:marLeft w:val="0"/>
          <w:marRight w:val="0"/>
          <w:marTop w:val="0"/>
          <w:marBottom w:val="0"/>
          <w:divBdr>
            <w:top w:val="none" w:sz="0" w:space="0" w:color="auto"/>
            <w:left w:val="none" w:sz="0" w:space="0" w:color="auto"/>
            <w:bottom w:val="none" w:sz="0" w:space="0" w:color="auto"/>
            <w:right w:val="none" w:sz="0" w:space="0" w:color="auto"/>
          </w:divBdr>
        </w:div>
        <w:div w:id="1993019538">
          <w:marLeft w:val="0"/>
          <w:marRight w:val="0"/>
          <w:marTop w:val="0"/>
          <w:marBottom w:val="0"/>
          <w:divBdr>
            <w:top w:val="none" w:sz="0" w:space="0" w:color="auto"/>
            <w:left w:val="none" w:sz="0" w:space="0" w:color="auto"/>
            <w:bottom w:val="none" w:sz="0" w:space="0" w:color="auto"/>
            <w:right w:val="none" w:sz="0" w:space="0" w:color="auto"/>
          </w:divBdr>
        </w:div>
        <w:div w:id="1332297063">
          <w:marLeft w:val="0"/>
          <w:marRight w:val="0"/>
          <w:marTop w:val="0"/>
          <w:marBottom w:val="0"/>
          <w:divBdr>
            <w:top w:val="none" w:sz="0" w:space="0" w:color="auto"/>
            <w:left w:val="none" w:sz="0" w:space="0" w:color="auto"/>
            <w:bottom w:val="none" w:sz="0" w:space="0" w:color="auto"/>
            <w:right w:val="none" w:sz="0" w:space="0" w:color="auto"/>
          </w:divBdr>
        </w:div>
        <w:div w:id="678778899">
          <w:marLeft w:val="0"/>
          <w:marRight w:val="0"/>
          <w:marTop w:val="0"/>
          <w:marBottom w:val="0"/>
          <w:divBdr>
            <w:top w:val="none" w:sz="0" w:space="0" w:color="auto"/>
            <w:left w:val="none" w:sz="0" w:space="0" w:color="auto"/>
            <w:bottom w:val="none" w:sz="0" w:space="0" w:color="auto"/>
            <w:right w:val="none" w:sz="0" w:space="0" w:color="auto"/>
          </w:divBdr>
        </w:div>
        <w:div w:id="2094665228">
          <w:marLeft w:val="0"/>
          <w:marRight w:val="0"/>
          <w:marTop w:val="0"/>
          <w:marBottom w:val="0"/>
          <w:divBdr>
            <w:top w:val="none" w:sz="0" w:space="0" w:color="auto"/>
            <w:left w:val="none" w:sz="0" w:space="0" w:color="auto"/>
            <w:bottom w:val="none" w:sz="0" w:space="0" w:color="auto"/>
            <w:right w:val="none" w:sz="0" w:space="0" w:color="auto"/>
          </w:divBdr>
        </w:div>
        <w:div w:id="1632054139">
          <w:marLeft w:val="0"/>
          <w:marRight w:val="0"/>
          <w:marTop w:val="0"/>
          <w:marBottom w:val="0"/>
          <w:divBdr>
            <w:top w:val="none" w:sz="0" w:space="0" w:color="auto"/>
            <w:left w:val="none" w:sz="0" w:space="0" w:color="auto"/>
            <w:bottom w:val="none" w:sz="0" w:space="0" w:color="auto"/>
            <w:right w:val="none" w:sz="0" w:space="0" w:color="auto"/>
          </w:divBdr>
        </w:div>
        <w:div w:id="418216719">
          <w:marLeft w:val="0"/>
          <w:marRight w:val="0"/>
          <w:marTop w:val="0"/>
          <w:marBottom w:val="0"/>
          <w:divBdr>
            <w:top w:val="none" w:sz="0" w:space="0" w:color="auto"/>
            <w:left w:val="none" w:sz="0" w:space="0" w:color="auto"/>
            <w:bottom w:val="none" w:sz="0" w:space="0" w:color="auto"/>
            <w:right w:val="none" w:sz="0" w:space="0" w:color="auto"/>
          </w:divBdr>
        </w:div>
        <w:div w:id="384764132">
          <w:marLeft w:val="0"/>
          <w:marRight w:val="0"/>
          <w:marTop w:val="0"/>
          <w:marBottom w:val="0"/>
          <w:divBdr>
            <w:top w:val="none" w:sz="0" w:space="0" w:color="auto"/>
            <w:left w:val="none" w:sz="0" w:space="0" w:color="auto"/>
            <w:bottom w:val="none" w:sz="0" w:space="0" w:color="auto"/>
            <w:right w:val="none" w:sz="0" w:space="0" w:color="auto"/>
          </w:divBdr>
        </w:div>
        <w:div w:id="460729749">
          <w:marLeft w:val="0"/>
          <w:marRight w:val="0"/>
          <w:marTop w:val="0"/>
          <w:marBottom w:val="0"/>
          <w:divBdr>
            <w:top w:val="none" w:sz="0" w:space="0" w:color="auto"/>
            <w:left w:val="none" w:sz="0" w:space="0" w:color="auto"/>
            <w:bottom w:val="none" w:sz="0" w:space="0" w:color="auto"/>
            <w:right w:val="none" w:sz="0" w:space="0" w:color="auto"/>
          </w:divBdr>
        </w:div>
        <w:div w:id="1131240752">
          <w:marLeft w:val="0"/>
          <w:marRight w:val="0"/>
          <w:marTop w:val="0"/>
          <w:marBottom w:val="0"/>
          <w:divBdr>
            <w:top w:val="none" w:sz="0" w:space="0" w:color="auto"/>
            <w:left w:val="none" w:sz="0" w:space="0" w:color="auto"/>
            <w:bottom w:val="none" w:sz="0" w:space="0" w:color="auto"/>
            <w:right w:val="none" w:sz="0" w:space="0" w:color="auto"/>
          </w:divBdr>
        </w:div>
        <w:div w:id="395974799">
          <w:marLeft w:val="0"/>
          <w:marRight w:val="0"/>
          <w:marTop w:val="0"/>
          <w:marBottom w:val="0"/>
          <w:divBdr>
            <w:top w:val="none" w:sz="0" w:space="0" w:color="auto"/>
            <w:left w:val="none" w:sz="0" w:space="0" w:color="auto"/>
            <w:bottom w:val="none" w:sz="0" w:space="0" w:color="auto"/>
            <w:right w:val="none" w:sz="0" w:space="0" w:color="auto"/>
          </w:divBdr>
        </w:div>
        <w:div w:id="974143367">
          <w:marLeft w:val="0"/>
          <w:marRight w:val="0"/>
          <w:marTop w:val="0"/>
          <w:marBottom w:val="0"/>
          <w:divBdr>
            <w:top w:val="none" w:sz="0" w:space="0" w:color="auto"/>
            <w:left w:val="none" w:sz="0" w:space="0" w:color="auto"/>
            <w:bottom w:val="none" w:sz="0" w:space="0" w:color="auto"/>
            <w:right w:val="none" w:sz="0" w:space="0" w:color="auto"/>
          </w:divBdr>
        </w:div>
        <w:div w:id="1180512720">
          <w:marLeft w:val="0"/>
          <w:marRight w:val="0"/>
          <w:marTop w:val="0"/>
          <w:marBottom w:val="0"/>
          <w:divBdr>
            <w:top w:val="none" w:sz="0" w:space="0" w:color="auto"/>
            <w:left w:val="none" w:sz="0" w:space="0" w:color="auto"/>
            <w:bottom w:val="none" w:sz="0" w:space="0" w:color="auto"/>
            <w:right w:val="none" w:sz="0" w:space="0" w:color="auto"/>
          </w:divBdr>
        </w:div>
        <w:div w:id="308675379">
          <w:marLeft w:val="0"/>
          <w:marRight w:val="0"/>
          <w:marTop w:val="0"/>
          <w:marBottom w:val="0"/>
          <w:divBdr>
            <w:top w:val="none" w:sz="0" w:space="0" w:color="auto"/>
            <w:left w:val="none" w:sz="0" w:space="0" w:color="auto"/>
            <w:bottom w:val="none" w:sz="0" w:space="0" w:color="auto"/>
            <w:right w:val="none" w:sz="0" w:space="0" w:color="auto"/>
          </w:divBdr>
        </w:div>
        <w:div w:id="1017082046">
          <w:marLeft w:val="0"/>
          <w:marRight w:val="0"/>
          <w:marTop w:val="0"/>
          <w:marBottom w:val="0"/>
          <w:divBdr>
            <w:top w:val="none" w:sz="0" w:space="0" w:color="auto"/>
            <w:left w:val="none" w:sz="0" w:space="0" w:color="auto"/>
            <w:bottom w:val="none" w:sz="0" w:space="0" w:color="auto"/>
            <w:right w:val="none" w:sz="0" w:space="0" w:color="auto"/>
          </w:divBdr>
        </w:div>
        <w:div w:id="1174495310">
          <w:marLeft w:val="0"/>
          <w:marRight w:val="0"/>
          <w:marTop w:val="0"/>
          <w:marBottom w:val="0"/>
          <w:divBdr>
            <w:top w:val="none" w:sz="0" w:space="0" w:color="auto"/>
            <w:left w:val="none" w:sz="0" w:space="0" w:color="auto"/>
            <w:bottom w:val="none" w:sz="0" w:space="0" w:color="auto"/>
            <w:right w:val="none" w:sz="0" w:space="0" w:color="auto"/>
          </w:divBdr>
        </w:div>
        <w:div w:id="581066833">
          <w:marLeft w:val="0"/>
          <w:marRight w:val="0"/>
          <w:marTop w:val="0"/>
          <w:marBottom w:val="0"/>
          <w:divBdr>
            <w:top w:val="none" w:sz="0" w:space="0" w:color="auto"/>
            <w:left w:val="none" w:sz="0" w:space="0" w:color="auto"/>
            <w:bottom w:val="none" w:sz="0" w:space="0" w:color="auto"/>
            <w:right w:val="none" w:sz="0" w:space="0" w:color="auto"/>
          </w:divBdr>
        </w:div>
        <w:div w:id="546725227">
          <w:marLeft w:val="0"/>
          <w:marRight w:val="0"/>
          <w:marTop w:val="0"/>
          <w:marBottom w:val="0"/>
          <w:divBdr>
            <w:top w:val="none" w:sz="0" w:space="0" w:color="auto"/>
            <w:left w:val="none" w:sz="0" w:space="0" w:color="auto"/>
            <w:bottom w:val="none" w:sz="0" w:space="0" w:color="auto"/>
            <w:right w:val="none" w:sz="0" w:space="0" w:color="auto"/>
          </w:divBdr>
        </w:div>
      </w:divsChild>
    </w:div>
    <w:div w:id="672925033">
      <w:bodyDiv w:val="1"/>
      <w:marLeft w:val="0"/>
      <w:marRight w:val="0"/>
      <w:marTop w:val="0"/>
      <w:marBottom w:val="0"/>
      <w:divBdr>
        <w:top w:val="none" w:sz="0" w:space="0" w:color="auto"/>
        <w:left w:val="none" w:sz="0" w:space="0" w:color="auto"/>
        <w:bottom w:val="none" w:sz="0" w:space="0" w:color="auto"/>
        <w:right w:val="none" w:sz="0" w:space="0" w:color="auto"/>
      </w:divBdr>
    </w:div>
    <w:div w:id="118613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itehouse.gov/sites/default/files/docs/licensing_report_final_nonembargo.pdf"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OL_PRA_PUBLIC@dol.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dr.doleta.gov/research/FullText_Documents/ETAOP_2015-03.pdf" TargetMode="External"/><Relationship Id="rId4" Type="http://schemas.openxmlformats.org/officeDocument/2006/relationships/settings" Target="settings.xml"/><Relationship Id="rId9" Type="http://schemas.openxmlformats.org/officeDocument/2006/relationships/hyperlink" Target="http://www.careeronestop.org/credentials/toolkit/find-license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2854</Words>
  <Characters>16274</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19090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Frugoli</dc:creator>
  <cp:lastModifiedBy>Perryman, Seleda M - OASAM OCIO</cp:lastModifiedBy>
  <cp:revision>2</cp:revision>
  <cp:lastPrinted>2016-06-08T17:35:00Z</cp:lastPrinted>
  <dcterms:created xsi:type="dcterms:W3CDTF">2016-06-17T22:23:00Z</dcterms:created>
  <dcterms:modified xsi:type="dcterms:W3CDTF">2016-06-17T22:23:00Z</dcterms:modified>
</cp:coreProperties>
</file>