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5C" w:rsidRPr="00866803" w:rsidRDefault="00B9575C" w:rsidP="00FE4983">
      <w:pPr>
        <w:rPr>
          <w:rFonts w:ascii="Arial" w:hAnsi="Arial" w:cs="Arial"/>
          <w:sz w:val="22"/>
          <w:szCs w:val="22"/>
        </w:rPr>
      </w:pPr>
      <w:bookmarkStart w:id="0" w:name="OLE_LINK1"/>
      <w:bookmarkStart w:id="1" w:name="_GoBack"/>
      <w:bookmarkEnd w:id="1"/>
    </w:p>
    <w:p w:rsidR="006A2122" w:rsidRPr="002D6404" w:rsidRDefault="006A2122" w:rsidP="00640E12">
      <w:pPr>
        <w:pStyle w:val="ListParagraph"/>
        <w:numPr>
          <w:ilvl w:val="0"/>
          <w:numId w:val="33"/>
        </w:numPr>
        <w:rPr>
          <w:rFonts w:ascii="Arial" w:hAnsi="Arial" w:cs="Arial"/>
          <w:b/>
          <w:sz w:val="22"/>
          <w:szCs w:val="22"/>
          <w:lang w:eastAsia="zh-CN"/>
        </w:rPr>
      </w:pPr>
      <w:r w:rsidRPr="002D6404">
        <w:rPr>
          <w:rFonts w:ascii="Arial" w:hAnsi="Arial" w:cs="Arial"/>
          <w:b/>
          <w:sz w:val="22"/>
          <w:szCs w:val="22"/>
          <w:lang w:eastAsia="zh-CN"/>
        </w:rPr>
        <w:t>STATISTICAL METHODS</w:t>
      </w:r>
    </w:p>
    <w:p w:rsidR="002D6404" w:rsidRPr="002D6404" w:rsidRDefault="002D6404" w:rsidP="002D6404">
      <w:pPr>
        <w:rPr>
          <w:rFonts w:ascii="Arial" w:hAnsi="Arial" w:cs="Arial"/>
          <w:b/>
          <w:sz w:val="22"/>
          <w:szCs w:val="22"/>
          <w:lang w:eastAsia="zh-CN"/>
        </w:rPr>
      </w:pPr>
    </w:p>
    <w:p w:rsidR="006A2122" w:rsidRPr="00866803" w:rsidRDefault="006A2122" w:rsidP="00FE4983">
      <w:pPr>
        <w:widowControl/>
        <w:numPr>
          <w:ilvl w:val="0"/>
          <w:numId w:val="27"/>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Universe and Respondent Selection</w:t>
      </w:r>
    </w:p>
    <w:p w:rsidR="006A2122" w:rsidRPr="00866803" w:rsidRDefault="006A2122" w:rsidP="00493F1E">
      <w:pPr>
        <w:rPr>
          <w:rFonts w:ascii="Arial" w:hAnsi="Arial" w:cs="Arial"/>
          <w:b/>
          <w:sz w:val="22"/>
          <w:szCs w:val="22"/>
        </w:rPr>
      </w:pPr>
    </w:p>
    <w:p w:rsidR="004A1915" w:rsidRPr="009452E1" w:rsidRDefault="00B9575C" w:rsidP="00EE255F">
      <w:pPr>
        <w:pStyle w:val="BodyText"/>
        <w:widowControl/>
        <w:tabs>
          <w:tab w:val="left" w:pos="1080"/>
        </w:tabs>
        <w:rPr>
          <w:rFonts w:ascii="Arial" w:hAnsi="Arial" w:cs="Arial"/>
          <w:color w:val="auto"/>
          <w:sz w:val="22"/>
          <w:szCs w:val="22"/>
        </w:rPr>
      </w:pPr>
      <w:r w:rsidRPr="00866803">
        <w:rPr>
          <w:rFonts w:ascii="Arial" w:hAnsi="Arial" w:cs="Arial"/>
          <w:color w:val="auto"/>
          <w:sz w:val="22"/>
          <w:szCs w:val="22"/>
        </w:rPr>
        <w:t>Th</w:t>
      </w:r>
      <w:r w:rsidR="001E5E02" w:rsidRPr="00866803">
        <w:rPr>
          <w:rFonts w:ascii="Arial" w:hAnsi="Arial" w:cs="Arial"/>
          <w:color w:val="auto"/>
          <w:sz w:val="22"/>
          <w:szCs w:val="22"/>
        </w:rPr>
        <w:t xml:space="preserve">e research will be conducted </w:t>
      </w:r>
      <w:r w:rsidR="001E5E02" w:rsidRPr="00651CEF">
        <w:rPr>
          <w:rFonts w:ascii="Arial" w:hAnsi="Arial" w:cs="Arial"/>
          <w:color w:val="auto"/>
          <w:sz w:val="22"/>
          <w:szCs w:val="22"/>
        </w:rPr>
        <w:t>using</w:t>
      </w:r>
      <w:r w:rsidR="00DC0489" w:rsidRPr="00651CEF">
        <w:rPr>
          <w:rFonts w:ascii="Arial" w:hAnsi="Arial" w:cs="Arial"/>
          <w:color w:val="auto"/>
          <w:sz w:val="22"/>
          <w:szCs w:val="22"/>
        </w:rPr>
        <w:t xml:space="preserve"> non-probability</w:t>
      </w:r>
      <w:r w:rsidR="001E5E02" w:rsidRPr="00651CEF">
        <w:rPr>
          <w:rFonts w:ascii="Arial" w:hAnsi="Arial" w:cs="Arial"/>
          <w:color w:val="auto"/>
          <w:sz w:val="22"/>
          <w:szCs w:val="22"/>
        </w:rPr>
        <w:t xml:space="preserve"> </w:t>
      </w:r>
      <w:r w:rsidR="00306232" w:rsidRPr="00651CEF">
        <w:rPr>
          <w:rFonts w:ascii="Arial" w:hAnsi="Arial" w:cs="Arial"/>
          <w:color w:val="auto"/>
          <w:sz w:val="22"/>
          <w:szCs w:val="22"/>
        </w:rPr>
        <w:t>I</w:t>
      </w:r>
      <w:r w:rsidR="007A4ACF" w:rsidRPr="00651CEF">
        <w:rPr>
          <w:rFonts w:ascii="Arial" w:hAnsi="Arial" w:cs="Arial"/>
          <w:color w:val="auto"/>
          <w:sz w:val="22"/>
          <w:szCs w:val="22"/>
        </w:rPr>
        <w:t xml:space="preserve">nternet </w:t>
      </w:r>
      <w:r w:rsidR="007A4ACF" w:rsidRPr="00866803">
        <w:rPr>
          <w:rFonts w:ascii="Arial" w:hAnsi="Arial" w:cs="Arial"/>
          <w:color w:val="auto"/>
          <w:sz w:val="22"/>
          <w:szCs w:val="22"/>
        </w:rPr>
        <w:t xml:space="preserve">panels maintained by </w:t>
      </w:r>
      <w:proofErr w:type="spellStart"/>
      <w:r w:rsidR="00797926" w:rsidRPr="00866803">
        <w:rPr>
          <w:rFonts w:ascii="Arial" w:hAnsi="Arial" w:cs="Arial"/>
          <w:color w:val="auto"/>
          <w:sz w:val="22"/>
          <w:szCs w:val="22"/>
        </w:rPr>
        <w:t>Ipsos</w:t>
      </w:r>
      <w:proofErr w:type="spellEnd"/>
      <w:r w:rsidR="007A4ACF" w:rsidRPr="00866803">
        <w:rPr>
          <w:rFonts w:ascii="Arial" w:hAnsi="Arial" w:cs="Arial"/>
          <w:color w:val="auto"/>
          <w:sz w:val="22"/>
          <w:szCs w:val="22"/>
        </w:rPr>
        <w:t xml:space="preserve"> </w:t>
      </w:r>
      <w:r w:rsidR="006D110A" w:rsidRPr="00866803">
        <w:rPr>
          <w:rFonts w:ascii="Arial" w:hAnsi="Arial" w:cs="Arial"/>
          <w:color w:val="auto"/>
          <w:sz w:val="22"/>
          <w:szCs w:val="22"/>
        </w:rPr>
        <w:t>which have been designed to be representative of the adult population</w:t>
      </w:r>
      <w:r w:rsidR="00A75371" w:rsidRPr="00866803">
        <w:rPr>
          <w:rFonts w:ascii="Arial" w:hAnsi="Arial" w:cs="Arial"/>
          <w:color w:val="auto"/>
          <w:sz w:val="22"/>
          <w:szCs w:val="22"/>
        </w:rPr>
        <w:t>.</w:t>
      </w:r>
      <w:r w:rsidR="0075027C" w:rsidRPr="00866803">
        <w:rPr>
          <w:rFonts w:ascii="Arial" w:hAnsi="Arial" w:cs="Arial"/>
          <w:color w:val="auto"/>
          <w:sz w:val="22"/>
          <w:szCs w:val="22"/>
        </w:rPr>
        <w:t xml:space="preserve"> </w:t>
      </w:r>
      <w:r w:rsidR="00362FDC">
        <w:rPr>
          <w:rFonts w:ascii="Arial" w:hAnsi="Arial" w:cs="Arial"/>
          <w:color w:val="auto"/>
          <w:sz w:val="22"/>
          <w:szCs w:val="22"/>
        </w:rPr>
        <w:t>Additional information about the universe and respondent selection is provided in the attached supporting document</w:t>
      </w:r>
      <w:r w:rsidR="003744E6" w:rsidRPr="009452E1">
        <w:rPr>
          <w:rFonts w:ascii="Arial" w:hAnsi="Arial" w:cs="Arial"/>
          <w:color w:val="auto"/>
          <w:sz w:val="22"/>
          <w:szCs w:val="22"/>
        </w:rPr>
        <w:t>, “Research on Consumer Tipping Behavior: Response to OMB Information Request</w:t>
      </w:r>
      <w:r w:rsidR="00362FDC">
        <w:rPr>
          <w:rFonts w:ascii="Arial" w:hAnsi="Arial" w:cs="Arial"/>
          <w:color w:val="auto"/>
          <w:sz w:val="22"/>
          <w:szCs w:val="22"/>
        </w:rPr>
        <w:t>.</w:t>
      </w:r>
      <w:r w:rsidR="003744E6" w:rsidRPr="009452E1">
        <w:rPr>
          <w:rFonts w:ascii="Arial" w:hAnsi="Arial" w:cs="Arial"/>
          <w:color w:val="auto"/>
          <w:sz w:val="22"/>
          <w:szCs w:val="22"/>
        </w:rPr>
        <w:t>”</w:t>
      </w:r>
      <w:r w:rsidR="004A1915" w:rsidRPr="009452E1">
        <w:rPr>
          <w:rFonts w:ascii="Arial" w:hAnsi="Arial" w:cs="Arial"/>
          <w:color w:val="auto"/>
          <w:sz w:val="22"/>
          <w:szCs w:val="22"/>
        </w:rPr>
        <w:t xml:space="preserve"> </w:t>
      </w:r>
      <w:r w:rsidR="00C61532">
        <w:rPr>
          <w:rFonts w:ascii="Arial" w:hAnsi="Arial" w:cs="Arial"/>
          <w:color w:val="auto"/>
          <w:sz w:val="22"/>
          <w:szCs w:val="22"/>
        </w:rPr>
        <w:t xml:space="preserve">This document </w:t>
      </w:r>
      <w:r w:rsidR="00EE255F">
        <w:rPr>
          <w:rFonts w:ascii="Arial" w:hAnsi="Arial" w:cs="Arial"/>
          <w:color w:val="auto"/>
          <w:sz w:val="22"/>
          <w:szCs w:val="22"/>
        </w:rPr>
        <w:t xml:space="preserve">further </w:t>
      </w:r>
      <w:r w:rsidR="00C61532">
        <w:rPr>
          <w:rFonts w:ascii="Arial" w:hAnsi="Arial" w:cs="Arial"/>
          <w:color w:val="auto"/>
          <w:sz w:val="22"/>
          <w:szCs w:val="22"/>
        </w:rPr>
        <w:t xml:space="preserve">elaborates </w:t>
      </w:r>
      <w:r w:rsidR="00EE255F">
        <w:rPr>
          <w:rFonts w:ascii="Arial" w:hAnsi="Arial" w:cs="Arial"/>
          <w:color w:val="auto"/>
          <w:sz w:val="22"/>
          <w:szCs w:val="22"/>
        </w:rPr>
        <w:t>on sample balancing, q</w:t>
      </w:r>
      <w:r w:rsidR="00EE255F" w:rsidRPr="00EE255F">
        <w:rPr>
          <w:rFonts w:ascii="Arial" w:hAnsi="Arial" w:cs="Arial"/>
          <w:color w:val="auto"/>
          <w:sz w:val="22"/>
          <w:szCs w:val="22"/>
        </w:rPr>
        <w:t>uality assurance processes</w:t>
      </w:r>
      <w:r w:rsidR="00EE255F">
        <w:rPr>
          <w:rFonts w:ascii="Arial" w:hAnsi="Arial" w:cs="Arial"/>
          <w:color w:val="auto"/>
          <w:sz w:val="22"/>
          <w:szCs w:val="22"/>
        </w:rPr>
        <w:t>, e</w:t>
      </w:r>
      <w:r w:rsidR="00EE255F" w:rsidRPr="00EE255F">
        <w:rPr>
          <w:rFonts w:ascii="Arial" w:hAnsi="Arial" w:cs="Arial"/>
          <w:color w:val="auto"/>
          <w:sz w:val="22"/>
          <w:szCs w:val="22"/>
        </w:rPr>
        <w:t xml:space="preserve">stimation procedures, </w:t>
      </w:r>
      <w:r w:rsidR="00EE255F">
        <w:rPr>
          <w:rFonts w:ascii="Arial" w:hAnsi="Arial" w:cs="Arial"/>
          <w:color w:val="auto"/>
          <w:sz w:val="22"/>
          <w:szCs w:val="22"/>
        </w:rPr>
        <w:t>o</w:t>
      </w:r>
      <w:r w:rsidR="00EE255F" w:rsidRPr="00EE255F">
        <w:rPr>
          <w:rFonts w:ascii="Arial" w:hAnsi="Arial" w:cs="Arial"/>
          <w:color w:val="auto"/>
          <w:sz w:val="22"/>
          <w:szCs w:val="22"/>
        </w:rPr>
        <w:t>utreach/advertising/recruitment methods</w:t>
      </w:r>
      <w:r w:rsidR="00EE255F">
        <w:rPr>
          <w:rFonts w:ascii="Arial" w:hAnsi="Arial" w:cs="Arial"/>
          <w:color w:val="auto"/>
          <w:sz w:val="22"/>
          <w:szCs w:val="22"/>
        </w:rPr>
        <w:t xml:space="preserve">, and </w:t>
      </w:r>
      <w:r w:rsidR="00EE255F" w:rsidRPr="00EE255F">
        <w:rPr>
          <w:rFonts w:ascii="Arial" w:hAnsi="Arial" w:cs="Arial"/>
          <w:color w:val="auto"/>
          <w:sz w:val="22"/>
          <w:szCs w:val="22"/>
        </w:rPr>
        <w:t>existing research on panel comparison to benchmarks</w:t>
      </w:r>
      <w:r w:rsidR="00EE255F">
        <w:rPr>
          <w:rFonts w:ascii="Arial" w:hAnsi="Arial" w:cs="Arial"/>
          <w:color w:val="auto"/>
          <w:sz w:val="22"/>
          <w:szCs w:val="22"/>
        </w:rPr>
        <w:t>.</w:t>
      </w:r>
    </w:p>
    <w:p w:rsidR="004A1915" w:rsidRDefault="004A1915" w:rsidP="00493F1E">
      <w:pPr>
        <w:pStyle w:val="BodyText"/>
        <w:widowControl/>
        <w:tabs>
          <w:tab w:val="left" w:pos="1080"/>
        </w:tabs>
        <w:rPr>
          <w:rFonts w:ascii="Arial" w:hAnsi="Arial" w:cs="Arial"/>
          <w:color w:val="auto"/>
          <w:sz w:val="22"/>
          <w:szCs w:val="22"/>
        </w:rPr>
      </w:pPr>
    </w:p>
    <w:p w:rsidR="006A2122" w:rsidRPr="00866803" w:rsidRDefault="006A2122" w:rsidP="006A2122">
      <w:pPr>
        <w:widowControl/>
        <w:numPr>
          <w:ilvl w:val="0"/>
          <w:numId w:val="27"/>
        </w:numPr>
        <w:overflowPunct/>
        <w:autoSpaceDE/>
        <w:autoSpaceDN/>
        <w:adjustRightInd/>
        <w:ind w:left="0"/>
        <w:contextualSpacing/>
        <w:textAlignment w:val="auto"/>
        <w:rPr>
          <w:rFonts w:ascii="Arial" w:hAnsi="Arial" w:cs="Arial"/>
          <w:b/>
          <w:sz w:val="22"/>
          <w:szCs w:val="22"/>
        </w:rPr>
      </w:pPr>
      <w:r w:rsidRPr="00866803">
        <w:rPr>
          <w:rFonts w:ascii="Arial" w:hAnsi="Arial" w:cs="Arial"/>
          <w:b/>
          <w:sz w:val="22"/>
          <w:szCs w:val="22"/>
        </w:rPr>
        <w:t>Procedures for Collecting Information</w:t>
      </w:r>
    </w:p>
    <w:p w:rsidR="00B36C48" w:rsidRPr="00866803" w:rsidRDefault="00B36C48" w:rsidP="00B36C48">
      <w:pPr>
        <w:pStyle w:val="BodyText"/>
        <w:widowControl/>
        <w:tabs>
          <w:tab w:val="left" w:pos="1080"/>
        </w:tabs>
        <w:rPr>
          <w:rFonts w:ascii="Arial" w:hAnsi="Arial" w:cs="Arial"/>
          <w:color w:val="auto"/>
          <w:sz w:val="22"/>
          <w:szCs w:val="22"/>
        </w:rPr>
      </w:pPr>
    </w:p>
    <w:p w:rsidR="00B36C48" w:rsidRPr="00866803" w:rsidRDefault="00C656F1" w:rsidP="00B36C48">
      <w:pPr>
        <w:pStyle w:val="BodyText"/>
        <w:widowControl/>
        <w:tabs>
          <w:tab w:val="left" w:pos="1080"/>
        </w:tabs>
        <w:rPr>
          <w:rFonts w:ascii="Arial" w:hAnsi="Arial" w:cs="Arial"/>
          <w:color w:val="auto"/>
          <w:sz w:val="22"/>
          <w:szCs w:val="22"/>
        </w:rPr>
      </w:pPr>
      <w:r>
        <w:rPr>
          <w:rFonts w:ascii="Arial" w:hAnsi="Arial" w:cs="Arial"/>
          <w:color w:val="auto"/>
          <w:sz w:val="22"/>
          <w:szCs w:val="22"/>
        </w:rPr>
        <w:t>Potential respondents will be sent a survey invitation inviting them to join the survey effort, at which point they will be asked for relevant demographic information</w:t>
      </w:r>
      <w:r w:rsidR="00BE1822">
        <w:rPr>
          <w:rFonts w:ascii="Arial" w:hAnsi="Arial" w:cs="Arial"/>
          <w:color w:val="auto"/>
          <w:sz w:val="22"/>
          <w:szCs w:val="22"/>
        </w:rPr>
        <w:t xml:space="preserve"> prior to accessing the survey</w:t>
      </w:r>
      <w:r>
        <w:rPr>
          <w:rFonts w:ascii="Arial" w:hAnsi="Arial" w:cs="Arial"/>
          <w:color w:val="auto"/>
          <w:sz w:val="22"/>
          <w:szCs w:val="22"/>
        </w:rPr>
        <w:t>.</w:t>
      </w:r>
    </w:p>
    <w:p w:rsidR="00B9575C" w:rsidRPr="00866803" w:rsidRDefault="00B9575C" w:rsidP="00FE4983">
      <w:pPr>
        <w:rPr>
          <w:rFonts w:ascii="Arial" w:hAnsi="Arial" w:cs="Arial"/>
          <w:sz w:val="22"/>
          <w:szCs w:val="22"/>
        </w:rPr>
      </w:pPr>
    </w:p>
    <w:p w:rsidR="00FE4983" w:rsidRPr="00866803" w:rsidRDefault="00FE4983" w:rsidP="00FE498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Methods to Maximize Response</w:t>
      </w:r>
    </w:p>
    <w:p w:rsidR="00FE4983" w:rsidRPr="00866803" w:rsidRDefault="00FE4983" w:rsidP="00FE4983">
      <w:pPr>
        <w:widowControl/>
        <w:overflowPunct/>
        <w:autoSpaceDE/>
        <w:autoSpaceDN/>
        <w:adjustRightInd/>
        <w:spacing w:before="100" w:beforeAutospacing="1" w:after="100" w:afterAutospacing="1"/>
        <w:ind w:left="360"/>
        <w:contextualSpacing/>
        <w:textAlignment w:val="auto"/>
        <w:rPr>
          <w:rFonts w:ascii="Arial" w:hAnsi="Arial" w:cs="Arial"/>
          <w:sz w:val="22"/>
          <w:szCs w:val="22"/>
        </w:rPr>
      </w:pPr>
    </w:p>
    <w:p w:rsidR="002C2B4C" w:rsidRPr="0069499A" w:rsidRDefault="002C2B4C" w:rsidP="002C2B4C">
      <w:pPr>
        <w:rPr>
          <w:rFonts w:ascii="Arial" w:hAnsi="Arial" w:cs="Arial"/>
          <w:sz w:val="22"/>
          <w:szCs w:val="22"/>
        </w:rPr>
      </w:pPr>
      <w:r w:rsidRPr="00C37516">
        <w:rPr>
          <w:rFonts w:ascii="Arial" w:hAnsi="Arial" w:cs="Arial"/>
          <w:sz w:val="22"/>
          <w:szCs w:val="22"/>
        </w:rPr>
        <w:t>We are utilizing an established online panel for survey administration.</w:t>
      </w:r>
      <w:r w:rsidR="00231BED">
        <w:rPr>
          <w:rFonts w:ascii="Arial" w:hAnsi="Arial" w:cs="Arial"/>
          <w:sz w:val="22"/>
          <w:szCs w:val="22"/>
        </w:rPr>
        <w:t xml:space="preserve"> </w:t>
      </w:r>
      <w:r w:rsidRPr="00C37516">
        <w:rPr>
          <w:rFonts w:ascii="Arial" w:hAnsi="Arial" w:cs="Arial"/>
          <w:sz w:val="22"/>
          <w:szCs w:val="22"/>
        </w:rPr>
        <w:t>Survey administration will include an invitation email and up to one reminder email (as needed) in an effort to maximize response rate.</w:t>
      </w:r>
      <w:r w:rsidR="00231BED">
        <w:rPr>
          <w:rFonts w:ascii="Arial" w:hAnsi="Arial" w:cs="Arial"/>
          <w:sz w:val="22"/>
          <w:szCs w:val="22"/>
        </w:rPr>
        <w:t xml:space="preserve">  </w:t>
      </w:r>
    </w:p>
    <w:p w:rsidR="00C065D0" w:rsidRPr="00866803" w:rsidRDefault="00C065D0" w:rsidP="00B9575C">
      <w:pPr>
        <w:ind w:left="360"/>
        <w:rPr>
          <w:rFonts w:ascii="Arial" w:hAnsi="Arial" w:cs="Arial"/>
          <w:sz w:val="22"/>
          <w:szCs w:val="22"/>
          <w:u w:val="single"/>
        </w:rPr>
      </w:pPr>
    </w:p>
    <w:p w:rsidR="00F66ED3" w:rsidRPr="00866803" w:rsidRDefault="00F66ED3" w:rsidP="00F66ED3">
      <w:pPr>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Testing of Procedures</w:t>
      </w:r>
    </w:p>
    <w:p w:rsidR="00F66ED3" w:rsidRPr="00866803" w:rsidRDefault="00F66ED3" w:rsidP="00D20F48">
      <w:pPr>
        <w:rPr>
          <w:rFonts w:ascii="Arial" w:hAnsi="Arial" w:cs="Arial"/>
          <w:i/>
          <w:sz w:val="22"/>
          <w:szCs w:val="22"/>
        </w:rPr>
      </w:pPr>
    </w:p>
    <w:p w:rsidR="00376DEB" w:rsidRDefault="00B670ED" w:rsidP="00673FD0">
      <w:pPr>
        <w:rPr>
          <w:rFonts w:ascii="Arial" w:hAnsi="Arial" w:cs="Arial"/>
          <w:bCs/>
          <w:sz w:val="22"/>
          <w:szCs w:val="22"/>
        </w:rPr>
      </w:pPr>
      <w:r w:rsidRPr="001C7126">
        <w:rPr>
          <w:rFonts w:ascii="Arial" w:hAnsi="Arial" w:cs="Arial"/>
          <w:bCs/>
          <w:sz w:val="22"/>
          <w:szCs w:val="22"/>
        </w:rPr>
        <w:t xml:space="preserve">Prior to determining </w:t>
      </w:r>
      <w:r w:rsidR="005B6B26">
        <w:rPr>
          <w:rFonts w:ascii="Arial" w:hAnsi="Arial" w:cs="Arial"/>
          <w:bCs/>
          <w:sz w:val="22"/>
          <w:szCs w:val="22"/>
        </w:rPr>
        <w:t>the use of the</w:t>
      </w:r>
      <w:r w:rsidR="001C7126">
        <w:rPr>
          <w:rFonts w:ascii="Arial" w:hAnsi="Arial" w:cs="Arial"/>
          <w:bCs/>
          <w:sz w:val="22"/>
          <w:szCs w:val="22"/>
        </w:rPr>
        <w:t xml:space="preserve"> online panel </w:t>
      </w:r>
      <w:r w:rsidRPr="001C7126">
        <w:rPr>
          <w:rFonts w:ascii="Arial" w:hAnsi="Arial" w:cs="Arial"/>
          <w:bCs/>
          <w:sz w:val="22"/>
          <w:szCs w:val="22"/>
        </w:rPr>
        <w:t>for the full-year survey fielding</w:t>
      </w:r>
      <w:r w:rsidR="00A2157E">
        <w:rPr>
          <w:rFonts w:ascii="Arial" w:hAnsi="Arial" w:cs="Arial"/>
          <w:bCs/>
          <w:sz w:val="22"/>
          <w:szCs w:val="22"/>
        </w:rPr>
        <w:t>,</w:t>
      </w:r>
      <w:r w:rsidRPr="001C7126">
        <w:rPr>
          <w:rFonts w:ascii="Arial" w:hAnsi="Arial" w:cs="Arial"/>
          <w:bCs/>
          <w:sz w:val="22"/>
          <w:szCs w:val="22"/>
        </w:rPr>
        <w:t xml:space="preserve"> FMG conducted a one-month pilot</w:t>
      </w:r>
      <w:r w:rsidR="009B15B6" w:rsidRPr="001C7126">
        <w:rPr>
          <w:rFonts w:ascii="Arial" w:hAnsi="Arial" w:cs="Arial"/>
          <w:bCs/>
          <w:sz w:val="22"/>
          <w:szCs w:val="22"/>
        </w:rPr>
        <w:t xml:space="preserve"> study to arbitrate between two pilot samples. This pilot study was conducted according to OMB guidelines for deciding between two </w:t>
      </w:r>
      <w:r w:rsidR="0092592E" w:rsidRPr="001C7126">
        <w:rPr>
          <w:rFonts w:ascii="Arial" w:hAnsi="Arial" w:cs="Arial"/>
          <w:bCs/>
          <w:sz w:val="22"/>
          <w:szCs w:val="22"/>
        </w:rPr>
        <w:t xml:space="preserve">possible samples. </w:t>
      </w:r>
      <w:r w:rsidR="001C7126">
        <w:rPr>
          <w:rFonts w:ascii="Arial" w:hAnsi="Arial" w:cs="Arial"/>
          <w:bCs/>
          <w:sz w:val="22"/>
          <w:szCs w:val="22"/>
        </w:rPr>
        <w:t>T</w:t>
      </w:r>
      <w:r w:rsidR="00673FD0" w:rsidRPr="001C7126">
        <w:rPr>
          <w:rFonts w:ascii="Arial" w:hAnsi="Arial" w:cs="Arial"/>
          <w:bCs/>
          <w:sz w:val="22"/>
          <w:szCs w:val="22"/>
        </w:rPr>
        <w:t xml:space="preserve">he </w:t>
      </w:r>
      <w:r w:rsidR="001C7126">
        <w:rPr>
          <w:rFonts w:ascii="Arial" w:hAnsi="Arial" w:cs="Arial"/>
          <w:bCs/>
          <w:sz w:val="22"/>
          <w:szCs w:val="22"/>
        </w:rPr>
        <w:t>p</w:t>
      </w:r>
      <w:r w:rsidR="00673FD0" w:rsidRPr="001C7126">
        <w:rPr>
          <w:rFonts w:ascii="Arial" w:hAnsi="Arial" w:cs="Arial"/>
          <w:bCs/>
          <w:sz w:val="22"/>
          <w:szCs w:val="22"/>
        </w:rPr>
        <w:t xml:space="preserve">ilot study compared the bias in the estimated mean tipping rates </w:t>
      </w:r>
      <w:r w:rsidR="00071740" w:rsidRPr="001C7126">
        <w:rPr>
          <w:rFonts w:ascii="Arial" w:hAnsi="Arial" w:cs="Arial"/>
          <w:bCs/>
          <w:sz w:val="22"/>
          <w:szCs w:val="22"/>
        </w:rPr>
        <w:t>derived from</w:t>
      </w:r>
      <w:r w:rsidR="00673FD0" w:rsidRPr="001C7126">
        <w:rPr>
          <w:rFonts w:ascii="Arial" w:hAnsi="Arial" w:cs="Arial"/>
          <w:bCs/>
          <w:sz w:val="22"/>
          <w:szCs w:val="22"/>
        </w:rPr>
        <w:t xml:space="preserve"> responses taken from the </w:t>
      </w:r>
      <w:r w:rsidR="005B6B26">
        <w:rPr>
          <w:rFonts w:ascii="Arial" w:hAnsi="Arial" w:cs="Arial"/>
          <w:bCs/>
          <w:sz w:val="22"/>
          <w:szCs w:val="22"/>
        </w:rPr>
        <w:t>non-probability</w:t>
      </w:r>
      <w:r w:rsidR="005B6B26" w:rsidRPr="001C7126">
        <w:rPr>
          <w:rFonts w:ascii="Arial" w:hAnsi="Arial" w:cs="Arial"/>
          <w:bCs/>
          <w:sz w:val="22"/>
          <w:szCs w:val="22"/>
        </w:rPr>
        <w:t xml:space="preserve"> </w:t>
      </w:r>
      <w:r w:rsidR="001C7126">
        <w:rPr>
          <w:rFonts w:ascii="Arial" w:hAnsi="Arial" w:cs="Arial"/>
          <w:bCs/>
          <w:sz w:val="22"/>
          <w:szCs w:val="22"/>
        </w:rPr>
        <w:t>online</w:t>
      </w:r>
      <w:r w:rsidR="00136494">
        <w:rPr>
          <w:rFonts w:ascii="Arial" w:hAnsi="Arial" w:cs="Arial"/>
          <w:bCs/>
          <w:sz w:val="22"/>
          <w:szCs w:val="22"/>
        </w:rPr>
        <w:t xml:space="preserve"> panel and </w:t>
      </w:r>
      <w:r w:rsidR="00673FD0" w:rsidRPr="001C7126">
        <w:rPr>
          <w:rFonts w:ascii="Arial" w:hAnsi="Arial" w:cs="Arial"/>
          <w:bCs/>
          <w:sz w:val="22"/>
          <w:szCs w:val="22"/>
        </w:rPr>
        <w:t>a probability</w:t>
      </w:r>
      <w:r w:rsidR="00136494">
        <w:rPr>
          <w:rFonts w:ascii="Arial" w:hAnsi="Arial" w:cs="Arial"/>
          <w:bCs/>
          <w:sz w:val="22"/>
          <w:szCs w:val="22"/>
        </w:rPr>
        <w:t>-based</w:t>
      </w:r>
      <w:r w:rsidR="00673FD0" w:rsidRPr="001C7126">
        <w:rPr>
          <w:rFonts w:ascii="Arial" w:hAnsi="Arial" w:cs="Arial"/>
          <w:bCs/>
          <w:sz w:val="22"/>
          <w:szCs w:val="22"/>
        </w:rPr>
        <w:t xml:space="preserve"> push-to-web panel.</w:t>
      </w:r>
      <w:r w:rsidR="00231BED">
        <w:rPr>
          <w:rFonts w:ascii="Arial" w:hAnsi="Arial" w:cs="Arial"/>
          <w:bCs/>
          <w:sz w:val="22"/>
          <w:szCs w:val="22"/>
        </w:rPr>
        <w:t xml:space="preserve"> </w:t>
      </w:r>
      <w:r w:rsidR="00376DEB">
        <w:rPr>
          <w:rFonts w:ascii="Arial" w:hAnsi="Arial" w:cs="Arial"/>
          <w:bCs/>
          <w:sz w:val="22"/>
          <w:szCs w:val="22"/>
        </w:rPr>
        <w:t>The full report detailing the pilot study and outcomes, “</w:t>
      </w:r>
      <w:r w:rsidR="00376DEB" w:rsidRPr="00376DEB">
        <w:rPr>
          <w:rFonts w:ascii="Arial" w:hAnsi="Arial" w:cs="Arial"/>
          <w:bCs/>
          <w:sz w:val="22"/>
          <w:szCs w:val="22"/>
        </w:rPr>
        <w:t>Comparison of Estimates of Tipping Behavior Produced Using Probability and Non-Probability Samples: Methodology and Results</w:t>
      </w:r>
      <w:r w:rsidR="00376DEB">
        <w:rPr>
          <w:rFonts w:ascii="Arial" w:hAnsi="Arial" w:cs="Arial"/>
          <w:bCs/>
          <w:sz w:val="22"/>
          <w:szCs w:val="22"/>
        </w:rPr>
        <w:t xml:space="preserve">,” is </w:t>
      </w:r>
      <w:r w:rsidR="007341B0">
        <w:rPr>
          <w:rFonts w:ascii="Arial" w:hAnsi="Arial" w:cs="Arial"/>
          <w:bCs/>
          <w:sz w:val="22"/>
          <w:szCs w:val="22"/>
        </w:rPr>
        <w:t xml:space="preserve">attached </w:t>
      </w:r>
      <w:r w:rsidR="00376DEB">
        <w:rPr>
          <w:rFonts w:ascii="Arial" w:hAnsi="Arial" w:cs="Arial"/>
          <w:bCs/>
          <w:sz w:val="22"/>
          <w:szCs w:val="22"/>
        </w:rPr>
        <w:t xml:space="preserve">as a supporting document; the key findings are discussed </w:t>
      </w:r>
      <w:r w:rsidR="007341B0">
        <w:rPr>
          <w:rFonts w:ascii="Arial" w:hAnsi="Arial" w:cs="Arial"/>
          <w:bCs/>
          <w:sz w:val="22"/>
          <w:szCs w:val="22"/>
        </w:rPr>
        <w:t>in this section</w:t>
      </w:r>
      <w:r w:rsidR="00376DEB">
        <w:rPr>
          <w:rFonts w:ascii="Arial" w:hAnsi="Arial" w:cs="Arial"/>
          <w:bCs/>
          <w:sz w:val="22"/>
          <w:szCs w:val="22"/>
        </w:rPr>
        <w:t>.</w:t>
      </w:r>
    </w:p>
    <w:p w:rsidR="00C648AA" w:rsidRDefault="00C648AA" w:rsidP="00673FD0">
      <w:pPr>
        <w:rPr>
          <w:rFonts w:ascii="Arial" w:hAnsi="Arial" w:cs="Arial"/>
          <w:bCs/>
          <w:sz w:val="22"/>
          <w:szCs w:val="22"/>
        </w:rPr>
      </w:pPr>
    </w:p>
    <w:p w:rsidR="001C7126" w:rsidRPr="00314FCD" w:rsidRDefault="00673FD0" w:rsidP="00673FD0">
      <w:pPr>
        <w:rPr>
          <w:rFonts w:ascii="Arial" w:hAnsi="Arial" w:cs="Arial"/>
          <w:bCs/>
          <w:sz w:val="22"/>
          <w:szCs w:val="22"/>
        </w:rPr>
      </w:pPr>
      <w:r w:rsidRPr="001C7126">
        <w:rPr>
          <w:rFonts w:ascii="Arial" w:hAnsi="Arial" w:cs="Arial"/>
          <w:bCs/>
          <w:sz w:val="22"/>
          <w:szCs w:val="22"/>
        </w:rPr>
        <w:t>The pilot data analysis featured two tests of</w:t>
      </w:r>
      <w:r w:rsidR="00136494">
        <w:rPr>
          <w:rFonts w:ascii="Arial" w:hAnsi="Arial" w:cs="Arial"/>
          <w:bCs/>
          <w:sz w:val="22"/>
          <w:szCs w:val="22"/>
        </w:rPr>
        <w:t xml:space="preserve"> the</w:t>
      </w:r>
      <w:r w:rsidRPr="001C7126">
        <w:rPr>
          <w:rFonts w:ascii="Arial" w:hAnsi="Arial" w:cs="Arial"/>
          <w:bCs/>
          <w:sz w:val="22"/>
          <w:szCs w:val="22"/>
        </w:rPr>
        <w:t xml:space="preserve"> relative bias</w:t>
      </w:r>
      <w:r w:rsidR="00136494">
        <w:rPr>
          <w:rFonts w:ascii="Arial" w:hAnsi="Arial" w:cs="Arial"/>
          <w:bCs/>
          <w:sz w:val="22"/>
          <w:szCs w:val="22"/>
        </w:rPr>
        <w:t xml:space="preserve"> in the two estimates</w:t>
      </w:r>
      <w:r w:rsidRPr="001C7126">
        <w:rPr>
          <w:rFonts w:ascii="Arial" w:hAnsi="Arial" w:cs="Arial"/>
          <w:bCs/>
          <w:sz w:val="22"/>
          <w:szCs w:val="22"/>
        </w:rPr>
        <w:t xml:space="preserve">. </w:t>
      </w:r>
      <w:r w:rsidRPr="00314FCD">
        <w:rPr>
          <w:rFonts w:ascii="Arial" w:hAnsi="Arial" w:cs="Arial"/>
          <w:bCs/>
          <w:sz w:val="22"/>
          <w:szCs w:val="22"/>
        </w:rPr>
        <w:t>The first test, termed the “Diffe</w:t>
      </w:r>
      <w:r w:rsidR="001C7126" w:rsidRPr="00314FCD">
        <w:rPr>
          <w:rFonts w:ascii="Arial" w:hAnsi="Arial" w:cs="Arial"/>
          <w:bCs/>
          <w:sz w:val="22"/>
          <w:szCs w:val="22"/>
        </w:rPr>
        <w:t>rences in Samples” test, assumed</w:t>
      </w:r>
      <w:r w:rsidRPr="00314FCD">
        <w:rPr>
          <w:rFonts w:ascii="Arial" w:hAnsi="Arial" w:cs="Arial"/>
          <w:bCs/>
          <w:sz w:val="22"/>
          <w:szCs w:val="22"/>
        </w:rPr>
        <w:t xml:space="preserve"> that the probability sample is no more biased than the non-probability sample. Consequently, any difference in reported average tip rates between the two samples </w:t>
      </w:r>
      <w:r w:rsidR="001C7126" w:rsidRPr="00314FCD">
        <w:rPr>
          <w:rFonts w:ascii="Arial" w:hAnsi="Arial" w:cs="Arial"/>
          <w:bCs/>
          <w:sz w:val="22"/>
          <w:szCs w:val="22"/>
        </w:rPr>
        <w:t>was</w:t>
      </w:r>
      <w:r w:rsidRPr="00314FCD">
        <w:rPr>
          <w:rFonts w:ascii="Arial" w:hAnsi="Arial" w:cs="Arial"/>
          <w:bCs/>
          <w:sz w:val="22"/>
          <w:szCs w:val="22"/>
        </w:rPr>
        <w:t xml:space="preserve"> interpreted as indicating bias in the non-probability sample. </w:t>
      </w:r>
      <w:r w:rsidR="001C7126" w:rsidRPr="00314FCD">
        <w:rPr>
          <w:rFonts w:ascii="Arial" w:hAnsi="Arial" w:cs="Arial"/>
          <w:bCs/>
          <w:sz w:val="22"/>
          <w:szCs w:val="22"/>
        </w:rPr>
        <w:t>The results of this test found no statistically significant differences between the mean tipping rates derived from the two samples.</w:t>
      </w:r>
      <w:r w:rsidR="00231BED">
        <w:rPr>
          <w:rFonts w:ascii="Arial" w:hAnsi="Arial" w:cs="Arial"/>
          <w:bCs/>
          <w:sz w:val="22"/>
          <w:szCs w:val="22"/>
        </w:rPr>
        <w:t xml:space="preserve"> </w:t>
      </w:r>
    </w:p>
    <w:p w:rsidR="001C7126" w:rsidRPr="00314FCD" w:rsidRDefault="001C7126" w:rsidP="00673FD0">
      <w:pPr>
        <w:rPr>
          <w:rFonts w:ascii="Arial" w:hAnsi="Arial" w:cs="Arial"/>
          <w:bCs/>
          <w:sz w:val="22"/>
          <w:szCs w:val="22"/>
        </w:rPr>
      </w:pPr>
    </w:p>
    <w:p w:rsidR="00387C00" w:rsidRDefault="001C7126" w:rsidP="00673FD0">
      <w:pPr>
        <w:rPr>
          <w:rFonts w:ascii="Arial" w:hAnsi="Arial" w:cs="Arial"/>
          <w:bCs/>
          <w:sz w:val="22"/>
          <w:szCs w:val="22"/>
        </w:rPr>
      </w:pPr>
      <w:r w:rsidRPr="00314FCD">
        <w:rPr>
          <w:rFonts w:ascii="Arial" w:hAnsi="Arial" w:cs="Arial"/>
          <w:bCs/>
          <w:sz w:val="22"/>
          <w:szCs w:val="22"/>
        </w:rPr>
        <w:t xml:space="preserve">The second, </w:t>
      </w:r>
      <w:r w:rsidR="00673FD0" w:rsidRPr="00314FCD">
        <w:rPr>
          <w:rFonts w:ascii="Arial" w:hAnsi="Arial" w:cs="Arial"/>
          <w:bCs/>
          <w:sz w:val="22"/>
          <w:szCs w:val="22"/>
        </w:rPr>
        <w:t xml:space="preserve">“Differences in Differences” test </w:t>
      </w:r>
      <w:r w:rsidRPr="00314FCD">
        <w:rPr>
          <w:rFonts w:ascii="Arial" w:hAnsi="Arial" w:cs="Arial"/>
          <w:bCs/>
          <w:sz w:val="22"/>
          <w:szCs w:val="22"/>
        </w:rPr>
        <w:t>did</w:t>
      </w:r>
      <w:r w:rsidR="00673FD0" w:rsidRPr="00314FCD">
        <w:rPr>
          <w:rFonts w:ascii="Arial" w:hAnsi="Arial" w:cs="Arial"/>
          <w:bCs/>
          <w:sz w:val="22"/>
          <w:szCs w:val="22"/>
        </w:rPr>
        <w:t xml:space="preserve"> not make </w:t>
      </w:r>
      <w:r w:rsidRPr="00314FCD">
        <w:rPr>
          <w:rFonts w:ascii="Arial" w:hAnsi="Arial" w:cs="Arial"/>
          <w:bCs/>
          <w:sz w:val="22"/>
          <w:szCs w:val="22"/>
        </w:rPr>
        <w:t>an</w:t>
      </w:r>
      <w:r w:rsidR="00673FD0" w:rsidRPr="00314FCD">
        <w:rPr>
          <w:rFonts w:ascii="Arial" w:hAnsi="Arial" w:cs="Arial"/>
          <w:bCs/>
          <w:sz w:val="22"/>
          <w:szCs w:val="22"/>
        </w:rPr>
        <w:t xml:space="preserve"> assumption</w:t>
      </w:r>
      <w:r w:rsidRPr="00314FCD">
        <w:rPr>
          <w:rFonts w:ascii="Arial" w:hAnsi="Arial" w:cs="Arial"/>
          <w:bCs/>
          <w:sz w:val="22"/>
          <w:szCs w:val="22"/>
        </w:rPr>
        <w:t xml:space="preserve"> that the </w:t>
      </w:r>
      <w:r w:rsidR="005B6B26">
        <w:rPr>
          <w:rFonts w:ascii="Arial" w:hAnsi="Arial" w:cs="Arial"/>
          <w:bCs/>
          <w:sz w:val="22"/>
          <w:szCs w:val="22"/>
        </w:rPr>
        <w:t>probability</w:t>
      </w:r>
      <w:r w:rsidRPr="00314FCD">
        <w:rPr>
          <w:rFonts w:ascii="Arial" w:hAnsi="Arial" w:cs="Arial"/>
          <w:bCs/>
          <w:sz w:val="22"/>
          <w:szCs w:val="22"/>
        </w:rPr>
        <w:t xml:space="preserve">-derived estimate was not more biased than the </w:t>
      </w:r>
      <w:r w:rsidR="005B6B26">
        <w:rPr>
          <w:rFonts w:ascii="Arial" w:hAnsi="Arial" w:cs="Arial"/>
          <w:bCs/>
          <w:sz w:val="22"/>
          <w:szCs w:val="22"/>
        </w:rPr>
        <w:t>non-probability</w:t>
      </w:r>
      <w:r w:rsidRPr="00314FCD">
        <w:rPr>
          <w:rFonts w:ascii="Arial" w:hAnsi="Arial" w:cs="Arial"/>
          <w:bCs/>
          <w:sz w:val="22"/>
          <w:szCs w:val="22"/>
        </w:rPr>
        <w:t xml:space="preserve"> estimate</w:t>
      </w:r>
      <w:r w:rsidRPr="001C7126">
        <w:rPr>
          <w:rFonts w:ascii="Arial" w:hAnsi="Arial" w:cs="Arial"/>
          <w:bCs/>
          <w:sz w:val="22"/>
          <w:szCs w:val="22"/>
        </w:rPr>
        <w:t xml:space="preserve"> of the mean tipping rate</w:t>
      </w:r>
      <w:r w:rsidRPr="00314FCD">
        <w:rPr>
          <w:rFonts w:ascii="Arial" w:hAnsi="Arial" w:cs="Arial"/>
          <w:bCs/>
          <w:sz w:val="22"/>
          <w:szCs w:val="22"/>
        </w:rPr>
        <w:t xml:space="preserve">. Rather, this test </w:t>
      </w:r>
      <w:r w:rsidR="00673FD0" w:rsidRPr="00314FCD">
        <w:rPr>
          <w:rFonts w:ascii="Arial" w:hAnsi="Arial" w:cs="Arial"/>
          <w:bCs/>
          <w:sz w:val="22"/>
          <w:szCs w:val="22"/>
        </w:rPr>
        <w:t>utilize</w:t>
      </w:r>
      <w:r w:rsidRPr="00314FCD">
        <w:rPr>
          <w:rFonts w:ascii="Arial" w:hAnsi="Arial" w:cs="Arial"/>
          <w:bCs/>
          <w:sz w:val="22"/>
          <w:szCs w:val="22"/>
        </w:rPr>
        <w:t>d</w:t>
      </w:r>
      <w:r w:rsidR="00673FD0" w:rsidRPr="00314FCD">
        <w:rPr>
          <w:rFonts w:ascii="Arial" w:hAnsi="Arial" w:cs="Arial"/>
          <w:bCs/>
          <w:sz w:val="22"/>
          <w:szCs w:val="22"/>
        </w:rPr>
        <w:t xml:space="preserve"> information about tipping transactions from </w:t>
      </w:r>
      <w:r w:rsidRPr="00314FCD">
        <w:rPr>
          <w:rFonts w:ascii="Arial" w:hAnsi="Arial" w:cs="Arial"/>
          <w:bCs/>
          <w:sz w:val="22"/>
          <w:szCs w:val="22"/>
        </w:rPr>
        <w:t>point of sale</w:t>
      </w:r>
      <w:r w:rsidR="00673FD0" w:rsidRPr="00314FCD">
        <w:rPr>
          <w:rFonts w:ascii="Arial" w:hAnsi="Arial" w:cs="Arial"/>
          <w:bCs/>
          <w:sz w:val="22"/>
          <w:szCs w:val="22"/>
        </w:rPr>
        <w:t xml:space="preserve"> data </w:t>
      </w:r>
      <w:r w:rsidRPr="00314FCD">
        <w:rPr>
          <w:rFonts w:ascii="Arial" w:hAnsi="Arial" w:cs="Arial"/>
          <w:bCs/>
          <w:sz w:val="22"/>
          <w:szCs w:val="22"/>
        </w:rPr>
        <w:t xml:space="preserve">(POS) </w:t>
      </w:r>
      <w:r w:rsidR="00673FD0" w:rsidRPr="00314FCD">
        <w:rPr>
          <w:rFonts w:ascii="Arial" w:hAnsi="Arial" w:cs="Arial"/>
          <w:bCs/>
          <w:sz w:val="22"/>
          <w:szCs w:val="22"/>
        </w:rPr>
        <w:t xml:space="preserve">as an objective arbiter between the probability and non-probability samples. </w:t>
      </w:r>
      <w:r w:rsidR="00136494">
        <w:rPr>
          <w:rFonts w:ascii="Arial" w:hAnsi="Arial" w:cs="Arial"/>
          <w:bCs/>
          <w:sz w:val="22"/>
          <w:szCs w:val="22"/>
        </w:rPr>
        <w:t xml:space="preserve">Specifically, the test examined whether the absolute mean difference between respondent-reported tip rates and the mean tip rates of the respondent’s region of residence differed between the </w:t>
      </w:r>
      <w:r w:rsidR="005B6B26">
        <w:rPr>
          <w:rFonts w:ascii="Arial" w:hAnsi="Arial" w:cs="Arial"/>
          <w:bCs/>
          <w:sz w:val="22"/>
          <w:szCs w:val="22"/>
        </w:rPr>
        <w:t>non-probability</w:t>
      </w:r>
      <w:r w:rsidR="005B6B26" w:rsidDel="005B6B26">
        <w:rPr>
          <w:rFonts w:ascii="Arial" w:hAnsi="Arial" w:cs="Arial"/>
          <w:bCs/>
          <w:sz w:val="22"/>
          <w:szCs w:val="22"/>
        </w:rPr>
        <w:t xml:space="preserve"> </w:t>
      </w:r>
      <w:r w:rsidR="00136494">
        <w:rPr>
          <w:rFonts w:ascii="Arial" w:hAnsi="Arial" w:cs="Arial"/>
          <w:bCs/>
          <w:sz w:val="22"/>
          <w:szCs w:val="22"/>
        </w:rPr>
        <w:t xml:space="preserve">and </w:t>
      </w:r>
      <w:r w:rsidR="005B6B26">
        <w:rPr>
          <w:rFonts w:ascii="Arial" w:hAnsi="Arial" w:cs="Arial"/>
          <w:bCs/>
          <w:sz w:val="22"/>
          <w:szCs w:val="22"/>
        </w:rPr>
        <w:t xml:space="preserve">probability </w:t>
      </w:r>
      <w:r w:rsidR="00136494">
        <w:rPr>
          <w:rFonts w:ascii="Arial" w:hAnsi="Arial" w:cs="Arial"/>
          <w:bCs/>
          <w:sz w:val="22"/>
          <w:szCs w:val="22"/>
        </w:rPr>
        <w:t xml:space="preserve">samples. </w:t>
      </w:r>
      <w:r w:rsidRPr="00314FCD">
        <w:rPr>
          <w:rFonts w:ascii="Arial" w:hAnsi="Arial" w:cs="Arial"/>
          <w:bCs/>
          <w:sz w:val="22"/>
          <w:szCs w:val="22"/>
        </w:rPr>
        <w:t xml:space="preserve">This test found no evidence that the </w:t>
      </w:r>
      <w:r w:rsidR="005B6B26">
        <w:rPr>
          <w:rFonts w:ascii="Arial" w:hAnsi="Arial" w:cs="Arial"/>
          <w:bCs/>
          <w:sz w:val="22"/>
          <w:szCs w:val="22"/>
        </w:rPr>
        <w:t>non-probability</w:t>
      </w:r>
      <w:r w:rsidR="005B6B26" w:rsidRPr="00314FCD" w:rsidDel="005B6B26">
        <w:rPr>
          <w:rFonts w:ascii="Arial" w:hAnsi="Arial" w:cs="Arial"/>
          <w:bCs/>
          <w:sz w:val="22"/>
          <w:szCs w:val="22"/>
        </w:rPr>
        <w:t xml:space="preserve"> </w:t>
      </w:r>
      <w:r w:rsidRPr="00314FCD">
        <w:rPr>
          <w:rFonts w:ascii="Arial" w:hAnsi="Arial" w:cs="Arial"/>
          <w:bCs/>
          <w:sz w:val="22"/>
          <w:szCs w:val="22"/>
        </w:rPr>
        <w:t xml:space="preserve">estimate systematically differed from the POS estimate more than the </w:t>
      </w:r>
      <w:r w:rsidR="005B6B26">
        <w:rPr>
          <w:rFonts w:ascii="Arial" w:hAnsi="Arial" w:cs="Arial"/>
          <w:bCs/>
          <w:sz w:val="22"/>
          <w:szCs w:val="22"/>
        </w:rPr>
        <w:t>probability</w:t>
      </w:r>
      <w:r w:rsidR="005B6B26" w:rsidRPr="00314FCD">
        <w:rPr>
          <w:rFonts w:ascii="Arial" w:hAnsi="Arial" w:cs="Arial"/>
          <w:bCs/>
          <w:sz w:val="22"/>
          <w:szCs w:val="22"/>
        </w:rPr>
        <w:t xml:space="preserve"> </w:t>
      </w:r>
      <w:r w:rsidRPr="00314FCD">
        <w:rPr>
          <w:rFonts w:ascii="Arial" w:hAnsi="Arial" w:cs="Arial"/>
          <w:bCs/>
          <w:sz w:val="22"/>
          <w:szCs w:val="22"/>
        </w:rPr>
        <w:t>estimate.</w:t>
      </w:r>
      <w:r w:rsidR="007E617B">
        <w:rPr>
          <w:rFonts w:ascii="Arial" w:hAnsi="Arial" w:cs="Arial"/>
          <w:bCs/>
          <w:sz w:val="22"/>
          <w:szCs w:val="22"/>
        </w:rPr>
        <w:t xml:space="preserve"> </w:t>
      </w:r>
    </w:p>
    <w:p w:rsidR="00387C00" w:rsidRDefault="00387C00" w:rsidP="00673FD0">
      <w:pPr>
        <w:rPr>
          <w:rFonts w:ascii="Arial" w:hAnsi="Arial" w:cs="Arial"/>
          <w:bCs/>
          <w:sz w:val="22"/>
          <w:szCs w:val="22"/>
        </w:rPr>
      </w:pPr>
    </w:p>
    <w:p w:rsidR="00673FD0" w:rsidRPr="00314FCD" w:rsidRDefault="009D6996" w:rsidP="00673FD0">
      <w:pPr>
        <w:rPr>
          <w:rFonts w:ascii="Arial" w:hAnsi="Arial" w:cs="Arial"/>
          <w:bCs/>
          <w:sz w:val="22"/>
          <w:szCs w:val="22"/>
        </w:rPr>
      </w:pPr>
      <w:r w:rsidRPr="009D6996">
        <w:rPr>
          <w:rFonts w:ascii="Arial" w:hAnsi="Arial" w:cs="Arial"/>
          <w:bCs/>
          <w:sz w:val="22"/>
          <w:szCs w:val="22"/>
        </w:rPr>
        <w:t xml:space="preserve">As with any study, this analysis </w:t>
      </w:r>
      <w:r w:rsidR="002565A6">
        <w:rPr>
          <w:rFonts w:ascii="Arial" w:hAnsi="Arial" w:cs="Arial"/>
          <w:bCs/>
          <w:sz w:val="22"/>
          <w:szCs w:val="22"/>
        </w:rPr>
        <w:t xml:space="preserve">was subject to </w:t>
      </w:r>
      <w:r w:rsidRPr="009D6996">
        <w:rPr>
          <w:rFonts w:ascii="Arial" w:hAnsi="Arial" w:cs="Arial"/>
          <w:bCs/>
          <w:sz w:val="22"/>
          <w:szCs w:val="22"/>
        </w:rPr>
        <w:t xml:space="preserve">some limitations. Specifically, the pilot study compared tip rates between the two samples for only a subset of tipped transactions of interest (Full Service Restaurants), so it is unclear to what extent the findings generalize to non-restaurant transactions. In addition, neither the probability-based estimate nor the Point of Sale data represent a gold standard even for restaurant tips. The Point of Sale data was taken for a non-randomized sample of establishments, focused solely on credit-based transactions, and thus might not be comparable to the sample of transactions taken from the survey, which included all forms of payment, including cash. Finally, non-response in both panels means final estimates from either sample will come with a level of uncertainty concerning the degree to which they represent the “true” mean tipping rate. </w:t>
      </w:r>
      <w:r w:rsidR="00A505D1" w:rsidRPr="00A505D1">
        <w:rPr>
          <w:rFonts w:ascii="Arial" w:hAnsi="Arial" w:cs="Arial"/>
          <w:bCs/>
          <w:sz w:val="22"/>
          <w:szCs w:val="22"/>
        </w:rPr>
        <w:t>However, the pilot study does not provide systematic support for the superior validity of either the probability or non-probability sample.</w:t>
      </w:r>
    </w:p>
    <w:p w:rsidR="00673FD0" w:rsidRPr="00314FCD" w:rsidRDefault="00673FD0" w:rsidP="00673FD0">
      <w:pPr>
        <w:widowControl/>
        <w:overflowPunct/>
        <w:spacing w:line="276" w:lineRule="auto"/>
        <w:textAlignment w:val="auto"/>
        <w:rPr>
          <w:rFonts w:ascii="Arial" w:hAnsi="Arial" w:cs="Arial"/>
          <w:bCs/>
          <w:sz w:val="22"/>
          <w:szCs w:val="22"/>
        </w:rPr>
      </w:pPr>
    </w:p>
    <w:p w:rsidR="00FC04DE" w:rsidRDefault="00673FD0" w:rsidP="008041E2">
      <w:pPr>
        <w:widowControl/>
        <w:overflowPunct/>
        <w:textAlignment w:val="auto"/>
        <w:rPr>
          <w:rFonts w:ascii="Arial" w:hAnsi="Arial" w:cs="Arial"/>
          <w:bCs/>
          <w:sz w:val="22"/>
          <w:szCs w:val="22"/>
        </w:rPr>
      </w:pPr>
      <w:r w:rsidRPr="00314FCD">
        <w:rPr>
          <w:rFonts w:ascii="Arial" w:hAnsi="Arial" w:cs="Arial"/>
          <w:bCs/>
          <w:sz w:val="22"/>
          <w:szCs w:val="22"/>
        </w:rPr>
        <w:t>Although the results of neither test clearly support</w:t>
      </w:r>
      <w:r w:rsidR="001C7126" w:rsidRPr="00314FCD">
        <w:rPr>
          <w:rFonts w:ascii="Arial" w:hAnsi="Arial" w:cs="Arial"/>
          <w:bCs/>
          <w:sz w:val="22"/>
          <w:szCs w:val="22"/>
        </w:rPr>
        <w:t>ed</w:t>
      </w:r>
      <w:r w:rsidRPr="00314FCD">
        <w:rPr>
          <w:rFonts w:ascii="Arial" w:hAnsi="Arial" w:cs="Arial"/>
          <w:bCs/>
          <w:sz w:val="22"/>
          <w:szCs w:val="22"/>
        </w:rPr>
        <w:t xml:space="preserve"> one sample being more biased than the other, </w:t>
      </w:r>
      <w:r w:rsidR="001C7126" w:rsidRPr="00314FCD">
        <w:rPr>
          <w:rFonts w:ascii="Arial" w:hAnsi="Arial" w:cs="Arial"/>
          <w:bCs/>
          <w:sz w:val="22"/>
          <w:szCs w:val="22"/>
        </w:rPr>
        <w:t>the results supported</w:t>
      </w:r>
      <w:r w:rsidRPr="00314FCD">
        <w:rPr>
          <w:rFonts w:ascii="Arial" w:hAnsi="Arial" w:cs="Arial"/>
          <w:bCs/>
          <w:sz w:val="22"/>
          <w:szCs w:val="22"/>
        </w:rPr>
        <w:t xml:space="preserve"> the use of the </w:t>
      </w:r>
      <w:r w:rsidR="005B6B26">
        <w:rPr>
          <w:rFonts w:ascii="Arial" w:hAnsi="Arial" w:cs="Arial"/>
          <w:bCs/>
          <w:sz w:val="22"/>
          <w:szCs w:val="22"/>
        </w:rPr>
        <w:t>non-probability</w:t>
      </w:r>
      <w:r w:rsidR="005B6B26" w:rsidRPr="00314FCD" w:rsidDel="005B6B26">
        <w:rPr>
          <w:rFonts w:ascii="Arial" w:hAnsi="Arial" w:cs="Arial"/>
          <w:bCs/>
          <w:sz w:val="22"/>
          <w:szCs w:val="22"/>
        </w:rPr>
        <w:t xml:space="preserve"> </w:t>
      </w:r>
      <w:r w:rsidRPr="00314FCD">
        <w:rPr>
          <w:rFonts w:ascii="Arial" w:hAnsi="Arial" w:cs="Arial"/>
          <w:bCs/>
          <w:sz w:val="22"/>
          <w:szCs w:val="22"/>
        </w:rPr>
        <w:t>sample.</w:t>
      </w:r>
      <w:r w:rsidR="00231BED">
        <w:rPr>
          <w:rFonts w:ascii="Arial" w:hAnsi="Arial" w:cs="Arial"/>
          <w:bCs/>
          <w:sz w:val="22"/>
          <w:szCs w:val="22"/>
        </w:rPr>
        <w:t xml:space="preserve"> </w:t>
      </w:r>
      <w:r w:rsidRPr="00314FCD">
        <w:rPr>
          <w:rFonts w:ascii="Arial" w:hAnsi="Arial" w:cs="Arial"/>
          <w:bCs/>
          <w:sz w:val="22"/>
          <w:szCs w:val="22"/>
        </w:rPr>
        <w:t>Specifically, given considerations of the cost of obtaining a sample of sufficient size to produce estimates not just for full</w:t>
      </w:r>
      <w:r w:rsidR="00314FCD">
        <w:rPr>
          <w:rFonts w:ascii="Arial" w:hAnsi="Arial" w:cs="Arial"/>
          <w:bCs/>
          <w:sz w:val="22"/>
          <w:szCs w:val="22"/>
        </w:rPr>
        <w:t>-</w:t>
      </w:r>
      <w:r w:rsidRPr="00314FCD">
        <w:rPr>
          <w:rFonts w:ascii="Arial" w:hAnsi="Arial" w:cs="Arial"/>
          <w:bCs/>
          <w:sz w:val="22"/>
          <w:szCs w:val="22"/>
        </w:rPr>
        <w:t xml:space="preserve">service restaurants, but for other, more infrequent tipping industries as well as the robust lack of evidence for a difference in the bias in the estimates of the mean tipping rate, the </w:t>
      </w:r>
      <w:r w:rsidR="005B6B26">
        <w:rPr>
          <w:rFonts w:ascii="Arial" w:hAnsi="Arial" w:cs="Arial"/>
          <w:bCs/>
          <w:sz w:val="22"/>
          <w:szCs w:val="22"/>
        </w:rPr>
        <w:t>non-probability</w:t>
      </w:r>
      <w:r w:rsidR="005B6B26" w:rsidRPr="00314FCD" w:rsidDel="005B6B26">
        <w:rPr>
          <w:rFonts w:ascii="Arial" w:hAnsi="Arial" w:cs="Arial"/>
          <w:bCs/>
          <w:sz w:val="22"/>
          <w:szCs w:val="22"/>
        </w:rPr>
        <w:t xml:space="preserve"> </w:t>
      </w:r>
      <w:r w:rsidRPr="00314FCD">
        <w:rPr>
          <w:rFonts w:ascii="Arial" w:hAnsi="Arial" w:cs="Arial"/>
          <w:bCs/>
          <w:sz w:val="22"/>
          <w:szCs w:val="22"/>
        </w:rPr>
        <w:t xml:space="preserve">sample </w:t>
      </w:r>
      <w:r w:rsidR="001C7126" w:rsidRPr="00314FCD">
        <w:rPr>
          <w:rFonts w:ascii="Arial" w:hAnsi="Arial" w:cs="Arial"/>
          <w:bCs/>
          <w:sz w:val="22"/>
          <w:szCs w:val="22"/>
        </w:rPr>
        <w:t>was deemed</w:t>
      </w:r>
      <w:r w:rsidRPr="00314FCD">
        <w:rPr>
          <w:rFonts w:ascii="Arial" w:hAnsi="Arial" w:cs="Arial"/>
          <w:bCs/>
          <w:sz w:val="22"/>
          <w:szCs w:val="22"/>
        </w:rPr>
        <w:t xml:space="preserve"> preferable.</w:t>
      </w:r>
      <w:r w:rsidR="00231BED">
        <w:rPr>
          <w:rFonts w:ascii="Arial" w:hAnsi="Arial" w:cs="Arial"/>
          <w:bCs/>
          <w:sz w:val="22"/>
          <w:szCs w:val="22"/>
        </w:rPr>
        <w:t xml:space="preserve"> </w:t>
      </w:r>
    </w:p>
    <w:p w:rsidR="00FC04DE" w:rsidRDefault="00FC04DE" w:rsidP="008041E2">
      <w:pPr>
        <w:widowControl/>
        <w:overflowPunct/>
        <w:textAlignment w:val="auto"/>
        <w:rPr>
          <w:rFonts w:ascii="Arial" w:hAnsi="Arial" w:cs="Arial"/>
          <w:bCs/>
          <w:sz w:val="22"/>
          <w:szCs w:val="22"/>
        </w:rPr>
      </w:pPr>
    </w:p>
    <w:p w:rsidR="00DE3C56" w:rsidRDefault="00B97C6B" w:rsidP="00DE3C56">
      <w:pPr>
        <w:widowControl/>
        <w:overflowPunct/>
        <w:textAlignment w:val="auto"/>
        <w:rPr>
          <w:rFonts w:ascii="Arial" w:hAnsi="Arial" w:cs="Arial"/>
          <w:bCs/>
          <w:sz w:val="22"/>
          <w:szCs w:val="22"/>
        </w:rPr>
      </w:pPr>
      <w:r>
        <w:rPr>
          <w:rFonts w:ascii="Arial" w:hAnsi="Arial" w:cs="Arial"/>
          <w:bCs/>
          <w:sz w:val="22"/>
          <w:szCs w:val="22"/>
        </w:rPr>
        <w:t>The primary criterion</w:t>
      </w:r>
      <w:r w:rsidR="00DE3C56">
        <w:rPr>
          <w:rFonts w:ascii="Arial" w:hAnsi="Arial" w:cs="Arial"/>
          <w:bCs/>
          <w:sz w:val="22"/>
          <w:szCs w:val="22"/>
        </w:rPr>
        <w:t xml:space="preserve"> for determining the </w:t>
      </w:r>
      <w:r w:rsidR="006E3C2E">
        <w:rPr>
          <w:rFonts w:ascii="Arial" w:hAnsi="Arial" w:cs="Arial"/>
          <w:bCs/>
          <w:sz w:val="22"/>
          <w:szCs w:val="22"/>
        </w:rPr>
        <w:t xml:space="preserve">minimum </w:t>
      </w:r>
      <w:r w:rsidR="00F4765B">
        <w:rPr>
          <w:rFonts w:ascii="Arial" w:hAnsi="Arial" w:cs="Arial"/>
          <w:bCs/>
          <w:sz w:val="22"/>
          <w:szCs w:val="22"/>
        </w:rPr>
        <w:t xml:space="preserve">target </w:t>
      </w:r>
      <w:r w:rsidR="006E3C2E">
        <w:rPr>
          <w:rFonts w:ascii="Arial" w:hAnsi="Arial" w:cs="Arial"/>
          <w:bCs/>
          <w:sz w:val="22"/>
          <w:szCs w:val="22"/>
        </w:rPr>
        <w:t xml:space="preserve">sample size </w:t>
      </w:r>
      <w:r w:rsidR="00F4765B">
        <w:rPr>
          <w:rFonts w:ascii="Arial" w:hAnsi="Arial" w:cs="Arial"/>
          <w:bCs/>
          <w:sz w:val="22"/>
          <w:szCs w:val="22"/>
        </w:rPr>
        <w:t>for th</w:t>
      </w:r>
      <w:r w:rsidR="00D279E3">
        <w:rPr>
          <w:rFonts w:ascii="Arial" w:hAnsi="Arial" w:cs="Arial"/>
          <w:bCs/>
          <w:sz w:val="22"/>
          <w:szCs w:val="22"/>
        </w:rPr>
        <w:t xml:space="preserve">e full yearlong </w:t>
      </w:r>
      <w:r w:rsidR="00DE3C56">
        <w:rPr>
          <w:rFonts w:ascii="Arial" w:hAnsi="Arial" w:cs="Arial"/>
          <w:bCs/>
          <w:sz w:val="22"/>
          <w:szCs w:val="22"/>
        </w:rPr>
        <w:t xml:space="preserve">survey was the ability to produce </w:t>
      </w:r>
      <w:r w:rsidR="00DE3C56" w:rsidRPr="009D6996">
        <w:rPr>
          <w:rFonts w:ascii="Arial" w:hAnsi="Arial" w:cs="Arial"/>
          <w:bCs/>
          <w:sz w:val="22"/>
          <w:szCs w:val="22"/>
        </w:rPr>
        <w:t xml:space="preserve">valid estimates </w:t>
      </w:r>
      <w:r w:rsidR="00DE3C56">
        <w:rPr>
          <w:rFonts w:ascii="Arial" w:hAnsi="Arial" w:cs="Arial"/>
          <w:bCs/>
          <w:sz w:val="22"/>
          <w:szCs w:val="22"/>
        </w:rPr>
        <w:t xml:space="preserve">for </w:t>
      </w:r>
      <w:r w:rsidR="00DE3C56" w:rsidRPr="009D6996">
        <w:rPr>
          <w:rFonts w:ascii="Arial" w:hAnsi="Arial" w:cs="Arial"/>
          <w:bCs/>
          <w:sz w:val="22"/>
          <w:szCs w:val="22"/>
        </w:rPr>
        <w:t xml:space="preserve">the national mean tip rate for each industry </w:t>
      </w:r>
      <w:r w:rsidR="00DE3C56">
        <w:rPr>
          <w:rFonts w:ascii="Arial" w:hAnsi="Arial" w:cs="Arial"/>
          <w:bCs/>
          <w:sz w:val="22"/>
          <w:szCs w:val="22"/>
        </w:rPr>
        <w:t xml:space="preserve">with </w:t>
      </w:r>
      <w:r w:rsidR="00DE3C56" w:rsidRPr="009D6996">
        <w:rPr>
          <w:rFonts w:ascii="Arial" w:hAnsi="Arial" w:cs="Arial"/>
          <w:bCs/>
          <w:sz w:val="22"/>
          <w:szCs w:val="22"/>
        </w:rPr>
        <w:t xml:space="preserve">a margin of error </w:t>
      </w:r>
      <w:r w:rsidR="00DE3C56">
        <w:rPr>
          <w:rFonts w:ascii="Arial" w:hAnsi="Arial" w:cs="Arial"/>
          <w:bCs/>
          <w:sz w:val="22"/>
          <w:szCs w:val="22"/>
        </w:rPr>
        <w:t xml:space="preserve">not </w:t>
      </w:r>
      <w:r w:rsidR="00DE3C56" w:rsidRPr="009D6996">
        <w:rPr>
          <w:rFonts w:ascii="Arial" w:hAnsi="Arial" w:cs="Arial"/>
          <w:bCs/>
          <w:sz w:val="22"/>
          <w:szCs w:val="22"/>
        </w:rPr>
        <w:t>exceed</w:t>
      </w:r>
      <w:r>
        <w:rPr>
          <w:rFonts w:ascii="Arial" w:hAnsi="Arial" w:cs="Arial"/>
          <w:bCs/>
          <w:sz w:val="22"/>
          <w:szCs w:val="22"/>
        </w:rPr>
        <w:t>ing</w:t>
      </w:r>
      <w:r w:rsidR="00DE3C56" w:rsidRPr="009D6996">
        <w:rPr>
          <w:rFonts w:ascii="Arial" w:hAnsi="Arial" w:cs="Arial"/>
          <w:bCs/>
          <w:sz w:val="22"/>
          <w:szCs w:val="22"/>
        </w:rPr>
        <w:t xml:space="preserve"> 2 percentage points.</w:t>
      </w:r>
      <w:r w:rsidR="00231BED">
        <w:rPr>
          <w:rFonts w:ascii="Arial" w:hAnsi="Arial" w:cs="Arial"/>
          <w:bCs/>
          <w:sz w:val="22"/>
          <w:szCs w:val="22"/>
        </w:rPr>
        <w:t xml:space="preserve"> </w:t>
      </w:r>
      <w:r w:rsidR="00DE3C56">
        <w:rPr>
          <w:rFonts w:ascii="Arial" w:hAnsi="Arial" w:cs="Arial"/>
          <w:bCs/>
          <w:sz w:val="22"/>
          <w:szCs w:val="22"/>
        </w:rPr>
        <w:t xml:space="preserve">Other </w:t>
      </w:r>
      <w:r w:rsidR="00D279E3">
        <w:rPr>
          <w:rFonts w:ascii="Arial" w:hAnsi="Arial" w:cs="Arial"/>
          <w:bCs/>
          <w:sz w:val="22"/>
          <w:szCs w:val="22"/>
        </w:rPr>
        <w:t>criteria</w:t>
      </w:r>
      <w:r w:rsidR="00DE3C56" w:rsidRPr="009D6996">
        <w:rPr>
          <w:rFonts w:ascii="Arial" w:hAnsi="Arial" w:cs="Arial"/>
          <w:bCs/>
          <w:sz w:val="22"/>
          <w:szCs w:val="22"/>
        </w:rPr>
        <w:t xml:space="preserve">, such as </w:t>
      </w:r>
      <w:r w:rsidR="00A808E8">
        <w:rPr>
          <w:rFonts w:ascii="Arial" w:hAnsi="Arial" w:cs="Arial"/>
          <w:bCs/>
          <w:sz w:val="22"/>
          <w:szCs w:val="22"/>
        </w:rPr>
        <w:t xml:space="preserve">the precision for analyses of </w:t>
      </w:r>
      <w:r w:rsidR="00DE3C56" w:rsidRPr="009D6996">
        <w:rPr>
          <w:rFonts w:ascii="Arial" w:hAnsi="Arial" w:cs="Arial"/>
          <w:bCs/>
          <w:sz w:val="22"/>
          <w:szCs w:val="22"/>
        </w:rPr>
        <w:t>seasonal effects or geographic differences among more frequently tipped industries, are of secondary importance and were not under consideration when determining minimum sample sizes.</w:t>
      </w:r>
      <w:r w:rsidR="00231BED">
        <w:rPr>
          <w:rFonts w:ascii="Arial" w:hAnsi="Arial" w:cs="Arial"/>
          <w:bCs/>
          <w:sz w:val="22"/>
          <w:szCs w:val="22"/>
        </w:rPr>
        <w:t xml:space="preserve"> </w:t>
      </w:r>
    </w:p>
    <w:p w:rsidR="00DE3C56" w:rsidRDefault="00DE3C56" w:rsidP="00DE3C56">
      <w:pPr>
        <w:widowControl/>
        <w:overflowPunct/>
        <w:textAlignment w:val="auto"/>
        <w:rPr>
          <w:rFonts w:ascii="Arial" w:hAnsi="Arial" w:cs="Arial"/>
          <w:bCs/>
          <w:sz w:val="22"/>
          <w:szCs w:val="22"/>
        </w:rPr>
      </w:pPr>
    </w:p>
    <w:p w:rsidR="00C065D0" w:rsidRPr="00C065D0" w:rsidRDefault="00DE3C56" w:rsidP="00B97C6B">
      <w:pPr>
        <w:widowControl/>
        <w:overflowPunct/>
        <w:textAlignment w:val="auto"/>
        <w:rPr>
          <w:rFonts w:ascii="Arial" w:hAnsi="Arial" w:cs="Arial"/>
          <w:bCs/>
          <w:sz w:val="22"/>
          <w:szCs w:val="22"/>
        </w:rPr>
      </w:pPr>
      <w:r w:rsidRPr="009D6996">
        <w:rPr>
          <w:rFonts w:ascii="Arial" w:hAnsi="Arial" w:cs="Arial"/>
          <w:bCs/>
          <w:sz w:val="22"/>
          <w:szCs w:val="22"/>
        </w:rPr>
        <w:t xml:space="preserve">In order to </w:t>
      </w:r>
      <w:r w:rsidR="00B97C6B">
        <w:rPr>
          <w:rFonts w:ascii="Arial" w:hAnsi="Arial" w:cs="Arial"/>
          <w:bCs/>
          <w:sz w:val="22"/>
          <w:szCs w:val="22"/>
        </w:rPr>
        <w:t xml:space="preserve">meet the desired </w:t>
      </w:r>
      <w:r w:rsidR="00A808E8">
        <w:rPr>
          <w:rFonts w:ascii="Arial" w:hAnsi="Arial" w:cs="Arial"/>
          <w:bCs/>
          <w:sz w:val="22"/>
          <w:szCs w:val="22"/>
        </w:rPr>
        <w:t>level of precision</w:t>
      </w:r>
      <w:r w:rsidR="00B97C6B">
        <w:rPr>
          <w:rFonts w:ascii="Arial" w:hAnsi="Arial" w:cs="Arial"/>
          <w:bCs/>
          <w:sz w:val="22"/>
          <w:szCs w:val="22"/>
        </w:rPr>
        <w:t xml:space="preserve">, it was determined necessary to have 1200 tipping occurrences per industry over the course of a year, or to average </w:t>
      </w:r>
      <w:r w:rsidRPr="009D6996">
        <w:rPr>
          <w:rFonts w:ascii="Arial" w:hAnsi="Arial" w:cs="Arial"/>
          <w:bCs/>
          <w:sz w:val="22"/>
          <w:szCs w:val="22"/>
        </w:rPr>
        <w:t xml:space="preserve">100 </w:t>
      </w:r>
      <w:r w:rsidR="00B97C6B">
        <w:rPr>
          <w:rFonts w:ascii="Arial" w:hAnsi="Arial" w:cs="Arial"/>
          <w:bCs/>
          <w:sz w:val="22"/>
          <w:szCs w:val="22"/>
        </w:rPr>
        <w:t xml:space="preserve">tipping occurrences </w:t>
      </w:r>
      <w:r w:rsidRPr="009D6996">
        <w:rPr>
          <w:rFonts w:ascii="Arial" w:hAnsi="Arial" w:cs="Arial"/>
          <w:bCs/>
          <w:sz w:val="22"/>
          <w:szCs w:val="22"/>
        </w:rPr>
        <w:t>per month</w:t>
      </w:r>
      <w:r w:rsidR="00B97C6B">
        <w:rPr>
          <w:rFonts w:ascii="Arial" w:hAnsi="Arial" w:cs="Arial"/>
          <w:bCs/>
          <w:sz w:val="22"/>
          <w:szCs w:val="22"/>
        </w:rPr>
        <w:t xml:space="preserve"> for each </w:t>
      </w:r>
      <w:r w:rsidRPr="009D6996">
        <w:rPr>
          <w:rFonts w:ascii="Arial" w:hAnsi="Arial" w:cs="Arial"/>
          <w:bCs/>
          <w:sz w:val="22"/>
          <w:szCs w:val="22"/>
        </w:rPr>
        <w:t>industry.</w:t>
      </w:r>
      <w:r w:rsidR="00231BED">
        <w:rPr>
          <w:rFonts w:ascii="Arial" w:hAnsi="Arial" w:cs="Arial"/>
          <w:bCs/>
          <w:sz w:val="22"/>
          <w:szCs w:val="22"/>
        </w:rPr>
        <w:t xml:space="preserve"> </w:t>
      </w:r>
      <w:r w:rsidR="00B97C6B">
        <w:rPr>
          <w:rFonts w:ascii="Arial" w:hAnsi="Arial" w:cs="Arial"/>
          <w:bCs/>
          <w:sz w:val="22"/>
          <w:szCs w:val="22"/>
        </w:rPr>
        <w:t>The table below shows the estimated number of completed surveys needed to produce a national mean tip rate with the desired level of precision for each industry</w:t>
      </w:r>
      <w:r w:rsidR="00DF03C8">
        <w:rPr>
          <w:rFonts w:ascii="Arial" w:hAnsi="Arial" w:cs="Arial"/>
          <w:bCs/>
          <w:sz w:val="22"/>
          <w:szCs w:val="22"/>
        </w:rPr>
        <w:t xml:space="preserve"> (shown in final column)</w:t>
      </w:r>
      <w:r w:rsidR="00B97C6B">
        <w:rPr>
          <w:rFonts w:ascii="Arial" w:hAnsi="Arial" w:cs="Arial"/>
          <w:bCs/>
          <w:sz w:val="22"/>
          <w:szCs w:val="22"/>
        </w:rPr>
        <w:t>.</w:t>
      </w:r>
      <w:r w:rsidR="00231BED">
        <w:rPr>
          <w:rFonts w:ascii="Arial" w:hAnsi="Arial" w:cs="Arial"/>
          <w:bCs/>
          <w:sz w:val="22"/>
          <w:szCs w:val="22"/>
        </w:rPr>
        <w:t xml:space="preserve"> </w:t>
      </w:r>
      <w:r w:rsidR="00B97C6B">
        <w:rPr>
          <w:rFonts w:ascii="Arial" w:hAnsi="Arial" w:cs="Arial"/>
          <w:bCs/>
          <w:sz w:val="22"/>
          <w:szCs w:val="22"/>
        </w:rPr>
        <w:t xml:space="preserve">These </w:t>
      </w:r>
      <w:r w:rsidR="009D6996" w:rsidRPr="009D6996">
        <w:rPr>
          <w:rFonts w:ascii="Arial" w:hAnsi="Arial" w:cs="Arial"/>
          <w:bCs/>
          <w:sz w:val="22"/>
          <w:szCs w:val="22"/>
        </w:rPr>
        <w:t xml:space="preserve">estimates were determined using incidence rates of voluntarily tipped occasions obtained during the pilot study from the Ipsos, non-probability sample. These incidence rates are higher </w:t>
      </w:r>
      <w:r w:rsidR="009D6996">
        <w:rPr>
          <w:rFonts w:ascii="Arial" w:hAnsi="Arial" w:cs="Arial"/>
          <w:bCs/>
          <w:sz w:val="22"/>
          <w:szCs w:val="22"/>
        </w:rPr>
        <w:t>than indicated in other sources</w:t>
      </w:r>
      <w:r w:rsidR="009D6996" w:rsidRPr="009D6996">
        <w:rPr>
          <w:rFonts w:ascii="Arial" w:hAnsi="Arial" w:cs="Arial"/>
          <w:bCs/>
          <w:sz w:val="22"/>
          <w:szCs w:val="22"/>
        </w:rPr>
        <w:t xml:space="preserve">, and thus will result in data for more tipping incidences for a given sample. However, given that the pilot study was undertaken for one summer month, the incidence rate may not be representative of what would be obtained from a yearlong fielding period. Consequently, </w:t>
      </w:r>
      <w:r w:rsidR="006E3C2E">
        <w:rPr>
          <w:rFonts w:ascii="Arial" w:hAnsi="Arial" w:cs="Arial"/>
          <w:bCs/>
          <w:sz w:val="22"/>
          <w:szCs w:val="22"/>
        </w:rPr>
        <w:t xml:space="preserve">to be conservative, </w:t>
      </w:r>
      <w:r w:rsidR="009D6996" w:rsidRPr="009D6996">
        <w:rPr>
          <w:rFonts w:ascii="Arial" w:hAnsi="Arial" w:cs="Arial"/>
          <w:bCs/>
          <w:sz w:val="22"/>
          <w:szCs w:val="22"/>
        </w:rPr>
        <w:t>the incidence rates in the tables should be interpreted as an upper bound, particularly for transaction types such as “Hotel/motel” and “Casino” which are likely to display substantial seasonal variation.</w:t>
      </w:r>
      <w:r w:rsidR="00231BED">
        <w:rPr>
          <w:rFonts w:ascii="Arial" w:hAnsi="Arial" w:cs="Arial"/>
          <w:bCs/>
          <w:sz w:val="22"/>
          <w:szCs w:val="22"/>
        </w:rPr>
        <w:t xml:space="preserve"> </w:t>
      </w:r>
      <w:r w:rsidR="00B97C6B">
        <w:rPr>
          <w:rFonts w:ascii="Arial" w:hAnsi="Arial" w:cs="Arial"/>
          <w:bCs/>
          <w:sz w:val="22"/>
          <w:szCs w:val="22"/>
        </w:rPr>
        <w:t xml:space="preserve"> As shown, the industry with the lowest </w:t>
      </w:r>
      <w:r w:rsidR="00376DEB">
        <w:rPr>
          <w:rFonts w:ascii="Arial" w:hAnsi="Arial" w:cs="Arial"/>
          <w:bCs/>
          <w:sz w:val="22"/>
          <w:szCs w:val="22"/>
        </w:rPr>
        <w:t>incidence is “Moving or household maintenance services” and the number of completed survey responses necessary to produce a mean tip rate for that industry with a margin of error of 2 percentage points or less is 57,143.</w:t>
      </w:r>
      <w:r w:rsidR="00231BED">
        <w:rPr>
          <w:rFonts w:ascii="Arial" w:hAnsi="Arial" w:cs="Arial"/>
          <w:bCs/>
          <w:sz w:val="22"/>
          <w:szCs w:val="22"/>
        </w:rPr>
        <w:t xml:space="preserve"> </w:t>
      </w:r>
      <w:r w:rsidR="00231BED" w:rsidRPr="00231BED">
        <w:rPr>
          <w:rFonts w:ascii="Arial" w:hAnsi="Arial" w:cs="Arial"/>
          <w:bCs/>
          <w:sz w:val="22"/>
          <w:szCs w:val="22"/>
        </w:rPr>
        <w:t>This has determined our target sample size for the full yearlong survey, which is 60,000 completed responses.</w:t>
      </w:r>
    </w:p>
    <w:p w:rsidR="00C065D0" w:rsidRDefault="00C065D0" w:rsidP="00C065D0"/>
    <w:p w:rsidR="00C065D0" w:rsidRDefault="00C065D0" w:rsidP="00EE255F">
      <w:pPr>
        <w:keepNext/>
        <w:jc w:val="center"/>
        <w:rPr>
          <w:rFonts w:ascii="Franklin Gothic Book" w:hAnsi="Franklin Gothic Book"/>
          <w:b/>
          <w:bCs/>
          <w:color w:val="000000"/>
        </w:rPr>
      </w:pPr>
      <w:r>
        <w:rPr>
          <w:rFonts w:ascii="Franklin Gothic Book" w:hAnsi="Franklin Gothic Book"/>
          <w:b/>
          <w:bCs/>
          <w:color w:val="000000"/>
        </w:rPr>
        <w:lastRenderedPageBreak/>
        <w:t>Estimated Annual Tipped Occurrence – Ipsos Pilot Study Data (N=7,050)</w:t>
      </w:r>
    </w:p>
    <w:tbl>
      <w:tblPr>
        <w:tblW w:w="7343" w:type="dxa"/>
        <w:jc w:val="center"/>
        <w:tblInd w:w="-432" w:type="dxa"/>
        <w:tblCellMar>
          <w:left w:w="0" w:type="dxa"/>
          <w:right w:w="0" w:type="dxa"/>
        </w:tblCellMar>
        <w:tblLook w:val="04A0" w:firstRow="1" w:lastRow="0" w:firstColumn="1" w:lastColumn="0" w:noHBand="0" w:noVBand="1"/>
      </w:tblPr>
      <w:tblGrid>
        <w:gridCol w:w="2562"/>
        <w:gridCol w:w="1113"/>
        <w:gridCol w:w="357"/>
        <w:gridCol w:w="798"/>
        <w:gridCol w:w="316"/>
        <w:gridCol w:w="723"/>
        <w:gridCol w:w="435"/>
        <w:gridCol w:w="1039"/>
      </w:tblGrid>
      <w:tr w:rsidR="00674213" w:rsidTr="00674213">
        <w:trPr>
          <w:jc w:val="center"/>
        </w:trPr>
        <w:tc>
          <w:tcPr>
            <w:tcW w:w="4032" w:type="dxa"/>
            <w:gridSpan w:val="3"/>
            <w:tcBorders>
              <w:top w:val="nil"/>
              <w:left w:val="single" w:sz="8" w:space="0" w:color="auto"/>
              <w:bottom w:val="single" w:sz="8" w:space="0" w:color="auto"/>
              <w:right w:val="single" w:sz="8" w:space="0" w:color="auto"/>
            </w:tcBorders>
            <w:shd w:val="clear" w:color="auto" w:fill="F79646"/>
            <w:tcMar>
              <w:top w:w="0" w:type="dxa"/>
              <w:left w:w="108" w:type="dxa"/>
              <w:bottom w:w="0" w:type="dxa"/>
              <w:right w:w="108" w:type="dxa"/>
            </w:tcMar>
            <w:vAlign w:val="bottom"/>
          </w:tcPr>
          <w:p w:rsidR="00674213" w:rsidRDefault="00674213" w:rsidP="00EE255F">
            <w:pPr>
              <w:keepNext/>
              <w:rPr>
                <w:rFonts w:ascii="Franklin Gothic Book" w:eastAsiaTheme="minorHAnsi" w:hAnsi="Franklin Gothic Book"/>
                <w:color w:val="FFFFFF"/>
                <w:sz w:val="18"/>
                <w:szCs w:val="18"/>
              </w:rPr>
            </w:pPr>
          </w:p>
        </w:tc>
        <w:tc>
          <w:tcPr>
            <w:tcW w:w="1114" w:type="dxa"/>
            <w:gridSpan w:val="2"/>
            <w:tcBorders>
              <w:top w:val="nil"/>
              <w:left w:val="nil"/>
              <w:bottom w:val="single" w:sz="8" w:space="0" w:color="auto"/>
              <w:right w:val="single" w:sz="8" w:space="0" w:color="auto"/>
            </w:tcBorders>
            <w:shd w:val="clear" w:color="auto" w:fill="F79646"/>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FFFFFF"/>
                <w:sz w:val="16"/>
                <w:szCs w:val="16"/>
              </w:rPr>
            </w:pPr>
            <w:r>
              <w:rPr>
                <w:rFonts w:ascii="Franklin Gothic Book" w:hAnsi="Franklin Gothic Book"/>
                <w:b/>
                <w:bCs/>
                <w:color w:val="FFFFFF"/>
                <w:sz w:val="16"/>
                <w:szCs w:val="16"/>
              </w:rPr>
              <w:t>Occasions per year</w:t>
            </w:r>
          </w:p>
        </w:tc>
        <w:tc>
          <w:tcPr>
            <w:tcW w:w="1158" w:type="dxa"/>
            <w:gridSpan w:val="2"/>
            <w:tcBorders>
              <w:top w:val="nil"/>
              <w:left w:val="nil"/>
              <w:bottom w:val="single" w:sz="8" w:space="0" w:color="auto"/>
              <w:right w:val="single" w:sz="8" w:space="0" w:color="auto"/>
            </w:tcBorders>
            <w:shd w:val="clear" w:color="auto" w:fill="F79646"/>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FFFFFF"/>
                <w:sz w:val="16"/>
                <w:szCs w:val="16"/>
              </w:rPr>
            </w:pPr>
            <w:r>
              <w:rPr>
                <w:rFonts w:ascii="Franklin Gothic Book" w:hAnsi="Franklin Gothic Book"/>
                <w:b/>
                <w:bCs/>
                <w:color w:val="FFFFFF"/>
                <w:sz w:val="16"/>
                <w:szCs w:val="16"/>
              </w:rPr>
              <w:t>Likelihood per day</w:t>
            </w:r>
          </w:p>
        </w:tc>
        <w:tc>
          <w:tcPr>
            <w:tcW w:w="1039" w:type="dxa"/>
            <w:tcBorders>
              <w:top w:val="nil"/>
              <w:left w:val="nil"/>
              <w:bottom w:val="single" w:sz="8" w:space="0" w:color="auto"/>
              <w:right w:val="single" w:sz="8" w:space="0" w:color="auto"/>
            </w:tcBorders>
            <w:shd w:val="clear" w:color="auto" w:fill="F79646"/>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FFFFFF"/>
                <w:sz w:val="16"/>
                <w:szCs w:val="16"/>
              </w:rPr>
            </w:pPr>
            <w:r>
              <w:rPr>
                <w:rFonts w:ascii="Franklin Gothic Book" w:hAnsi="Franklin Gothic Book"/>
                <w:b/>
                <w:bCs/>
                <w:color w:val="FFFFFF"/>
                <w:sz w:val="16"/>
                <w:szCs w:val="16"/>
              </w:rPr>
              <w:t>Required sample for 1,200</w:t>
            </w:r>
          </w:p>
        </w:tc>
      </w:tr>
      <w:tr w:rsidR="00674213" w:rsidTr="00674213">
        <w:trPr>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Restaurant or other prepared food/drink service</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120.5</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0.330</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3</w:t>
            </w:r>
            <w:r>
              <w:rPr>
                <w:rFonts w:ascii="Franklin Gothic Book" w:hAnsi="Franklin Gothic Book"/>
                <w:b/>
                <w:bCs/>
                <w:color w:val="1F497D"/>
                <w:sz w:val="16"/>
                <w:szCs w:val="16"/>
              </w:rPr>
              <w:t>,</w:t>
            </w:r>
            <w:r>
              <w:rPr>
                <w:rFonts w:ascii="Franklin Gothic Book" w:hAnsi="Franklin Gothic Book"/>
                <w:b/>
                <w:bCs/>
                <w:color w:val="000000"/>
                <w:sz w:val="16"/>
                <w:szCs w:val="16"/>
              </w:rPr>
              <w:t>636</w:t>
            </w:r>
          </w:p>
        </w:tc>
      </w:tr>
      <w:tr w:rsidR="00674213" w:rsidTr="00674213">
        <w:trPr>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Hotel/motel</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10.6</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0.029</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41</w:t>
            </w:r>
            <w:r>
              <w:rPr>
                <w:rFonts w:ascii="Franklin Gothic Book" w:hAnsi="Franklin Gothic Book"/>
                <w:b/>
                <w:bCs/>
                <w:color w:val="1F497D"/>
                <w:sz w:val="16"/>
                <w:szCs w:val="16"/>
              </w:rPr>
              <w:t>,</w:t>
            </w:r>
            <w:r>
              <w:rPr>
                <w:rFonts w:ascii="Franklin Gothic Book" w:hAnsi="Franklin Gothic Book"/>
                <w:b/>
                <w:bCs/>
                <w:color w:val="000000"/>
                <w:sz w:val="16"/>
                <w:szCs w:val="16"/>
              </w:rPr>
              <w:t>379</w:t>
            </w:r>
          </w:p>
        </w:tc>
      </w:tr>
      <w:tr w:rsidR="00674213" w:rsidTr="00674213">
        <w:trPr>
          <w:trHeight w:val="395"/>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Personal grooming, beauty, or massage services</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35.0</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0.096</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12</w:t>
            </w:r>
            <w:r>
              <w:rPr>
                <w:rFonts w:ascii="Franklin Gothic Book" w:hAnsi="Franklin Gothic Book"/>
                <w:b/>
                <w:bCs/>
                <w:color w:val="1F497D"/>
                <w:sz w:val="16"/>
                <w:szCs w:val="16"/>
              </w:rPr>
              <w:t>,</w:t>
            </w:r>
            <w:r>
              <w:rPr>
                <w:rFonts w:ascii="Franklin Gothic Book" w:hAnsi="Franklin Gothic Book"/>
                <w:b/>
                <w:bCs/>
                <w:color w:val="000000"/>
                <w:sz w:val="16"/>
                <w:szCs w:val="16"/>
              </w:rPr>
              <w:t>500</w:t>
            </w:r>
          </w:p>
        </w:tc>
      </w:tr>
      <w:tr w:rsidR="00674213" w:rsidTr="00674213">
        <w:trPr>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Moving or household maintenance services</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7.7</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0.021</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57</w:t>
            </w:r>
            <w:r>
              <w:rPr>
                <w:rFonts w:ascii="Franklin Gothic Book" w:hAnsi="Franklin Gothic Book"/>
                <w:b/>
                <w:bCs/>
                <w:color w:val="1F497D"/>
                <w:sz w:val="16"/>
                <w:szCs w:val="16"/>
              </w:rPr>
              <w:t>,</w:t>
            </w:r>
            <w:r>
              <w:rPr>
                <w:rFonts w:ascii="Franklin Gothic Book" w:hAnsi="Franklin Gothic Book"/>
                <w:b/>
                <w:bCs/>
                <w:color w:val="000000"/>
                <w:sz w:val="16"/>
                <w:szCs w:val="16"/>
              </w:rPr>
              <w:t>143</w:t>
            </w:r>
          </w:p>
        </w:tc>
      </w:tr>
      <w:tr w:rsidR="00674213" w:rsidTr="00674213">
        <w:trPr>
          <w:trHeight w:val="395"/>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Casino</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12.0</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0.033</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36</w:t>
            </w:r>
            <w:r>
              <w:rPr>
                <w:rFonts w:ascii="Franklin Gothic Book" w:hAnsi="Franklin Gothic Book"/>
                <w:b/>
                <w:bCs/>
                <w:color w:val="1F497D"/>
                <w:sz w:val="16"/>
                <w:szCs w:val="16"/>
              </w:rPr>
              <w:t>,</w:t>
            </w:r>
            <w:r>
              <w:rPr>
                <w:rFonts w:ascii="Franklin Gothic Book" w:hAnsi="Franklin Gothic Book"/>
                <w:b/>
                <w:bCs/>
                <w:color w:val="000000"/>
                <w:sz w:val="16"/>
                <w:szCs w:val="16"/>
              </w:rPr>
              <w:t>364</w:t>
            </w:r>
          </w:p>
        </w:tc>
      </w:tr>
      <w:tr w:rsidR="00674213" w:rsidTr="00674213">
        <w:trPr>
          <w:trHeight w:val="431"/>
          <w:jc w:val="center"/>
        </w:trPr>
        <w:tc>
          <w:tcPr>
            <w:tcW w:w="403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rPr>
                <w:rFonts w:ascii="Franklin Gothic Book" w:eastAsiaTheme="minorHAnsi" w:hAnsi="Franklin Gothic Book"/>
                <w:sz w:val="18"/>
                <w:szCs w:val="18"/>
              </w:rPr>
            </w:pPr>
            <w:r>
              <w:rPr>
                <w:rFonts w:ascii="Franklin Gothic Book" w:hAnsi="Franklin Gothic Book"/>
                <w:color w:val="000000"/>
                <w:sz w:val="18"/>
                <w:szCs w:val="18"/>
              </w:rPr>
              <w:t>Taxi, limousine, rideshare, or shuttle service</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color w:val="000000"/>
                <w:sz w:val="16"/>
                <w:szCs w:val="16"/>
              </w:rPr>
              <w:t>13.1</w:t>
            </w:r>
          </w:p>
        </w:tc>
        <w:tc>
          <w:tcPr>
            <w:tcW w:w="11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sz w:val="16"/>
                <w:szCs w:val="16"/>
              </w:rPr>
            </w:pPr>
            <w:r>
              <w:rPr>
                <w:rFonts w:ascii="Franklin Gothic Book" w:hAnsi="Franklin Gothic Book"/>
                <w:b/>
                <w:bCs/>
                <w:color w:val="000000"/>
                <w:sz w:val="16"/>
                <w:szCs w:val="16"/>
              </w:rPr>
              <w:t>0.036</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4213" w:rsidRDefault="00674213" w:rsidP="00EE255F">
            <w:pPr>
              <w:keepNext/>
              <w:jc w:val="center"/>
              <w:rPr>
                <w:rFonts w:ascii="Franklin Gothic Book" w:eastAsiaTheme="minorHAnsi" w:hAnsi="Franklin Gothic Book"/>
                <w:b/>
                <w:bCs/>
                <w:color w:val="000000"/>
                <w:sz w:val="16"/>
                <w:szCs w:val="16"/>
              </w:rPr>
            </w:pPr>
            <w:r>
              <w:rPr>
                <w:rFonts w:ascii="Franklin Gothic Book" w:hAnsi="Franklin Gothic Book"/>
                <w:b/>
                <w:bCs/>
                <w:color w:val="000000"/>
                <w:sz w:val="16"/>
                <w:szCs w:val="16"/>
              </w:rPr>
              <w:t>33</w:t>
            </w:r>
            <w:r>
              <w:rPr>
                <w:rFonts w:ascii="Franklin Gothic Book" w:hAnsi="Franklin Gothic Book"/>
                <w:b/>
                <w:bCs/>
                <w:color w:val="1F497D"/>
                <w:sz w:val="16"/>
                <w:szCs w:val="16"/>
              </w:rPr>
              <w:t>,</w:t>
            </w:r>
            <w:r>
              <w:rPr>
                <w:rFonts w:ascii="Franklin Gothic Book" w:hAnsi="Franklin Gothic Book"/>
                <w:b/>
                <w:bCs/>
                <w:color w:val="000000"/>
                <w:sz w:val="16"/>
                <w:szCs w:val="16"/>
              </w:rPr>
              <w:t>333</w:t>
            </w:r>
          </w:p>
        </w:tc>
      </w:tr>
      <w:tr w:rsidR="00674213" w:rsidTr="00674213">
        <w:trPr>
          <w:gridAfter w:val="2"/>
          <w:wAfter w:w="1474" w:type="dxa"/>
          <w:jc w:val="center"/>
        </w:trPr>
        <w:tc>
          <w:tcPr>
            <w:tcW w:w="2562" w:type="dxa"/>
            <w:vAlign w:val="center"/>
            <w:hideMark/>
          </w:tcPr>
          <w:p w:rsidR="00674213" w:rsidRDefault="00674213" w:rsidP="00EE255F">
            <w:pPr>
              <w:keepNext/>
              <w:rPr>
                <w:sz w:val="20"/>
              </w:rPr>
            </w:pPr>
          </w:p>
        </w:tc>
        <w:tc>
          <w:tcPr>
            <w:tcW w:w="1113" w:type="dxa"/>
            <w:vAlign w:val="center"/>
            <w:hideMark/>
          </w:tcPr>
          <w:p w:rsidR="00674213" w:rsidRDefault="00674213" w:rsidP="00EE255F">
            <w:pPr>
              <w:keepNext/>
              <w:rPr>
                <w:sz w:val="20"/>
              </w:rPr>
            </w:pPr>
          </w:p>
        </w:tc>
        <w:tc>
          <w:tcPr>
            <w:tcW w:w="1155" w:type="dxa"/>
            <w:gridSpan w:val="2"/>
            <w:vAlign w:val="center"/>
            <w:hideMark/>
          </w:tcPr>
          <w:p w:rsidR="00674213" w:rsidRDefault="00674213" w:rsidP="00EE255F">
            <w:pPr>
              <w:keepNext/>
              <w:rPr>
                <w:sz w:val="20"/>
              </w:rPr>
            </w:pPr>
          </w:p>
        </w:tc>
        <w:tc>
          <w:tcPr>
            <w:tcW w:w="1039" w:type="dxa"/>
            <w:gridSpan w:val="2"/>
            <w:vAlign w:val="center"/>
            <w:hideMark/>
          </w:tcPr>
          <w:p w:rsidR="00674213" w:rsidRDefault="00674213" w:rsidP="00EE255F">
            <w:pPr>
              <w:keepNext/>
              <w:rPr>
                <w:sz w:val="20"/>
              </w:rPr>
            </w:pPr>
          </w:p>
        </w:tc>
      </w:tr>
    </w:tbl>
    <w:p w:rsidR="00C065D0" w:rsidRDefault="00C065D0" w:rsidP="00C065D0">
      <w:pPr>
        <w:ind w:left="360"/>
        <w:rPr>
          <w:rFonts w:ascii="Arial" w:hAnsi="Arial" w:cs="Arial"/>
          <w:sz w:val="22"/>
          <w:szCs w:val="22"/>
          <w:u w:val="single"/>
        </w:rPr>
      </w:pPr>
    </w:p>
    <w:p w:rsidR="00C065D0" w:rsidRDefault="00C065D0" w:rsidP="008041E2">
      <w:pPr>
        <w:widowControl/>
        <w:overflowPunct/>
        <w:textAlignment w:val="auto"/>
        <w:rPr>
          <w:rFonts w:ascii="Arial" w:hAnsi="Arial" w:cs="Arial"/>
          <w:bCs/>
          <w:sz w:val="22"/>
          <w:szCs w:val="22"/>
        </w:rPr>
      </w:pPr>
    </w:p>
    <w:p w:rsidR="00C065D0" w:rsidRDefault="00C065D0" w:rsidP="008041E2">
      <w:pPr>
        <w:widowControl/>
        <w:overflowPunct/>
        <w:textAlignment w:val="auto"/>
        <w:rPr>
          <w:rFonts w:ascii="Arial" w:hAnsi="Arial" w:cs="Arial"/>
          <w:bCs/>
          <w:sz w:val="22"/>
          <w:szCs w:val="22"/>
        </w:rPr>
      </w:pPr>
    </w:p>
    <w:p w:rsidR="00673FD0" w:rsidRPr="00314FCD" w:rsidRDefault="006F394B" w:rsidP="008041E2">
      <w:pPr>
        <w:widowControl/>
        <w:overflowPunct/>
        <w:textAlignment w:val="auto"/>
        <w:rPr>
          <w:rFonts w:ascii="Arial" w:hAnsi="Arial" w:cs="Arial"/>
          <w:bCs/>
          <w:sz w:val="22"/>
          <w:szCs w:val="22"/>
        </w:rPr>
      </w:pPr>
      <w:r>
        <w:rPr>
          <w:rFonts w:ascii="Arial" w:hAnsi="Arial" w:cs="Arial"/>
          <w:bCs/>
          <w:sz w:val="22"/>
          <w:szCs w:val="22"/>
        </w:rPr>
        <w:t xml:space="preserve">To mitigate potential bias in the mean tipping rate, a post-stratification procedure will be </w:t>
      </w:r>
      <w:r w:rsidR="00FC04DE">
        <w:rPr>
          <w:rFonts w:ascii="Arial" w:hAnsi="Arial" w:cs="Arial"/>
          <w:bCs/>
          <w:sz w:val="22"/>
          <w:szCs w:val="22"/>
        </w:rPr>
        <w:t xml:space="preserve">applied to the </w:t>
      </w:r>
      <w:r w:rsidR="007E617B">
        <w:rPr>
          <w:rFonts w:ascii="Arial" w:hAnsi="Arial" w:cs="Arial"/>
          <w:bCs/>
          <w:sz w:val="22"/>
          <w:szCs w:val="22"/>
        </w:rPr>
        <w:t xml:space="preserve">full fielding </w:t>
      </w:r>
      <w:r w:rsidR="00FC04DE">
        <w:rPr>
          <w:rFonts w:ascii="Arial" w:hAnsi="Arial" w:cs="Arial"/>
          <w:bCs/>
          <w:sz w:val="22"/>
          <w:szCs w:val="22"/>
        </w:rPr>
        <w:t>data</w:t>
      </w:r>
      <w:r>
        <w:rPr>
          <w:rFonts w:ascii="Arial" w:hAnsi="Arial" w:cs="Arial"/>
          <w:bCs/>
          <w:sz w:val="22"/>
          <w:szCs w:val="22"/>
        </w:rPr>
        <w:t xml:space="preserve"> such that the weighted sample of respondents will match the adult U.S. population with respect to gender, age, education, race/ethnicity, income, the fraction of the respondent’s county which is foreign born, the rural/urban status of the respondent’s county, and census division. </w:t>
      </w:r>
      <w:r w:rsidR="003B2BD5">
        <w:rPr>
          <w:rFonts w:ascii="Arial" w:hAnsi="Arial" w:cs="Arial"/>
          <w:bCs/>
          <w:sz w:val="22"/>
          <w:szCs w:val="22"/>
        </w:rPr>
        <w:t xml:space="preserve">To account for </w:t>
      </w:r>
      <w:r w:rsidR="00FC04DE">
        <w:rPr>
          <w:rFonts w:ascii="Arial" w:hAnsi="Arial" w:cs="Arial"/>
          <w:bCs/>
          <w:sz w:val="22"/>
          <w:szCs w:val="22"/>
        </w:rPr>
        <w:t>any</w:t>
      </w:r>
      <w:r w:rsidR="003B2BD5">
        <w:rPr>
          <w:rFonts w:ascii="Arial" w:hAnsi="Arial" w:cs="Arial"/>
          <w:bCs/>
          <w:sz w:val="22"/>
          <w:szCs w:val="22"/>
        </w:rPr>
        <w:t xml:space="preserve"> effects </w:t>
      </w:r>
      <w:r w:rsidR="00376DEB">
        <w:rPr>
          <w:rFonts w:ascii="Arial" w:hAnsi="Arial" w:cs="Arial"/>
          <w:bCs/>
          <w:sz w:val="22"/>
          <w:szCs w:val="22"/>
        </w:rPr>
        <w:t xml:space="preserve">the </w:t>
      </w:r>
      <w:r w:rsidR="003B2BD5">
        <w:rPr>
          <w:rFonts w:ascii="Arial" w:hAnsi="Arial" w:cs="Arial"/>
          <w:bCs/>
          <w:sz w:val="22"/>
          <w:szCs w:val="22"/>
        </w:rPr>
        <w:t xml:space="preserve">date of the transaction </w:t>
      </w:r>
      <w:r w:rsidR="00FC04DE">
        <w:rPr>
          <w:rFonts w:ascii="Arial" w:hAnsi="Arial" w:cs="Arial"/>
          <w:bCs/>
          <w:sz w:val="22"/>
          <w:szCs w:val="22"/>
        </w:rPr>
        <w:t xml:space="preserve">might have </w:t>
      </w:r>
      <w:r w:rsidR="003B2BD5">
        <w:rPr>
          <w:rFonts w:ascii="Arial" w:hAnsi="Arial" w:cs="Arial"/>
          <w:bCs/>
          <w:sz w:val="22"/>
          <w:szCs w:val="22"/>
        </w:rPr>
        <w:t>on both tips and response rates</w:t>
      </w:r>
      <w:r w:rsidR="00FC04DE">
        <w:rPr>
          <w:rFonts w:ascii="Arial" w:hAnsi="Arial" w:cs="Arial"/>
          <w:bCs/>
          <w:sz w:val="22"/>
          <w:szCs w:val="22"/>
        </w:rPr>
        <w:t>, and thus on estimate bias</w:t>
      </w:r>
      <w:r w:rsidR="003B2BD5">
        <w:rPr>
          <w:rFonts w:ascii="Arial" w:hAnsi="Arial" w:cs="Arial"/>
          <w:bCs/>
          <w:sz w:val="22"/>
          <w:szCs w:val="22"/>
        </w:rPr>
        <w:t xml:space="preserve">, the post-stratification procedure may also give larger weight to respondents </w:t>
      </w:r>
      <w:r w:rsidR="00FC04DE">
        <w:rPr>
          <w:rFonts w:ascii="Arial" w:hAnsi="Arial" w:cs="Arial"/>
          <w:bCs/>
          <w:sz w:val="22"/>
          <w:szCs w:val="22"/>
        </w:rPr>
        <w:t>whose period of recall takes place during</w:t>
      </w:r>
      <w:r w:rsidR="003B2BD5">
        <w:rPr>
          <w:rFonts w:ascii="Arial" w:hAnsi="Arial" w:cs="Arial"/>
          <w:bCs/>
          <w:sz w:val="22"/>
          <w:szCs w:val="22"/>
        </w:rPr>
        <w:t xml:space="preserve"> months and/or days of the week which are underrepresented in the </w:t>
      </w:r>
      <w:r w:rsidR="00FC04DE">
        <w:rPr>
          <w:rFonts w:ascii="Arial" w:hAnsi="Arial" w:cs="Arial"/>
          <w:bCs/>
          <w:sz w:val="22"/>
          <w:szCs w:val="22"/>
        </w:rPr>
        <w:t>survey. This</w:t>
      </w:r>
      <w:r>
        <w:rPr>
          <w:rFonts w:ascii="Arial" w:hAnsi="Arial" w:cs="Arial"/>
          <w:bCs/>
          <w:sz w:val="22"/>
          <w:szCs w:val="22"/>
        </w:rPr>
        <w:t xml:space="preserve"> weighted samp</w:t>
      </w:r>
      <w:r w:rsidR="003B2BD5">
        <w:rPr>
          <w:rFonts w:ascii="Arial" w:hAnsi="Arial" w:cs="Arial"/>
          <w:bCs/>
          <w:sz w:val="22"/>
          <w:szCs w:val="22"/>
        </w:rPr>
        <w:t xml:space="preserve">le of respondents will then be </w:t>
      </w:r>
      <w:r>
        <w:rPr>
          <w:rFonts w:ascii="Arial" w:hAnsi="Arial" w:cs="Arial"/>
          <w:bCs/>
          <w:sz w:val="22"/>
          <w:szCs w:val="22"/>
        </w:rPr>
        <w:t>weighted by the respondent’s expected number of tipped transaction</w:t>
      </w:r>
      <w:r w:rsidR="00FC04DE">
        <w:rPr>
          <w:rFonts w:ascii="Arial" w:hAnsi="Arial" w:cs="Arial"/>
          <w:bCs/>
          <w:sz w:val="22"/>
          <w:szCs w:val="22"/>
        </w:rPr>
        <w:t>s</w:t>
      </w:r>
      <w:r>
        <w:rPr>
          <w:rFonts w:ascii="Arial" w:hAnsi="Arial" w:cs="Arial"/>
          <w:bCs/>
          <w:sz w:val="22"/>
          <w:szCs w:val="22"/>
        </w:rPr>
        <w:t xml:space="preserve"> such that the mean tipped rate is representative of all tipped transactions.</w:t>
      </w:r>
      <w:r w:rsidR="003B2BD5">
        <w:rPr>
          <w:rFonts w:ascii="Arial" w:hAnsi="Arial" w:cs="Arial"/>
          <w:bCs/>
          <w:sz w:val="22"/>
          <w:szCs w:val="22"/>
        </w:rPr>
        <w:t xml:space="preserve"> </w:t>
      </w:r>
    </w:p>
    <w:p w:rsidR="00B670ED" w:rsidRDefault="0092592E" w:rsidP="006D072A">
      <w:pPr>
        <w:rPr>
          <w:rFonts w:ascii="Arial" w:hAnsi="Arial" w:cs="Arial"/>
          <w:sz w:val="22"/>
          <w:szCs w:val="22"/>
        </w:rPr>
      </w:pPr>
      <w:r>
        <w:rPr>
          <w:rFonts w:ascii="Arial" w:hAnsi="Arial" w:cs="Arial"/>
          <w:sz w:val="22"/>
          <w:szCs w:val="22"/>
        </w:rPr>
        <w:t xml:space="preserve"> </w:t>
      </w:r>
    </w:p>
    <w:p w:rsidR="006D072A" w:rsidRPr="006071A3" w:rsidRDefault="00B661D3" w:rsidP="006D072A">
      <w:pPr>
        <w:rPr>
          <w:rFonts w:ascii="Arial" w:hAnsi="Arial" w:cs="Arial"/>
          <w:sz w:val="22"/>
          <w:szCs w:val="22"/>
        </w:rPr>
      </w:pPr>
      <w:r>
        <w:rPr>
          <w:rFonts w:ascii="Arial" w:hAnsi="Arial" w:cs="Arial"/>
          <w:bCs/>
          <w:sz w:val="22"/>
          <w:szCs w:val="22"/>
        </w:rPr>
        <w:t xml:space="preserve">Prior to </w:t>
      </w:r>
      <w:r w:rsidR="00376DEB">
        <w:rPr>
          <w:rFonts w:ascii="Arial" w:hAnsi="Arial" w:cs="Arial"/>
          <w:bCs/>
          <w:sz w:val="22"/>
          <w:szCs w:val="22"/>
        </w:rPr>
        <w:t xml:space="preserve">the </w:t>
      </w:r>
      <w:r w:rsidR="00157151">
        <w:rPr>
          <w:rFonts w:ascii="Arial" w:hAnsi="Arial" w:cs="Arial"/>
          <w:bCs/>
          <w:sz w:val="22"/>
          <w:szCs w:val="22"/>
        </w:rPr>
        <w:t>pilot study</w:t>
      </w:r>
      <w:r>
        <w:rPr>
          <w:rFonts w:ascii="Arial" w:hAnsi="Arial" w:cs="Arial"/>
          <w:bCs/>
          <w:sz w:val="22"/>
          <w:szCs w:val="22"/>
        </w:rPr>
        <w:t xml:space="preserve">, </w:t>
      </w:r>
      <w:r w:rsidR="001E0817" w:rsidRPr="0069499A">
        <w:rPr>
          <w:rFonts w:ascii="Arial" w:hAnsi="Arial" w:cs="Arial"/>
          <w:bCs/>
          <w:sz w:val="22"/>
          <w:szCs w:val="22"/>
        </w:rPr>
        <w:t xml:space="preserve">FMG </w:t>
      </w:r>
      <w:r w:rsidR="001E0817">
        <w:rPr>
          <w:rFonts w:ascii="Arial" w:hAnsi="Arial" w:cs="Arial"/>
          <w:bCs/>
          <w:sz w:val="22"/>
          <w:szCs w:val="22"/>
        </w:rPr>
        <w:t xml:space="preserve">conducted a usability study with 35 adults prior </w:t>
      </w:r>
      <w:r w:rsidR="009B15B6">
        <w:rPr>
          <w:rFonts w:ascii="Arial" w:hAnsi="Arial" w:cs="Arial"/>
          <w:bCs/>
          <w:sz w:val="22"/>
          <w:szCs w:val="22"/>
        </w:rPr>
        <w:t>to the launch of the pilot stud</w:t>
      </w:r>
      <w:r w:rsidR="001E0817">
        <w:rPr>
          <w:rFonts w:ascii="Arial" w:hAnsi="Arial" w:cs="Arial"/>
          <w:bCs/>
          <w:sz w:val="22"/>
          <w:szCs w:val="22"/>
        </w:rPr>
        <w:t>y.</w:t>
      </w:r>
      <w:r w:rsidR="00231BED">
        <w:rPr>
          <w:rFonts w:ascii="Arial" w:hAnsi="Arial" w:cs="Arial"/>
          <w:bCs/>
          <w:sz w:val="22"/>
          <w:szCs w:val="22"/>
        </w:rPr>
        <w:t xml:space="preserve"> </w:t>
      </w:r>
      <w:r w:rsidR="001E0817">
        <w:rPr>
          <w:rFonts w:ascii="Arial" w:hAnsi="Arial" w:cs="Arial"/>
          <w:bCs/>
          <w:sz w:val="22"/>
          <w:szCs w:val="22"/>
        </w:rPr>
        <w:t>Testing occurred in November and December of 2014.</w:t>
      </w:r>
      <w:r w:rsidR="00231BED">
        <w:rPr>
          <w:rFonts w:ascii="Arial" w:hAnsi="Arial" w:cs="Arial"/>
          <w:bCs/>
          <w:sz w:val="22"/>
          <w:szCs w:val="22"/>
        </w:rPr>
        <w:t xml:space="preserve"> </w:t>
      </w:r>
      <w:r w:rsidR="001E0817">
        <w:rPr>
          <w:rFonts w:ascii="Arial" w:hAnsi="Arial" w:cs="Arial"/>
          <w:bCs/>
          <w:sz w:val="22"/>
          <w:szCs w:val="22"/>
        </w:rPr>
        <w:t>These participants</w:t>
      </w:r>
      <w:r w:rsidR="001E0817" w:rsidRPr="0069499A">
        <w:rPr>
          <w:rFonts w:ascii="Arial" w:hAnsi="Arial" w:cs="Arial"/>
          <w:bCs/>
          <w:sz w:val="22"/>
          <w:szCs w:val="22"/>
        </w:rPr>
        <w:t xml:space="preserve"> </w:t>
      </w:r>
      <w:r w:rsidR="001E0817">
        <w:rPr>
          <w:rFonts w:ascii="Arial" w:hAnsi="Arial" w:cs="Arial"/>
          <w:bCs/>
          <w:sz w:val="22"/>
          <w:szCs w:val="22"/>
        </w:rPr>
        <w:t xml:space="preserve">tested the survey language (to </w:t>
      </w:r>
      <w:r w:rsidR="001E0817" w:rsidRPr="0069499A">
        <w:rPr>
          <w:rFonts w:ascii="Arial" w:hAnsi="Arial" w:cs="Arial"/>
          <w:bCs/>
          <w:sz w:val="22"/>
          <w:szCs w:val="22"/>
        </w:rPr>
        <w:t xml:space="preserve">ensure </w:t>
      </w:r>
      <w:r w:rsidR="001E0817">
        <w:rPr>
          <w:rFonts w:ascii="Arial" w:hAnsi="Arial" w:cs="Arial"/>
          <w:bCs/>
          <w:sz w:val="22"/>
          <w:szCs w:val="22"/>
        </w:rPr>
        <w:t>survey respondents</w:t>
      </w:r>
      <w:r w:rsidR="001E0817" w:rsidRPr="0069499A">
        <w:rPr>
          <w:rFonts w:ascii="Arial" w:hAnsi="Arial" w:cs="Arial"/>
          <w:bCs/>
          <w:sz w:val="22"/>
          <w:szCs w:val="22"/>
        </w:rPr>
        <w:t xml:space="preserve"> understand the </w:t>
      </w:r>
      <w:r w:rsidR="001E0817">
        <w:rPr>
          <w:rFonts w:ascii="Arial" w:hAnsi="Arial" w:cs="Arial"/>
          <w:bCs/>
          <w:sz w:val="22"/>
          <w:szCs w:val="22"/>
        </w:rPr>
        <w:t>industry/service)</w:t>
      </w:r>
      <w:r w:rsidR="001E0817" w:rsidRPr="0069499A">
        <w:rPr>
          <w:rFonts w:ascii="Arial" w:hAnsi="Arial" w:cs="Arial"/>
          <w:bCs/>
          <w:sz w:val="22"/>
          <w:szCs w:val="22"/>
        </w:rPr>
        <w:t xml:space="preserve"> </w:t>
      </w:r>
      <w:r w:rsidR="001E0817">
        <w:rPr>
          <w:rFonts w:ascii="Arial" w:hAnsi="Arial" w:cs="Arial"/>
          <w:bCs/>
          <w:sz w:val="22"/>
          <w:szCs w:val="22"/>
        </w:rPr>
        <w:t>as well as</w:t>
      </w:r>
      <w:r w:rsidR="001E0817" w:rsidRPr="0069499A">
        <w:rPr>
          <w:rFonts w:ascii="Arial" w:hAnsi="Arial" w:cs="Arial"/>
          <w:bCs/>
          <w:sz w:val="22"/>
          <w:szCs w:val="22"/>
        </w:rPr>
        <w:t xml:space="preserve"> </w:t>
      </w:r>
      <w:r w:rsidR="001E0817">
        <w:rPr>
          <w:rFonts w:ascii="Arial" w:hAnsi="Arial" w:cs="Arial"/>
          <w:bCs/>
          <w:sz w:val="22"/>
          <w:szCs w:val="22"/>
        </w:rPr>
        <w:t>tipping (monetary/in-kind)</w:t>
      </w:r>
      <w:r w:rsidR="001E0817" w:rsidRPr="0069499A">
        <w:rPr>
          <w:rFonts w:ascii="Arial" w:hAnsi="Arial" w:cs="Arial"/>
          <w:bCs/>
          <w:sz w:val="22"/>
          <w:szCs w:val="22"/>
        </w:rPr>
        <w:t xml:space="preserve"> attribute language</w:t>
      </w:r>
      <w:r w:rsidR="001E0817">
        <w:rPr>
          <w:rFonts w:ascii="Arial" w:hAnsi="Arial" w:cs="Arial"/>
          <w:bCs/>
          <w:sz w:val="22"/>
          <w:szCs w:val="22"/>
        </w:rPr>
        <w:t xml:space="preserve"> and can accurately recall their tipping activity</w:t>
      </w:r>
      <w:r w:rsidR="001E0817" w:rsidRPr="0069499A">
        <w:rPr>
          <w:rFonts w:ascii="Arial" w:hAnsi="Arial" w:cs="Arial"/>
          <w:bCs/>
          <w:sz w:val="22"/>
          <w:szCs w:val="22"/>
        </w:rPr>
        <w:t>.</w:t>
      </w:r>
      <w:r w:rsidR="00231BED">
        <w:rPr>
          <w:rFonts w:ascii="Arial" w:hAnsi="Arial" w:cs="Arial"/>
          <w:bCs/>
          <w:sz w:val="22"/>
          <w:szCs w:val="22"/>
        </w:rPr>
        <w:t xml:space="preserve"> </w:t>
      </w:r>
      <w:r w:rsidR="001E0817">
        <w:rPr>
          <w:rFonts w:ascii="Arial" w:hAnsi="Arial" w:cs="Arial"/>
          <w:bCs/>
          <w:sz w:val="22"/>
          <w:szCs w:val="22"/>
        </w:rPr>
        <w:t>The survey findings indicated that some minimal wording changes were required.</w:t>
      </w:r>
      <w:r w:rsidR="00231BED">
        <w:rPr>
          <w:rFonts w:ascii="Arial" w:hAnsi="Arial" w:cs="Arial"/>
          <w:bCs/>
          <w:sz w:val="22"/>
          <w:szCs w:val="22"/>
        </w:rPr>
        <w:t xml:space="preserve"> </w:t>
      </w:r>
      <w:r w:rsidR="00A435C2" w:rsidRPr="006071A3">
        <w:rPr>
          <w:rFonts w:ascii="Arial" w:hAnsi="Arial" w:cs="Arial"/>
          <w:bCs/>
          <w:sz w:val="22"/>
          <w:szCs w:val="22"/>
        </w:rPr>
        <w:t>The IRS Office of Research</w:t>
      </w:r>
      <w:r w:rsidR="00FE4728" w:rsidRPr="006071A3">
        <w:rPr>
          <w:rFonts w:ascii="Arial" w:hAnsi="Arial" w:cs="Arial"/>
          <w:bCs/>
          <w:sz w:val="22"/>
          <w:szCs w:val="22"/>
        </w:rPr>
        <w:t xml:space="preserve"> and FMG </w:t>
      </w:r>
      <w:r w:rsidR="00A435C2" w:rsidRPr="006071A3">
        <w:rPr>
          <w:rFonts w:ascii="Arial" w:hAnsi="Arial" w:cs="Arial"/>
          <w:bCs/>
          <w:sz w:val="22"/>
          <w:szCs w:val="22"/>
        </w:rPr>
        <w:t>did not find that any significant changes were necessary based on the findings of the pilot study.</w:t>
      </w:r>
      <w:r w:rsidR="00231BED">
        <w:rPr>
          <w:rFonts w:ascii="Arial" w:hAnsi="Arial" w:cs="Arial"/>
          <w:bCs/>
          <w:sz w:val="22"/>
          <w:szCs w:val="22"/>
        </w:rPr>
        <w:t xml:space="preserve"> </w:t>
      </w:r>
      <w:r w:rsidR="00A435C2" w:rsidRPr="006071A3">
        <w:rPr>
          <w:rFonts w:ascii="Arial" w:hAnsi="Arial" w:cs="Arial"/>
          <w:bCs/>
          <w:sz w:val="22"/>
          <w:szCs w:val="22"/>
        </w:rPr>
        <w:t xml:space="preserve">Such </w:t>
      </w:r>
      <w:r w:rsidR="00FE4728" w:rsidRPr="006071A3">
        <w:rPr>
          <w:rFonts w:ascii="Arial" w:hAnsi="Arial" w:cs="Arial"/>
          <w:bCs/>
          <w:sz w:val="22"/>
          <w:szCs w:val="22"/>
        </w:rPr>
        <w:t>potential changes that were considered included</w:t>
      </w:r>
      <w:r w:rsidR="00A435C2" w:rsidRPr="006071A3">
        <w:rPr>
          <w:rFonts w:ascii="Arial" w:hAnsi="Arial" w:cs="Arial"/>
          <w:bCs/>
          <w:sz w:val="22"/>
          <w:szCs w:val="22"/>
        </w:rPr>
        <w:t xml:space="preserve"> </w:t>
      </w:r>
      <w:r w:rsidR="006D072A" w:rsidRPr="006071A3">
        <w:rPr>
          <w:rFonts w:ascii="Arial" w:hAnsi="Arial" w:cs="Arial"/>
          <w:bCs/>
          <w:sz w:val="22"/>
          <w:szCs w:val="22"/>
        </w:rPr>
        <w:t>an increase in the kind or amount of information sought; an increase in coverage; an increase in the timing or frequency of reporting; a change in the sample design or collection method; or a change in the purpose for which the information is collected or required to be maintained.</w:t>
      </w:r>
    </w:p>
    <w:p w:rsidR="006D072A" w:rsidRPr="006071A3" w:rsidRDefault="006D072A" w:rsidP="00EE336C">
      <w:pPr>
        <w:rPr>
          <w:rFonts w:ascii="Arial" w:hAnsi="Arial" w:cs="Arial"/>
          <w:sz w:val="22"/>
          <w:szCs w:val="22"/>
        </w:rPr>
      </w:pPr>
    </w:p>
    <w:p w:rsidR="001E0817" w:rsidRDefault="001E0817" w:rsidP="001E0817">
      <w:pPr>
        <w:rPr>
          <w:rFonts w:ascii="Arial" w:hAnsi="Arial" w:cs="Arial"/>
          <w:sz w:val="22"/>
          <w:szCs w:val="22"/>
        </w:rPr>
      </w:pPr>
      <w:r w:rsidRPr="006071A3">
        <w:rPr>
          <w:rFonts w:ascii="Arial" w:hAnsi="Arial" w:cs="Arial"/>
          <w:sz w:val="22"/>
          <w:szCs w:val="22"/>
        </w:rPr>
        <w:t xml:space="preserve">FMG </w:t>
      </w:r>
      <w:r w:rsidR="00A435C2" w:rsidRPr="006071A3">
        <w:rPr>
          <w:rFonts w:ascii="Arial" w:hAnsi="Arial" w:cs="Arial"/>
          <w:sz w:val="22"/>
          <w:szCs w:val="22"/>
        </w:rPr>
        <w:t xml:space="preserve">reviewed the findings from the pilot study and determined there </w:t>
      </w:r>
      <w:r w:rsidR="006071A3">
        <w:rPr>
          <w:rFonts w:ascii="Arial" w:hAnsi="Arial" w:cs="Arial"/>
          <w:sz w:val="22"/>
          <w:szCs w:val="22"/>
        </w:rPr>
        <w:t xml:space="preserve">was </w:t>
      </w:r>
      <w:r w:rsidR="00FE4728" w:rsidRPr="006071A3">
        <w:rPr>
          <w:rFonts w:ascii="Arial" w:hAnsi="Arial" w:cs="Arial"/>
          <w:sz w:val="22"/>
          <w:szCs w:val="22"/>
        </w:rPr>
        <w:t>no compelling evidence to institute a</w:t>
      </w:r>
      <w:r w:rsidR="00A435C2" w:rsidRPr="006071A3">
        <w:rPr>
          <w:rFonts w:ascii="Arial" w:hAnsi="Arial" w:cs="Arial"/>
          <w:sz w:val="22"/>
          <w:szCs w:val="22"/>
        </w:rPr>
        <w:t xml:space="preserve"> change </w:t>
      </w:r>
      <w:r w:rsidR="00FE4728" w:rsidRPr="006071A3">
        <w:rPr>
          <w:rFonts w:ascii="Arial" w:hAnsi="Arial" w:cs="Arial"/>
          <w:sz w:val="22"/>
          <w:szCs w:val="22"/>
        </w:rPr>
        <w:t>in</w:t>
      </w:r>
      <w:r w:rsidR="00A435C2" w:rsidRPr="006071A3">
        <w:rPr>
          <w:rFonts w:ascii="Arial" w:hAnsi="Arial" w:cs="Arial"/>
          <w:sz w:val="22"/>
          <w:szCs w:val="22"/>
        </w:rPr>
        <w:t xml:space="preserve"> the </w:t>
      </w:r>
      <w:r w:rsidR="00FE4728" w:rsidRPr="006071A3">
        <w:rPr>
          <w:rFonts w:ascii="Arial" w:hAnsi="Arial" w:cs="Arial"/>
          <w:sz w:val="22"/>
          <w:szCs w:val="22"/>
        </w:rPr>
        <w:t xml:space="preserve">period of </w:t>
      </w:r>
      <w:r w:rsidR="00A435C2" w:rsidRPr="006071A3">
        <w:rPr>
          <w:rFonts w:ascii="Arial" w:hAnsi="Arial" w:cs="Arial"/>
          <w:sz w:val="22"/>
          <w:szCs w:val="22"/>
        </w:rPr>
        <w:t>recall time</w:t>
      </w:r>
      <w:r w:rsidRPr="006071A3">
        <w:rPr>
          <w:rFonts w:ascii="Arial" w:hAnsi="Arial" w:cs="Arial"/>
          <w:sz w:val="22"/>
          <w:szCs w:val="22"/>
        </w:rPr>
        <w:t>.</w:t>
      </w:r>
      <w:r w:rsidR="00231BED">
        <w:rPr>
          <w:rFonts w:ascii="Arial" w:hAnsi="Arial" w:cs="Arial"/>
          <w:sz w:val="22"/>
          <w:szCs w:val="22"/>
        </w:rPr>
        <w:t xml:space="preserve"> </w:t>
      </w:r>
      <w:r w:rsidR="00FE4728" w:rsidRPr="00FC4994">
        <w:rPr>
          <w:rFonts w:ascii="Arial" w:hAnsi="Arial" w:cs="Arial"/>
          <w:sz w:val="22"/>
          <w:szCs w:val="22"/>
        </w:rPr>
        <w:t>In additio</w:t>
      </w:r>
      <w:r w:rsidR="00FE4728">
        <w:rPr>
          <w:rFonts w:ascii="Arial" w:hAnsi="Arial" w:cs="Arial"/>
          <w:sz w:val="22"/>
          <w:szCs w:val="22"/>
        </w:rPr>
        <w:t>n to the pilot survey findings</w:t>
      </w:r>
      <w:r w:rsidR="00A435C2">
        <w:rPr>
          <w:rFonts w:ascii="Arial" w:hAnsi="Arial" w:cs="Arial"/>
          <w:sz w:val="22"/>
          <w:szCs w:val="22"/>
        </w:rPr>
        <w:t xml:space="preserve">, the </w:t>
      </w:r>
      <w:r>
        <w:rPr>
          <w:rFonts w:ascii="Arial" w:hAnsi="Arial" w:cs="Arial"/>
          <w:sz w:val="22"/>
          <w:szCs w:val="22"/>
        </w:rPr>
        <w:t>usability testing included a review of possible differences in recall time used for the survey and led to the conclusion that the recall period should be 1 day for all transactions.</w:t>
      </w:r>
      <w:r w:rsidR="00231BED">
        <w:rPr>
          <w:rFonts w:ascii="Arial" w:hAnsi="Arial" w:cs="Arial"/>
          <w:sz w:val="22"/>
          <w:szCs w:val="22"/>
        </w:rPr>
        <w:t xml:space="preserve"> </w:t>
      </w:r>
      <w:r>
        <w:rPr>
          <w:rFonts w:ascii="Arial" w:hAnsi="Arial" w:cs="Arial"/>
          <w:sz w:val="22"/>
          <w:szCs w:val="22"/>
        </w:rPr>
        <w:t xml:space="preserve">One of FMG’s findings were that </w:t>
      </w:r>
      <w:r w:rsidRPr="00023A27">
        <w:rPr>
          <w:rFonts w:ascii="Arial" w:hAnsi="Arial" w:cs="Arial"/>
          <w:sz w:val="22"/>
          <w:szCs w:val="22"/>
        </w:rPr>
        <w:t>respondents appeared to more heavily lean on the use of estimation heuristics as the recall period was lengthened from 1 to 3 to 5 days (e.g., “It wouldn’t really be that difficult for me to recall [longer period of time] since I usually tip about 15%”).</w:t>
      </w:r>
      <w:r w:rsidR="00231BED">
        <w:rPr>
          <w:rFonts w:ascii="Arial" w:hAnsi="Arial" w:cs="Arial"/>
          <w:sz w:val="22"/>
          <w:szCs w:val="22"/>
        </w:rPr>
        <w:t xml:space="preserve"> </w:t>
      </w:r>
      <w:r w:rsidRPr="00023A27">
        <w:rPr>
          <w:rFonts w:ascii="Arial" w:hAnsi="Arial" w:cs="Arial"/>
          <w:sz w:val="22"/>
          <w:szCs w:val="22"/>
        </w:rPr>
        <w:t>More information on the findings from FMG’s cognitive and usability testing on this project can be found in the full report highlighting findings and edits made to the survey instrument.</w:t>
      </w:r>
      <w:r w:rsidRPr="001D3051">
        <w:rPr>
          <w:rFonts w:ascii="Arial" w:hAnsi="Arial" w:cs="Arial"/>
          <w:sz w:val="22"/>
          <w:szCs w:val="22"/>
          <w:vertAlign w:val="superscript"/>
        </w:rPr>
        <w:footnoteReference w:id="1"/>
      </w:r>
    </w:p>
    <w:p w:rsidR="001E0817" w:rsidRDefault="001E0817" w:rsidP="001E0817">
      <w:pPr>
        <w:rPr>
          <w:rFonts w:ascii="Arial" w:hAnsi="Arial" w:cs="Arial"/>
          <w:sz w:val="22"/>
          <w:szCs w:val="22"/>
        </w:rPr>
      </w:pPr>
    </w:p>
    <w:p w:rsidR="001E0817" w:rsidRPr="005D23E9" w:rsidRDefault="001E0817" w:rsidP="001E0817">
      <w:pPr>
        <w:rPr>
          <w:rFonts w:ascii="Arial" w:hAnsi="Arial" w:cs="Arial"/>
          <w:sz w:val="22"/>
          <w:szCs w:val="22"/>
        </w:rPr>
      </w:pPr>
      <w:r>
        <w:rPr>
          <w:rFonts w:ascii="Arial" w:hAnsi="Arial" w:cs="Arial"/>
          <w:sz w:val="22"/>
          <w:szCs w:val="22"/>
        </w:rPr>
        <w:t xml:space="preserve">A recall period longer than 1 day could also </w:t>
      </w:r>
      <w:r w:rsidRPr="005D23E9">
        <w:rPr>
          <w:rFonts w:ascii="Arial" w:hAnsi="Arial" w:cs="Arial"/>
          <w:sz w:val="22"/>
          <w:szCs w:val="22"/>
        </w:rPr>
        <w:t>lead to other forms of recall errors.</w:t>
      </w:r>
      <w:r w:rsidR="00231BED">
        <w:rPr>
          <w:rFonts w:ascii="Arial" w:hAnsi="Arial" w:cs="Arial"/>
          <w:sz w:val="22"/>
          <w:szCs w:val="22"/>
        </w:rPr>
        <w:t xml:space="preserve"> </w:t>
      </w:r>
      <w:r w:rsidRPr="005D23E9">
        <w:rPr>
          <w:rFonts w:ascii="Arial" w:hAnsi="Arial" w:cs="Arial"/>
          <w:sz w:val="22"/>
          <w:szCs w:val="22"/>
        </w:rPr>
        <w:t xml:space="preserve">One such type of error that has been found in research concerning major events or large consumer purchases </w:t>
      </w:r>
      <w:r w:rsidRPr="005D23E9">
        <w:rPr>
          <w:rFonts w:ascii="Arial" w:hAnsi="Arial" w:cs="Arial"/>
          <w:sz w:val="22"/>
          <w:szCs w:val="22"/>
        </w:rPr>
        <w:lastRenderedPageBreak/>
        <w:t>is telescoping, which occurs when the respondent fails to accurately remember when an irregular event occurs or even “rememb</w:t>
      </w:r>
      <w:r>
        <w:rPr>
          <w:rFonts w:ascii="Arial" w:hAnsi="Arial" w:cs="Arial"/>
          <w:sz w:val="22"/>
          <w:szCs w:val="22"/>
        </w:rPr>
        <w:t>ers” events that never occurred</w:t>
      </w:r>
      <w:r w:rsidRPr="005D23E9">
        <w:rPr>
          <w:rFonts w:ascii="Arial" w:hAnsi="Arial" w:cs="Arial"/>
          <w:sz w:val="22"/>
          <w:szCs w:val="22"/>
        </w:rPr>
        <w:t>.</w:t>
      </w:r>
      <w:r w:rsidR="00231BED">
        <w:rPr>
          <w:rFonts w:ascii="Arial" w:hAnsi="Arial" w:cs="Arial"/>
          <w:sz w:val="22"/>
          <w:szCs w:val="22"/>
        </w:rPr>
        <w:t xml:space="preserve"> </w:t>
      </w:r>
      <w:r w:rsidRPr="005D23E9">
        <w:rPr>
          <w:rFonts w:ascii="Arial" w:hAnsi="Arial" w:cs="Arial"/>
          <w:sz w:val="22"/>
          <w:szCs w:val="22"/>
        </w:rPr>
        <w:t>This could be very problematic during analysis as it would be impossible to determine the rate at which these services are occurring and on what days.</w:t>
      </w:r>
      <w:r w:rsidR="00231BED">
        <w:rPr>
          <w:rFonts w:ascii="Arial" w:hAnsi="Arial" w:cs="Arial"/>
          <w:sz w:val="22"/>
          <w:szCs w:val="22"/>
        </w:rPr>
        <w:t xml:space="preserve"> </w:t>
      </w:r>
      <w:r w:rsidRPr="005D23E9">
        <w:rPr>
          <w:rFonts w:ascii="Arial" w:hAnsi="Arial" w:cs="Arial"/>
          <w:sz w:val="22"/>
          <w:szCs w:val="22"/>
        </w:rPr>
        <w:t>Increasing the number of observations of certain, less frequent services would be ideal, but not at the expense of significantly reduced data quality per observation that could result from these recall errors or reliance on estimation heuristics.</w:t>
      </w:r>
    </w:p>
    <w:p w:rsidR="001E0817" w:rsidRDefault="001E0817" w:rsidP="001E0817">
      <w:pPr>
        <w:rPr>
          <w:rFonts w:ascii="Arial" w:hAnsi="Arial" w:cs="Arial"/>
          <w:sz w:val="22"/>
          <w:szCs w:val="22"/>
        </w:rPr>
      </w:pPr>
    </w:p>
    <w:p w:rsidR="001E0817" w:rsidRDefault="001E0817" w:rsidP="001E0817">
      <w:pPr>
        <w:rPr>
          <w:rFonts w:ascii="Arial" w:hAnsi="Arial" w:cs="Arial"/>
          <w:sz w:val="22"/>
          <w:szCs w:val="22"/>
        </w:rPr>
      </w:pPr>
      <w:r>
        <w:rPr>
          <w:rFonts w:ascii="Arial" w:hAnsi="Arial" w:cs="Arial"/>
          <w:sz w:val="22"/>
          <w:szCs w:val="22"/>
        </w:rPr>
        <w:t xml:space="preserve">Lengthening the recall period beyond 1 day </w:t>
      </w:r>
      <w:r w:rsidRPr="005D23E9">
        <w:rPr>
          <w:rFonts w:ascii="Arial" w:hAnsi="Arial" w:cs="Arial"/>
          <w:sz w:val="22"/>
          <w:szCs w:val="22"/>
        </w:rPr>
        <w:t xml:space="preserve">would </w:t>
      </w:r>
      <w:r>
        <w:rPr>
          <w:rFonts w:ascii="Arial" w:hAnsi="Arial" w:cs="Arial"/>
          <w:sz w:val="22"/>
          <w:szCs w:val="22"/>
        </w:rPr>
        <w:t xml:space="preserve">also </w:t>
      </w:r>
      <w:r w:rsidRPr="005D23E9">
        <w:rPr>
          <w:rFonts w:ascii="Arial" w:hAnsi="Arial" w:cs="Arial"/>
          <w:sz w:val="22"/>
          <w:szCs w:val="22"/>
        </w:rPr>
        <w:t>increase respondent burden and could lead to reporting bias.</w:t>
      </w:r>
      <w:r w:rsidR="00231BED">
        <w:rPr>
          <w:rFonts w:ascii="Arial" w:hAnsi="Arial" w:cs="Arial"/>
          <w:sz w:val="22"/>
          <w:szCs w:val="22"/>
        </w:rPr>
        <w:t xml:space="preserve"> </w:t>
      </w:r>
      <w:r w:rsidRPr="005D23E9">
        <w:rPr>
          <w:rFonts w:ascii="Arial" w:hAnsi="Arial" w:cs="Arial"/>
          <w:sz w:val="22"/>
          <w:szCs w:val="22"/>
        </w:rPr>
        <w:t>Respondents would have to carefully read instructions for each series of questions to determine when different recall lengths are being asked, and then would have to remember specifically which day the expenditure occurred in order for it to be useful for analysis.</w:t>
      </w:r>
      <w:r w:rsidR="00231BED">
        <w:rPr>
          <w:rFonts w:ascii="Arial" w:hAnsi="Arial" w:cs="Arial"/>
          <w:sz w:val="22"/>
          <w:szCs w:val="22"/>
        </w:rPr>
        <w:t xml:space="preserve"> </w:t>
      </w:r>
      <w:r w:rsidRPr="005D23E9">
        <w:rPr>
          <w:rFonts w:ascii="Arial" w:hAnsi="Arial" w:cs="Arial"/>
          <w:sz w:val="22"/>
          <w:szCs w:val="22"/>
        </w:rPr>
        <w:t>Such a significant change in survey instructions would require additional testing to ensure comprehension.</w:t>
      </w:r>
      <w:r w:rsidR="00231BED">
        <w:rPr>
          <w:rFonts w:ascii="Arial" w:hAnsi="Arial" w:cs="Arial"/>
          <w:sz w:val="22"/>
          <w:szCs w:val="22"/>
        </w:rPr>
        <w:t xml:space="preserve"> </w:t>
      </w:r>
      <w:r w:rsidRPr="005D23E9">
        <w:rPr>
          <w:rFonts w:ascii="Arial" w:hAnsi="Arial" w:cs="Arial"/>
          <w:sz w:val="22"/>
          <w:szCs w:val="22"/>
        </w:rPr>
        <w:t>Confusion could also result from determining which was the most recent expenditure, and could allow for reporting biases concerning which expenditure they choose to report.</w:t>
      </w:r>
      <w:r w:rsidR="00231BED">
        <w:rPr>
          <w:rFonts w:ascii="Arial" w:hAnsi="Arial" w:cs="Arial"/>
          <w:sz w:val="22"/>
          <w:szCs w:val="22"/>
        </w:rPr>
        <w:t xml:space="preserve"> </w:t>
      </w:r>
      <w:r w:rsidRPr="005D23E9">
        <w:rPr>
          <w:rFonts w:ascii="Arial" w:hAnsi="Arial" w:cs="Arial"/>
          <w:sz w:val="22"/>
          <w:szCs w:val="22"/>
        </w:rPr>
        <w:t>This would be particularly problematic for service categories where multiple expenditures could occur at the one establishment (like hotels, beauty salons, or casinos).</w:t>
      </w:r>
      <w:r w:rsidR="00231BED">
        <w:rPr>
          <w:rFonts w:ascii="Arial" w:hAnsi="Arial" w:cs="Arial"/>
          <w:sz w:val="22"/>
          <w:szCs w:val="22"/>
        </w:rPr>
        <w:t xml:space="preserve"> </w:t>
      </w:r>
      <w:r w:rsidRPr="005D23E9">
        <w:rPr>
          <w:rFonts w:ascii="Arial" w:hAnsi="Arial" w:cs="Arial"/>
          <w:sz w:val="22"/>
          <w:szCs w:val="22"/>
        </w:rPr>
        <w:t>In such scenarios, respondents might choose to report a service that they can recall easily rather than reporting the one that they paid for most recently.</w:t>
      </w:r>
    </w:p>
    <w:p w:rsidR="001E0817" w:rsidRDefault="001E0817" w:rsidP="00EE336C">
      <w:pPr>
        <w:rPr>
          <w:rFonts w:ascii="Arial" w:hAnsi="Arial" w:cs="Arial"/>
          <w:sz w:val="22"/>
          <w:szCs w:val="22"/>
        </w:rPr>
      </w:pPr>
    </w:p>
    <w:p w:rsidR="00EE336C" w:rsidRPr="00866803" w:rsidRDefault="00EE336C" w:rsidP="00EE336C">
      <w:pPr>
        <w:rPr>
          <w:rFonts w:ascii="Arial" w:hAnsi="Arial" w:cs="Arial"/>
          <w:sz w:val="22"/>
          <w:szCs w:val="22"/>
        </w:rPr>
      </w:pPr>
      <w:r w:rsidRPr="00866803">
        <w:rPr>
          <w:rFonts w:ascii="Arial" w:hAnsi="Arial" w:cs="Arial"/>
          <w:sz w:val="22"/>
          <w:szCs w:val="22"/>
        </w:rPr>
        <w:t xml:space="preserve">The survey will be administered electronically; however there are no cookies involved. Survey participants will be provided a link/web address via a secure website. Transmission to/from the secure website for the survey will be encrypted. </w:t>
      </w:r>
    </w:p>
    <w:p w:rsidR="00EE336C" w:rsidRPr="00866803" w:rsidRDefault="00EE336C" w:rsidP="00EE336C">
      <w:pPr>
        <w:rPr>
          <w:rFonts w:ascii="Arial" w:hAnsi="Arial" w:cs="Arial"/>
          <w:sz w:val="22"/>
          <w:szCs w:val="22"/>
        </w:rPr>
      </w:pPr>
    </w:p>
    <w:p w:rsidR="00EE336C" w:rsidRPr="00866803" w:rsidRDefault="00EE336C" w:rsidP="00EE336C">
      <w:pPr>
        <w:rPr>
          <w:rFonts w:ascii="Arial" w:hAnsi="Arial" w:cs="Arial"/>
          <w:sz w:val="22"/>
          <w:szCs w:val="22"/>
        </w:rPr>
      </w:pPr>
      <w:r w:rsidRPr="00866803">
        <w:rPr>
          <w:rFonts w:ascii="Arial" w:hAnsi="Arial" w:cs="Arial"/>
          <w:sz w:val="22"/>
          <w:szCs w:val="22"/>
        </w:rPr>
        <w:t>Survey respondents will be selected from the subcontractor</w:t>
      </w:r>
      <w:r w:rsidR="00306232" w:rsidRPr="00866803">
        <w:rPr>
          <w:rFonts w:ascii="Arial" w:hAnsi="Arial" w:cs="Arial"/>
          <w:sz w:val="22"/>
          <w:szCs w:val="22"/>
        </w:rPr>
        <w:t>’s panel members</w:t>
      </w:r>
      <w:r w:rsidRPr="00866803">
        <w:rPr>
          <w:rFonts w:ascii="Arial" w:hAnsi="Arial" w:cs="Arial"/>
          <w:sz w:val="22"/>
          <w:szCs w:val="22"/>
        </w:rPr>
        <w:t>. Participants will be provided a link/web address to a secure website</w:t>
      </w:r>
      <w:r w:rsidR="0001430F" w:rsidRPr="00866803">
        <w:rPr>
          <w:rFonts w:ascii="Arial" w:hAnsi="Arial" w:cs="Arial"/>
          <w:sz w:val="22"/>
          <w:szCs w:val="22"/>
        </w:rPr>
        <w:t xml:space="preserve"> with their unique survey URL that corresponds to their</w:t>
      </w:r>
      <w:r w:rsidRPr="00866803">
        <w:rPr>
          <w:rFonts w:ascii="Arial" w:hAnsi="Arial" w:cs="Arial"/>
          <w:sz w:val="22"/>
          <w:szCs w:val="22"/>
        </w:rPr>
        <w:t xml:space="preserve"> survey questions. The subcontractor hosting the panel and survey will maintain a secure survey control system that will document the correspondence and track the status of all sample members by giving each sample member a unique sample ID. Th</w:t>
      </w:r>
      <w:r w:rsidR="008E5B95" w:rsidRPr="00866803">
        <w:rPr>
          <w:rFonts w:ascii="Arial" w:hAnsi="Arial" w:cs="Arial"/>
          <w:sz w:val="22"/>
          <w:szCs w:val="22"/>
        </w:rPr>
        <w:t>e</w:t>
      </w:r>
      <w:r w:rsidRPr="00866803">
        <w:rPr>
          <w:rFonts w:ascii="Arial" w:hAnsi="Arial" w:cs="Arial"/>
          <w:sz w:val="22"/>
          <w:szCs w:val="22"/>
        </w:rPr>
        <w:t xml:space="preserve"> sample ID is used in place of name, address, or other personally identifiable information. </w:t>
      </w:r>
    </w:p>
    <w:p w:rsidR="008177DE" w:rsidRPr="00866803" w:rsidRDefault="008177DE" w:rsidP="00E3152E">
      <w:pPr>
        <w:rPr>
          <w:rFonts w:ascii="Arial" w:hAnsi="Arial" w:cs="Arial"/>
          <w:sz w:val="22"/>
          <w:szCs w:val="22"/>
        </w:rPr>
      </w:pPr>
    </w:p>
    <w:p w:rsidR="008177DE" w:rsidRPr="00866803" w:rsidRDefault="008177DE" w:rsidP="003744E6">
      <w:pPr>
        <w:keepNext/>
        <w:widowControl/>
        <w:numPr>
          <w:ilvl w:val="0"/>
          <w:numId w:val="27"/>
        </w:numPr>
        <w:overflowPunct/>
        <w:autoSpaceDE/>
        <w:autoSpaceDN/>
        <w:adjustRightInd/>
        <w:spacing w:before="100" w:beforeAutospacing="1" w:after="100" w:afterAutospacing="1"/>
        <w:ind w:left="0"/>
        <w:contextualSpacing/>
        <w:textAlignment w:val="auto"/>
        <w:rPr>
          <w:rFonts w:ascii="Arial" w:hAnsi="Arial" w:cs="Arial"/>
          <w:b/>
          <w:sz w:val="22"/>
          <w:szCs w:val="22"/>
        </w:rPr>
      </w:pPr>
      <w:r w:rsidRPr="00866803">
        <w:rPr>
          <w:rFonts w:ascii="Arial" w:hAnsi="Arial" w:cs="Arial"/>
          <w:b/>
          <w:sz w:val="22"/>
          <w:szCs w:val="22"/>
        </w:rPr>
        <w:t>Contacts for Statistical Aspects and Data Collection</w:t>
      </w:r>
    </w:p>
    <w:p w:rsidR="008177DE" w:rsidRPr="00866803" w:rsidRDefault="008177DE" w:rsidP="008177DE">
      <w:pPr>
        <w:widowControl/>
        <w:overflowPunct/>
        <w:autoSpaceDE/>
        <w:autoSpaceDN/>
        <w:adjustRightInd/>
        <w:spacing w:before="100" w:beforeAutospacing="1" w:after="100" w:afterAutospacing="1"/>
        <w:ind w:left="360"/>
        <w:contextualSpacing/>
        <w:textAlignment w:val="auto"/>
        <w:rPr>
          <w:rFonts w:ascii="Arial" w:hAnsi="Arial" w:cs="Arial"/>
          <w:b/>
          <w:sz w:val="22"/>
          <w:szCs w:val="22"/>
        </w:rPr>
      </w:pPr>
    </w:p>
    <w:p w:rsidR="008177DE" w:rsidRPr="00866803" w:rsidRDefault="008177DE" w:rsidP="008177DE">
      <w:pPr>
        <w:widowControl/>
        <w:overflowPunct/>
        <w:autoSpaceDE/>
        <w:autoSpaceDN/>
        <w:adjustRightInd/>
        <w:textAlignment w:val="auto"/>
        <w:rPr>
          <w:rFonts w:ascii="Arial" w:hAnsi="Arial" w:cs="Arial"/>
          <w:sz w:val="22"/>
          <w:szCs w:val="22"/>
        </w:rPr>
      </w:pPr>
      <w:r w:rsidRPr="00866803">
        <w:rPr>
          <w:rFonts w:ascii="Arial" w:hAnsi="Arial" w:cs="Arial"/>
          <w:sz w:val="22"/>
          <w:szCs w:val="22"/>
        </w:rPr>
        <w:t>For questions regarding the study or questionnaire design or statistical methodology, contact:</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Brian K. Griepentrog, Ph.D.</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Director of Research Studies</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Fors Marsh Group LLC</w:t>
      </w:r>
    </w:p>
    <w:p w:rsidR="00306232" w:rsidRPr="00866803" w:rsidRDefault="00306232" w:rsidP="00306232">
      <w:pPr>
        <w:widowControl/>
        <w:overflowPunct/>
        <w:autoSpaceDE/>
        <w:autoSpaceDN/>
        <w:adjustRightInd/>
        <w:textAlignment w:val="auto"/>
        <w:rPr>
          <w:rFonts w:ascii="Arial" w:hAnsi="Arial" w:cs="Arial"/>
          <w:sz w:val="22"/>
          <w:szCs w:val="22"/>
        </w:rPr>
      </w:pPr>
      <w:r w:rsidRPr="00866803">
        <w:rPr>
          <w:rFonts w:ascii="Arial" w:hAnsi="Arial" w:cs="Arial"/>
          <w:sz w:val="22"/>
          <w:szCs w:val="22"/>
        </w:rPr>
        <w:t>bg@forsmarshgroup.com</w:t>
      </w:r>
    </w:p>
    <w:p w:rsidR="00E51CAA" w:rsidRPr="00866803" w:rsidRDefault="00E51CAA">
      <w:pPr>
        <w:pStyle w:val="BodyText"/>
        <w:widowControl/>
        <w:tabs>
          <w:tab w:val="left" w:pos="1080"/>
        </w:tabs>
        <w:rPr>
          <w:rFonts w:ascii="Arial" w:hAnsi="Arial" w:cs="Arial"/>
          <w:b/>
          <w:color w:val="auto"/>
          <w:sz w:val="22"/>
          <w:szCs w:val="22"/>
          <w:u w:val="single"/>
        </w:rPr>
      </w:pPr>
    </w:p>
    <w:bookmarkEnd w:id="0"/>
    <w:p w:rsidR="009F395B" w:rsidRPr="00FE75CB" w:rsidRDefault="009F395B" w:rsidP="009F395B">
      <w:pPr>
        <w:pStyle w:val="BodyText"/>
        <w:widowControl/>
        <w:tabs>
          <w:tab w:val="left" w:pos="1080"/>
        </w:tabs>
        <w:rPr>
          <w:rFonts w:ascii="Arial" w:hAnsi="Arial" w:cs="Arial"/>
          <w:b/>
          <w:color w:val="auto"/>
          <w:sz w:val="22"/>
          <w:szCs w:val="22"/>
          <w:u w:val="single"/>
        </w:rPr>
      </w:pPr>
    </w:p>
    <w:sectPr w:rsidR="009F395B" w:rsidRPr="00FE75CB" w:rsidSect="00093AB7">
      <w:headerReference w:type="default" r:id="rId9"/>
      <w:footerReference w:type="even" r:id="rId10"/>
      <w:footerReference w:type="default" r:id="rId11"/>
      <w:headerReference w:type="first" r:id="rId12"/>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CE" w:rsidRDefault="001074CE">
      <w:r>
        <w:separator/>
      </w:r>
    </w:p>
  </w:endnote>
  <w:endnote w:type="continuationSeparator" w:id="0">
    <w:p w:rsidR="001074CE" w:rsidRDefault="0010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Gothic-BookItalic">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09D" w:rsidRDefault="003A509D" w:rsidP="000D5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Default="003A509D" w:rsidP="00CA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55F">
      <w:rPr>
        <w:rStyle w:val="PageNumber"/>
        <w:noProof/>
      </w:rPr>
      <w:t>1</w:t>
    </w:r>
    <w:r>
      <w:rPr>
        <w:rStyle w:val="PageNumber"/>
      </w:rPr>
      <w:fldChar w:fldCharType="end"/>
    </w:r>
  </w:p>
  <w:p w:rsidR="003A509D" w:rsidRDefault="002D2A19" w:rsidP="000D552B">
    <w:pPr>
      <w:pStyle w:val="Footer"/>
      <w:widowControl/>
      <w:tabs>
        <w:tab w:val="clear" w:pos="4320"/>
        <w:tab w:val="clear" w:pos="8640"/>
        <w:tab w:val="center" w:pos="4680"/>
        <w:tab w:val="right" w:pos="9360"/>
      </w:tabs>
      <w:ind w:right="360"/>
      <w:rPr>
        <w:rFonts w:ascii="Arial" w:hAnsi="Arial"/>
        <w:sz w:val="18"/>
        <w:szCs w:val="18"/>
      </w:rPr>
    </w:pPr>
    <w:r>
      <w:rPr>
        <w:sz w:val="20"/>
      </w:rPr>
      <w:t>IRS Tipping</w:t>
    </w:r>
    <w:r w:rsidR="00D618FC">
      <w:rPr>
        <w:sz w:val="20"/>
      </w:rPr>
      <w:t xml:space="preserve"> </w:t>
    </w:r>
    <w:r w:rsidR="003A509D" w:rsidRPr="00D84449">
      <w:rPr>
        <w:sz w:val="20"/>
      </w:rPr>
      <w:t>OMB Supporting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CE" w:rsidRDefault="001074CE">
      <w:r>
        <w:separator/>
      </w:r>
    </w:p>
  </w:footnote>
  <w:footnote w:type="continuationSeparator" w:id="0">
    <w:p w:rsidR="001074CE" w:rsidRDefault="001074CE">
      <w:r>
        <w:continuationSeparator/>
      </w:r>
    </w:p>
  </w:footnote>
  <w:footnote w:id="1">
    <w:p w:rsidR="001E0817" w:rsidRDefault="001E0817" w:rsidP="001E0817">
      <w:pPr>
        <w:pStyle w:val="FootnoteText"/>
      </w:pPr>
      <w:r>
        <w:rPr>
          <w:rStyle w:val="FootnoteReference"/>
        </w:rPr>
        <w:footnoteRef/>
      </w:r>
      <w:r>
        <w:t xml:space="preserve"> </w:t>
      </w:r>
      <w:proofErr w:type="gramStart"/>
      <w:r>
        <w:rPr>
          <w:rFonts w:cs="FranklinGothic-BookItalic"/>
          <w:i/>
          <w:iCs/>
          <w:sz w:val="18"/>
          <w:szCs w:val="18"/>
        </w:rPr>
        <w:t>IRS Tipping Report on Cognitive and Usability Testing</w:t>
      </w:r>
      <w:r w:rsidRPr="002F6EFA">
        <w:rPr>
          <w:rFonts w:cs="FranklinGothic-Book"/>
          <w:sz w:val="18"/>
          <w:szCs w:val="18"/>
        </w:rPr>
        <w:t>, January 2015.</w:t>
      </w:r>
      <w:proofErr w:type="gramEnd"/>
      <w:r w:rsidRPr="002F6EFA">
        <w:rPr>
          <w:rFonts w:cs="FranklinGothic-Book"/>
          <w:sz w:val="18"/>
          <w:szCs w:val="18"/>
        </w:rPr>
        <w:t xml:space="preserve"> Internal report prepared for the Internal Revenue Service by </w:t>
      </w:r>
      <w:proofErr w:type="spellStart"/>
      <w:r w:rsidRPr="002F6EFA">
        <w:rPr>
          <w:rFonts w:cs="FranklinGothic-Book"/>
          <w:sz w:val="18"/>
          <w:szCs w:val="18"/>
        </w:rPr>
        <w:t>Fors</w:t>
      </w:r>
      <w:proofErr w:type="spellEnd"/>
      <w:r w:rsidRPr="002F6EFA">
        <w:rPr>
          <w:rFonts w:cs="FranklinGothic-Book"/>
          <w:sz w:val="18"/>
          <w:szCs w:val="18"/>
        </w:rPr>
        <w:t xml:space="preserve"> Marsh Group under contract TIRNO-13-Z-00021-0002.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2D2A19">
    <w:pPr>
      <w:pStyle w:val="Header"/>
      <w:widowControl/>
      <w:rPr>
        <w:sz w:val="20"/>
      </w:rPr>
    </w:pPr>
    <w:r>
      <w:rPr>
        <w:sz w:val="20"/>
      </w:rPr>
      <w:t xml:space="preserve">IRS Tipping </w:t>
    </w:r>
    <w:r w:rsidR="001535DE">
      <w:rPr>
        <w:sz w:val="20"/>
      </w:rPr>
      <w:t>Study</w:t>
    </w:r>
    <w:r w:rsidR="00D618FC">
      <w:rPr>
        <w:sz w:val="20"/>
      </w:rPr>
      <w:t xml:space="preserve"> </w:t>
    </w:r>
    <w:r w:rsidR="00305A6B">
      <w:rPr>
        <w:sz w:val="20"/>
      </w:rPr>
      <w:t>-</w:t>
    </w:r>
    <w:r w:rsidR="0045466B">
      <w:rPr>
        <w:sz w:val="20"/>
      </w:rPr>
      <w:t xml:space="preserve"> </w:t>
    </w:r>
    <w:r w:rsidR="009B5D47">
      <w:rPr>
        <w:sz w:val="20"/>
      </w:rPr>
      <w:t>OMB Package</w:t>
    </w:r>
    <w:r w:rsidR="003A509D" w:rsidRPr="00D84449">
      <w:rPr>
        <w:sz w:val="20"/>
      </w:rPr>
      <w:tab/>
    </w:r>
    <w:r w:rsidR="003A509D" w:rsidRPr="00D84449">
      <w:rPr>
        <w:sz w:val="20"/>
      </w:rPr>
      <w:tab/>
      <w:t xml:space="preserve">OMB # </w:t>
    </w:r>
    <w:r w:rsidR="007242C8">
      <w:rPr>
        <w:sz w:val="20"/>
      </w:rPr>
      <w:t>1545</w:t>
    </w:r>
    <w:r w:rsidR="003A509D" w:rsidRPr="00D84449">
      <w:rPr>
        <w:sz w:val="20"/>
      </w:rPr>
      <w:t>-</w:t>
    </w:r>
    <w:r w:rsidR="005F3C64">
      <w:rPr>
        <w:sz w:val="20"/>
      </w:rPr>
      <w:t>2261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9D" w:rsidRPr="00D84449" w:rsidRDefault="003A509D" w:rsidP="00AF0483">
    <w:pPr>
      <w:pStyle w:val="Header"/>
      <w:widowControl/>
      <w:rPr>
        <w:sz w:val="20"/>
      </w:rPr>
    </w:pPr>
    <w:r w:rsidRPr="00D84449">
      <w:rPr>
        <w:sz w:val="20"/>
      </w:rPr>
      <w:t xml:space="preserve">OMB Supporting Statement </w:t>
    </w:r>
  </w:p>
  <w:p w:rsidR="003A509D" w:rsidRPr="00D84449" w:rsidRDefault="003A509D" w:rsidP="00AF0483">
    <w:pPr>
      <w:pStyle w:val="Header"/>
      <w:widowControl/>
      <w:rPr>
        <w:sz w:val="20"/>
      </w:rPr>
    </w:pPr>
    <w:r w:rsidRPr="00D84449">
      <w:rPr>
        <w:sz w:val="20"/>
      </w:rPr>
      <w:t>W&amp;I Research</w:t>
    </w:r>
  </w:p>
  <w:p w:rsidR="003A509D" w:rsidRPr="00D84449" w:rsidRDefault="003A509D" w:rsidP="00AF0483">
    <w:pPr>
      <w:pStyle w:val="Header"/>
      <w:widowControl/>
      <w:rPr>
        <w:sz w:val="20"/>
      </w:rPr>
    </w:pPr>
    <w:r w:rsidRPr="00D84449">
      <w:rPr>
        <w:sz w:val="20"/>
      </w:rPr>
      <w:t>TAB Conjoint Survey</w:t>
    </w:r>
    <w:r w:rsidRPr="00D84449">
      <w:rPr>
        <w:sz w:val="20"/>
      </w:rPr>
      <w:tab/>
    </w:r>
    <w:r w:rsidRPr="00D84449">
      <w:rPr>
        <w:sz w:val="20"/>
      </w:rPr>
      <w:tab/>
      <w:t>OMB # 1545-1432</w:t>
    </w:r>
  </w:p>
  <w:p w:rsidR="003A509D" w:rsidRDefault="003A5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4607CA"/>
    <w:lvl w:ilvl="0">
      <w:start w:val="2"/>
      <w:numFmt w:val="upperLetter"/>
      <w:pStyle w:val="Heading1"/>
      <w:lvlText w:val="%1."/>
      <w:legacy w:legacy="1" w:legacySpace="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77102040"/>
    <w:lvl w:ilvl="0">
      <w:numFmt w:val="bullet"/>
      <w:lvlText w:val="*"/>
      <w:lvlJc w:val="left"/>
    </w:lvl>
  </w:abstractNum>
  <w:abstractNum w:abstractNumId="2">
    <w:nsid w:val="02F348D9"/>
    <w:multiLevelType w:val="hybridMultilevel"/>
    <w:tmpl w:val="2FC4D58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10275"/>
    <w:multiLevelType w:val="hybridMultilevel"/>
    <w:tmpl w:val="FD98773E"/>
    <w:lvl w:ilvl="0" w:tplc="CC6A8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24DFD"/>
    <w:multiLevelType w:val="hybridMultilevel"/>
    <w:tmpl w:val="8326AF18"/>
    <w:lvl w:ilvl="0" w:tplc="FB5EC906">
      <w:start w:val="1"/>
      <w:numFmt w:val="decimal"/>
      <w:lvlText w:val="%1."/>
      <w:lvlJc w:val="left"/>
      <w:pPr>
        <w:ind w:left="1800" w:hanging="360"/>
      </w:pPr>
      <w:rPr>
        <w:rFonts w:hint="default"/>
        <w:b/>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318A3"/>
    <w:multiLevelType w:val="hybridMultilevel"/>
    <w:tmpl w:val="42A40366"/>
    <w:lvl w:ilvl="0" w:tplc="2D706B1A">
      <w:numFmt w:val="bullet"/>
      <w:lvlText w:val="-"/>
      <w:lvlJc w:val="left"/>
      <w:pPr>
        <w:tabs>
          <w:tab w:val="num" w:pos="2880"/>
        </w:tabs>
        <w:ind w:left="2880" w:hanging="360"/>
      </w:pPr>
      <w:rPr>
        <w:rFonts w:ascii="Rockwell" w:eastAsia="Times New Roman" w:hAnsi="Rockwel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E7938B6"/>
    <w:multiLevelType w:val="hybridMultilevel"/>
    <w:tmpl w:val="D69A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23A5D"/>
    <w:multiLevelType w:val="hybridMultilevel"/>
    <w:tmpl w:val="6012F5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55987A79"/>
    <w:multiLevelType w:val="hybridMultilevel"/>
    <w:tmpl w:val="6AC203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571D2B77"/>
    <w:multiLevelType w:val="hybridMultilevel"/>
    <w:tmpl w:val="6B4A8644"/>
    <w:lvl w:ilvl="0" w:tplc="39E098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77DD9"/>
    <w:multiLevelType w:val="hybridMultilevel"/>
    <w:tmpl w:val="712AB116"/>
    <w:lvl w:ilvl="0" w:tplc="4FE8CD4A">
      <w:start w:val="1"/>
      <w:numFmt w:val="bullet"/>
      <w:pStyle w:val="Normal11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1487C"/>
    <w:multiLevelType w:val="multilevel"/>
    <w:tmpl w:val="FF2CB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12705"/>
    <w:multiLevelType w:val="hybridMultilevel"/>
    <w:tmpl w:val="8AF8E722"/>
    <w:lvl w:ilvl="0" w:tplc="B2B8AE6E">
      <w:start w:val="1"/>
      <w:numFmt w:val="decimal"/>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20A465D"/>
    <w:multiLevelType w:val="hybridMultilevel"/>
    <w:tmpl w:val="8A823F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B256F9"/>
    <w:multiLevelType w:val="hybridMultilevel"/>
    <w:tmpl w:val="AD1CBC6C"/>
    <w:lvl w:ilvl="0" w:tplc="E51AC8D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3"/>
  </w:num>
  <w:num w:numId="4">
    <w:abstractNumId w:val="22"/>
  </w:num>
  <w:num w:numId="5">
    <w:abstractNumId w:val="11"/>
  </w:num>
  <w:num w:numId="6">
    <w:abstractNumId w:val="28"/>
  </w:num>
  <w:num w:numId="7">
    <w:abstractNumId w:val="6"/>
  </w:num>
  <w:num w:numId="8">
    <w:abstractNumId w:val="26"/>
  </w:num>
  <w:num w:numId="9">
    <w:abstractNumId w:val="12"/>
  </w:num>
  <w:num w:numId="10">
    <w:abstractNumId w:val="7"/>
  </w:num>
  <w:num w:numId="11">
    <w:abstractNumId w:val="30"/>
  </w:num>
  <w:num w:numId="12">
    <w:abstractNumId w:val="19"/>
  </w:num>
  <w:num w:numId="13">
    <w:abstractNumId w:val="13"/>
  </w:num>
  <w:num w:numId="14">
    <w:abstractNumId w:val="24"/>
  </w:num>
  <w:num w:numId="15">
    <w:abstractNumId w:val="3"/>
  </w:num>
  <w:num w:numId="16">
    <w:abstractNumId w:val="14"/>
  </w:num>
  <w:num w:numId="17">
    <w:abstractNumId w:val="4"/>
  </w:num>
  <w:num w:numId="18">
    <w:abstractNumId w:val="10"/>
  </w:num>
  <w:num w:numId="19">
    <w:abstractNumId w:val="31"/>
  </w:num>
  <w:num w:numId="20">
    <w:abstractNumId w:val="15"/>
  </w:num>
  <w:num w:numId="21">
    <w:abstractNumId w:val="25"/>
  </w:num>
  <w:num w:numId="22">
    <w:abstractNumId w:val="21"/>
  </w:num>
  <w:num w:numId="23">
    <w:abstractNumId w:val="5"/>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17"/>
  </w:num>
  <w:num w:numId="31">
    <w:abstractNumId w:val="32"/>
  </w:num>
  <w:num w:numId="32">
    <w:abstractNumId w:val="20"/>
  </w:num>
  <w:num w:numId="33">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8"/>
    <w:rsid w:val="00000907"/>
    <w:rsid w:val="000056D4"/>
    <w:rsid w:val="000070CF"/>
    <w:rsid w:val="0001430F"/>
    <w:rsid w:val="0002005C"/>
    <w:rsid w:val="00023D91"/>
    <w:rsid w:val="00025B5F"/>
    <w:rsid w:val="00036E3F"/>
    <w:rsid w:val="00037AA3"/>
    <w:rsid w:val="0006181A"/>
    <w:rsid w:val="00063799"/>
    <w:rsid w:val="0007008C"/>
    <w:rsid w:val="00071740"/>
    <w:rsid w:val="00074BD4"/>
    <w:rsid w:val="00080EA0"/>
    <w:rsid w:val="0008469C"/>
    <w:rsid w:val="000860C3"/>
    <w:rsid w:val="00086282"/>
    <w:rsid w:val="00091442"/>
    <w:rsid w:val="00093AB7"/>
    <w:rsid w:val="000A16C5"/>
    <w:rsid w:val="000A51C7"/>
    <w:rsid w:val="000B1E8E"/>
    <w:rsid w:val="000C1E2E"/>
    <w:rsid w:val="000C5A39"/>
    <w:rsid w:val="000D1772"/>
    <w:rsid w:val="000D3C24"/>
    <w:rsid w:val="000D552B"/>
    <w:rsid w:val="000D5600"/>
    <w:rsid w:val="000F001B"/>
    <w:rsid w:val="000F1311"/>
    <w:rsid w:val="000F68EC"/>
    <w:rsid w:val="000F7EDF"/>
    <w:rsid w:val="001011C2"/>
    <w:rsid w:val="00102C8A"/>
    <w:rsid w:val="001074CE"/>
    <w:rsid w:val="0010752D"/>
    <w:rsid w:val="00107AA7"/>
    <w:rsid w:val="0011241E"/>
    <w:rsid w:val="00113627"/>
    <w:rsid w:val="00115625"/>
    <w:rsid w:val="0011613E"/>
    <w:rsid w:val="00116EFE"/>
    <w:rsid w:val="001205CA"/>
    <w:rsid w:val="00122532"/>
    <w:rsid w:val="001305B5"/>
    <w:rsid w:val="00136494"/>
    <w:rsid w:val="00143861"/>
    <w:rsid w:val="001444E5"/>
    <w:rsid w:val="0015211D"/>
    <w:rsid w:val="001528B7"/>
    <w:rsid w:val="001535DE"/>
    <w:rsid w:val="00156095"/>
    <w:rsid w:val="00157151"/>
    <w:rsid w:val="00160639"/>
    <w:rsid w:val="00165D72"/>
    <w:rsid w:val="00170575"/>
    <w:rsid w:val="001741B0"/>
    <w:rsid w:val="001753A0"/>
    <w:rsid w:val="00176DF2"/>
    <w:rsid w:val="00180B2C"/>
    <w:rsid w:val="0018118A"/>
    <w:rsid w:val="00184128"/>
    <w:rsid w:val="001861B3"/>
    <w:rsid w:val="00186215"/>
    <w:rsid w:val="001A2C58"/>
    <w:rsid w:val="001A7BD5"/>
    <w:rsid w:val="001B730E"/>
    <w:rsid w:val="001C48FA"/>
    <w:rsid w:val="001C7126"/>
    <w:rsid w:val="001D05CA"/>
    <w:rsid w:val="001D57F8"/>
    <w:rsid w:val="001D5C91"/>
    <w:rsid w:val="001E0352"/>
    <w:rsid w:val="001E0817"/>
    <w:rsid w:val="001E5E02"/>
    <w:rsid w:val="001F0842"/>
    <w:rsid w:val="00205563"/>
    <w:rsid w:val="00206948"/>
    <w:rsid w:val="002145D6"/>
    <w:rsid w:val="00215321"/>
    <w:rsid w:val="0022787B"/>
    <w:rsid w:val="00231BED"/>
    <w:rsid w:val="002322ED"/>
    <w:rsid w:val="00237348"/>
    <w:rsid w:val="002423EB"/>
    <w:rsid w:val="00245C68"/>
    <w:rsid w:val="00253526"/>
    <w:rsid w:val="002565A6"/>
    <w:rsid w:val="00260862"/>
    <w:rsid w:val="00263C19"/>
    <w:rsid w:val="00267DA6"/>
    <w:rsid w:val="00270661"/>
    <w:rsid w:val="00277807"/>
    <w:rsid w:val="002803D3"/>
    <w:rsid w:val="00290C7C"/>
    <w:rsid w:val="00292CC3"/>
    <w:rsid w:val="002A2800"/>
    <w:rsid w:val="002A5456"/>
    <w:rsid w:val="002B38F3"/>
    <w:rsid w:val="002B54E0"/>
    <w:rsid w:val="002B60C0"/>
    <w:rsid w:val="002C0F72"/>
    <w:rsid w:val="002C2B2D"/>
    <w:rsid w:val="002C2B4C"/>
    <w:rsid w:val="002D2A19"/>
    <w:rsid w:val="002D486D"/>
    <w:rsid w:val="002D5B76"/>
    <w:rsid w:val="002D5B7C"/>
    <w:rsid w:val="002D6404"/>
    <w:rsid w:val="002D6E0F"/>
    <w:rsid w:val="002E1047"/>
    <w:rsid w:val="002E5067"/>
    <w:rsid w:val="002E558E"/>
    <w:rsid w:val="002E5D76"/>
    <w:rsid w:val="002E6755"/>
    <w:rsid w:val="002F5A0E"/>
    <w:rsid w:val="002F6207"/>
    <w:rsid w:val="00305A6B"/>
    <w:rsid w:val="00306232"/>
    <w:rsid w:val="003101AC"/>
    <w:rsid w:val="003101D1"/>
    <w:rsid w:val="00311845"/>
    <w:rsid w:val="00313E69"/>
    <w:rsid w:val="0031481C"/>
    <w:rsid w:val="00314FCD"/>
    <w:rsid w:val="003167C7"/>
    <w:rsid w:val="0031759A"/>
    <w:rsid w:val="00320381"/>
    <w:rsid w:val="00330F43"/>
    <w:rsid w:val="0033196C"/>
    <w:rsid w:val="00332175"/>
    <w:rsid w:val="0033330E"/>
    <w:rsid w:val="00333882"/>
    <w:rsid w:val="00346F4B"/>
    <w:rsid w:val="00347685"/>
    <w:rsid w:val="00360DA9"/>
    <w:rsid w:val="00362FDC"/>
    <w:rsid w:val="00370013"/>
    <w:rsid w:val="00370087"/>
    <w:rsid w:val="0037127D"/>
    <w:rsid w:val="00371A81"/>
    <w:rsid w:val="00371AEB"/>
    <w:rsid w:val="003744E6"/>
    <w:rsid w:val="003753FF"/>
    <w:rsid w:val="00376DEB"/>
    <w:rsid w:val="00385C21"/>
    <w:rsid w:val="00387C00"/>
    <w:rsid w:val="00395FD6"/>
    <w:rsid w:val="003A21B9"/>
    <w:rsid w:val="003A3E9F"/>
    <w:rsid w:val="003A4FE9"/>
    <w:rsid w:val="003A509D"/>
    <w:rsid w:val="003B1ABE"/>
    <w:rsid w:val="003B2BD5"/>
    <w:rsid w:val="003B3126"/>
    <w:rsid w:val="003C18EC"/>
    <w:rsid w:val="003C4370"/>
    <w:rsid w:val="003C67EE"/>
    <w:rsid w:val="003C70D6"/>
    <w:rsid w:val="003D6B0F"/>
    <w:rsid w:val="003E50AF"/>
    <w:rsid w:val="003F27C9"/>
    <w:rsid w:val="00403874"/>
    <w:rsid w:val="00412E8F"/>
    <w:rsid w:val="004133EE"/>
    <w:rsid w:val="004231B7"/>
    <w:rsid w:val="00426624"/>
    <w:rsid w:val="004411B2"/>
    <w:rsid w:val="004537CE"/>
    <w:rsid w:val="0045466B"/>
    <w:rsid w:val="00454D71"/>
    <w:rsid w:val="004631B2"/>
    <w:rsid w:val="00463536"/>
    <w:rsid w:val="00463B9C"/>
    <w:rsid w:val="00474E15"/>
    <w:rsid w:val="0047526C"/>
    <w:rsid w:val="004816DF"/>
    <w:rsid w:val="0048644F"/>
    <w:rsid w:val="0049289D"/>
    <w:rsid w:val="00493F1E"/>
    <w:rsid w:val="00495325"/>
    <w:rsid w:val="004A1915"/>
    <w:rsid w:val="004A5145"/>
    <w:rsid w:val="004A7263"/>
    <w:rsid w:val="004B0361"/>
    <w:rsid w:val="004B1BE0"/>
    <w:rsid w:val="004B5394"/>
    <w:rsid w:val="004C108E"/>
    <w:rsid w:val="004C1AF2"/>
    <w:rsid w:val="004E3D3E"/>
    <w:rsid w:val="004F6F4D"/>
    <w:rsid w:val="00501077"/>
    <w:rsid w:val="00504327"/>
    <w:rsid w:val="005048B1"/>
    <w:rsid w:val="00515097"/>
    <w:rsid w:val="00520A61"/>
    <w:rsid w:val="0052791C"/>
    <w:rsid w:val="00533079"/>
    <w:rsid w:val="00533B32"/>
    <w:rsid w:val="0053598A"/>
    <w:rsid w:val="00543406"/>
    <w:rsid w:val="005446B2"/>
    <w:rsid w:val="00544C8E"/>
    <w:rsid w:val="00546D5D"/>
    <w:rsid w:val="00555021"/>
    <w:rsid w:val="00556331"/>
    <w:rsid w:val="00561DE5"/>
    <w:rsid w:val="00562222"/>
    <w:rsid w:val="00562774"/>
    <w:rsid w:val="005636AE"/>
    <w:rsid w:val="00563BDC"/>
    <w:rsid w:val="005650D2"/>
    <w:rsid w:val="00565123"/>
    <w:rsid w:val="00565E0F"/>
    <w:rsid w:val="00567595"/>
    <w:rsid w:val="00575301"/>
    <w:rsid w:val="00582BD6"/>
    <w:rsid w:val="00590506"/>
    <w:rsid w:val="00593437"/>
    <w:rsid w:val="005A09F3"/>
    <w:rsid w:val="005A27F4"/>
    <w:rsid w:val="005A7A8B"/>
    <w:rsid w:val="005B4402"/>
    <w:rsid w:val="005B644C"/>
    <w:rsid w:val="005B6B26"/>
    <w:rsid w:val="005C29AC"/>
    <w:rsid w:val="005C2C5A"/>
    <w:rsid w:val="005C353B"/>
    <w:rsid w:val="005C51E4"/>
    <w:rsid w:val="005E22CD"/>
    <w:rsid w:val="005E3449"/>
    <w:rsid w:val="005E34FB"/>
    <w:rsid w:val="005F3C64"/>
    <w:rsid w:val="005F448C"/>
    <w:rsid w:val="006071A3"/>
    <w:rsid w:val="00607483"/>
    <w:rsid w:val="00611004"/>
    <w:rsid w:val="00611859"/>
    <w:rsid w:val="006156BB"/>
    <w:rsid w:val="00616718"/>
    <w:rsid w:val="00620E76"/>
    <w:rsid w:val="0062145B"/>
    <w:rsid w:val="00622C5D"/>
    <w:rsid w:val="00622D32"/>
    <w:rsid w:val="00625C0F"/>
    <w:rsid w:val="006368FE"/>
    <w:rsid w:val="00640E12"/>
    <w:rsid w:val="00647ED8"/>
    <w:rsid w:val="00651CEF"/>
    <w:rsid w:val="00653C9F"/>
    <w:rsid w:val="0066232D"/>
    <w:rsid w:val="00665056"/>
    <w:rsid w:val="00670158"/>
    <w:rsid w:val="0067047B"/>
    <w:rsid w:val="00670EF2"/>
    <w:rsid w:val="00671180"/>
    <w:rsid w:val="00673FD0"/>
    <w:rsid w:val="00674213"/>
    <w:rsid w:val="00676B47"/>
    <w:rsid w:val="0068354C"/>
    <w:rsid w:val="00690811"/>
    <w:rsid w:val="0069350B"/>
    <w:rsid w:val="00693D30"/>
    <w:rsid w:val="0069440C"/>
    <w:rsid w:val="0069499A"/>
    <w:rsid w:val="006A2122"/>
    <w:rsid w:val="006A2592"/>
    <w:rsid w:val="006A2E3F"/>
    <w:rsid w:val="006A65B4"/>
    <w:rsid w:val="006A76E1"/>
    <w:rsid w:val="006B76D6"/>
    <w:rsid w:val="006C441D"/>
    <w:rsid w:val="006C72D5"/>
    <w:rsid w:val="006D02A7"/>
    <w:rsid w:val="006D072A"/>
    <w:rsid w:val="006D110A"/>
    <w:rsid w:val="006D30EC"/>
    <w:rsid w:val="006E03B7"/>
    <w:rsid w:val="006E1D66"/>
    <w:rsid w:val="006E3C2E"/>
    <w:rsid w:val="006E73FA"/>
    <w:rsid w:val="006F0970"/>
    <w:rsid w:val="006F1739"/>
    <w:rsid w:val="006F394B"/>
    <w:rsid w:val="006F4BCA"/>
    <w:rsid w:val="00700292"/>
    <w:rsid w:val="00711B5C"/>
    <w:rsid w:val="00716C24"/>
    <w:rsid w:val="00717844"/>
    <w:rsid w:val="007242C8"/>
    <w:rsid w:val="007257F7"/>
    <w:rsid w:val="00730D94"/>
    <w:rsid w:val="007341B0"/>
    <w:rsid w:val="00737348"/>
    <w:rsid w:val="007468DC"/>
    <w:rsid w:val="0075027C"/>
    <w:rsid w:val="00753D58"/>
    <w:rsid w:val="00754CD1"/>
    <w:rsid w:val="0075529F"/>
    <w:rsid w:val="00772303"/>
    <w:rsid w:val="00785E49"/>
    <w:rsid w:val="00792ADA"/>
    <w:rsid w:val="00797926"/>
    <w:rsid w:val="007A1546"/>
    <w:rsid w:val="007A1CC4"/>
    <w:rsid w:val="007A4ACF"/>
    <w:rsid w:val="007A4F13"/>
    <w:rsid w:val="007A6F40"/>
    <w:rsid w:val="007B0411"/>
    <w:rsid w:val="007B09F9"/>
    <w:rsid w:val="007B0F60"/>
    <w:rsid w:val="007B1281"/>
    <w:rsid w:val="007B19F9"/>
    <w:rsid w:val="007C0F68"/>
    <w:rsid w:val="007E617B"/>
    <w:rsid w:val="007F1E16"/>
    <w:rsid w:val="008041E2"/>
    <w:rsid w:val="0080585F"/>
    <w:rsid w:val="008155B4"/>
    <w:rsid w:val="008177DE"/>
    <w:rsid w:val="00820376"/>
    <w:rsid w:val="00827992"/>
    <w:rsid w:val="00831EE6"/>
    <w:rsid w:val="00841B8C"/>
    <w:rsid w:val="00842FAC"/>
    <w:rsid w:val="00847AF4"/>
    <w:rsid w:val="00851FCC"/>
    <w:rsid w:val="00855A84"/>
    <w:rsid w:val="00865D3D"/>
    <w:rsid w:val="00866803"/>
    <w:rsid w:val="0086680B"/>
    <w:rsid w:val="0086685B"/>
    <w:rsid w:val="00870400"/>
    <w:rsid w:val="00873F5C"/>
    <w:rsid w:val="008809B2"/>
    <w:rsid w:val="00882AC2"/>
    <w:rsid w:val="00884507"/>
    <w:rsid w:val="008961AA"/>
    <w:rsid w:val="008B76F5"/>
    <w:rsid w:val="008B7956"/>
    <w:rsid w:val="008C153D"/>
    <w:rsid w:val="008C66A9"/>
    <w:rsid w:val="008D3989"/>
    <w:rsid w:val="008E15DA"/>
    <w:rsid w:val="008E18B7"/>
    <w:rsid w:val="008E5B95"/>
    <w:rsid w:val="008E5C54"/>
    <w:rsid w:val="008F4CB9"/>
    <w:rsid w:val="008F56A5"/>
    <w:rsid w:val="009002D1"/>
    <w:rsid w:val="0090062E"/>
    <w:rsid w:val="00901D5C"/>
    <w:rsid w:val="009101A6"/>
    <w:rsid w:val="0091564C"/>
    <w:rsid w:val="00915998"/>
    <w:rsid w:val="0091642D"/>
    <w:rsid w:val="0092592E"/>
    <w:rsid w:val="00926FF2"/>
    <w:rsid w:val="00927CFF"/>
    <w:rsid w:val="00932329"/>
    <w:rsid w:val="00934CB4"/>
    <w:rsid w:val="00935609"/>
    <w:rsid w:val="009452E1"/>
    <w:rsid w:val="00945E83"/>
    <w:rsid w:val="00946E00"/>
    <w:rsid w:val="00951F74"/>
    <w:rsid w:val="00955078"/>
    <w:rsid w:val="00960E38"/>
    <w:rsid w:val="009632A2"/>
    <w:rsid w:val="00970B5E"/>
    <w:rsid w:val="00975D76"/>
    <w:rsid w:val="00981C73"/>
    <w:rsid w:val="00981FAB"/>
    <w:rsid w:val="00983E3D"/>
    <w:rsid w:val="00991572"/>
    <w:rsid w:val="009931B3"/>
    <w:rsid w:val="00997BA9"/>
    <w:rsid w:val="009A0BB8"/>
    <w:rsid w:val="009A22D2"/>
    <w:rsid w:val="009A4B16"/>
    <w:rsid w:val="009A51BE"/>
    <w:rsid w:val="009B15B6"/>
    <w:rsid w:val="009B389F"/>
    <w:rsid w:val="009B5D47"/>
    <w:rsid w:val="009C3EFD"/>
    <w:rsid w:val="009D33E7"/>
    <w:rsid w:val="009D6996"/>
    <w:rsid w:val="009E0BBA"/>
    <w:rsid w:val="009F395B"/>
    <w:rsid w:val="009F4699"/>
    <w:rsid w:val="009F6540"/>
    <w:rsid w:val="00A1471B"/>
    <w:rsid w:val="00A16100"/>
    <w:rsid w:val="00A17379"/>
    <w:rsid w:val="00A2085F"/>
    <w:rsid w:val="00A2157E"/>
    <w:rsid w:val="00A22910"/>
    <w:rsid w:val="00A30663"/>
    <w:rsid w:val="00A30CF0"/>
    <w:rsid w:val="00A32DFC"/>
    <w:rsid w:val="00A35189"/>
    <w:rsid w:val="00A37BC7"/>
    <w:rsid w:val="00A435C2"/>
    <w:rsid w:val="00A44C2B"/>
    <w:rsid w:val="00A45530"/>
    <w:rsid w:val="00A45896"/>
    <w:rsid w:val="00A505D1"/>
    <w:rsid w:val="00A64A29"/>
    <w:rsid w:val="00A71C65"/>
    <w:rsid w:val="00A73EED"/>
    <w:rsid w:val="00A75371"/>
    <w:rsid w:val="00A75C49"/>
    <w:rsid w:val="00A808E8"/>
    <w:rsid w:val="00A8358C"/>
    <w:rsid w:val="00A944A2"/>
    <w:rsid w:val="00A95EFF"/>
    <w:rsid w:val="00A96AD3"/>
    <w:rsid w:val="00AA2FDD"/>
    <w:rsid w:val="00AA3AB4"/>
    <w:rsid w:val="00AA4259"/>
    <w:rsid w:val="00AA4B68"/>
    <w:rsid w:val="00AC0BB1"/>
    <w:rsid w:val="00AD29FB"/>
    <w:rsid w:val="00AD6AE3"/>
    <w:rsid w:val="00AE4623"/>
    <w:rsid w:val="00AF0483"/>
    <w:rsid w:val="00AF1307"/>
    <w:rsid w:val="00AF348D"/>
    <w:rsid w:val="00AF483B"/>
    <w:rsid w:val="00B0087C"/>
    <w:rsid w:val="00B02313"/>
    <w:rsid w:val="00B1089E"/>
    <w:rsid w:val="00B10D6E"/>
    <w:rsid w:val="00B1585E"/>
    <w:rsid w:val="00B3344F"/>
    <w:rsid w:val="00B341A9"/>
    <w:rsid w:val="00B34CCE"/>
    <w:rsid w:val="00B36C48"/>
    <w:rsid w:val="00B44CB7"/>
    <w:rsid w:val="00B50376"/>
    <w:rsid w:val="00B53BA1"/>
    <w:rsid w:val="00B54C1E"/>
    <w:rsid w:val="00B61A1E"/>
    <w:rsid w:val="00B62CD3"/>
    <w:rsid w:val="00B661D3"/>
    <w:rsid w:val="00B670ED"/>
    <w:rsid w:val="00B74EAE"/>
    <w:rsid w:val="00B753B4"/>
    <w:rsid w:val="00B81ACA"/>
    <w:rsid w:val="00B83CAA"/>
    <w:rsid w:val="00B856AE"/>
    <w:rsid w:val="00B9575C"/>
    <w:rsid w:val="00B967F7"/>
    <w:rsid w:val="00B97C6B"/>
    <w:rsid w:val="00BA13C6"/>
    <w:rsid w:val="00BA1A43"/>
    <w:rsid w:val="00BA4B60"/>
    <w:rsid w:val="00BA68C1"/>
    <w:rsid w:val="00BB0E67"/>
    <w:rsid w:val="00BB5983"/>
    <w:rsid w:val="00BC195B"/>
    <w:rsid w:val="00BC2D0D"/>
    <w:rsid w:val="00BC501D"/>
    <w:rsid w:val="00BC55C8"/>
    <w:rsid w:val="00BD2B24"/>
    <w:rsid w:val="00BE1822"/>
    <w:rsid w:val="00BE5528"/>
    <w:rsid w:val="00BE577C"/>
    <w:rsid w:val="00BF2837"/>
    <w:rsid w:val="00C02C38"/>
    <w:rsid w:val="00C065D0"/>
    <w:rsid w:val="00C105E3"/>
    <w:rsid w:val="00C11A69"/>
    <w:rsid w:val="00C150F9"/>
    <w:rsid w:val="00C2021A"/>
    <w:rsid w:val="00C214B4"/>
    <w:rsid w:val="00C24D11"/>
    <w:rsid w:val="00C310C3"/>
    <w:rsid w:val="00C32EFA"/>
    <w:rsid w:val="00C35F1C"/>
    <w:rsid w:val="00C37516"/>
    <w:rsid w:val="00C37F9C"/>
    <w:rsid w:val="00C41E43"/>
    <w:rsid w:val="00C57B49"/>
    <w:rsid w:val="00C57FA1"/>
    <w:rsid w:val="00C57FE3"/>
    <w:rsid w:val="00C61532"/>
    <w:rsid w:val="00C63570"/>
    <w:rsid w:val="00C648AA"/>
    <w:rsid w:val="00C656F1"/>
    <w:rsid w:val="00C66D90"/>
    <w:rsid w:val="00C7170C"/>
    <w:rsid w:val="00C927DC"/>
    <w:rsid w:val="00C94BCF"/>
    <w:rsid w:val="00CA1F9E"/>
    <w:rsid w:val="00CB13AE"/>
    <w:rsid w:val="00CB37BD"/>
    <w:rsid w:val="00CB3968"/>
    <w:rsid w:val="00CB3EFB"/>
    <w:rsid w:val="00CC138A"/>
    <w:rsid w:val="00CE0AD4"/>
    <w:rsid w:val="00CE10F5"/>
    <w:rsid w:val="00CE47F9"/>
    <w:rsid w:val="00CE693A"/>
    <w:rsid w:val="00CF1EBC"/>
    <w:rsid w:val="00CF36F7"/>
    <w:rsid w:val="00CF7790"/>
    <w:rsid w:val="00D000A0"/>
    <w:rsid w:val="00D15715"/>
    <w:rsid w:val="00D20F48"/>
    <w:rsid w:val="00D2794A"/>
    <w:rsid w:val="00D279E3"/>
    <w:rsid w:val="00D27A6F"/>
    <w:rsid w:val="00D3039A"/>
    <w:rsid w:val="00D367C3"/>
    <w:rsid w:val="00D41CB5"/>
    <w:rsid w:val="00D4546B"/>
    <w:rsid w:val="00D51C4B"/>
    <w:rsid w:val="00D540D6"/>
    <w:rsid w:val="00D618FC"/>
    <w:rsid w:val="00D620D1"/>
    <w:rsid w:val="00D64C03"/>
    <w:rsid w:val="00D72D5B"/>
    <w:rsid w:val="00D74025"/>
    <w:rsid w:val="00D748C8"/>
    <w:rsid w:val="00D76C8B"/>
    <w:rsid w:val="00D84449"/>
    <w:rsid w:val="00D86417"/>
    <w:rsid w:val="00D91D5A"/>
    <w:rsid w:val="00D92CC7"/>
    <w:rsid w:val="00DA5757"/>
    <w:rsid w:val="00DB438F"/>
    <w:rsid w:val="00DB65F7"/>
    <w:rsid w:val="00DC0489"/>
    <w:rsid w:val="00DC28D6"/>
    <w:rsid w:val="00DC4403"/>
    <w:rsid w:val="00DC699B"/>
    <w:rsid w:val="00DC79DA"/>
    <w:rsid w:val="00DD3449"/>
    <w:rsid w:val="00DD3FB4"/>
    <w:rsid w:val="00DD46B6"/>
    <w:rsid w:val="00DD4D9C"/>
    <w:rsid w:val="00DE2B76"/>
    <w:rsid w:val="00DE30DD"/>
    <w:rsid w:val="00DE3C56"/>
    <w:rsid w:val="00DE4A31"/>
    <w:rsid w:val="00DF03C8"/>
    <w:rsid w:val="00DF66A3"/>
    <w:rsid w:val="00E02B7A"/>
    <w:rsid w:val="00E02FDE"/>
    <w:rsid w:val="00E135F1"/>
    <w:rsid w:val="00E219FB"/>
    <w:rsid w:val="00E25B1E"/>
    <w:rsid w:val="00E30422"/>
    <w:rsid w:val="00E3152E"/>
    <w:rsid w:val="00E43115"/>
    <w:rsid w:val="00E454B6"/>
    <w:rsid w:val="00E51CAA"/>
    <w:rsid w:val="00E56F37"/>
    <w:rsid w:val="00E62872"/>
    <w:rsid w:val="00E70D9C"/>
    <w:rsid w:val="00E72051"/>
    <w:rsid w:val="00E72DBB"/>
    <w:rsid w:val="00E7558F"/>
    <w:rsid w:val="00E81D3F"/>
    <w:rsid w:val="00E8527E"/>
    <w:rsid w:val="00EA13E6"/>
    <w:rsid w:val="00EA315E"/>
    <w:rsid w:val="00EB3E97"/>
    <w:rsid w:val="00EB46C2"/>
    <w:rsid w:val="00EB5390"/>
    <w:rsid w:val="00EC02D5"/>
    <w:rsid w:val="00EC250D"/>
    <w:rsid w:val="00ED1689"/>
    <w:rsid w:val="00ED4C37"/>
    <w:rsid w:val="00ED6221"/>
    <w:rsid w:val="00ED70F3"/>
    <w:rsid w:val="00EE255F"/>
    <w:rsid w:val="00EE291F"/>
    <w:rsid w:val="00EE2ECC"/>
    <w:rsid w:val="00EE336C"/>
    <w:rsid w:val="00EE6041"/>
    <w:rsid w:val="00EF0C29"/>
    <w:rsid w:val="00EF2251"/>
    <w:rsid w:val="00EF5CBF"/>
    <w:rsid w:val="00F07737"/>
    <w:rsid w:val="00F1192A"/>
    <w:rsid w:val="00F2168E"/>
    <w:rsid w:val="00F36AAD"/>
    <w:rsid w:val="00F424FE"/>
    <w:rsid w:val="00F426A4"/>
    <w:rsid w:val="00F46B56"/>
    <w:rsid w:val="00F4765B"/>
    <w:rsid w:val="00F50FD7"/>
    <w:rsid w:val="00F5218A"/>
    <w:rsid w:val="00F6613A"/>
    <w:rsid w:val="00F66836"/>
    <w:rsid w:val="00F66ED3"/>
    <w:rsid w:val="00F77C88"/>
    <w:rsid w:val="00F80210"/>
    <w:rsid w:val="00F83FF1"/>
    <w:rsid w:val="00F87CBD"/>
    <w:rsid w:val="00F90CB5"/>
    <w:rsid w:val="00F917A0"/>
    <w:rsid w:val="00F968F5"/>
    <w:rsid w:val="00FB0571"/>
    <w:rsid w:val="00FB0839"/>
    <w:rsid w:val="00FC04DE"/>
    <w:rsid w:val="00FC17CB"/>
    <w:rsid w:val="00FC36BE"/>
    <w:rsid w:val="00FC3C2C"/>
    <w:rsid w:val="00FC4994"/>
    <w:rsid w:val="00FC58B9"/>
    <w:rsid w:val="00FC5A66"/>
    <w:rsid w:val="00FD5D1F"/>
    <w:rsid w:val="00FD69D8"/>
    <w:rsid w:val="00FE3FBF"/>
    <w:rsid w:val="00FE4728"/>
    <w:rsid w:val="00FE4983"/>
    <w:rsid w:val="00FE75CB"/>
    <w:rsid w:val="00FF546B"/>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tabs>
        <w:tab w:val="left" w:pos="720"/>
      </w:tabs>
      <w:outlineLvl w:val="0"/>
    </w:pPr>
    <w:rPr>
      <w:rFonts w:ascii="Arial" w:hAnsi="Arial"/>
      <w:b/>
      <w:u w:val="single"/>
    </w:rPr>
  </w:style>
  <w:style w:type="paragraph" w:styleId="Heading2">
    <w:name w:val="heading 2"/>
    <w:basedOn w:val="Normal"/>
    <w:next w:val="Normal"/>
    <w:qFormat/>
    <w:pPr>
      <w:keepNext/>
      <w:outlineLvl w:val="1"/>
    </w:pPr>
    <w:rPr>
      <w:b/>
    </w:rPr>
  </w:style>
  <w:style w:type="paragraph" w:styleId="Heading4">
    <w:name w:val="heading 4"/>
    <w:basedOn w:val="Normal"/>
    <w:next w:val="Normal"/>
    <w:qFormat/>
    <w:rsid w:val="004537CE"/>
    <w:pPr>
      <w:keepNext/>
      <w:spacing w:before="240" w:after="60"/>
      <w:outlineLvl w:val="3"/>
    </w:pPr>
    <w:rPr>
      <w:b/>
      <w:bCs/>
      <w:sz w:val="28"/>
      <w:szCs w:val="28"/>
    </w:rPr>
  </w:style>
  <w:style w:type="paragraph" w:styleId="Heading5">
    <w:name w:val="heading 5"/>
    <w:basedOn w:val="Normal"/>
    <w:next w:val="Normal"/>
    <w:qFormat/>
    <w:pPr>
      <w:keepNext/>
      <w:ind w:right="-630"/>
      <w:outlineLvl w:val="4"/>
    </w:pPr>
    <w:rPr>
      <w:rFonts w:ascii="Arial" w:hAnsi="Arial"/>
      <w:b/>
      <w:color w:val="000000"/>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sz w:val="20"/>
      <w:u w:val="single"/>
    </w:rPr>
  </w:style>
  <w:style w:type="paragraph" w:styleId="BodyText2">
    <w:name w:val="Body Text 2"/>
    <w:basedOn w:val="Normal"/>
    <w:semiHidden/>
    <w:pPr>
      <w:ind w:left="36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paragraph" w:styleId="BodyText3">
    <w:name w:val="Body Text 3"/>
    <w:basedOn w:val="Normal"/>
    <w:semiHidden/>
    <w:rPr>
      <w:rFonts w:ascii="Arial" w:hAnsi="Arial"/>
      <w:color w:val="000000"/>
    </w:rPr>
  </w:style>
  <w:style w:type="paragraph" w:styleId="List">
    <w:name w:val="List"/>
    <w:basedOn w:val="Normal"/>
    <w:semiHidden/>
    <w:pPr>
      <w:ind w:left="360" w:hanging="360"/>
    </w:pPr>
    <w:rPr>
      <w:sz w:val="20"/>
    </w:rPr>
  </w:style>
  <w:style w:type="paragraph" w:styleId="BodyTextIndent3">
    <w:name w:val="Body Text Indent 3"/>
    <w:basedOn w:val="Normal"/>
    <w:semiHidden/>
    <w:pPr>
      <w:ind w:left="720" w:hanging="720"/>
    </w:pPr>
    <w:rPr>
      <w:rFonts w:ascii="Arial" w:hAnsi="Arial"/>
    </w:rPr>
  </w:style>
  <w:style w:type="character" w:styleId="FollowedHyperlink">
    <w:name w:val="FollowedHyperlink"/>
    <w:semiHidden/>
    <w:rPr>
      <w:color w:val="800080"/>
      <w:sz w:val="20"/>
      <w:u w:val="single"/>
    </w:rPr>
  </w:style>
  <w:style w:type="paragraph" w:styleId="BodyText">
    <w:name w:val="Body Text"/>
    <w:basedOn w:val="Normal"/>
    <w:semiHidden/>
    <w:rPr>
      <w:color w:val="FF00FF"/>
      <w:sz w:val="20"/>
    </w:rPr>
  </w:style>
  <w:style w:type="paragraph" w:styleId="BalloonText">
    <w:name w:val="Balloon Text"/>
    <w:basedOn w:val="Normal"/>
    <w:rPr>
      <w:rFonts w:ascii="Tahoma" w:hAnsi="Tahoma"/>
      <w:sz w:val="16"/>
    </w:rPr>
  </w:style>
  <w:style w:type="paragraph" w:styleId="NormalWeb">
    <w:name w:val="Normal (Web)"/>
    <w:basedOn w:val="Normal"/>
    <w:uiPriority w:val="99"/>
    <w:rsid w:val="00693D30"/>
    <w:pPr>
      <w:widowControl/>
      <w:overflowPunct/>
      <w:autoSpaceDE/>
      <w:autoSpaceDN/>
      <w:adjustRightInd/>
      <w:spacing w:before="100" w:beforeAutospacing="1" w:after="100" w:afterAutospacing="1"/>
      <w:textAlignment w:val="auto"/>
    </w:pPr>
    <w:rPr>
      <w:szCs w:val="24"/>
    </w:rPr>
  </w:style>
  <w:style w:type="table" w:styleId="TableGrid">
    <w:name w:val="Table Grid"/>
    <w:basedOn w:val="TableNormal"/>
    <w:rsid w:val="009D33E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semiHidden/>
    <w:rsid w:val="00901D5C"/>
    <w:pPr>
      <w:widowControl/>
      <w:overflowPunct/>
      <w:autoSpaceDE/>
      <w:autoSpaceDN/>
      <w:adjustRightInd/>
      <w:textAlignment w:val="auto"/>
    </w:pPr>
    <w:rPr>
      <w:rFonts w:cs="Arial"/>
      <w:bCs/>
    </w:rPr>
  </w:style>
  <w:style w:type="paragraph" w:styleId="BlockText">
    <w:name w:val="Block Text"/>
    <w:basedOn w:val="Normal"/>
    <w:semiHidden/>
    <w:rsid w:val="00901D5C"/>
    <w:pPr>
      <w:widowControl/>
      <w:overflowPunct/>
      <w:autoSpaceDE/>
      <w:autoSpaceDN/>
      <w:adjustRightInd/>
      <w:ind w:left="720" w:right="-180"/>
      <w:textAlignment w:val="auto"/>
    </w:pPr>
  </w:style>
  <w:style w:type="paragraph" w:customStyle="1" w:styleId="basic">
    <w:name w:val="basic"/>
    <w:basedOn w:val="Normal"/>
    <w:rsid w:val="00901D5C"/>
    <w:pPr>
      <w:widowControl/>
      <w:overflowPunct/>
      <w:autoSpaceDE/>
      <w:autoSpaceDN/>
      <w:adjustRightInd/>
      <w:textAlignment w:val="auto"/>
    </w:pPr>
    <w:rPr>
      <w:rFonts w:ascii="Arial" w:hAnsi="Arial" w:cs="Arial"/>
      <w:sz w:val="22"/>
      <w:szCs w:val="24"/>
    </w:rPr>
  </w:style>
  <w:style w:type="paragraph" w:customStyle="1" w:styleId="sectionstart">
    <w:name w:val="section start"/>
    <w:basedOn w:val="Normal"/>
    <w:rsid w:val="00901D5C"/>
    <w:pPr>
      <w:widowControl/>
      <w:pBdr>
        <w:top w:val="single" w:sz="4" w:space="4" w:color="FFFFFF"/>
        <w:bottom w:val="single" w:sz="4" w:space="4" w:color="FFFFFF"/>
      </w:pBdr>
      <w:shd w:val="clear" w:color="auto" w:fill="6689CC"/>
      <w:overflowPunct/>
      <w:autoSpaceDE/>
      <w:autoSpaceDN/>
      <w:adjustRightInd/>
      <w:spacing w:before="60" w:after="60"/>
      <w:jc w:val="center"/>
      <w:textAlignment w:val="auto"/>
    </w:pPr>
    <w:rPr>
      <w:rFonts w:ascii="Arial" w:hAnsi="Arial" w:cs="Arial"/>
      <w:b/>
      <w:bCs/>
      <w:color w:val="FFFFFF"/>
      <w:sz w:val="22"/>
      <w:szCs w:val="24"/>
    </w:rPr>
  </w:style>
  <w:style w:type="paragraph" w:customStyle="1" w:styleId="basicinstruction">
    <w:name w:val="basic instruction"/>
    <w:basedOn w:val="basic"/>
    <w:rsid w:val="00901D5C"/>
    <w:rPr>
      <w:b/>
      <w:bCs/>
      <w:smallCaps/>
    </w:rPr>
  </w:style>
  <w:style w:type="paragraph" w:customStyle="1" w:styleId="Quick1">
    <w:name w:val="Quick 1."/>
    <w:basedOn w:val="Normal"/>
    <w:rsid w:val="00901D5C"/>
    <w:pPr>
      <w:widowControl/>
      <w:overflowPunct/>
      <w:autoSpaceDE/>
      <w:autoSpaceDN/>
      <w:adjustRightInd/>
      <w:ind w:left="720" w:hanging="720"/>
      <w:textAlignment w:val="auto"/>
    </w:pPr>
    <w:rPr>
      <w:sz w:val="22"/>
    </w:rPr>
  </w:style>
  <w:style w:type="paragraph" w:customStyle="1" w:styleId="Normal11pt">
    <w:name w:val="Normal + 11 pt"/>
    <w:basedOn w:val="Normal"/>
    <w:rsid w:val="00332175"/>
    <w:pPr>
      <w:widowControl/>
      <w:numPr>
        <w:numId w:val="3"/>
      </w:numPr>
      <w:overflowPunct/>
      <w:autoSpaceDE/>
      <w:autoSpaceDN/>
      <w:adjustRightInd/>
      <w:textAlignment w:val="auto"/>
    </w:pPr>
    <w:rPr>
      <w:rFonts w:ascii="Arial" w:hAnsi="Arial"/>
      <w:sz w:val="22"/>
      <w:szCs w:val="24"/>
    </w:rPr>
  </w:style>
  <w:style w:type="character" w:styleId="Strong">
    <w:name w:val="Strong"/>
    <w:uiPriority w:val="22"/>
    <w:qFormat/>
    <w:rsid w:val="009F395B"/>
    <w:rPr>
      <w:b/>
      <w:bCs/>
    </w:rPr>
  </w:style>
  <w:style w:type="paragraph" w:styleId="ListParagraph">
    <w:name w:val="List Paragraph"/>
    <w:basedOn w:val="Normal"/>
    <w:qFormat/>
    <w:rsid w:val="00091442"/>
    <w:pPr>
      <w:widowControl/>
      <w:overflowPunct/>
      <w:autoSpaceDE/>
      <w:autoSpaceDN/>
      <w:adjustRightInd/>
      <w:ind w:left="720"/>
      <w:contextualSpacing/>
      <w:textAlignment w:val="auto"/>
    </w:pPr>
    <w:rPr>
      <w:szCs w:val="24"/>
    </w:rPr>
  </w:style>
  <w:style w:type="character" w:styleId="CommentReference">
    <w:name w:val="annotation reference"/>
    <w:uiPriority w:val="99"/>
    <w:semiHidden/>
    <w:unhideWhenUsed/>
    <w:rsid w:val="007A4ACF"/>
    <w:rPr>
      <w:sz w:val="16"/>
      <w:szCs w:val="16"/>
    </w:rPr>
  </w:style>
  <w:style w:type="paragraph" w:styleId="CommentText">
    <w:name w:val="annotation text"/>
    <w:basedOn w:val="Normal"/>
    <w:link w:val="CommentTextChar"/>
    <w:uiPriority w:val="99"/>
    <w:semiHidden/>
    <w:unhideWhenUsed/>
    <w:rsid w:val="007A4ACF"/>
    <w:rPr>
      <w:sz w:val="20"/>
    </w:rPr>
  </w:style>
  <w:style w:type="character" w:customStyle="1" w:styleId="CommentTextChar">
    <w:name w:val="Comment Text Char"/>
    <w:basedOn w:val="DefaultParagraphFont"/>
    <w:link w:val="CommentText"/>
    <w:uiPriority w:val="99"/>
    <w:semiHidden/>
    <w:rsid w:val="007A4ACF"/>
  </w:style>
  <w:style w:type="paragraph" w:styleId="CommentSubject">
    <w:name w:val="annotation subject"/>
    <w:basedOn w:val="CommentText"/>
    <w:next w:val="CommentText"/>
    <w:link w:val="CommentSubjectChar"/>
    <w:uiPriority w:val="99"/>
    <w:semiHidden/>
    <w:unhideWhenUsed/>
    <w:rsid w:val="007A4ACF"/>
    <w:rPr>
      <w:b/>
      <w:bCs/>
    </w:rPr>
  </w:style>
  <w:style w:type="character" w:customStyle="1" w:styleId="CommentSubjectChar">
    <w:name w:val="Comment Subject Char"/>
    <w:link w:val="CommentSubject"/>
    <w:uiPriority w:val="99"/>
    <w:semiHidden/>
    <w:rsid w:val="007A4ACF"/>
    <w:rPr>
      <w:b/>
      <w:bCs/>
    </w:rPr>
  </w:style>
  <w:style w:type="paragraph" w:styleId="FootnoteText">
    <w:name w:val="footnote text"/>
    <w:basedOn w:val="Normal"/>
    <w:link w:val="FootnoteTextChar"/>
    <w:uiPriority w:val="99"/>
    <w:semiHidden/>
    <w:unhideWhenUsed/>
    <w:rsid w:val="00371AEB"/>
    <w:rPr>
      <w:sz w:val="20"/>
    </w:rPr>
  </w:style>
  <w:style w:type="character" w:customStyle="1" w:styleId="FootnoteTextChar">
    <w:name w:val="Footnote Text Char"/>
    <w:basedOn w:val="DefaultParagraphFont"/>
    <w:link w:val="FootnoteText"/>
    <w:uiPriority w:val="99"/>
    <w:semiHidden/>
    <w:rsid w:val="00371AEB"/>
  </w:style>
  <w:style w:type="character" w:styleId="FootnoteReference">
    <w:name w:val="footnote reference"/>
    <w:uiPriority w:val="99"/>
    <w:unhideWhenUsed/>
    <w:rsid w:val="00371AEB"/>
    <w:rPr>
      <w:vertAlign w:val="superscript"/>
    </w:rPr>
  </w:style>
  <w:style w:type="character" w:styleId="Emphasis">
    <w:name w:val="Emphasis"/>
    <w:uiPriority w:val="20"/>
    <w:qFormat/>
    <w:rsid w:val="00AE4623"/>
    <w:rPr>
      <w:i/>
      <w:iCs/>
    </w:rPr>
  </w:style>
  <w:style w:type="character" w:customStyle="1" w:styleId="apple-converted-space">
    <w:name w:val="apple-converted-space"/>
    <w:rsid w:val="00AE4623"/>
  </w:style>
  <w:style w:type="paragraph" w:styleId="PlainText">
    <w:name w:val="Plain Text"/>
    <w:basedOn w:val="Normal"/>
    <w:link w:val="PlainTextChar"/>
    <w:uiPriority w:val="99"/>
    <w:semiHidden/>
    <w:unhideWhenUsed/>
    <w:rsid w:val="009A51BE"/>
    <w:pPr>
      <w:widowControl/>
      <w:overflowPunct/>
      <w:autoSpaceDE/>
      <w:autoSpaceDN/>
      <w:adjustRightInd/>
      <w:textAlignment w:val="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A51B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1266">
      <w:bodyDiv w:val="1"/>
      <w:marLeft w:val="0"/>
      <w:marRight w:val="0"/>
      <w:marTop w:val="0"/>
      <w:marBottom w:val="0"/>
      <w:divBdr>
        <w:top w:val="none" w:sz="0" w:space="0" w:color="auto"/>
        <w:left w:val="none" w:sz="0" w:space="0" w:color="auto"/>
        <w:bottom w:val="none" w:sz="0" w:space="0" w:color="auto"/>
        <w:right w:val="none" w:sz="0" w:space="0" w:color="auto"/>
      </w:divBdr>
    </w:div>
    <w:div w:id="733892795">
      <w:bodyDiv w:val="1"/>
      <w:marLeft w:val="0"/>
      <w:marRight w:val="0"/>
      <w:marTop w:val="0"/>
      <w:marBottom w:val="0"/>
      <w:divBdr>
        <w:top w:val="none" w:sz="0" w:space="0" w:color="auto"/>
        <w:left w:val="none" w:sz="0" w:space="0" w:color="auto"/>
        <w:bottom w:val="none" w:sz="0" w:space="0" w:color="auto"/>
        <w:right w:val="none" w:sz="0" w:space="0" w:color="auto"/>
      </w:divBdr>
    </w:div>
    <w:div w:id="1324167878">
      <w:bodyDiv w:val="1"/>
      <w:marLeft w:val="0"/>
      <w:marRight w:val="0"/>
      <w:marTop w:val="0"/>
      <w:marBottom w:val="0"/>
      <w:divBdr>
        <w:top w:val="none" w:sz="0" w:space="0" w:color="auto"/>
        <w:left w:val="none" w:sz="0" w:space="0" w:color="auto"/>
        <w:bottom w:val="none" w:sz="0" w:space="0" w:color="auto"/>
        <w:right w:val="none" w:sz="0" w:space="0" w:color="auto"/>
      </w:divBdr>
    </w:div>
    <w:div w:id="1569875581">
      <w:bodyDiv w:val="1"/>
      <w:marLeft w:val="0"/>
      <w:marRight w:val="0"/>
      <w:marTop w:val="0"/>
      <w:marBottom w:val="0"/>
      <w:divBdr>
        <w:top w:val="none" w:sz="0" w:space="0" w:color="auto"/>
        <w:left w:val="none" w:sz="0" w:space="0" w:color="auto"/>
        <w:bottom w:val="none" w:sz="0" w:space="0" w:color="auto"/>
        <w:right w:val="none" w:sz="0" w:space="0" w:color="auto"/>
      </w:divBdr>
    </w:div>
    <w:div w:id="1988436775">
      <w:bodyDiv w:val="1"/>
      <w:marLeft w:val="375"/>
      <w:marRight w:val="0"/>
      <w:marTop w:val="375"/>
      <w:marBottom w:val="0"/>
      <w:divBdr>
        <w:top w:val="none" w:sz="0" w:space="0" w:color="auto"/>
        <w:left w:val="none" w:sz="0" w:space="0" w:color="auto"/>
        <w:bottom w:val="none" w:sz="0" w:space="0" w:color="auto"/>
        <w:right w:val="none" w:sz="0" w:space="0" w:color="auto"/>
      </w:divBdr>
      <w:divsChild>
        <w:div w:id="398795090">
          <w:marLeft w:val="0"/>
          <w:marRight w:val="0"/>
          <w:marTop w:val="0"/>
          <w:marBottom w:val="0"/>
          <w:divBdr>
            <w:top w:val="none" w:sz="0" w:space="0" w:color="auto"/>
            <w:left w:val="none" w:sz="0" w:space="0" w:color="auto"/>
            <w:bottom w:val="none" w:sz="0" w:space="0" w:color="auto"/>
            <w:right w:val="none" w:sz="0" w:space="0" w:color="auto"/>
          </w:divBdr>
        </w:div>
        <w:div w:id="917446423">
          <w:marLeft w:val="0"/>
          <w:marRight w:val="0"/>
          <w:marTop w:val="0"/>
          <w:marBottom w:val="0"/>
          <w:divBdr>
            <w:top w:val="none" w:sz="0" w:space="0" w:color="auto"/>
            <w:left w:val="none" w:sz="0" w:space="0" w:color="auto"/>
            <w:bottom w:val="none" w:sz="0" w:space="0" w:color="auto"/>
            <w:right w:val="none" w:sz="0" w:space="0" w:color="auto"/>
          </w:divBdr>
        </w:div>
        <w:div w:id="1014570081">
          <w:marLeft w:val="0"/>
          <w:marRight w:val="0"/>
          <w:marTop w:val="0"/>
          <w:marBottom w:val="0"/>
          <w:divBdr>
            <w:top w:val="none" w:sz="0" w:space="0" w:color="auto"/>
            <w:left w:val="none" w:sz="0" w:space="0" w:color="auto"/>
            <w:bottom w:val="none" w:sz="0" w:space="0" w:color="auto"/>
            <w:right w:val="none" w:sz="0" w:space="0" w:color="auto"/>
          </w:divBdr>
        </w:div>
        <w:div w:id="1424492431">
          <w:marLeft w:val="0"/>
          <w:marRight w:val="0"/>
          <w:marTop w:val="0"/>
          <w:marBottom w:val="0"/>
          <w:divBdr>
            <w:top w:val="none" w:sz="0" w:space="0" w:color="auto"/>
            <w:left w:val="none" w:sz="0" w:space="0" w:color="auto"/>
            <w:bottom w:val="none" w:sz="0" w:space="0" w:color="auto"/>
            <w:right w:val="none" w:sz="0" w:space="0" w:color="auto"/>
          </w:divBdr>
        </w:div>
        <w:div w:id="1807775941">
          <w:marLeft w:val="0"/>
          <w:marRight w:val="0"/>
          <w:marTop w:val="0"/>
          <w:marBottom w:val="0"/>
          <w:divBdr>
            <w:top w:val="none" w:sz="0" w:space="0" w:color="auto"/>
            <w:left w:val="none" w:sz="0" w:space="0" w:color="auto"/>
            <w:bottom w:val="none" w:sz="0" w:space="0" w:color="auto"/>
            <w:right w:val="none" w:sz="0" w:space="0" w:color="auto"/>
          </w:divBdr>
        </w:div>
      </w:divsChild>
    </w:div>
    <w:div w:id="20317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C468-BA5A-495C-8AB5-41960906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STATEMENT OF WORK</vt:lpstr>
    </vt:vector>
  </TitlesOfParts>
  <Company>Micron Electronics, Inc.</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Don Wilt</dc:creator>
  <cp:lastModifiedBy>Kara Leibel</cp:lastModifiedBy>
  <cp:revision>4</cp:revision>
  <cp:lastPrinted>2015-10-07T20:35:00Z</cp:lastPrinted>
  <dcterms:created xsi:type="dcterms:W3CDTF">2016-08-22T14:38:00Z</dcterms:created>
  <dcterms:modified xsi:type="dcterms:W3CDTF">2016-08-22T15:18:00Z</dcterms:modified>
</cp:coreProperties>
</file>