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A3322" w14:textId="77777777" w:rsidR="00DF5D88" w:rsidRPr="009966F6" w:rsidRDefault="00DF5D88" w:rsidP="00EF46C2">
      <w:pPr>
        <w:pStyle w:val="H1Title"/>
        <w:spacing w:after="0"/>
        <w:jc w:val="center"/>
        <w:rPr>
          <w:color w:val="000000" w:themeColor="text1"/>
          <w:sz w:val="36"/>
          <w:szCs w:val="36"/>
        </w:rPr>
      </w:pPr>
      <w:bookmarkStart w:id="0" w:name="_GoBack"/>
      <w:bookmarkEnd w:id="0"/>
      <w:r w:rsidRPr="009966F6">
        <w:rPr>
          <w:color w:val="000000" w:themeColor="text1"/>
          <w:sz w:val="36"/>
          <w:szCs w:val="36"/>
        </w:rPr>
        <w:t xml:space="preserve">PARENT INFORMATION AND SCHOOL </w:t>
      </w:r>
      <w:r w:rsidR="005E4111">
        <w:rPr>
          <w:color w:val="000000" w:themeColor="text1"/>
          <w:sz w:val="36"/>
          <w:szCs w:val="36"/>
        </w:rPr>
        <w:br/>
      </w:r>
      <w:r w:rsidRPr="009966F6">
        <w:rPr>
          <w:color w:val="000000" w:themeColor="text1"/>
          <w:sz w:val="36"/>
          <w:szCs w:val="36"/>
        </w:rPr>
        <w:t xml:space="preserve">CHOICE EVALUATION </w:t>
      </w:r>
    </w:p>
    <w:p w14:paraId="1D2850F5" w14:textId="77777777" w:rsidR="00DF5D88" w:rsidRPr="009966F6" w:rsidRDefault="00DF5D88" w:rsidP="00EF46C2">
      <w:pPr>
        <w:pStyle w:val="H1Title"/>
        <w:spacing w:before="400" w:after="900"/>
        <w:jc w:val="center"/>
        <w:rPr>
          <w:color w:val="000000" w:themeColor="text1"/>
          <w:sz w:val="32"/>
          <w:szCs w:val="32"/>
        </w:rPr>
      </w:pPr>
      <w:r w:rsidRPr="009966F6">
        <w:rPr>
          <w:color w:val="000000" w:themeColor="text1"/>
          <w:sz w:val="32"/>
          <w:szCs w:val="32"/>
        </w:rPr>
        <w:t>Request for OMB Clearance</w:t>
      </w:r>
      <w:r w:rsidRPr="009966F6">
        <w:rPr>
          <w:color w:val="000000" w:themeColor="text1"/>
          <w:sz w:val="32"/>
          <w:szCs w:val="32"/>
        </w:rPr>
        <w:br/>
        <w:t>OMB#</w:t>
      </w:r>
    </w:p>
    <w:p w14:paraId="2EB683EC" w14:textId="77777777" w:rsidR="00DF5D88" w:rsidRPr="009966F6" w:rsidRDefault="003D5C19" w:rsidP="00F21D1B">
      <w:pPr>
        <w:pStyle w:val="H1Title"/>
        <w:spacing w:before="1680" w:after="1080"/>
        <w:jc w:val="center"/>
        <w:rPr>
          <w:color w:val="C00000"/>
        </w:rPr>
      </w:pPr>
      <w:r>
        <w:rPr>
          <w:color w:val="C00000"/>
        </w:rPr>
        <w:t>Supporting Statement Part B</w:t>
      </w:r>
    </w:p>
    <w:p w14:paraId="2AEFC210" w14:textId="1B7567C5" w:rsidR="00DF5D88" w:rsidRDefault="00DF5D88" w:rsidP="00F21D1B">
      <w:pPr>
        <w:pStyle w:val="H1Title"/>
        <w:spacing w:before="3000" w:after="0" w:line="240" w:lineRule="auto"/>
        <w:jc w:val="center"/>
        <w:rPr>
          <w:color w:val="000000" w:themeColor="text1"/>
          <w:sz w:val="28"/>
        </w:rPr>
      </w:pPr>
      <w:r w:rsidRPr="009966F6">
        <w:rPr>
          <w:color w:val="000000" w:themeColor="text1"/>
          <w:sz w:val="28"/>
        </w:rPr>
        <w:t xml:space="preserve">National Center for Education </w:t>
      </w:r>
      <w:r w:rsidR="000E6183">
        <w:rPr>
          <w:color w:val="000000" w:themeColor="text1"/>
          <w:sz w:val="28"/>
        </w:rPr>
        <w:t>Evaluation</w:t>
      </w:r>
    </w:p>
    <w:p w14:paraId="4AF4A4AC" w14:textId="77777777" w:rsidR="00DF5D88" w:rsidRPr="009966F6" w:rsidRDefault="00DF5D88" w:rsidP="00EF46C2">
      <w:pPr>
        <w:pStyle w:val="H1Title"/>
        <w:spacing w:after="0" w:line="240" w:lineRule="auto"/>
        <w:jc w:val="center"/>
        <w:rPr>
          <w:color w:val="000000" w:themeColor="text1"/>
          <w:sz w:val="28"/>
        </w:rPr>
      </w:pPr>
      <w:r w:rsidRPr="009966F6">
        <w:rPr>
          <w:color w:val="000000" w:themeColor="text1"/>
          <w:sz w:val="28"/>
        </w:rPr>
        <w:t>U.S. Department of Education</w:t>
      </w:r>
    </w:p>
    <w:p w14:paraId="265E318E" w14:textId="3C820093" w:rsidR="00DF5D88" w:rsidRPr="009966F6" w:rsidRDefault="00DF5D88" w:rsidP="00EF46C2">
      <w:pPr>
        <w:pStyle w:val="H1Title"/>
        <w:spacing w:after="0" w:line="240" w:lineRule="auto"/>
        <w:jc w:val="center"/>
        <w:rPr>
          <w:color w:val="000000" w:themeColor="text1"/>
          <w:sz w:val="28"/>
        </w:rPr>
      </w:pPr>
      <w:r w:rsidRPr="009966F6">
        <w:rPr>
          <w:color w:val="000000" w:themeColor="text1"/>
          <w:sz w:val="28"/>
        </w:rPr>
        <w:t xml:space="preserve">Institute of Education </w:t>
      </w:r>
      <w:r w:rsidR="000E6183">
        <w:rPr>
          <w:color w:val="000000" w:themeColor="text1"/>
          <w:sz w:val="28"/>
        </w:rPr>
        <w:t>Evaluation</w:t>
      </w:r>
    </w:p>
    <w:p w14:paraId="069FCA9D" w14:textId="77777777" w:rsidR="00DF5D88" w:rsidRPr="009966F6" w:rsidRDefault="00DF5D88" w:rsidP="00EF46C2">
      <w:pPr>
        <w:pStyle w:val="H1Title"/>
        <w:spacing w:after="0" w:line="240" w:lineRule="auto"/>
        <w:jc w:val="center"/>
        <w:rPr>
          <w:color w:val="000000" w:themeColor="text1"/>
          <w:sz w:val="28"/>
        </w:rPr>
      </w:pPr>
      <w:r w:rsidRPr="009966F6">
        <w:rPr>
          <w:color w:val="000000" w:themeColor="text1"/>
          <w:sz w:val="28"/>
        </w:rPr>
        <w:t>Washington, DC</w:t>
      </w:r>
    </w:p>
    <w:p w14:paraId="3B2C9B16" w14:textId="77777777" w:rsidR="00DF5D88" w:rsidRPr="009966F6" w:rsidRDefault="00DF5D88" w:rsidP="00EF46C2">
      <w:pPr>
        <w:pStyle w:val="H1Title"/>
        <w:spacing w:after="0"/>
        <w:jc w:val="center"/>
        <w:rPr>
          <w:color w:val="000000" w:themeColor="text1"/>
          <w:sz w:val="28"/>
        </w:rPr>
      </w:pPr>
    </w:p>
    <w:p w14:paraId="394681B8" w14:textId="63E4F57B" w:rsidR="00DF5D88" w:rsidRPr="009966F6" w:rsidRDefault="00042527" w:rsidP="0038213F">
      <w:pPr>
        <w:pStyle w:val="H1Title"/>
        <w:spacing w:after="0"/>
        <w:jc w:val="center"/>
        <w:rPr>
          <w:rFonts w:ascii="Arial" w:hAnsi="Arial" w:cs="Arial"/>
          <w:color w:val="000000" w:themeColor="text1"/>
          <w:sz w:val="22"/>
          <w:szCs w:val="22"/>
        </w:rPr>
      </w:pPr>
      <w:r>
        <w:rPr>
          <w:color w:val="000000" w:themeColor="text1"/>
          <w:sz w:val="28"/>
        </w:rPr>
        <w:t>January 2016</w:t>
      </w:r>
    </w:p>
    <w:p w14:paraId="60EB4ACE" w14:textId="77777777" w:rsidR="00DF5D88" w:rsidRDefault="00DF5D88" w:rsidP="0038213F">
      <w:pPr>
        <w:pStyle w:val="coverallcaps"/>
        <w:sectPr w:rsidR="00DF5D88" w:rsidSect="0038213F">
          <w:headerReference w:type="default" r:id="rId9"/>
          <w:footerReference w:type="default" r:id="rId10"/>
          <w:pgSz w:w="12240" w:h="15840" w:code="1"/>
          <w:pgMar w:top="1440" w:right="1440" w:bottom="1440" w:left="1440" w:header="720" w:footer="720" w:gutter="0"/>
          <w:pgBorders w:display="firstPage" w:offsetFrom="page">
            <w:top w:val="double" w:sz="4" w:space="24" w:color="D0002D"/>
            <w:left w:val="double" w:sz="4" w:space="24" w:color="D0002D"/>
            <w:bottom w:val="double" w:sz="4" w:space="24" w:color="D0002D"/>
            <w:right w:val="double" w:sz="4" w:space="24" w:color="D0002D"/>
          </w:pgBorders>
          <w:cols w:space="720"/>
          <w:docGrid w:linePitch="360"/>
        </w:sectPr>
      </w:pPr>
    </w:p>
    <w:p w14:paraId="3DA1AE4E" w14:textId="77777777" w:rsidR="0083251B" w:rsidRPr="0038213F" w:rsidRDefault="0038213F" w:rsidP="0038213F">
      <w:pPr>
        <w:pBdr>
          <w:bottom w:val="single" w:sz="2" w:space="1" w:color="D0002D"/>
        </w:pBdr>
        <w:spacing w:after="240" w:line="240" w:lineRule="auto"/>
        <w:ind w:firstLine="0"/>
        <w:jc w:val="both"/>
        <w:rPr>
          <w:rFonts w:ascii="Arial Black" w:hAnsi="Arial Black"/>
          <w:color w:val="D0002D"/>
          <w:sz w:val="22"/>
        </w:rPr>
      </w:pPr>
      <w:bookmarkStart w:id="1" w:name="AgencyDept"/>
      <w:bookmarkEnd w:id="1"/>
      <w:r w:rsidRPr="0038213F">
        <w:rPr>
          <w:rFonts w:ascii="Arial Black" w:hAnsi="Arial Black"/>
          <w:color w:val="D0002D"/>
          <w:sz w:val="22"/>
        </w:rPr>
        <w:lastRenderedPageBreak/>
        <w:t>CONTENTS</w:t>
      </w:r>
    </w:p>
    <w:p w14:paraId="4FA31E8F" w14:textId="77777777" w:rsidR="000441D5" w:rsidRDefault="0038213F">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0441D5">
        <w:rPr>
          <w:noProof/>
        </w:rPr>
        <w:t>Preface</w:t>
      </w:r>
      <w:r w:rsidR="000441D5">
        <w:rPr>
          <w:noProof/>
          <w:webHidden/>
        </w:rPr>
        <w:tab/>
      </w:r>
      <w:r w:rsidR="000441D5">
        <w:rPr>
          <w:noProof/>
          <w:webHidden/>
        </w:rPr>
        <w:fldChar w:fldCharType="begin"/>
      </w:r>
      <w:r w:rsidR="000441D5">
        <w:rPr>
          <w:noProof/>
          <w:webHidden/>
        </w:rPr>
        <w:instrText xml:space="preserve"> PAGEREF _Toc440039202 \h </w:instrText>
      </w:r>
      <w:r w:rsidR="000441D5">
        <w:rPr>
          <w:noProof/>
          <w:webHidden/>
        </w:rPr>
      </w:r>
      <w:r w:rsidR="000441D5">
        <w:rPr>
          <w:noProof/>
          <w:webHidden/>
        </w:rPr>
        <w:fldChar w:fldCharType="separate"/>
      </w:r>
      <w:r w:rsidR="000441D5">
        <w:rPr>
          <w:noProof/>
          <w:webHidden/>
        </w:rPr>
        <w:t>iii</w:t>
      </w:r>
      <w:r w:rsidR="000441D5">
        <w:rPr>
          <w:noProof/>
          <w:webHidden/>
        </w:rPr>
        <w:fldChar w:fldCharType="end"/>
      </w:r>
    </w:p>
    <w:p w14:paraId="3FD83C06" w14:textId="77777777" w:rsidR="000441D5" w:rsidRDefault="000441D5">
      <w:pPr>
        <w:pStyle w:val="TOC1"/>
        <w:rPr>
          <w:rFonts w:asciiTheme="minorHAnsi" w:eastAsiaTheme="minorEastAsia" w:hAnsiTheme="minorHAnsi" w:cstheme="minorBidi"/>
          <w:caps w:val="0"/>
          <w:noProof/>
          <w:sz w:val="22"/>
          <w:szCs w:val="22"/>
        </w:rPr>
      </w:pPr>
      <w:r w:rsidRPr="002B1C76">
        <w:rPr>
          <w:rFonts w:eastAsia="MS Gothic"/>
          <w:noProof/>
        </w:rPr>
        <w:t>B.</w:t>
      </w:r>
      <w:r>
        <w:rPr>
          <w:rFonts w:asciiTheme="minorHAnsi" w:eastAsiaTheme="minorEastAsia" w:hAnsiTheme="minorHAnsi" w:cstheme="minorBidi"/>
          <w:caps w:val="0"/>
          <w:noProof/>
          <w:sz w:val="22"/>
          <w:szCs w:val="22"/>
        </w:rPr>
        <w:tab/>
      </w:r>
      <w:r w:rsidRPr="002B1C76">
        <w:rPr>
          <w:rFonts w:eastAsia="MS Gothic"/>
          <w:noProof/>
        </w:rPr>
        <w:t>Collection of Information Employing Statistical Methods</w:t>
      </w:r>
      <w:r>
        <w:rPr>
          <w:noProof/>
          <w:webHidden/>
        </w:rPr>
        <w:tab/>
      </w:r>
      <w:r>
        <w:rPr>
          <w:noProof/>
          <w:webHidden/>
        </w:rPr>
        <w:fldChar w:fldCharType="begin"/>
      </w:r>
      <w:r>
        <w:rPr>
          <w:noProof/>
          <w:webHidden/>
        </w:rPr>
        <w:instrText xml:space="preserve"> PAGEREF _Toc440039203 \h </w:instrText>
      </w:r>
      <w:r>
        <w:rPr>
          <w:noProof/>
          <w:webHidden/>
        </w:rPr>
      </w:r>
      <w:r>
        <w:rPr>
          <w:noProof/>
          <w:webHidden/>
        </w:rPr>
        <w:fldChar w:fldCharType="separate"/>
      </w:r>
      <w:r>
        <w:rPr>
          <w:noProof/>
          <w:webHidden/>
        </w:rPr>
        <w:t>1</w:t>
      </w:r>
      <w:r>
        <w:rPr>
          <w:noProof/>
          <w:webHidden/>
        </w:rPr>
        <w:fldChar w:fldCharType="end"/>
      </w:r>
    </w:p>
    <w:p w14:paraId="6583977B" w14:textId="77777777" w:rsidR="000441D5" w:rsidRDefault="000441D5">
      <w:pPr>
        <w:pStyle w:val="TOC2"/>
        <w:rPr>
          <w:rFonts w:asciiTheme="minorHAnsi" w:eastAsiaTheme="minorEastAsia" w:hAnsiTheme="minorHAnsi" w:cstheme="minorBidi"/>
          <w:sz w:val="22"/>
          <w:szCs w:val="22"/>
        </w:rPr>
      </w:pPr>
      <w:r w:rsidRPr="002B1C76">
        <w:rPr>
          <w:rFonts w:eastAsia="Calibri"/>
        </w:rPr>
        <w:t>B.1 Respondent universe and sampling methods</w:t>
      </w:r>
      <w:r>
        <w:rPr>
          <w:webHidden/>
        </w:rPr>
        <w:tab/>
      </w:r>
      <w:r>
        <w:rPr>
          <w:webHidden/>
        </w:rPr>
        <w:fldChar w:fldCharType="begin"/>
      </w:r>
      <w:r>
        <w:rPr>
          <w:webHidden/>
        </w:rPr>
        <w:instrText xml:space="preserve"> PAGEREF _Toc440039204 \h </w:instrText>
      </w:r>
      <w:r>
        <w:rPr>
          <w:webHidden/>
        </w:rPr>
      </w:r>
      <w:r>
        <w:rPr>
          <w:webHidden/>
        </w:rPr>
        <w:fldChar w:fldCharType="separate"/>
      </w:r>
      <w:r>
        <w:rPr>
          <w:webHidden/>
        </w:rPr>
        <w:t>1</w:t>
      </w:r>
      <w:r>
        <w:rPr>
          <w:webHidden/>
        </w:rPr>
        <w:fldChar w:fldCharType="end"/>
      </w:r>
    </w:p>
    <w:p w14:paraId="045739B5" w14:textId="77777777" w:rsidR="000441D5" w:rsidRDefault="000441D5">
      <w:pPr>
        <w:pStyle w:val="TOC2"/>
        <w:rPr>
          <w:rFonts w:asciiTheme="minorHAnsi" w:eastAsiaTheme="minorEastAsia" w:hAnsiTheme="minorHAnsi" w:cstheme="minorBidi"/>
          <w:sz w:val="22"/>
          <w:szCs w:val="22"/>
        </w:rPr>
      </w:pPr>
      <w:r w:rsidRPr="002B1C76">
        <w:rPr>
          <w:rFonts w:eastAsia="Calibri"/>
        </w:rPr>
        <w:t>B.2 Procedures for the collection of information</w:t>
      </w:r>
      <w:r>
        <w:rPr>
          <w:webHidden/>
        </w:rPr>
        <w:tab/>
      </w:r>
      <w:r>
        <w:rPr>
          <w:webHidden/>
        </w:rPr>
        <w:fldChar w:fldCharType="begin"/>
      </w:r>
      <w:r>
        <w:rPr>
          <w:webHidden/>
        </w:rPr>
        <w:instrText xml:space="preserve"> PAGEREF _Toc440039205 \h </w:instrText>
      </w:r>
      <w:r>
        <w:rPr>
          <w:webHidden/>
        </w:rPr>
      </w:r>
      <w:r>
        <w:rPr>
          <w:webHidden/>
        </w:rPr>
        <w:fldChar w:fldCharType="separate"/>
      </w:r>
      <w:r>
        <w:rPr>
          <w:webHidden/>
        </w:rPr>
        <w:t>2</w:t>
      </w:r>
      <w:r>
        <w:rPr>
          <w:webHidden/>
        </w:rPr>
        <w:fldChar w:fldCharType="end"/>
      </w:r>
    </w:p>
    <w:p w14:paraId="214D7713" w14:textId="77777777" w:rsidR="000441D5" w:rsidRDefault="000441D5">
      <w:pPr>
        <w:pStyle w:val="TOC2"/>
        <w:rPr>
          <w:rFonts w:asciiTheme="minorHAnsi" w:eastAsiaTheme="minorEastAsia" w:hAnsiTheme="minorHAnsi" w:cstheme="minorBidi"/>
          <w:sz w:val="22"/>
          <w:szCs w:val="22"/>
        </w:rPr>
      </w:pPr>
      <w:r w:rsidRPr="002B1C76">
        <w:rPr>
          <w:rFonts w:eastAsia="Calibri"/>
        </w:rPr>
        <w:t>B.3 Methods to maximize response rates and deal with nonresponse</w:t>
      </w:r>
      <w:r>
        <w:rPr>
          <w:webHidden/>
        </w:rPr>
        <w:tab/>
      </w:r>
      <w:r>
        <w:rPr>
          <w:webHidden/>
        </w:rPr>
        <w:fldChar w:fldCharType="begin"/>
      </w:r>
      <w:r>
        <w:rPr>
          <w:webHidden/>
        </w:rPr>
        <w:instrText xml:space="preserve"> PAGEREF _Toc440039206 \h </w:instrText>
      </w:r>
      <w:r>
        <w:rPr>
          <w:webHidden/>
        </w:rPr>
      </w:r>
      <w:r>
        <w:rPr>
          <w:webHidden/>
        </w:rPr>
        <w:fldChar w:fldCharType="separate"/>
      </w:r>
      <w:r>
        <w:rPr>
          <w:webHidden/>
        </w:rPr>
        <w:t>5</w:t>
      </w:r>
      <w:r>
        <w:rPr>
          <w:webHidden/>
        </w:rPr>
        <w:fldChar w:fldCharType="end"/>
      </w:r>
    </w:p>
    <w:p w14:paraId="33DDCEB9" w14:textId="77777777" w:rsidR="000441D5" w:rsidRDefault="000441D5">
      <w:pPr>
        <w:pStyle w:val="TOC2"/>
        <w:rPr>
          <w:rFonts w:asciiTheme="minorHAnsi" w:eastAsiaTheme="minorEastAsia" w:hAnsiTheme="minorHAnsi" w:cstheme="minorBidi"/>
          <w:sz w:val="22"/>
          <w:szCs w:val="22"/>
        </w:rPr>
      </w:pPr>
      <w:r w:rsidRPr="002B1C76">
        <w:rPr>
          <w:rFonts w:eastAsia="Calibri"/>
        </w:rPr>
        <w:t>B.4 Tests of procedures or methods to be undertaken</w:t>
      </w:r>
      <w:r>
        <w:rPr>
          <w:webHidden/>
        </w:rPr>
        <w:tab/>
      </w:r>
      <w:r>
        <w:rPr>
          <w:webHidden/>
        </w:rPr>
        <w:fldChar w:fldCharType="begin"/>
      </w:r>
      <w:r>
        <w:rPr>
          <w:webHidden/>
        </w:rPr>
        <w:instrText xml:space="preserve"> PAGEREF _Toc440039207 \h </w:instrText>
      </w:r>
      <w:r>
        <w:rPr>
          <w:webHidden/>
        </w:rPr>
      </w:r>
      <w:r>
        <w:rPr>
          <w:webHidden/>
        </w:rPr>
        <w:fldChar w:fldCharType="separate"/>
      </w:r>
      <w:r>
        <w:rPr>
          <w:webHidden/>
        </w:rPr>
        <w:t>5</w:t>
      </w:r>
      <w:r>
        <w:rPr>
          <w:webHidden/>
        </w:rPr>
        <w:fldChar w:fldCharType="end"/>
      </w:r>
    </w:p>
    <w:p w14:paraId="5F50593C" w14:textId="77777777" w:rsidR="000441D5" w:rsidRDefault="000441D5">
      <w:pPr>
        <w:pStyle w:val="TOC2"/>
        <w:rPr>
          <w:rFonts w:asciiTheme="minorHAnsi" w:eastAsiaTheme="minorEastAsia" w:hAnsiTheme="minorHAnsi" w:cstheme="minorBidi"/>
          <w:sz w:val="22"/>
          <w:szCs w:val="22"/>
        </w:rPr>
      </w:pPr>
      <w:r w:rsidRPr="002B1C76">
        <w:rPr>
          <w:rFonts w:eastAsia="Calibri"/>
        </w:rPr>
        <w:t>B.5 Individuals consulted on statistical aspects of the design, data collection, and analysis</w:t>
      </w:r>
      <w:r>
        <w:rPr>
          <w:webHidden/>
        </w:rPr>
        <w:tab/>
      </w:r>
      <w:r>
        <w:rPr>
          <w:webHidden/>
        </w:rPr>
        <w:fldChar w:fldCharType="begin"/>
      </w:r>
      <w:r>
        <w:rPr>
          <w:webHidden/>
        </w:rPr>
        <w:instrText xml:space="preserve"> PAGEREF _Toc440039208 \h </w:instrText>
      </w:r>
      <w:r>
        <w:rPr>
          <w:webHidden/>
        </w:rPr>
      </w:r>
      <w:r>
        <w:rPr>
          <w:webHidden/>
        </w:rPr>
        <w:fldChar w:fldCharType="separate"/>
      </w:r>
      <w:r>
        <w:rPr>
          <w:webHidden/>
        </w:rPr>
        <w:t>5</w:t>
      </w:r>
      <w:r>
        <w:rPr>
          <w:webHidden/>
        </w:rPr>
        <w:fldChar w:fldCharType="end"/>
      </w:r>
    </w:p>
    <w:p w14:paraId="7BCD7529" w14:textId="77777777" w:rsidR="0038213F" w:rsidRPr="0038213F" w:rsidRDefault="0038213F" w:rsidP="0038213F">
      <w:pPr>
        <w:spacing w:line="240" w:lineRule="auto"/>
        <w:ind w:firstLine="0"/>
        <w:jc w:val="center"/>
        <w:rPr>
          <w:sz w:val="22"/>
        </w:rPr>
      </w:pPr>
      <w:r>
        <w:fldChar w:fldCharType="end"/>
      </w:r>
    </w:p>
    <w:p w14:paraId="141497DD" w14:textId="77777777" w:rsidR="0038213F" w:rsidRPr="0038213F" w:rsidRDefault="0038213F" w:rsidP="0038213F">
      <w:pPr>
        <w:pBdr>
          <w:bottom w:val="single" w:sz="2" w:space="1" w:color="D0002D"/>
        </w:pBdr>
        <w:spacing w:before="240" w:after="240" w:line="240" w:lineRule="auto"/>
        <w:ind w:firstLine="0"/>
        <w:jc w:val="both"/>
        <w:rPr>
          <w:rFonts w:ascii="Arial Black" w:hAnsi="Arial Black"/>
          <w:color w:val="D0002D"/>
          <w:sz w:val="22"/>
        </w:rPr>
      </w:pPr>
      <w:r w:rsidRPr="0038213F">
        <w:rPr>
          <w:rFonts w:ascii="Arial Black" w:hAnsi="Arial Black"/>
          <w:color w:val="D0002D"/>
          <w:sz w:val="22"/>
        </w:rPr>
        <w:t>TABLES</w:t>
      </w:r>
    </w:p>
    <w:p w14:paraId="1CCE90A6" w14:textId="1C11437D" w:rsidR="0092392F" w:rsidRDefault="0038213F">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F24E6F">
        <w:rPr>
          <w:rFonts w:eastAsia="Arial Black"/>
          <w:noProof/>
        </w:rPr>
        <w:t>Table Preface.1. Factors to be tested</w:t>
      </w:r>
      <w:r w:rsidR="0092392F" w:rsidRPr="00B25334">
        <w:rPr>
          <w:rFonts w:eastAsia="Arial Black"/>
          <w:noProof/>
        </w:rPr>
        <w:t>, mapped to research questions</w:t>
      </w:r>
      <w:r w:rsidR="0092392F">
        <w:rPr>
          <w:noProof/>
          <w:webHidden/>
        </w:rPr>
        <w:tab/>
      </w:r>
      <w:r w:rsidR="0092392F">
        <w:rPr>
          <w:noProof/>
          <w:webHidden/>
        </w:rPr>
        <w:fldChar w:fldCharType="begin"/>
      </w:r>
      <w:r w:rsidR="0092392F">
        <w:rPr>
          <w:noProof/>
          <w:webHidden/>
        </w:rPr>
        <w:instrText xml:space="preserve"> PAGEREF _Toc440039156 \h </w:instrText>
      </w:r>
      <w:r w:rsidR="0092392F">
        <w:rPr>
          <w:noProof/>
          <w:webHidden/>
        </w:rPr>
      </w:r>
      <w:r w:rsidR="0092392F">
        <w:rPr>
          <w:noProof/>
          <w:webHidden/>
        </w:rPr>
        <w:fldChar w:fldCharType="separate"/>
      </w:r>
      <w:r w:rsidR="0092392F">
        <w:rPr>
          <w:noProof/>
          <w:webHidden/>
        </w:rPr>
        <w:t>vi</w:t>
      </w:r>
      <w:r w:rsidR="0092392F">
        <w:rPr>
          <w:noProof/>
          <w:webHidden/>
        </w:rPr>
        <w:fldChar w:fldCharType="end"/>
      </w:r>
    </w:p>
    <w:p w14:paraId="3B8FFD2F" w14:textId="77792853" w:rsidR="0092392F" w:rsidRDefault="0092392F">
      <w:pPr>
        <w:pStyle w:val="TableofFigures"/>
        <w:rPr>
          <w:rFonts w:asciiTheme="minorHAnsi" w:eastAsiaTheme="minorEastAsia" w:hAnsiTheme="minorHAnsi" w:cstheme="minorBidi"/>
          <w:noProof/>
          <w:sz w:val="22"/>
          <w:szCs w:val="22"/>
        </w:rPr>
      </w:pPr>
      <w:r>
        <w:rPr>
          <w:noProof/>
        </w:rPr>
        <w:t xml:space="preserve">Table B.1. </w:t>
      </w:r>
      <w:r w:rsidR="00F24E6F">
        <w:rPr>
          <w:rFonts w:eastAsia="Arial Black"/>
          <w:noProof/>
        </w:rPr>
        <w:t>Factors to be tested</w:t>
      </w:r>
      <w:r w:rsidR="00F24E6F" w:rsidRPr="00B25334">
        <w:rPr>
          <w:rFonts w:eastAsia="Arial Black"/>
          <w:noProof/>
        </w:rPr>
        <w:t>, mapped to research questions</w:t>
      </w:r>
      <w:r>
        <w:rPr>
          <w:noProof/>
          <w:webHidden/>
        </w:rPr>
        <w:tab/>
      </w:r>
      <w:r>
        <w:rPr>
          <w:noProof/>
          <w:webHidden/>
        </w:rPr>
        <w:fldChar w:fldCharType="begin"/>
      </w:r>
      <w:r>
        <w:rPr>
          <w:noProof/>
          <w:webHidden/>
        </w:rPr>
        <w:instrText xml:space="preserve"> PAGEREF _Toc440039157 \h </w:instrText>
      </w:r>
      <w:r>
        <w:rPr>
          <w:noProof/>
          <w:webHidden/>
        </w:rPr>
      </w:r>
      <w:r>
        <w:rPr>
          <w:noProof/>
          <w:webHidden/>
        </w:rPr>
        <w:fldChar w:fldCharType="separate"/>
      </w:r>
      <w:r>
        <w:rPr>
          <w:noProof/>
          <w:webHidden/>
        </w:rPr>
        <w:t>3</w:t>
      </w:r>
      <w:r>
        <w:rPr>
          <w:noProof/>
          <w:webHidden/>
        </w:rPr>
        <w:fldChar w:fldCharType="end"/>
      </w:r>
    </w:p>
    <w:p w14:paraId="1DF0B57D" w14:textId="77777777" w:rsidR="0092392F" w:rsidRDefault="0092392F">
      <w:pPr>
        <w:pStyle w:val="TableofFigures"/>
        <w:rPr>
          <w:rFonts w:asciiTheme="minorHAnsi" w:eastAsiaTheme="minorEastAsia" w:hAnsiTheme="minorHAnsi" w:cstheme="minorBidi"/>
          <w:noProof/>
          <w:sz w:val="22"/>
          <w:szCs w:val="22"/>
        </w:rPr>
      </w:pPr>
      <w:r>
        <w:rPr>
          <w:noProof/>
        </w:rPr>
        <w:t>Table B.2. Minimum detectable effects (MDE) of alternative designs</w:t>
      </w:r>
      <w:r>
        <w:rPr>
          <w:noProof/>
          <w:webHidden/>
        </w:rPr>
        <w:tab/>
      </w:r>
      <w:r>
        <w:rPr>
          <w:noProof/>
          <w:webHidden/>
        </w:rPr>
        <w:fldChar w:fldCharType="begin"/>
      </w:r>
      <w:r>
        <w:rPr>
          <w:noProof/>
          <w:webHidden/>
        </w:rPr>
        <w:instrText xml:space="preserve"> PAGEREF _Toc440039158 \h </w:instrText>
      </w:r>
      <w:r>
        <w:rPr>
          <w:noProof/>
          <w:webHidden/>
        </w:rPr>
      </w:r>
      <w:r>
        <w:rPr>
          <w:noProof/>
          <w:webHidden/>
        </w:rPr>
        <w:fldChar w:fldCharType="separate"/>
      </w:r>
      <w:r>
        <w:rPr>
          <w:noProof/>
          <w:webHidden/>
        </w:rPr>
        <w:t>4</w:t>
      </w:r>
      <w:r>
        <w:rPr>
          <w:noProof/>
          <w:webHidden/>
        </w:rPr>
        <w:fldChar w:fldCharType="end"/>
      </w:r>
    </w:p>
    <w:p w14:paraId="6A95E574" w14:textId="77777777" w:rsidR="0038213F" w:rsidRDefault="0038213F" w:rsidP="007D21C9">
      <w:pPr>
        <w:spacing w:before="240" w:after="240" w:line="240" w:lineRule="auto"/>
        <w:ind w:firstLine="0"/>
        <w:jc w:val="both"/>
        <w:rPr>
          <w:rFonts w:ascii="Arial" w:hAnsi="Arial" w:cs="Arial"/>
          <w:sz w:val="20"/>
        </w:rPr>
      </w:pPr>
      <w:r>
        <w:rPr>
          <w:rFonts w:ascii="Arial" w:hAnsi="Arial" w:cs="Arial"/>
          <w:sz w:val="20"/>
        </w:rPr>
        <w:fldChar w:fldCharType="end"/>
      </w:r>
    </w:p>
    <w:p w14:paraId="13907034" w14:textId="77777777" w:rsidR="0038213F" w:rsidRPr="0038213F" w:rsidRDefault="0038213F" w:rsidP="0038213F">
      <w:pPr>
        <w:spacing w:after="180" w:line="240" w:lineRule="auto"/>
        <w:ind w:firstLine="0"/>
        <w:jc w:val="both"/>
        <w:rPr>
          <w:rFonts w:ascii="Arial" w:hAnsi="Arial" w:cs="Arial"/>
          <w:sz w:val="20"/>
        </w:rPr>
        <w:sectPr w:rsidR="0038213F" w:rsidRPr="0038213F" w:rsidSect="001E296A">
          <w:headerReference w:type="default" r:id="rId11"/>
          <w:footerReference w:type="default" r:id="rId12"/>
          <w:pgSz w:w="12240" w:h="15840" w:code="1"/>
          <w:pgMar w:top="1440" w:right="1440" w:bottom="1440" w:left="1440" w:header="720" w:footer="720" w:gutter="0"/>
          <w:pgNumType w:fmt="lowerRoman"/>
          <w:cols w:space="720"/>
          <w:titlePg/>
          <w:docGrid w:linePitch="360"/>
        </w:sectPr>
      </w:pPr>
    </w:p>
    <w:p w14:paraId="44043ACF" w14:textId="77777777" w:rsidR="00042527" w:rsidRPr="00897FB0" w:rsidRDefault="00042527" w:rsidP="00042527">
      <w:pPr>
        <w:pStyle w:val="H2Chapter"/>
      </w:pPr>
      <w:bookmarkStart w:id="3" w:name="_Toc412022719"/>
      <w:bookmarkStart w:id="4" w:name="_Toc438481807"/>
      <w:bookmarkStart w:id="5" w:name="_Toc440039202"/>
      <w:bookmarkStart w:id="6" w:name="_Toc433118605"/>
      <w:bookmarkStart w:id="7" w:name="_Toc387868407"/>
      <w:r w:rsidRPr="00897FB0">
        <w:lastRenderedPageBreak/>
        <w:t>Preface</w:t>
      </w:r>
      <w:bookmarkEnd w:id="3"/>
      <w:bookmarkEnd w:id="4"/>
      <w:bookmarkEnd w:id="5"/>
    </w:p>
    <w:p w14:paraId="7150EC8A" w14:textId="77777777" w:rsidR="00042527" w:rsidRPr="0092392F" w:rsidRDefault="00042527" w:rsidP="0092392F">
      <w:pPr>
        <w:spacing w:after="240" w:line="240" w:lineRule="auto"/>
      </w:pPr>
      <w:r w:rsidRPr="0092392F">
        <w:t>Sponsored by the Institute of Education Sciences (IES), U.S. Department of Education, the Parent Information and School Choice Evaluation (PISCE) is an important first step toward filling the wide gap in knowledge about how to present school choice information to parents. This research is needed to provide guidance to districts where school choice is expanding. PISCE seeks to identify the format, amount, and organization of information that is most comprehensible and usable to parents. The study will target low-income parents of school-age children and will evaluate perceptions of different presentations of school information. The results of the study will be used to create a reader-friendly guide for school districts.</w:t>
      </w:r>
      <w:r w:rsidRPr="0092392F">
        <w:footnoteReference w:id="2"/>
      </w:r>
      <w:r w:rsidRPr="0092392F">
        <w:t xml:space="preserve"> </w:t>
      </w:r>
    </w:p>
    <w:p w14:paraId="488F6610" w14:textId="77777777" w:rsidR="00042527" w:rsidRPr="0092392F" w:rsidRDefault="00042527" w:rsidP="0092392F">
      <w:pPr>
        <w:spacing w:after="240" w:line="240" w:lineRule="auto"/>
      </w:pPr>
      <w:r w:rsidRPr="0092392F">
        <w:t xml:space="preserve">IES has contracted with Mathematica Policy Research to conduct the needed research. Most of the experiment will be conducted with members of a standing panel who already complete surveys on a regular basis for a variety of purposes. This approach provides a low-cost and quick turnaround method to obtain findings related to the understandability of school choice information, which does not require respondents to be making actual school choices for their children. To enhance what can be learned from the standing panel, the research team also intends to recruit a sample of low-income parents of school-age children from locations where a public school choice marketplace with unified enrollment has been active for at least two years. Parents who have experienced public school choice or are at least exposed to open enrollment in their district may experience the experiment differently than the standing panel members, for whom considering schools other than one’s default neighborhood school may be unfamiliar.  This augmented sample </w:t>
      </w:r>
      <w:proofErr w:type="gramStart"/>
      <w:r w:rsidRPr="0092392F">
        <w:t>of,</w:t>
      </w:r>
      <w:proofErr w:type="gramEnd"/>
      <w:r w:rsidRPr="0092392F">
        <w:t xml:space="preserve"> presumably, less survey-savvy low-income parents will be used to provide a sensitivity check of the findings based on the standing panel alone.  IES is submitting this clearance package which requests approval for the study’s recruitment and survey activities.</w:t>
      </w:r>
    </w:p>
    <w:p w14:paraId="3B87ACB9" w14:textId="326ACE1F" w:rsidR="00042527" w:rsidRDefault="00042527" w:rsidP="0092392F">
      <w:pPr>
        <w:pStyle w:val="H3AlphaNoTOC"/>
      </w:pPr>
      <w:bookmarkStart w:id="8" w:name="_Toc412022721"/>
      <w:bookmarkStart w:id="9" w:name="_Toc438481809"/>
      <w:r>
        <w:t xml:space="preserve">Importance of </w:t>
      </w:r>
      <w:bookmarkEnd w:id="8"/>
      <w:r w:rsidR="00880332">
        <w:t>I</w:t>
      </w:r>
      <w:r>
        <w:t>nformation</w:t>
      </w:r>
      <w:bookmarkEnd w:id="9"/>
    </w:p>
    <w:p w14:paraId="5EFA0C1F" w14:textId="77777777" w:rsidR="00042527" w:rsidRDefault="00042527" w:rsidP="00042527">
      <w:pPr>
        <w:pStyle w:val="NormalSS"/>
      </w:pPr>
      <w:r>
        <w:t xml:space="preserve">School choice has increased dramatically in recent years through the expansion of charter schools and open enrollment in traditional districts. School choice can only be effective policy if parents are able to navigate school choice systems, </w:t>
      </w:r>
      <w:r w:rsidRPr="00B7040A">
        <w:t>follow application procedures</w:t>
      </w:r>
      <w:r>
        <w:t xml:space="preserve">, and process large amounts of complex information to make informed choices about the best schools for their children. The rise of new technology and data systems has led to an explosion of such information, but the school choice marketplace has yet to determine the best ways to curate and present this information to parents. In particular, there is scant research-based guidance that school districts and related entities can rely on when making school choice information available to </w:t>
      </w:r>
      <w:proofErr w:type="gramStart"/>
      <w:r>
        <w:t>parents,</w:t>
      </w:r>
      <w:proofErr w:type="gramEnd"/>
      <w:r>
        <w:t xml:space="preserve"> and each new district that enters this policy arena has had to muddle through the process using trial and error. Further, ED’s school choice programs supporting magnets, charter schools, and vouchers have identified parent information as a barrier to greater participation in these programs and potentially to improved student outcomes. </w:t>
      </w:r>
    </w:p>
    <w:p w14:paraId="39AFF613" w14:textId="77777777" w:rsidR="00042527" w:rsidRDefault="00042527" w:rsidP="00042527">
      <w:pPr>
        <w:pStyle w:val="NormalSS"/>
      </w:pPr>
      <w:r>
        <w:lastRenderedPageBreak/>
        <w:t xml:space="preserve">The proposed experiment and data collection will be an important first step toward addressing this need for evidence-based guidance. The comprehensibility of school choice information is a particular concern for low-income parents and those who might struggle to navigate the technical systems used to display this information. The experiment will present parents with school information in various formats, amounts, and organizational layouts and allow us to evaluate how well parents understand and use the information. </w:t>
      </w:r>
    </w:p>
    <w:p w14:paraId="7FE7E847" w14:textId="77777777" w:rsidR="00042527" w:rsidRDefault="00042527" w:rsidP="0092392F">
      <w:pPr>
        <w:pStyle w:val="H4NumberNoTOC"/>
      </w:pPr>
      <w:bookmarkStart w:id="10" w:name="_Toc438481810"/>
      <w:r>
        <w:t>a.</w:t>
      </w:r>
      <w:r>
        <w:tab/>
        <w:t>Overview of study</w:t>
      </w:r>
      <w:bookmarkEnd w:id="10"/>
      <w:r>
        <w:t xml:space="preserve"> </w:t>
      </w:r>
    </w:p>
    <w:p w14:paraId="7EC6DC68" w14:textId="77777777" w:rsidR="00042527" w:rsidRDefault="00042527" w:rsidP="00042527">
      <w:pPr>
        <w:pStyle w:val="NormalSS"/>
      </w:pPr>
      <w:r>
        <w:t>Within the field of education, researchers have mostly focused on discovering what parents value in schools, rather than on how best to organize and present information on school attributes. The most common approach has been to conduct focus groups or surveys, asking participants about the factors that drive their school choices (</w:t>
      </w:r>
      <w:proofErr w:type="spellStart"/>
      <w:r>
        <w:t>Fossey</w:t>
      </w:r>
      <w:proofErr w:type="spellEnd"/>
      <w:r>
        <w:t xml:space="preserve"> 1992; Armor and </w:t>
      </w:r>
      <w:proofErr w:type="spellStart"/>
      <w:r>
        <w:t>Peiser</w:t>
      </w:r>
      <w:proofErr w:type="spellEnd"/>
      <w:r>
        <w:t xml:space="preserve"> 1998; Collins and Snell 2000; </w:t>
      </w:r>
      <w:proofErr w:type="spellStart"/>
      <w:r>
        <w:t>Klute</w:t>
      </w:r>
      <w:proofErr w:type="spellEnd"/>
      <w:r>
        <w:t xml:space="preserve"> 2012; Kelly and </w:t>
      </w:r>
      <w:proofErr w:type="spellStart"/>
      <w:r>
        <w:t>Scafidi</w:t>
      </w:r>
      <w:proofErr w:type="spellEnd"/>
      <w:r>
        <w:t xml:space="preserve"> 2013; Great Schools 2013; </w:t>
      </w:r>
      <w:proofErr w:type="spellStart"/>
      <w:r>
        <w:t>Jochim</w:t>
      </w:r>
      <w:proofErr w:type="spellEnd"/>
      <w:r>
        <w:t xml:space="preserve"> et al. 2014). However, this approach has been criticized for eliciting socially desirable responses and failing to capture the role of race, class, and other demographics (Stein et al. 2010). Other researchers have used Internet search terms (Schneider and Buckley 2002) or conducted statistical analyses of actual rankings submitted by families in real-world school choice settings (Glazerman 1997; Hastings et al. 2008; and Harris and Larsen 2015, using data from Minneapolis; Charlotte-Mecklenburg, NC; and New Orleans, respectively). These studies, which provide estimates on the relative importance of various school attributes to parents, are useful because </w:t>
      </w:r>
      <w:r w:rsidRPr="006C1C47">
        <w:t>they highlight the dimensions along which choice information might be more important</w:t>
      </w:r>
      <w:r>
        <w:t xml:space="preserve">, such as </w:t>
      </w:r>
      <w:r w:rsidRPr="00A374A2">
        <w:t>academic achievement of the school</w:t>
      </w:r>
      <w:r>
        <w:t xml:space="preserve">, </w:t>
      </w:r>
      <w:r w:rsidRPr="00A374A2">
        <w:t>demo</w:t>
      </w:r>
      <w:r>
        <w:t xml:space="preserve">graphics of the student body, </w:t>
      </w:r>
      <w:r w:rsidRPr="00A374A2">
        <w:t>distance and convenience of the school location; and school safety and climate</w:t>
      </w:r>
      <w:r>
        <w:t xml:space="preserve">. </w:t>
      </w:r>
    </w:p>
    <w:p w14:paraId="2E028249" w14:textId="77777777" w:rsidR="00042527" w:rsidRPr="0030443B" w:rsidRDefault="00042527" w:rsidP="00042527">
      <w:pPr>
        <w:pStyle w:val="NormalSS"/>
      </w:pPr>
      <w:r>
        <w:t>V</w:t>
      </w:r>
      <w:r w:rsidRPr="0030443B">
        <w:t xml:space="preserve">ery little research has been done on how best to organize and present information about school attributes. Among the few studies available, Jacobsen et al. (2014) studied the effect of information formats on parents’ perceptions of schools. Other researchers have estimated the impact that information presentation has on school choice attitudes and behavior. For example, Valant (2014) used quick-turnaround online experiments and a regression discontinuity design to examine how parents update their opinions of local public schools after receiving various types of information. Valant and Loeb (2014) also conducted field experiments with families choosing schools in Milwaukee; Washington, DC; and Philadelphia to test how information affects school choosers’ attitudes, beliefs, and behaviors. Although directly relevant to the proposed study, Valant and Loeb’s experiments did not explore as many different types of information presentations as proposed here, and they focused on parents’ ratings of schools rather than on whether they actually understood the information and found it easy to use. </w:t>
      </w:r>
    </w:p>
    <w:p w14:paraId="314CF1C7" w14:textId="77777777" w:rsidR="00042527" w:rsidRDefault="00042527" w:rsidP="00042527">
      <w:pPr>
        <w:pStyle w:val="NormalSS"/>
      </w:pPr>
      <w:r w:rsidRPr="005550BB">
        <w:t>The</w:t>
      </w:r>
      <w:r>
        <w:t xml:space="preserve"> study</w:t>
      </w:r>
      <w:r w:rsidRPr="005550BB">
        <w:t xml:space="preserve"> for which clearance is being sought</w:t>
      </w:r>
      <w:r>
        <w:t xml:space="preserve"> will collect and analyze data to address three specific questions: </w:t>
      </w:r>
    </w:p>
    <w:p w14:paraId="6FE42F2A" w14:textId="77777777" w:rsidR="00042527" w:rsidRDefault="00042527" w:rsidP="00042527">
      <w:pPr>
        <w:pStyle w:val="NormalSS"/>
        <w:numPr>
          <w:ilvl w:val="0"/>
          <w:numId w:val="34"/>
        </w:numPr>
      </w:pPr>
      <w:r>
        <w:t xml:space="preserve">What is the optimal way to present school choice information? </w:t>
      </w:r>
    </w:p>
    <w:p w14:paraId="1FF2503A" w14:textId="77777777" w:rsidR="00042527" w:rsidRDefault="00042527" w:rsidP="00042527">
      <w:pPr>
        <w:pStyle w:val="NormalSS"/>
        <w:numPr>
          <w:ilvl w:val="0"/>
          <w:numId w:val="34"/>
        </w:numPr>
      </w:pPr>
      <w:r>
        <w:t xml:space="preserve">What is the right amount of school choice information to present? </w:t>
      </w:r>
    </w:p>
    <w:p w14:paraId="2DFC7F30" w14:textId="77777777" w:rsidR="00042527" w:rsidRDefault="00042527" w:rsidP="00042527">
      <w:pPr>
        <w:pStyle w:val="NormalSS"/>
        <w:numPr>
          <w:ilvl w:val="0"/>
          <w:numId w:val="34"/>
        </w:numPr>
      </w:pPr>
      <w:r>
        <w:t xml:space="preserve">How </w:t>
      </w:r>
      <w:proofErr w:type="gramStart"/>
      <w:r>
        <w:t>is school choice information</w:t>
      </w:r>
      <w:proofErr w:type="gramEnd"/>
      <w:r>
        <w:t xml:space="preserve"> best organized? </w:t>
      </w:r>
    </w:p>
    <w:p w14:paraId="4AA81E2B" w14:textId="77777777" w:rsidR="00042527" w:rsidRDefault="00042527" w:rsidP="00042527">
      <w:pPr>
        <w:pStyle w:val="NormalSS"/>
      </w:pPr>
      <w:r>
        <w:lastRenderedPageBreak/>
        <w:t xml:space="preserve">To answer these questions, Mathematica will conduct an online experiment with low-income parents of school-age children. The sample will mostly be drawn </w:t>
      </w:r>
      <w:r w:rsidRPr="006C1C47">
        <w:t>from a market research standing panel</w:t>
      </w:r>
      <w:r>
        <w:t xml:space="preserve"> that is </w:t>
      </w:r>
      <w:r w:rsidRPr="006C1C47">
        <w:t xml:space="preserve">commercially available. To address concerns about the ability to generalize from such a panel, Mathematica </w:t>
      </w:r>
      <w:r>
        <w:t>will augment</w:t>
      </w:r>
      <w:r w:rsidRPr="006C1C47">
        <w:t xml:space="preserve"> the panel with</w:t>
      </w:r>
      <w:r>
        <w:t xml:space="preserve"> members of the public recruited from targeted locations within cities such as Washington, DC, and New Orleans, where low-income families are immersed in an open-enrollment school marketplace with many public schools to choose from, including traditional district schools and charter schools. </w:t>
      </w:r>
    </w:p>
    <w:p w14:paraId="2E9A2745" w14:textId="77777777" w:rsidR="00042527" w:rsidRDefault="00042527" w:rsidP="00042527">
      <w:pPr>
        <w:pStyle w:val="NormalSS"/>
      </w:pPr>
      <w:r>
        <w:t xml:space="preserve">Both the panel sample and the augmented sample members will participate in a web-based survey that will collect basic demographic information and an </w:t>
      </w:r>
      <w:proofErr w:type="spellStart"/>
      <w:r>
        <w:t>endline</w:t>
      </w:r>
      <w:proofErr w:type="spellEnd"/>
      <w:r>
        <w:t xml:space="preserve"> survey measuring how well the participants understood, used, and perceived the ease of use of school choice information. After completing the baseline survey, respondents will each be randomly assigned to one of several different ways to present school choice information (treatment arms). Random assignment allows us to assume that differences in responses to the </w:t>
      </w:r>
      <w:proofErr w:type="spellStart"/>
      <w:r>
        <w:t>endline</w:t>
      </w:r>
      <w:proofErr w:type="spellEnd"/>
      <w:r>
        <w:t xml:space="preserve"> survey, on average, are attributable to differences in the ways information was presented to respondents. </w:t>
      </w:r>
    </w:p>
    <w:p w14:paraId="6AE15F20" w14:textId="77777777" w:rsidR="00042527" w:rsidRDefault="00042527" w:rsidP="0092392F">
      <w:pPr>
        <w:pStyle w:val="H4NumberNoTOC"/>
        <w:rPr>
          <w:rFonts w:eastAsia="Calibri"/>
        </w:rPr>
      </w:pPr>
      <w:bookmarkStart w:id="11" w:name="_Toc438481811"/>
      <w:r>
        <w:t>b.</w:t>
      </w:r>
      <w:r>
        <w:tab/>
        <w:t xml:space="preserve">Experiment and </w:t>
      </w:r>
      <w:r>
        <w:rPr>
          <w:rFonts w:eastAsia="Calibri"/>
        </w:rPr>
        <w:t>d</w:t>
      </w:r>
      <w:r w:rsidRPr="00E202B0">
        <w:rPr>
          <w:rFonts w:eastAsia="Calibri"/>
        </w:rPr>
        <w:t xml:space="preserve">ata </w:t>
      </w:r>
      <w:r>
        <w:rPr>
          <w:rFonts w:eastAsia="Calibri"/>
        </w:rPr>
        <w:t>c</w:t>
      </w:r>
      <w:r w:rsidRPr="00E202B0">
        <w:rPr>
          <w:rFonts w:eastAsia="Calibri"/>
        </w:rPr>
        <w:t>ollection</w:t>
      </w:r>
      <w:bookmarkEnd w:id="11"/>
    </w:p>
    <w:p w14:paraId="630B3F64" w14:textId="77777777" w:rsidR="00042527" w:rsidRDefault="00042527" w:rsidP="00042527">
      <w:pPr>
        <w:pStyle w:val="NormalSS"/>
      </w:pPr>
      <w:r>
        <w:t>To generate most of the experimental data, Mathematica will work with a market research firm—the leading candidate is Survey Sampling International (SSI)</w:t>
      </w:r>
      <w:r w:rsidRPr="00510206">
        <w:t>—</w:t>
      </w:r>
      <w:r>
        <w:t xml:space="preserve">who will identify 3,300 parents of school-age children in the U.S. who are low income, defined as having an annual household income below $40,000. To check the sensitivity of the standing panel findings with a less internet savvy group, Mathematica will recruit 150 volunteers who are low-income parents of school-age children in low-income areas where school choice is particularly salient (the augmented sample). We plan to focus our </w:t>
      </w:r>
      <w:r w:rsidRPr="00692912">
        <w:t xml:space="preserve">recruiting </w:t>
      </w:r>
      <w:r>
        <w:t xml:space="preserve">efforts on Washington, DC, and New Orleans. However, we may consider other cities if necessary. </w:t>
      </w:r>
    </w:p>
    <w:p w14:paraId="418BC767" w14:textId="77777777" w:rsidR="00042527" w:rsidRDefault="00042527" w:rsidP="00042527">
      <w:pPr>
        <w:pStyle w:val="NormalSS"/>
      </w:pPr>
      <w:r>
        <w:t xml:space="preserve">All eligible study participants will be asked to complete a 10-minute baseline survey. Then they will be randomly assigned to one of 72 different variations on a school information website and asked to complete a 20 to 30 minute </w:t>
      </w:r>
      <w:proofErr w:type="spellStart"/>
      <w:r>
        <w:t>endline</w:t>
      </w:r>
      <w:proofErr w:type="spellEnd"/>
      <w:r>
        <w:t xml:space="preserve"> survey, for a total of 30 to 40 minutes. The baseline will measure demographic characteristics, such as income and whether or not the respondents have school-aged children, as well as digital literacy. The </w:t>
      </w:r>
      <w:proofErr w:type="spellStart"/>
      <w:r>
        <w:t>endline</w:t>
      </w:r>
      <w:proofErr w:type="spellEnd"/>
      <w:r>
        <w:t xml:space="preserve"> will measure how respondents use the information, how well they understand the information, and how easy or difficult it was to use.</w:t>
      </w:r>
    </w:p>
    <w:p w14:paraId="2A6D9FB9" w14:textId="3AB47554" w:rsidR="00042527" w:rsidRPr="00387A4C" w:rsidRDefault="00042527" w:rsidP="00042527">
      <w:pPr>
        <w:pStyle w:val="NormalSS"/>
      </w:pPr>
      <w:r>
        <w:t xml:space="preserve">The treatments being studied consist of different ways to present information about a set of fictitious schools. The information will be presented in one of 72 different ways for each respondent, with the 72 variations being constructed by crossing five factors, each with two or three levels (3 x 2 x 2 x 3 x 2 = 72). </w:t>
      </w:r>
      <w:r w:rsidRPr="00275736">
        <w:t xml:space="preserve">Table </w:t>
      </w:r>
      <w:r w:rsidR="00736E3F">
        <w:t>Preface</w:t>
      </w:r>
      <w:r w:rsidRPr="00275736">
        <w:t xml:space="preserve">.1 </w:t>
      </w:r>
      <w:r>
        <w:t xml:space="preserve">lists each of the five factors and maps them to the study’s research questions. </w:t>
      </w:r>
      <w:r w:rsidRPr="00FB757B">
        <w:t xml:space="preserve"> </w:t>
      </w:r>
      <w:r>
        <w:t xml:space="preserve">Table </w:t>
      </w:r>
      <w:r w:rsidR="00736E3F">
        <w:t>Preface</w:t>
      </w:r>
      <w:r>
        <w:t>.2 lists the information domains</w:t>
      </w:r>
      <w:r w:rsidR="00371233">
        <w:t xml:space="preserve">, </w:t>
      </w:r>
      <w:r>
        <w:t>the specific attributes that will be presented</w:t>
      </w:r>
      <w:r w:rsidR="00371233">
        <w:t>, and the presentation variations by format and source of information</w:t>
      </w:r>
      <w:r>
        <w:t xml:space="preserve">. </w:t>
      </w:r>
      <w:r w:rsidRPr="00387A4C">
        <w:t xml:space="preserve">For example, </w:t>
      </w:r>
      <w:r>
        <w:t xml:space="preserve">to address the question of </w:t>
      </w:r>
      <w:r w:rsidRPr="00387A4C">
        <w:t xml:space="preserve">presentation, we </w:t>
      </w:r>
      <w:r>
        <w:t>will</w:t>
      </w:r>
      <w:r w:rsidRPr="00387A4C">
        <w:t xml:space="preserve"> test the format </w:t>
      </w:r>
      <w:r>
        <w:t xml:space="preserve">(factor A.1) </w:t>
      </w:r>
      <w:r w:rsidRPr="00387A4C">
        <w:t xml:space="preserve">in which </w:t>
      </w:r>
      <w:r w:rsidR="000719FF">
        <w:t xml:space="preserve">discipline and </w:t>
      </w:r>
      <w:r w:rsidRPr="00387A4C">
        <w:t xml:space="preserve">safety information is presented and the source of </w:t>
      </w:r>
      <w:r>
        <w:t>that</w:t>
      </w:r>
      <w:r w:rsidRPr="00387A4C">
        <w:t xml:space="preserve"> information. </w:t>
      </w:r>
      <w:r w:rsidR="000719FF">
        <w:t xml:space="preserve">Discipline and safety </w:t>
      </w:r>
      <w:r>
        <w:t xml:space="preserve">information will be presented </w:t>
      </w:r>
      <w:r w:rsidRPr="00387A4C">
        <w:t xml:space="preserve">as a numerical rating, a graphical presentation, such as a bar chart, </w:t>
      </w:r>
      <w:r>
        <w:t xml:space="preserve">or </w:t>
      </w:r>
      <w:r w:rsidRPr="00387A4C">
        <w:t xml:space="preserve">an icon, such as a </w:t>
      </w:r>
      <w:r w:rsidR="00736E3F">
        <w:t>letter grade of “A”</w:t>
      </w:r>
      <w:r w:rsidRPr="00387A4C">
        <w:t xml:space="preserve"> to indicate that the school has high safety ratings. </w:t>
      </w:r>
      <w:r>
        <w:t>S</w:t>
      </w:r>
      <w:r w:rsidRPr="00EB6767">
        <w:t xml:space="preserve">ources of the information </w:t>
      </w:r>
      <w:r>
        <w:t xml:space="preserve">will </w:t>
      </w:r>
      <w:r w:rsidRPr="00EB6767">
        <w:t xml:space="preserve">vary in that </w:t>
      </w:r>
      <w:r w:rsidRPr="00AF59EB">
        <w:t xml:space="preserve">one source </w:t>
      </w:r>
      <w:r>
        <w:t xml:space="preserve">will </w:t>
      </w:r>
      <w:r w:rsidRPr="00387A4C">
        <w:t xml:space="preserve">be a more objective indicator, the number of </w:t>
      </w:r>
      <w:r>
        <w:t xml:space="preserve">school </w:t>
      </w:r>
      <w:r w:rsidRPr="00387A4C">
        <w:t xml:space="preserve">suspensions per year and another source would be a more subjective indicator, results from a parent survey on the school’s safety. </w:t>
      </w:r>
      <w:r>
        <w:t xml:space="preserve"> The specific </w:t>
      </w:r>
      <w:r>
        <w:lastRenderedPageBreak/>
        <w:t>factors, domains, and attributes that make up the experiment (treatment arms) have been selected based on a review of research on information presentation across several fields, including health and marketing.</w:t>
      </w:r>
      <w:r w:rsidRPr="00387A4C">
        <w:t xml:space="preserve"> </w:t>
      </w:r>
      <w:r>
        <w:t xml:space="preserve"> </w:t>
      </w:r>
    </w:p>
    <w:p w14:paraId="4A9545DC" w14:textId="6D890D99" w:rsidR="00042527" w:rsidRPr="000E4562" w:rsidRDefault="00042527" w:rsidP="00042527">
      <w:pPr>
        <w:pStyle w:val="MarkforTableTitle"/>
        <w:rPr>
          <w:rFonts w:eastAsia="Arial Black"/>
        </w:rPr>
      </w:pPr>
      <w:bookmarkStart w:id="12" w:name="_Toc438481831"/>
      <w:bookmarkStart w:id="13" w:name="_Toc440039156"/>
      <w:proofErr w:type="gramStart"/>
      <w:r w:rsidRPr="000E4562">
        <w:rPr>
          <w:rFonts w:eastAsia="Arial Black"/>
        </w:rPr>
        <w:t xml:space="preserve">Table </w:t>
      </w:r>
      <w:r w:rsidR="00F24E6F">
        <w:rPr>
          <w:rFonts w:eastAsia="Arial Black"/>
        </w:rPr>
        <w:t>Preface</w:t>
      </w:r>
      <w:r w:rsidRPr="000E4562">
        <w:rPr>
          <w:rFonts w:eastAsia="Arial Black"/>
        </w:rPr>
        <w:t>.1.</w:t>
      </w:r>
      <w:proofErr w:type="gramEnd"/>
      <w:r w:rsidRPr="000E4562">
        <w:rPr>
          <w:rFonts w:eastAsia="Arial Black"/>
        </w:rPr>
        <w:t xml:space="preserve"> Factors </w:t>
      </w:r>
      <w:r w:rsidR="00E40675">
        <w:rPr>
          <w:rFonts w:eastAsia="Arial Black"/>
        </w:rPr>
        <w:t>to be tested</w:t>
      </w:r>
      <w:r w:rsidRPr="000E4562">
        <w:rPr>
          <w:rFonts w:eastAsia="Arial Black"/>
        </w:rPr>
        <w:t>, mapped to research questions</w:t>
      </w:r>
      <w:bookmarkEnd w:id="12"/>
      <w:bookmarkEnd w:id="13"/>
    </w:p>
    <w:tbl>
      <w:tblPr>
        <w:tblW w:w="9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00"/>
        <w:gridCol w:w="1960"/>
        <w:gridCol w:w="1860"/>
        <w:gridCol w:w="2340"/>
        <w:gridCol w:w="1680"/>
      </w:tblGrid>
      <w:tr w:rsidR="00736E3F" w14:paraId="475B0B10" w14:textId="77777777" w:rsidTr="00C50F57">
        <w:trPr>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786BEE1A" w14:textId="77777777" w:rsidR="00736E3F" w:rsidRDefault="00736E3F" w:rsidP="00C50F57">
            <w:pPr>
              <w:spacing w:before="120" w:after="60" w:line="240" w:lineRule="auto"/>
              <w:ind w:firstLine="0"/>
            </w:pPr>
            <w:r>
              <w:rPr>
                <w:rFonts w:ascii="Arial" w:eastAsia="Arial" w:hAnsi="Arial" w:cs="Arial"/>
                <w:b/>
                <w:sz w:val="18"/>
                <w:szCs w:val="18"/>
              </w:rPr>
              <w:t>Research Question</w:t>
            </w:r>
          </w:p>
        </w:tc>
        <w:tc>
          <w:tcPr>
            <w:tcW w:w="1960"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5F9A634A" w14:textId="77777777" w:rsidR="00736E3F" w:rsidRDefault="00736E3F" w:rsidP="00C50F57">
            <w:pPr>
              <w:spacing w:before="120" w:after="60" w:line="240" w:lineRule="auto"/>
              <w:ind w:firstLine="0"/>
              <w:jc w:val="center"/>
            </w:pPr>
            <w:r>
              <w:rPr>
                <w:rFonts w:ascii="Arial" w:eastAsia="Arial" w:hAnsi="Arial" w:cs="Arial"/>
                <w:b/>
                <w:sz w:val="18"/>
                <w:szCs w:val="18"/>
              </w:rPr>
              <w:t>Factor</w:t>
            </w:r>
          </w:p>
        </w:tc>
        <w:tc>
          <w:tcPr>
            <w:tcW w:w="1860"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40DFF3DC" w14:textId="77777777" w:rsidR="00736E3F" w:rsidRDefault="00736E3F" w:rsidP="00C50F57">
            <w:pPr>
              <w:spacing w:before="120" w:after="60" w:line="240" w:lineRule="auto"/>
              <w:ind w:firstLine="0"/>
              <w:jc w:val="center"/>
            </w:pPr>
            <w:r>
              <w:rPr>
                <w:rFonts w:ascii="Arial" w:eastAsia="Arial" w:hAnsi="Arial" w:cs="Arial"/>
                <w:b/>
                <w:sz w:val="18"/>
                <w:szCs w:val="18"/>
              </w:rPr>
              <w:t>Level 1</w:t>
            </w:r>
          </w:p>
        </w:tc>
        <w:tc>
          <w:tcPr>
            <w:tcW w:w="2340"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6A9B20ED" w14:textId="77777777" w:rsidR="00736E3F" w:rsidRDefault="00736E3F" w:rsidP="00C50F57">
            <w:pPr>
              <w:spacing w:before="120" w:after="60" w:line="240" w:lineRule="auto"/>
              <w:ind w:firstLine="0"/>
              <w:jc w:val="center"/>
            </w:pPr>
            <w:r>
              <w:rPr>
                <w:rFonts w:ascii="Arial" w:eastAsia="Arial" w:hAnsi="Arial" w:cs="Arial"/>
                <w:b/>
                <w:sz w:val="18"/>
                <w:szCs w:val="18"/>
              </w:rPr>
              <w:t>Level 2</w:t>
            </w:r>
          </w:p>
        </w:tc>
        <w:tc>
          <w:tcPr>
            <w:tcW w:w="1680"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5C4B146A" w14:textId="77777777" w:rsidR="00736E3F" w:rsidRDefault="00736E3F" w:rsidP="00C50F57">
            <w:pPr>
              <w:spacing w:before="120" w:after="60" w:line="240" w:lineRule="auto"/>
              <w:ind w:firstLine="0"/>
              <w:jc w:val="center"/>
            </w:pPr>
            <w:r>
              <w:rPr>
                <w:rFonts w:ascii="Arial" w:eastAsia="Arial" w:hAnsi="Arial" w:cs="Arial"/>
                <w:b/>
                <w:sz w:val="18"/>
                <w:szCs w:val="18"/>
              </w:rPr>
              <w:t>Level 3</w:t>
            </w:r>
          </w:p>
        </w:tc>
      </w:tr>
      <w:tr w:rsidR="00736E3F" w14:paraId="6ED2B706" w14:textId="77777777" w:rsidTr="000719FF">
        <w:trPr>
          <w:jc w:val="center"/>
        </w:trPr>
        <w:tc>
          <w:tcPr>
            <w:tcW w:w="1500" w:type="dxa"/>
            <w:vMerge w:val="restart"/>
            <w:tcBorders>
              <w:top w:val="single" w:sz="4" w:space="0" w:color="000000"/>
            </w:tcBorders>
            <w:vAlign w:val="center"/>
          </w:tcPr>
          <w:p w14:paraId="0AC43584" w14:textId="4778A85B" w:rsidR="00736E3F" w:rsidRDefault="00736E3F" w:rsidP="00C50F57">
            <w:pPr>
              <w:spacing w:before="60" w:after="30" w:line="240" w:lineRule="auto"/>
              <w:ind w:firstLine="0"/>
            </w:pPr>
            <w:r>
              <w:rPr>
                <w:rFonts w:ascii="Arial" w:eastAsia="Arial" w:hAnsi="Arial" w:cs="Arial"/>
                <w:sz w:val="18"/>
                <w:szCs w:val="18"/>
              </w:rPr>
              <w:t>A. Presentation</w:t>
            </w:r>
          </w:p>
        </w:tc>
        <w:tc>
          <w:tcPr>
            <w:tcW w:w="1960" w:type="dxa"/>
            <w:tcBorders>
              <w:top w:val="single" w:sz="4" w:space="0" w:color="000000"/>
            </w:tcBorders>
            <w:vAlign w:val="center"/>
          </w:tcPr>
          <w:p w14:paraId="2445AE1F" w14:textId="77777777" w:rsidR="00736E3F" w:rsidRDefault="00736E3F" w:rsidP="000719FF">
            <w:pPr>
              <w:spacing w:before="60" w:after="30" w:line="240" w:lineRule="auto"/>
              <w:ind w:firstLine="0"/>
            </w:pPr>
            <w:r>
              <w:rPr>
                <w:rFonts w:ascii="Arial" w:eastAsia="Arial" w:hAnsi="Arial" w:cs="Arial"/>
                <w:sz w:val="18"/>
                <w:szCs w:val="18"/>
              </w:rPr>
              <w:t>1. Format</w:t>
            </w:r>
          </w:p>
        </w:tc>
        <w:tc>
          <w:tcPr>
            <w:tcW w:w="1860" w:type="dxa"/>
            <w:tcBorders>
              <w:top w:val="single" w:sz="4" w:space="0" w:color="000000"/>
            </w:tcBorders>
            <w:tcMar>
              <w:left w:w="115" w:type="dxa"/>
              <w:right w:w="29" w:type="dxa"/>
            </w:tcMar>
            <w:vAlign w:val="center"/>
          </w:tcPr>
          <w:p w14:paraId="20359256" w14:textId="77777777" w:rsidR="00736E3F" w:rsidRDefault="00736E3F" w:rsidP="000719FF">
            <w:pPr>
              <w:spacing w:before="60" w:after="30" w:line="240" w:lineRule="auto"/>
              <w:ind w:firstLine="0"/>
            </w:pPr>
            <w:r>
              <w:rPr>
                <w:rFonts w:ascii="Arial" w:eastAsia="Arial" w:hAnsi="Arial" w:cs="Arial"/>
                <w:sz w:val="18"/>
                <w:szCs w:val="18"/>
              </w:rPr>
              <w:t>Numbers</w:t>
            </w:r>
          </w:p>
        </w:tc>
        <w:tc>
          <w:tcPr>
            <w:tcW w:w="2340" w:type="dxa"/>
            <w:tcBorders>
              <w:top w:val="single" w:sz="4" w:space="0" w:color="000000"/>
            </w:tcBorders>
            <w:vAlign w:val="center"/>
          </w:tcPr>
          <w:p w14:paraId="423BB420" w14:textId="77777777" w:rsidR="00736E3F" w:rsidRDefault="00736E3F" w:rsidP="000719FF">
            <w:pPr>
              <w:spacing w:before="60" w:after="30" w:line="240" w:lineRule="auto"/>
              <w:ind w:firstLine="0"/>
            </w:pPr>
            <w:r>
              <w:rPr>
                <w:rFonts w:ascii="Arial" w:eastAsia="Arial" w:hAnsi="Arial" w:cs="Arial"/>
                <w:sz w:val="18"/>
                <w:szCs w:val="18"/>
              </w:rPr>
              <w:t>Graphs</w:t>
            </w:r>
          </w:p>
        </w:tc>
        <w:tc>
          <w:tcPr>
            <w:tcW w:w="1680" w:type="dxa"/>
            <w:tcBorders>
              <w:top w:val="single" w:sz="4" w:space="0" w:color="000000"/>
            </w:tcBorders>
            <w:tcMar>
              <w:left w:w="115" w:type="dxa"/>
              <w:right w:w="29" w:type="dxa"/>
            </w:tcMar>
            <w:vAlign w:val="center"/>
          </w:tcPr>
          <w:p w14:paraId="077A0306" w14:textId="77777777" w:rsidR="00736E3F" w:rsidRDefault="00736E3F" w:rsidP="000719FF">
            <w:pPr>
              <w:spacing w:before="60" w:after="30" w:line="240" w:lineRule="auto"/>
              <w:ind w:firstLine="0"/>
            </w:pPr>
            <w:r>
              <w:rPr>
                <w:rFonts w:ascii="Arial" w:eastAsia="Arial" w:hAnsi="Arial" w:cs="Arial"/>
                <w:sz w:val="18"/>
                <w:szCs w:val="18"/>
              </w:rPr>
              <w:t>Icons</w:t>
            </w:r>
          </w:p>
        </w:tc>
      </w:tr>
      <w:tr w:rsidR="00461258" w14:paraId="39BB6D26" w14:textId="77777777" w:rsidTr="000719FF">
        <w:trPr>
          <w:jc w:val="center"/>
        </w:trPr>
        <w:tc>
          <w:tcPr>
            <w:tcW w:w="1500" w:type="dxa"/>
            <w:vMerge/>
            <w:tcBorders>
              <w:top w:val="single" w:sz="4" w:space="0" w:color="000000"/>
            </w:tcBorders>
            <w:vAlign w:val="center"/>
          </w:tcPr>
          <w:p w14:paraId="24C443B6" w14:textId="77777777" w:rsidR="00461258" w:rsidRDefault="00461258" w:rsidP="00461258">
            <w:pPr>
              <w:spacing w:line="240" w:lineRule="auto"/>
              <w:ind w:left="247" w:hanging="247"/>
            </w:pPr>
          </w:p>
        </w:tc>
        <w:tc>
          <w:tcPr>
            <w:tcW w:w="1960" w:type="dxa"/>
            <w:vAlign w:val="center"/>
          </w:tcPr>
          <w:p w14:paraId="18667190" w14:textId="77777777" w:rsidR="00461258" w:rsidRDefault="00461258" w:rsidP="00461258">
            <w:pPr>
              <w:spacing w:before="60" w:after="30" w:line="240" w:lineRule="auto"/>
              <w:ind w:firstLine="0"/>
            </w:pPr>
            <w:r>
              <w:rPr>
                <w:rFonts w:ascii="Arial" w:eastAsia="Arial" w:hAnsi="Arial" w:cs="Arial"/>
                <w:sz w:val="18"/>
                <w:szCs w:val="18"/>
              </w:rPr>
              <w:t>2. Source of information</w:t>
            </w:r>
          </w:p>
        </w:tc>
        <w:tc>
          <w:tcPr>
            <w:tcW w:w="1860" w:type="dxa"/>
            <w:vAlign w:val="center"/>
          </w:tcPr>
          <w:p w14:paraId="2D1F6FFD" w14:textId="77777777" w:rsidR="00461258" w:rsidRDefault="00461258" w:rsidP="00461258">
            <w:pPr>
              <w:spacing w:before="60" w:after="30" w:line="240" w:lineRule="auto"/>
              <w:ind w:firstLine="0"/>
            </w:pPr>
            <w:r>
              <w:rPr>
                <w:rFonts w:ascii="Arial" w:eastAsia="Arial" w:hAnsi="Arial" w:cs="Arial"/>
                <w:sz w:val="18"/>
                <w:szCs w:val="18"/>
              </w:rPr>
              <w:t>Objective indicator (e.g. suspension rate) only</w:t>
            </w:r>
          </w:p>
        </w:tc>
        <w:tc>
          <w:tcPr>
            <w:tcW w:w="2340" w:type="dxa"/>
            <w:vAlign w:val="center"/>
          </w:tcPr>
          <w:p w14:paraId="2A180C1C" w14:textId="5153438D" w:rsidR="00461258" w:rsidRDefault="00461258" w:rsidP="00461258">
            <w:pPr>
              <w:spacing w:before="60" w:after="30" w:line="240" w:lineRule="auto"/>
              <w:ind w:firstLine="0"/>
            </w:pPr>
            <w:r w:rsidRPr="00593549">
              <w:rPr>
                <w:rFonts w:ascii="Arial" w:eastAsia="Arial" w:hAnsi="Arial" w:cs="Arial"/>
                <w:sz w:val="18"/>
                <w:szCs w:val="18"/>
              </w:rPr>
              <w:t>Both objective and subjective indicators</w:t>
            </w:r>
          </w:p>
        </w:tc>
        <w:tc>
          <w:tcPr>
            <w:tcW w:w="1680" w:type="dxa"/>
            <w:tcMar>
              <w:left w:w="115" w:type="dxa"/>
              <w:right w:w="29" w:type="dxa"/>
            </w:tcMar>
            <w:vAlign w:val="center"/>
          </w:tcPr>
          <w:p w14:paraId="779567C8" w14:textId="3B51C5C6" w:rsidR="00461258" w:rsidRDefault="00461258" w:rsidP="00461258">
            <w:pPr>
              <w:spacing w:before="60" w:after="30" w:line="240" w:lineRule="auto"/>
              <w:ind w:firstLine="0"/>
            </w:pPr>
            <w:proofErr w:type="spellStart"/>
            <w:r>
              <w:rPr>
                <w:rFonts w:ascii="Arial" w:eastAsia="Arial" w:hAnsi="Arial" w:cs="Arial"/>
                <w:sz w:val="18"/>
                <w:szCs w:val="18"/>
              </w:rPr>
              <w:t>n.a</w:t>
            </w:r>
            <w:proofErr w:type="spellEnd"/>
            <w:r>
              <w:rPr>
                <w:rFonts w:ascii="Arial" w:eastAsia="Arial" w:hAnsi="Arial" w:cs="Arial"/>
                <w:sz w:val="18"/>
                <w:szCs w:val="18"/>
              </w:rPr>
              <w:t>.</w:t>
            </w:r>
          </w:p>
        </w:tc>
      </w:tr>
      <w:tr w:rsidR="00461258" w14:paraId="2801F5CB" w14:textId="77777777" w:rsidTr="000719FF">
        <w:trPr>
          <w:jc w:val="center"/>
        </w:trPr>
        <w:tc>
          <w:tcPr>
            <w:tcW w:w="1500" w:type="dxa"/>
            <w:vMerge w:val="restart"/>
            <w:vAlign w:val="center"/>
          </w:tcPr>
          <w:p w14:paraId="665730A1" w14:textId="6A1FF290" w:rsidR="00461258" w:rsidRDefault="00461258" w:rsidP="00461258">
            <w:pPr>
              <w:spacing w:before="60" w:after="30" w:line="240" w:lineRule="auto"/>
              <w:ind w:firstLine="0"/>
            </w:pPr>
            <w:r>
              <w:rPr>
                <w:rFonts w:ascii="Arial" w:eastAsia="Arial" w:hAnsi="Arial" w:cs="Arial"/>
                <w:sz w:val="18"/>
                <w:szCs w:val="18"/>
              </w:rPr>
              <w:t>B. Amount</w:t>
            </w:r>
          </w:p>
        </w:tc>
        <w:tc>
          <w:tcPr>
            <w:tcW w:w="1960" w:type="dxa"/>
            <w:vAlign w:val="center"/>
          </w:tcPr>
          <w:p w14:paraId="39F18AEC" w14:textId="77777777" w:rsidR="00461258" w:rsidRDefault="00461258" w:rsidP="00461258">
            <w:pPr>
              <w:spacing w:before="60" w:after="30" w:line="240" w:lineRule="auto"/>
              <w:ind w:firstLine="0"/>
            </w:pPr>
            <w:r>
              <w:rPr>
                <w:rFonts w:ascii="Arial" w:eastAsia="Arial" w:hAnsi="Arial" w:cs="Arial"/>
                <w:sz w:val="18"/>
                <w:szCs w:val="18"/>
              </w:rPr>
              <w:t>1. Reference point</w:t>
            </w:r>
          </w:p>
        </w:tc>
        <w:tc>
          <w:tcPr>
            <w:tcW w:w="1860" w:type="dxa"/>
            <w:vAlign w:val="center"/>
          </w:tcPr>
          <w:p w14:paraId="026B51EF" w14:textId="77777777" w:rsidR="00461258" w:rsidRDefault="00461258" w:rsidP="00461258">
            <w:pPr>
              <w:spacing w:before="60" w:after="30" w:line="240" w:lineRule="auto"/>
              <w:ind w:firstLine="0"/>
            </w:pPr>
            <w:r>
              <w:rPr>
                <w:rFonts w:ascii="Arial" w:eastAsia="Arial" w:hAnsi="Arial" w:cs="Arial"/>
                <w:sz w:val="18"/>
                <w:szCs w:val="18"/>
              </w:rPr>
              <w:t>No reference point</w:t>
            </w:r>
          </w:p>
        </w:tc>
        <w:tc>
          <w:tcPr>
            <w:tcW w:w="2340" w:type="dxa"/>
            <w:vAlign w:val="center"/>
          </w:tcPr>
          <w:p w14:paraId="6A32FB43" w14:textId="5559F520" w:rsidR="00461258" w:rsidRDefault="00461258" w:rsidP="00461258">
            <w:pPr>
              <w:spacing w:before="60" w:after="30" w:line="240" w:lineRule="auto"/>
              <w:ind w:firstLine="0"/>
            </w:pPr>
            <w:r>
              <w:rPr>
                <w:rFonts w:ascii="Arial" w:eastAsia="Arial" w:hAnsi="Arial" w:cs="Arial"/>
                <w:sz w:val="18"/>
                <w:szCs w:val="18"/>
              </w:rPr>
              <w:t>District reference point</w:t>
            </w:r>
          </w:p>
        </w:tc>
        <w:tc>
          <w:tcPr>
            <w:tcW w:w="1680" w:type="dxa"/>
            <w:vAlign w:val="center"/>
          </w:tcPr>
          <w:p w14:paraId="40DE3772" w14:textId="56EA6CD2" w:rsidR="00461258" w:rsidRDefault="00461258" w:rsidP="00461258">
            <w:pPr>
              <w:spacing w:before="60" w:after="30" w:line="240" w:lineRule="auto"/>
              <w:ind w:firstLine="0"/>
            </w:pPr>
            <w:proofErr w:type="spellStart"/>
            <w:r w:rsidRPr="00461258">
              <w:rPr>
                <w:rFonts w:ascii="Arial" w:eastAsia="Arial" w:hAnsi="Arial" w:cs="Arial"/>
                <w:sz w:val="18"/>
                <w:szCs w:val="18"/>
              </w:rPr>
              <w:t>n.a</w:t>
            </w:r>
            <w:proofErr w:type="spellEnd"/>
            <w:r w:rsidRPr="00461258">
              <w:rPr>
                <w:rFonts w:ascii="Arial" w:eastAsia="Arial" w:hAnsi="Arial" w:cs="Arial"/>
                <w:sz w:val="18"/>
                <w:szCs w:val="18"/>
              </w:rPr>
              <w:t>.</w:t>
            </w:r>
          </w:p>
        </w:tc>
      </w:tr>
      <w:tr w:rsidR="00736E3F" w14:paraId="2FE4A095" w14:textId="77777777" w:rsidTr="000719FF">
        <w:trPr>
          <w:jc w:val="center"/>
        </w:trPr>
        <w:tc>
          <w:tcPr>
            <w:tcW w:w="1500" w:type="dxa"/>
            <w:vMerge/>
            <w:tcBorders>
              <w:bottom w:val="single" w:sz="4" w:space="0" w:color="000000"/>
            </w:tcBorders>
            <w:vAlign w:val="center"/>
          </w:tcPr>
          <w:p w14:paraId="6E3F3D5E" w14:textId="77777777" w:rsidR="00736E3F" w:rsidRDefault="00736E3F" w:rsidP="00C50F57">
            <w:pPr>
              <w:spacing w:line="240" w:lineRule="auto"/>
              <w:ind w:left="247" w:hanging="247"/>
            </w:pPr>
          </w:p>
        </w:tc>
        <w:tc>
          <w:tcPr>
            <w:tcW w:w="1960" w:type="dxa"/>
            <w:tcBorders>
              <w:bottom w:val="single" w:sz="4" w:space="0" w:color="000000"/>
            </w:tcBorders>
            <w:vAlign w:val="center"/>
          </w:tcPr>
          <w:p w14:paraId="0B222A13" w14:textId="77777777" w:rsidR="00736E3F" w:rsidRDefault="00736E3F" w:rsidP="000719FF">
            <w:pPr>
              <w:spacing w:before="60" w:after="30" w:line="240" w:lineRule="auto"/>
              <w:ind w:firstLine="0"/>
            </w:pPr>
            <w:r>
              <w:rPr>
                <w:rFonts w:ascii="Arial" w:eastAsia="Arial" w:hAnsi="Arial" w:cs="Arial"/>
                <w:sz w:val="18"/>
                <w:szCs w:val="18"/>
              </w:rPr>
              <w:t>2. Attributes and Disclosure</w:t>
            </w:r>
          </w:p>
        </w:tc>
        <w:tc>
          <w:tcPr>
            <w:tcW w:w="1860" w:type="dxa"/>
            <w:tcBorders>
              <w:bottom w:val="single" w:sz="4" w:space="0" w:color="000000"/>
            </w:tcBorders>
            <w:vAlign w:val="center"/>
          </w:tcPr>
          <w:p w14:paraId="38B4D62C" w14:textId="77777777" w:rsidR="00736E3F" w:rsidRDefault="00736E3F" w:rsidP="000719FF">
            <w:pPr>
              <w:spacing w:before="60" w:after="30" w:line="240" w:lineRule="auto"/>
              <w:ind w:firstLine="0"/>
            </w:pPr>
            <w:r w:rsidRPr="004F0C69">
              <w:rPr>
                <w:rFonts w:ascii="Arial" w:eastAsia="Arial" w:hAnsi="Arial" w:cs="Arial"/>
                <w:sz w:val="18"/>
                <w:szCs w:val="18"/>
              </w:rPr>
              <w:t>Low information (one attribute per domain)</w:t>
            </w:r>
          </w:p>
        </w:tc>
        <w:tc>
          <w:tcPr>
            <w:tcW w:w="2340" w:type="dxa"/>
            <w:tcBorders>
              <w:bottom w:val="single" w:sz="4" w:space="0" w:color="000000"/>
            </w:tcBorders>
            <w:vAlign w:val="center"/>
          </w:tcPr>
          <w:p w14:paraId="0C892377" w14:textId="77777777" w:rsidR="00736E3F" w:rsidRDefault="00736E3F" w:rsidP="000719FF">
            <w:pPr>
              <w:spacing w:before="60" w:after="30" w:line="240" w:lineRule="auto"/>
              <w:ind w:firstLine="0"/>
            </w:pPr>
            <w:r w:rsidRPr="004F0C69">
              <w:rPr>
                <w:rFonts w:ascii="Arial" w:eastAsia="Arial" w:hAnsi="Arial" w:cs="Arial"/>
                <w:sz w:val="18"/>
                <w:szCs w:val="18"/>
              </w:rPr>
              <w:t>High information, multiple attributes per domain all shown at once</w:t>
            </w:r>
          </w:p>
        </w:tc>
        <w:tc>
          <w:tcPr>
            <w:tcW w:w="1680" w:type="dxa"/>
            <w:tcBorders>
              <w:bottom w:val="single" w:sz="4" w:space="0" w:color="000000"/>
            </w:tcBorders>
            <w:vAlign w:val="center"/>
          </w:tcPr>
          <w:p w14:paraId="042238AB" w14:textId="77777777" w:rsidR="00736E3F" w:rsidRDefault="00736E3F" w:rsidP="000719FF">
            <w:pPr>
              <w:spacing w:before="60" w:after="30" w:line="240" w:lineRule="auto"/>
              <w:ind w:firstLine="0"/>
            </w:pPr>
            <w:r w:rsidRPr="004F0C69">
              <w:rPr>
                <w:rFonts w:ascii="Arial" w:eastAsia="Arial" w:hAnsi="Arial" w:cs="Arial"/>
                <w:sz w:val="18"/>
                <w:szCs w:val="18"/>
              </w:rPr>
              <w:t>Progressive disclosure: high information, with drawer closed by default</w:t>
            </w:r>
          </w:p>
        </w:tc>
      </w:tr>
      <w:tr w:rsidR="00736E3F" w14:paraId="7F05CDC6" w14:textId="77777777" w:rsidTr="000719FF">
        <w:trPr>
          <w:trHeight w:val="180"/>
          <w:jc w:val="center"/>
        </w:trPr>
        <w:tc>
          <w:tcPr>
            <w:tcW w:w="1500" w:type="dxa"/>
            <w:tcBorders>
              <w:bottom w:val="single" w:sz="4" w:space="0" w:color="auto"/>
            </w:tcBorders>
            <w:tcMar>
              <w:right w:w="0" w:type="dxa"/>
            </w:tcMar>
            <w:vAlign w:val="center"/>
          </w:tcPr>
          <w:p w14:paraId="70F15143" w14:textId="0DC3B283" w:rsidR="00736E3F" w:rsidRDefault="00736E3F" w:rsidP="00C50F57">
            <w:pPr>
              <w:spacing w:before="60" w:after="30" w:line="240" w:lineRule="auto"/>
              <w:ind w:firstLine="0"/>
            </w:pPr>
            <w:r>
              <w:rPr>
                <w:rFonts w:ascii="Arial" w:eastAsia="Arial" w:hAnsi="Arial" w:cs="Arial"/>
                <w:sz w:val="18"/>
                <w:szCs w:val="18"/>
              </w:rPr>
              <w:t>C. Organization</w:t>
            </w:r>
          </w:p>
        </w:tc>
        <w:tc>
          <w:tcPr>
            <w:tcW w:w="1960" w:type="dxa"/>
            <w:tcBorders>
              <w:bottom w:val="single" w:sz="4" w:space="0" w:color="auto"/>
            </w:tcBorders>
            <w:vAlign w:val="center"/>
          </w:tcPr>
          <w:p w14:paraId="74C76F13" w14:textId="77777777" w:rsidR="00736E3F" w:rsidRDefault="00736E3F" w:rsidP="000719FF">
            <w:pPr>
              <w:spacing w:before="60" w:after="30" w:line="240" w:lineRule="auto"/>
              <w:ind w:firstLine="0"/>
            </w:pPr>
            <w:r>
              <w:rPr>
                <w:rFonts w:ascii="Arial" w:eastAsia="Arial" w:hAnsi="Arial" w:cs="Arial"/>
                <w:sz w:val="18"/>
                <w:szCs w:val="18"/>
              </w:rPr>
              <w:t>1. Sort</w:t>
            </w:r>
          </w:p>
        </w:tc>
        <w:tc>
          <w:tcPr>
            <w:tcW w:w="1860" w:type="dxa"/>
            <w:tcBorders>
              <w:bottom w:val="single" w:sz="4" w:space="0" w:color="auto"/>
            </w:tcBorders>
            <w:vAlign w:val="center"/>
          </w:tcPr>
          <w:p w14:paraId="21FD0FEF" w14:textId="77777777" w:rsidR="00736E3F" w:rsidRDefault="00736E3F" w:rsidP="000719FF">
            <w:pPr>
              <w:spacing w:before="60" w:after="30" w:line="240" w:lineRule="auto"/>
              <w:ind w:firstLine="0"/>
            </w:pPr>
            <w:r>
              <w:rPr>
                <w:rFonts w:ascii="Arial" w:eastAsia="Arial" w:hAnsi="Arial" w:cs="Arial"/>
                <w:sz w:val="18"/>
                <w:szCs w:val="18"/>
              </w:rPr>
              <w:t>Default = distance</w:t>
            </w:r>
          </w:p>
        </w:tc>
        <w:tc>
          <w:tcPr>
            <w:tcW w:w="2340" w:type="dxa"/>
            <w:tcBorders>
              <w:bottom w:val="single" w:sz="4" w:space="0" w:color="auto"/>
            </w:tcBorders>
            <w:tcMar>
              <w:left w:w="115" w:type="dxa"/>
              <w:right w:w="29" w:type="dxa"/>
            </w:tcMar>
            <w:vAlign w:val="center"/>
          </w:tcPr>
          <w:p w14:paraId="04590A30" w14:textId="77777777" w:rsidR="00736E3F" w:rsidRDefault="00736E3F" w:rsidP="000719FF">
            <w:pPr>
              <w:spacing w:before="60" w:after="30" w:line="240" w:lineRule="auto"/>
              <w:ind w:firstLine="0"/>
            </w:pPr>
            <w:r>
              <w:rPr>
                <w:rFonts w:ascii="Arial" w:eastAsia="Arial" w:hAnsi="Arial" w:cs="Arial"/>
                <w:sz w:val="18"/>
                <w:szCs w:val="18"/>
              </w:rPr>
              <w:t>Default = academic rating</w:t>
            </w:r>
          </w:p>
        </w:tc>
        <w:tc>
          <w:tcPr>
            <w:tcW w:w="1680" w:type="dxa"/>
            <w:tcBorders>
              <w:bottom w:val="single" w:sz="4" w:space="0" w:color="auto"/>
            </w:tcBorders>
            <w:vAlign w:val="center"/>
          </w:tcPr>
          <w:p w14:paraId="66E8760D" w14:textId="486FB161" w:rsidR="00736E3F" w:rsidRPr="00461258" w:rsidRDefault="00461258" w:rsidP="000719FF">
            <w:pPr>
              <w:spacing w:before="60" w:after="30" w:line="240" w:lineRule="auto"/>
              <w:ind w:firstLine="0"/>
              <w:rPr>
                <w:rFonts w:ascii="Arial" w:hAnsi="Arial" w:cs="Arial"/>
                <w:sz w:val="18"/>
                <w:szCs w:val="18"/>
              </w:rPr>
            </w:pPr>
            <w:proofErr w:type="spellStart"/>
            <w:r w:rsidRPr="00461258">
              <w:rPr>
                <w:rFonts w:ascii="Arial" w:hAnsi="Arial" w:cs="Arial"/>
                <w:sz w:val="18"/>
                <w:szCs w:val="18"/>
              </w:rPr>
              <w:t>n.a</w:t>
            </w:r>
            <w:proofErr w:type="spellEnd"/>
            <w:r w:rsidRPr="00461258">
              <w:rPr>
                <w:rFonts w:ascii="Arial" w:hAnsi="Arial" w:cs="Arial"/>
                <w:sz w:val="18"/>
                <w:szCs w:val="18"/>
              </w:rPr>
              <w:t>.</w:t>
            </w:r>
          </w:p>
        </w:tc>
      </w:tr>
    </w:tbl>
    <w:p w14:paraId="43BDB4FC" w14:textId="6C93DFCC" w:rsidR="00736E3F" w:rsidRPr="00461258" w:rsidRDefault="00461258" w:rsidP="00736E3F">
      <w:pPr>
        <w:pStyle w:val="MarkforTableTitle"/>
        <w:rPr>
          <w:rFonts w:ascii="Arial" w:eastAsia="Arial Black" w:hAnsi="Arial" w:cs="Arial"/>
          <w:sz w:val="18"/>
          <w:szCs w:val="18"/>
        </w:rPr>
      </w:pPr>
      <w:bookmarkStart w:id="14" w:name="_Toc438481832"/>
      <w:proofErr w:type="spellStart"/>
      <w:r w:rsidRPr="00461258">
        <w:rPr>
          <w:rFonts w:ascii="Arial" w:eastAsia="Arial Black" w:hAnsi="Arial" w:cs="Arial"/>
          <w:sz w:val="18"/>
          <w:szCs w:val="18"/>
        </w:rPr>
        <w:t>n.a</w:t>
      </w:r>
      <w:proofErr w:type="spellEnd"/>
      <w:r w:rsidRPr="00461258">
        <w:rPr>
          <w:rFonts w:ascii="Arial" w:eastAsia="Arial Black" w:hAnsi="Arial" w:cs="Arial"/>
          <w:sz w:val="18"/>
          <w:szCs w:val="18"/>
        </w:rPr>
        <w:t>. = not applicable</w:t>
      </w:r>
    </w:p>
    <w:p w14:paraId="6BA32373" w14:textId="77777777" w:rsidR="00461258" w:rsidRPr="00461258" w:rsidRDefault="00461258" w:rsidP="00461258">
      <w:pPr>
        <w:pStyle w:val="NormalSS"/>
        <w:spacing w:after="0"/>
        <w:rPr>
          <w:rFonts w:eastAsia="Arial Black"/>
        </w:rPr>
      </w:pPr>
    </w:p>
    <w:p w14:paraId="62244805" w14:textId="0B52313E" w:rsidR="00736E3F" w:rsidRDefault="00736E3F" w:rsidP="00736E3F">
      <w:pPr>
        <w:pStyle w:val="MarkforTableTitle"/>
      </w:pPr>
      <w:proofErr w:type="gramStart"/>
      <w:r>
        <w:rPr>
          <w:rFonts w:eastAsia="Arial Black"/>
        </w:rPr>
        <w:t>Table Preface.2.</w:t>
      </w:r>
      <w:proofErr w:type="gramEnd"/>
      <w:r>
        <w:rPr>
          <w:rFonts w:eastAsia="Arial Black"/>
        </w:rPr>
        <w:t xml:space="preserve"> Types of School Choice Information to Display</w:t>
      </w:r>
      <w:bookmarkEnd w:id="14"/>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0"/>
        <w:gridCol w:w="2505"/>
        <w:gridCol w:w="2880"/>
        <w:gridCol w:w="2515"/>
      </w:tblGrid>
      <w:tr w:rsidR="00736E3F" w14:paraId="47B7C107" w14:textId="77777777" w:rsidTr="00C50F57">
        <w:trPr>
          <w:trHeight w:val="953"/>
          <w:jc w:val="center"/>
        </w:trPr>
        <w:tc>
          <w:tcPr>
            <w:tcW w:w="1450"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24EBD870" w14:textId="77777777" w:rsidR="00736E3F" w:rsidRDefault="00736E3F" w:rsidP="00C50F57">
            <w:pPr>
              <w:spacing w:before="120" w:after="60" w:line="240" w:lineRule="auto"/>
              <w:ind w:firstLine="0"/>
            </w:pPr>
            <w:r>
              <w:rPr>
                <w:rFonts w:ascii="Arial" w:eastAsia="Arial" w:hAnsi="Arial" w:cs="Arial"/>
                <w:b/>
                <w:sz w:val="18"/>
                <w:szCs w:val="18"/>
              </w:rPr>
              <w:t>Domain</w:t>
            </w:r>
          </w:p>
        </w:tc>
        <w:tc>
          <w:tcPr>
            <w:tcW w:w="2505"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06DAF464" w14:textId="77777777" w:rsidR="00736E3F" w:rsidRDefault="00736E3F" w:rsidP="00C50F57">
            <w:pPr>
              <w:spacing w:before="120" w:after="60" w:line="240" w:lineRule="auto"/>
              <w:ind w:firstLine="0"/>
            </w:pPr>
            <w:r>
              <w:rPr>
                <w:rFonts w:ascii="Arial" w:eastAsia="Arial" w:hAnsi="Arial" w:cs="Arial"/>
                <w:b/>
                <w:sz w:val="18"/>
                <w:szCs w:val="18"/>
              </w:rPr>
              <w:t>Attributes</w:t>
            </w:r>
          </w:p>
        </w:tc>
        <w:tc>
          <w:tcPr>
            <w:tcW w:w="2880" w:type="dxa"/>
            <w:tcBorders>
              <w:top w:val="single" w:sz="4" w:space="0" w:color="000000"/>
              <w:left w:val="single" w:sz="4" w:space="0" w:color="000000"/>
              <w:bottom w:val="single" w:sz="4" w:space="0" w:color="000000"/>
              <w:right w:val="single" w:sz="4" w:space="0" w:color="000000"/>
            </w:tcBorders>
            <w:shd w:val="clear" w:color="auto" w:fill="D0002D"/>
          </w:tcPr>
          <w:p w14:paraId="18DE608B" w14:textId="77777777" w:rsidR="00736E3F" w:rsidRPr="00491CE5" w:rsidRDefault="00736E3F" w:rsidP="00C50F57">
            <w:pPr>
              <w:spacing w:before="120" w:after="60" w:line="240" w:lineRule="auto"/>
              <w:ind w:firstLine="0"/>
              <w:rPr>
                <w:rFonts w:ascii="Arial" w:eastAsia="Arial" w:hAnsi="Arial" w:cs="Arial"/>
                <w:b/>
                <w:sz w:val="18"/>
                <w:szCs w:val="18"/>
              </w:rPr>
            </w:pPr>
            <w:r w:rsidRPr="00491CE5">
              <w:rPr>
                <w:rFonts w:ascii="Arial" w:eastAsia="Arial" w:hAnsi="Arial" w:cs="Arial"/>
                <w:b/>
                <w:sz w:val="18"/>
                <w:szCs w:val="18"/>
              </w:rPr>
              <w:t>Variations in format (graphics or icons to be shown in addition to numbers)</w:t>
            </w:r>
          </w:p>
        </w:tc>
        <w:tc>
          <w:tcPr>
            <w:tcW w:w="2515" w:type="dxa"/>
            <w:tcBorders>
              <w:top w:val="single" w:sz="4" w:space="0" w:color="000000"/>
              <w:left w:val="single" w:sz="4" w:space="0" w:color="000000"/>
              <w:bottom w:val="single" w:sz="4" w:space="0" w:color="000000"/>
              <w:right w:val="single" w:sz="4" w:space="0" w:color="000000"/>
            </w:tcBorders>
            <w:shd w:val="clear" w:color="auto" w:fill="D0002D"/>
          </w:tcPr>
          <w:p w14:paraId="262A8186" w14:textId="77777777" w:rsidR="00736E3F" w:rsidRDefault="00736E3F" w:rsidP="00C50F57">
            <w:pPr>
              <w:spacing w:before="120" w:after="60" w:line="240" w:lineRule="auto"/>
              <w:ind w:firstLine="0"/>
              <w:rPr>
                <w:rFonts w:ascii="Arial" w:eastAsia="Arial" w:hAnsi="Arial" w:cs="Arial"/>
                <w:b/>
                <w:sz w:val="18"/>
                <w:szCs w:val="18"/>
              </w:rPr>
            </w:pPr>
            <w:r w:rsidRPr="00491CE5">
              <w:rPr>
                <w:rFonts w:ascii="Arial" w:eastAsia="Arial" w:hAnsi="Arial" w:cs="Arial"/>
                <w:b/>
                <w:sz w:val="18"/>
                <w:szCs w:val="18"/>
              </w:rPr>
              <w:t>Variations in source (subjective indicator to be shown in addition to main attributes)</w:t>
            </w:r>
          </w:p>
        </w:tc>
      </w:tr>
      <w:tr w:rsidR="00461258" w14:paraId="0265BCCE" w14:textId="77777777" w:rsidTr="00C50F57">
        <w:trPr>
          <w:trHeight w:val="917"/>
          <w:jc w:val="center"/>
        </w:trPr>
        <w:tc>
          <w:tcPr>
            <w:tcW w:w="1450" w:type="dxa"/>
            <w:tcBorders>
              <w:top w:val="single" w:sz="4" w:space="0" w:color="000000"/>
            </w:tcBorders>
            <w:vAlign w:val="center"/>
          </w:tcPr>
          <w:p w14:paraId="6F751117" w14:textId="64D4C103" w:rsidR="00461258" w:rsidRDefault="00461258" w:rsidP="00461258">
            <w:pPr>
              <w:spacing w:line="240" w:lineRule="auto"/>
              <w:ind w:firstLine="0"/>
            </w:pPr>
            <w:r>
              <w:rPr>
                <w:rFonts w:ascii="Arial" w:eastAsia="Arial" w:hAnsi="Arial" w:cs="Arial"/>
                <w:sz w:val="18"/>
                <w:szCs w:val="18"/>
              </w:rPr>
              <w:t>Distance</w:t>
            </w:r>
          </w:p>
        </w:tc>
        <w:tc>
          <w:tcPr>
            <w:tcW w:w="2505" w:type="dxa"/>
            <w:tcBorders>
              <w:top w:val="single" w:sz="4" w:space="0" w:color="000000"/>
            </w:tcBorders>
            <w:tcMar>
              <w:left w:w="115" w:type="dxa"/>
              <w:right w:w="29" w:type="dxa"/>
            </w:tcMar>
            <w:vAlign w:val="center"/>
          </w:tcPr>
          <w:p w14:paraId="0B6BFCE5" w14:textId="77777777" w:rsidR="00461258" w:rsidRPr="00FF5C7E" w:rsidRDefault="00461258" w:rsidP="00461258">
            <w:pPr>
              <w:pStyle w:val="TableText"/>
              <w:rPr>
                <w:rFonts w:cs="Arial"/>
                <w:szCs w:val="18"/>
              </w:rPr>
            </w:pPr>
            <w:r w:rsidRPr="00FF5C7E">
              <w:rPr>
                <w:rFonts w:cs="Arial"/>
                <w:szCs w:val="18"/>
              </w:rPr>
              <w:t>Straight-line distance from home to school</w:t>
            </w:r>
          </w:p>
          <w:p w14:paraId="48D1A439" w14:textId="77777777" w:rsidR="00461258" w:rsidRPr="00FF5C7E" w:rsidRDefault="00461258" w:rsidP="00461258">
            <w:pPr>
              <w:pStyle w:val="TableText"/>
              <w:rPr>
                <w:rFonts w:cs="Arial"/>
                <w:szCs w:val="18"/>
              </w:rPr>
            </w:pPr>
            <w:r w:rsidRPr="00FF5C7E">
              <w:rPr>
                <w:rFonts w:cs="Arial"/>
                <w:szCs w:val="18"/>
              </w:rPr>
              <w:t xml:space="preserve">*Walking time </w:t>
            </w:r>
          </w:p>
          <w:p w14:paraId="2B711191" w14:textId="2D96000A" w:rsidR="00461258" w:rsidRDefault="00461258" w:rsidP="00461258">
            <w:pPr>
              <w:spacing w:line="240" w:lineRule="auto"/>
              <w:ind w:firstLine="0"/>
            </w:pPr>
            <w:r w:rsidRPr="00FF5C7E">
              <w:rPr>
                <w:rFonts w:ascii="Arial" w:hAnsi="Arial" w:cs="Arial"/>
                <w:sz w:val="18"/>
                <w:szCs w:val="18"/>
              </w:rPr>
              <w:t>*Driving time</w:t>
            </w:r>
          </w:p>
        </w:tc>
        <w:tc>
          <w:tcPr>
            <w:tcW w:w="2880" w:type="dxa"/>
            <w:tcBorders>
              <w:top w:val="single" w:sz="4" w:space="0" w:color="000000"/>
            </w:tcBorders>
            <w:vAlign w:val="center"/>
          </w:tcPr>
          <w:p w14:paraId="2BBBBDFF" w14:textId="19096BDD" w:rsidR="00461258" w:rsidRPr="00EB4EF3" w:rsidRDefault="00461258" w:rsidP="00461258">
            <w:pPr>
              <w:spacing w:line="240" w:lineRule="auto"/>
              <w:ind w:firstLine="0"/>
              <w:rPr>
                <w:rFonts w:ascii="Arial" w:eastAsia="Arial" w:hAnsi="Arial" w:cs="Arial"/>
                <w:sz w:val="18"/>
                <w:szCs w:val="18"/>
              </w:rPr>
            </w:pPr>
            <w:r w:rsidRPr="00FF5C7E">
              <w:rPr>
                <w:rFonts w:ascii="Arial" w:hAnsi="Arial" w:cs="Arial"/>
                <w:sz w:val="18"/>
                <w:szCs w:val="18"/>
              </w:rPr>
              <w:t>No variation</w:t>
            </w:r>
          </w:p>
        </w:tc>
        <w:tc>
          <w:tcPr>
            <w:tcW w:w="2515" w:type="dxa"/>
            <w:tcBorders>
              <w:top w:val="single" w:sz="4" w:space="0" w:color="000000"/>
            </w:tcBorders>
            <w:vAlign w:val="center"/>
          </w:tcPr>
          <w:p w14:paraId="5C74A834" w14:textId="3D1B8DC4" w:rsidR="00461258" w:rsidRPr="00EB4EF3" w:rsidDel="00491CE5" w:rsidRDefault="00461258" w:rsidP="00461258">
            <w:pPr>
              <w:spacing w:line="240" w:lineRule="auto"/>
              <w:ind w:firstLine="0"/>
              <w:rPr>
                <w:rFonts w:ascii="Arial" w:eastAsia="Arial" w:hAnsi="Arial" w:cs="Arial"/>
                <w:sz w:val="18"/>
                <w:szCs w:val="18"/>
              </w:rPr>
            </w:pPr>
            <w:r w:rsidRPr="00FF5C7E">
              <w:rPr>
                <w:rFonts w:ascii="Arial" w:hAnsi="Arial" w:cs="Arial"/>
                <w:sz w:val="18"/>
                <w:szCs w:val="18"/>
              </w:rPr>
              <w:t>No variation</w:t>
            </w:r>
          </w:p>
        </w:tc>
      </w:tr>
      <w:tr w:rsidR="00461258" w14:paraId="58AD255C" w14:textId="77777777" w:rsidTr="00C50F57">
        <w:trPr>
          <w:trHeight w:val="800"/>
          <w:jc w:val="center"/>
        </w:trPr>
        <w:tc>
          <w:tcPr>
            <w:tcW w:w="1450" w:type="dxa"/>
            <w:vAlign w:val="center"/>
          </w:tcPr>
          <w:p w14:paraId="1408E7D5" w14:textId="77777777" w:rsidR="00461258" w:rsidRDefault="00461258" w:rsidP="00461258">
            <w:pPr>
              <w:spacing w:line="240" w:lineRule="auto"/>
              <w:ind w:firstLine="0"/>
            </w:pPr>
            <w:r>
              <w:rPr>
                <w:rFonts w:ascii="Arial" w:eastAsia="Arial" w:hAnsi="Arial" w:cs="Arial"/>
                <w:sz w:val="18"/>
                <w:szCs w:val="18"/>
              </w:rPr>
              <w:t>Academics</w:t>
            </w:r>
          </w:p>
        </w:tc>
        <w:tc>
          <w:tcPr>
            <w:tcW w:w="2505" w:type="dxa"/>
            <w:vAlign w:val="center"/>
          </w:tcPr>
          <w:p w14:paraId="0D562FF2" w14:textId="77777777" w:rsidR="00461258" w:rsidRPr="00FF5C7E" w:rsidRDefault="00461258" w:rsidP="00461258">
            <w:pPr>
              <w:pStyle w:val="TableText"/>
              <w:rPr>
                <w:rFonts w:cs="Arial"/>
                <w:szCs w:val="18"/>
              </w:rPr>
            </w:pPr>
            <w:r w:rsidRPr="00FF5C7E">
              <w:rPr>
                <w:rFonts w:cs="Arial"/>
                <w:szCs w:val="18"/>
              </w:rPr>
              <w:t>% proficient on 2016 achievement test</w:t>
            </w:r>
          </w:p>
          <w:p w14:paraId="3E7A104F" w14:textId="77777777" w:rsidR="00461258" w:rsidRPr="00FF5C7E" w:rsidRDefault="00461258" w:rsidP="00461258">
            <w:pPr>
              <w:pStyle w:val="TableText"/>
              <w:rPr>
                <w:rFonts w:cs="Arial"/>
                <w:szCs w:val="18"/>
              </w:rPr>
            </w:pPr>
            <w:r w:rsidRPr="00FF5C7E">
              <w:rPr>
                <w:rFonts w:cs="Arial"/>
                <w:szCs w:val="18"/>
              </w:rPr>
              <w:t>*% proficient on the 2016 math test</w:t>
            </w:r>
          </w:p>
          <w:p w14:paraId="6BD085C8" w14:textId="77777777" w:rsidR="00461258" w:rsidRPr="00FF5C7E" w:rsidRDefault="00461258" w:rsidP="00461258">
            <w:pPr>
              <w:pStyle w:val="TableText"/>
              <w:rPr>
                <w:rFonts w:cs="Arial"/>
                <w:szCs w:val="18"/>
              </w:rPr>
            </w:pPr>
            <w:r w:rsidRPr="00FF5C7E">
              <w:rPr>
                <w:rFonts w:cs="Arial"/>
                <w:szCs w:val="18"/>
              </w:rPr>
              <w:t xml:space="preserve">*% proficient on the 2016 reading test </w:t>
            </w:r>
          </w:p>
          <w:p w14:paraId="39A936C1" w14:textId="77777777" w:rsidR="00461258" w:rsidRPr="00FF5C7E" w:rsidRDefault="00461258" w:rsidP="00461258">
            <w:pPr>
              <w:pStyle w:val="TableText"/>
              <w:rPr>
                <w:rFonts w:cs="Arial"/>
                <w:szCs w:val="18"/>
              </w:rPr>
            </w:pPr>
            <w:r w:rsidRPr="00FF5C7E">
              <w:rPr>
                <w:rFonts w:cs="Arial"/>
                <w:szCs w:val="18"/>
              </w:rPr>
              <w:t>*Average 2015-2016 academic growth, 0-100 index</w:t>
            </w:r>
          </w:p>
          <w:p w14:paraId="2BA64F93" w14:textId="77777777" w:rsidR="00461258" w:rsidRPr="00FF5C7E" w:rsidRDefault="00461258" w:rsidP="00461258">
            <w:pPr>
              <w:pStyle w:val="TableText"/>
              <w:rPr>
                <w:rFonts w:cs="Arial"/>
                <w:szCs w:val="18"/>
              </w:rPr>
            </w:pPr>
            <w:r w:rsidRPr="00FF5C7E">
              <w:rPr>
                <w:rFonts w:cs="Arial"/>
                <w:szCs w:val="18"/>
              </w:rPr>
              <w:t>*Average 20</w:t>
            </w:r>
            <w:r>
              <w:rPr>
                <w:rFonts w:cs="Arial"/>
                <w:szCs w:val="18"/>
              </w:rPr>
              <w:t>15-2016 academic growth in math</w:t>
            </w:r>
          </w:p>
          <w:p w14:paraId="170F57F5" w14:textId="26477C7E" w:rsidR="00461258" w:rsidRDefault="00461258" w:rsidP="00461258">
            <w:pPr>
              <w:spacing w:line="240" w:lineRule="auto"/>
              <w:ind w:firstLine="0"/>
            </w:pPr>
            <w:r w:rsidRPr="00FF5C7E">
              <w:rPr>
                <w:rFonts w:ascii="Arial" w:hAnsi="Arial" w:cs="Arial"/>
                <w:sz w:val="18"/>
                <w:szCs w:val="18"/>
              </w:rPr>
              <w:t>*Average 2015-</w:t>
            </w:r>
            <w:r>
              <w:rPr>
                <w:rFonts w:ascii="Arial" w:hAnsi="Arial" w:cs="Arial"/>
                <w:sz w:val="18"/>
                <w:szCs w:val="18"/>
              </w:rPr>
              <w:t>2016 academic growth in reading</w:t>
            </w:r>
          </w:p>
        </w:tc>
        <w:tc>
          <w:tcPr>
            <w:tcW w:w="2880" w:type="dxa"/>
            <w:vAlign w:val="center"/>
          </w:tcPr>
          <w:p w14:paraId="3803C0EF" w14:textId="77777777" w:rsidR="00461258" w:rsidRPr="00FF5C7E" w:rsidRDefault="00461258" w:rsidP="00461258">
            <w:pPr>
              <w:pStyle w:val="TableText"/>
              <w:numPr>
                <w:ilvl w:val="0"/>
                <w:numId w:val="35"/>
              </w:numPr>
              <w:spacing w:before="120" w:after="120"/>
              <w:ind w:left="252" w:hanging="180"/>
              <w:rPr>
                <w:rFonts w:cs="Arial"/>
                <w:szCs w:val="18"/>
              </w:rPr>
            </w:pPr>
            <w:r w:rsidRPr="00FF5C7E">
              <w:rPr>
                <w:rFonts w:cs="Arial"/>
                <w:i/>
                <w:szCs w:val="18"/>
              </w:rPr>
              <w:t xml:space="preserve">Graph: </w:t>
            </w:r>
            <w:r w:rsidRPr="00FF5C7E">
              <w:rPr>
                <w:rFonts w:cs="Arial"/>
                <w:szCs w:val="18"/>
              </w:rPr>
              <w:t>Horizontal bar graphic for each indicator; no additional text</w:t>
            </w:r>
          </w:p>
          <w:p w14:paraId="2CFA847B" w14:textId="030D724F" w:rsidR="00461258" w:rsidRPr="00EB4EF3" w:rsidRDefault="00461258" w:rsidP="00461258">
            <w:pPr>
              <w:numPr>
                <w:ilvl w:val="0"/>
                <w:numId w:val="35"/>
              </w:numPr>
              <w:spacing w:before="120" w:line="240" w:lineRule="auto"/>
              <w:ind w:left="252" w:hanging="180"/>
              <w:rPr>
                <w:rFonts w:ascii="Arial" w:hAnsi="Arial" w:cs="Arial"/>
                <w:sz w:val="18"/>
                <w:szCs w:val="18"/>
              </w:rPr>
            </w:pPr>
            <w:r w:rsidRPr="00FF5C7E">
              <w:rPr>
                <w:rFonts w:ascii="Arial" w:hAnsi="Arial" w:cs="Arial"/>
                <w:i/>
                <w:sz w:val="18"/>
                <w:szCs w:val="18"/>
              </w:rPr>
              <w:t xml:space="preserve">Icon: </w:t>
            </w:r>
            <w:r w:rsidRPr="00FF5C7E">
              <w:rPr>
                <w:rFonts w:ascii="Arial" w:hAnsi="Arial" w:cs="Arial"/>
                <w:sz w:val="18"/>
                <w:szCs w:val="18"/>
              </w:rPr>
              <w:t>Letter-grade icon with color coding (green indicating better grades); no additional text</w:t>
            </w:r>
          </w:p>
        </w:tc>
        <w:tc>
          <w:tcPr>
            <w:tcW w:w="2515" w:type="dxa"/>
            <w:vAlign w:val="center"/>
          </w:tcPr>
          <w:p w14:paraId="21B93183" w14:textId="7A00FF32" w:rsidR="00461258" w:rsidDel="00491CE5" w:rsidRDefault="00461258" w:rsidP="00461258">
            <w:pPr>
              <w:spacing w:line="240" w:lineRule="auto"/>
              <w:ind w:firstLine="0"/>
              <w:rPr>
                <w:rFonts w:ascii="Arial" w:eastAsia="Arial" w:hAnsi="Arial" w:cs="Arial"/>
                <w:sz w:val="18"/>
                <w:szCs w:val="18"/>
              </w:rPr>
            </w:pPr>
            <w:r w:rsidRPr="00FF5C7E">
              <w:rPr>
                <w:rFonts w:ascii="Arial" w:hAnsi="Arial" w:cs="Arial"/>
                <w:sz w:val="18"/>
                <w:szCs w:val="18"/>
              </w:rPr>
              <w:t>Percentage of parents agreeing with statement that they are highly satisfied with the school’s academic quality</w:t>
            </w:r>
          </w:p>
        </w:tc>
      </w:tr>
      <w:tr w:rsidR="00461258" w14:paraId="5E8C0838" w14:textId="77777777" w:rsidTr="00C50F57">
        <w:trPr>
          <w:jc w:val="center"/>
        </w:trPr>
        <w:tc>
          <w:tcPr>
            <w:tcW w:w="1450" w:type="dxa"/>
            <w:vAlign w:val="center"/>
          </w:tcPr>
          <w:p w14:paraId="057F3229" w14:textId="74D11122" w:rsidR="00461258" w:rsidRDefault="00461258" w:rsidP="00461258">
            <w:pPr>
              <w:spacing w:line="240" w:lineRule="auto"/>
              <w:ind w:firstLine="0"/>
            </w:pPr>
            <w:r>
              <w:rPr>
                <w:rFonts w:ascii="Arial" w:eastAsia="Arial" w:hAnsi="Arial" w:cs="Arial"/>
                <w:sz w:val="18"/>
                <w:szCs w:val="18"/>
              </w:rPr>
              <w:t>Safety</w:t>
            </w:r>
          </w:p>
        </w:tc>
        <w:tc>
          <w:tcPr>
            <w:tcW w:w="2505" w:type="dxa"/>
            <w:vAlign w:val="center"/>
          </w:tcPr>
          <w:p w14:paraId="2B61DFFE" w14:textId="77777777" w:rsidR="00461258" w:rsidRPr="00FF5C7E" w:rsidRDefault="00461258" w:rsidP="00461258">
            <w:pPr>
              <w:pStyle w:val="TableText"/>
              <w:rPr>
                <w:rFonts w:cs="Arial"/>
                <w:szCs w:val="18"/>
              </w:rPr>
            </w:pPr>
            <w:r w:rsidRPr="00FF5C7E">
              <w:rPr>
                <w:rFonts w:cs="Arial"/>
                <w:szCs w:val="18"/>
              </w:rPr>
              <w:t>% of students with no suspensions</w:t>
            </w:r>
          </w:p>
          <w:p w14:paraId="64DAEC5C" w14:textId="77777777" w:rsidR="00461258" w:rsidRPr="00FF5C7E" w:rsidRDefault="00461258" w:rsidP="00461258">
            <w:pPr>
              <w:pStyle w:val="TableText"/>
              <w:rPr>
                <w:rFonts w:cs="Arial"/>
                <w:szCs w:val="18"/>
              </w:rPr>
            </w:pPr>
            <w:r w:rsidRPr="00FF5C7E">
              <w:rPr>
                <w:rFonts w:cs="Arial"/>
                <w:szCs w:val="18"/>
              </w:rPr>
              <w:t>*Attendance rate</w:t>
            </w:r>
          </w:p>
          <w:p w14:paraId="34A6F9D0" w14:textId="3DAA8480" w:rsidR="00461258" w:rsidRDefault="00461258" w:rsidP="00461258">
            <w:pPr>
              <w:spacing w:line="240" w:lineRule="auto"/>
              <w:ind w:firstLine="0"/>
            </w:pPr>
            <w:r w:rsidRPr="00FF5C7E">
              <w:rPr>
                <w:rFonts w:ascii="Arial" w:hAnsi="Arial" w:cs="Arial"/>
                <w:sz w:val="18"/>
                <w:szCs w:val="18"/>
              </w:rPr>
              <w:t>*Yes/no: School won a blue-ribbon award for anti-bullying efforts</w:t>
            </w:r>
          </w:p>
        </w:tc>
        <w:tc>
          <w:tcPr>
            <w:tcW w:w="2880" w:type="dxa"/>
            <w:vAlign w:val="center"/>
          </w:tcPr>
          <w:p w14:paraId="631D4A08" w14:textId="77777777" w:rsidR="00461258" w:rsidRPr="00FF5C7E" w:rsidRDefault="00461258" w:rsidP="00461258">
            <w:pPr>
              <w:pStyle w:val="TableText"/>
              <w:numPr>
                <w:ilvl w:val="0"/>
                <w:numId w:val="35"/>
              </w:numPr>
              <w:spacing w:before="120" w:after="120"/>
              <w:ind w:left="234" w:hanging="180"/>
              <w:rPr>
                <w:rFonts w:cs="Arial"/>
                <w:szCs w:val="18"/>
              </w:rPr>
            </w:pPr>
            <w:r w:rsidRPr="00FF5C7E">
              <w:rPr>
                <w:rFonts w:cs="Arial"/>
                <w:i/>
                <w:szCs w:val="18"/>
              </w:rPr>
              <w:t xml:space="preserve">Graph: </w:t>
            </w:r>
            <w:r w:rsidRPr="00FF5C7E">
              <w:rPr>
                <w:rFonts w:cs="Arial"/>
                <w:szCs w:val="18"/>
              </w:rPr>
              <w:t>Horizontal bar graphic for suspensions and attendance indicators; no additional text</w:t>
            </w:r>
          </w:p>
          <w:p w14:paraId="66CF32B3" w14:textId="75AE0EB3" w:rsidR="00461258" w:rsidRDefault="00461258" w:rsidP="00461258">
            <w:pPr>
              <w:pStyle w:val="TableText"/>
              <w:numPr>
                <w:ilvl w:val="0"/>
                <w:numId w:val="35"/>
              </w:numPr>
              <w:spacing w:before="120" w:after="120"/>
              <w:ind w:left="234" w:hanging="180"/>
            </w:pPr>
            <w:r w:rsidRPr="00FF5C7E">
              <w:rPr>
                <w:rFonts w:cs="Arial"/>
                <w:i/>
                <w:szCs w:val="18"/>
              </w:rPr>
              <w:t>Icon:</w:t>
            </w:r>
            <w:r w:rsidRPr="00FF5C7E">
              <w:rPr>
                <w:rFonts w:cs="Arial"/>
                <w:szCs w:val="18"/>
              </w:rPr>
              <w:t xml:space="preserve"> Letter-grade icon with color coding for suspensions and attendance indicators; no additional text</w:t>
            </w:r>
          </w:p>
        </w:tc>
        <w:tc>
          <w:tcPr>
            <w:tcW w:w="2515" w:type="dxa"/>
            <w:vAlign w:val="center"/>
          </w:tcPr>
          <w:p w14:paraId="35D8F06B" w14:textId="3876FE6C" w:rsidR="00461258" w:rsidDel="00491CE5" w:rsidRDefault="00461258" w:rsidP="00461258">
            <w:pPr>
              <w:spacing w:line="240" w:lineRule="auto"/>
              <w:ind w:firstLine="0"/>
              <w:rPr>
                <w:rFonts w:ascii="Arial" w:eastAsia="Arial" w:hAnsi="Arial" w:cs="Arial"/>
                <w:sz w:val="18"/>
                <w:szCs w:val="18"/>
              </w:rPr>
            </w:pPr>
            <w:r w:rsidRPr="00FF5C7E">
              <w:rPr>
                <w:rFonts w:ascii="Arial" w:hAnsi="Arial" w:cs="Arial"/>
                <w:sz w:val="18"/>
                <w:szCs w:val="18"/>
              </w:rPr>
              <w:t>Percentage of parents agreeing with statement that the school is a safe place for their child</w:t>
            </w:r>
          </w:p>
        </w:tc>
      </w:tr>
      <w:tr w:rsidR="00461258" w14:paraId="49A14F1A" w14:textId="77777777" w:rsidTr="00C50F57">
        <w:trPr>
          <w:trHeight w:val="1718"/>
          <w:jc w:val="center"/>
        </w:trPr>
        <w:tc>
          <w:tcPr>
            <w:tcW w:w="1450" w:type="dxa"/>
            <w:vAlign w:val="center"/>
          </w:tcPr>
          <w:p w14:paraId="3D2433E5" w14:textId="77777777" w:rsidR="00461258" w:rsidRDefault="00461258" w:rsidP="00461258">
            <w:pPr>
              <w:spacing w:line="240" w:lineRule="auto"/>
              <w:ind w:firstLine="0"/>
            </w:pPr>
            <w:r>
              <w:rPr>
                <w:rFonts w:ascii="Arial" w:eastAsia="Arial" w:hAnsi="Arial" w:cs="Arial"/>
                <w:sz w:val="18"/>
                <w:szCs w:val="18"/>
              </w:rPr>
              <w:lastRenderedPageBreak/>
              <w:t>Resources</w:t>
            </w:r>
          </w:p>
        </w:tc>
        <w:tc>
          <w:tcPr>
            <w:tcW w:w="2505" w:type="dxa"/>
            <w:vAlign w:val="center"/>
          </w:tcPr>
          <w:p w14:paraId="7AAF7509" w14:textId="77777777" w:rsidR="00461258" w:rsidRPr="00FF5C7E" w:rsidRDefault="00461258" w:rsidP="00461258">
            <w:pPr>
              <w:pStyle w:val="TableText"/>
              <w:rPr>
                <w:rFonts w:cs="Arial"/>
                <w:szCs w:val="18"/>
              </w:rPr>
            </w:pPr>
            <w:r w:rsidRPr="00FF5C7E">
              <w:rPr>
                <w:rFonts w:cs="Arial"/>
                <w:szCs w:val="18"/>
              </w:rPr>
              <w:t>Number of laptops or tablets per 100 students</w:t>
            </w:r>
          </w:p>
          <w:p w14:paraId="3829C98A" w14:textId="77777777" w:rsidR="00461258" w:rsidRPr="00FF5C7E" w:rsidRDefault="00461258" w:rsidP="00461258">
            <w:pPr>
              <w:pStyle w:val="TableText"/>
              <w:rPr>
                <w:rFonts w:cs="Arial"/>
                <w:szCs w:val="18"/>
              </w:rPr>
            </w:pPr>
            <w:r w:rsidRPr="00FF5C7E">
              <w:rPr>
                <w:rFonts w:cs="Arial"/>
                <w:szCs w:val="18"/>
              </w:rPr>
              <w:t>*Year of most recent school renovation</w:t>
            </w:r>
          </w:p>
          <w:p w14:paraId="4E0107A0" w14:textId="362582EF" w:rsidR="00461258" w:rsidRDefault="00461258" w:rsidP="00461258">
            <w:pPr>
              <w:spacing w:line="240" w:lineRule="auto"/>
              <w:ind w:firstLine="0"/>
            </w:pPr>
            <w:r w:rsidRPr="00FF5C7E">
              <w:rPr>
                <w:rFonts w:ascii="Arial" w:hAnsi="Arial" w:cs="Arial"/>
                <w:sz w:val="18"/>
                <w:szCs w:val="18"/>
              </w:rPr>
              <w:t>*Yes/no on 4 items: school has dedicated art studio, library, computer lab, music program</w:t>
            </w:r>
          </w:p>
        </w:tc>
        <w:tc>
          <w:tcPr>
            <w:tcW w:w="2880" w:type="dxa"/>
            <w:tcMar>
              <w:left w:w="115" w:type="dxa"/>
              <w:right w:w="29" w:type="dxa"/>
            </w:tcMar>
            <w:vAlign w:val="center"/>
          </w:tcPr>
          <w:p w14:paraId="188E5899" w14:textId="644FA407" w:rsidR="00461258" w:rsidRDefault="00461258" w:rsidP="00461258">
            <w:pPr>
              <w:spacing w:line="240" w:lineRule="auto"/>
              <w:ind w:firstLine="0"/>
            </w:pPr>
            <w:r w:rsidRPr="00FF5C7E">
              <w:rPr>
                <w:rFonts w:ascii="Arial" w:hAnsi="Arial" w:cs="Arial"/>
                <w:sz w:val="18"/>
                <w:szCs w:val="18"/>
              </w:rPr>
              <w:t>No variation</w:t>
            </w:r>
          </w:p>
        </w:tc>
        <w:tc>
          <w:tcPr>
            <w:tcW w:w="2515" w:type="dxa"/>
            <w:vAlign w:val="center"/>
          </w:tcPr>
          <w:p w14:paraId="27E9A666" w14:textId="6C23D989" w:rsidR="00461258" w:rsidDel="00491CE5" w:rsidRDefault="00461258" w:rsidP="00461258">
            <w:pPr>
              <w:spacing w:line="240" w:lineRule="auto"/>
              <w:ind w:firstLine="0"/>
              <w:rPr>
                <w:rFonts w:ascii="Arial" w:eastAsia="Arial" w:hAnsi="Arial" w:cs="Arial"/>
                <w:sz w:val="18"/>
                <w:szCs w:val="18"/>
              </w:rPr>
            </w:pPr>
            <w:r w:rsidRPr="00FF5C7E">
              <w:rPr>
                <w:rFonts w:ascii="Arial" w:hAnsi="Arial" w:cs="Arial"/>
                <w:sz w:val="18"/>
                <w:szCs w:val="18"/>
              </w:rPr>
              <w:t>No variation</w:t>
            </w:r>
          </w:p>
        </w:tc>
      </w:tr>
    </w:tbl>
    <w:p w14:paraId="4C646D30" w14:textId="77777777" w:rsidR="00736E3F" w:rsidRPr="00EB4EF3" w:rsidRDefault="00736E3F" w:rsidP="00736E3F">
      <w:pPr>
        <w:ind w:left="90" w:firstLine="0"/>
        <w:rPr>
          <w:rFonts w:ascii="Arial" w:hAnsi="Arial" w:cs="Arial"/>
          <w:sz w:val="18"/>
          <w:szCs w:val="18"/>
        </w:rPr>
      </w:pPr>
      <w:r w:rsidRPr="00EB4EF3">
        <w:rPr>
          <w:rFonts w:ascii="Arial" w:hAnsi="Arial" w:cs="Arial"/>
          <w:sz w:val="18"/>
          <w:szCs w:val="18"/>
        </w:rPr>
        <w:t>* Attribute will only appear in the open drawer</w:t>
      </w:r>
    </w:p>
    <w:p w14:paraId="006C458A" w14:textId="77777777" w:rsidR="00736E3F" w:rsidRPr="0038213F" w:rsidRDefault="00736E3F" w:rsidP="00042527">
      <w:pPr>
        <w:spacing w:after="180" w:line="240" w:lineRule="auto"/>
        <w:ind w:firstLine="0"/>
        <w:jc w:val="both"/>
        <w:rPr>
          <w:rFonts w:ascii="Arial" w:hAnsi="Arial" w:cs="Arial"/>
          <w:sz w:val="20"/>
        </w:rPr>
        <w:sectPr w:rsidR="00736E3F" w:rsidRPr="0038213F" w:rsidSect="003074E3">
          <w:headerReference w:type="default" r:id="rId13"/>
          <w:footerReference w:type="default" r:id="rId14"/>
          <w:pgSz w:w="12240" w:h="15840" w:code="1"/>
          <w:pgMar w:top="1440" w:right="1440" w:bottom="1440" w:left="1440" w:header="720" w:footer="720" w:gutter="0"/>
          <w:pgNumType w:fmt="lowerRoman"/>
          <w:cols w:space="720"/>
          <w:titlePg/>
          <w:docGrid w:linePitch="360"/>
        </w:sectPr>
      </w:pPr>
    </w:p>
    <w:p w14:paraId="272D454C" w14:textId="12BC18E1" w:rsidR="003D5C19" w:rsidRPr="00AB5A74" w:rsidRDefault="003D5C19" w:rsidP="003D5C19">
      <w:pPr>
        <w:pStyle w:val="H2Chapter"/>
        <w:rPr>
          <w:rFonts w:eastAsia="MS Gothic"/>
        </w:rPr>
      </w:pPr>
      <w:bookmarkStart w:id="15" w:name="_Toc440039203"/>
      <w:r>
        <w:rPr>
          <w:rFonts w:eastAsia="MS Gothic"/>
        </w:rPr>
        <w:lastRenderedPageBreak/>
        <w:t>B.</w:t>
      </w:r>
      <w:r w:rsidR="000441D5">
        <w:rPr>
          <w:rFonts w:eastAsia="MS Gothic"/>
        </w:rPr>
        <w:tab/>
      </w:r>
      <w:r w:rsidRPr="00AB5A74">
        <w:rPr>
          <w:rFonts w:eastAsia="MS Gothic"/>
        </w:rPr>
        <w:t>Collection of Information Employing Statistical Methods</w:t>
      </w:r>
      <w:bookmarkEnd w:id="6"/>
      <w:bookmarkEnd w:id="15"/>
    </w:p>
    <w:p w14:paraId="76FA717B" w14:textId="77777777" w:rsidR="003D5C19" w:rsidRDefault="003D5C19" w:rsidP="003D5C19">
      <w:pPr>
        <w:pStyle w:val="H3Alpha"/>
        <w:rPr>
          <w:rFonts w:eastAsia="Calibri"/>
        </w:rPr>
      </w:pPr>
      <w:bookmarkStart w:id="16" w:name="_Toc433118606"/>
      <w:bookmarkStart w:id="17" w:name="_Toc440039204"/>
      <w:r>
        <w:rPr>
          <w:rFonts w:eastAsia="Calibri"/>
        </w:rPr>
        <w:t>B.</w:t>
      </w:r>
      <w:r w:rsidRPr="00AB5A74">
        <w:rPr>
          <w:rFonts w:eastAsia="Calibri"/>
        </w:rPr>
        <w:t xml:space="preserve">1 Respondent </w:t>
      </w:r>
      <w:r w:rsidR="00207BCC">
        <w:rPr>
          <w:rFonts w:eastAsia="Calibri"/>
        </w:rPr>
        <w:t>u</w:t>
      </w:r>
      <w:r w:rsidRPr="00AB5A74">
        <w:rPr>
          <w:rFonts w:eastAsia="Calibri"/>
        </w:rPr>
        <w:t>niverse</w:t>
      </w:r>
      <w:r>
        <w:rPr>
          <w:rFonts w:eastAsia="Calibri"/>
        </w:rPr>
        <w:t xml:space="preserve"> and </w:t>
      </w:r>
      <w:r w:rsidR="00207BCC">
        <w:rPr>
          <w:rFonts w:eastAsia="Calibri"/>
        </w:rPr>
        <w:t>s</w:t>
      </w:r>
      <w:r>
        <w:rPr>
          <w:rFonts w:eastAsia="Calibri"/>
        </w:rPr>
        <w:t xml:space="preserve">ampling </w:t>
      </w:r>
      <w:r w:rsidR="00207BCC">
        <w:rPr>
          <w:rFonts w:eastAsia="Calibri"/>
        </w:rPr>
        <w:t>m</w:t>
      </w:r>
      <w:r>
        <w:rPr>
          <w:rFonts w:eastAsia="Calibri"/>
        </w:rPr>
        <w:t>ethods</w:t>
      </w:r>
      <w:bookmarkEnd w:id="16"/>
      <w:bookmarkEnd w:id="17"/>
    </w:p>
    <w:p w14:paraId="00E06A5B" w14:textId="77777777" w:rsidR="003D5C19" w:rsidRDefault="003D5C19" w:rsidP="00146B76">
      <w:pPr>
        <w:pStyle w:val="NormalSS"/>
      </w:pPr>
      <w:r>
        <w:t xml:space="preserve">The respondent universe includes the entire population of low-information parents living in jurisdictions </w:t>
      </w:r>
      <w:r w:rsidR="00146B76">
        <w:t xml:space="preserve">that offer </w:t>
      </w:r>
      <w:r>
        <w:t>the option of selecting schools from a menu of alternatives, such as charter schools or open</w:t>
      </w:r>
      <w:r w:rsidR="00146B76">
        <w:t>-</w:t>
      </w:r>
      <w:r>
        <w:t>enrollment district schools. Low-information parents are those who may have limited English</w:t>
      </w:r>
      <w:r w:rsidR="00146B76">
        <w:t>-</w:t>
      </w:r>
      <w:r>
        <w:t xml:space="preserve">language skills, </w:t>
      </w:r>
      <w:r w:rsidR="009F65FD">
        <w:t xml:space="preserve">may </w:t>
      </w:r>
      <w:r w:rsidR="00146B76">
        <w:t xml:space="preserve">have </w:t>
      </w:r>
      <w:r>
        <w:t xml:space="preserve">limited educational attainment, or </w:t>
      </w:r>
      <w:r w:rsidR="009F65FD">
        <w:t xml:space="preserve">may </w:t>
      </w:r>
      <w:r>
        <w:t xml:space="preserve">face barriers to accessing information on school options. </w:t>
      </w:r>
    </w:p>
    <w:p w14:paraId="3C5CE379" w14:textId="3923A285" w:rsidR="003D5C19" w:rsidRDefault="00146B76" w:rsidP="00146B76">
      <w:pPr>
        <w:pStyle w:val="NormalSS"/>
      </w:pPr>
      <w:r>
        <w:t>Such a</w:t>
      </w:r>
      <w:r w:rsidR="003D5C19">
        <w:t xml:space="preserve"> population is difficult to identify and list</w:t>
      </w:r>
      <w:r>
        <w:t>. Furthermore</w:t>
      </w:r>
      <w:r w:rsidR="003D5C19">
        <w:t>, the set of relevant jurisdictions is always changing</w:t>
      </w:r>
      <w:r>
        <w:t>. Therefore</w:t>
      </w:r>
      <w:r w:rsidR="003D5C19">
        <w:t>, it is not practical to seek a statistically representative sample</w:t>
      </w:r>
      <w:r w:rsidR="00B8670F">
        <w:t>, nor is it necessary given the goal of this study</w:t>
      </w:r>
      <w:r w:rsidR="00827481">
        <w:t>,</w:t>
      </w:r>
      <w:r w:rsidR="00D743BD">
        <w:t xml:space="preserve"> which is </w:t>
      </w:r>
      <w:r w:rsidR="00D743BD" w:rsidRPr="00D743BD">
        <w:t>to</w:t>
      </w:r>
      <w:r w:rsidR="00D743BD">
        <w:t xml:space="preserve"> </w:t>
      </w:r>
      <w:r w:rsidR="00D743BD" w:rsidRPr="00D743BD">
        <w:t xml:space="preserve">provide information to school districts and third parties </w:t>
      </w:r>
      <w:r w:rsidR="00827481">
        <w:t xml:space="preserve">that is timely, </w:t>
      </w:r>
      <w:r w:rsidR="00D743BD" w:rsidRPr="00D743BD">
        <w:t xml:space="preserve">to address the </w:t>
      </w:r>
      <w:r w:rsidR="00D743BD">
        <w:t xml:space="preserve">rapid </w:t>
      </w:r>
      <w:r w:rsidR="00D743BD" w:rsidRPr="00D743BD">
        <w:t>growth of choice systems nationwide</w:t>
      </w:r>
      <w:r w:rsidR="00B8670F">
        <w:t xml:space="preserve">. </w:t>
      </w:r>
      <w:r w:rsidR="00827481">
        <w:t>T</w:t>
      </w:r>
      <w:r w:rsidR="003D5C19">
        <w:t xml:space="preserve">he study </w:t>
      </w:r>
      <w:r w:rsidR="00B8670F">
        <w:t>will</w:t>
      </w:r>
      <w:r w:rsidR="00EA2B4D">
        <w:t xml:space="preserve"> primarily</w:t>
      </w:r>
      <w:r w:rsidR="00B8670F">
        <w:t xml:space="preserve"> use </w:t>
      </w:r>
      <w:r w:rsidR="003D5C19">
        <w:t xml:space="preserve">a convenience sample of </w:t>
      </w:r>
      <w:r w:rsidR="00F266E4">
        <w:t xml:space="preserve">3,300 </w:t>
      </w:r>
      <w:r w:rsidR="003D5C19">
        <w:t xml:space="preserve">parents </w:t>
      </w:r>
      <w:r w:rsidR="007E75CE">
        <w:t xml:space="preserve">drawn </w:t>
      </w:r>
      <w:r w:rsidR="00827481">
        <w:t xml:space="preserve">from </w:t>
      </w:r>
      <w:r w:rsidR="007E75CE">
        <w:t xml:space="preserve">a standing panel sample. This sample will be </w:t>
      </w:r>
      <w:r w:rsidR="00EA2B4D">
        <w:t>screened</w:t>
      </w:r>
      <w:r w:rsidR="007E75CE">
        <w:t xml:space="preserve"> to identify if they meet key criteria necessary for study participation, namely that they are low-income parents of school-aged </w:t>
      </w:r>
      <w:r w:rsidR="00215E13">
        <w:t>children</w:t>
      </w:r>
      <w:r w:rsidR="007E75CE">
        <w:t xml:space="preserve">. </w:t>
      </w:r>
      <w:r w:rsidR="003D5C19">
        <w:t>For simplicity, the study will use low-income</w:t>
      </w:r>
      <w:r w:rsidR="009F65FD">
        <w:t xml:space="preserve"> status</w:t>
      </w:r>
      <w:r w:rsidR="003D5C19">
        <w:t xml:space="preserve"> as a proxy for low information. A brief digital literacy module </w:t>
      </w:r>
      <w:r w:rsidR="00C14655">
        <w:t xml:space="preserve">the digital literacy module will provide a set of covariates to use as statistical controls in the impact analysis, </w:t>
      </w:r>
      <w:r w:rsidR="00A160D9">
        <w:t>improving</w:t>
      </w:r>
      <w:r w:rsidR="00C14655">
        <w:t xml:space="preserve"> the </w:t>
      </w:r>
      <w:r w:rsidR="00A160D9">
        <w:t xml:space="preserve">statistical </w:t>
      </w:r>
      <w:r w:rsidR="00C14655">
        <w:t xml:space="preserve">precision of the estimates. </w:t>
      </w:r>
      <w:proofErr w:type="gramStart"/>
      <w:r w:rsidR="00827481">
        <w:t>t</w:t>
      </w:r>
      <w:proofErr w:type="gramEnd"/>
      <w:r w:rsidR="003D5C19">
        <w:t xml:space="preserve">. </w:t>
      </w:r>
    </w:p>
    <w:p w14:paraId="528F7E8F" w14:textId="4C6BB83D" w:rsidR="005D4F74" w:rsidRDefault="00D16206" w:rsidP="005D4F74">
      <w:pPr>
        <w:pStyle w:val="NormalSS"/>
      </w:pPr>
      <w:r>
        <w:t>To address concerns about the ability to generalize from such a panel,</w:t>
      </w:r>
      <w:r w:rsidR="003D5C19" w:rsidRPr="00A3672D">
        <w:t xml:space="preserve"> </w:t>
      </w:r>
      <w:r w:rsidR="005D4F74">
        <w:t xml:space="preserve">the study will recruit </w:t>
      </w:r>
      <w:r w:rsidR="003D5C19" w:rsidRPr="00A3672D">
        <w:t xml:space="preserve">another 150 participants from the public, focusing on targeted neighborhoods in selected cities </w:t>
      </w:r>
      <w:r w:rsidR="00442586">
        <w:t xml:space="preserve">in which parents </w:t>
      </w:r>
      <w:r w:rsidR="005D4F74">
        <w:t>most</w:t>
      </w:r>
      <w:r w:rsidR="003D5C19" w:rsidRPr="00A3672D">
        <w:t xml:space="preserve"> likely to me</w:t>
      </w:r>
      <w:r w:rsidR="005D4F74">
        <w:t>e</w:t>
      </w:r>
      <w:r w:rsidR="003D5C19" w:rsidRPr="00A3672D">
        <w:t>t</w:t>
      </w:r>
      <w:r w:rsidR="005D4F74">
        <w:t xml:space="preserve"> the screening criteria</w:t>
      </w:r>
      <w:r w:rsidR="003D5C19" w:rsidRPr="00A3672D">
        <w:t xml:space="preserve">. </w:t>
      </w:r>
      <w:r w:rsidR="00442586">
        <w:t>For example, in Washington, DC, we would likely target neighborhoods</w:t>
      </w:r>
      <w:r w:rsidR="005B32A3">
        <w:t xml:space="preserve"> in Ward 8, since it has the lowest median household income of any wards in the city. </w:t>
      </w:r>
      <w:r w:rsidR="00442586">
        <w:t xml:space="preserve"> </w:t>
      </w:r>
      <w:r w:rsidR="00EA2B4D">
        <w:t xml:space="preserve">This sample will be used </w:t>
      </w:r>
      <w:r>
        <w:t xml:space="preserve">as a sensitivity check for </w:t>
      </w:r>
      <w:r w:rsidR="00EA2B4D">
        <w:t>the standing panel findings</w:t>
      </w:r>
      <w:r w:rsidR="00C97FB1">
        <w:t xml:space="preserve"> and may help us</w:t>
      </w:r>
      <w:r w:rsidR="00EA2B4D">
        <w:t xml:space="preserve"> to distinguish between the best approaches if two or more contrasts look equally promising.</w:t>
      </w:r>
      <w:r w:rsidR="00827481">
        <w:t xml:space="preserve"> We have determined adding 150 cases </w:t>
      </w:r>
      <w:proofErr w:type="gramStart"/>
      <w:r w:rsidR="00827481">
        <w:t>is</w:t>
      </w:r>
      <w:proofErr w:type="gramEnd"/>
      <w:r w:rsidR="00827481">
        <w:t xml:space="preserve"> sufficient to conduct a simple tes</w:t>
      </w:r>
      <w:r w:rsidR="002872C5">
        <w:t>t of the difference in outcomes between the standing panel and the validation sample.</w:t>
      </w:r>
      <w:r w:rsidR="00827481">
        <w:t xml:space="preserve"> </w:t>
      </w:r>
    </w:p>
    <w:p w14:paraId="65F724F0" w14:textId="77777777" w:rsidR="003D5C19" w:rsidRPr="00C32C5E" w:rsidRDefault="003D5C19" w:rsidP="005D4F74">
      <w:pPr>
        <w:pStyle w:val="NormalSS"/>
      </w:pPr>
      <w:r>
        <w:t>Th</w:t>
      </w:r>
      <w:r w:rsidR="005D4F74">
        <w:t>e</w:t>
      </w:r>
      <w:r>
        <w:t xml:space="preserve"> one-time data collection</w:t>
      </w:r>
      <w:r w:rsidR="005D4F74">
        <w:t xml:space="preserve"> will involve</w:t>
      </w:r>
      <w:r w:rsidRPr="00A3672D">
        <w:t xml:space="preserve"> “authentic” participants </w:t>
      </w:r>
      <w:r w:rsidR="005D4F74">
        <w:t>who comprise a</w:t>
      </w:r>
      <w:r>
        <w:t xml:space="preserve"> convenience sample, recruited</w:t>
      </w:r>
      <w:r w:rsidR="005D4F74">
        <w:t xml:space="preserve"> by</w:t>
      </w:r>
      <w:r>
        <w:t xml:space="preserve"> using </w:t>
      </w:r>
      <w:r w:rsidRPr="00C32C5E">
        <w:t>a two-pronged approach:</w:t>
      </w:r>
    </w:p>
    <w:p w14:paraId="55510818" w14:textId="77777777" w:rsidR="003D5C19" w:rsidRPr="00C32C5E" w:rsidRDefault="003D5C19" w:rsidP="005D4F74">
      <w:pPr>
        <w:pStyle w:val="NumberedBullet"/>
      </w:pPr>
      <w:r>
        <w:t xml:space="preserve">Collaboration </w:t>
      </w:r>
      <w:r w:rsidRPr="00C32C5E">
        <w:t xml:space="preserve">with community organizations. </w:t>
      </w:r>
      <w:r>
        <w:t>The study team will coordinate with</w:t>
      </w:r>
      <w:r w:rsidRPr="00C32C5E">
        <w:t xml:space="preserve"> organizations that have a strong presence in the selected cities. </w:t>
      </w:r>
      <w:r>
        <w:t xml:space="preserve">Such organizations </w:t>
      </w:r>
      <w:r w:rsidRPr="00C32C5E">
        <w:t>include the YMCA, Boys &amp; Girls Clubs, and</w:t>
      </w:r>
      <w:r w:rsidR="005D4F74">
        <w:t>,</w:t>
      </w:r>
      <w:r w:rsidRPr="00C32C5E">
        <w:t xml:space="preserve"> in Washington</w:t>
      </w:r>
      <w:r w:rsidR="005D4F74">
        <w:t>,</w:t>
      </w:r>
      <w:r w:rsidRPr="00C32C5E">
        <w:t xml:space="preserve"> DC, My School DC and DC School Reform Now (DCSRN). </w:t>
      </w:r>
      <w:r>
        <w:t>T</w:t>
      </w:r>
      <w:r w:rsidRPr="00C32C5E">
        <w:t>he experiment</w:t>
      </w:r>
      <w:r>
        <w:t xml:space="preserve"> will be advertised</w:t>
      </w:r>
      <w:r w:rsidRPr="00C32C5E">
        <w:t xml:space="preserve"> th</w:t>
      </w:r>
      <w:r w:rsidR="008F5242">
        <w:t>r</w:t>
      </w:r>
      <w:r w:rsidRPr="00C32C5E">
        <w:t xml:space="preserve">ough flyers </w:t>
      </w:r>
      <w:r>
        <w:t>and by word of mouth via community organizations</w:t>
      </w:r>
      <w:r w:rsidRPr="00C32C5E">
        <w:t xml:space="preserve">. </w:t>
      </w:r>
      <w:r w:rsidRPr="00536EAB">
        <w:t xml:space="preserve">The in-person </w:t>
      </w:r>
      <w:r w:rsidR="00252EC6">
        <w:t>data collection</w:t>
      </w:r>
      <w:r w:rsidR="00252EC6" w:rsidRPr="00536EAB">
        <w:t xml:space="preserve"> </w:t>
      </w:r>
      <w:r w:rsidRPr="00536EAB">
        <w:t xml:space="preserve">will be held at a public library, city recreation center, or similar site within the community that is easily accessible and familiar. </w:t>
      </w:r>
      <w:r>
        <w:t>C</w:t>
      </w:r>
      <w:r w:rsidRPr="00C32C5E">
        <w:t xml:space="preserve">onducting the in-person </w:t>
      </w:r>
      <w:r w:rsidR="00252EC6">
        <w:t>data collection</w:t>
      </w:r>
      <w:r w:rsidR="00252EC6" w:rsidRPr="00C32C5E">
        <w:t xml:space="preserve"> </w:t>
      </w:r>
      <w:r w:rsidRPr="00C32C5E">
        <w:t>in convenient locations frequented by the</w:t>
      </w:r>
      <w:r w:rsidR="005D4F74">
        <w:t xml:space="preserve"> targeted</w:t>
      </w:r>
      <w:r w:rsidRPr="00C32C5E">
        <w:t xml:space="preserve"> families, at convenient times and with sufficient compensation, will </w:t>
      </w:r>
      <w:r>
        <w:t>make it possible</w:t>
      </w:r>
      <w:r w:rsidRPr="00C32C5E">
        <w:t xml:space="preserve"> to recruit a sufficient sample.</w:t>
      </w:r>
    </w:p>
    <w:p w14:paraId="20B052B1" w14:textId="77777777" w:rsidR="003D5C19" w:rsidRPr="00215E13" w:rsidRDefault="003D5C19" w:rsidP="005D4F74">
      <w:pPr>
        <w:pStyle w:val="NumberedBulletLastSS"/>
      </w:pPr>
      <w:r w:rsidRPr="00C32C5E">
        <w:t xml:space="preserve">Recruitment at community events. We will also explore the possibility of conducting additional </w:t>
      </w:r>
      <w:r>
        <w:t xml:space="preserve">recruiting </w:t>
      </w:r>
      <w:r w:rsidRPr="00C32C5E">
        <w:t>at local events for families with school-age children. Parents could participate in the experiment before, during, or after the event at the same location</w:t>
      </w:r>
      <w:r w:rsidR="005D4F74">
        <w:t xml:space="preserve"> as the local event</w:t>
      </w:r>
      <w:r w:rsidRPr="00C32C5E">
        <w:t xml:space="preserve"> and would have the opportunity to sign up for, be given informed consent, and </w:t>
      </w:r>
      <w:r w:rsidRPr="00215E13">
        <w:t xml:space="preserve">participate in the experiment on the spot. </w:t>
      </w:r>
    </w:p>
    <w:p w14:paraId="27611F34" w14:textId="77777777" w:rsidR="003D5C19" w:rsidRDefault="003D5C19" w:rsidP="003D5C19">
      <w:pPr>
        <w:pStyle w:val="H3Alpha"/>
        <w:rPr>
          <w:rFonts w:eastAsia="Calibri"/>
        </w:rPr>
      </w:pPr>
      <w:bookmarkStart w:id="18" w:name="_Toc433118607"/>
      <w:bookmarkStart w:id="19" w:name="_Toc440039205"/>
      <w:r w:rsidRPr="00AB5A74">
        <w:rPr>
          <w:rFonts w:eastAsia="Calibri"/>
        </w:rPr>
        <w:lastRenderedPageBreak/>
        <w:t xml:space="preserve">B.2 Procedures for the </w:t>
      </w:r>
      <w:r w:rsidR="00207BCC">
        <w:rPr>
          <w:rFonts w:eastAsia="Calibri"/>
        </w:rPr>
        <w:t>c</w:t>
      </w:r>
      <w:r w:rsidRPr="00AB5A74">
        <w:rPr>
          <w:rFonts w:eastAsia="Calibri"/>
        </w:rPr>
        <w:t xml:space="preserve">ollection of </w:t>
      </w:r>
      <w:r w:rsidR="00207BCC">
        <w:rPr>
          <w:rFonts w:eastAsia="Calibri"/>
        </w:rPr>
        <w:t>i</w:t>
      </w:r>
      <w:r w:rsidRPr="00AB5A74">
        <w:rPr>
          <w:rFonts w:eastAsia="Calibri"/>
        </w:rPr>
        <w:t>nformation</w:t>
      </w:r>
      <w:bookmarkEnd w:id="18"/>
      <w:bookmarkEnd w:id="19"/>
    </w:p>
    <w:p w14:paraId="53F6CBA1" w14:textId="77777777" w:rsidR="003D5C19" w:rsidRPr="003C0E7C" w:rsidRDefault="003D5C19" w:rsidP="005D4F74">
      <w:pPr>
        <w:pStyle w:val="NormalSS"/>
        <w:rPr>
          <w:b/>
          <w:i/>
        </w:rPr>
      </w:pPr>
      <w:proofErr w:type="gramStart"/>
      <w:r w:rsidRPr="004C2200">
        <w:rPr>
          <w:b/>
        </w:rPr>
        <w:t>Statistical methods for sample selection.</w:t>
      </w:r>
      <w:proofErr w:type="gramEnd"/>
      <w:r>
        <w:t xml:space="preserve"> </w:t>
      </w:r>
      <w:r w:rsidR="005D4F74">
        <w:t>The study will not rely on s</w:t>
      </w:r>
      <w:r>
        <w:t>tatistical methods to select</w:t>
      </w:r>
      <w:r w:rsidR="005D4F74">
        <w:t xml:space="preserve"> either</w:t>
      </w:r>
      <w:r>
        <w:t xml:space="preserve"> the communities where the experiment will take place or the respondents. Instead, the study team will select one or two communities with a high percentage of families choosing schools. In this respect, New Orleans and Washington, DC</w:t>
      </w:r>
      <w:r w:rsidR="005D4F74">
        <w:t>,</w:t>
      </w:r>
      <w:r>
        <w:t xml:space="preserve"> are the two most attractive cities </w:t>
      </w:r>
      <w:r w:rsidR="005D4F74">
        <w:t>in</w:t>
      </w:r>
      <w:r>
        <w:t xml:space="preserve"> which to recruit. The study team will work with local authority and community groups to target the neighborhoods with the greatest amount of choice or</w:t>
      </w:r>
      <w:r w:rsidR="004323DB">
        <w:t xml:space="preserve"> the</w:t>
      </w:r>
      <w:r>
        <w:t xml:space="preserve"> need for choice among suspected low-information families. The augmented part of the study data will be based on a convenience sample of 150 parents within these communities.</w:t>
      </w:r>
      <w:r>
        <w:rPr>
          <w:b/>
          <w:i/>
        </w:rPr>
        <w:t xml:space="preserve"> </w:t>
      </w:r>
      <w:r w:rsidR="00410557">
        <w:t xml:space="preserve">This study is a first step in understanding how parents consume school choice data based on organization and presentation. Before conducting a </w:t>
      </w:r>
      <w:r w:rsidR="00B85D98">
        <w:t xml:space="preserve">field </w:t>
      </w:r>
      <w:r w:rsidR="00410557">
        <w:t xml:space="preserve">study with a </w:t>
      </w:r>
      <w:r w:rsidR="00211C08">
        <w:t xml:space="preserve">statistically </w:t>
      </w:r>
      <w:r w:rsidR="00410557">
        <w:t xml:space="preserve">representative sample, it is important to </w:t>
      </w:r>
      <w:r w:rsidR="00B85D98">
        <w:t>test a large number of factors in a laboratory setting, for which it would be infeasible to identify, list, and sample from a universe of low-information families poised to make school choices</w:t>
      </w:r>
      <w:r w:rsidR="00410557">
        <w:t xml:space="preserve">. </w:t>
      </w:r>
    </w:p>
    <w:p w14:paraId="6922A7FC" w14:textId="014262C3" w:rsidR="008304C1" w:rsidRDefault="003D5C19" w:rsidP="00EB56A0">
      <w:pPr>
        <w:pStyle w:val="NormalSS"/>
      </w:pPr>
      <w:proofErr w:type="gramStart"/>
      <w:r w:rsidRPr="00207BCC">
        <w:rPr>
          <w:b/>
        </w:rPr>
        <w:t>Statistical methods for impact estimation.</w:t>
      </w:r>
      <w:proofErr w:type="gramEnd"/>
      <w:r w:rsidRPr="00207BCC">
        <w:t xml:space="preserve"> The study will address three questions: (1) What is the optimal way to present school choice information</w:t>
      </w:r>
      <w:proofErr w:type="gramStart"/>
      <w:r w:rsidRPr="00207BCC">
        <w:t>?</w:t>
      </w:r>
      <w:r w:rsidR="004323DB">
        <w:t>,</w:t>
      </w:r>
      <w:proofErr w:type="gramEnd"/>
      <w:r w:rsidRPr="00207BCC">
        <w:t xml:space="preserve"> (2) What is the right amount of school choice information to present?</w:t>
      </w:r>
      <w:r w:rsidR="004323DB">
        <w:t>,</w:t>
      </w:r>
      <w:r w:rsidRPr="00207BCC">
        <w:t xml:space="preserve"> and (3) How is school choice information best organized? Our </w:t>
      </w:r>
      <w:r w:rsidR="004323DB">
        <w:t>s</w:t>
      </w:r>
      <w:r w:rsidRPr="00207BCC">
        <w:t>t</w:t>
      </w:r>
      <w:r w:rsidR="004323DB">
        <w:t>udy</w:t>
      </w:r>
      <w:r w:rsidRPr="00207BCC">
        <w:t xml:space="preserve"> will test a total of 72 factors</w:t>
      </w:r>
      <w:r w:rsidR="00252EC6">
        <w:t>, selected from all possible factor combinations</w:t>
      </w:r>
      <w:r w:rsidRPr="00207BCC">
        <w:t>.  PISCE will address the</w:t>
      </w:r>
      <w:r w:rsidR="004323DB">
        <w:t xml:space="preserve"> thre</w:t>
      </w:r>
      <w:r w:rsidRPr="00207BCC">
        <w:t xml:space="preserve">e questions by conducting a Bayesian factorial experiment. In </w:t>
      </w:r>
      <w:r w:rsidR="005D4F74">
        <w:t>such an</w:t>
      </w:r>
      <w:r w:rsidRPr="00207BCC">
        <w:t xml:space="preserve"> experiment, a single, unified factorial design can efficiently take the place of many independent experiments and provide the experimenter with a framework for increasing statistical precision via efficient fractional factorials, sometimes known as orthogonal designs or orthogonal contrasts (Zurovac and Brown 2012). </w:t>
      </w:r>
    </w:p>
    <w:p w14:paraId="7D252C38" w14:textId="77777777" w:rsidR="003D5C19" w:rsidRPr="001F41EF" w:rsidRDefault="003D5C19" w:rsidP="005D4F74">
      <w:pPr>
        <w:pStyle w:val="NormalSS"/>
      </w:pPr>
      <w:r w:rsidRPr="001F41EF">
        <w:t>The Bayesian model looks much like a classical linear regression model with main effects for each of the factors and interaction effects that predict the effectiveness of each examined factor combination (</w:t>
      </w:r>
      <w:r w:rsidR="005D4F74">
        <w:t xml:space="preserve">for additional precision, </w:t>
      </w:r>
      <w:r w:rsidRPr="001F41EF">
        <w:t xml:space="preserve">the model also controls for respondents’ demographic characteristics). </w:t>
      </w:r>
      <w:r>
        <w:t>The study team</w:t>
      </w:r>
      <w:r w:rsidRPr="001F41EF">
        <w:t xml:space="preserve"> will analyze the model’s main effects to determine the overall effectiveness of each presentation factor, on average, for the study sample. In addition, the interaction effects will reveal additional insights regarding which combination of factors is most effective</w:t>
      </w:r>
      <w:r w:rsidR="00B236FF">
        <w:t xml:space="preserve"> or whether particular factors are effective in some contexts but not in others</w:t>
      </w:r>
      <w:r w:rsidRPr="001F41EF">
        <w:t xml:space="preserve">. The model permits significance tests that estimate whether each factor combination produces an outcome that differs from the average in the experimental sample and allows pairwise tests for differences between every factor combination. </w:t>
      </w:r>
    </w:p>
    <w:p w14:paraId="161E5BFA" w14:textId="1F25A1BE" w:rsidR="003D5C19" w:rsidRDefault="003D5C19" w:rsidP="005C4D26">
      <w:pPr>
        <w:pStyle w:val="NormalSS"/>
      </w:pPr>
      <w:r w:rsidRPr="001F41EF">
        <w:t>In the Bayesian approach</w:t>
      </w:r>
      <w:r w:rsidR="005D4F74">
        <w:t>,</w:t>
      </w:r>
      <w:r w:rsidRPr="001F41EF">
        <w:t xml:space="preserve"> all model parameters </w:t>
      </w:r>
      <w:r>
        <w:t xml:space="preserve">are estimated </w:t>
      </w:r>
      <w:r w:rsidRPr="001F41EF">
        <w:t>simultaneously. That way, if a high correlation between the effectiveness of all the treatment arms (factor combinations) shar</w:t>
      </w:r>
      <w:r w:rsidR="005D4F74">
        <w:t>es</w:t>
      </w:r>
      <w:r w:rsidRPr="001F41EF">
        <w:t xml:space="preserve"> a given factor</w:t>
      </w:r>
      <w:r w:rsidR="005D4F74">
        <w:t xml:space="preserve"> </w:t>
      </w:r>
      <w:r w:rsidRPr="001F41EF">
        <w:t>level</w:t>
      </w:r>
      <w:r>
        <w:t xml:space="preserve">, </w:t>
      </w:r>
      <w:r w:rsidRPr="001F41EF">
        <w:t>the main effect of the common factor</w:t>
      </w:r>
      <w:r w:rsidR="005D4F74">
        <w:t xml:space="preserve"> </w:t>
      </w:r>
      <w:r w:rsidRPr="001F41EF">
        <w:t>level receive</w:t>
      </w:r>
      <w:r w:rsidR="005D4F74">
        <w:t>s</w:t>
      </w:r>
      <w:r w:rsidRPr="001F41EF">
        <w:t xml:space="preserve"> a greater weight than the interaction terms involving that factor. An example </w:t>
      </w:r>
      <w:r>
        <w:t>is</w:t>
      </w:r>
      <w:r w:rsidR="005D4F74">
        <w:t xml:space="preserve"> an attempt</w:t>
      </w:r>
      <w:r w:rsidRPr="001F41EF">
        <w:t xml:space="preserve"> to estimate the effect of a factor combination that uses stoplight icons to represent academic performance for a large number of schools (20). Even </w:t>
      </w:r>
      <w:r w:rsidR="005D4F74">
        <w:t xml:space="preserve">with </w:t>
      </w:r>
      <w:r w:rsidRPr="001F41EF">
        <w:t xml:space="preserve">a sample size of only 30 choosers with that factor combination, the effect estimate </w:t>
      </w:r>
      <w:r w:rsidR="005C4D26">
        <w:t>is</w:t>
      </w:r>
      <w:r w:rsidRPr="001F41EF">
        <w:t xml:space="preserve"> weighted toward the average effect of stoplight icons based on every sample member who had stoplights, regardless of the number of schools shown (5, 10, or 20). </w:t>
      </w:r>
      <w:r w:rsidR="005C4D26">
        <w:t>Given that</w:t>
      </w:r>
      <w:r w:rsidRPr="001F41EF">
        <w:t xml:space="preserve"> the estimate for this factor combination uses weighted data from 90 choosers, the study is more precise than a conventional design examining each factor combination independently.</w:t>
      </w:r>
    </w:p>
    <w:p w14:paraId="25BB5492" w14:textId="77777777" w:rsidR="003D5C19" w:rsidRPr="001F41EF" w:rsidRDefault="003D5C19" w:rsidP="00565EF5">
      <w:pPr>
        <w:pStyle w:val="NormalSS"/>
      </w:pPr>
      <w:r>
        <w:lastRenderedPageBreak/>
        <w:t>The study will use</w:t>
      </w:r>
      <w:r w:rsidRPr="001F41EF">
        <w:t xml:space="preserve"> Stan software developed by Andrew </w:t>
      </w:r>
      <w:proofErr w:type="spellStart"/>
      <w:r w:rsidRPr="001F41EF">
        <w:t>Gelman</w:t>
      </w:r>
      <w:proofErr w:type="spellEnd"/>
      <w:r w:rsidRPr="001F41EF">
        <w:t xml:space="preserve"> and colleagues (2015) </w:t>
      </w:r>
      <w:r>
        <w:t>for the</w:t>
      </w:r>
      <w:r w:rsidRPr="001F41EF">
        <w:t xml:space="preserve"> analysis. Stan fits complex, high-dimensional Bayesian models faster than the limited </w:t>
      </w:r>
      <w:proofErr w:type="gramStart"/>
      <w:r w:rsidRPr="001F41EF">
        <w:t>systems</w:t>
      </w:r>
      <w:proofErr w:type="gramEnd"/>
      <w:r w:rsidRPr="001F41EF">
        <w:t xml:space="preserve"> traditionally used for such analyses. </w:t>
      </w:r>
    </w:p>
    <w:p w14:paraId="1EA83B35" w14:textId="77777777" w:rsidR="003D5C19" w:rsidRPr="001F41EF" w:rsidRDefault="003D5C19" w:rsidP="005C4D26">
      <w:pPr>
        <w:pStyle w:val="NormalSS"/>
      </w:pPr>
      <w:r w:rsidRPr="004C2200">
        <w:rPr>
          <w:b/>
        </w:rPr>
        <w:t xml:space="preserve">Degree of </w:t>
      </w:r>
      <w:r w:rsidR="005C4D26">
        <w:rPr>
          <w:b/>
        </w:rPr>
        <w:t>a</w:t>
      </w:r>
      <w:r w:rsidRPr="004C2200">
        <w:rPr>
          <w:b/>
        </w:rPr>
        <w:t xml:space="preserve">ccuracy </w:t>
      </w:r>
      <w:r w:rsidR="005C4D26">
        <w:rPr>
          <w:b/>
        </w:rPr>
        <w:t>n</w:t>
      </w:r>
      <w:r w:rsidRPr="004C2200">
        <w:rPr>
          <w:b/>
        </w:rPr>
        <w:t>eeded</w:t>
      </w:r>
      <w:r>
        <w:t>. PISCE</w:t>
      </w:r>
      <w:r w:rsidRPr="001F41EF">
        <w:t xml:space="preserve">’s Bayesian framework accounts for the sample size requirements of a </w:t>
      </w:r>
      <w:proofErr w:type="spellStart"/>
      <w:r w:rsidRPr="001F41EF">
        <w:t>multiarm</w:t>
      </w:r>
      <w:proofErr w:type="spellEnd"/>
      <w:r w:rsidRPr="001F41EF">
        <w:t xml:space="preserve"> study design and permits </w:t>
      </w:r>
      <w:r w:rsidR="005C4D26">
        <w:t>the</w:t>
      </w:r>
      <w:r w:rsidRPr="001F41EF">
        <w:t xml:space="preserve"> examin</w:t>
      </w:r>
      <w:r w:rsidR="005C4D26">
        <w:t>ation of</w:t>
      </w:r>
      <w:r w:rsidRPr="001F41EF">
        <w:t xml:space="preserve"> a large number of factors by eliminating the need for post</w:t>
      </w:r>
      <w:r w:rsidR="005C4D26">
        <w:t xml:space="preserve"> </w:t>
      </w:r>
      <w:r w:rsidRPr="001F41EF">
        <w:t xml:space="preserve">hoc multiple comparison adjustments </w:t>
      </w:r>
      <w:r>
        <w:t xml:space="preserve">that reduce power </w:t>
      </w:r>
      <w:r w:rsidRPr="001F41EF">
        <w:t>(</w:t>
      </w:r>
      <w:proofErr w:type="spellStart"/>
      <w:r w:rsidRPr="001F41EF">
        <w:t>Gelman</w:t>
      </w:r>
      <w:proofErr w:type="spellEnd"/>
      <w:r w:rsidRPr="001F41EF">
        <w:t xml:space="preserve"> et al. 2012). As a result, the design delivers large gains in precision and permits a much larger number of contrasts to be tested</w:t>
      </w:r>
      <w:r w:rsidR="005C4D26">
        <w:t xml:space="preserve"> as</w:t>
      </w:r>
      <w:r w:rsidRPr="001F41EF">
        <w:t xml:space="preserve"> compared with a design that considers each possible combination of factors in isolation (Finucane et al. 2015; </w:t>
      </w:r>
      <w:proofErr w:type="spellStart"/>
      <w:r w:rsidRPr="001F41EF">
        <w:t>Gelman</w:t>
      </w:r>
      <w:proofErr w:type="spellEnd"/>
      <w:r w:rsidRPr="001F41EF">
        <w:t xml:space="preserve"> et al. 2006; </w:t>
      </w:r>
      <w:proofErr w:type="spellStart"/>
      <w:r w:rsidRPr="001F41EF">
        <w:t>Ghitza</w:t>
      </w:r>
      <w:proofErr w:type="spellEnd"/>
      <w:r w:rsidRPr="001F41EF">
        <w:t xml:space="preserve"> and </w:t>
      </w:r>
      <w:proofErr w:type="spellStart"/>
      <w:r w:rsidRPr="001F41EF">
        <w:t>Gelman</w:t>
      </w:r>
      <w:proofErr w:type="spellEnd"/>
      <w:r w:rsidRPr="001F41EF">
        <w:t xml:space="preserve"> 2013). </w:t>
      </w:r>
      <w:r w:rsidR="005C4D26">
        <w:t xml:space="preserve">In </w:t>
      </w:r>
      <w:r w:rsidRPr="001F41EF">
        <w:t xml:space="preserve">Table </w:t>
      </w:r>
      <w:r>
        <w:t>B</w:t>
      </w:r>
      <w:r w:rsidR="00207BCC">
        <w:t>.</w:t>
      </w:r>
      <w:r>
        <w:t>2</w:t>
      </w:r>
      <w:r w:rsidR="005C4D26">
        <w:t>, we</w:t>
      </w:r>
      <w:r w:rsidRPr="001F41EF">
        <w:t xml:space="preserve"> summarize the scope and </w:t>
      </w:r>
      <w:r w:rsidR="00B236FF">
        <w:t>statistical power</w:t>
      </w:r>
      <w:r w:rsidR="00B236FF" w:rsidRPr="001F41EF">
        <w:t xml:space="preserve"> </w:t>
      </w:r>
      <w:r w:rsidRPr="001F41EF">
        <w:t xml:space="preserve">of </w:t>
      </w:r>
      <w:r>
        <w:t>the PISCE</w:t>
      </w:r>
      <w:r w:rsidRPr="001F41EF">
        <w:t xml:space="preserve"> design for various numbers of factor combinations. For each design, </w:t>
      </w:r>
      <w:r w:rsidR="005C4D26">
        <w:t>we</w:t>
      </w:r>
      <w:r w:rsidRPr="001F41EF">
        <w:t xml:space="preserve"> summarize the MDE for a test of whether a given factor combination has a statistically significant effect relative to the average outcome among all study participants.</w:t>
      </w:r>
      <w:r w:rsidR="00B236FF">
        <w:t xml:space="preserve"> We include a comparison of the standing panel sample to the “authentic” sample, which we will use to understand whether there are any key differences between the samples in terms of their understanding</w:t>
      </w:r>
      <w:r w:rsidR="00726183">
        <w:t xml:space="preserve"> and use of the school choice information </w:t>
      </w:r>
      <w:r w:rsidR="00CB4FF0">
        <w:t xml:space="preserve">under various presentations and </w:t>
      </w:r>
      <w:r w:rsidR="00726183">
        <w:t xml:space="preserve">will provide evidence for the external validity for the experiment as a whole. </w:t>
      </w:r>
    </w:p>
    <w:p w14:paraId="36F435BF" w14:textId="77777777" w:rsidR="003D5C19" w:rsidRDefault="003D5C19" w:rsidP="005C4D26">
      <w:pPr>
        <w:pStyle w:val="MarkforTableTitle"/>
      </w:pPr>
      <w:bookmarkStart w:id="20" w:name="_Toc440039158"/>
      <w:r w:rsidRPr="007B5B68">
        <w:t xml:space="preserve">Table </w:t>
      </w:r>
      <w:r>
        <w:t>B</w:t>
      </w:r>
      <w:r w:rsidR="00207BCC">
        <w:t>.</w:t>
      </w:r>
      <w:r>
        <w:t>2</w:t>
      </w:r>
      <w:r w:rsidRPr="007B5B68">
        <w:t>. Minimum detectable effects (MDE) of alternative designs</w:t>
      </w:r>
      <w:bookmarkEnd w:id="20"/>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236"/>
        <w:gridCol w:w="2402"/>
        <w:gridCol w:w="2304"/>
      </w:tblGrid>
      <w:tr w:rsidR="002D1FDD" w:rsidRPr="002D1FDD" w14:paraId="6E87F405" w14:textId="77777777" w:rsidTr="002D1FDD">
        <w:trPr>
          <w:cantSplit/>
          <w:tblHeader/>
        </w:trPr>
        <w:tc>
          <w:tcPr>
            <w:tcW w:w="2310" w:type="dxa"/>
            <w:shd w:val="clear" w:color="auto" w:fill="D0002D"/>
            <w:vAlign w:val="center"/>
            <w:hideMark/>
          </w:tcPr>
          <w:p w14:paraId="260707C9" w14:textId="77777777" w:rsidR="00C959D3" w:rsidRPr="002D1FDD" w:rsidRDefault="00C959D3" w:rsidP="002D1FDD">
            <w:pPr>
              <w:pStyle w:val="TableHeaderCenter"/>
            </w:pPr>
            <w:r w:rsidRPr="002D1FDD">
              <w:t>Sample size</w:t>
            </w:r>
          </w:p>
        </w:tc>
        <w:tc>
          <w:tcPr>
            <w:tcW w:w="2236" w:type="dxa"/>
            <w:shd w:val="clear" w:color="auto" w:fill="D0002D"/>
            <w:vAlign w:val="center"/>
            <w:hideMark/>
          </w:tcPr>
          <w:p w14:paraId="76C27FE2" w14:textId="77777777" w:rsidR="00C959D3" w:rsidRPr="002D1FDD" w:rsidRDefault="00C959D3" w:rsidP="002D1FDD">
            <w:pPr>
              <w:pStyle w:val="TableHeaderLeft"/>
              <w:jc w:val="center"/>
            </w:pPr>
            <w:r w:rsidRPr="002D1FDD">
              <w:t xml:space="preserve">Number of factor </w:t>
            </w:r>
            <w:r w:rsidRPr="002D1FDD">
              <w:br/>
              <w:t>combinations</w:t>
            </w:r>
          </w:p>
        </w:tc>
        <w:tc>
          <w:tcPr>
            <w:tcW w:w="2402" w:type="dxa"/>
            <w:shd w:val="clear" w:color="auto" w:fill="D0002D"/>
            <w:vAlign w:val="center"/>
            <w:hideMark/>
          </w:tcPr>
          <w:p w14:paraId="1EB10773" w14:textId="77777777" w:rsidR="00C959D3" w:rsidRPr="002D1FDD" w:rsidRDefault="00C959D3" w:rsidP="002D1FDD">
            <w:pPr>
              <w:pStyle w:val="TableHeaderLeft"/>
              <w:jc w:val="center"/>
            </w:pPr>
            <w:r w:rsidRPr="002D1FDD">
              <w:t xml:space="preserve">Configuration </w:t>
            </w:r>
            <w:r w:rsidRPr="002D1FDD">
              <w:br/>
              <w:t>of factors</w:t>
            </w:r>
          </w:p>
        </w:tc>
        <w:tc>
          <w:tcPr>
            <w:tcW w:w="2304" w:type="dxa"/>
            <w:shd w:val="clear" w:color="auto" w:fill="D0002D"/>
            <w:vAlign w:val="center"/>
            <w:hideMark/>
          </w:tcPr>
          <w:p w14:paraId="0877947B" w14:textId="77777777" w:rsidR="00C959D3" w:rsidRPr="002D1FDD" w:rsidRDefault="00C959D3" w:rsidP="002D1FDD">
            <w:pPr>
              <w:pStyle w:val="TableHeaderLeft"/>
              <w:jc w:val="center"/>
            </w:pPr>
            <w:r w:rsidRPr="002D1FDD">
              <w:t>MDE</w:t>
            </w:r>
          </w:p>
        </w:tc>
      </w:tr>
      <w:tr w:rsidR="00C959D3" w14:paraId="29EE0DEA" w14:textId="77777777" w:rsidTr="00C959D3">
        <w:trPr>
          <w:cantSplit/>
        </w:trPr>
        <w:tc>
          <w:tcPr>
            <w:tcW w:w="9252" w:type="dxa"/>
            <w:gridSpan w:val="4"/>
            <w:shd w:val="clear" w:color="auto" w:fill="FCCB82"/>
            <w:vAlign w:val="center"/>
            <w:hideMark/>
          </w:tcPr>
          <w:p w14:paraId="70A94CA3" w14:textId="77777777" w:rsidR="00C959D3" w:rsidRDefault="00C959D3">
            <w:pPr>
              <w:keepNext/>
              <w:spacing w:before="60" w:after="30" w:line="240" w:lineRule="auto"/>
              <w:ind w:firstLine="0"/>
              <w:jc w:val="center"/>
              <w:rPr>
                <w:rFonts w:ascii="Arial" w:hAnsi="Arial" w:cs="Arial"/>
                <w:b/>
                <w:sz w:val="18"/>
                <w:szCs w:val="18"/>
              </w:rPr>
            </w:pPr>
            <w:r>
              <w:rPr>
                <w:rFonts w:ascii="Arial" w:hAnsi="Arial" w:cs="Arial"/>
                <w:b/>
                <w:sz w:val="18"/>
                <w:szCs w:val="18"/>
              </w:rPr>
              <w:t>Online experiment with between-</w:t>
            </w:r>
            <w:r>
              <w:rPr>
                <w:rFonts w:ascii="Arial" w:hAnsi="Arial"/>
                <w:b/>
                <w:sz w:val="18"/>
                <w:szCs w:val="18"/>
              </w:rPr>
              <w:t>respondent</w:t>
            </w:r>
            <w:r>
              <w:rPr>
                <w:rFonts w:ascii="Arial" w:hAnsi="Arial" w:cs="Arial"/>
                <w:b/>
                <w:sz w:val="18"/>
                <w:szCs w:val="18"/>
              </w:rPr>
              <w:t xml:space="preserve"> comparison of factors using a web-based interface</w:t>
            </w:r>
          </w:p>
        </w:tc>
      </w:tr>
      <w:tr w:rsidR="00C959D3" w14:paraId="0DFAA6B1" w14:textId="77777777" w:rsidTr="00C959D3">
        <w:trPr>
          <w:cantSplit/>
        </w:trPr>
        <w:tc>
          <w:tcPr>
            <w:tcW w:w="2310" w:type="dxa"/>
            <w:vAlign w:val="center"/>
            <w:hideMark/>
          </w:tcPr>
          <w:p w14:paraId="2C9897DC" w14:textId="77777777" w:rsidR="00C959D3" w:rsidRDefault="00C959D3">
            <w:pPr>
              <w:spacing w:before="40" w:after="20" w:line="240" w:lineRule="auto"/>
              <w:ind w:right="-48" w:firstLine="0"/>
              <w:jc w:val="center"/>
              <w:rPr>
                <w:rFonts w:ascii="Arial" w:hAnsi="Arial"/>
                <w:sz w:val="18"/>
                <w:szCs w:val="18"/>
              </w:rPr>
            </w:pPr>
            <w:r>
              <w:rPr>
                <w:rFonts w:ascii="Arial" w:hAnsi="Arial"/>
                <w:sz w:val="18"/>
                <w:szCs w:val="18"/>
              </w:rPr>
              <w:t>2,500</w:t>
            </w:r>
          </w:p>
        </w:tc>
        <w:tc>
          <w:tcPr>
            <w:tcW w:w="2236" w:type="dxa"/>
            <w:vAlign w:val="center"/>
            <w:hideMark/>
          </w:tcPr>
          <w:p w14:paraId="7506A231" w14:textId="77777777" w:rsidR="00C959D3" w:rsidRDefault="00C959D3">
            <w:pPr>
              <w:spacing w:before="40" w:after="20" w:line="240" w:lineRule="auto"/>
              <w:ind w:firstLine="0"/>
              <w:jc w:val="center"/>
              <w:rPr>
                <w:rFonts w:ascii="Arial" w:hAnsi="Arial"/>
                <w:sz w:val="18"/>
                <w:szCs w:val="18"/>
              </w:rPr>
            </w:pPr>
            <w:r>
              <w:rPr>
                <w:rFonts w:ascii="Arial" w:hAnsi="Arial"/>
                <w:sz w:val="18"/>
                <w:szCs w:val="18"/>
              </w:rPr>
              <w:t>16</w:t>
            </w:r>
          </w:p>
        </w:tc>
        <w:tc>
          <w:tcPr>
            <w:tcW w:w="2402" w:type="dxa"/>
            <w:vAlign w:val="center"/>
            <w:hideMark/>
          </w:tcPr>
          <w:p w14:paraId="1A8938C0" w14:textId="77777777" w:rsidR="00C959D3" w:rsidRDefault="00C959D3">
            <w:pPr>
              <w:spacing w:before="40" w:after="20" w:line="240" w:lineRule="auto"/>
              <w:ind w:firstLine="0"/>
              <w:jc w:val="center"/>
              <w:rPr>
                <w:rFonts w:ascii="Arial" w:hAnsi="Arial"/>
                <w:sz w:val="18"/>
                <w:szCs w:val="18"/>
              </w:rPr>
            </w:pPr>
            <w:r>
              <w:rPr>
                <w:rFonts w:ascii="Arial" w:hAnsi="Arial"/>
                <w:sz w:val="18"/>
                <w:szCs w:val="18"/>
              </w:rPr>
              <w:t>2 x 2 x 2 x 2</w:t>
            </w:r>
          </w:p>
        </w:tc>
        <w:tc>
          <w:tcPr>
            <w:tcW w:w="2304" w:type="dxa"/>
            <w:vAlign w:val="center"/>
            <w:hideMark/>
          </w:tcPr>
          <w:p w14:paraId="1D52D679" w14:textId="77777777" w:rsidR="00C959D3" w:rsidRDefault="00C959D3">
            <w:pPr>
              <w:spacing w:before="40" w:after="20" w:line="240" w:lineRule="auto"/>
              <w:ind w:firstLine="0"/>
              <w:jc w:val="center"/>
              <w:rPr>
                <w:rFonts w:ascii="Arial" w:hAnsi="Arial"/>
                <w:sz w:val="18"/>
                <w:szCs w:val="18"/>
              </w:rPr>
            </w:pPr>
            <w:r>
              <w:rPr>
                <w:rFonts w:ascii="Arial" w:hAnsi="Arial"/>
                <w:sz w:val="18"/>
                <w:szCs w:val="18"/>
              </w:rPr>
              <w:t>0.20</w:t>
            </w:r>
          </w:p>
        </w:tc>
      </w:tr>
      <w:tr w:rsidR="00C959D3" w14:paraId="65B721B8" w14:textId="77777777" w:rsidTr="00C959D3">
        <w:trPr>
          <w:cantSplit/>
        </w:trPr>
        <w:tc>
          <w:tcPr>
            <w:tcW w:w="2310" w:type="dxa"/>
            <w:tcMar>
              <w:top w:w="0" w:type="dxa"/>
              <w:left w:w="115" w:type="dxa"/>
              <w:bottom w:w="0" w:type="dxa"/>
              <w:right w:w="0" w:type="dxa"/>
            </w:tcMar>
            <w:vAlign w:val="center"/>
            <w:hideMark/>
          </w:tcPr>
          <w:p w14:paraId="63D999C2" w14:textId="77777777" w:rsidR="00C959D3" w:rsidRDefault="00C959D3">
            <w:pPr>
              <w:spacing w:before="40" w:after="20" w:line="240" w:lineRule="auto"/>
              <w:ind w:right="60" w:firstLine="0"/>
              <w:jc w:val="center"/>
              <w:rPr>
                <w:rFonts w:ascii="Arial" w:hAnsi="Arial"/>
                <w:sz w:val="18"/>
                <w:szCs w:val="18"/>
              </w:rPr>
            </w:pPr>
            <w:r>
              <w:rPr>
                <w:rFonts w:ascii="Arial" w:hAnsi="Arial"/>
                <w:sz w:val="18"/>
                <w:szCs w:val="18"/>
              </w:rPr>
              <w:t>2,500</w:t>
            </w:r>
          </w:p>
        </w:tc>
        <w:tc>
          <w:tcPr>
            <w:tcW w:w="2236" w:type="dxa"/>
            <w:vAlign w:val="center"/>
            <w:hideMark/>
          </w:tcPr>
          <w:p w14:paraId="2DEC8FEE" w14:textId="77777777" w:rsidR="00C959D3" w:rsidRDefault="00C959D3">
            <w:pPr>
              <w:spacing w:before="40" w:after="20" w:line="240" w:lineRule="auto"/>
              <w:ind w:right="-48" w:firstLine="0"/>
              <w:jc w:val="center"/>
              <w:rPr>
                <w:rFonts w:ascii="Arial" w:hAnsi="Arial"/>
                <w:sz w:val="18"/>
                <w:szCs w:val="18"/>
              </w:rPr>
            </w:pPr>
            <w:r>
              <w:rPr>
                <w:rFonts w:ascii="Arial" w:hAnsi="Arial"/>
                <w:sz w:val="18"/>
                <w:szCs w:val="18"/>
              </w:rPr>
              <w:t>180</w:t>
            </w:r>
          </w:p>
        </w:tc>
        <w:tc>
          <w:tcPr>
            <w:tcW w:w="2402" w:type="dxa"/>
            <w:vAlign w:val="center"/>
            <w:hideMark/>
          </w:tcPr>
          <w:p w14:paraId="675A58E1" w14:textId="77777777" w:rsidR="00C959D3" w:rsidRDefault="00C959D3">
            <w:pPr>
              <w:spacing w:before="40" w:after="20" w:line="240" w:lineRule="auto"/>
              <w:ind w:right="-48" w:firstLine="0"/>
              <w:jc w:val="center"/>
              <w:rPr>
                <w:rFonts w:ascii="Arial" w:hAnsi="Arial"/>
                <w:sz w:val="18"/>
                <w:szCs w:val="18"/>
              </w:rPr>
            </w:pPr>
            <w:r>
              <w:rPr>
                <w:rFonts w:ascii="Arial" w:hAnsi="Arial"/>
                <w:sz w:val="18"/>
                <w:szCs w:val="18"/>
              </w:rPr>
              <w:t>2 x 3 x 3 x10</w:t>
            </w:r>
          </w:p>
        </w:tc>
        <w:tc>
          <w:tcPr>
            <w:tcW w:w="2304" w:type="dxa"/>
            <w:vAlign w:val="center"/>
            <w:hideMark/>
          </w:tcPr>
          <w:p w14:paraId="10108B27" w14:textId="77777777" w:rsidR="00C959D3" w:rsidRDefault="00C959D3">
            <w:pPr>
              <w:spacing w:before="40" w:after="20" w:line="240" w:lineRule="auto"/>
              <w:ind w:right="-48" w:firstLine="0"/>
              <w:jc w:val="center"/>
              <w:rPr>
                <w:rFonts w:ascii="Arial" w:hAnsi="Arial"/>
                <w:sz w:val="18"/>
                <w:szCs w:val="18"/>
              </w:rPr>
            </w:pPr>
            <w:r>
              <w:rPr>
                <w:rFonts w:ascii="Arial" w:hAnsi="Arial"/>
                <w:sz w:val="18"/>
                <w:szCs w:val="18"/>
              </w:rPr>
              <w:t>0.28</w:t>
            </w:r>
          </w:p>
        </w:tc>
      </w:tr>
      <w:tr w:rsidR="00C959D3" w14:paraId="2FD07AF2" w14:textId="77777777" w:rsidTr="00C959D3">
        <w:trPr>
          <w:cantSplit/>
        </w:trPr>
        <w:tc>
          <w:tcPr>
            <w:tcW w:w="2310" w:type="dxa"/>
            <w:vAlign w:val="center"/>
            <w:hideMark/>
          </w:tcPr>
          <w:p w14:paraId="3D9585C8" w14:textId="77777777" w:rsidR="00C959D3" w:rsidRDefault="00C959D3">
            <w:pPr>
              <w:spacing w:before="40" w:after="20" w:line="240" w:lineRule="auto"/>
              <w:ind w:right="-48" w:firstLine="0"/>
              <w:jc w:val="center"/>
              <w:rPr>
                <w:rFonts w:ascii="Arial" w:hAnsi="Arial"/>
                <w:sz w:val="18"/>
                <w:szCs w:val="18"/>
              </w:rPr>
            </w:pPr>
            <w:r>
              <w:rPr>
                <w:rFonts w:ascii="Arial" w:hAnsi="Arial"/>
                <w:sz w:val="18"/>
                <w:szCs w:val="18"/>
              </w:rPr>
              <w:t>2,500</w:t>
            </w:r>
          </w:p>
        </w:tc>
        <w:tc>
          <w:tcPr>
            <w:tcW w:w="2236" w:type="dxa"/>
            <w:vAlign w:val="center"/>
            <w:hideMark/>
          </w:tcPr>
          <w:p w14:paraId="2C3A1FC0" w14:textId="77777777" w:rsidR="00C959D3" w:rsidRDefault="00C959D3">
            <w:pPr>
              <w:spacing w:before="40" w:after="20" w:line="240" w:lineRule="auto"/>
              <w:ind w:firstLine="0"/>
              <w:jc w:val="center"/>
              <w:rPr>
                <w:rFonts w:ascii="Arial" w:hAnsi="Arial"/>
                <w:sz w:val="18"/>
                <w:szCs w:val="18"/>
              </w:rPr>
            </w:pPr>
            <w:r>
              <w:rPr>
                <w:rFonts w:ascii="Arial" w:hAnsi="Arial"/>
                <w:sz w:val="18"/>
                <w:szCs w:val="18"/>
              </w:rPr>
              <w:t>72</w:t>
            </w:r>
          </w:p>
        </w:tc>
        <w:tc>
          <w:tcPr>
            <w:tcW w:w="2402" w:type="dxa"/>
            <w:vAlign w:val="center"/>
            <w:hideMark/>
          </w:tcPr>
          <w:p w14:paraId="4CE0D746" w14:textId="77777777" w:rsidR="00C959D3" w:rsidRDefault="00C959D3">
            <w:pPr>
              <w:spacing w:before="40" w:after="20" w:line="240" w:lineRule="auto"/>
              <w:ind w:firstLine="0"/>
              <w:jc w:val="center"/>
              <w:rPr>
                <w:rFonts w:ascii="Arial" w:hAnsi="Arial"/>
                <w:sz w:val="18"/>
                <w:szCs w:val="18"/>
              </w:rPr>
            </w:pPr>
            <w:r>
              <w:rPr>
                <w:rFonts w:ascii="Arial" w:hAnsi="Arial"/>
                <w:sz w:val="18"/>
                <w:szCs w:val="18"/>
              </w:rPr>
              <w:t>3 x 3 x 2 x 2 x 2</w:t>
            </w:r>
          </w:p>
        </w:tc>
        <w:tc>
          <w:tcPr>
            <w:tcW w:w="2304" w:type="dxa"/>
            <w:vAlign w:val="center"/>
            <w:hideMark/>
          </w:tcPr>
          <w:p w14:paraId="68AF800E" w14:textId="77777777" w:rsidR="00C959D3" w:rsidRDefault="00C959D3">
            <w:pPr>
              <w:spacing w:before="40" w:after="20" w:line="240" w:lineRule="auto"/>
              <w:ind w:firstLine="0"/>
              <w:jc w:val="center"/>
              <w:rPr>
                <w:rFonts w:ascii="Arial" w:hAnsi="Arial"/>
                <w:sz w:val="18"/>
                <w:szCs w:val="18"/>
              </w:rPr>
            </w:pPr>
            <w:r>
              <w:rPr>
                <w:rFonts w:ascii="Arial" w:hAnsi="Arial"/>
                <w:sz w:val="18"/>
                <w:szCs w:val="18"/>
              </w:rPr>
              <w:t>0.21</w:t>
            </w:r>
          </w:p>
        </w:tc>
      </w:tr>
      <w:tr w:rsidR="00C959D3" w14:paraId="42905D67" w14:textId="77777777" w:rsidTr="00C959D3">
        <w:trPr>
          <w:cantSplit/>
        </w:trPr>
        <w:tc>
          <w:tcPr>
            <w:tcW w:w="2310" w:type="dxa"/>
            <w:tcMar>
              <w:top w:w="0" w:type="dxa"/>
              <w:left w:w="115" w:type="dxa"/>
              <w:bottom w:w="0" w:type="dxa"/>
              <w:right w:w="0" w:type="dxa"/>
            </w:tcMar>
            <w:vAlign w:val="center"/>
            <w:hideMark/>
          </w:tcPr>
          <w:p w14:paraId="6C0951EE" w14:textId="77777777" w:rsidR="00C959D3" w:rsidRDefault="00C959D3">
            <w:pPr>
              <w:spacing w:before="40" w:after="20" w:line="240" w:lineRule="auto"/>
              <w:ind w:right="78" w:firstLine="0"/>
              <w:jc w:val="center"/>
              <w:rPr>
                <w:rFonts w:ascii="Arial" w:hAnsi="Arial"/>
                <w:sz w:val="18"/>
                <w:szCs w:val="18"/>
              </w:rPr>
            </w:pPr>
            <w:r>
              <w:rPr>
                <w:rFonts w:ascii="Arial" w:hAnsi="Arial"/>
                <w:sz w:val="18"/>
                <w:szCs w:val="18"/>
              </w:rPr>
              <w:t>3,000</w:t>
            </w:r>
          </w:p>
        </w:tc>
        <w:tc>
          <w:tcPr>
            <w:tcW w:w="2236" w:type="dxa"/>
            <w:vAlign w:val="center"/>
            <w:hideMark/>
          </w:tcPr>
          <w:p w14:paraId="3C990442" w14:textId="77777777" w:rsidR="00C959D3" w:rsidRDefault="00C959D3">
            <w:pPr>
              <w:spacing w:before="40" w:after="20" w:line="240" w:lineRule="auto"/>
              <w:ind w:firstLine="0"/>
              <w:jc w:val="center"/>
              <w:rPr>
                <w:rFonts w:ascii="Arial" w:hAnsi="Arial"/>
                <w:sz w:val="18"/>
                <w:szCs w:val="18"/>
              </w:rPr>
            </w:pPr>
            <w:r>
              <w:rPr>
                <w:rFonts w:ascii="Arial" w:hAnsi="Arial"/>
                <w:sz w:val="18"/>
                <w:szCs w:val="18"/>
              </w:rPr>
              <w:t>72</w:t>
            </w:r>
          </w:p>
        </w:tc>
        <w:tc>
          <w:tcPr>
            <w:tcW w:w="2402" w:type="dxa"/>
            <w:vAlign w:val="center"/>
            <w:hideMark/>
          </w:tcPr>
          <w:p w14:paraId="554527ED" w14:textId="77777777" w:rsidR="00C959D3" w:rsidRDefault="00C959D3">
            <w:pPr>
              <w:spacing w:before="40" w:after="20" w:line="240" w:lineRule="auto"/>
              <w:ind w:firstLine="0"/>
              <w:jc w:val="center"/>
              <w:rPr>
                <w:rFonts w:ascii="Arial" w:hAnsi="Arial"/>
                <w:sz w:val="18"/>
                <w:szCs w:val="18"/>
              </w:rPr>
            </w:pPr>
            <w:r>
              <w:rPr>
                <w:rFonts w:ascii="Arial" w:hAnsi="Arial"/>
                <w:sz w:val="18"/>
                <w:szCs w:val="18"/>
              </w:rPr>
              <w:t>3 x 3 x 2 x 2 x 2</w:t>
            </w:r>
          </w:p>
        </w:tc>
        <w:tc>
          <w:tcPr>
            <w:tcW w:w="2304" w:type="dxa"/>
            <w:vAlign w:val="center"/>
            <w:hideMark/>
          </w:tcPr>
          <w:p w14:paraId="591981AB" w14:textId="77777777" w:rsidR="00C959D3" w:rsidRDefault="00C959D3">
            <w:pPr>
              <w:spacing w:before="40" w:after="20" w:line="240" w:lineRule="auto"/>
              <w:ind w:firstLine="0"/>
              <w:jc w:val="center"/>
              <w:rPr>
                <w:rFonts w:ascii="Arial" w:hAnsi="Arial"/>
                <w:sz w:val="18"/>
                <w:szCs w:val="18"/>
              </w:rPr>
            </w:pPr>
            <w:r>
              <w:rPr>
                <w:rFonts w:ascii="Arial" w:hAnsi="Arial"/>
                <w:sz w:val="18"/>
                <w:szCs w:val="18"/>
              </w:rPr>
              <w:t>0.19</w:t>
            </w:r>
          </w:p>
        </w:tc>
      </w:tr>
      <w:tr w:rsidR="00C959D3" w14:paraId="606798B3" w14:textId="77777777" w:rsidTr="00C959D3">
        <w:trPr>
          <w:cantSplit/>
        </w:trPr>
        <w:tc>
          <w:tcPr>
            <w:tcW w:w="2310" w:type="dxa"/>
            <w:tcBorders>
              <w:top w:val="nil"/>
              <w:left w:val="nil"/>
              <w:bottom w:val="single" w:sz="4" w:space="0" w:color="D0002D"/>
              <w:right w:val="nil"/>
            </w:tcBorders>
            <w:tcMar>
              <w:top w:w="0" w:type="dxa"/>
              <w:left w:w="115" w:type="dxa"/>
              <w:bottom w:w="0" w:type="dxa"/>
              <w:right w:w="0" w:type="dxa"/>
            </w:tcMar>
            <w:vAlign w:val="center"/>
            <w:hideMark/>
          </w:tcPr>
          <w:p w14:paraId="375C21EB" w14:textId="77777777" w:rsidR="00C959D3" w:rsidRDefault="00C959D3">
            <w:pPr>
              <w:spacing w:before="40" w:after="20" w:line="240" w:lineRule="auto"/>
              <w:ind w:right="78" w:firstLine="0"/>
              <w:jc w:val="center"/>
              <w:rPr>
                <w:rFonts w:ascii="Arial" w:hAnsi="Arial"/>
                <w:sz w:val="18"/>
                <w:szCs w:val="18"/>
              </w:rPr>
            </w:pPr>
            <w:r>
              <w:rPr>
                <w:rFonts w:ascii="Arial" w:hAnsi="Arial"/>
                <w:sz w:val="18"/>
                <w:szCs w:val="18"/>
              </w:rPr>
              <w:t>3,500</w:t>
            </w:r>
          </w:p>
        </w:tc>
        <w:tc>
          <w:tcPr>
            <w:tcW w:w="2236" w:type="dxa"/>
            <w:tcBorders>
              <w:top w:val="nil"/>
              <w:left w:val="nil"/>
              <w:bottom w:val="single" w:sz="4" w:space="0" w:color="D0002D"/>
              <w:right w:val="nil"/>
            </w:tcBorders>
            <w:vAlign w:val="center"/>
            <w:hideMark/>
          </w:tcPr>
          <w:p w14:paraId="648E049E" w14:textId="77777777" w:rsidR="00C959D3" w:rsidRDefault="00C959D3">
            <w:pPr>
              <w:spacing w:before="40" w:after="20" w:line="240" w:lineRule="auto"/>
              <w:ind w:firstLine="0"/>
              <w:jc w:val="center"/>
              <w:rPr>
                <w:rFonts w:ascii="Arial" w:hAnsi="Arial"/>
                <w:sz w:val="18"/>
                <w:szCs w:val="18"/>
              </w:rPr>
            </w:pPr>
            <w:r>
              <w:rPr>
                <w:rFonts w:ascii="Arial" w:hAnsi="Arial"/>
                <w:sz w:val="18"/>
                <w:szCs w:val="18"/>
              </w:rPr>
              <w:t>72</w:t>
            </w:r>
          </w:p>
        </w:tc>
        <w:tc>
          <w:tcPr>
            <w:tcW w:w="2402" w:type="dxa"/>
            <w:tcBorders>
              <w:top w:val="nil"/>
              <w:left w:val="nil"/>
              <w:bottom w:val="single" w:sz="4" w:space="0" w:color="D0002D"/>
              <w:right w:val="nil"/>
            </w:tcBorders>
            <w:vAlign w:val="center"/>
            <w:hideMark/>
          </w:tcPr>
          <w:p w14:paraId="37540FD8" w14:textId="77777777" w:rsidR="00C959D3" w:rsidRDefault="00C959D3">
            <w:pPr>
              <w:spacing w:before="40" w:after="20" w:line="240" w:lineRule="auto"/>
              <w:ind w:firstLine="0"/>
              <w:jc w:val="center"/>
              <w:rPr>
                <w:rFonts w:ascii="Arial" w:hAnsi="Arial"/>
                <w:sz w:val="18"/>
                <w:szCs w:val="18"/>
              </w:rPr>
            </w:pPr>
            <w:r>
              <w:rPr>
                <w:rFonts w:ascii="Arial" w:hAnsi="Arial"/>
                <w:sz w:val="18"/>
                <w:szCs w:val="18"/>
              </w:rPr>
              <w:t>3 x 3 x 2 x 2 x 2</w:t>
            </w:r>
          </w:p>
        </w:tc>
        <w:tc>
          <w:tcPr>
            <w:tcW w:w="2304" w:type="dxa"/>
            <w:tcBorders>
              <w:top w:val="nil"/>
              <w:left w:val="nil"/>
              <w:bottom w:val="single" w:sz="4" w:space="0" w:color="D0002D"/>
              <w:right w:val="nil"/>
            </w:tcBorders>
            <w:vAlign w:val="center"/>
            <w:hideMark/>
          </w:tcPr>
          <w:p w14:paraId="2EF0A145" w14:textId="77777777" w:rsidR="00C959D3" w:rsidRDefault="00C959D3">
            <w:pPr>
              <w:spacing w:before="40" w:after="20" w:line="240" w:lineRule="auto"/>
              <w:ind w:firstLine="0"/>
              <w:jc w:val="center"/>
              <w:rPr>
                <w:rFonts w:ascii="Arial" w:hAnsi="Arial"/>
                <w:sz w:val="18"/>
                <w:szCs w:val="18"/>
              </w:rPr>
            </w:pPr>
            <w:r>
              <w:rPr>
                <w:rFonts w:ascii="Arial" w:hAnsi="Arial"/>
                <w:sz w:val="18"/>
                <w:szCs w:val="18"/>
              </w:rPr>
              <w:t>0.17</w:t>
            </w:r>
          </w:p>
        </w:tc>
      </w:tr>
    </w:tbl>
    <w:p w14:paraId="0159F38E" w14:textId="77777777" w:rsidR="00C959D3" w:rsidRDefault="00C959D3" w:rsidP="00C959D3">
      <w:pPr>
        <w:pStyle w:val="TableSourceCaption"/>
        <w:spacing w:after="240"/>
        <w:ind w:left="720" w:hanging="720"/>
      </w:pPr>
      <w:r>
        <w:t>Note:</w:t>
      </w:r>
      <w:r>
        <w:tab/>
        <w:t>Each table row represents a different factorial design with between-respondent com</w:t>
      </w:r>
      <w:r>
        <w:softHyphen/>
        <w:t xml:space="preserve">parisons. The first and second rows show designs with four groups of factors (but a different number of factor levels) whereas our preferred design (shown for varying sample sizes in rows 3, 4 and 5) has five groups of factors. MDE represents the MDE size for a test that a given factor combination has an effect that is statistically distinguishable from the average in the study sample at a two-tailed significance level of 0.05 and 80 percent power. We assume an </w:t>
      </w:r>
      <w:r>
        <w:rPr>
          <w:i/>
        </w:rPr>
        <w:t>R</w:t>
      </w:r>
      <w:r>
        <w:rPr>
          <w:vertAlign w:val="superscript"/>
        </w:rPr>
        <w:t>2</w:t>
      </w:r>
      <w:r>
        <w:t xml:space="preserve"> of 0.12 from covariates. Power calculations were performed using 500 Monte Carlo simulations, with a different real effect for each factor combination in each simulation round. For each simulation, the variance of effects for each factor and pairwise interaction of factors were drawn from a half-Cauchy distribution as recom</w:t>
      </w:r>
      <w:r>
        <w:softHyphen/>
        <w:t xml:space="preserve">mended by </w:t>
      </w:r>
      <w:proofErr w:type="spellStart"/>
      <w:r>
        <w:t>Gelman</w:t>
      </w:r>
      <w:proofErr w:type="spellEnd"/>
      <w:r>
        <w:t xml:space="preserve"> (2006); effects were randomly drawn given these variance parameters; and then effects were scaled such that the standard deviation across the effects of all factor combinations was equal to 0.25. </w:t>
      </w:r>
    </w:p>
    <w:p w14:paraId="453A78FC" w14:textId="1BB9557B" w:rsidR="003D5C19" w:rsidRDefault="003D5C19" w:rsidP="00565EF5">
      <w:pPr>
        <w:pStyle w:val="NormalSS"/>
      </w:pPr>
      <w:r w:rsidRPr="001F41EF">
        <w:t xml:space="preserve">As the table shows, </w:t>
      </w:r>
      <w:r>
        <w:t xml:space="preserve">the study’s </w:t>
      </w:r>
      <w:r w:rsidRPr="001F41EF">
        <w:t xml:space="preserve">design </w:t>
      </w:r>
      <w:r>
        <w:t>makes it possible</w:t>
      </w:r>
      <w:r w:rsidRPr="001F41EF">
        <w:t xml:space="preserve"> to test a large number of factors with a given sample size. </w:t>
      </w:r>
      <w:r w:rsidR="005C4D26">
        <w:t>By</w:t>
      </w:r>
      <w:r>
        <w:t xml:space="preserve"> includ</w:t>
      </w:r>
      <w:r w:rsidR="005C4D26">
        <w:t>ing</w:t>
      </w:r>
      <w:r w:rsidRPr="001F41EF">
        <w:t xml:space="preserve"> 72 factor combinations, </w:t>
      </w:r>
      <w:r w:rsidR="005C4D26">
        <w:t>the study will</w:t>
      </w:r>
      <w:r w:rsidRPr="001F41EF">
        <w:t xml:space="preserve"> provide an MDE of 0.</w:t>
      </w:r>
      <w:r w:rsidR="002D1FDD">
        <w:t>17</w:t>
      </w:r>
      <w:r w:rsidRPr="001F41EF">
        <w:t xml:space="preserve"> with a sample of </w:t>
      </w:r>
      <w:r w:rsidR="002D1FDD">
        <w:t>3</w:t>
      </w:r>
      <w:r w:rsidRPr="001F41EF">
        <w:t>,</w:t>
      </w:r>
      <w:r w:rsidR="002D1FDD">
        <w:t>0</w:t>
      </w:r>
      <w:r w:rsidRPr="001F41EF">
        <w:t>00 study participants.</w:t>
      </w:r>
      <w:r w:rsidRPr="001F41EF">
        <w:rPr>
          <w:u w:color="000080"/>
          <w:vertAlign w:val="superscript"/>
        </w:rPr>
        <w:footnoteReference w:id="3"/>
      </w:r>
      <w:r w:rsidRPr="001F41EF">
        <w:t xml:space="preserve"> </w:t>
      </w:r>
      <w:r>
        <w:t xml:space="preserve">A comparison test between the </w:t>
      </w:r>
      <w:r w:rsidR="002872C5">
        <w:t xml:space="preserve">mean outcomes </w:t>
      </w:r>
      <w:r w:rsidR="002872C5">
        <w:lastRenderedPageBreak/>
        <w:t xml:space="preserve">(and digital literacy scores) of the </w:t>
      </w:r>
      <w:r>
        <w:t>standing sample</w:t>
      </w:r>
      <w:r w:rsidR="00565EF5">
        <w:t xml:space="preserve"> of</w:t>
      </w:r>
      <w:r>
        <w:t xml:space="preserve"> panelists and </w:t>
      </w:r>
      <w:r w:rsidR="002872C5">
        <w:t xml:space="preserve">those of </w:t>
      </w:r>
      <w:r>
        <w:t>the 150</w:t>
      </w:r>
      <w:r w:rsidR="00565EF5">
        <w:t xml:space="preserve"> respondents</w:t>
      </w:r>
      <w:r>
        <w:t xml:space="preserve"> recruited in</w:t>
      </w:r>
      <w:r w:rsidR="00565EF5">
        <w:t xml:space="preserve"> </w:t>
      </w:r>
      <w:r>
        <w:t>person will</w:t>
      </w:r>
      <w:r w:rsidRPr="001F41EF">
        <w:t xml:space="preserve"> achieve an MDE of 0.2</w:t>
      </w:r>
      <w:r>
        <w:t>1</w:t>
      </w:r>
      <w:r w:rsidRPr="001F41EF">
        <w:t xml:space="preserve">. </w:t>
      </w:r>
    </w:p>
    <w:p w14:paraId="6F403C94" w14:textId="77777777" w:rsidR="003D5C19" w:rsidRDefault="003D5C19" w:rsidP="00207BCC">
      <w:pPr>
        <w:pStyle w:val="H3Alpha"/>
        <w:rPr>
          <w:rFonts w:eastAsia="Calibri"/>
        </w:rPr>
      </w:pPr>
      <w:bookmarkStart w:id="21" w:name="_Toc433118608"/>
      <w:bookmarkStart w:id="22" w:name="_Toc440039206"/>
      <w:r>
        <w:rPr>
          <w:rFonts w:eastAsia="Calibri"/>
        </w:rPr>
        <w:t>B.</w:t>
      </w:r>
      <w:r w:rsidRPr="00AB5A74">
        <w:rPr>
          <w:rFonts w:eastAsia="Calibri"/>
        </w:rPr>
        <w:t xml:space="preserve">3 </w:t>
      </w:r>
      <w:r>
        <w:rPr>
          <w:rFonts w:eastAsia="Calibri"/>
        </w:rPr>
        <w:t xml:space="preserve">Methods to </w:t>
      </w:r>
      <w:r w:rsidR="00207BCC">
        <w:rPr>
          <w:rFonts w:eastAsia="Calibri"/>
        </w:rPr>
        <w:t>m</w:t>
      </w:r>
      <w:r>
        <w:rPr>
          <w:rFonts w:eastAsia="Calibri"/>
        </w:rPr>
        <w:t xml:space="preserve">aximize </w:t>
      </w:r>
      <w:r w:rsidR="00207BCC">
        <w:rPr>
          <w:rFonts w:eastAsia="Calibri"/>
        </w:rPr>
        <w:t>r</w:t>
      </w:r>
      <w:r>
        <w:rPr>
          <w:rFonts w:eastAsia="Calibri"/>
        </w:rPr>
        <w:t xml:space="preserve">esponse </w:t>
      </w:r>
      <w:r w:rsidR="00207BCC">
        <w:rPr>
          <w:rFonts w:eastAsia="Calibri"/>
        </w:rPr>
        <w:t>r</w:t>
      </w:r>
      <w:r>
        <w:rPr>
          <w:rFonts w:eastAsia="Calibri"/>
        </w:rPr>
        <w:t xml:space="preserve">ates and </w:t>
      </w:r>
      <w:r w:rsidR="00207BCC">
        <w:rPr>
          <w:rFonts w:eastAsia="Calibri"/>
        </w:rPr>
        <w:t>d</w:t>
      </w:r>
      <w:r>
        <w:rPr>
          <w:rFonts w:eastAsia="Calibri"/>
        </w:rPr>
        <w:t xml:space="preserve">eal with </w:t>
      </w:r>
      <w:r w:rsidR="00207BCC">
        <w:rPr>
          <w:rFonts w:eastAsia="Calibri"/>
        </w:rPr>
        <w:t>n</w:t>
      </w:r>
      <w:r>
        <w:rPr>
          <w:rFonts w:eastAsia="Calibri"/>
        </w:rPr>
        <w:t>onresponse</w:t>
      </w:r>
      <w:bookmarkEnd w:id="21"/>
      <w:bookmarkEnd w:id="22"/>
    </w:p>
    <w:p w14:paraId="34ED4442" w14:textId="1CF5919B" w:rsidR="003D5C19" w:rsidRPr="00207BCC" w:rsidRDefault="00AF1115" w:rsidP="004616DF">
      <w:pPr>
        <w:pStyle w:val="NormalSS"/>
        <w:rPr>
          <w:i/>
        </w:rPr>
      </w:pPr>
      <w:r w:rsidRPr="00AF1115">
        <w:t xml:space="preserve">As described in B.1, it is not practical to seek a statistically representative sample, nor is it necessary given the goal of this study (for a discussion of why see </w:t>
      </w:r>
      <w:proofErr w:type="spellStart"/>
      <w:r w:rsidRPr="00AF1115">
        <w:t>Mullinix</w:t>
      </w:r>
      <w:proofErr w:type="spellEnd"/>
      <w:r w:rsidRPr="00AF1115">
        <w:t xml:space="preserve">, </w:t>
      </w:r>
      <w:proofErr w:type="spellStart"/>
      <w:r w:rsidRPr="00AF1115">
        <w:t>Leeper</w:t>
      </w:r>
      <w:proofErr w:type="spellEnd"/>
      <w:r w:rsidRPr="00AF1115">
        <w:t xml:space="preserve"> </w:t>
      </w:r>
      <w:proofErr w:type="spellStart"/>
      <w:r w:rsidRPr="00AF1115">
        <w:t>Druckman</w:t>
      </w:r>
      <w:proofErr w:type="spellEnd"/>
      <w:r w:rsidRPr="00AF1115">
        <w:t xml:space="preserve"> &amp; </w:t>
      </w:r>
      <w:proofErr w:type="spellStart"/>
      <w:r w:rsidRPr="00AF1115">
        <w:t>Freese</w:t>
      </w:r>
      <w:proofErr w:type="spellEnd"/>
      <w:r w:rsidRPr="00AF1115">
        <w:t xml:space="preserve">, 2016). Instead, recruitment will continue until a sample size that will provide adequate statistical power (3,300 parents) is attained. The </w:t>
      </w:r>
      <w:r w:rsidR="00AB2EE7">
        <w:t xml:space="preserve">panel </w:t>
      </w:r>
      <w:r w:rsidRPr="00AF1115">
        <w:t xml:space="preserve">sample will be drawn from an opt-in survey panel. It is not possible to calculate </w:t>
      </w:r>
      <w:r w:rsidR="001B08AC">
        <w:t>opt-in</w:t>
      </w:r>
      <w:r w:rsidRPr="00AF1115">
        <w:t xml:space="preserve"> rates for this kind of sample because the total number </w:t>
      </w:r>
      <w:r w:rsidR="001B08AC">
        <w:t xml:space="preserve">of </w:t>
      </w:r>
      <w:r w:rsidRPr="00AF1115">
        <w:t>those who had the opport</w:t>
      </w:r>
      <w:r w:rsidR="001B08AC">
        <w:t>unity to opt-in but did not</w:t>
      </w:r>
      <w:r w:rsidRPr="00AF1115">
        <w:t xml:space="preserve"> is unknown (for </w:t>
      </w:r>
      <w:proofErr w:type="gramStart"/>
      <w:r w:rsidRPr="00AF1115">
        <w:t>a discussion see</w:t>
      </w:r>
      <w:proofErr w:type="gramEnd"/>
      <w:r w:rsidRPr="00AF1115">
        <w:t xml:space="preserve"> </w:t>
      </w:r>
      <w:proofErr w:type="spellStart"/>
      <w:r w:rsidRPr="00AF1115">
        <w:t>Callegaro</w:t>
      </w:r>
      <w:proofErr w:type="spellEnd"/>
      <w:r w:rsidRPr="00AF1115">
        <w:t xml:space="preserve"> &amp; </w:t>
      </w:r>
      <w:proofErr w:type="spellStart"/>
      <w:r w:rsidRPr="00AF1115">
        <w:t>DiSogra</w:t>
      </w:r>
      <w:proofErr w:type="spellEnd"/>
      <w:r w:rsidRPr="00AF1115">
        <w:t xml:space="preserve">, 2008). </w:t>
      </w:r>
      <w:r w:rsidR="00AB2EE7">
        <w:t>Survey response</w:t>
      </w:r>
      <w:r w:rsidRPr="00AF1115">
        <w:t xml:space="preserve"> rates (the proportion of </w:t>
      </w:r>
      <w:r w:rsidR="00AB2EE7">
        <w:t xml:space="preserve">qualified survey respondents </w:t>
      </w:r>
      <w:r w:rsidRPr="00AF1115">
        <w:t xml:space="preserve">who </w:t>
      </w:r>
      <w:r w:rsidR="001B08AC">
        <w:t xml:space="preserve">accept the invitation to participate </w:t>
      </w:r>
      <w:r w:rsidR="00AB2EE7">
        <w:t>and then</w:t>
      </w:r>
      <w:r w:rsidRPr="00AF1115">
        <w:t xml:space="preserve"> completed the survey</w:t>
      </w:r>
      <w:r w:rsidR="00AB2EE7">
        <w:t>) are likely to range from</w:t>
      </w:r>
      <w:r w:rsidRPr="00AF1115">
        <w:t xml:space="preserve"> </w:t>
      </w:r>
      <w:r w:rsidR="00AB2EE7">
        <w:t>80% to</w:t>
      </w:r>
      <w:r w:rsidRPr="00AF1115">
        <w:t xml:space="preserve"> </w:t>
      </w:r>
      <w:r w:rsidR="00AB2EE7">
        <w:t>95% based on prior studies using similar methods.</w:t>
      </w:r>
    </w:p>
    <w:p w14:paraId="0D6071BE" w14:textId="304E0F84" w:rsidR="003D5C19" w:rsidRPr="00C32C5E" w:rsidRDefault="003D5C19" w:rsidP="00207BCC">
      <w:pPr>
        <w:pStyle w:val="NormalSS"/>
      </w:pPr>
      <w:r w:rsidRPr="00C32C5E">
        <w:t>To encourage study participation</w:t>
      </w:r>
      <w:r>
        <w:t xml:space="preserve"> and </w:t>
      </w:r>
      <w:r w:rsidRPr="00C32C5E">
        <w:t>ensure high recruitment rates, we will provide participants of the in-person experiment with a monetary incentive of $30</w:t>
      </w:r>
      <w:r w:rsidR="00AF1115">
        <w:t xml:space="preserve"> after the survey is completed</w:t>
      </w:r>
      <w:r w:rsidRPr="00C32C5E">
        <w:t xml:space="preserve">. </w:t>
      </w:r>
      <w:r w:rsidR="00AB2EE7">
        <w:t>Panel participants are incentivized in various ways by the panel management organization (e.g., they receive credit for survey participation towards online purchases).</w:t>
      </w:r>
    </w:p>
    <w:p w14:paraId="47F850BA" w14:textId="77777777" w:rsidR="003D5C19" w:rsidRDefault="003D5C19" w:rsidP="00207BCC">
      <w:pPr>
        <w:pStyle w:val="NormalSS"/>
      </w:pPr>
      <w:r w:rsidRPr="004D187F">
        <w:t>As stated in B.1, we will recruit and conduct the in-person experiment in a setting that is convenient and familiar to participants, such as a public library</w:t>
      </w:r>
      <w:r>
        <w:t xml:space="preserve"> or</w:t>
      </w:r>
      <w:r w:rsidRPr="004D187F">
        <w:t xml:space="preserve"> city recreation center. </w:t>
      </w:r>
      <w:r>
        <w:t xml:space="preserve">We will also offer times that are convenient to parents, such as </w:t>
      </w:r>
      <w:r w:rsidRPr="00A25812">
        <w:t xml:space="preserve">weekend mornings, </w:t>
      </w:r>
      <w:r>
        <w:t>and during events that they plan to attend, such as school choice fairs.</w:t>
      </w:r>
      <w:r w:rsidRPr="004D187F">
        <w:t xml:space="preserve"> </w:t>
      </w:r>
    </w:p>
    <w:p w14:paraId="1C3DCD15" w14:textId="77777777" w:rsidR="003D5C19" w:rsidRDefault="003D5C19" w:rsidP="00207BCC">
      <w:pPr>
        <w:pStyle w:val="H3Alpha"/>
        <w:rPr>
          <w:rFonts w:eastAsia="Calibri"/>
        </w:rPr>
      </w:pPr>
      <w:bookmarkStart w:id="23" w:name="_Toc433118609"/>
      <w:bookmarkStart w:id="24" w:name="_Toc440039207"/>
      <w:r>
        <w:rPr>
          <w:rFonts w:eastAsia="Calibri"/>
        </w:rPr>
        <w:t>B.</w:t>
      </w:r>
      <w:r w:rsidRPr="00AB5A74">
        <w:rPr>
          <w:rFonts w:eastAsia="Calibri"/>
        </w:rPr>
        <w:t xml:space="preserve">4 </w:t>
      </w:r>
      <w:r>
        <w:rPr>
          <w:rFonts w:eastAsia="Calibri"/>
        </w:rPr>
        <w:t xml:space="preserve">Tests of </w:t>
      </w:r>
      <w:r w:rsidR="00207BCC">
        <w:rPr>
          <w:rFonts w:eastAsia="Calibri"/>
        </w:rPr>
        <w:t>p</w:t>
      </w:r>
      <w:r>
        <w:rPr>
          <w:rFonts w:eastAsia="Calibri"/>
        </w:rPr>
        <w:t xml:space="preserve">rocedures or </w:t>
      </w:r>
      <w:r w:rsidR="00207BCC">
        <w:rPr>
          <w:rFonts w:eastAsia="Calibri"/>
        </w:rPr>
        <w:t>m</w:t>
      </w:r>
      <w:r>
        <w:rPr>
          <w:rFonts w:eastAsia="Calibri"/>
        </w:rPr>
        <w:t xml:space="preserve">ethods to be </w:t>
      </w:r>
      <w:r w:rsidR="00207BCC">
        <w:rPr>
          <w:rFonts w:eastAsia="Calibri"/>
        </w:rPr>
        <w:t>u</w:t>
      </w:r>
      <w:r>
        <w:rPr>
          <w:rFonts w:eastAsia="Calibri"/>
        </w:rPr>
        <w:t>ndertaken</w:t>
      </w:r>
      <w:bookmarkEnd w:id="23"/>
      <w:bookmarkEnd w:id="24"/>
    </w:p>
    <w:p w14:paraId="09F16C7C" w14:textId="77777777" w:rsidR="003D5C19" w:rsidRPr="00207BCC" w:rsidRDefault="003D5C19" w:rsidP="00207BCC">
      <w:pPr>
        <w:pStyle w:val="NormalSS"/>
        <w:rPr>
          <w:rFonts w:eastAsiaTheme="minorHAnsi"/>
        </w:rPr>
      </w:pPr>
      <w:r w:rsidRPr="00207BCC">
        <w:rPr>
          <w:rFonts w:eastAsiaTheme="minorHAnsi"/>
        </w:rPr>
        <w:t xml:space="preserve">We will test the data collection forms and procedures in a pretest involving nine or fewer individuals. After the forms are completed, members of the study team will debrief each participant </w:t>
      </w:r>
      <w:r w:rsidR="005C4D26">
        <w:rPr>
          <w:rFonts w:eastAsiaTheme="minorHAnsi"/>
        </w:rPr>
        <w:t xml:space="preserve">by </w:t>
      </w:r>
      <w:r w:rsidRPr="00207BCC">
        <w:rPr>
          <w:rFonts w:eastAsiaTheme="minorHAnsi"/>
        </w:rPr>
        <w:t>using a standard debriefing protocol to determine whether any words or questions are difficult to understand or answer.</w:t>
      </w:r>
    </w:p>
    <w:p w14:paraId="22E5685F" w14:textId="77777777" w:rsidR="004616DF" w:rsidRDefault="004616DF">
      <w:pPr>
        <w:spacing w:after="240" w:line="240" w:lineRule="auto"/>
        <w:ind w:firstLine="0"/>
        <w:rPr>
          <w:rFonts w:ascii="Arial Black" w:eastAsia="Calibri" w:hAnsi="Arial Black"/>
          <w:sz w:val="22"/>
        </w:rPr>
      </w:pPr>
      <w:bookmarkStart w:id="25" w:name="_Toc433118610"/>
      <w:bookmarkStart w:id="26" w:name="_Toc440039208"/>
      <w:r>
        <w:rPr>
          <w:rFonts w:eastAsia="Calibri"/>
        </w:rPr>
        <w:br w:type="page"/>
      </w:r>
    </w:p>
    <w:p w14:paraId="0DDB79F6" w14:textId="43A4C34E" w:rsidR="003D5C19" w:rsidRPr="00AB5A74" w:rsidRDefault="003D5C19" w:rsidP="00207BCC">
      <w:pPr>
        <w:pStyle w:val="H3Alpha"/>
        <w:rPr>
          <w:rFonts w:eastAsia="Calibri"/>
        </w:rPr>
      </w:pPr>
      <w:r w:rsidRPr="00AB5A74">
        <w:rPr>
          <w:rFonts w:eastAsia="Calibri"/>
        </w:rPr>
        <w:lastRenderedPageBreak/>
        <w:t xml:space="preserve">B.5 Individuals </w:t>
      </w:r>
      <w:r w:rsidR="00207BCC">
        <w:rPr>
          <w:rFonts w:eastAsia="Calibri"/>
        </w:rPr>
        <w:t>c</w:t>
      </w:r>
      <w:r w:rsidRPr="00AB5A74">
        <w:rPr>
          <w:rFonts w:eastAsia="Calibri"/>
        </w:rPr>
        <w:t xml:space="preserve">onsulted on </w:t>
      </w:r>
      <w:r w:rsidR="00207BCC">
        <w:rPr>
          <w:rFonts w:eastAsia="Calibri"/>
        </w:rPr>
        <w:t>s</w:t>
      </w:r>
      <w:r w:rsidRPr="00AB5A74">
        <w:rPr>
          <w:rFonts w:eastAsia="Calibri"/>
        </w:rPr>
        <w:t>t</w:t>
      </w:r>
      <w:r>
        <w:rPr>
          <w:rFonts w:eastAsia="Calibri"/>
        </w:rPr>
        <w:t xml:space="preserve">atistical </w:t>
      </w:r>
      <w:r w:rsidR="00207BCC">
        <w:rPr>
          <w:rFonts w:eastAsia="Calibri"/>
        </w:rPr>
        <w:t>a</w:t>
      </w:r>
      <w:r>
        <w:rPr>
          <w:rFonts w:eastAsia="Calibri"/>
        </w:rPr>
        <w:t xml:space="preserve">spects of the </w:t>
      </w:r>
      <w:r w:rsidR="00207BCC">
        <w:rPr>
          <w:rFonts w:eastAsia="Calibri"/>
        </w:rPr>
        <w:t>d</w:t>
      </w:r>
      <w:r>
        <w:rPr>
          <w:rFonts w:eastAsia="Calibri"/>
        </w:rPr>
        <w:t xml:space="preserve">esign, </w:t>
      </w:r>
      <w:r w:rsidR="00207BCC">
        <w:rPr>
          <w:rFonts w:eastAsia="Calibri"/>
        </w:rPr>
        <w:t>d</w:t>
      </w:r>
      <w:r>
        <w:rPr>
          <w:rFonts w:eastAsia="Calibri"/>
        </w:rPr>
        <w:t xml:space="preserve">ata </w:t>
      </w:r>
      <w:r w:rsidR="00207BCC">
        <w:rPr>
          <w:rFonts w:eastAsia="Calibri"/>
        </w:rPr>
        <w:t>c</w:t>
      </w:r>
      <w:r>
        <w:rPr>
          <w:rFonts w:eastAsia="Calibri"/>
        </w:rPr>
        <w:t xml:space="preserve">ollection, and </w:t>
      </w:r>
      <w:r w:rsidR="00207BCC">
        <w:rPr>
          <w:rFonts w:eastAsia="Calibri"/>
        </w:rPr>
        <w:t>a</w:t>
      </w:r>
      <w:r>
        <w:rPr>
          <w:rFonts w:eastAsia="Calibri"/>
        </w:rPr>
        <w:t>nalysis</w:t>
      </w:r>
      <w:bookmarkEnd w:id="25"/>
      <w:bookmarkEnd w:id="26"/>
    </w:p>
    <w:p w14:paraId="37E28C96" w14:textId="77777777" w:rsidR="003D5C19" w:rsidRPr="00207BCC" w:rsidRDefault="003D5C19" w:rsidP="00207BCC">
      <w:pPr>
        <w:pStyle w:val="NormalSS"/>
        <w:rPr>
          <w:rFonts w:eastAsia="Calibri"/>
        </w:rPr>
      </w:pPr>
      <w:r w:rsidRPr="00207BCC">
        <w:rPr>
          <w:rFonts w:eastAsia="Calibri"/>
        </w:rPr>
        <w:t>The following individuals are responsible for the statistical aspects</w:t>
      </w:r>
      <w:r w:rsidR="005C4D26">
        <w:rPr>
          <w:rFonts w:eastAsia="Calibri"/>
        </w:rPr>
        <w:t xml:space="preserve"> of the design</w:t>
      </w:r>
      <w:r w:rsidRPr="00207BCC">
        <w:rPr>
          <w:rFonts w:eastAsia="Calibri"/>
        </w:rPr>
        <w:t>, data collection, and analysis: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030"/>
      </w:tblGrid>
      <w:tr w:rsidR="00207BCC" w:rsidRPr="00207BCC" w14:paraId="0006CB12" w14:textId="77777777" w:rsidTr="00207BCC">
        <w:tc>
          <w:tcPr>
            <w:tcW w:w="3418" w:type="pct"/>
          </w:tcPr>
          <w:bookmarkEnd w:id="7"/>
          <w:p w14:paraId="09383581" w14:textId="7938C6D7" w:rsidR="00207BCC" w:rsidRPr="00207BCC" w:rsidRDefault="00207BCC" w:rsidP="00207BCC">
            <w:pPr>
              <w:pStyle w:val="TableText"/>
              <w:spacing w:before="60" w:after="60"/>
              <w:rPr>
                <w:rFonts w:ascii="Times New Roman" w:eastAsia="Calibri" w:hAnsi="Times New Roman"/>
                <w:sz w:val="24"/>
              </w:rPr>
            </w:pPr>
            <w:r w:rsidRPr="00207BCC">
              <w:rPr>
                <w:rFonts w:ascii="Times New Roman" w:eastAsia="Calibri" w:hAnsi="Times New Roman"/>
                <w:sz w:val="24"/>
              </w:rPr>
              <w:t>Meredith Bachman, IES</w:t>
            </w:r>
          </w:p>
        </w:tc>
        <w:tc>
          <w:tcPr>
            <w:tcW w:w="1582" w:type="pct"/>
          </w:tcPr>
          <w:p w14:paraId="4C6955A0" w14:textId="77777777" w:rsidR="00207BCC" w:rsidRPr="00207BCC" w:rsidRDefault="00207BCC" w:rsidP="00207BCC">
            <w:pPr>
              <w:pStyle w:val="TableText"/>
              <w:spacing w:before="60" w:after="60"/>
              <w:ind w:right="162"/>
              <w:jc w:val="right"/>
              <w:rPr>
                <w:rFonts w:ascii="Times New Roman" w:eastAsia="Calibri" w:hAnsi="Times New Roman"/>
                <w:sz w:val="24"/>
              </w:rPr>
            </w:pPr>
            <w:r w:rsidRPr="00207BCC">
              <w:rPr>
                <w:rFonts w:ascii="Times New Roman" w:eastAsia="Calibri" w:hAnsi="Times New Roman"/>
                <w:sz w:val="24"/>
              </w:rPr>
              <w:t>(202) 219-2014</w:t>
            </w:r>
          </w:p>
        </w:tc>
      </w:tr>
      <w:tr w:rsidR="00B8670F" w:rsidRPr="00207BCC" w14:paraId="1F612CB4" w14:textId="77777777" w:rsidTr="00207BCC">
        <w:tc>
          <w:tcPr>
            <w:tcW w:w="3418" w:type="pct"/>
          </w:tcPr>
          <w:p w14:paraId="3073C6B4" w14:textId="127D80DB" w:rsidR="00B8670F" w:rsidRPr="00207BCC" w:rsidRDefault="00B8670F" w:rsidP="00207BCC">
            <w:pPr>
              <w:pStyle w:val="TableText"/>
              <w:spacing w:before="60" w:after="60"/>
              <w:rPr>
                <w:rFonts w:ascii="Times New Roman" w:eastAsia="Calibri" w:hAnsi="Times New Roman"/>
                <w:sz w:val="24"/>
              </w:rPr>
            </w:pPr>
            <w:r>
              <w:rPr>
                <w:rFonts w:ascii="Times New Roman" w:eastAsia="Calibri" w:hAnsi="Times New Roman"/>
                <w:sz w:val="24"/>
              </w:rPr>
              <w:t>Marsha</w:t>
            </w:r>
            <w:r w:rsidR="00420EDC">
              <w:rPr>
                <w:rFonts w:ascii="Times New Roman" w:eastAsia="Calibri" w:hAnsi="Times New Roman"/>
                <w:sz w:val="24"/>
              </w:rPr>
              <w:t xml:space="preserve"> Silverberg</w:t>
            </w:r>
            <w:r>
              <w:rPr>
                <w:rFonts w:ascii="Times New Roman" w:eastAsia="Calibri" w:hAnsi="Times New Roman"/>
                <w:sz w:val="24"/>
              </w:rPr>
              <w:t xml:space="preserve"> , IES</w:t>
            </w:r>
          </w:p>
        </w:tc>
        <w:tc>
          <w:tcPr>
            <w:tcW w:w="1582" w:type="pct"/>
          </w:tcPr>
          <w:p w14:paraId="649ABD68" w14:textId="3788C5AF" w:rsidR="00B8670F" w:rsidRPr="00207BCC" w:rsidRDefault="00795AC3" w:rsidP="00207BCC">
            <w:pPr>
              <w:pStyle w:val="TableText"/>
              <w:spacing w:before="60" w:after="60"/>
              <w:ind w:right="162"/>
              <w:jc w:val="right"/>
              <w:rPr>
                <w:rFonts w:ascii="Times New Roman" w:eastAsia="Calibri" w:hAnsi="Times New Roman"/>
                <w:sz w:val="24"/>
              </w:rPr>
            </w:pPr>
            <w:r w:rsidRPr="00795AC3">
              <w:rPr>
                <w:rFonts w:ascii="Times New Roman" w:eastAsia="Calibri" w:hAnsi="Times New Roman"/>
                <w:sz w:val="24"/>
              </w:rPr>
              <w:t>(202) 208-7178</w:t>
            </w:r>
          </w:p>
        </w:tc>
      </w:tr>
      <w:tr w:rsidR="00207BCC" w:rsidRPr="00207BCC" w14:paraId="1C3535E1" w14:textId="77777777" w:rsidTr="00207BCC">
        <w:tc>
          <w:tcPr>
            <w:tcW w:w="3418" w:type="pct"/>
          </w:tcPr>
          <w:p w14:paraId="1FA93341" w14:textId="77777777" w:rsidR="00207BCC" w:rsidRPr="00207BCC" w:rsidRDefault="00207BCC" w:rsidP="00207BCC">
            <w:pPr>
              <w:pStyle w:val="TableText"/>
              <w:spacing w:before="60" w:after="60"/>
              <w:rPr>
                <w:rFonts w:ascii="Times New Roman" w:eastAsia="Calibri" w:hAnsi="Times New Roman"/>
                <w:sz w:val="24"/>
              </w:rPr>
            </w:pPr>
            <w:r w:rsidRPr="00207BCC">
              <w:rPr>
                <w:rFonts w:ascii="Times New Roman" w:eastAsia="Calibri" w:hAnsi="Times New Roman"/>
                <w:sz w:val="24"/>
              </w:rPr>
              <w:t>Steven Glazerman, Mathematica Policy Research</w:t>
            </w:r>
          </w:p>
        </w:tc>
        <w:tc>
          <w:tcPr>
            <w:tcW w:w="1582" w:type="pct"/>
          </w:tcPr>
          <w:p w14:paraId="3920038E" w14:textId="77777777" w:rsidR="00207BCC" w:rsidRPr="00207BCC" w:rsidRDefault="00207BCC" w:rsidP="00207BCC">
            <w:pPr>
              <w:pStyle w:val="TableText"/>
              <w:spacing w:before="60" w:after="60"/>
              <w:ind w:right="162"/>
              <w:jc w:val="right"/>
              <w:rPr>
                <w:rFonts w:ascii="Times New Roman" w:eastAsia="Calibri" w:hAnsi="Times New Roman"/>
                <w:sz w:val="24"/>
              </w:rPr>
            </w:pPr>
            <w:r w:rsidRPr="00207BCC">
              <w:rPr>
                <w:rFonts w:ascii="Times New Roman" w:eastAsia="Calibri" w:hAnsi="Times New Roman"/>
                <w:sz w:val="24"/>
              </w:rPr>
              <w:t>(202) 484-4834</w:t>
            </w:r>
          </w:p>
        </w:tc>
      </w:tr>
      <w:tr w:rsidR="00207BCC" w:rsidRPr="00207BCC" w14:paraId="2500D6D6" w14:textId="77777777" w:rsidTr="00207BCC">
        <w:tc>
          <w:tcPr>
            <w:tcW w:w="3418" w:type="pct"/>
          </w:tcPr>
          <w:p w14:paraId="4060C3AB" w14:textId="77777777" w:rsidR="00207BCC" w:rsidRPr="00207BCC" w:rsidRDefault="00207BCC" w:rsidP="00207BCC">
            <w:pPr>
              <w:pStyle w:val="TableText"/>
              <w:spacing w:before="60" w:after="60"/>
              <w:rPr>
                <w:rFonts w:ascii="Times New Roman" w:eastAsia="Calibri" w:hAnsi="Times New Roman"/>
                <w:sz w:val="24"/>
              </w:rPr>
            </w:pPr>
            <w:r w:rsidRPr="00207BCC">
              <w:rPr>
                <w:rFonts w:ascii="Times New Roman" w:eastAsia="Calibri" w:hAnsi="Times New Roman"/>
                <w:sz w:val="24"/>
              </w:rPr>
              <w:t>Jon Valant, Education Research Alliance for New Orleans</w:t>
            </w:r>
          </w:p>
        </w:tc>
        <w:tc>
          <w:tcPr>
            <w:tcW w:w="1582" w:type="pct"/>
          </w:tcPr>
          <w:p w14:paraId="5B3F432C" w14:textId="77777777" w:rsidR="00207BCC" w:rsidRPr="00207BCC" w:rsidRDefault="00207BCC" w:rsidP="00207BCC">
            <w:pPr>
              <w:pStyle w:val="TableText"/>
              <w:spacing w:before="60" w:after="60"/>
              <w:ind w:right="162"/>
              <w:jc w:val="right"/>
              <w:rPr>
                <w:rFonts w:ascii="Times New Roman" w:eastAsia="Calibri" w:hAnsi="Times New Roman"/>
                <w:sz w:val="24"/>
              </w:rPr>
            </w:pPr>
            <w:r w:rsidRPr="00207BCC">
              <w:rPr>
                <w:rFonts w:ascii="Times New Roman" w:eastAsia="Calibri" w:hAnsi="Times New Roman"/>
                <w:sz w:val="24"/>
              </w:rPr>
              <w:t>(504) 274-3617</w:t>
            </w:r>
          </w:p>
        </w:tc>
      </w:tr>
      <w:tr w:rsidR="00207BCC" w:rsidRPr="00207BCC" w14:paraId="7EBD95A3" w14:textId="77777777" w:rsidTr="00207BCC">
        <w:tc>
          <w:tcPr>
            <w:tcW w:w="3418" w:type="pct"/>
          </w:tcPr>
          <w:p w14:paraId="2C3EA024" w14:textId="77777777" w:rsidR="00207BCC" w:rsidRPr="00207BCC" w:rsidRDefault="00207BCC" w:rsidP="00207BCC">
            <w:pPr>
              <w:pStyle w:val="TableText"/>
              <w:spacing w:before="60" w:after="60"/>
              <w:rPr>
                <w:rFonts w:ascii="Times New Roman" w:eastAsia="Calibri" w:hAnsi="Times New Roman"/>
                <w:sz w:val="24"/>
              </w:rPr>
            </w:pPr>
            <w:r w:rsidRPr="00207BCC">
              <w:rPr>
                <w:rFonts w:ascii="Times New Roman" w:eastAsia="Calibri" w:hAnsi="Times New Roman"/>
                <w:sz w:val="24"/>
              </w:rPr>
              <w:t>Lisbeth Goble, Mathematica Policy Research</w:t>
            </w:r>
          </w:p>
        </w:tc>
        <w:tc>
          <w:tcPr>
            <w:tcW w:w="1582" w:type="pct"/>
          </w:tcPr>
          <w:p w14:paraId="79925B18" w14:textId="77777777" w:rsidR="00207BCC" w:rsidRPr="00207BCC" w:rsidRDefault="00207BCC" w:rsidP="00207BCC">
            <w:pPr>
              <w:pStyle w:val="TableText"/>
              <w:spacing w:before="60" w:after="60"/>
              <w:ind w:right="162"/>
              <w:jc w:val="right"/>
              <w:rPr>
                <w:rFonts w:ascii="Times New Roman" w:eastAsia="Calibri" w:hAnsi="Times New Roman"/>
                <w:sz w:val="24"/>
              </w:rPr>
            </w:pPr>
            <w:r w:rsidRPr="00207BCC">
              <w:rPr>
                <w:rFonts w:ascii="Times New Roman" w:eastAsia="Calibri" w:hAnsi="Times New Roman"/>
                <w:sz w:val="24"/>
              </w:rPr>
              <w:t>(312) 994-1016</w:t>
            </w:r>
          </w:p>
        </w:tc>
      </w:tr>
      <w:tr w:rsidR="00207BCC" w:rsidRPr="00207BCC" w14:paraId="3C22BB7F" w14:textId="77777777" w:rsidTr="00207BCC">
        <w:tc>
          <w:tcPr>
            <w:tcW w:w="3418" w:type="pct"/>
          </w:tcPr>
          <w:p w14:paraId="4A227A09" w14:textId="77777777" w:rsidR="00207BCC" w:rsidRPr="00207BCC" w:rsidRDefault="00207BCC" w:rsidP="00207BCC">
            <w:pPr>
              <w:pStyle w:val="TableText"/>
              <w:spacing w:before="60" w:after="60"/>
              <w:rPr>
                <w:rFonts w:ascii="Times New Roman" w:eastAsia="Calibri" w:hAnsi="Times New Roman"/>
                <w:sz w:val="24"/>
              </w:rPr>
            </w:pPr>
            <w:r w:rsidRPr="00207BCC">
              <w:rPr>
                <w:rFonts w:ascii="Times New Roman" w:eastAsia="Calibri" w:hAnsi="Times New Roman"/>
                <w:sz w:val="24"/>
              </w:rPr>
              <w:t>Ira Nichols-Barrer, Mathematica Policy Research</w:t>
            </w:r>
          </w:p>
        </w:tc>
        <w:tc>
          <w:tcPr>
            <w:tcW w:w="1582" w:type="pct"/>
          </w:tcPr>
          <w:p w14:paraId="27B093CC" w14:textId="77777777" w:rsidR="00207BCC" w:rsidRPr="00207BCC" w:rsidRDefault="00207BCC" w:rsidP="00207BCC">
            <w:pPr>
              <w:pStyle w:val="TableText"/>
              <w:spacing w:before="60" w:after="60"/>
              <w:ind w:right="162"/>
              <w:jc w:val="right"/>
              <w:rPr>
                <w:rFonts w:ascii="Times New Roman" w:eastAsia="Calibri" w:hAnsi="Times New Roman"/>
                <w:sz w:val="24"/>
              </w:rPr>
            </w:pPr>
            <w:r w:rsidRPr="00207BCC">
              <w:rPr>
                <w:rFonts w:ascii="Times New Roman" w:eastAsia="Calibri" w:hAnsi="Times New Roman"/>
                <w:sz w:val="24"/>
              </w:rPr>
              <w:t>(617) 674-8364</w:t>
            </w:r>
          </w:p>
        </w:tc>
      </w:tr>
      <w:tr w:rsidR="00207BCC" w:rsidRPr="00207BCC" w14:paraId="71A422E1" w14:textId="77777777" w:rsidTr="00207BCC">
        <w:tc>
          <w:tcPr>
            <w:tcW w:w="3418" w:type="pct"/>
          </w:tcPr>
          <w:p w14:paraId="1B7FCE6E" w14:textId="77777777" w:rsidR="00207BCC" w:rsidRPr="00207BCC" w:rsidRDefault="00207BCC" w:rsidP="00207BCC">
            <w:pPr>
              <w:pStyle w:val="TableText"/>
              <w:spacing w:before="60" w:after="60"/>
              <w:rPr>
                <w:rFonts w:ascii="Times New Roman" w:eastAsia="Calibri" w:hAnsi="Times New Roman"/>
                <w:sz w:val="24"/>
              </w:rPr>
            </w:pPr>
            <w:r w:rsidRPr="00207BCC">
              <w:rPr>
                <w:rFonts w:ascii="Times New Roman" w:eastAsia="Calibri" w:hAnsi="Times New Roman"/>
                <w:sz w:val="24"/>
              </w:rPr>
              <w:t>Jesse Chandler, Mathematica Policy Research</w:t>
            </w:r>
          </w:p>
        </w:tc>
        <w:tc>
          <w:tcPr>
            <w:tcW w:w="1582" w:type="pct"/>
          </w:tcPr>
          <w:p w14:paraId="111F1CE4" w14:textId="77777777" w:rsidR="00207BCC" w:rsidRPr="00207BCC" w:rsidRDefault="00207BCC" w:rsidP="00207BCC">
            <w:pPr>
              <w:pStyle w:val="TableText"/>
              <w:spacing w:before="60" w:after="60"/>
              <w:ind w:right="162"/>
              <w:jc w:val="right"/>
              <w:rPr>
                <w:rFonts w:ascii="Times New Roman" w:eastAsia="Calibri" w:hAnsi="Times New Roman"/>
                <w:sz w:val="24"/>
              </w:rPr>
            </w:pPr>
            <w:r w:rsidRPr="00207BCC">
              <w:rPr>
                <w:rFonts w:ascii="Times New Roman" w:eastAsia="Calibri" w:hAnsi="Times New Roman"/>
                <w:sz w:val="24"/>
              </w:rPr>
              <w:t>(734) 205-3088</w:t>
            </w:r>
          </w:p>
        </w:tc>
      </w:tr>
      <w:tr w:rsidR="00207BCC" w:rsidRPr="00207BCC" w14:paraId="1684E160" w14:textId="77777777" w:rsidTr="00207BCC">
        <w:tc>
          <w:tcPr>
            <w:tcW w:w="3418" w:type="pct"/>
          </w:tcPr>
          <w:p w14:paraId="40DAF997" w14:textId="77777777" w:rsidR="00207BCC" w:rsidRPr="00207BCC" w:rsidRDefault="00207BCC" w:rsidP="00207BCC">
            <w:pPr>
              <w:pStyle w:val="TableText"/>
              <w:spacing w:before="60" w:after="60"/>
              <w:rPr>
                <w:rFonts w:ascii="Times New Roman" w:eastAsia="Calibri" w:hAnsi="Times New Roman"/>
                <w:sz w:val="24"/>
              </w:rPr>
            </w:pPr>
            <w:r w:rsidRPr="00207BCC">
              <w:rPr>
                <w:rFonts w:ascii="Times New Roman" w:eastAsia="Calibri" w:hAnsi="Times New Roman"/>
                <w:sz w:val="24"/>
              </w:rPr>
              <w:t>Mariel Finucane, Mathematica Policy Research</w:t>
            </w:r>
          </w:p>
        </w:tc>
        <w:tc>
          <w:tcPr>
            <w:tcW w:w="1582" w:type="pct"/>
          </w:tcPr>
          <w:p w14:paraId="2BA5E668" w14:textId="77777777" w:rsidR="00207BCC" w:rsidRPr="00207BCC" w:rsidRDefault="00207BCC" w:rsidP="00207BCC">
            <w:pPr>
              <w:pStyle w:val="TableText"/>
              <w:spacing w:before="60" w:after="60"/>
              <w:ind w:right="162"/>
              <w:jc w:val="right"/>
              <w:rPr>
                <w:rFonts w:ascii="Times New Roman" w:eastAsia="Calibri" w:hAnsi="Times New Roman"/>
                <w:sz w:val="24"/>
              </w:rPr>
            </w:pPr>
            <w:r w:rsidRPr="00207BCC">
              <w:rPr>
                <w:rFonts w:ascii="Times New Roman" w:eastAsia="Calibri" w:hAnsi="Times New Roman"/>
                <w:sz w:val="24"/>
              </w:rPr>
              <w:t>(617) 715-6935</w:t>
            </w:r>
          </w:p>
        </w:tc>
      </w:tr>
    </w:tbl>
    <w:p w14:paraId="02C6DF32" w14:textId="32D3CE8E" w:rsidR="008B7686" w:rsidRDefault="008B7686" w:rsidP="008304C1">
      <w:pPr>
        <w:pStyle w:val="AcknowledgmentnoTOC"/>
        <w:pageBreakBefore/>
        <w:spacing w:before="0"/>
      </w:pPr>
      <w:r>
        <w:lastRenderedPageBreak/>
        <w:t>References</w:t>
      </w:r>
    </w:p>
    <w:p w14:paraId="6A058871" w14:textId="77777777" w:rsidR="001F742C" w:rsidRPr="00307868" w:rsidRDefault="001F742C" w:rsidP="001F742C">
      <w:pPr>
        <w:pStyle w:val="References"/>
        <w:rPr>
          <w:szCs w:val="24"/>
        </w:rPr>
      </w:pPr>
      <w:proofErr w:type="spellStart"/>
      <w:proofErr w:type="gramStart"/>
      <w:r w:rsidRPr="00307868">
        <w:rPr>
          <w:szCs w:val="24"/>
        </w:rPr>
        <w:t>Callegaro</w:t>
      </w:r>
      <w:proofErr w:type="spellEnd"/>
      <w:r w:rsidRPr="00307868">
        <w:rPr>
          <w:szCs w:val="24"/>
        </w:rPr>
        <w:t xml:space="preserve">, M. and </w:t>
      </w:r>
      <w:proofErr w:type="spellStart"/>
      <w:r w:rsidRPr="00307868">
        <w:rPr>
          <w:szCs w:val="24"/>
        </w:rPr>
        <w:t>DiSogra</w:t>
      </w:r>
      <w:proofErr w:type="spellEnd"/>
      <w:r w:rsidRPr="00307868">
        <w:rPr>
          <w:szCs w:val="24"/>
        </w:rPr>
        <w:t xml:space="preserve">, C. </w:t>
      </w:r>
      <w:r>
        <w:rPr>
          <w:szCs w:val="24"/>
        </w:rPr>
        <w:t>“</w:t>
      </w:r>
      <w:r w:rsidRPr="00307868">
        <w:rPr>
          <w:szCs w:val="24"/>
        </w:rPr>
        <w:t>Computing response metrics for online panels.</w:t>
      </w:r>
      <w:r>
        <w:rPr>
          <w:szCs w:val="24"/>
        </w:rPr>
        <w:t>”</w:t>
      </w:r>
      <w:proofErr w:type="gramEnd"/>
      <w:r w:rsidRPr="00307868">
        <w:rPr>
          <w:szCs w:val="24"/>
        </w:rPr>
        <w:t xml:space="preserve"> </w:t>
      </w:r>
      <w:r w:rsidRPr="00307868">
        <w:rPr>
          <w:i/>
          <w:iCs/>
          <w:szCs w:val="24"/>
        </w:rPr>
        <w:t>Public Opinion Quarterly</w:t>
      </w:r>
      <w:r w:rsidRPr="00307868">
        <w:rPr>
          <w:szCs w:val="24"/>
        </w:rPr>
        <w:t xml:space="preserve">, </w:t>
      </w:r>
      <w:r>
        <w:rPr>
          <w:szCs w:val="24"/>
        </w:rPr>
        <w:t xml:space="preserve">vol. </w:t>
      </w:r>
      <w:r w:rsidRPr="00307868">
        <w:rPr>
          <w:szCs w:val="24"/>
        </w:rPr>
        <w:t xml:space="preserve">72, </w:t>
      </w:r>
      <w:r>
        <w:rPr>
          <w:szCs w:val="24"/>
        </w:rPr>
        <w:t xml:space="preserve">2008, </w:t>
      </w:r>
      <w:r w:rsidRPr="00307868">
        <w:rPr>
          <w:szCs w:val="24"/>
        </w:rPr>
        <w:t>pp. 1008–1032.</w:t>
      </w:r>
    </w:p>
    <w:p w14:paraId="226D20F0" w14:textId="77777777" w:rsidR="008B7686" w:rsidRPr="002A31E7" w:rsidRDefault="008B7686" w:rsidP="008B7686">
      <w:pPr>
        <w:pStyle w:val="References"/>
        <w:rPr>
          <w:szCs w:val="24"/>
        </w:rPr>
      </w:pPr>
      <w:proofErr w:type="gramStart"/>
      <w:r w:rsidRPr="002A31E7">
        <w:rPr>
          <w:szCs w:val="24"/>
        </w:rPr>
        <w:t>Finucane, Mariel, Ignacio Martinez, and Scott Cody.</w:t>
      </w:r>
      <w:proofErr w:type="gramEnd"/>
      <w:r w:rsidRPr="002A31E7">
        <w:rPr>
          <w:szCs w:val="24"/>
        </w:rPr>
        <w:t xml:space="preserve"> “What Works for Whom? </w:t>
      </w:r>
      <w:proofErr w:type="gramStart"/>
      <w:r w:rsidRPr="002A31E7">
        <w:rPr>
          <w:szCs w:val="24"/>
        </w:rPr>
        <w:t>A Bayesian Approach to Channeling Big Data Streams for Policy Analysis.”</w:t>
      </w:r>
      <w:proofErr w:type="gramEnd"/>
      <w:r w:rsidRPr="002A31E7">
        <w:rPr>
          <w:szCs w:val="24"/>
        </w:rPr>
        <w:t xml:space="preserve"> </w:t>
      </w:r>
      <w:proofErr w:type="gramStart"/>
      <w:r w:rsidRPr="002A31E7">
        <w:rPr>
          <w:szCs w:val="24"/>
        </w:rPr>
        <w:t>Mathematica Policy Research Working Paper Series, no. 40.</w:t>
      </w:r>
      <w:proofErr w:type="gramEnd"/>
      <w:r w:rsidRPr="002A31E7">
        <w:rPr>
          <w:szCs w:val="24"/>
        </w:rPr>
        <w:t xml:space="preserve"> Princeton, NJ: Mathematica Policy Research, June 2015.</w:t>
      </w:r>
    </w:p>
    <w:p w14:paraId="4F954B44" w14:textId="77777777" w:rsidR="008B7686" w:rsidRPr="002A31E7" w:rsidRDefault="008B7686" w:rsidP="008B7686">
      <w:pPr>
        <w:pStyle w:val="References"/>
        <w:rPr>
          <w:szCs w:val="24"/>
        </w:rPr>
      </w:pPr>
      <w:proofErr w:type="spellStart"/>
      <w:r w:rsidRPr="002A31E7">
        <w:rPr>
          <w:szCs w:val="24"/>
        </w:rPr>
        <w:t>Gelman</w:t>
      </w:r>
      <w:proofErr w:type="spellEnd"/>
      <w:r w:rsidRPr="002A31E7">
        <w:rPr>
          <w:szCs w:val="24"/>
        </w:rPr>
        <w:t xml:space="preserve">, Andrew. </w:t>
      </w:r>
      <w:proofErr w:type="gramStart"/>
      <w:r w:rsidRPr="002A31E7">
        <w:rPr>
          <w:szCs w:val="24"/>
        </w:rPr>
        <w:t>“Prior Distributions for Variance Parameters in Hierarchical Models.”</w:t>
      </w:r>
      <w:proofErr w:type="gramEnd"/>
      <w:r w:rsidRPr="002A31E7">
        <w:rPr>
          <w:szCs w:val="24"/>
        </w:rPr>
        <w:t xml:space="preserve"> </w:t>
      </w:r>
      <w:r w:rsidRPr="002A31E7">
        <w:rPr>
          <w:i/>
          <w:szCs w:val="24"/>
        </w:rPr>
        <w:t>Bayesian Analysis</w:t>
      </w:r>
      <w:r w:rsidRPr="002A31E7">
        <w:rPr>
          <w:szCs w:val="24"/>
        </w:rPr>
        <w:t>, vol. 1, no. 3, 2006, pp. 515–533.</w:t>
      </w:r>
    </w:p>
    <w:p w14:paraId="2D754366" w14:textId="77777777" w:rsidR="008B7686" w:rsidRPr="002A31E7" w:rsidRDefault="008B7686" w:rsidP="008B7686">
      <w:pPr>
        <w:pStyle w:val="References"/>
        <w:rPr>
          <w:szCs w:val="24"/>
        </w:rPr>
      </w:pPr>
      <w:proofErr w:type="spellStart"/>
      <w:r w:rsidRPr="002A31E7">
        <w:rPr>
          <w:szCs w:val="24"/>
        </w:rPr>
        <w:t>Gelman</w:t>
      </w:r>
      <w:proofErr w:type="spellEnd"/>
      <w:r w:rsidRPr="002A31E7">
        <w:rPr>
          <w:szCs w:val="24"/>
        </w:rPr>
        <w:t xml:space="preserve">, Andrew. “Why We (Usually) Don’t Have to Worry about Multiple Comparisons.” </w:t>
      </w:r>
      <w:r w:rsidRPr="002A31E7">
        <w:rPr>
          <w:i/>
          <w:szCs w:val="24"/>
        </w:rPr>
        <w:t>Journal of Research on Educational Effectiveness</w:t>
      </w:r>
      <w:r w:rsidRPr="002A31E7">
        <w:rPr>
          <w:szCs w:val="24"/>
        </w:rPr>
        <w:t>, vol. 5, 2012, pp. 189–211.</w:t>
      </w:r>
    </w:p>
    <w:p w14:paraId="06A775C7" w14:textId="77777777" w:rsidR="008B7686" w:rsidRPr="002A31E7" w:rsidRDefault="008B7686" w:rsidP="008B7686">
      <w:pPr>
        <w:pStyle w:val="References"/>
        <w:rPr>
          <w:szCs w:val="24"/>
        </w:rPr>
      </w:pPr>
      <w:proofErr w:type="spellStart"/>
      <w:r w:rsidRPr="002A31E7">
        <w:rPr>
          <w:szCs w:val="24"/>
        </w:rPr>
        <w:t>Gelman</w:t>
      </w:r>
      <w:proofErr w:type="spellEnd"/>
      <w:r w:rsidRPr="002A31E7">
        <w:rPr>
          <w:szCs w:val="24"/>
        </w:rPr>
        <w:t xml:space="preserve">, Andrew, Bob Carpenter, Matt Hoffman, Daniel Lee, Ben Goodrich, Michael Betancourt, Marcus Brubaker, </w:t>
      </w:r>
      <w:proofErr w:type="spellStart"/>
      <w:r w:rsidRPr="002A31E7">
        <w:rPr>
          <w:szCs w:val="24"/>
        </w:rPr>
        <w:t>Jiqiang</w:t>
      </w:r>
      <w:proofErr w:type="spellEnd"/>
      <w:r w:rsidRPr="002A31E7">
        <w:rPr>
          <w:szCs w:val="24"/>
        </w:rPr>
        <w:t xml:space="preserve"> </w:t>
      </w:r>
      <w:proofErr w:type="spellStart"/>
      <w:r w:rsidRPr="002A31E7">
        <w:rPr>
          <w:szCs w:val="24"/>
        </w:rPr>
        <w:t>Guo</w:t>
      </w:r>
      <w:proofErr w:type="spellEnd"/>
      <w:r w:rsidRPr="002A31E7">
        <w:rPr>
          <w:szCs w:val="24"/>
        </w:rPr>
        <w:t xml:space="preserve">, Peter Li, Allen Riddell, Marco </w:t>
      </w:r>
      <w:proofErr w:type="spellStart"/>
      <w:r w:rsidRPr="002A31E7">
        <w:rPr>
          <w:szCs w:val="24"/>
        </w:rPr>
        <w:t>Inacio</w:t>
      </w:r>
      <w:proofErr w:type="spellEnd"/>
      <w:r w:rsidRPr="002A31E7">
        <w:rPr>
          <w:szCs w:val="24"/>
        </w:rPr>
        <w:t xml:space="preserve">, Jeffrey Arnold, Rob J. </w:t>
      </w:r>
      <w:proofErr w:type="spellStart"/>
      <w:r w:rsidRPr="002A31E7">
        <w:rPr>
          <w:szCs w:val="24"/>
        </w:rPr>
        <w:t>Goedman</w:t>
      </w:r>
      <w:proofErr w:type="spellEnd"/>
      <w:r w:rsidRPr="002A31E7">
        <w:rPr>
          <w:szCs w:val="24"/>
        </w:rPr>
        <w:t xml:space="preserve">, Brian Lau, Mitzi Morris, Rob </w:t>
      </w:r>
      <w:proofErr w:type="spellStart"/>
      <w:r w:rsidRPr="002A31E7">
        <w:rPr>
          <w:szCs w:val="24"/>
        </w:rPr>
        <w:t>Trangucci</w:t>
      </w:r>
      <w:proofErr w:type="spellEnd"/>
      <w:r w:rsidRPr="002A31E7">
        <w:rPr>
          <w:szCs w:val="24"/>
        </w:rPr>
        <w:t xml:space="preserve">, Jonah Sol </w:t>
      </w:r>
      <w:proofErr w:type="spellStart"/>
      <w:r w:rsidRPr="002A31E7">
        <w:rPr>
          <w:szCs w:val="24"/>
        </w:rPr>
        <w:t>Gabry</w:t>
      </w:r>
      <w:proofErr w:type="spellEnd"/>
      <w:r w:rsidRPr="002A31E7">
        <w:rPr>
          <w:szCs w:val="24"/>
        </w:rPr>
        <w:t xml:space="preserve">, Alp </w:t>
      </w:r>
      <w:proofErr w:type="spellStart"/>
      <w:r w:rsidRPr="002A31E7">
        <w:rPr>
          <w:szCs w:val="24"/>
        </w:rPr>
        <w:t>Kucukelbir</w:t>
      </w:r>
      <w:proofErr w:type="spellEnd"/>
      <w:r w:rsidRPr="002A31E7">
        <w:rPr>
          <w:szCs w:val="24"/>
        </w:rPr>
        <w:t xml:space="preserve">, and Robert L. Grant. </w:t>
      </w:r>
      <w:proofErr w:type="gramStart"/>
      <w:r w:rsidRPr="002A31E7">
        <w:rPr>
          <w:szCs w:val="24"/>
        </w:rPr>
        <w:t>Stan Version 2.7.0, 2015.</w:t>
      </w:r>
      <w:proofErr w:type="gramEnd"/>
    </w:p>
    <w:p w14:paraId="615DFEF9" w14:textId="77777777" w:rsidR="008B7686" w:rsidRPr="002A31E7" w:rsidRDefault="008B7686" w:rsidP="008B7686">
      <w:pPr>
        <w:pStyle w:val="References"/>
        <w:rPr>
          <w:szCs w:val="24"/>
        </w:rPr>
      </w:pPr>
      <w:proofErr w:type="spellStart"/>
      <w:proofErr w:type="gramStart"/>
      <w:r w:rsidRPr="002A31E7">
        <w:rPr>
          <w:szCs w:val="24"/>
        </w:rPr>
        <w:t>Ghitza</w:t>
      </w:r>
      <w:proofErr w:type="spellEnd"/>
      <w:r w:rsidRPr="002A31E7">
        <w:rPr>
          <w:szCs w:val="24"/>
        </w:rPr>
        <w:t xml:space="preserve">, </w:t>
      </w:r>
      <w:proofErr w:type="spellStart"/>
      <w:r w:rsidRPr="002A31E7">
        <w:rPr>
          <w:szCs w:val="24"/>
        </w:rPr>
        <w:t>Yair</w:t>
      </w:r>
      <w:proofErr w:type="spellEnd"/>
      <w:r w:rsidRPr="002A31E7">
        <w:rPr>
          <w:szCs w:val="24"/>
        </w:rPr>
        <w:t xml:space="preserve">, and Andrew </w:t>
      </w:r>
      <w:proofErr w:type="spellStart"/>
      <w:r w:rsidRPr="002A31E7">
        <w:rPr>
          <w:szCs w:val="24"/>
        </w:rPr>
        <w:t>Gelman</w:t>
      </w:r>
      <w:proofErr w:type="spellEnd"/>
      <w:r w:rsidRPr="002A31E7">
        <w:rPr>
          <w:szCs w:val="24"/>
        </w:rPr>
        <w:t>.</w:t>
      </w:r>
      <w:proofErr w:type="gramEnd"/>
      <w:r w:rsidRPr="002A31E7">
        <w:rPr>
          <w:szCs w:val="24"/>
        </w:rPr>
        <w:t xml:space="preserve"> “Deep Interactions with MRP: Election Turnout and Voting Patterns </w:t>
      </w:r>
      <w:proofErr w:type="gramStart"/>
      <w:r w:rsidRPr="002A31E7">
        <w:rPr>
          <w:szCs w:val="24"/>
        </w:rPr>
        <w:t>Among</w:t>
      </w:r>
      <w:proofErr w:type="gramEnd"/>
      <w:r w:rsidRPr="002A31E7">
        <w:rPr>
          <w:szCs w:val="24"/>
        </w:rPr>
        <w:t xml:space="preserve"> Small Electoral Subgroups.” </w:t>
      </w:r>
      <w:r w:rsidRPr="002A31E7">
        <w:rPr>
          <w:i/>
          <w:szCs w:val="24"/>
        </w:rPr>
        <w:t>American Journal of Political Science</w:t>
      </w:r>
      <w:r w:rsidRPr="002A31E7">
        <w:rPr>
          <w:szCs w:val="24"/>
        </w:rPr>
        <w:t>, vol. 57, no. 3, July 2013, pp. 762–776.</w:t>
      </w:r>
    </w:p>
    <w:p w14:paraId="6E0B92B0" w14:textId="77777777" w:rsidR="008B7686" w:rsidRPr="002A31E7" w:rsidRDefault="008B7686" w:rsidP="008B7686">
      <w:pPr>
        <w:pStyle w:val="References"/>
        <w:rPr>
          <w:szCs w:val="24"/>
        </w:rPr>
      </w:pPr>
      <w:proofErr w:type="gramStart"/>
      <w:r w:rsidRPr="002A31E7">
        <w:rPr>
          <w:szCs w:val="24"/>
        </w:rPr>
        <w:t xml:space="preserve">Jacobsen, Rebecca, Jeffrey Snyder, and Andrew </w:t>
      </w:r>
      <w:proofErr w:type="spellStart"/>
      <w:r w:rsidRPr="002A31E7">
        <w:rPr>
          <w:szCs w:val="24"/>
        </w:rPr>
        <w:t>Saultz</w:t>
      </w:r>
      <w:proofErr w:type="spellEnd"/>
      <w:r w:rsidRPr="002A31E7">
        <w:rPr>
          <w:szCs w:val="24"/>
        </w:rPr>
        <w:t>.</w:t>
      </w:r>
      <w:proofErr w:type="gramEnd"/>
      <w:r w:rsidRPr="002A31E7">
        <w:rPr>
          <w:szCs w:val="24"/>
        </w:rPr>
        <w:t xml:space="preserve"> </w:t>
      </w:r>
      <w:proofErr w:type="gramStart"/>
      <w:r w:rsidRPr="002A31E7">
        <w:rPr>
          <w:szCs w:val="24"/>
        </w:rPr>
        <w:t>“Information or Shaping Public Opinion?</w:t>
      </w:r>
      <w:proofErr w:type="gramEnd"/>
      <w:r w:rsidRPr="002A31E7">
        <w:rPr>
          <w:szCs w:val="24"/>
        </w:rPr>
        <w:t xml:space="preserve"> </w:t>
      </w:r>
      <w:proofErr w:type="gramStart"/>
      <w:r w:rsidRPr="002A31E7">
        <w:rPr>
          <w:szCs w:val="24"/>
        </w:rPr>
        <w:t>The Influence of School Accountability Data Format on Public Perceptions of School Quality.”</w:t>
      </w:r>
      <w:proofErr w:type="gramEnd"/>
      <w:r w:rsidRPr="002A31E7">
        <w:rPr>
          <w:szCs w:val="24"/>
        </w:rPr>
        <w:t xml:space="preserve"> </w:t>
      </w:r>
      <w:r w:rsidRPr="002A31E7">
        <w:rPr>
          <w:i/>
          <w:szCs w:val="24"/>
        </w:rPr>
        <w:t>American Journal of Education</w:t>
      </w:r>
      <w:r w:rsidRPr="002A31E7">
        <w:rPr>
          <w:szCs w:val="24"/>
        </w:rPr>
        <w:t>, vol. 121, no. 1, November 2014, pp. 1–27.</w:t>
      </w:r>
    </w:p>
    <w:p w14:paraId="3E101AB5" w14:textId="77777777" w:rsidR="001F742C" w:rsidRDefault="001F742C" w:rsidP="001F742C">
      <w:pPr>
        <w:pStyle w:val="References"/>
        <w:rPr>
          <w:szCs w:val="24"/>
        </w:rPr>
      </w:pPr>
      <w:proofErr w:type="spellStart"/>
      <w:proofErr w:type="gramStart"/>
      <w:r w:rsidRPr="00307868">
        <w:rPr>
          <w:szCs w:val="24"/>
        </w:rPr>
        <w:t>Mullinix</w:t>
      </w:r>
      <w:proofErr w:type="spellEnd"/>
      <w:r w:rsidRPr="00307868">
        <w:rPr>
          <w:szCs w:val="24"/>
        </w:rPr>
        <w:t xml:space="preserve">, K. J., </w:t>
      </w:r>
      <w:proofErr w:type="spellStart"/>
      <w:r w:rsidRPr="00307868">
        <w:rPr>
          <w:szCs w:val="24"/>
        </w:rPr>
        <w:t>Leeper</w:t>
      </w:r>
      <w:proofErr w:type="spellEnd"/>
      <w:r w:rsidRPr="00307868">
        <w:rPr>
          <w:szCs w:val="24"/>
        </w:rPr>
        <w:t xml:space="preserve">, T. J., </w:t>
      </w:r>
      <w:proofErr w:type="spellStart"/>
      <w:r w:rsidRPr="00307868">
        <w:rPr>
          <w:szCs w:val="24"/>
        </w:rPr>
        <w:t>Druckman</w:t>
      </w:r>
      <w:proofErr w:type="spellEnd"/>
      <w:r w:rsidRPr="00307868">
        <w:rPr>
          <w:szCs w:val="24"/>
        </w:rPr>
        <w:t xml:space="preserve">, J. N., &amp; </w:t>
      </w:r>
      <w:proofErr w:type="spellStart"/>
      <w:r w:rsidRPr="00307868">
        <w:rPr>
          <w:szCs w:val="24"/>
        </w:rPr>
        <w:t>Freese</w:t>
      </w:r>
      <w:proofErr w:type="spellEnd"/>
      <w:r w:rsidRPr="00307868">
        <w:rPr>
          <w:szCs w:val="24"/>
        </w:rPr>
        <w:t xml:space="preserve">, J. </w:t>
      </w:r>
      <w:r>
        <w:rPr>
          <w:szCs w:val="24"/>
        </w:rPr>
        <w:t>“</w:t>
      </w:r>
      <w:r w:rsidRPr="00307868">
        <w:rPr>
          <w:szCs w:val="24"/>
        </w:rPr>
        <w:t>The generalizability of survey experiments.</w:t>
      </w:r>
      <w:r>
        <w:rPr>
          <w:szCs w:val="24"/>
        </w:rPr>
        <w:t>”</w:t>
      </w:r>
      <w:proofErr w:type="gramEnd"/>
      <w:r w:rsidRPr="00307868">
        <w:rPr>
          <w:szCs w:val="24"/>
        </w:rPr>
        <w:t xml:space="preserve"> </w:t>
      </w:r>
      <w:r w:rsidRPr="00307868">
        <w:rPr>
          <w:i/>
          <w:szCs w:val="24"/>
        </w:rPr>
        <w:t>Journal of Experimental Political Science,</w:t>
      </w:r>
      <w:r w:rsidRPr="00307868">
        <w:rPr>
          <w:szCs w:val="24"/>
        </w:rPr>
        <w:t xml:space="preserve"> </w:t>
      </w:r>
      <w:r>
        <w:rPr>
          <w:szCs w:val="24"/>
        </w:rPr>
        <w:t xml:space="preserve">vol. 2, no. </w:t>
      </w:r>
      <w:r w:rsidRPr="00307868">
        <w:rPr>
          <w:szCs w:val="24"/>
        </w:rPr>
        <w:t xml:space="preserve">2, </w:t>
      </w:r>
      <w:r>
        <w:rPr>
          <w:szCs w:val="24"/>
        </w:rPr>
        <w:t xml:space="preserve">2015, pp. </w:t>
      </w:r>
      <w:r w:rsidRPr="00307868">
        <w:rPr>
          <w:szCs w:val="24"/>
        </w:rPr>
        <w:t>109–138.</w:t>
      </w:r>
    </w:p>
    <w:p w14:paraId="4D0749EC" w14:textId="77777777" w:rsidR="008B7686" w:rsidRPr="002A31E7" w:rsidRDefault="008B7686" w:rsidP="008B7686">
      <w:pPr>
        <w:pStyle w:val="References"/>
        <w:rPr>
          <w:szCs w:val="24"/>
        </w:rPr>
      </w:pPr>
      <w:proofErr w:type="gramStart"/>
      <w:r w:rsidRPr="002A31E7">
        <w:rPr>
          <w:szCs w:val="24"/>
        </w:rPr>
        <w:t>Zurovac, Jelena, and Randy Brown.</w:t>
      </w:r>
      <w:proofErr w:type="gramEnd"/>
      <w:r w:rsidRPr="002A31E7">
        <w:rPr>
          <w:szCs w:val="24"/>
        </w:rPr>
        <w:t xml:space="preserve"> “Orthogonal Design: A Powerful Method for Comparative Effectiveness Research with Multiple Interventions.” Issue Brief. Princeton, NJ: Mathematica Policy Research, April 2012.</w:t>
      </w:r>
    </w:p>
    <w:p w14:paraId="2BABB070" w14:textId="77777777" w:rsidR="003D5C19" w:rsidRPr="00155D06" w:rsidRDefault="003D5C19" w:rsidP="003D5C19">
      <w:pPr>
        <w:pStyle w:val="NormalSS"/>
      </w:pPr>
    </w:p>
    <w:sectPr w:rsidR="003D5C19" w:rsidRPr="00155D06" w:rsidSect="0038213F">
      <w:headerReference w:type="default" r:id="rId15"/>
      <w:foot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B1320" w14:textId="77777777" w:rsidR="00EF46C2" w:rsidRDefault="00EF46C2" w:rsidP="002E3E35">
      <w:pPr>
        <w:spacing w:line="240" w:lineRule="auto"/>
      </w:pPr>
      <w:r>
        <w:separator/>
      </w:r>
    </w:p>
  </w:endnote>
  <w:endnote w:type="continuationSeparator" w:id="0">
    <w:p w14:paraId="0CD7D4CF" w14:textId="77777777" w:rsidR="00EF46C2" w:rsidRDefault="00EF46C2" w:rsidP="002E3E35">
      <w:pPr>
        <w:spacing w:line="240" w:lineRule="auto"/>
      </w:pPr>
      <w:r>
        <w:continuationSeparator/>
      </w:r>
    </w:p>
  </w:endnote>
  <w:endnote w:type="continuationNotice" w:id="1">
    <w:p w14:paraId="11ED1807" w14:textId="77777777" w:rsidR="00EF46C2" w:rsidRDefault="00EF46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55ED0" w14:textId="77777777" w:rsidR="009A2F9F" w:rsidRPr="001A5310" w:rsidRDefault="009A2F9F" w:rsidP="00EF46C2">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0E34F"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42CF1F6" w14:textId="77777777" w:rsidR="00294B21" w:rsidRDefault="00294B21" w:rsidP="00455D47">
    <w:pPr>
      <w:pStyle w:val="Footer"/>
      <w:pBdr>
        <w:top w:val="single" w:sz="2" w:space="1" w:color="auto"/>
        <w:bottom w:val="none" w:sz="0" w:space="0" w:color="auto"/>
      </w:pBdr>
      <w:spacing w:line="192" w:lineRule="auto"/>
      <w:rPr>
        <w:rStyle w:val="PageNumber"/>
      </w:rPr>
    </w:pPr>
  </w:p>
  <w:bookmarkStart w:id="2" w:name="Draft"/>
  <w:bookmarkEnd w:id="2"/>
  <w:p w14:paraId="7B4B6746" w14:textId="77777777" w:rsidR="00294B21" w:rsidRPr="00964AB7" w:rsidRDefault="00294B21" w:rsidP="0038213F">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D04EE">
      <w:rPr>
        <w:rStyle w:val="PageNumber"/>
        <w:noProof/>
      </w:rPr>
      <w:t>ii</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E51B5" w14:textId="77777777" w:rsidR="00042527" w:rsidRPr="00A12B64" w:rsidRDefault="0004252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518ADB" w14:textId="77777777" w:rsidR="00042527" w:rsidRDefault="00042527" w:rsidP="00455D47">
    <w:pPr>
      <w:pStyle w:val="Footer"/>
      <w:pBdr>
        <w:top w:val="single" w:sz="2" w:space="1" w:color="auto"/>
        <w:bottom w:val="none" w:sz="0" w:space="0" w:color="auto"/>
      </w:pBdr>
      <w:spacing w:line="192" w:lineRule="auto"/>
      <w:rPr>
        <w:rStyle w:val="PageNumber"/>
      </w:rPr>
    </w:pPr>
  </w:p>
  <w:p w14:paraId="7648E85E" w14:textId="77777777" w:rsidR="00042527" w:rsidRPr="00964AB7" w:rsidRDefault="00042527" w:rsidP="0038213F">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92D61">
      <w:rPr>
        <w:rStyle w:val="PageNumber"/>
        <w:noProof/>
      </w:rPr>
      <w:t>vii</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7ECC4" w14:textId="77777777" w:rsidR="0038213F" w:rsidRPr="00843124" w:rsidRDefault="0038213F" w:rsidP="00EF46C2">
    <w:pPr>
      <w:pStyle w:val="Footer"/>
      <w:pBdr>
        <w:bottom w:val="single" w:sz="4" w:space="1" w:color="000000" w:themeColor="text1"/>
      </w:pBdr>
      <w:tabs>
        <w:tab w:val="clear" w:pos="4320"/>
        <w:tab w:val="clear" w:pos="9360"/>
      </w:tabs>
      <w:rPr>
        <w:rFonts w:cs="Arial"/>
        <w:snapToGrid w:val="0"/>
      </w:rPr>
    </w:pPr>
  </w:p>
  <w:p w14:paraId="64531D5A" w14:textId="77777777" w:rsidR="009A2F9F" w:rsidRPr="009A2F9F" w:rsidRDefault="0038213F" w:rsidP="0038213F">
    <w:pPr>
      <w:pStyle w:val="Footer"/>
      <w:pBdr>
        <w:bottom w:val="none" w:sz="0" w:space="0" w:color="auto"/>
      </w:pBdr>
      <w:tabs>
        <w:tab w:val="clear" w:pos="9360"/>
      </w:tabs>
      <w:jc w:val="center"/>
      <w:rPr>
        <w:rStyle w:val="PageNumber"/>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A92D61">
      <w:rPr>
        <w:rStyle w:val="PageNumber"/>
        <w:rFonts w:cs="Arial"/>
        <w:noProof/>
      </w:rPr>
      <w:t>4</w:t>
    </w:r>
    <w:r w:rsidRPr="00843124">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7BB79" w14:textId="77777777" w:rsidR="00EF46C2" w:rsidRDefault="00EF46C2" w:rsidP="00203E3B">
      <w:pPr>
        <w:spacing w:line="240" w:lineRule="auto"/>
        <w:ind w:firstLine="0"/>
      </w:pPr>
      <w:r>
        <w:separator/>
      </w:r>
    </w:p>
  </w:footnote>
  <w:footnote w:type="continuationSeparator" w:id="0">
    <w:p w14:paraId="20E8ED99" w14:textId="77777777" w:rsidR="00EF46C2" w:rsidRDefault="00EF46C2" w:rsidP="00203E3B">
      <w:pPr>
        <w:spacing w:line="240" w:lineRule="auto"/>
        <w:ind w:firstLine="0"/>
      </w:pPr>
      <w:r>
        <w:separator/>
      </w:r>
    </w:p>
    <w:p w14:paraId="22EFDC9A" w14:textId="77777777" w:rsidR="00EF46C2" w:rsidRPr="00157CA2" w:rsidRDefault="00EF46C2"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7168653F" w14:textId="77777777" w:rsidR="00EF46C2" w:rsidRDefault="00EF46C2">
      <w:pPr>
        <w:spacing w:line="240" w:lineRule="auto"/>
      </w:pPr>
    </w:p>
  </w:footnote>
  <w:footnote w:id="2">
    <w:p w14:paraId="40307027" w14:textId="77777777" w:rsidR="00042527" w:rsidRDefault="00042527" w:rsidP="00042527">
      <w:pPr>
        <w:pStyle w:val="FootnoteText"/>
      </w:pPr>
      <w:r>
        <w:rPr>
          <w:rStyle w:val="FootnoteReference"/>
        </w:rPr>
        <w:footnoteRef/>
      </w:r>
      <w:r>
        <w:t xml:space="preserve"> ED is also interested in the effects of providing better information on actual school choices and student outcomes.  The Department will consider a field trial of strategies to disseminate school choice information after the current study has narrowed down the way information is best presented.</w:t>
      </w:r>
    </w:p>
  </w:footnote>
  <w:footnote w:id="3">
    <w:p w14:paraId="05AE29E8" w14:textId="77777777" w:rsidR="003D5C19" w:rsidRDefault="003D5C19" w:rsidP="00116CD9">
      <w:pPr>
        <w:pStyle w:val="FootnoteText"/>
      </w:pPr>
      <w:r>
        <w:rPr>
          <w:rStyle w:val="FootnoteReference"/>
        </w:rPr>
        <w:footnoteRef/>
      </w:r>
      <w:r>
        <w:t xml:space="preserve"> The study was powered to detect effects as small as 0.25 standard deviations. This threshold is based on past research show</w:t>
      </w:r>
      <w:r w:rsidR="005C4D26">
        <w:t>i</w:t>
      </w:r>
      <w:r>
        <w:t>n</w:t>
      </w:r>
      <w:r w:rsidR="005C4D26">
        <w:t>g</w:t>
      </w:r>
      <w:r>
        <w:t xml:space="preserve"> that varying the style and format of school performance information can produce effects on parent survey outcomes that are of this size or greater (Jacobsen et al.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E6C55" w14:textId="77777777" w:rsidR="00901D76" w:rsidRDefault="00901D76" w:rsidP="00901D76">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BBD2" w14:textId="77777777" w:rsidR="00294B21" w:rsidRPr="00C44B5B" w:rsidRDefault="000746C0" w:rsidP="00901D76">
    <w:pPr>
      <w:pStyle w:val="Header"/>
      <w:pBdr>
        <w:bottom w:val="single" w:sz="4" w:space="1" w:color="D0002D"/>
      </w:pBdr>
      <w:rPr>
        <w:rFonts w:cs="Arial"/>
        <w:i/>
        <w:szCs w:val="14"/>
      </w:rPr>
    </w:pPr>
    <w:r>
      <w:t xml:space="preserve">PCI </w:t>
    </w:r>
    <w:r w:rsidR="0083251B">
      <w:t>omb: SUPPORTING statement pART A</w:t>
    </w:r>
    <w:r w:rsidR="00294B21"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B63E2" w14:textId="39DB9630" w:rsidR="00042527" w:rsidRPr="00C44B5B" w:rsidRDefault="00042527" w:rsidP="00901D76">
    <w:pPr>
      <w:pStyle w:val="Header"/>
      <w:pBdr>
        <w:bottom w:val="single" w:sz="4" w:space="1" w:color="D0002D"/>
      </w:pBdr>
      <w:rPr>
        <w:rFonts w:cs="Arial"/>
        <w:i/>
        <w:szCs w:val="14"/>
      </w:rPr>
    </w:pPr>
    <w:r>
      <w:t xml:space="preserve">PCI omb: SUPPORTING statement pART </w:t>
    </w:r>
    <w:r w:rsidR="00880332">
      <w:t>B</w:t>
    </w:r>
    <w:r w:rsidRPr="006F6DD5">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F48B1" w14:textId="381D8335" w:rsidR="00901D76" w:rsidRPr="00901D76" w:rsidRDefault="000746C0" w:rsidP="00901D76">
    <w:pPr>
      <w:pStyle w:val="Header"/>
      <w:pBdr>
        <w:bottom w:val="single" w:sz="4" w:space="1" w:color="D0002D"/>
      </w:pBdr>
      <w:rPr>
        <w:i/>
      </w:rPr>
    </w:pPr>
    <w:r>
      <w:t xml:space="preserve">PCI </w:t>
    </w:r>
    <w:r w:rsidR="00901D76" w:rsidRPr="00901D76">
      <w:t xml:space="preserve">omb: SUPPORTING statement pART </w:t>
    </w:r>
    <w:r w:rsidR="00A4675E">
      <w:t>B</w:t>
    </w:r>
    <w:r w:rsidR="00901D76" w:rsidRPr="00901D76">
      <w:tab/>
      <w:t>MATHEMATICA POLICY RESEARCH</w:t>
    </w:r>
  </w:p>
  <w:p w14:paraId="059473D7" w14:textId="77777777" w:rsidR="009A2F9F" w:rsidRPr="009A2F9F" w:rsidRDefault="009A2F9F" w:rsidP="009A2F9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617A6"/>
    <w:multiLevelType w:val="hybridMultilevel"/>
    <w:tmpl w:val="3B70844A"/>
    <w:lvl w:ilvl="0" w:tplc="D50A8B1C">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B855DE"/>
    <w:multiLevelType w:val="hybridMultilevel"/>
    <w:tmpl w:val="46BCFCB4"/>
    <w:lvl w:ilvl="0" w:tplc="B23404BE">
      <w:start w:val="1"/>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370C1421"/>
    <w:multiLevelType w:val="hybridMultilevel"/>
    <w:tmpl w:val="D7BA9EF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6"/>
  </w:num>
  <w:num w:numId="3">
    <w:abstractNumId w:val="25"/>
  </w:num>
  <w:num w:numId="4">
    <w:abstractNumId w:val="7"/>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0"/>
  </w:num>
  <w:num w:numId="19">
    <w:abstractNumId w:val="17"/>
  </w:num>
  <w:num w:numId="20">
    <w:abstractNumId w:val="5"/>
  </w:num>
  <w:num w:numId="21">
    <w:abstractNumId w:val="18"/>
  </w:num>
  <w:num w:numId="22">
    <w:abstractNumId w:val="2"/>
  </w:num>
  <w:num w:numId="23">
    <w:abstractNumId w:val="13"/>
  </w:num>
  <w:num w:numId="24">
    <w:abstractNumId w:val="22"/>
  </w:num>
  <w:num w:numId="25">
    <w:abstractNumId w:val="6"/>
  </w:num>
  <w:num w:numId="26">
    <w:abstractNumId w:val="1"/>
  </w:num>
  <w:num w:numId="27">
    <w:abstractNumId w:val="8"/>
  </w:num>
  <w:num w:numId="28">
    <w:abstractNumId w:val="14"/>
  </w:num>
  <w:num w:numId="29">
    <w:abstractNumId w:val="21"/>
  </w:num>
  <w:num w:numId="30">
    <w:abstractNumId w:val="19"/>
  </w:num>
  <w:num w:numId="31">
    <w:abstractNumId w:val="3"/>
  </w:num>
  <w:num w:numId="32">
    <w:abstractNumId w:val="15"/>
    <w:lvlOverride w:ilvl="0">
      <w:startOverride w:val="1"/>
    </w:lvlOverride>
  </w:num>
  <w:num w:numId="33">
    <w:abstractNumId w:val="9"/>
  </w:num>
  <w:num w:numId="34">
    <w:abstractNumId w:val="12"/>
  </w:num>
  <w:num w:numId="35">
    <w:abstractNumId w:val="11"/>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451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64"/>
    <w:rsid w:val="000030B1"/>
    <w:rsid w:val="00010CEE"/>
    <w:rsid w:val="0001587F"/>
    <w:rsid w:val="00016D34"/>
    <w:rsid w:val="000212FC"/>
    <w:rsid w:val="00022A0A"/>
    <w:rsid w:val="0002322B"/>
    <w:rsid w:val="0002754E"/>
    <w:rsid w:val="0003265D"/>
    <w:rsid w:val="00032E4E"/>
    <w:rsid w:val="00032E51"/>
    <w:rsid w:val="00034667"/>
    <w:rsid w:val="00036E7F"/>
    <w:rsid w:val="00040B2C"/>
    <w:rsid w:val="000423BE"/>
    <w:rsid w:val="00042419"/>
    <w:rsid w:val="00042527"/>
    <w:rsid w:val="00042FA8"/>
    <w:rsid w:val="00043329"/>
    <w:rsid w:val="00043B27"/>
    <w:rsid w:val="00044069"/>
    <w:rsid w:val="000441D5"/>
    <w:rsid w:val="00047BDD"/>
    <w:rsid w:val="00055A05"/>
    <w:rsid w:val="00056BC1"/>
    <w:rsid w:val="000575D5"/>
    <w:rsid w:val="00057685"/>
    <w:rsid w:val="000578BB"/>
    <w:rsid w:val="00060579"/>
    <w:rsid w:val="000633AA"/>
    <w:rsid w:val="0007041A"/>
    <w:rsid w:val="000719FF"/>
    <w:rsid w:val="000746C0"/>
    <w:rsid w:val="000777DB"/>
    <w:rsid w:val="0008202F"/>
    <w:rsid w:val="000855BD"/>
    <w:rsid w:val="00086066"/>
    <w:rsid w:val="00086B87"/>
    <w:rsid w:val="0009143A"/>
    <w:rsid w:val="00095543"/>
    <w:rsid w:val="000972E1"/>
    <w:rsid w:val="000A2181"/>
    <w:rsid w:val="000A2330"/>
    <w:rsid w:val="000A5A8D"/>
    <w:rsid w:val="000A6591"/>
    <w:rsid w:val="000A66ED"/>
    <w:rsid w:val="000A7604"/>
    <w:rsid w:val="000A7FB4"/>
    <w:rsid w:val="000B521D"/>
    <w:rsid w:val="000B555A"/>
    <w:rsid w:val="000B764C"/>
    <w:rsid w:val="000C2E3B"/>
    <w:rsid w:val="000C413E"/>
    <w:rsid w:val="000C7D4D"/>
    <w:rsid w:val="000D04EE"/>
    <w:rsid w:val="000D31F0"/>
    <w:rsid w:val="000D5B34"/>
    <w:rsid w:val="000D6D88"/>
    <w:rsid w:val="000D71BC"/>
    <w:rsid w:val="000D751A"/>
    <w:rsid w:val="000E0694"/>
    <w:rsid w:val="000E1C2B"/>
    <w:rsid w:val="000E2169"/>
    <w:rsid w:val="000E4C3F"/>
    <w:rsid w:val="000E6183"/>
    <w:rsid w:val="000F08CB"/>
    <w:rsid w:val="000F677B"/>
    <w:rsid w:val="001004A7"/>
    <w:rsid w:val="00102B64"/>
    <w:rsid w:val="001119F8"/>
    <w:rsid w:val="00112A5E"/>
    <w:rsid w:val="00113CC8"/>
    <w:rsid w:val="00116CD9"/>
    <w:rsid w:val="00122C2C"/>
    <w:rsid w:val="00130C03"/>
    <w:rsid w:val="001311F7"/>
    <w:rsid w:val="0013184F"/>
    <w:rsid w:val="00131D22"/>
    <w:rsid w:val="00131F00"/>
    <w:rsid w:val="0013346F"/>
    <w:rsid w:val="00135EB7"/>
    <w:rsid w:val="0013709C"/>
    <w:rsid w:val="00146B76"/>
    <w:rsid w:val="00146CE3"/>
    <w:rsid w:val="00147515"/>
    <w:rsid w:val="00147A74"/>
    <w:rsid w:val="0015013F"/>
    <w:rsid w:val="00153BF0"/>
    <w:rsid w:val="00154DF1"/>
    <w:rsid w:val="00155D06"/>
    <w:rsid w:val="00157CA2"/>
    <w:rsid w:val="001649D5"/>
    <w:rsid w:val="00164BC2"/>
    <w:rsid w:val="00170357"/>
    <w:rsid w:val="00170AB8"/>
    <w:rsid w:val="00172AA0"/>
    <w:rsid w:val="001739F1"/>
    <w:rsid w:val="00174A64"/>
    <w:rsid w:val="00181AC8"/>
    <w:rsid w:val="00184421"/>
    <w:rsid w:val="00184485"/>
    <w:rsid w:val="00185CEF"/>
    <w:rsid w:val="00191D36"/>
    <w:rsid w:val="001921A4"/>
    <w:rsid w:val="00194A0E"/>
    <w:rsid w:val="00195208"/>
    <w:rsid w:val="001969F1"/>
    <w:rsid w:val="00196E5A"/>
    <w:rsid w:val="00197503"/>
    <w:rsid w:val="001A035B"/>
    <w:rsid w:val="001A3781"/>
    <w:rsid w:val="001A59A6"/>
    <w:rsid w:val="001A5CFE"/>
    <w:rsid w:val="001B08AC"/>
    <w:rsid w:val="001B107D"/>
    <w:rsid w:val="001B1BCB"/>
    <w:rsid w:val="001B4842"/>
    <w:rsid w:val="001C5EB8"/>
    <w:rsid w:val="001C7FBE"/>
    <w:rsid w:val="001D3544"/>
    <w:rsid w:val="001D39AA"/>
    <w:rsid w:val="001D39EC"/>
    <w:rsid w:val="001D418D"/>
    <w:rsid w:val="001D661F"/>
    <w:rsid w:val="001D7B65"/>
    <w:rsid w:val="001E296A"/>
    <w:rsid w:val="001E6A60"/>
    <w:rsid w:val="001E6E5A"/>
    <w:rsid w:val="001F41EF"/>
    <w:rsid w:val="001F742C"/>
    <w:rsid w:val="00201E7E"/>
    <w:rsid w:val="00203E3B"/>
    <w:rsid w:val="00204AB9"/>
    <w:rsid w:val="00204B23"/>
    <w:rsid w:val="002050B7"/>
    <w:rsid w:val="00207BCC"/>
    <w:rsid w:val="00211C08"/>
    <w:rsid w:val="00213DA1"/>
    <w:rsid w:val="00214E0B"/>
    <w:rsid w:val="00215C5A"/>
    <w:rsid w:val="00215E13"/>
    <w:rsid w:val="00215E4D"/>
    <w:rsid w:val="002166BC"/>
    <w:rsid w:val="00217FA0"/>
    <w:rsid w:val="00225954"/>
    <w:rsid w:val="0022714B"/>
    <w:rsid w:val="002272CB"/>
    <w:rsid w:val="002313E1"/>
    <w:rsid w:val="00231607"/>
    <w:rsid w:val="0023638D"/>
    <w:rsid w:val="00246163"/>
    <w:rsid w:val="00247945"/>
    <w:rsid w:val="00252EC6"/>
    <w:rsid w:val="00254C89"/>
    <w:rsid w:val="00254E2D"/>
    <w:rsid w:val="00255CD0"/>
    <w:rsid w:val="00256D04"/>
    <w:rsid w:val="00257AB8"/>
    <w:rsid w:val="0026025C"/>
    <w:rsid w:val="00260813"/>
    <w:rsid w:val="00261987"/>
    <w:rsid w:val="00261E14"/>
    <w:rsid w:val="00262BE4"/>
    <w:rsid w:val="0026713B"/>
    <w:rsid w:val="00271C83"/>
    <w:rsid w:val="0027245E"/>
    <w:rsid w:val="00272B66"/>
    <w:rsid w:val="002733A4"/>
    <w:rsid w:val="002817A6"/>
    <w:rsid w:val="00283304"/>
    <w:rsid w:val="0028360E"/>
    <w:rsid w:val="002869EF"/>
    <w:rsid w:val="002872C5"/>
    <w:rsid w:val="0029011D"/>
    <w:rsid w:val="0029042C"/>
    <w:rsid w:val="00292A7F"/>
    <w:rsid w:val="00294B21"/>
    <w:rsid w:val="00297266"/>
    <w:rsid w:val="002A00E4"/>
    <w:rsid w:val="002A2808"/>
    <w:rsid w:val="002A39FC"/>
    <w:rsid w:val="002A3D5D"/>
    <w:rsid w:val="002A4F27"/>
    <w:rsid w:val="002A64F9"/>
    <w:rsid w:val="002A6552"/>
    <w:rsid w:val="002B0D4E"/>
    <w:rsid w:val="002B0E82"/>
    <w:rsid w:val="002B25CD"/>
    <w:rsid w:val="002B71CD"/>
    <w:rsid w:val="002B72E0"/>
    <w:rsid w:val="002B76AB"/>
    <w:rsid w:val="002B7C37"/>
    <w:rsid w:val="002C1507"/>
    <w:rsid w:val="002C3CA5"/>
    <w:rsid w:val="002C40A9"/>
    <w:rsid w:val="002C598D"/>
    <w:rsid w:val="002C6780"/>
    <w:rsid w:val="002C71CA"/>
    <w:rsid w:val="002D1FDD"/>
    <w:rsid w:val="002D262A"/>
    <w:rsid w:val="002D6763"/>
    <w:rsid w:val="002D7B94"/>
    <w:rsid w:val="002E06F1"/>
    <w:rsid w:val="002E226E"/>
    <w:rsid w:val="002E3E35"/>
    <w:rsid w:val="002F297B"/>
    <w:rsid w:val="002F6E35"/>
    <w:rsid w:val="0030242C"/>
    <w:rsid w:val="00302890"/>
    <w:rsid w:val="00303535"/>
    <w:rsid w:val="003043BD"/>
    <w:rsid w:val="00306F1E"/>
    <w:rsid w:val="00310CBE"/>
    <w:rsid w:val="00315DEC"/>
    <w:rsid w:val="0031740A"/>
    <w:rsid w:val="00317FDB"/>
    <w:rsid w:val="003250D8"/>
    <w:rsid w:val="00325FF2"/>
    <w:rsid w:val="00326958"/>
    <w:rsid w:val="00327764"/>
    <w:rsid w:val="0033012A"/>
    <w:rsid w:val="003308C3"/>
    <w:rsid w:val="00331ADC"/>
    <w:rsid w:val="00341682"/>
    <w:rsid w:val="003426BF"/>
    <w:rsid w:val="00345556"/>
    <w:rsid w:val="00346E5F"/>
    <w:rsid w:val="00353F04"/>
    <w:rsid w:val="0035526C"/>
    <w:rsid w:val="00357B5C"/>
    <w:rsid w:val="00363410"/>
    <w:rsid w:val="00363A19"/>
    <w:rsid w:val="003656C4"/>
    <w:rsid w:val="00366F93"/>
    <w:rsid w:val="00370490"/>
    <w:rsid w:val="00370BC5"/>
    <w:rsid w:val="00370D5B"/>
    <w:rsid w:val="00371233"/>
    <w:rsid w:val="003743AD"/>
    <w:rsid w:val="0038213F"/>
    <w:rsid w:val="00384A00"/>
    <w:rsid w:val="00384E5E"/>
    <w:rsid w:val="00387C3D"/>
    <w:rsid w:val="003921CA"/>
    <w:rsid w:val="00392614"/>
    <w:rsid w:val="00394544"/>
    <w:rsid w:val="00394DAA"/>
    <w:rsid w:val="00396848"/>
    <w:rsid w:val="003969F2"/>
    <w:rsid w:val="00396FD7"/>
    <w:rsid w:val="003A0C7A"/>
    <w:rsid w:val="003A16DA"/>
    <w:rsid w:val="003A3ADA"/>
    <w:rsid w:val="003A501E"/>
    <w:rsid w:val="003A63C1"/>
    <w:rsid w:val="003A6A87"/>
    <w:rsid w:val="003B20A3"/>
    <w:rsid w:val="003C0E7C"/>
    <w:rsid w:val="003C0F06"/>
    <w:rsid w:val="003C1424"/>
    <w:rsid w:val="003C3464"/>
    <w:rsid w:val="003C38EC"/>
    <w:rsid w:val="003C3D79"/>
    <w:rsid w:val="003D5C19"/>
    <w:rsid w:val="003D5C9B"/>
    <w:rsid w:val="003E1520"/>
    <w:rsid w:val="003E21DB"/>
    <w:rsid w:val="003E3505"/>
    <w:rsid w:val="003E418E"/>
    <w:rsid w:val="003E651C"/>
    <w:rsid w:val="003E7979"/>
    <w:rsid w:val="003F4ADD"/>
    <w:rsid w:val="003F7027"/>
    <w:rsid w:val="003F7D6D"/>
    <w:rsid w:val="00406760"/>
    <w:rsid w:val="00410557"/>
    <w:rsid w:val="004108AF"/>
    <w:rsid w:val="00413779"/>
    <w:rsid w:val="00420EDC"/>
    <w:rsid w:val="00430A83"/>
    <w:rsid w:val="00431084"/>
    <w:rsid w:val="004323DB"/>
    <w:rsid w:val="00435539"/>
    <w:rsid w:val="00436B58"/>
    <w:rsid w:val="00436BEA"/>
    <w:rsid w:val="00437868"/>
    <w:rsid w:val="004406E3"/>
    <w:rsid w:val="00442586"/>
    <w:rsid w:val="0044335E"/>
    <w:rsid w:val="00446C1B"/>
    <w:rsid w:val="004533DB"/>
    <w:rsid w:val="00455D47"/>
    <w:rsid w:val="00460F2D"/>
    <w:rsid w:val="00461258"/>
    <w:rsid w:val="004616DF"/>
    <w:rsid w:val="004620FF"/>
    <w:rsid w:val="00462212"/>
    <w:rsid w:val="00464B7F"/>
    <w:rsid w:val="004655C1"/>
    <w:rsid w:val="00465789"/>
    <w:rsid w:val="004662C5"/>
    <w:rsid w:val="00467828"/>
    <w:rsid w:val="00480779"/>
    <w:rsid w:val="00480BC5"/>
    <w:rsid w:val="00480DEB"/>
    <w:rsid w:val="004867C2"/>
    <w:rsid w:val="0049195D"/>
    <w:rsid w:val="00491AB9"/>
    <w:rsid w:val="00491F05"/>
    <w:rsid w:val="004934BE"/>
    <w:rsid w:val="00495DE3"/>
    <w:rsid w:val="0049765D"/>
    <w:rsid w:val="004A4935"/>
    <w:rsid w:val="004B47D3"/>
    <w:rsid w:val="004C0263"/>
    <w:rsid w:val="004C0EE2"/>
    <w:rsid w:val="004C2200"/>
    <w:rsid w:val="004C498B"/>
    <w:rsid w:val="004C67B1"/>
    <w:rsid w:val="004D187F"/>
    <w:rsid w:val="004D1B1C"/>
    <w:rsid w:val="004D1EAA"/>
    <w:rsid w:val="004D2C35"/>
    <w:rsid w:val="004D6B97"/>
    <w:rsid w:val="004E049B"/>
    <w:rsid w:val="004E626D"/>
    <w:rsid w:val="004E69F7"/>
    <w:rsid w:val="004E7409"/>
    <w:rsid w:val="004E74D1"/>
    <w:rsid w:val="004F2BAC"/>
    <w:rsid w:val="004F36C4"/>
    <w:rsid w:val="004F5DF6"/>
    <w:rsid w:val="00500104"/>
    <w:rsid w:val="0050038C"/>
    <w:rsid w:val="00505804"/>
    <w:rsid w:val="00506F79"/>
    <w:rsid w:val="00511D22"/>
    <w:rsid w:val="00516D74"/>
    <w:rsid w:val="00522EF1"/>
    <w:rsid w:val="005257EC"/>
    <w:rsid w:val="00526576"/>
    <w:rsid w:val="00526D08"/>
    <w:rsid w:val="00535221"/>
    <w:rsid w:val="0053540D"/>
    <w:rsid w:val="00536EAB"/>
    <w:rsid w:val="00537E01"/>
    <w:rsid w:val="005400FC"/>
    <w:rsid w:val="00540352"/>
    <w:rsid w:val="005403E8"/>
    <w:rsid w:val="0054109F"/>
    <w:rsid w:val="0054126D"/>
    <w:rsid w:val="0055079D"/>
    <w:rsid w:val="00551D48"/>
    <w:rsid w:val="00551D5B"/>
    <w:rsid w:val="005547CA"/>
    <w:rsid w:val="00555F68"/>
    <w:rsid w:val="005576F8"/>
    <w:rsid w:val="00560D9D"/>
    <w:rsid w:val="00561604"/>
    <w:rsid w:val="00565EF5"/>
    <w:rsid w:val="005720EB"/>
    <w:rsid w:val="00580A6C"/>
    <w:rsid w:val="00581E30"/>
    <w:rsid w:val="005837E2"/>
    <w:rsid w:val="00585F60"/>
    <w:rsid w:val="005860D2"/>
    <w:rsid w:val="005903AC"/>
    <w:rsid w:val="005975FE"/>
    <w:rsid w:val="005A151B"/>
    <w:rsid w:val="005A7F69"/>
    <w:rsid w:val="005B2E5B"/>
    <w:rsid w:val="005B32A3"/>
    <w:rsid w:val="005B3BFB"/>
    <w:rsid w:val="005C2E96"/>
    <w:rsid w:val="005C3520"/>
    <w:rsid w:val="005C40D5"/>
    <w:rsid w:val="005C40E0"/>
    <w:rsid w:val="005C4D26"/>
    <w:rsid w:val="005D1DEB"/>
    <w:rsid w:val="005D4F74"/>
    <w:rsid w:val="005D51C5"/>
    <w:rsid w:val="005D5D21"/>
    <w:rsid w:val="005E2B24"/>
    <w:rsid w:val="005E4111"/>
    <w:rsid w:val="005E454D"/>
    <w:rsid w:val="005F28ED"/>
    <w:rsid w:val="005F45ED"/>
    <w:rsid w:val="005F4930"/>
    <w:rsid w:val="005F5DC1"/>
    <w:rsid w:val="005F6F8C"/>
    <w:rsid w:val="005F7ADD"/>
    <w:rsid w:val="005F7FEA"/>
    <w:rsid w:val="006075CC"/>
    <w:rsid w:val="00607952"/>
    <w:rsid w:val="00615050"/>
    <w:rsid w:val="00615E49"/>
    <w:rsid w:val="00616DE6"/>
    <w:rsid w:val="00622372"/>
    <w:rsid w:val="00623E13"/>
    <w:rsid w:val="006244E2"/>
    <w:rsid w:val="0062545D"/>
    <w:rsid w:val="00627647"/>
    <w:rsid w:val="00633E77"/>
    <w:rsid w:val="00634D1D"/>
    <w:rsid w:val="0063644E"/>
    <w:rsid w:val="00636D6D"/>
    <w:rsid w:val="006371A1"/>
    <w:rsid w:val="006404FF"/>
    <w:rsid w:val="00654FD4"/>
    <w:rsid w:val="0066062F"/>
    <w:rsid w:val="0066273C"/>
    <w:rsid w:val="00671099"/>
    <w:rsid w:val="0067358F"/>
    <w:rsid w:val="0067395C"/>
    <w:rsid w:val="006761BC"/>
    <w:rsid w:val="00676A56"/>
    <w:rsid w:val="00681E8E"/>
    <w:rsid w:val="0068215C"/>
    <w:rsid w:val="0068230E"/>
    <w:rsid w:val="0069799C"/>
    <w:rsid w:val="00697E5B"/>
    <w:rsid w:val="006A465C"/>
    <w:rsid w:val="006A4FFC"/>
    <w:rsid w:val="006A6D7D"/>
    <w:rsid w:val="006A73F8"/>
    <w:rsid w:val="006B1180"/>
    <w:rsid w:val="006B2425"/>
    <w:rsid w:val="006B2483"/>
    <w:rsid w:val="006B42E4"/>
    <w:rsid w:val="006B470F"/>
    <w:rsid w:val="006B4E3F"/>
    <w:rsid w:val="006B6D4A"/>
    <w:rsid w:val="006C2620"/>
    <w:rsid w:val="006C3304"/>
    <w:rsid w:val="006C7956"/>
    <w:rsid w:val="006D03BB"/>
    <w:rsid w:val="006D21FF"/>
    <w:rsid w:val="006D680C"/>
    <w:rsid w:val="006E3BD4"/>
    <w:rsid w:val="006E4164"/>
    <w:rsid w:val="006E5B0A"/>
    <w:rsid w:val="006E6DDD"/>
    <w:rsid w:val="006F265F"/>
    <w:rsid w:val="006F3FEB"/>
    <w:rsid w:val="006F4AFC"/>
    <w:rsid w:val="006F730C"/>
    <w:rsid w:val="006F73F3"/>
    <w:rsid w:val="00700DDD"/>
    <w:rsid w:val="00702EB1"/>
    <w:rsid w:val="00702F11"/>
    <w:rsid w:val="007031B1"/>
    <w:rsid w:val="007043FD"/>
    <w:rsid w:val="00707736"/>
    <w:rsid w:val="00711B96"/>
    <w:rsid w:val="00711C66"/>
    <w:rsid w:val="00716DB7"/>
    <w:rsid w:val="007222A0"/>
    <w:rsid w:val="00722310"/>
    <w:rsid w:val="00726183"/>
    <w:rsid w:val="00735339"/>
    <w:rsid w:val="00736E3F"/>
    <w:rsid w:val="00753BFF"/>
    <w:rsid w:val="0075488B"/>
    <w:rsid w:val="00756044"/>
    <w:rsid w:val="00756E06"/>
    <w:rsid w:val="007614D4"/>
    <w:rsid w:val="00761C9D"/>
    <w:rsid w:val="00761DA6"/>
    <w:rsid w:val="00764A19"/>
    <w:rsid w:val="007700B1"/>
    <w:rsid w:val="00771E5B"/>
    <w:rsid w:val="00780B38"/>
    <w:rsid w:val="00781F52"/>
    <w:rsid w:val="007822ED"/>
    <w:rsid w:val="007825D9"/>
    <w:rsid w:val="007855F6"/>
    <w:rsid w:val="00787CE7"/>
    <w:rsid w:val="00795AC3"/>
    <w:rsid w:val="007963EB"/>
    <w:rsid w:val="007A1493"/>
    <w:rsid w:val="007A1797"/>
    <w:rsid w:val="007A2D95"/>
    <w:rsid w:val="007A2E39"/>
    <w:rsid w:val="007A4FD7"/>
    <w:rsid w:val="007B1192"/>
    <w:rsid w:val="007B1305"/>
    <w:rsid w:val="007B1E87"/>
    <w:rsid w:val="007B7C30"/>
    <w:rsid w:val="007C6B92"/>
    <w:rsid w:val="007C7719"/>
    <w:rsid w:val="007D21C9"/>
    <w:rsid w:val="007D2AD5"/>
    <w:rsid w:val="007D6AE7"/>
    <w:rsid w:val="007D6CFB"/>
    <w:rsid w:val="007E1607"/>
    <w:rsid w:val="007E3F8D"/>
    <w:rsid w:val="007E55CD"/>
    <w:rsid w:val="007E574B"/>
    <w:rsid w:val="007E5750"/>
    <w:rsid w:val="007E6923"/>
    <w:rsid w:val="007E75CE"/>
    <w:rsid w:val="007F4AF7"/>
    <w:rsid w:val="0080264C"/>
    <w:rsid w:val="008059AC"/>
    <w:rsid w:val="008065F4"/>
    <w:rsid w:val="00811638"/>
    <w:rsid w:val="00812370"/>
    <w:rsid w:val="00814AE7"/>
    <w:rsid w:val="00815382"/>
    <w:rsid w:val="00821341"/>
    <w:rsid w:val="00825C30"/>
    <w:rsid w:val="00827481"/>
    <w:rsid w:val="00830296"/>
    <w:rsid w:val="008304C1"/>
    <w:rsid w:val="00831126"/>
    <w:rsid w:val="008321D0"/>
    <w:rsid w:val="0083251B"/>
    <w:rsid w:val="00833B51"/>
    <w:rsid w:val="008403EE"/>
    <w:rsid w:val="008405D8"/>
    <w:rsid w:val="00841251"/>
    <w:rsid w:val="00841793"/>
    <w:rsid w:val="00841C97"/>
    <w:rsid w:val="008432EB"/>
    <w:rsid w:val="008453D2"/>
    <w:rsid w:val="0085028F"/>
    <w:rsid w:val="00850F24"/>
    <w:rsid w:val="0085218E"/>
    <w:rsid w:val="00852D7A"/>
    <w:rsid w:val="00852E15"/>
    <w:rsid w:val="008540D9"/>
    <w:rsid w:val="00854CC7"/>
    <w:rsid w:val="00854FD1"/>
    <w:rsid w:val="00865AD4"/>
    <w:rsid w:val="00865E7D"/>
    <w:rsid w:val="00872A9C"/>
    <w:rsid w:val="00877B02"/>
    <w:rsid w:val="00880332"/>
    <w:rsid w:val="008813AB"/>
    <w:rsid w:val="0088174A"/>
    <w:rsid w:val="00882E5C"/>
    <w:rsid w:val="00886998"/>
    <w:rsid w:val="0089611E"/>
    <w:rsid w:val="00897391"/>
    <w:rsid w:val="008A1353"/>
    <w:rsid w:val="008A180A"/>
    <w:rsid w:val="008A4581"/>
    <w:rsid w:val="008A705A"/>
    <w:rsid w:val="008B07B5"/>
    <w:rsid w:val="008B09D6"/>
    <w:rsid w:val="008B2BAC"/>
    <w:rsid w:val="008B4482"/>
    <w:rsid w:val="008B4E7B"/>
    <w:rsid w:val="008B5ADA"/>
    <w:rsid w:val="008B7686"/>
    <w:rsid w:val="008C0044"/>
    <w:rsid w:val="008C06D8"/>
    <w:rsid w:val="008C16FA"/>
    <w:rsid w:val="008C39E1"/>
    <w:rsid w:val="008C42DA"/>
    <w:rsid w:val="008C5D23"/>
    <w:rsid w:val="008C792F"/>
    <w:rsid w:val="008D19C5"/>
    <w:rsid w:val="008D680C"/>
    <w:rsid w:val="008D6AB9"/>
    <w:rsid w:val="008E0151"/>
    <w:rsid w:val="008E2336"/>
    <w:rsid w:val="008E725C"/>
    <w:rsid w:val="008F16C5"/>
    <w:rsid w:val="008F2984"/>
    <w:rsid w:val="008F5242"/>
    <w:rsid w:val="008F7DA8"/>
    <w:rsid w:val="00900ECE"/>
    <w:rsid w:val="00901CA4"/>
    <w:rsid w:val="00901D76"/>
    <w:rsid w:val="00902D6E"/>
    <w:rsid w:val="009059B9"/>
    <w:rsid w:val="00910B00"/>
    <w:rsid w:val="0091205E"/>
    <w:rsid w:val="0091313F"/>
    <w:rsid w:val="00914549"/>
    <w:rsid w:val="009147A0"/>
    <w:rsid w:val="009157C5"/>
    <w:rsid w:val="00916365"/>
    <w:rsid w:val="0091711A"/>
    <w:rsid w:val="00917F77"/>
    <w:rsid w:val="0092292E"/>
    <w:rsid w:val="0092392F"/>
    <w:rsid w:val="009250ED"/>
    <w:rsid w:val="009259C2"/>
    <w:rsid w:val="00927AA6"/>
    <w:rsid w:val="00931483"/>
    <w:rsid w:val="009315B2"/>
    <w:rsid w:val="0093204A"/>
    <w:rsid w:val="00932372"/>
    <w:rsid w:val="00932E4E"/>
    <w:rsid w:val="00935598"/>
    <w:rsid w:val="00940BA2"/>
    <w:rsid w:val="00944C5E"/>
    <w:rsid w:val="009523D9"/>
    <w:rsid w:val="009555B9"/>
    <w:rsid w:val="0095642D"/>
    <w:rsid w:val="00962492"/>
    <w:rsid w:val="009625E7"/>
    <w:rsid w:val="00964824"/>
    <w:rsid w:val="00964B48"/>
    <w:rsid w:val="00970A65"/>
    <w:rsid w:val="00972C11"/>
    <w:rsid w:val="009747F1"/>
    <w:rsid w:val="009766F4"/>
    <w:rsid w:val="00976BF5"/>
    <w:rsid w:val="00981FE2"/>
    <w:rsid w:val="00982052"/>
    <w:rsid w:val="00982410"/>
    <w:rsid w:val="00995D54"/>
    <w:rsid w:val="0099689D"/>
    <w:rsid w:val="009A2F9F"/>
    <w:rsid w:val="009A5344"/>
    <w:rsid w:val="009A5B76"/>
    <w:rsid w:val="009B0D8F"/>
    <w:rsid w:val="009B11C3"/>
    <w:rsid w:val="009B69E2"/>
    <w:rsid w:val="009B6CDF"/>
    <w:rsid w:val="009B6D8C"/>
    <w:rsid w:val="009B76DA"/>
    <w:rsid w:val="009C003A"/>
    <w:rsid w:val="009C13E5"/>
    <w:rsid w:val="009C17F5"/>
    <w:rsid w:val="009C4062"/>
    <w:rsid w:val="009C40AE"/>
    <w:rsid w:val="009C40C5"/>
    <w:rsid w:val="009C73FF"/>
    <w:rsid w:val="009C76CD"/>
    <w:rsid w:val="009D3777"/>
    <w:rsid w:val="009D523A"/>
    <w:rsid w:val="009D58E7"/>
    <w:rsid w:val="009E2852"/>
    <w:rsid w:val="009E69BF"/>
    <w:rsid w:val="009E6C29"/>
    <w:rsid w:val="009E715C"/>
    <w:rsid w:val="009E756D"/>
    <w:rsid w:val="009E7C89"/>
    <w:rsid w:val="009F11EC"/>
    <w:rsid w:val="009F33C2"/>
    <w:rsid w:val="009F345D"/>
    <w:rsid w:val="009F45A2"/>
    <w:rsid w:val="009F4640"/>
    <w:rsid w:val="009F65FD"/>
    <w:rsid w:val="00A01047"/>
    <w:rsid w:val="00A064A6"/>
    <w:rsid w:val="00A160D9"/>
    <w:rsid w:val="00A219A4"/>
    <w:rsid w:val="00A23043"/>
    <w:rsid w:val="00A25812"/>
    <w:rsid w:val="00A25844"/>
    <w:rsid w:val="00A26E0C"/>
    <w:rsid w:val="00A270F8"/>
    <w:rsid w:val="00A30C7E"/>
    <w:rsid w:val="00A311C2"/>
    <w:rsid w:val="00A343A5"/>
    <w:rsid w:val="00A3672D"/>
    <w:rsid w:val="00A36D0C"/>
    <w:rsid w:val="00A3715B"/>
    <w:rsid w:val="00A40FBE"/>
    <w:rsid w:val="00A4675E"/>
    <w:rsid w:val="00A469D3"/>
    <w:rsid w:val="00A5184A"/>
    <w:rsid w:val="00A60379"/>
    <w:rsid w:val="00A606CF"/>
    <w:rsid w:val="00A60E1D"/>
    <w:rsid w:val="00A64884"/>
    <w:rsid w:val="00A66515"/>
    <w:rsid w:val="00A66A4E"/>
    <w:rsid w:val="00A704E4"/>
    <w:rsid w:val="00A70EF5"/>
    <w:rsid w:val="00A74AFC"/>
    <w:rsid w:val="00A81E86"/>
    <w:rsid w:val="00A8684E"/>
    <w:rsid w:val="00A900BC"/>
    <w:rsid w:val="00A92089"/>
    <w:rsid w:val="00A92D61"/>
    <w:rsid w:val="00A960CD"/>
    <w:rsid w:val="00A96CD2"/>
    <w:rsid w:val="00AA1231"/>
    <w:rsid w:val="00AA174B"/>
    <w:rsid w:val="00AA2F7B"/>
    <w:rsid w:val="00AA795E"/>
    <w:rsid w:val="00AB2EE7"/>
    <w:rsid w:val="00AB496C"/>
    <w:rsid w:val="00AB5A74"/>
    <w:rsid w:val="00AB7AB9"/>
    <w:rsid w:val="00AB7DAD"/>
    <w:rsid w:val="00AC4DB6"/>
    <w:rsid w:val="00AC603E"/>
    <w:rsid w:val="00AD2206"/>
    <w:rsid w:val="00AD24F3"/>
    <w:rsid w:val="00AD2E6C"/>
    <w:rsid w:val="00AE03FA"/>
    <w:rsid w:val="00AE3DBB"/>
    <w:rsid w:val="00AF0545"/>
    <w:rsid w:val="00AF1115"/>
    <w:rsid w:val="00AF4D0C"/>
    <w:rsid w:val="00AF7F3B"/>
    <w:rsid w:val="00B000BE"/>
    <w:rsid w:val="00B00F83"/>
    <w:rsid w:val="00B01117"/>
    <w:rsid w:val="00B01CB5"/>
    <w:rsid w:val="00B023D9"/>
    <w:rsid w:val="00B02C9E"/>
    <w:rsid w:val="00B04DDB"/>
    <w:rsid w:val="00B11994"/>
    <w:rsid w:val="00B11C13"/>
    <w:rsid w:val="00B11F80"/>
    <w:rsid w:val="00B176FD"/>
    <w:rsid w:val="00B236FF"/>
    <w:rsid w:val="00B25ED2"/>
    <w:rsid w:val="00B30F06"/>
    <w:rsid w:val="00B3238E"/>
    <w:rsid w:val="00B331F4"/>
    <w:rsid w:val="00B33BD4"/>
    <w:rsid w:val="00B42423"/>
    <w:rsid w:val="00B45465"/>
    <w:rsid w:val="00B45B86"/>
    <w:rsid w:val="00B50A10"/>
    <w:rsid w:val="00B513BD"/>
    <w:rsid w:val="00B518EB"/>
    <w:rsid w:val="00B57DCF"/>
    <w:rsid w:val="00B6037C"/>
    <w:rsid w:val="00B71E45"/>
    <w:rsid w:val="00B72C2C"/>
    <w:rsid w:val="00B73D4C"/>
    <w:rsid w:val="00B80400"/>
    <w:rsid w:val="00B83B64"/>
    <w:rsid w:val="00B85D98"/>
    <w:rsid w:val="00B8670F"/>
    <w:rsid w:val="00B86797"/>
    <w:rsid w:val="00B86E7E"/>
    <w:rsid w:val="00B9069A"/>
    <w:rsid w:val="00B90E1D"/>
    <w:rsid w:val="00B949A7"/>
    <w:rsid w:val="00B973C9"/>
    <w:rsid w:val="00B97B65"/>
    <w:rsid w:val="00BA0343"/>
    <w:rsid w:val="00BA36B1"/>
    <w:rsid w:val="00BA79D9"/>
    <w:rsid w:val="00BB000E"/>
    <w:rsid w:val="00BB076D"/>
    <w:rsid w:val="00BB4F8E"/>
    <w:rsid w:val="00BB5573"/>
    <w:rsid w:val="00BB5649"/>
    <w:rsid w:val="00BB74AC"/>
    <w:rsid w:val="00BC2562"/>
    <w:rsid w:val="00BC3468"/>
    <w:rsid w:val="00BE1167"/>
    <w:rsid w:val="00BE18A5"/>
    <w:rsid w:val="00BE1BA8"/>
    <w:rsid w:val="00BE266D"/>
    <w:rsid w:val="00BE33C8"/>
    <w:rsid w:val="00BE4D04"/>
    <w:rsid w:val="00BE6183"/>
    <w:rsid w:val="00BE6894"/>
    <w:rsid w:val="00BF1CE7"/>
    <w:rsid w:val="00BF39D4"/>
    <w:rsid w:val="00BF3F82"/>
    <w:rsid w:val="00BF5B09"/>
    <w:rsid w:val="00BF6014"/>
    <w:rsid w:val="00BF7326"/>
    <w:rsid w:val="00C01B00"/>
    <w:rsid w:val="00C03960"/>
    <w:rsid w:val="00C05A15"/>
    <w:rsid w:val="00C05A71"/>
    <w:rsid w:val="00C138B9"/>
    <w:rsid w:val="00C14655"/>
    <w:rsid w:val="00C14871"/>
    <w:rsid w:val="00C15AFC"/>
    <w:rsid w:val="00C22C89"/>
    <w:rsid w:val="00C247F2"/>
    <w:rsid w:val="00C2798C"/>
    <w:rsid w:val="00C30AB3"/>
    <w:rsid w:val="00C32C5E"/>
    <w:rsid w:val="00C37778"/>
    <w:rsid w:val="00C4142C"/>
    <w:rsid w:val="00C42DE3"/>
    <w:rsid w:val="00C44D41"/>
    <w:rsid w:val="00C45A45"/>
    <w:rsid w:val="00C45D90"/>
    <w:rsid w:val="00C46DC5"/>
    <w:rsid w:val="00C47A9D"/>
    <w:rsid w:val="00C50508"/>
    <w:rsid w:val="00C51094"/>
    <w:rsid w:val="00C5111E"/>
    <w:rsid w:val="00C51680"/>
    <w:rsid w:val="00C536C6"/>
    <w:rsid w:val="00C5662D"/>
    <w:rsid w:val="00C622A4"/>
    <w:rsid w:val="00C62485"/>
    <w:rsid w:val="00C6450B"/>
    <w:rsid w:val="00C7488A"/>
    <w:rsid w:val="00C749D7"/>
    <w:rsid w:val="00C77251"/>
    <w:rsid w:val="00C81C15"/>
    <w:rsid w:val="00C81CE4"/>
    <w:rsid w:val="00C83353"/>
    <w:rsid w:val="00C90FA2"/>
    <w:rsid w:val="00C94B60"/>
    <w:rsid w:val="00C95148"/>
    <w:rsid w:val="00C959D3"/>
    <w:rsid w:val="00C971DE"/>
    <w:rsid w:val="00C97FB1"/>
    <w:rsid w:val="00CA1F36"/>
    <w:rsid w:val="00CA1FFC"/>
    <w:rsid w:val="00CA6471"/>
    <w:rsid w:val="00CA73BC"/>
    <w:rsid w:val="00CA7F45"/>
    <w:rsid w:val="00CB1CB6"/>
    <w:rsid w:val="00CB3552"/>
    <w:rsid w:val="00CB4AFD"/>
    <w:rsid w:val="00CB4FF0"/>
    <w:rsid w:val="00CB5665"/>
    <w:rsid w:val="00CB77C1"/>
    <w:rsid w:val="00CC0899"/>
    <w:rsid w:val="00CC1B89"/>
    <w:rsid w:val="00CC2B56"/>
    <w:rsid w:val="00CD0D49"/>
    <w:rsid w:val="00CD148B"/>
    <w:rsid w:val="00CD30C4"/>
    <w:rsid w:val="00CD3139"/>
    <w:rsid w:val="00CE347E"/>
    <w:rsid w:val="00CE55BF"/>
    <w:rsid w:val="00CE614C"/>
    <w:rsid w:val="00CF429F"/>
    <w:rsid w:val="00CF6E72"/>
    <w:rsid w:val="00CF773F"/>
    <w:rsid w:val="00CF7C68"/>
    <w:rsid w:val="00CF7FB4"/>
    <w:rsid w:val="00D04B5A"/>
    <w:rsid w:val="00D05BD4"/>
    <w:rsid w:val="00D06980"/>
    <w:rsid w:val="00D11D69"/>
    <w:rsid w:val="00D13A18"/>
    <w:rsid w:val="00D154AE"/>
    <w:rsid w:val="00D15E8A"/>
    <w:rsid w:val="00D16206"/>
    <w:rsid w:val="00D170E4"/>
    <w:rsid w:val="00D17BAD"/>
    <w:rsid w:val="00D206F1"/>
    <w:rsid w:val="00D26EA5"/>
    <w:rsid w:val="00D270DE"/>
    <w:rsid w:val="00D3011C"/>
    <w:rsid w:val="00D3206B"/>
    <w:rsid w:val="00D32D01"/>
    <w:rsid w:val="00D3411D"/>
    <w:rsid w:val="00D36A2A"/>
    <w:rsid w:val="00D426AD"/>
    <w:rsid w:val="00D44594"/>
    <w:rsid w:val="00D44A26"/>
    <w:rsid w:val="00D46CC5"/>
    <w:rsid w:val="00D4716C"/>
    <w:rsid w:val="00D50DC3"/>
    <w:rsid w:val="00D541E7"/>
    <w:rsid w:val="00D65250"/>
    <w:rsid w:val="00D71B98"/>
    <w:rsid w:val="00D743BD"/>
    <w:rsid w:val="00D849EE"/>
    <w:rsid w:val="00D854D7"/>
    <w:rsid w:val="00D85C86"/>
    <w:rsid w:val="00D864BC"/>
    <w:rsid w:val="00D8659F"/>
    <w:rsid w:val="00D9439C"/>
    <w:rsid w:val="00DA37FA"/>
    <w:rsid w:val="00DA38F6"/>
    <w:rsid w:val="00DA4E74"/>
    <w:rsid w:val="00DA6682"/>
    <w:rsid w:val="00DA7B04"/>
    <w:rsid w:val="00DB0CFD"/>
    <w:rsid w:val="00DB2324"/>
    <w:rsid w:val="00DC02C5"/>
    <w:rsid w:val="00DC0518"/>
    <w:rsid w:val="00DC1F96"/>
    <w:rsid w:val="00DC2044"/>
    <w:rsid w:val="00DC3E1B"/>
    <w:rsid w:val="00DC57DB"/>
    <w:rsid w:val="00DC7251"/>
    <w:rsid w:val="00DD122C"/>
    <w:rsid w:val="00DD2ADB"/>
    <w:rsid w:val="00DE061D"/>
    <w:rsid w:val="00DE222B"/>
    <w:rsid w:val="00DE4BDB"/>
    <w:rsid w:val="00DE4FC5"/>
    <w:rsid w:val="00DE646E"/>
    <w:rsid w:val="00DF3111"/>
    <w:rsid w:val="00DF4330"/>
    <w:rsid w:val="00DF4F75"/>
    <w:rsid w:val="00DF5D88"/>
    <w:rsid w:val="00DF683E"/>
    <w:rsid w:val="00DF7006"/>
    <w:rsid w:val="00E03DB4"/>
    <w:rsid w:val="00E04E47"/>
    <w:rsid w:val="00E07C5B"/>
    <w:rsid w:val="00E12024"/>
    <w:rsid w:val="00E141D5"/>
    <w:rsid w:val="00E14970"/>
    <w:rsid w:val="00E15AD4"/>
    <w:rsid w:val="00E16443"/>
    <w:rsid w:val="00E17003"/>
    <w:rsid w:val="00E202FA"/>
    <w:rsid w:val="00E218CA"/>
    <w:rsid w:val="00E23370"/>
    <w:rsid w:val="00E2458E"/>
    <w:rsid w:val="00E253D5"/>
    <w:rsid w:val="00E25645"/>
    <w:rsid w:val="00E34855"/>
    <w:rsid w:val="00E36282"/>
    <w:rsid w:val="00E4054A"/>
    <w:rsid w:val="00E40675"/>
    <w:rsid w:val="00E4096D"/>
    <w:rsid w:val="00E41FF2"/>
    <w:rsid w:val="00E42570"/>
    <w:rsid w:val="00E4357D"/>
    <w:rsid w:val="00E4482D"/>
    <w:rsid w:val="00E463A9"/>
    <w:rsid w:val="00E50C9B"/>
    <w:rsid w:val="00E55240"/>
    <w:rsid w:val="00E56206"/>
    <w:rsid w:val="00E57389"/>
    <w:rsid w:val="00E57A14"/>
    <w:rsid w:val="00E6116E"/>
    <w:rsid w:val="00E6337E"/>
    <w:rsid w:val="00E64671"/>
    <w:rsid w:val="00E655FB"/>
    <w:rsid w:val="00E65619"/>
    <w:rsid w:val="00E65B35"/>
    <w:rsid w:val="00E67A90"/>
    <w:rsid w:val="00E67AF9"/>
    <w:rsid w:val="00E71EDC"/>
    <w:rsid w:val="00E73EE5"/>
    <w:rsid w:val="00E742E4"/>
    <w:rsid w:val="00E77099"/>
    <w:rsid w:val="00E77EEF"/>
    <w:rsid w:val="00E81DAA"/>
    <w:rsid w:val="00E836C3"/>
    <w:rsid w:val="00E85F06"/>
    <w:rsid w:val="00E860B7"/>
    <w:rsid w:val="00E877DB"/>
    <w:rsid w:val="00E97688"/>
    <w:rsid w:val="00EA2B4D"/>
    <w:rsid w:val="00EA2F43"/>
    <w:rsid w:val="00EA4C33"/>
    <w:rsid w:val="00EA7592"/>
    <w:rsid w:val="00EB175C"/>
    <w:rsid w:val="00EB56A0"/>
    <w:rsid w:val="00EB7A57"/>
    <w:rsid w:val="00EB7B14"/>
    <w:rsid w:val="00EC1999"/>
    <w:rsid w:val="00EC3A04"/>
    <w:rsid w:val="00EC4A25"/>
    <w:rsid w:val="00ED551A"/>
    <w:rsid w:val="00EE11F8"/>
    <w:rsid w:val="00EE3C1D"/>
    <w:rsid w:val="00EF14AC"/>
    <w:rsid w:val="00EF2082"/>
    <w:rsid w:val="00EF46C2"/>
    <w:rsid w:val="00EF6B9D"/>
    <w:rsid w:val="00F0036A"/>
    <w:rsid w:val="00F04524"/>
    <w:rsid w:val="00F0490D"/>
    <w:rsid w:val="00F07599"/>
    <w:rsid w:val="00F1029B"/>
    <w:rsid w:val="00F12333"/>
    <w:rsid w:val="00F14FDC"/>
    <w:rsid w:val="00F21D1B"/>
    <w:rsid w:val="00F220AC"/>
    <w:rsid w:val="00F2315C"/>
    <w:rsid w:val="00F24E6F"/>
    <w:rsid w:val="00F266E4"/>
    <w:rsid w:val="00F318F6"/>
    <w:rsid w:val="00F326A0"/>
    <w:rsid w:val="00F34DEA"/>
    <w:rsid w:val="00F43593"/>
    <w:rsid w:val="00F44272"/>
    <w:rsid w:val="00F47B50"/>
    <w:rsid w:val="00F553C3"/>
    <w:rsid w:val="00F55FAD"/>
    <w:rsid w:val="00F567E2"/>
    <w:rsid w:val="00F6063A"/>
    <w:rsid w:val="00F60738"/>
    <w:rsid w:val="00F61242"/>
    <w:rsid w:val="00F6274E"/>
    <w:rsid w:val="00F635D0"/>
    <w:rsid w:val="00F65610"/>
    <w:rsid w:val="00F70118"/>
    <w:rsid w:val="00F756FE"/>
    <w:rsid w:val="00F770B2"/>
    <w:rsid w:val="00F77EBB"/>
    <w:rsid w:val="00F80A85"/>
    <w:rsid w:val="00F81C42"/>
    <w:rsid w:val="00F85145"/>
    <w:rsid w:val="00F85583"/>
    <w:rsid w:val="00F86291"/>
    <w:rsid w:val="00F878AA"/>
    <w:rsid w:val="00F92064"/>
    <w:rsid w:val="00F9218C"/>
    <w:rsid w:val="00F92CCD"/>
    <w:rsid w:val="00F93029"/>
    <w:rsid w:val="00F93A13"/>
    <w:rsid w:val="00F957AF"/>
    <w:rsid w:val="00FA03B3"/>
    <w:rsid w:val="00FA73CD"/>
    <w:rsid w:val="00FB0194"/>
    <w:rsid w:val="00FB0524"/>
    <w:rsid w:val="00FB6E2B"/>
    <w:rsid w:val="00FC0239"/>
    <w:rsid w:val="00FC50A5"/>
    <w:rsid w:val="00FC6324"/>
    <w:rsid w:val="00FC7922"/>
    <w:rsid w:val="00FC7F31"/>
    <w:rsid w:val="00FD327B"/>
    <w:rsid w:val="00FD70FD"/>
    <w:rsid w:val="00FD7C56"/>
    <w:rsid w:val="00FE1900"/>
    <w:rsid w:val="00FE2FF8"/>
    <w:rsid w:val="00FE3270"/>
    <w:rsid w:val="00FE5257"/>
    <w:rsid w:val="00FE7DA9"/>
    <w:rsid w:val="00FF374D"/>
    <w:rsid w:val="00FF4446"/>
    <w:rsid w:val="00FF446E"/>
    <w:rsid w:val="00FF6E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1B58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28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282"/>
    <w:pPr>
      <w:spacing w:line="240" w:lineRule="auto"/>
    </w:pPr>
    <w:rPr>
      <w:rFonts w:ascii="Tahoma" w:hAnsi="Tahoma" w:cs="Tahoma"/>
      <w:sz w:val="22"/>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36282"/>
    <w:rPr>
      <w:rFonts w:ascii="Tahoma" w:eastAsia="Times New Roman" w:hAnsi="Tahoma" w:cs="Tahoma"/>
      <w:sz w:val="22"/>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aliases w:val="fr,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ft,footnote text"/>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ft Char,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ackcovercities">
    <w:name w:val="back cover cities"/>
    <w:basedOn w:val="Normal"/>
    <w:qFormat/>
    <w:rsid w:val="009A2F9F"/>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9A2F9F"/>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coverallcaps">
    <w:name w:val="cover all caps"/>
    <w:basedOn w:val="Normal"/>
    <w:qFormat/>
    <w:rsid w:val="009A2F9F"/>
    <w:pPr>
      <w:spacing w:line="560" w:lineRule="exact"/>
      <w:ind w:firstLine="0"/>
    </w:pPr>
    <w:rPr>
      <w:rFonts w:ascii="Arial" w:hAnsi="Arial"/>
      <w:caps/>
      <w:spacing w:val="28"/>
      <w:sz w:val="17"/>
      <w:szCs w:val="26"/>
    </w:rPr>
  </w:style>
  <w:style w:type="paragraph" w:customStyle="1" w:styleId="coverdate">
    <w:name w:val="cover date"/>
    <w:qFormat/>
    <w:rsid w:val="009A2F9F"/>
    <w:pPr>
      <w:spacing w:after="0" w:line="440" w:lineRule="exact"/>
    </w:pPr>
    <w:rPr>
      <w:rFonts w:ascii="Arial" w:eastAsia="Times New Roman" w:hAnsi="Arial" w:cs="Times New Roman"/>
      <w:sz w:val="34"/>
      <w:szCs w:val="26"/>
    </w:rPr>
  </w:style>
  <w:style w:type="paragraph" w:customStyle="1" w:styleId="covertext">
    <w:name w:val="cover text"/>
    <w:qFormat/>
    <w:rsid w:val="009A2F9F"/>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A2F9F"/>
    <w:pPr>
      <w:pBdr>
        <w:bottom w:val="single" w:sz="2" w:space="1" w:color="auto"/>
      </w:pBdr>
      <w:spacing w:line="240" w:lineRule="auto"/>
    </w:pPr>
  </w:style>
  <w:style w:type="paragraph" w:customStyle="1" w:styleId="disclosure">
    <w:name w:val="disclosure"/>
    <w:basedOn w:val="Footer"/>
    <w:qFormat/>
    <w:rsid w:val="009A2F9F"/>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9A2F9F"/>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A2F9F"/>
    <w:pPr>
      <w:spacing w:line="240" w:lineRule="auto"/>
      <w:ind w:firstLine="0"/>
    </w:pPr>
    <w:rPr>
      <w:rFonts w:ascii="Arial Black" w:hAnsi="Arial Black"/>
      <w:noProof/>
      <w:sz w:val="16"/>
      <w:szCs w:val="19"/>
    </w:rPr>
  </w:style>
  <w:style w:type="paragraph" w:styleId="NoSpacing">
    <w:name w:val="No Spacing"/>
    <w:uiPriority w:val="1"/>
    <w:qFormat/>
    <w:rsid w:val="00261E14"/>
    <w:pPr>
      <w:spacing w:after="0"/>
    </w:pPr>
    <w:rPr>
      <w:rFonts w:asciiTheme="minorHAnsi" w:eastAsiaTheme="minorHAnsi" w:hAnsiTheme="minorHAnsi"/>
      <w:sz w:val="22"/>
      <w:szCs w:val="22"/>
    </w:rPr>
  </w:style>
  <w:style w:type="character" w:styleId="Hyperlink">
    <w:name w:val="Hyperlink"/>
    <w:basedOn w:val="DefaultParagraphFont"/>
    <w:uiPriority w:val="99"/>
    <w:unhideWhenUsed/>
    <w:rsid w:val="00261E14"/>
    <w:rPr>
      <w:color w:val="0000FF" w:themeColor="hyperlink"/>
      <w:u w:val="single"/>
    </w:rPr>
  </w:style>
  <w:style w:type="character" w:styleId="CommentReference">
    <w:name w:val="annotation reference"/>
    <w:basedOn w:val="DefaultParagraphFont"/>
    <w:uiPriority w:val="99"/>
    <w:semiHidden/>
    <w:unhideWhenUsed/>
    <w:rsid w:val="00491F05"/>
    <w:rPr>
      <w:sz w:val="16"/>
      <w:szCs w:val="16"/>
    </w:rPr>
  </w:style>
  <w:style w:type="paragraph" w:styleId="CommentText">
    <w:name w:val="annotation text"/>
    <w:basedOn w:val="Normal"/>
    <w:link w:val="CommentTextChar"/>
    <w:uiPriority w:val="99"/>
    <w:unhideWhenUsed/>
    <w:rsid w:val="00491F05"/>
    <w:pPr>
      <w:spacing w:after="200" w:line="240" w:lineRule="auto"/>
      <w:ind w:firstLine="0"/>
    </w:pPr>
    <w:rPr>
      <w:rFonts w:asciiTheme="majorHAnsi" w:eastAsiaTheme="minorHAnsi" w:hAnsiTheme="majorHAnsi"/>
      <w:sz w:val="20"/>
    </w:rPr>
  </w:style>
  <w:style w:type="character" w:customStyle="1" w:styleId="CommentTextChar">
    <w:name w:val="Comment Text Char"/>
    <w:basedOn w:val="DefaultParagraphFont"/>
    <w:link w:val="CommentText"/>
    <w:uiPriority w:val="99"/>
    <w:rsid w:val="00491F05"/>
    <w:rPr>
      <w:rFonts w:asciiTheme="majorHAnsi" w:eastAsiaTheme="minorHAnsi" w:hAnsiTheme="majorHAnsi" w:cs="Times New Roman"/>
      <w:sz w:val="20"/>
      <w:szCs w:val="20"/>
    </w:rPr>
  </w:style>
  <w:style w:type="character" w:customStyle="1" w:styleId="NormalSSChar">
    <w:name w:val="NormalSS Char"/>
    <w:link w:val="NormalSS"/>
    <w:locked/>
    <w:rsid w:val="003D5C19"/>
    <w:rPr>
      <w:rFonts w:eastAsia="Times New Roman" w:cs="Times New Roman"/>
      <w:szCs w:val="20"/>
    </w:rPr>
  </w:style>
  <w:style w:type="paragraph" w:styleId="Revision">
    <w:name w:val="Revision"/>
    <w:hidden/>
    <w:uiPriority w:val="99"/>
    <w:semiHidden/>
    <w:rsid w:val="00E65619"/>
    <w:pPr>
      <w:spacing w:after="0"/>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3E651C"/>
    <w:pPr>
      <w:spacing w:after="0"/>
      <w:ind w:firstLine="432"/>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E651C"/>
    <w:rPr>
      <w:rFonts w:asciiTheme="majorHAnsi" w:eastAsia="Times New Roman" w:hAnsiTheme="majorHAns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28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282"/>
    <w:pPr>
      <w:spacing w:line="240" w:lineRule="auto"/>
    </w:pPr>
    <w:rPr>
      <w:rFonts w:ascii="Tahoma" w:hAnsi="Tahoma" w:cs="Tahoma"/>
      <w:sz w:val="22"/>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36282"/>
    <w:rPr>
      <w:rFonts w:ascii="Tahoma" w:eastAsia="Times New Roman" w:hAnsi="Tahoma" w:cs="Tahoma"/>
      <w:sz w:val="22"/>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aliases w:val="fr,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ft,footnote text"/>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ft Char,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ackcovercities">
    <w:name w:val="back cover cities"/>
    <w:basedOn w:val="Normal"/>
    <w:qFormat/>
    <w:rsid w:val="009A2F9F"/>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9A2F9F"/>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coverallcaps">
    <w:name w:val="cover all caps"/>
    <w:basedOn w:val="Normal"/>
    <w:qFormat/>
    <w:rsid w:val="009A2F9F"/>
    <w:pPr>
      <w:spacing w:line="560" w:lineRule="exact"/>
      <w:ind w:firstLine="0"/>
    </w:pPr>
    <w:rPr>
      <w:rFonts w:ascii="Arial" w:hAnsi="Arial"/>
      <w:caps/>
      <w:spacing w:val="28"/>
      <w:sz w:val="17"/>
      <w:szCs w:val="26"/>
    </w:rPr>
  </w:style>
  <w:style w:type="paragraph" w:customStyle="1" w:styleId="coverdate">
    <w:name w:val="cover date"/>
    <w:qFormat/>
    <w:rsid w:val="009A2F9F"/>
    <w:pPr>
      <w:spacing w:after="0" w:line="440" w:lineRule="exact"/>
    </w:pPr>
    <w:rPr>
      <w:rFonts w:ascii="Arial" w:eastAsia="Times New Roman" w:hAnsi="Arial" w:cs="Times New Roman"/>
      <w:sz w:val="34"/>
      <w:szCs w:val="26"/>
    </w:rPr>
  </w:style>
  <w:style w:type="paragraph" w:customStyle="1" w:styleId="covertext">
    <w:name w:val="cover text"/>
    <w:qFormat/>
    <w:rsid w:val="009A2F9F"/>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A2F9F"/>
    <w:pPr>
      <w:pBdr>
        <w:bottom w:val="single" w:sz="2" w:space="1" w:color="auto"/>
      </w:pBdr>
      <w:spacing w:line="240" w:lineRule="auto"/>
    </w:pPr>
  </w:style>
  <w:style w:type="paragraph" w:customStyle="1" w:styleId="disclosure">
    <w:name w:val="disclosure"/>
    <w:basedOn w:val="Footer"/>
    <w:qFormat/>
    <w:rsid w:val="009A2F9F"/>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9A2F9F"/>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A2F9F"/>
    <w:pPr>
      <w:spacing w:line="240" w:lineRule="auto"/>
      <w:ind w:firstLine="0"/>
    </w:pPr>
    <w:rPr>
      <w:rFonts w:ascii="Arial Black" w:hAnsi="Arial Black"/>
      <w:noProof/>
      <w:sz w:val="16"/>
      <w:szCs w:val="19"/>
    </w:rPr>
  </w:style>
  <w:style w:type="paragraph" w:styleId="NoSpacing">
    <w:name w:val="No Spacing"/>
    <w:uiPriority w:val="1"/>
    <w:qFormat/>
    <w:rsid w:val="00261E14"/>
    <w:pPr>
      <w:spacing w:after="0"/>
    </w:pPr>
    <w:rPr>
      <w:rFonts w:asciiTheme="minorHAnsi" w:eastAsiaTheme="minorHAnsi" w:hAnsiTheme="minorHAnsi"/>
      <w:sz w:val="22"/>
      <w:szCs w:val="22"/>
    </w:rPr>
  </w:style>
  <w:style w:type="character" w:styleId="Hyperlink">
    <w:name w:val="Hyperlink"/>
    <w:basedOn w:val="DefaultParagraphFont"/>
    <w:uiPriority w:val="99"/>
    <w:unhideWhenUsed/>
    <w:rsid w:val="00261E14"/>
    <w:rPr>
      <w:color w:val="0000FF" w:themeColor="hyperlink"/>
      <w:u w:val="single"/>
    </w:rPr>
  </w:style>
  <w:style w:type="character" w:styleId="CommentReference">
    <w:name w:val="annotation reference"/>
    <w:basedOn w:val="DefaultParagraphFont"/>
    <w:uiPriority w:val="99"/>
    <w:semiHidden/>
    <w:unhideWhenUsed/>
    <w:rsid w:val="00491F05"/>
    <w:rPr>
      <w:sz w:val="16"/>
      <w:szCs w:val="16"/>
    </w:rPr>
  </w:style>
  <w:style w:type="paragraph" w:styleId="CommentText">
    <w:name w:val="annotation text"/>
    <w:basedOn w:val="Normal"/>
    <w:link w:val="CommentTextChar"/>
    <w:uiPriority w:val="99"/>
    <w:unhideWhenUsed/>
    <w:rsid w:val="00491F05"/>
    <w:pPr>
      <w:spacing w:after="200" w:line="240" w:lineRule="auto"/>
      <w:ind w:firstLine="0"/>
    </w:pPr>
    <w:rPr>
      <w:rFonts w:asciiTheme="majorHAnsi" w:eastAsiaTheme="minorHAnsi" w:hAnsiTheme="majorHAnsi"/>
      <w:sz w:val="20"/>
    </w:rPr>
  </w:style>
  <w:style w:type="character" w:customStyle="1" w:styleId="CommentTextChar">
    <w:name w:val="Comment Text Char"/>
    <w:basedOn w:val="DefaultParagraphFont"/>
    <w:link w:val="CommentText"/>
    <w:uiPriority w:val="99"/>
    <w:rsid w:val="00491F05"/>
    <w:rPr>
      <w:rFonts w:asciiTheme="majorHAnsi" w:eastAsiaTheme="minorHAnsi" w:hAnsiTheme="majorHAnsi" w:cs="Times New Roman"/>
      <w:sz w:val="20"/>
      <w:szCs w:val="20"/>
    </w:rPr>
  </w:style>
  <w:style w:type="character" w:customStyle="1" w:styleId="NormalSSChar">
    <w:name w:val="NormalSS Char"/>
    <w:link w:val="NormalSS"/>
    <w:locked/>
    <w:rsid w:val="003D5C19"/>
    <w:rPr>
      <w:rFonts w:eastAsia="Times New Roman" w:cs="Times New Roman"/>
      <w:szCs w:val="20"/>
    </w:rPr>
  </w:style>
  <w:style w:type="paragraph" w:styleId="Revision">
    <w:name w:val="Revision"/>
    <w:hidden/>
    <w:uiPriority w:val="99"/>
    <w:semiHidden/>
    <w:rsid w:val="00E65619"/>
    <w:pPr>
      <w:spacing w:after="0"/>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3E651C"/>
    <w:pPr>
      <w:spacing w:after="0"/>
      <w:ind w:firstLine="432"/>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E651C"/>
    <w:rPr>
      <w:rFonts w:asciiTheme="majorHAnsi" w:eastAsia="Times New Roman" w:hAnsiTheme="maj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547512">
      <w:bodyDiv w:val="1"/>
      <w:marLeft w:val="0"/>
      <w:marRight w:val="0"/>
      <w:marTop w:val="0"/>
      <w:marBottom w:val="0"/>
      <w:divBdr>
        <w:top w:val="none" w:sz="0" w:space="0" w:color="auto"/>
        <w:left w:val="none" w:sz="0" w:space="0" w:color="auto"/>
        <w:bottom w:val="none" w:sz="0" w:space="0" w:color="auto"/>
        <w:right w:val="none" w:sz="0" w:space="0" w:color="auto"/>
      </w:divBdr>
    </w:div>
    <w:div w:id="1011685927">
      <w:bodyDiv w:val="1"/>
      <w:marLeft w:val="0"/>
      <w:marRight w:val="0"/>
      <w:marTop w:val="0"/>
      <w:marBottom w:val="0"/>
      <w:divBdr>
        <w:top w:val="none" w:sz="0" w:space="0" w:color="auto"/>
        <w:left w:val="none" w:sz="0" w:space="0" w:color="auto"/>
        <w:bottom w:val="none" w:sz="0" w:space="0" w:color="auto"/>
        <w:right w:val="none" w:sz="0" w:space="0" w:color="auto"/>
      </w:divBdr>
    </w:div>
    <w:div w:id="1468550789">
      <w:bodyDiv w:val="1"/>
      <w:marLeft w:val="0"/>
      <w:marRight w:val="0"/>
      <w:marTop w:val="0"/>
      <w:marBottom w:val="0"/>
      <w:divBdr>
        <w:top w:val="none" w:sz="0" w:space="0" w:color="auto"/>
        <w:left w:val="none" w:sz="0" w:space="0" w:color="auto"/>
        <w:bottom w:val="none" w:sz="0" w:space="0" w:color="auto"/>
        <w:right w:val="none" w:sz="0" w:space="0" w:color="auto"/>
      </w:divBdr>
    </w:div>
    <w:div w:id="15334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7D0D8-3899-4250-9100-28D83AC5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13</Pages>
  <Words>4373</Words>
  <Characters>24929</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PCI OMB Supporting Statement-Part B</vt:lpstr>
    </vt:vector>
  </TitlesOfParts>
  <Company>Mathematica, Inc</Company>
  <LinksUpToDate>false</LinksUpToDate>
  <CharactersWithSpaces>29244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PCI OMB Supporting Statement-Part B</dc:title>
  <dc:subject>PISCE Request for OMB Clearance OMB#</dc:subject>
  <dc:creator>Mathematica Staff</dc:creator>
  <cp:keywords>PCI</cp:keywords>
  <cp:lastModifiedBy>katrina.ingalls</cp:lastModifiedBy>
  <cp:revision>2</cp:revision>
  <cp:lastPrinted>2015-11-05T19:25:00Z</cp:lastPrinted>
  <dcterms:created xsi:type="dcterms:W3CDTF">2016-04-08T15:30:00Z</dcterms:created>
  <dcterms:modified xsi:type="dcterms:W3CDTF">2016-04-08T15:30:00Z</dcterms:modified>
  <cp:category>OMB</cp:category>
  <cp:contentStatus>Draft</cp:contentStatus>
</cp:coreProperties>
</file>