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9D" w:rsidRPr="001F631B" w:rsidRDefault="00AC2F9D" w:rsidP="00AC2F9D">
      <w:pPr>
        <w:pStyle w:val="Heading1SASS"/>
        <w:rPr>
          <w:rFonts w:asciiTheme="minorHAnsi" w:hAnsiTheme="minorHAnsi" w:cstheme="minorHAnsi"/>
        </w:rPr>
      </w:pPr>
      <w:r w:rsidRPr="001F631B">
        <w:rPr>
          <w:rFonts w:asciiTheme="minorHAnsi" w:hAnsiTheme="minorHAnsi" w:cstheme="minorHAnsi"/>
        </w:rPr>
        <w:t>Nonresponse Bias Analysis</w:t>
      </w:r>
    </w:p>
    <w:p w:rsidR="00AC2F9D" w:rsidRPr="001F631B" w:rsidRDefault="00AC2F9D" w:rsidP="00AC2F9D">
      <w:pPr>
        <w:rPr>
          <w:rFonts w:asciiTheme="minorHAnsi" w:hAnsiTheme="minorHAnsi" w:cstheme="minorHAnsi"/>
        </w:rPr>
      </w:pPr>
    </w:p>
    <w:p w:rsidR="00AC2F9D" w:rsidRPr="000832F7" w:rsidRDefault="00AC2F9D" w:rsidP="00AC2F9D">
      <w:pPr>
        <w:autoSpaceDE w:val="0"/>
        <w:autoSpaceDN w:val="0"/>
        <w:adjustRightInd w:val="0"/>
        <w:rPr>
          <w:sz w:val="22"/>
          <w:szCs w:val="22"/>
        </w:rPr>
      </w:pPr>
      <w:r w:rsidRPr="000832F7">
        <w:rPr>
          <w:sz w:val="22"/>
          <w:szCs w:val="22"/>
        </w:rPr>
        <w:t>A comprehensive nonres</w:t>
      </w:r>
      <w:r>
        <w:rPr>
          <w:sz w:val="22"/>
          <w:szCs w:val="22"/>
        </w:rPr>
        <w:t>ponse bias analysis will be conducted for the 2015–16</w:t>
      </w:r>
      <w:r w:rsidRPr="000832F7">
        <w:rPr>
          <w:sz w:val="22"/>
          <w:szCs w:val="22"/>
        </w:rPr>
        <w:t xml:space="preserve"> </w:t>
      </w:r>
      <w:r>
        <w:rPr>
          <w:sz w:val="22"/>
          <w:szCs w:val="22"/>
        </w:rPr>
        <w:t>NTPS.</w:t>
      </w:r>
      <w:r w:rsidRPr="000832F7">
        <w:rPr>
          <w:sz w:val="22"/>
          <w:szCs w:val="22"/>
        </w:rPr>
        <w:t xml:space="preserve"> The analysis </w:t>
      </w:r>
      <w:r>
        <w:rPr>
          <w:sz w:val="22"/>
          <w:szCs w:val="22"/>
        </w:rPr>
        <w:t>will evaluate</w:t>
      </w:r>
      <w:r w:rsidRPr="000832F7">
        <w:rPr>
          <w:sz w:val="22"/>
          <w:szCs w:val="22"/>
        </w:rPr>
        <w:t xml:space="preserve"> the extent of potential bias introduced by nonresponse at both unit and item levels, and the extent to which </w:t>
      </w:r>
      <w:proofErr w:type="spellStart"/>
      <w:r w:rsidRPr="000832F7">
        <w:rPr>
          <w:sz w:val="22"/>
          <w:szCs w:val="22"/>
        </w:rPr>
        <w:t>noninterview</w:t>
      </w:r>
      <w:proofErr w:type="spellEnd"/>
      <w:r w:rsidRPr="000832F7">
        <w:rPr>
          <w:sz w:val="22"/>
          <w:szCs w:val="22"/>
        </w:rPr>
        <w:t xml:space="preserve"> weighting adjustments mitigated bias at the unit level.</w:t>
      </w:r>
    </w:p>
    <w:p w:rsidR="00AC2F9D" w:rsidRPr="001F631B" w:rsidRDefault="00AC2F9D" w:rsidP="00AC2F9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AC2F9D" w:rsidRPr="001F631B" w:rsidRDefault="00AC2F9D" w:rsidP="00AC2F9D">
      <w:pPr>
        <w:pStyle w:val="Heading2SASS"/>
        <w:rPr>
          <w:rFonts w:asciiTheme="minorHAnsi" w:hAnsiTheme="minorHAnsi" w:cstheme="minorHAnsi"/>
        </w:rPr>
      </w:pPr>
      <w:bookmarkStart w:id="0" w:name="_Toc364947590"/>
      <w:r w:rsidRPr="001F631B">
        <w:rPr>
          <w:rFonts w:asciiTheme="minorHAnsi" w:hAnsiTheme="minorHAnsi" w:cstheme="minorHAnsi"/>
        </w:rPr>
        <w:t>Unit-level Nonresponse</w:t>
      </w:r>
      <w:bookmarkEnd w:id="0"/>
    </w:p>
    <w:p w:rsidR="00AC2F9D" w:rsidRPr="001F631B" w:rsidRDefault="00AC2F9D" w:rsidP="00AC2F9D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AC2F9D" w:rsidRPr="001F631B" w:rsidRDefault="00AC2F9D" w:rsidP="00AC2F9D">
      <w:pPr>
        <w:pStyle w:val="Heading3SASS"/>
        <w:rPr>
          <w:rFonts w:asciiTheme="minorHAnsi" w:hAnsiTheme="minorHAnsi" w:cstheme="minorHAnsi"/>
        </w:rPr>
      </w:pPr>
      <w:r w:rsidRPr="001F631B">
        <w:rPr>
          <w:rFonts w:asciiTheme="minorHAnsi" w:hAnsiTheme="minorHAnsi" w:cstheme="minorHAnsi"/>
        </w:rPr>
        <w:t>Overview of Methodology</w:t>
      </w:r>
    </w:p>
    <w:p w:rsidR="00AC2F9D" w:rsidRPr="001F631B" w:rsidRDefault="00AC2F9D" w:rsidP="00AC2F9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AC2F9D" w:rsidRDefault="00AC2F9D" w:rsidP="00AC2F9D">
      <w:pPr>
        <w:rPr>
          <w:sz w:val="22"/>
          <w:szCs w:val="22"/>
        </w:rPr>
      </w:pPr>
      <w:r w:rsidRPr="006A01BD">
        <w:rPr>
          <w:sz w:val="22"/>
          <w:szCs w:val="22"/>
        </w:rPr>
        <w:t xml:space="preserve">Because NCES Statistical Standard 4-4 requires analysis of unit nonresponse bias for any survey stage with a base-weighted response rate of less than 85 percent, </w:t>
      </w:r>
      <w:r>
        <w:rPr>
          <w:sz w:val="22"/>
          <w:szCs w:val="22"/>
        </w:rPr>
        <w:t>it is anticipated that schools, principals, and teacher file will all need to be evaluated</w:t>
      </w:r>
      <w:r w:rsidRPr="006A01BD">
        <w:rPr>
          <w:sz w:val="22"/>
          <w:szCs w:val="22"/>
        </w:rPr>
        <w:t xml:space="preserve"> for potential bias.</w:t>
      </w:r>
      <w:r w:rsidRPr="006A01BD">
        <w:rPr>
          <w:b/>
          <w:sz w:val="22"/>
          <w:szCs w:val="22"/>
        </w:rPr>
        <w:t xml:space="preserve"> </w:t>
      </w:r>
      <w:r w:rsidRPr="006A01BD">
        <w:rPr>
          <w:sz w:val="22"/>
          <w:szCs w:val="22"/>
        </w:rPr>
        <w:t>Comparisons between the frame</w:t>
      </w:r>
      <w:r w:rsidR="00484E41">
        <w:rPr>
          <w:sz w:val="22"/>
          <w:szCs w:val="22"/>
        </w:rPr>
        <w:t xml:space="preserve"> and respondent populations will be</w:t>
      </w:r>
      <w:r w:rsidRPr="006A01BD">
        <w:rPr>
          <w:sz w:val="22"/>
          <w:szCs w:val="22"/>
        </w:rPr>
        <w:t xml:space="preserve"> made before and after the </w:t>
      </w:r>
      <w:proofErr w:type="spellStart"/>
      <w:r w:rsidRPr="006A01BD">
        <w:rPr>
          <w:sz w:val="22"/>
          <w:szCs w:val="22"/>
        </w:rPr>
        <w:t>noninterview</w:t>
      </w:r>
      <w:proofErr w:type="spellEnd"/>
      <w:r w:rsidRPr="006A01BD">
        <w:rPr>
          <w:sz w:val="22"/>
          <w:szCs w:val="22"/>
        </w:rPr>
        <w:t xml:space="preserve"> weighting adjustments </w:t>
      </w:r>
      <w:r w:rsidR="00484E41">
        <w:rPr>
          <w:sz w:val="22"/>
          <w:szCs w:val="22"/>
        </w:rPr>
        <w:t>are</w:t>
      </w:r>
      <w:r w:rsidRPr="006A01BD">
        <w:rPr>
          <w:sz w:val="22"/>
          <w:szCs w:val="22"/>
        </w:rPr>
        <w:t xml:space="preserve"> applied in order to evaluate the extent to which the adjustments reduced or eliminated nonresponse bias.</w:t>
      </w:r>
      <w:r w:rsidRPr="006A01BD">
        <w:rPr>
          <w:b/>
          <w:sz w:val="22"/>
          <w:szCs w:val="22"/>
        </w:rPr>
        <w:t xml:space="preserve"> </w:t>
      </w:r>
      <w:r w:rsidRPr="006A01BD">
        <w:rPr>
          <w:sz w:val="22"/>
          <w:szCs w:val="22"/>
        </w:rPr>
        <w:t xml:space="preserve">The following section explains the methodology and </w:t>
      </w:r>
      <w:r w:rsidR="00484E41">
        <w:rPr>
          <w:sz w:val="22"/>
          <w:szCs w:val="22"/>
        </w:rPr>
        <w:t>describes how the conclusions will be summarized.</w:t>
      </w:r>
      <w:r w:rsidRPr="006A01BD">
        <w:rPr>
          <w:sz w:val="22"/>
          <w:szCs w:val="22"/>
        </w:rPr>
        <w:t xml:space="preserve"> </w:t>
      </w:r>
    </w:p>
    <w:p w:rsidR="00AC2F9D" w:rsidRPr="006A01BD" w:rsidRDefault="00AC2F9D" w:rsidP="00AC2F9D">
      <w:pPr>
        <w:rPr>
          <w:sz w:val="22"/>
          <w:szCs w:val="22"/>
        </w:rPr>
      </w:pPr>
    </w:p>
    <w:p w:rsidR="00AC2F9D" w:rsidRPr="006A01BD" w:rsidRDefault="00AC2F9D" w:rsidP="00AC2F9D">
      <w:pPr>
        <w:rPr>
          <w:sz w:val="22"/>
          <w:szCs w:val="22"/>
        </w:rPr>
      </w:pPr>
      <w:r w:rsidRPr="006A01BD">
        <w:rPr>
          <w:sz w:val="22"/>
          <w:szCs w:val="22"/>
        </w:rPr>
        <w:t xml:space="preserve">As outlined in appendix B of the </w:t>
      </w:r>
      <w:r w:rsidRPr="006A01BD">
        <w:rPr>
          <w:i/>
          <w:sz w:val="22"/>
          <w:szCs w:val="22"/>
        </w:rPr>
        <w:t>NCES Statistical Standards</w:t>
      </w:r>
      <w:r w:rsidRPr="006A01BD">
        <w:rPr>
          <w:sz w:val="22"/>
          <w:szCs w:val="22"/>
        </w:rPr>
        <w:t xml:space="preserve"> (U.S. Department of Education 2003), the degree of nonresponse bias is a function of two factors: the nonresponse rate and how much the respondents and </w:t>
      </w:r>
      <w:proofErr w:type="spellStart"/>
      <w:r w:rsidRPr="006A01BD">
        <w:rPr>
          <w:sz w:val="22"/>
          <w:szCs w:val="22"/>
        </w:rPr>
        <w:t>nonrespondents</w:t>
      </w:r>
      <w:proofErr w:type="spellEnd"/>
      <w:r w:rsidRPr="006A01BD">
        <w:rPr>
          <w:sz w:val="22"/>
          <w:szCs w:val="22"/>
        </w:rPr>
        <w:t xml:space="preserve"> differ on survey variables of interest. The mathematical formulation to estimate bias for a sample mean of variable </w:t>
      </w:r>
      <w:r w:rsidRPr="006A01BD">
        <w:rPr>
          <w:i/>
          <w:iCs/>
          <w:sz w:val="22"/>
          <w:szCs w:val="22"/>
        </w:rPr>
        <w:t>y</w:t>
      </w:r>
      <w:r w:rsidRPr="006A01BD">
        <w:rPr>
          <w:sz w:val="22"/>
          <w:szCs w:val="22"/>
        </w:rPr>
        <w:t xml:space="preserve"> is as follows:</w:t>
      </w:r>
    </w:p>
    <w:p w:rsidR="00AC2F9D" w:rsidRPr="006A01BD" w:rsidRDefault="00AC2F9D" w:rsidP="00AC2F9D">
      <w:pPr>
        <w:jc w:val="center"/>
        <w:rPr>
          <w:sz w:val="22"/>
          <w:szCs w:val="22"/>
        </w:rPr>
      </w:pPr>
      <w:r w:rsidRPr="006A01BD">
        <w:rPr>
          <w:position w:val="-32"/>
          <w:sz w:val="22"/>
          <w:szCs w:val="22"/>
        </w:rPr>
        <w:object w:dxaOrig="34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15pt;height:38.05pt" o:ole="">
            <v:imagedata r:id="rId6" o:title=""/>
          </v:shape>
          <o:OLEObject Type="Embed" ProgID="Equation.3" ShapeID="_x0000_i1025" DrawAspect="Content" ObjectID="_1495518861" r:id="rId7"/>
        </w:object>
      </w:r>
    </w:p>
    <w:p w:rsidR="00AC2F9D" w:rsidRPr="006A01BD" w:rsidRDefault="00AC2F9D" w:rsidP="00AC2F9D">
      <w:pPr>
        <w:rPr>
          <w:sz w:val="22"/>
          <w:szCs w:val="22"/>
        </w:rPr>
      </w:pPr>
      <w:proofErr w:type="gramStart"/>
      <w:r w:rsidRPr="006A01BD">
        <w:rPr>
          <w:sz w:val="22"/>
          <w:szCs w:val="22"/>
        </w:rPr>
        <w:t>where</w:t>
      </w:r>
      <w:proofErr w:type="gramEnd"/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300" w:dyaOrig="340">
          <v:shape id="_x0000_i1026" type="#_x0000_t75" style="width:15.15pt;height:17.45pt" o:ole="">
            <v:imagedata r:id="rId8" o:title=""/>
          </v:shape>
          <o:OLEObject Type="Embed" ProgID="Equation.3" ShapeID="_x0000_i1026" DrawAspect="Content" ObjectID="_1495518862" r:id="rId9"/>
        </w:object>
      </w:r>
      <w:r w:rsidRPr="006A01BD">
        <w:rPr>
          <w:sz w:val="22"/>
          <w:szCs w:val="22"/>
        </w:rPr>
        <w:t>= the estimated mean based on all eligible sample cases</w:t>
      </w:r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300" w:dyaOrig="340">
          <v:shape id="_x0000_i1027" type="#_x0000_t75" style="width:15.15pt;height:17.45pt" o:ole="">
            <v:imagedata r:id="rId10" o:title=""/>
          </v:shape>
          <o:OLEObject Type="Embed" ProgID="Equation.3" ShapeID="_x0000_i1027" DrawAspect="Content" ObjectID="_1495518863" r:id="rId11"/>
        </w:object>
      </w:r>
      <w:r w:rsidRPr="006A01BD">
        <w:rPr>
          <w:sz w:val="22"/>
          <w:szCs w:val="22"/>
        </w:rPr>
        <w:t>= the estimated mean based only on respondent cases</w:t>
      </w:r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360" w:dyaOrig="340">
          <v:shape id="_x0000_i1028" type="#_x0000_t75" style="width:17.9pt;height:17.45pt" o:ole="">
            <v:imagedata r:id="rId12" o:title=""/>
          </v:shape>
          <o:OLEObject Type="Embed" ProgID="Equation.3" ShapeID="_x0000_i1028" DrawAspect="Content" ObjectID="_1495518864" r:id="rId13"/>
        </w:object>
      </w:r>
      <w:r w:rsidRPr="006A01BD">
        <w:rPr>
          <w:sz w:val="22"/>
          <w:szCs w:val="22"/>
        </w:rPr>
        <w:t xml:space="preserve">= the estimated mean based only on </w:t>
      </w:r>
      <w:proofErr w:type="spellStart"/>
      <w:r w:rsidRPr="006A01BD">
        <w:rPr>
          <w:sz w:val="22"/>
          <w:szCs w:val="22"/>
        </w:rPr>
        <w:t>nonrespondent</w:t>
      </w:r>
      <w:proofErr w:type="spellEnd"/>
      <w:r w:rsidRPr="006A01BD">
        <w:rPr>
          <w:sz w:val="22"/>
          <w:szCs w:val="22"/>
        </w:rPr>
        <w:t xml:space="preserve"> cases</w:t>
      </w:r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279" w:dyaOrig="340">
          <v:shape id="_x0000_i1029" type="#_x0000_t75" style="width:14.2pt;height:17.45pt" o:ole="">
            <v:imagedata r:id="rId14" o:title=""/>
          </v:shape>
          <o:OLEObject Type="Embed" ProgID="Equation.3" ShapeID="_x0000_i1029" DrawAspect="Content" ObjectID="_1495518865" r:id="rId15"/>
        </w:object>
      </w:r>
      <w:r w:rsidRPr="006A01BD">
        <w:rPr>
          <w:sz w:val="22"/>
          <w:szCs w:val="22"/>
        </w:rPr>
        <w:t>= the estimated number of cases (i.e.</w:t>
      </w:r>
      <w:proofErr w:type="gramStart"/>
      <w:r w:rsidRPr="006A01B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End"/>
      <w:r w:rsidRPr="006A01BD">
        <w:rPr>
          <w:position w:val="-10"/>
          <w:sz w:val="22"/>
          <w:szCs w:val="22"/>
        </w:rPr>
        <w:object w:dxaOrig="1280" w:dyaOrig="340">
          <v:shape id="_x0000_i1030" type="#_x0000_t75" style="width:63.75pt;height:17.45pt" o:ole="">
            <v:imagedata r:id="rId16" o:title=""/>
          </v:shape>
          <o:OLEObject Type="Embed" ProgID="Equation.3" ShapeID="_x0000_i1030" DrawAspect="Content" ObjectID="_1495518866" r:id="rId17"/>
        </w:object>
      </w:r>
      <w:r w:rsidRPr="006A01BD">
        <w:rPr>
          <w:sz w:val="22"/>
          <w:szCs w:val="22"/>
        </w:rPr>
        <w:t>)</w:t>
      </w:r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340" w:dyaOrig="340">
          <v:shape id="_x0000_i1031" type="#_x0000_t75" style="width:17.45pt;height:17.45pt" o:ole="">
            <v:imagedata r:id="rId18" o:title=""/>
          </v:shape>
          <o:OLEObject Type="Embed" ProgID="Equation.3" ShapeID="_x0000_i1031" DrawAspect="Content" ObjectID="_1495518867" r:id="rId19"/>
        </w:object>
      </w:r>
      <w:r w:rsidRPr="006A01BD">
        <w:rPr>
          <w:sz w:val="22"/>
          <w:szCs w:val="22"/>
        </w:rPr>
        <w:t xml:space="preserve">= the estimated number of </w:t>
      </w:r>
      <w:proofErr w:type="spellStart"/>
      <w:r w:rsidRPr="006A01BD">
        <w:rPr>
          <w:sz w:val="22"/>
          <w:szCs w:val="22"/>
        </w:rPr>
        <w:t>nonrespondents</w:t>
      </w:r>
      <w:proofErr w:type="spellEnd"/>
    </w:p>
    <w:p w:rsidR="00AC2F9D" w:rsidRPr="006A01BD" w:rsidRDefault="00AC2F9D" w:rsidP="00AC2F9D">
      <w:pPr>
        <w:ind w:firstLine="720"/>
        <w:rPr>
          <w:sz w:val="22"/>
          <w:szCs w:val="22"/>
        </w:rPr>
      </w:pPr>
      <w:r w:rsidRPr="006A01BD">
        <w:rPr>
          <w:position w:val="-10"/>
          <w:sz w:val="22"/>
          <w:szCs w:val="22"/>
        </w:rPr>
        <w:object w:dxaOrig="300" w:dyaOrig="340">
          <v:shape id="_x0000_i1032" type="#_x0000_t75" style="width:15.15pt;height:17.45pt" o:ole="">
            <v:imagedata r:id="rId20" o:title=""/>
          </v:shape>
          <o:OLEObject Type="Embed" ProgID="Equation.3" ShapeID="_x0000_i1032" DrawAspect="Content" ObjectID="_1495518868" r:id="rId21"/>
        </w:object>
      </w:r>
      <w:r w:rsidRPr="006A01BD">
        <w:rPr>
          <w:sz w:val="22"/>
          <w:szCs w:val="22"/>
        </w:rPr>
        <w:t>= the estimated number of respondents</w:t>
      </w:r>
    </w:p>
    <w:p w:rsidR="00AC2F9D" w:rsidRPr="006A01BD" w:rsidRDefault="00AC2F9D" w:rsidP="00AC2F9D">
      <w:pPr>
        <w:ind w:firstLine="720"/>
        <w:rPr>
          <w:sz w:val="22"/>
          <w:szCs w:val="22"/>
        </w:rPr>
      </w:pPr>
    </w:p>
    <w:p w:rsidR="00AC2F9D" w:rsidRPr="006A01BD" w:rsidRDefault="00AC2F9D" w:rsidP="00AC2F9D">
      <w:pPr>
        <w:rPr>
          <w:sz w:val="22"/>
          <w:szCs w:val="22"/>
        </w:rPr>
      </w:pPr>
      <w:r w:rsidRPr="006A01BD">
        <w:rPr>
          <w:sz w:val="22"/>
          <w:szCs w:val="22"/>
        </w:rPr>
        <w:t>A variable-free estimate of the bias, ref</w:t>
      </w:r>
      <w:r w:rsidR="00484E41">
        <w:rPr>
          <w:sz w:val="22"/>
          <w:szCs w:val="22"/>
        </w:rPr>
        <w:t>erred to as a relative bias, will be</w:t>
      </w:r>
      <w:r w:rsidRPr="006A01BD">
        <w:rPr>
          <w:sz w:val="22"/>
          <w:szCs w:val="22"/>
        </w:rPr>
        <w:t xml:space="preserve"> used to compare biases across all variables included in the analysis. The relative bias for an estimated mean using only the respondent data</w:t>
      </w:r>
      <w:proofErr w:type="gramStart"/>
      <w:r w:rsidRPr="006A01BD">
        <w:rPr>
          <w:sz w:val="22"/>
          <w:szCs w:val="22"/>
        </w:rPr>
        <w:t xml:space="preserve">, </w:t>
      </w:r>
      <w:proofErr w:type="gramEnd"/>
      <w:r w:rsidRPr="006A01BD">
        <w:rPr>
          <w:noProof/>
          <w:position w:val="-10"/>
          <w:sz w:val="22"/>
          <w:szCs w:val="22"/>
        </w:rPr>
        <w:drawing>
          <wp:inline distT="0" distB="0" distL="0" distR="0" wp14:anchorId="3C130B5B" wp14:editId="41A77AC6">
            <wp:extent cx="198408" cy="2173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01BD">
        <w:rPr>
          <w:sz w:val="22"/>
          <w:szCs w:val="22"/>
        </w:rPr>
        <w:t>, is calculated using the following formula:</w:t>
      </w:r>
    </w:p>
    <w:p w:rsidR="00AC2F9D" w:rsidRPr="006A01BD" w:rsidRDefault="00AC2F9D" w:rsidP="00AC2F9D">
      <w:pPr>
        <w:jc w:val="center"/>
        <w:rPr>
          <w:sz w:val="22"/>
          <w:szCs w:val="22"/>
        </w:rPr>
      </w:pPr>
      <w:r w:rsidRPr="006A01BD">
        <w:rPr>
          <w:position w:val="-28"/>
          <w:sz w:val="22"/>
          <w:szCs w:val="22"/>
        </w:rPr>
        <w:object w:dxaOrig="1820" w:dyaOrig="680">
          <v:shape id="_x0000_i1033" type="#_x0000_t75" style="width:90.8pt;height:33.95pt" o:ole="">
            <v:imagedata r:id="rId23" o:title=""/>
          </v:shape>
          <o:OLEObject Type="Embed" ProgID="Equation.DSMT4" ShapeID="_x0000_i1033" DrawAspect="Content" ObjectID="_1495518869" r:id="rId24"/>
        </w:object>
      </w:r>
    </w:p>
    <w:p w:rsidR="00AC2F9D" w:rsidRPr="001F631B" w:rsidRDefault="00484E41" w:rsidP="00AC2F9D">
      <w:pPr>
        <w:rPr>
          <w:rFonts w:asciiTheme="minorHAnsi" w:hAnsiTheme="minorHAnsi" w:cstheme="minorHAnsi"/>
        </w:rPr>
      </w:pPr>
      <w:r>
        <w:rPr>
          <w:sz w:val="22"/>
          <w:szCs w:val="22"/>
        </w:rPr>
        <w:t>Relative bias is</w:t>
      </w:r>
      <w:r w:rsidR="00AC2F9D" w:rsidRPr="006A01BD">
        <w:rPr>
          <w:sz w:val="22"/>
          <w:szCs w:val="22"/>
        </w:rPr>
        <w:t xml:space="preserve"> estimated for variables known for respondents and </w:t>
      </w:r>
      <w:proofErr w:type="spellStart"/>
      <w:r w:rsidR="00AC2F9D" w:rsidRPr="006A01BD">
        <w:rPr>
          <w:sz w:val="22"/>
          <w:szCs w:val="22"/>
        </w:rPr>
        <w:t>nonrespondents</w:t>
      </w:r>
      <w:proofErr w:type="spellEnd"/>
      <w:r w:rsidR="00AC2F9D" w:rsidRPr="006A01BD">
        <w:rPr>
          <w:sz w:val="22"/>
          <w:szCs w:val="22"/>
        </w:rPr>
        <w:t xml:space="preserve">. There are a number of variables available </w:t>
      </w:r>
      <w:r>
        <w:rPr>
          <w:sz w:val="22"/>
          <w:szCs w:val="22"/>
        </w:rPr>
        <w:t>for each data file from the 2015</w:t>
      </w:r>
      <w:r w:rsidR="00AC2F9D">
        <w:rPr>
          <w:sz w:val="22"/>
          <w:szCs w:val="22"/>
        </w:rPr>
        <w:t>–</w:t>
      </w:r>
      <w:r>
        <w:rPr>
          <w:sz w:val="22"/>
          <w:szCs w:val="22"/>
        </w:rPr>
        <w:t>16</w:t>
      </w:r>
      <w:r w:rsidR="00AC2F9D" w:rsidRPr="006A01BD">
        <w:rPr>
          <w:sz w:val="22"/>
          <w:szCs w:val="22"/>
        </w:rPr>
        <w:t xml:space="preserve"> </w:t>
      </w:r>
      <w:r>
        <w:rPr>
          <w:sz w:val="22"/>
          <w:szCs w:val="22"/>
        </w:rPr>
        <w:t>NTPS</w:t>
      </w:r>
      <w:r w:rsidR="00AC2F9D" w:rsidRPr="006A01BD">
        <w:rPr>
          <w:sz w:val="22"/>
          <w:szCs w:val="22"/>
        </w:rPr>
        <w:t xml:space="preserve"> sampling frames. The variables </w:t>
      </w:r>
      <w:r w:rsidR="001273B9">
        <w:rPr>
          <w:sz w:val="22"/>
          <w:szCs w:val="22"/>
        </w:rPr>
        <w:t xml:space="preserve">to be </w:t>
      </w:r>
      <w:r w:rsidR="00AC2F9D" w:rsidRPr="006A01BD">
        <w:rPr>
          <w:sz w:val="22"/>
          <w:szCs w:val="22"/>
        </w:rPr>
        <w:t xml:space="preserve">used are presented in exhibit </w:t>
      </w:r>
      <w:r w:rsidR="001273B9">
        <w:rPr>
          <w:sz w:val="22"/>
          <w:szCs w:val="22"/>
        </w:rPr>
        <w:t>1</w:t>
      </w:r>
      <w:r w:rsidR="00AC2F9D" w:rsidRPr="006A01BD">
        <w:rPr>
          <w:sz w:val="22"/>
          <w:szCs w:val="22"/>
        </w:rPr>
        <w:t>.</w:t>
      </w:r>
    </w:p>
    <w:p w:rsidR="00AC2F9D" w:rsidRDefault="00AC2F9D" w:rsidP="00AC2F9D">
      <w:pPr>
        <w:pStyle w:val="ExhibitHeadingSASS"/>
        <w:ind w:left="1170" w:hanging="1170"/>
      </w:pPr>
      <w:r w:rsidRPr="001F631B">
        <w:rPr>
          <w:rFonts w:asciiTheme="minorHAnsi" w:hAnsiTheme="minorHAnsi" w:cstheme="minorHAnsi"/>
        </w:rPr>
        <w:br w:type="page"/>
      </w:r>
      <w:bookmarkStart w:id="1" w:name="_Toc358122757"/>
      <w:proofErr w:type="gramStart"/>
      <w:r w:rsidR="001273B9">
        <w:lastRenderedPageBreak/>
        <w:t>Exhibit 1</w:t>
      </w:r>
      <w:r>
        <w:t>.</w:t>
      </w:r>
      <w:proofErr w:type="gramEnd"/>
      <w:r>
        <w:t xml:space="preserve"> </w:t>
      </w:r>
      <w:r>
        <w:tab/>
        <w:t xml:space="preserve">Variables </w:t>
      </w:r>
      <w:r w:rsidR="001273B9">
        <w:t>to use</w:t>
      </w:r>
      <w:r>
        <w:t xml:space="preserve"> in the </w:t>
      </w:r>
      <w:r w:rsidR="001273B9">
        <w:t>NTPS</w:t>
      </w:r>
      <w:r>
        <w:t xml:space="preserve"> unit</w:t>
      </w:r>
      <w:r w:rsidR="001273B9">
        <w:t xml:space="preserve"> nonresponse bias analysis: 2015</w:t>
      </w:r>
      <w:r>
        <w:t>–1</w:t>
      </w:r>
      <w:bookmarkEnd w:id="1"/>
      <w:r w:rsidR="001273B9">
        <w:t>6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AC2F9D" w:rsidRPr="00DB5003" w:rsidTr="007D4351"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</w:tcPr>
          <w:p w:rsidR="00AC2F9D" w:rsidRPr="000832F7" w:rsidRDefault="00AC2F9D" w:rsidP="007D4351">
            <w:pPr>
              <w:ind w:left="72" w:hanging="72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Regular public schools, principals, and teacher listing form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Enrollment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 xml:space="preserve">Percent </w:t>
            </w:r>
            <w:r w:rsidR="001273B9">
              <w:rPr>
                <w:sz w:val="20"/>
                <w:szCs w:val="20"/>
              </w:rPr>
              <w:t xml:space="preserve"> of enrollment with race</w:t>
            </w:r>
            <w:r w:rsidRPr="000832F7">
              <w:rPr>
                <w:sz w:val="20"/>
                <w:szCs w:val="20"/>
              </w:rPr>
              <w:t xml:space="preserve"> other than White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 xml:space="preserve">Percent free </w:t>
            </w:r>
            <w:r w:rsidR="001273B9">
              <w:rPr>
                <w:sz w:val="20"/>
                <w:szCs w:val="20"/>
              </w:rPr>
              <w:t xml:space="preserve">or reduced price </w:t>
            </w:r>
            <w:r w:rsidRPr="000832F7">
              <w:rPr>
                <w:sz w:val="20"/>
                <w:szCs w:val="20"/>
              </w:rPr>
              <w:t>lunch eligible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Locale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Pupil-teacher ratio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Grade level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Region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Number of teachers</w:t>
            </w:r>
            <w:r w:rsidR="001273B9">
              <w:rPr>
                <w:sz w:val="20"/>
                <w:szCs w:val="20"/>
              </w:rPr>
              <w:t xml:space="preserve"> at the school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Title 1 status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enrollment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locale</w:t>
            </w:r>
          </w:p>
          <w:p w:rsidR="00AC2F9D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grade level</w:t>
            </w:r>
          </w:p>
          <w:p w:rsidR="001273B9" w:rsidRDefault="001273B9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status</w:t>
            </w:r>
          </w:p>
          <w:p w:rsidR="001273B9" w:rsidRPr="000832F7" w:rsidRDefault="001273B9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type</w:t>
            </w:r>
          </w:p>
          <w:p w:rsidR="00AC2F9D" w:rsidRPr="000832F7" w:rsidRDefault="00AC2F9D" w:rsidP="007D4351">
            <w:pPr>
              <w:contextualSpacing/>
              <w:rPr>
                <w:sz w:val="20"/>
                <w:szCs w:val="20"/>
              </w:rPr>
            </w:pPr>
          </w:p>
          <w:p w:rsidR="00AC2F9D" w:rsidRPr="000832F7" w:rsidRDefault="00AC2F9D" w:rsidP="007D4351">
            <w:pPr>
              <w:contextualSpacing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Regular public school teachers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Enrollment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 xml:space="preserve">Percent </w:t>
            </w:r>
            <w:r w:rsidR="001273B9">
              <w:rPr>
                <w:sz w:val="20"/>
                <w:szCs w:val="20"/>
              </w:rPr>
              <w:t>of enrollment with race</w:t>
            </w:r>
            <w:r w:rsidRPr="000832F7">
              <w:rPr>
                <w:sz w:val="20"/>
                <w:szCs w:val="20"/>
              </w:rPr>
              <w:t xml:space="preserve"> other than White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Percent free</w:t>
            </w:r>
            <w:r w:rsidR="001273B9">
              <w:rPr>
                <w:sz w:val="20"/>
                <w:szCs w:val="20"/>
              </w:rPr>
              <w:t xml:space="preserve"> or reduced price</w:t>
            </w:r>
            <w:r w:rsidRPr="000832F7">
              <w:rPr>
                <w:sz w:val="20"/>
                <w:szCs w:val="20"/>
              </w:rPr>
              <w:t xml:space="preserve"> lunch eligible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Locale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Pupil-teacher ratio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Grade level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Region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Number of teachers</w:t>
            </w:r>
            <w:r w:rsidR="001273B9">
              <w:rPr>
                <w:sz w:val="20"/>
                <w:szCs w:val="20"/>
              </w:rPr>
              <w:t xml:space="preserve"> at the school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Title 1 status</w:t>
            </w:r>
          </w:p>
          <w:p w:rsidR="00AC2F9D" w:rsidRPr="001273B9" w:rsidRDefault="00AC2F9D" w:rsidP="001273B9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Subject</w:t>
            </w:r>
            <w:r w:rsidR="001273B9">
              <w:rPr>
                <w:sz w:val="20"/>
                <w:szCs w:val="20"/>
              </w:rPr>
              <w:t xml:space="preserve"> taught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subject</w:t>
            </w:r>
          </w:p>
          <w:p w:rsidR="00AC2F9D" w:rsidRPr="000832F7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locale</w:t>
            </w:r>
          </w:p>
          <w:p w:rsidR="00AC2F9D" w:rsidRDefault="00AC2F9D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State by grade level</w:t>
            </w:r>
          </w:p>
          <w:p w:rsidR="001273B9" w:rsidRDefault="001273B9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Charter status</w:t>
            </w:r>
          </w:p>
          <w:p w:rsidR="001273B9" w:rsidRPr="000832F7" w:rsidRDefault="001273B9" w:rsidP="00AC2F9D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type</w:t>
            </w:r>
          </w:p>
          <w:p w:rsidR="00AC2F9D" w:rsidRPr="000832F7" w:rsidRDefault="00AC2F9D" w:rsidP="007D4351">
            <w:pPr>
              <w:contextualSpacing/>
              <w:rPr>
                <w:sz w:val="20"/>
                <w:szCs w:val="20"/>
              </w:rPr>
            </w:pPr>
          </w:p>
          <w:p w:rsidR="00AC2F9D" w:rsidRPr="000832F7" w:rsidRDefault="00AC2F9D" w:rsidP="007D435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bottom w:val="single" w:sz="4" w:space="0" w:color="000000"/>
            </w:tcBorders>
          </w:tcPr>
          <w:p w:rsidR="00AC2F9D" w:rsidRPr="000832F7" w:rsidRDefault="00AC2F9D" w:rsidP="007D4351">
            <w:pPr>
              <w:ind w:left="297"/>
              <w:rPr>
                <w:sz w:val="20"/>
                <w:szCs w:val="20"/>
              </w:rPr>
            </w:pPr>
          </w:p>
          <w:p w:rsidR="00AC2F9D" w:rsidRPr="000832F7" w:rsidRDefault="00AC2F9D" w:rsidP="008526B8">
            <w:pPr>
              <w:pStyle w:val="ListParagraph"/>
              <w:ind w:left="657"/>
              <w:rPr>
                <w:sz w:val="20"/>
                <w:szCs w:val="20"/>
              </w:rPr>
            </w:pPr>
          </w:p>
        </w:tc>
      </w:tr>
    </w:tbl>
    <w:p w:rsidR="00AC2F9D" w:rsidRDefault="00AC2F9D" w:rsidP="00AC2F9D">
      <w:r w:rsidRPr="00DE2DE8">
        <w:rPr>
          <w:sz w:val="18"/>
          <w:szCs w:val="18"/>
        </w:rPr>
        <w:t xml:space="preserve">SOURCE: </w:t>
      </w:r>
      <w:r>
        <w:rPr>
          <w:iCs/>
          <w:sz w:val="18"/>
          <w:szCs w:val="18"/>
        </w:rPr>
        <w:t>U.S. Department of Education, National Center for Education Statistics</w:t>
      </w:r>
      <w:r w:rsidRPr="00DE2DE8">
        <w:rPr>
          <w:sz w:val="18"/>
          <w:szCs w:val="18"/>
        </w:rPr>
        <w:t xml:space="preserve">, </w:t>
      </w:r>
      <w:r w:rsidR="008526B8">
        <w:rPr>
          <w:sz w:val="18"/>
          <w:szCs w:val="18"/>
        </w:rPr>
        <w:t>National Teacher and Principal</w:t>
      </w:r>
      <w:r w:rsidRPr="00DE2DE8">
        <w:rPr>
          <w:sz w:val="18"/>
          <w:szCs w:val="18"/>
        </w:rPr>
        <w:t xml:space="preserve"> Survey (</w:t>
      </w:r>
      <w:r w:rsidR="008526B8">
        <w:rPr>
          <w:sz w:val="18"/>
          <w:szCs w:val="18"/>
        </w:rPr>
        <w:t>NTPS</w:t>
      </w:r>
      <w:r w:rsidRPr="00DE2DE8">
        <w:rPr>
          <w:sz w:val="18"/>
          <w:szCs w:val="18"/>
        </w:rPr>
        <w:t>), 201</w:t>
      </w:r>
      <w:r w:rsidR="008526B8">
        <w:rPr>
          <w:sz w:val="18"/>
          <w:szCs w:val="18"/>
        </w:rPr>
        <w:t>5-16 – forthcoming survey documentation.</w:t>
      </w:r>
    </w:p>
    <w:p w:rsidR="00AC2F9D" w:rsidRPr="001F631B" w:rsidRDefault="00AC2F9D" w:rsidP="00AC2F9D">
      <w:pPr>
        <w:rPr>
          <w:rFonts w:asciiTheme="minorHAnsi" w:hAnsiTheme="minorHAnsi" w:cstheme="minorHAnsi"/>
          <w:b/>
          <w:bCs/>
          <w:sz w:val="22"/>
          <w:szCs w:val="20"/>
        </w:rPr>
      </w:pPr>
    </w:p>
    <w:p w:rsidR="00AC2F9D" w:rsidRPr="00EF3A80" w:rsidRDefault="005A21DC" w:rsidP="00AC2F9D">
      <w:pPr>
        <w:rPr>
          <w:sz w:val="22"/>
          <w:szCs w:val="22"/>
        </w:rPr>
      </w:pPr>
      <w:r>
        <w:rPr>
          <w:sz w:val="22"/>
          <w:szCs w:val="22"/>
        </w:rPr>
        <w:t>The following steps will be</w:t>
      </w:r>
      <w:r w:rsidR="00AC2F9D" w:rsidRPr="00EF3A80">
        <w:rPr>
          <w:sz w:val="22"/>
          <w:szCs w:val="22"/>
        </w:rPr>
        <w:t xml:space="preserve"> followed to compute the relative bias. First, the nonresponse bias w</w:t>
      </w:r>
      <w:r>
        <w:rPr>
          <w:sz w:val="22"/>
          <w:szCs w:val="22"/>
        </w:rPr>
        <w:t>ill be</w:t>
      </w:r>
      <w:r w:rsidR="00AC2F9D" w:rsidRPr="00EF3A80">
        <w:rPr>
          <w:sz w:val="22"/>
          <w:szCs w:val="22"/>
        </w:rPr>
        <w:t xml:space="preserve"> estimated and tested to determine if the bias is significant at the 5 percent level. Secon</w:t>
      </w:r>
      <w:r>
        <w:rPr>
          <w:sz w:val="22"/>
          <w:szCs w:val="22"/>
        </w:rPr>
        <w:t xml:space="preserve">d, </w:t>
      </w:r>
      <w:proofErr w:type="spellStart"/>
      <w:r>
        <w:rPr>
          <w:sz w:val="22"/>
          <w:szCs w:val="22"/>
        </w:rPr>
        <w:t>noninterview</w:t>
      </w:r>
      <w:proofErr w:type="spellEnd"/>
      <w:r>
        <w:rPr>
          <w:sz w:val="22"/>
          <w:szCs w:val="22"/>
        </w:rPr>
        <w:t xml:space="preserve"> adjustments are</w:t>
      </w:r>
      <w:r w:rsidR="00AC2F9D" w:rsidRPr="00EF3A80">
        <w:rPr>
          <w:sz w:val="22"/>
          <w:szCs w:val="22"/>
        </w:rPr>
        <w:t xml:space="preserve"> computed, and</w:t>
      </w:r>
      <w:r>
        <w:rPr>
          <w:sz w:val="22"/>
          <w:szCs w:val="22"/>
        </w:rPr>
        <w:t xml:space="preserve"> the variables listed above will be</w:t>
      </w:r>
      <w:r w:rsidR="00AC2F9D" w:rsidRPr="00EF3A80">
        <w:rPr>
          <w:sz w:val="22"/>
          <w:szCs w:val="22"/>
        </w:rPr>
        <w:t xml:space="preserve"> included in the nonresponse models. The </w:t>
      </w:r>
      <w:proofErr w:type="spellStart"/>
      <w:r w:rsidR="00AC2F9D" w:rsidRPr="00EF3A80">
        <w:rPr>
          <w:sz w:val="22"/>
          <w:szCs w:val="22"/>
        </w:rPr>
        <w:t>noninterview</w:t>
      </w:r>
      <w:proofErr w:type="spellEnd"/>
      <w:r w:rsidR="00AC2F9D" w:rsidRPr="00EF3A80">
        <w:rPr>
          <w:sz w:val="22"/>
          <w:szCs w:val="22"/>
        </w:rPr>
        <w:t xml:space="preserve"> adjustments, which are included in the weights</w:t>
      </w:r>
      <w:r>
        <w:rPr>
          <w:sz w:val="22"/>
          <w:szCs w:val="22"/>
        </w:rPr>
        <w:t>, are</w:t>
      </w:r>
      <w:r w:rsidR="00AC2F9D" w:rsidRPr="00EF3A80">
        <w:rPr>
          <w:sz w:val="22"/>
          <w:szCs w:val="22"/>
        </w:rPr>
        <w:t xml:space="preserve"> designed to significantly reduce or eliminate unit nonresponse bias for variables included in the models. Third, after the weights </w:t>
      </w:r>
      <w:r>
        <w:rPr>
          <w:sz w:val="22"/>
          <w:szCs w:val="22"/>
        </w:rPr>
        <w:t>are</w:t>
      </w:r>
      <w:r w:rsidR="00AC2F9D" w:rsidRPr="00EF3A80">
        <w:rPr>
          <w:sz w:val="22"/>
          <w:szCs w:val="22"/>
        </w:rPr>
        <w:t xml:space="preserve"> </w:t>
      </w:r>
      <w:r>
        <w:rPr>
          <w:sz w:val="22"/>
          <w:szCs w:val="22"/>
        </w:rPr>
        <w:t>computed, any remaining bias is</w:t>
      </w:r>
      <w:r w:rsidR="00AC2F9D" w:rsidRPr="00EF3A80">
        <w:rPr>
          <w:sz w:val="22"/>
          <w:szCs w:val="22"/>
        </w:rPr>
        <w:t xml:space="preserve"> estimated for the variables listed </w:t>
      </w:r>
      <w:r>
        <w:rPr>
          <w:sz w:val="22"/>
          <w:szCs w:val="22"/>
        </w:rPr>
        <w:t>above and statistical tests are</w:t>
      </w:r>
      <w:r w:rsidR="00AC2F9D" w:rsidRPr="00EF3A80">
        <w:rPr>
          <w:sz w:val="22"/>
          <w:szCs w:val="22"/>
        </w:rPr>
        <w:t xml:space="preserve"> performed to ch</w:t>
      </w:r>
      <w:r>
        <w:rPr>
          <w:sz w:val="22"/>
          <w:szCs w:val="22"/>
        </w:rPr>
        <w:t>eck for any</w:t>
      </w:r>
      <w:r w:rsidR="00AC2F9D" w:rsidRPr="00EF3A80">
        <w:rPr>
          <w:sz w:val="22"/>
          <w:szCs w:val="22"/>
        </w:rPr>
        <w:t xml:space="preserve"> remaining significant nonresponse bias. For this comparison, nonresponse bias </w:t>
      </w:r>
      <w:r>
        <w:rPr>
          <w:sz w:val="22"/>
          <w:szCs w:val="22"/>
        </w:rPr>
        <w:t>is</w:t>
      </w:r>
      <w:r w:rsidR="00AC2F9D" w:rsidRPr="00EF3A80">
        <w:rPr>
          <w:sz w:val="22"/>
          <w:szCs w:val="22"/>
        </w:rPr>
        <w:t xml:space="preserve"> calculated as the difference between the base-weighted sample mean and the nonresponse-adjusted respondent mean, which evaluates the effectiveness of each </w:t>
      </w:r>
      <w:proofErr w:type="spellStart"/>
      <w:r w:rsidR="00AC2F9D" w:rsidRPr="00EF3A80">
        <w:rPr>
          <w:sz w:val="22"/>
          <w:szCs w:val="22"/>
        </w:rPr>
        <w:t>noninterview</w:t>
      </w:r>
      <w:proofErr w:type="spellEnd"/>
      <w:r w:rsidR="00AC2F9D" w:rsidRPr="00EF3A80">
        <w:rPr>
          <w:sz w:val="22"/>
          <w:szCs w:val="22"/>
        </w:rPr>
        <w:t xml:space="preserve"> adjustment in mitigating nonresponse bias. Sample units found to be ineligible for </w:t>
      </w:r>
      <w:r>
        <w:rPr>
          <w:sz w:val="22"/>
          <w:szCs w:val="22"/>
        </w:rPr>
        <w:t>NTPS</w:t>
      </w:r>
      <w:r w:rsidR="00AC2F9D" w:rsidRPr="00EF3A80">
        <w:rPr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 w:rsidR="00AC2F9D" w:rsidRPr="00EF3A80">
        <w:rPr>
          <w:sz w:val="22"/>
          <w:szCs w:val="22"/>
        </w:rPr>
        <w:t xml:space="preserve"> excluded from the analysis. </w:t>
      </w:r>
    </w:p>
    <w:p w:rsidR="00AC2F9D" w:rsidRPr="001F631B" w:rsidRDefault="00AC2F9D" w:rsidP="00AC2F9D">
      <w:pPr>
        <w:rPr>
          <w:rFonts w:asciiTheme="minorHAnsi" w:hAnsiTheme="minorHAnsi" w:cstheme="minorHAnsi"/>
          <w:sz w:val="22"/>
          <w:szCs w:val="22"/>
        </w:rPr>
      </w:pPr>
    </w:p>
    <w:p w:rsidR="00AC2F9D" w:rsidRPr="001F631B" w:rsidRDefault="005A21DC" w:rsidP="00AC2F9D">
      <w:pPr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lastRenderedPageBreak/>
        <w:t xml:space="preserve">The following </w:t>
      </w:r>
      <w:r w:rsidR="00AC2F9D" w:rsidRPr="005A21DC">
        <w:rPr>
          <w:sz w:val="22"/>
          <w:szCs w:val="22"/>
        </w:rPr>
        <w:t xml:space="preserve">tables </w:t>
      </w:r>
      <w:r>
        <w:rPr>
          <w:sz w:val="22"/>
          <w:szCs w:val="22"/>
        </w:rPr>
        <w:t>provide an outline for how the data is to be summarized.</w:t>
      </w:r>
      <w:r w:rsidRPr="001F631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C2F9D" w:rsidRPr="001F631B" w:rsidRDefault="00AC2F9D" w:rsidP="00AC2F9D">
      <w:pPr>
        <w:pStyle w:val="Heading3SASS"/>
        <w:rPr>
          <w:rFonts w:asciiTheme="minorHAnsi" w:hAnsiTheme="minorHAnsi" w:cstheme="minorHAnsi"/>
        </w:rPr>
      </w:pPr>
    </w:p>
    <w:p w:rsidR="00AC2F9D" w:rsidRPr="001F631B" w:rsidRDefault="00AC2F9D" w:rsidP="00AC2F9D">
      <w:pPr>
        <w:rPr>
          <w:rFonts w:asciiTheme="minorHAnsi" w:hAnsiTheme="minorHAnsi" w:cstheme="minorHAnsi"/>
          <w:sz w:val="22"/>
          <w:szCs w:val="22"/>
        </w:rPr>
      </w:pPr>
    </w:p>
    <w:p w:rsidR="00AC2F9D" w:rsidRPr="001F631B" w:rsidRDefault="00AC2F9D" w:rsidP="00AC2F9D">
      <w:pPr>
        <w:rPr>
          <w:rFonts w:asciiTheme="minorHAnsi" w:hAnsiTheme="minorHAnsi" w:cstheme="minorHAnsi"/>
          <w:sz w:val="22"/>
          <w:szCs w:val="22"/>
        </w:rPr>
      </w:pPr>
    </w:p>
    <w:p w:rsidR="00AC2F9D" w:rsidRPr="000832F7" w:rsidRDefault="00AC2F9D" w:rsidP="00AC2F9D">
      <w:pPr>
        <w:pStyle w:val="TableHeadingSASS"/>
        <w:ind w:left="1170" w:hanging="1170"/>
        <w:rPr>
          <w:rFonts w:ascii="Times New Roman" w:hAnsi="Times New Roman"/>
        </w:rPr>
      </w:pPr>
      <w:bookmarkStart w:id="2" w:name="_Toc358122575"/>
      <w:proofErr w:type="gramStart"/>
      <w:r w:rsidRPr="000832F7">
        <w:rPr>
          <w:rFonts w:ascii="Times New Roman" w:hAnsi="Times New Roman"/>
        </w:rPr>
        <w:t xml:space="preserve">Table </w:t>
      </w:r>
      <w:r w:rsidR="005A21DC">
        <w:rPr>
          <w:rFonts w:ascii="Times New Roman" w:hAnsi="Times New Roman"/>
        </w:rPr>
        <w:t>1</w:t>
      </w:r>
      <w:r w:rsidRPr="000832F7">
        <w:rPr>
          <w:rFonts w:ascii="Times New Roman" w:hAnsi="Times New Roman"/>
        </w:rPr>
        <w:t>.</w:t>
      </w:r>
      <w:proofErr w:type="gramEnd"/>
      <w:r w:rsidRPr="000832F7">
        <w:rPr>
          <w:rFonts w:ascii="Times New Roman" w:hAnsi="Times New Roman"/>
        </w:rPr>
        <w:t xml:space="preserve"> </w:t>
      </w:r>
      <w:r w:rsidRPr="000832F7">
        <w:rPr>
          <w:rFonts w:ascii="Times New Roman" w:hAnsi="Times New Roman"/>
        </w:rPr>
        <w:tab/>
        <w:t xml:space="preserve">Summary of </w:t>
      </w:r>
      <w:r w:rsidR="005A21DC">
        <w:rPr>
          <w:rFonts w:ascii="Times New Roman" w:hAnsi="Times New Roman"/>
        </w:rPr>
        <w:t>NTPS</w:t>
      </w:r>
      <w:r w:rsidRPr="000832F7">
        <w:rPr>
          <w:rFonts w:ascii="Times New Roman" w:hAnsi="Times New Roman"/>
        </w:rPr>
        <w:t xml:space="preserve"> </w:t>
      </w:r>
      <w:r w:rsidR="00D924DD">
        <w:rPr>
          <w:rFonts w:ascii="Times New Roman" w:hAnsi="Times New Roman"/>
        </w:rPr>
        <w:t>component (school, principal, teacher listing form, teacher)</w:t>
      </w:r>
      <w:r w:rsidRPr="000832F7">
        <w:rPr>
          <w:rFonts w:ascii="Times New Roman" w:hAnsi="Times New Roman"/>
        </w:rPr>
        <w:t xml:space="preserve"> unit nonresponse bias – 201</w:t>
      </w:r>
      <w:r w:rsidR="00D924DD">
        <w:rPr>
          <w:rFonts w:ascii="Times New Roman" w:hAnsi="Times New Roman"/>
        </w:rPr>
        <w:t>5</w:t>
      </w:r>
      <w:r w:rsidRPr="000832F7">
        <w:rPr>
          <w:rFonts w:ascii="Times New Roman" w:hAnsi="Times New Roman"/>
        </w:rPr>
        <w:t>–1</w:t>
      </w:r>
      <w:bookmarkEnd w:id="2"/>
      <w:r w:rsidR="00D924DD">
        <w:rPr>
          <w:rFonts w:ascii="Times New Roman" w:hAnsi="Times New Roman"/>
        </w:rPr>
        <w:t>6</w:t>
      </w:r>
    </w:p>
    <w:tbl>
      <w:tblPr>
        <w:tblW w:w="8205" w:type="dxa"/>
        <w:tblInd w:w="93" w:type="dxa"/>
        <w:tblLook w:val="04A0" w:firstRow="1" w:lastRow="0" w:firstColumn="1" w:lastColumn="0" w:noHBand="0" w:noVBand="1"/>
      </w:tblPr>
      <w:tblGrid>
        <w:gridCol w:w="5473"/>
        <w:gridCol w:w="2732"/>
      </w:tblGrid>
      <w:tr w:rsidR="00AC2F9D" w:rsidRPr="000832F7" w:rsidTr="007D4351">
        <w:trPr>
          <w:trHeight w:val="255"/>
        </w:trPr>
        <w:tc>
          <w:tcPr>
            <w:tcW w:w="5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>Nonresponse bias statistics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Before </w:t>
            </w:r>
            <w:proofErr w:type="spellStart"/>
            <w:r w:rsidRPr="000832F7">
              <w:rPr>
                <w:color w:val="000000"/>
                <w:sz w:val="20"/>
                <w:szCs w:val="20"/>
              </w:rPr>
              <w:t>noninterview</w:t>
            </w:r>
            <w:proofErr w:type="spellEnd"/>
            <w:r w:rsidRPr="000832F7">
              <w:rPr>
                <w:color w:val="000000"/>
                <w:sz w:val="20"/>
                <w:szCs w:val="20"/>
              </w:rPr>
              <w:t xml:space="preserve"> adjustment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ind w:left="177" w:hanging="177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Mean estimated percent relative bias (absolute value)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ind w:left="177" w:hanging="177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Median estimated percent relative bias (absolute value)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ind w:left="177" w:hanging="177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Percent of variable categories significantly biased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7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After </w:t>
            </w:r>
            <w:proofErr w:type="spellStart"/>
            <w:r w:rsidRPr="000832F7">
              <w:rPr>
                <w:color w:val="000000"/>
                <w:sz w:val="20"/>
                <w:szCs w:val="20"/>
              </w:rPr>
              <w:t>noninterview</w:t>
            </w:r>
            <w:proofErr w:type="spellEnd"/>
            <w:r w:rsidRPr="000832F7">
              <w:rPr>
                <w:color w:val="000000"/>
                <w:sz w:val="20"/>
                <w:szCs w:val="20"/>
              </w:rPr>
              <w:t xml:space="preserve"> adjustment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76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Mean estimated percent relative bias (absolute value)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Median estimated percent relative bias (absolute value)</w:t>
            </w:r>
          </w:p>
        </w:tc>
        <w:tc>
          <w:tcPr>
            <w:tcW w:w="2732" w:type="dxa"/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AC2F9D" w:rsidRPr="000832F7" w:rsidTr="007D4351">
        <w:trPr>
          <w:trHeight w:val="255"/>
        </w:trPr>
        <w:tc>
          <w:tcPr>
            <w:tcW w:w="547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C2F9D" w:rsidRPr="000832F7" w:rsidRDefault="00AC2F9D" w:rsidP="007D4351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0832F7">
              <w:rPr>
                <w:color w:val="000000"/>
                <w:sz w:val="20"/>
                <w:szCs w:val="20"/>
              </w:rPr>
              <w:t xml:space="preserve">   Percent of variable categories significantly biased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C2F9D" w:rsidRPr="000832F7" w:rsidRDefault="00D924DD" w:rsidP="007D4351">
            <w:pPr>
              <w:spacing w:line="240" w:lineRule="atLeast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AC2F9D" w:rsidRPr="000832F7" w:rsidRDefault="00AC2F9D" w:rsidP="00AC2F9D">
      <w:pPr>
        <w:pStyle w:val="Sourceline"/>
        <w:rPr>
          <w:rFonts w:cs="Times New Roman"/>
          <w:szCs w:val="18"/>
        </w:rPr>
      </w:pPr>
      <w:r w:rsidRPr="000832F7">
        <w:rPr>
          <w:rFonts w:cs="Times New Roman"/>
          <w:szCs w:val="18"/>
        </w:rPr>
        <w:t xml:space="preserve">SOURCE: U.S. Department of Education, National Center for Education Statistics, </w:t>
      </w:r>
      <w:r w:rsidR="00D924DD">
        <w:rPr>
          <w:rFonts w:cs="Times New Roman"/>
          <w:szCs w:val="18"/>
        </w:rPr>
        <w:t xml:space="preserve">National Teacher and Principal </w:t>
      </w:r>
      <w:r w:rsidRPr="000832F7">
        <w:rPr>
          <w:rFonts w:cs="Times New Roman"/>
          <w:szCs w:val="18"/>
        </w:rPr>
        <w:t>Survey (</w:t>
      </w:r>
      <w:r w:rsidR="00D924DD">
        <w:rPr>
          <w:rFonts w:cs="Times New Roman"/>
          <w:szCs w:val="18"/>
        </w:rPr>
        <w:t>NTPS</w:t>
      </w:r>
      <w:r w:rsidRPr="000832F7">
        <w:rPr>
          <w:rFonts w:cs="Times New Roman"/>
          <w:szCs w:val="18"/>
        </w:rPr>
        <w:t xml:space="preserve">), “Public </w:t>
      </w:r>
      <w:r w:rsidR="00D924DD">
        <w:rPr>
          <w:rFonts w:cs="Times New Roman"/>
          <w:szCs w:val="18"/>
        </w:rPr>
        <w:t>&lt;component</w:t>
      </w:r>
      <w:proofErr w:type="gramStart"/>
      <w:r w:rsidR="00D924DD">
        <w:rPr>
          <w:rFonts w:cs="Times New Roman"/>
          <w:szCs w:val="18"/>
        </w:rPr>
        <w:t xml:space="preserve">&gt; </w:t>
      </w:r>
      <w:r w:rsidRPr="000832F7">
        <w:rPr>
          <w:rFonts w:cs="Times New Roman"/>
          <w:szCs w:val="18"/>
        </w:rPr>
        <w:t xml:space="preserve"> Documentation</w:t>
      </w:r>
      <w:proofErr w:type="gramEnd"/>
      <w:r w:rsidRPr="000832F7">
        <w:rPr>
          <w:rFonts w:cs="Times New Roman"/>
          <w:szCs w:val="18"/>
        </w:rPr>
        <w:t xml:space="preserve"> Data File,” 201</w:t>
      </w:r>
      <w:r w:rsidR="00D924DD">
        <w:rPr>
          <w:rFonts w:cs="Times New Roman"/>
          <w:szCs w:val="18"/>
        </w:rPr>
        <w:t>5–16</w:t>
      </w:r>
      <w:r w:rsidRPr="000832F7">
        <w:rPr>
          <w:rFonts w:cs="Times New Roman"/>
          <w:szCs w:val="18"/>
        </w:rPr>
        <w:t>.</w:t>
      </w:r>
    </w:p>
    <w:p w:rsidR="00AC2F9D" w:rsidRPr="000832F7" w:rsidRDefault="00AC2F9D" w:rsidP="00AC2F9D">
      <w:pPr>
        <w:spacing w:line="240" w:lineRule="atLeast"/>
        <w:rPr>
          <w:sz w:val="18"/>
          <w:szCs w:val="18"/>
        </w:rPr>
      </w:pPr>
    </w:p>
    <w:p w:rsidR="00C52ED2" w:rsidRDefault="00C52ED2"/>
    <w:p w:rsidR="00D924DD" w:rsidRPr="000832F7" w:rsidRDefault="00D23972" w:rsidP="00D924DD">
      <w:pPr>
        <w:pStyle w:val="TableHeadingSASS"/>
        <w:ind w:left="1170" w:hanging="1170"/>
        <w:rPr>
          <w:rFonts w:ascii="Times New Roman" w:hAnsi="Times New Roman"/>
        </w:rPr>
      </w:pPr>
      <w:bookmarkStart w:id="3" w:name="_Toc358122598"/>
      <w:proofErr w:type="gramStart"/>
      <w:r>
        <w:rPr>
          <w:rFonts w:ascii="Times New Roman" w:hAnsi="Times New Roman"/>
        </w:rPr>
        <w:t>Table 2</w:t>
      </w:r>
      <w:r w:rsidR="00D924DD" w:rsidRPr="000832F7">
        <w:rPr>
          <w:rFonts w:ascii="Times New Roman" w:hAnsi="Times New Roman"/>
        </w:rPr>
        <w:t>.</w:t>
      </w:r>
      <w:proofErr w:type="gramEnd"/>
      <w:r w:rsidR="00D924DD" w:rsidRPr="000832F7">
        <w:rPr>
          <w:rFonts w:ascii="Times New Roman" w:hAnsi="Times New Roman"/>
        </w:rPr>
        <w:t xml:space="preserve"> </w:t>
      </w:r>
      <w:r w:rsidR="00D924DD" w:rsidRPr="000832F7">
        <w:rPr>
          <w:rFonts w:ascii="Times New Roman" w:hAnsi="Times New Roman"/>
        </w:rPr>
        <w:tab/>
        <w:t xml:space="preserve">Effects of nonresponse adjustment on bias reduction – </w:t>
      </w:r>
      <w:r w:rsidR="00D924DD">
        <w:rPr>
          <w:rFonts w:ascii="Times New Roman" w:hAnsi="Times New Roman"/>
        </w:rPr>
        <w:t>NTPS</w:t>
      </w:r>
      <w:r w:rsidR="00D924DD" w:rsidRPr="000832F7">
        <w:rPr>
          <w:rFonts w:ascii="Times New Roman" w:hAnsi="Times New Roman"/>
        </w:rPr>
        <w:t xml:space="preserve"> public </w:t>
      </w:r>
      <w:r w:rsidR="00D924DD">
        <w:rPr>
          <w:rFonts w:ascii="Times New Roman" w:hAnsi="Times New Roman"/>
        </w:rPr>
        <w:t>&lt;component&gt;</w:t>
      </w:r>
      <w:r w:rsidR="00D924DD" w:rsidRPr="000832F7">
        <w:rPr>
          <w:rFonts w:ascii="Times New Roman" w:hAnsi="Times New Roman"/>
        </w:rPr>
        <w:t xml:space="preserve"> unit nonrespons</w:t>
      </w:r>
      <w:r>
        <w:rPr>
          <w:rFonts w:ascii="Times New Roman" w:hAnsi="Times New Roman"/>
        </w:rPr>
        <w:t>e bias: 2015</w:t>
      </w:r>
      <w:r w:rsidR="00D924DD" w:rsidRPr="000832F7">
        <w:rPr>
          <w:rFonts w:ascii="Times New Roman" w:hAnsi="Times New Roman"/>
        </w:rPr>
        <w:t>–1</w:t>
      </w:r>
      <w:bookmarkEnd w:id="3"/>
      <w:r>
        <w:rPr>
          <w:rFonts w:ascii="Times New Roman" w:hAnsi="Times New Roman"/>
        </w:rPr>
        <w:t>6</w:t>
      </w: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4"/>
        <w:gridCol w:w="536"/>
        <w:gridCol w:w="1716"/>
        <w:gridCol w:w="1716"/>
      </w:tblGrid>
      <w:tr w:rsidR="00D23972" w:rsidRPr="000832F7" w:rsidTr="007D4351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Before nonresponse adjustment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Change in absolute difference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After nonresponse adjustment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23972" w:rsidRPr="000832F7" w:rsidRDefault="00D23972" w:rsidP="00D239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categories</w:t>
            </w:r>
          </w:p>
        </w:tc>
      </w:tr>
      <w:tr w:rsidR="00D23972" w:rsidRPr="000832F7" w:rsidTr="007D4351">
        <w:tc>
          <w:tcPr>
            <w:tcW w:w="1890" w:type="dxa"/>
            <w:tcBorders>
              <w:top w:val="single" w:sz="4" w:space="0" w:color="auto"/>
            </w:tcBorders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Not significant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Significant</w:t>
            </w:r>
          </w:p>
        </w:tc>
        <w:tc>
          <w:tcPr>
            <w:tcW w:w="1716" w:type="dxa"/>
            <w:tcBorders>
              <w:top w:val="single" w:sz="4" w:space="0" w:color="auto"/>
            </w:tcBorders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Significant</w:t>
            </w: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&gt;50% Reduction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Not 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 xml:space="preserve">Significant 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10%-50% Reduction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Not 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&lt;10% Reduction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Not 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Increase in difference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Not 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23972" w:rsidRPr="000832F7" w:rsidTr="007D4351">
        <w:tc>
          <w:tcPr>
            <w:tcW w:w="1890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1894" w:type="dxa"/>
          </w:tcPr>
          <w:p w:rsidR="00D23972" w:rsidRPr="000832F7" w:rsidRDefault="00D23972" w:rsidP="007D4351">
            <w:pPr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 w:rsidRPr="000832F7">
              <w:rPr>
                <w:sz w:val="20"/>
                <w:szCs w:val="20"/>
              </w:rPr>
              <w:t>Significant</w:t>
            </w:r>
          </w:p>
        </w:tc>
        <w:tc>
          <w:tcPr>
            <w:tcW w:w="1716" w:type="dxa"/>
            <w:vAlign w:val="bottom"/>
          </w:tcPr>
          <w:p w:rsidR="00D23972" w:rsidRPr="000832F7" w:rsidRDefault="00D23972" w:rsidP="007D43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:rsidR="00D23972" w:rsidRPr="000832F7" w:rsidRDefault="00D924DD" w:rsidP="00D23972">
      <w:pPr>
        <w:pStyle w:val="Sourceline"/>
        <w:rPr>
          <w:rFonts w:cs="Times New Roman"/>
          <w:szCs w:val="18"/>
        </w:rPr>
      </w:pPr>
      <w:r w:rsidRPr="000832F7">
        <w:rPr>
          <w:rFonts w:cs="Times New Roman"/>
          <w:szCs w:val="18"/>
        </w:rPr>
        <w:t xml:space="preserve">SOURCE: U.S. Department of Education, National Center for Education Statistics, </w:t>
      </w:r>
      <w:r w:rsidR="00D23972">
        <w:rPr>
          <w:rFonts w:cs="Times New Roman"/>
          <w:szCs w:val="18"/>
        </w:rPr>
        <w:t xml:space="preserve">National Teacher and Principal </w:t>
      </w:r>
      <w:r w:rsidR="00D23972" w:rsidRPr="000832F7">
        <w:rPr>
          <w:rFonts w:cs="Times New Roman"/>
          <w:szCs w:val="18"/>
        </w:rPr>
        <w:t>Survey (</w:t>
      </w:r>
      <w:r w:rsidR="00D23972">
        <w:rPr>
          <w:rFonts w:cs="Times New Roman"/>
          <w:szCs w:val="18"/>
        </w:rPr>
        <w:t>NTPS</w:t>
      </w:r>
      <w:r w:rsidR="00D23972" w:rsidRPr="000832F7">
        <w:rPr>
          <w:rFonts w:cs="Times New Roman"/>
          <w:szCs w:val="18"/>
        </w:rPr>
        <w:t xml:space="preserve">), “Public </w:t>
      </w:r>
      <w:r w:rsidR="00D23972">
        <w:rPr>
          <w:rFonts w:cs="Times New Roman"/>
          <w:szCs w:val="18"/>
        </w:rPr>
        <w:t>&lt;component</w:t>
      </w:r>
      <w:proofErr w:type="gramStart"/>
      <w:r w:rsidR="00D23972">
        <w:rPr>
          <w:rFonts w:cs="Times New Roman"/>
          <w:szCs w:val="18"/>
        </w:rPr>
        <w:t xml:space="preserve">&gt; </w:t>
      </w:r>
      <w:r w:rsidR="00D23972" w:rsidRPr="000832F7">
        <w:rPr>
          <w:rFonts w:cs="Times New Roman"/>
          <w:szCs w:val="18"/>
        </w:rPr>
        <w:t xml:space="preserve"> Documentation</w:t>
      </w:r>
      <w:proofErr w:type="gramEnd"/>
      <w:r w:rsidR="00D23972" w:rsidRPr="000832F7">
        <w:rPr>
          <w:rFonts w:cs="Times New Roman"/>
          <w:szCs w:val="18"/>
        </w:rPr>
        <w:t xml:space="preserve"> Data File,” 201</w:t>
      </w:r>
      <w:r w:rsidR="00D23972">
        <w:rPr>
          <w:rFonts w:cs="Times New Roman"/>
          <w:szCs w:val="18"/>
        </w:rPr>
        <w:t>5–16</w:t>
      </w:r>
      <w:r w:rsidR="00D23972" w:rsidRPr="000832F7">
        <w:rPr>
          <w:rFonts w:cs="Times New Roman"/>
          <w:szCs w:val="18"/>
        </w:rPr>
        <w:t>.</w:t>
      </w:r>
    </w:p>
    <w:p w:rsidR="00D924DD" w:rsidRPr="000832F7" w:rsidRDefault="00D924DD" w:rsidP="00D924DD">
      <w:pPr>
        <w:pStyle w:val="Sourceline"/>
        <w:rPr>
          <w:rFonts w:cs="Times New Roman"/>
          <w:szCs w:val="18"/>
        </w:rPr>
      </w:pPr>
    </w:p>
    <w:p w:rsidR="00D924DD" w:rsidRDefault="00D924DD" w:rsidP="00D924DD">
      <w:pPr>
        <w:pStyle w:val="Heading4SASS"/>
        <w:rPr>
          <w:rFonts w:asciiTheme="minorHAnsi" w:hAnsiTheme="minorHAnsi" w:cstheme="minorHAnsi"/>
        </w:rPr>
      </w:pPr>
    </w:p>
    <w:p w:rsidR="00D23972" w:rsidRPr="00D23972" w:rsidRDefault="00D23972" w:rsidP="00D23972">
      <w:pPr>
        <w:pStyle w:val="Heading2SASS"/>
        <w:rPr>
          <w:rFonts w:ascii="Times New Roman" w:hAnsi="Times New Roman" w:cs="Times New Roman"/>
          <w:szCs w:val="22"/>
        </w:rPr>
      </w:pPr>
      <w:r w:rsidRPr="00D23972">
        <w:rPr>
          <w:rFonts w:ascii="Times New Roman" w:hAnsi="Times New Roman" w:cs="Times New Roman"/>
          <w:szCs w:val="22"/>
        </w:rPr>
        <w:t>Item-level Nonresponse</w:t>
      </w:r>
    </w:p>
    <w:p w:rsidR="00D23972" w:rsidRPr="00D23972" w:rsidRDefault="00D23972" w:rsidP="00D23972">
      <w:pPr>
        <w:rPr>
          <w:sz w:val="22"/>
          <w:szCs w:val="22"/>
        </w:rPr>
      </w:pPr>
    </w:p>
    <w:p w:rsidR="00D23972" w:rsidRPr="00D23972" w:rsidRDefault="00D23972" w:rsidP="00D23972">
      <w:pPr>
        <w:pStyle w:val="Heading3SASS"/>
        <w:rPr>
          <w:rFonts w:ascii="Times New Roman" w:hAnsi="Times New Roman" w:cs="Times New Roman"/>
        </w:rPr>
      </w:pPr>
      <w:r w:rsidRPr="00D23972">
        <w:rPr>
          <w:rFonts w:ascii="Times New Roman" w:hAnsi="Times New Roman" w:cs="Times New Roman"/>
        </w:rPr>
        <w:t>Overview of Methodology</w:t>
      </w:r>
    </w:p>
    <w:p w:rsidR="00D23972" w:rsidRPr="00D23972" w:rsidRDefault="00D23972" w:rsidP="00D23972">
      <w:pPr>
        <w:rPr>
          <w:sz w:val="22"/>
          <w:szCs w:val="22"/>
        </w:rPr>
      </w:pPr>
    </w:p>
    <w:p w:rsidR="00D23972" w:rsidRPr="00D23972" w:rsidRDefault="00D23972" w:rsidP="00D23972">
      <w:pPr>
        <w:autoSpaceDE w:val="0"/>
        <w:autoSpaceDN w:val="0"/>
        <w:adjustRightInd w:val="0"/>
        <w:rPr>
          <w:bCs/>
          <w:sz w:val="22"/>
          <w:szCs w:val="22"/>
        </w:rPr>
      </w:pPr>
      <w:r w:rsidRPr="00D23972">
        <w:rPr>
          <w:bCs/>
          <w:sz w:val="22"/>
          <w:szCs w:val="22"/>
        </w:rPr>
        <w:t xml:space="preserve">The item bias analysis </w:t>
      </w:r>
      <w:r w:rsidR="00BB0BB7">
        <w:rPr>
          <w:bCs/>
          <w:sz w:val="22"/>
          <w:szCs w:val="22"/>
        </w:rPr>
        <w:t>will examine</w:t>
      </w:r>
      <w:r w:rsidRPr="00D23972">
        <w:rPr>
          <w:bCs/>
          <w:sz w:val="22"/>
          <w:szCs w:val="22"/>
        </w:rPr>
        <w:t xml:space="preserve"> the overall response rate for each item on all </w:t>
      </w:r>
      <w:r w:rsidR="00BB0BB7">
        <w:rPr>
          <w:bCs/>
          <w:sz w:val="22"/>
          <w:szCs w:val="22"/>
        </w:rPr>
        <w:t>NTPS</w:t>
      </w:r>
      <w:r w:rsidRPr="00D23972">
        <w:rPr>
          <w:bCs/>
          <w:sz w:val="22"/>
          <w:szCs w:val="22"/>
        </w:rPr>
        <w:t xml:space="preserve"> d</w:t>
      </w:r>
      <w:r w:rsidR="00BB0BB7">
        <w:rPr>
          <w:bCs/>
          <w:sz w:val="22"/>
          <w:szCs w:val="22"/>
        </w:rPr>
        <w:t>ata files. The analysis will include</w:t>
      </w:r>
      <w:r w:rsidRPr="00D23972">
        <w:rPr>
          <w:bCs/>
          <w:sz w:val="22"/>
          <w:szCs w:val="22"/>
        </w:rPr>
        <w:t xml:space="preserve"> examining the item response rates by the characteristics listed in exhibit </w:t>
      </w:r>
      <w:r w:rsidR="00BB0BB7">
        <w:rPr>
          <w:bCs/>
          <w:sz w:val="22"/>
          <w:szCs w:val="22"/>
        </w:rPr>
        <w:t>2</w:t>
      </w:r>
      <w:r w:rsidRPr="00D23972">
        <w:rPr>
          <w:bCs/>
          <w:sz w:val="22"/>
          <w:szCs w:val="22"/>
        </w:rPr>
        <w:t xml:space="preserve"> below, using the final weight for all in-scope sampled units. If the overall</w:t>
      </w:r>
      <w:r w:rsidR="00BB0BB7">
        <w:rPr>
          <w:bCs/>
          <w:sz w:val="22"/>
          <w:szCs w:val="22"/>
        </w:rPr>
        <w:t xml:space="preserve"> response rate for the item falls</w:t>
      </w:r>
      <w:r w:rsidRPr="00D23972">
        <w:rPr>
          <w:bCs/>
          <w:sz w:val="22"/>
          <w:szCs w:val="22"/>
        </w:rPr>
        <w:t xml:space="preserve"> below 70 percent, the item will be footnoted in NCES publications with “Item response rate fell below 70 percent”  as a method of cautioning the user that the low item response rate introduces some potential for bias in the imputation procedure. For any characteristic </w:t>
      </w:r>
      <w:r w:rsidR="00BB0BB7">
        <w:rPr>
          <w:bCs/>
          <w:sz w:val="22"/>
          <w:szCs w:val="22"/>
        </w:rPr>
        <w:t>where the item response rate is</w:t>
      </w:r>
      <w:r w:rsidRPr="00D23972">
        <w:rPr>
          <w:bCs/>
          <w:sz w:val="22"/>
          <w:szCs w:val="22"/>
        </w:rPr>
        <w:t xml:space="preserve"> less than 85 </w:t>
      </w:r>
      <w:r w:rsidRPr="00D23972">
        <w:rPr>
          <w:bCs/>
          <w:sz w:val="22"/>
          <w:szCs w:val="22"/>
        </w:rPr>
        <w:lastRenderedPageBreak/>
        <w:t>perce</w:t>
      </w:r>
      <w:r w:rsidR="00BB0BB7">
        <w:rPr>
          <w:bCs/>
          <w:sz w:val="22"/>
          <w:szCs w:val="22"/>
        </w:rPr>
        <w:t>nt, a more detailed analysis will be</w:t>
      </w:r>
      <w:r w:rsidRPr="00D23972">
        <w:rPr>
          <w:bCs/>
          <w:sz w:val="22"/>
          <w:szCs w:val="22"/>
        </w:rPr>
        <w:t xml:space="preserve"> done by the characteristics listed in exhibit </w:t>
      </w:r>
      <w:r w:rsidR="00BB0BB7">
        <w:rPr>
          <w:bCs/>
          <w:sz w:val="22"/>
          <w:szCs w:val="22"/>
        </w:rPr>
        <w:t>2</w:t>
      </w:r>
      <w:r w:rsidRPr="00D23972">
        <w:rPr>
          <w:bCs/>
          <w:sz w:val="22"/>
          <w:szCs w:val="22"/>
        </w:rPr>
        <w:t xml:space="preserve">. The results </w:t>
      </w:r>
      <w:r w:rsidR="00BB0BB7">
        <w:rPr>
          <w:bCs/>
          <w:sz w:val="22"/>
          <w:szCs w:val="22"/>
        </w:rPr>
        <w:t>are</w:t>
      </w:r>
      <w:r w:rsidRPr="00D23972">
        <w:rPr>
          <w:bCs/>
          <w:sz w:val="22"/>
          <w:szCs w:val="22"/>
        </w:rPr>
        <w:t xml:space="preserve"> highlighted if that particular cell had a significantly higher or lower response rate than the file as a whole and bolded if the difference </w:t>
      </w:r>
      <w:r w:rsidR="00BB0BB7">
        <w:rPr>
          <w:bCs/>
          <w:sz w:val="22"/>
          <w:szCs w:val="22"/>
        </w:rPr>
        <w:t>is</w:t>
      </w:r>
      <w:r w:rsidRPr="00D23972">
        <w:rPr>
          <w:bCs/>
          <w:sz w:val="22"/>
          <w:szCs w:val="22"/>
        </w:rPr>
        <w:t xml:space="preserve"> noteworthy. A noteworthy difference me</w:t>
      </w:r>
      <w:r w:rsidR="00BB0BB7">
        <w:rPr>
          <w:bCs/>
          <w:sz w:val="22"/>
          <w:szCs w:val="22"/>
        </w:rPr>
        <w:t>e</w:t>
      </w:r>
      <w:r w:rsidRPr="00D23972">
        <w:rPr>
          <w:bCs/>
          <w:sz w:val="22"/>
          <w:szCs w:val="22"/>
        </w:rPr>
        <w:t>t</w:t>
      </w:r>
      <w:r w:rsidR="00BB0BB7">
        <w:rPr>
          <w:bCs/>
          <w:sz w:val="22"/>
          <w:szCs w:val="22"/>
        </w:rPr>
        <w:t>s</w:t>
      </w:r>
      <w:r w:rsidRPr="00D23972">
        <w:rPr>
          <w:bCs/>
          <w:sz w:val="22"/>
          <w:szCs w:val="22"/>
        </w:rPr>
        <w:t xml:space="preserve"> the following conditions:</w:t>
      </w:r>
    </w:p>
    <w:p w:rsidR="00D23972" w:rsidRPr="00D23972" w:rsidRDefault="00D23972" w:rsidP="00D23972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23972" w:rsidRPr="00D23972" w:rsidRDefault="00D23972" w:rsidP="00D23972">
      <w:pPr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D23972">
        <w:rPr>
          <w:bCs/>
          <w:sz w:val="22"/>
          <w:szCs w:val="22"/>
        </w:rPr>
        <w:t>The difference relative to the overall response rate for the particular item was greater than 10 percent.</w:t>
      </w:r>
    </w:p>
    <w:p w:rsidR="00D23972" w:rsidRPr="00D23972" w:rsidRDefault="00D23972" w:rsidP="00D23972">
      <w:pPr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D23972">
        <w:rPr>
          <w:bCs/>
          <w:sz w:val="22"/>
          <w:szCs w:val="22"/>
        </w:rPr>
        <w:t>The absolute difference was greater than one percentage point.</w:t>
      </w:r>
    </w:p>
    <w:p w:rsidR="00D23972" w:rsidRPr="00D23972" w:rsidRDefault="00D23972" w:rsidP="00D23972">
      <w:pPr>
        <w:numPr>
          <w:ilvl w:val="0"/>
          <w:numId w:val="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D23972">
        <w:rPr>
          <w:bCs/>
          <w:sz w:val="22"/>
          <w:szCs w:val="22"/>
        </w:rPr>
        <w:t>The cell had at least 30 interviews.</w:t>
      </w:r>
    </w:p>
    <w:p w:rsidR="00D23972" w:rsidRPr="00D23972" w:rsidRDefault="00D23972" w:rsidP="00D23972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D23972" w:rsidRPr="00D23972" w:rsidRDefault="00D23972" w:rsidP="00D23972">
      <w:pPr>
        <w:pStyle w:val="ExhibitHeadingSASS"/>
        <w:ind w:left="1170" w:hanging="1170"/>
        <w:rPr>
          <w:rFonts w:ascii="Times New Roman" w:hAnsi="Times New Roman"/>
          <w:szCs w:val="22"/>
        </w:rPr>
      </w:pPr>
      <w:bookmarkStart w:id="4" w:name="_Toc364947010"/>
      <w:proofErr w:type="gramStart"/>
      <w:r w:rsidRPr="00D23972">
        <w:rPr>
          <w:rFonts w:ascii="Times New Roman" w:hAnsi="Times New Roman"/>
          <w:szCs w:val="22"/>
        </w:rPr>
        <w:t xml:space="preserve">Exhibit </w:t>
      </w:r>
      <w:r w:rsidR="00BB0BB7">
        <w:rPr>
          <w:rFonts w:ascii="Times New Roman" w:hAnsi="Times New Roman"/>
          <w:szCs w:val="22"/>
        </w:rPr>
        <w:t>2</w:t>
      </w:r>
      <w:r w:rsidRPr="00D23972">
        <w:rPr>
          <w:rFonts w:ascii="Times New Roman" w:hAnsi="Times New Roman"/>
          <w:szCs w:val="22"/>
        </w:rPr>
        <w:t>.</w:t>
      </w:r>
      <w:proofErr w:type="gramEnd"/>
      <w:r w:rsidRPr="00D23972">
        <w:rPr>
          <w:rFonts w:ascii="Times New Roman" w:hAnsi="Times New Roman"/>
          <w:szCs w:val="22"/>
        </w:rPr>
        <w:t xml:space="preserve"> </w:t>
      </w:r>
      <w:r w:rsidRPr="00D23972">
        <w:rPr>
          <w:rFonts w:ascii="Times New Roman" w:hAnsi="Times New Roman"/>
          <w:szCs w:val="22"/>
        </w:rPr>
        <w:tab/>
        <w:t xml:space="preserve">Variables </w:t>
      </w:r>
      <w:r w:rsidR="00A95F0C">
        <w:rPr>
          <w:rFonts w:ascii="Times New Roman" w:hAnsi="Times New Roman"/>
          <w:szCs w:val="22"/>
        </w:rPr>
        <w:t xml:space="preserve">to be </w:t>
      </w:r>
      <w:bookmarkStart w:id="5" w:name="_GoBack"/>
      <w:bookmarkEnd w:id="5"/>
      <w:r w:rsidRPr="00D23972">
        <w:rPr>
          <w:rFonts w:ascii="Times New Roman" w:hAnsi="Times New Roman"/>
          <w:szCs w:val="22"/>
        </w:rPr>
        <w:t xml:space="preserve">used in the </w:t>
      </w:r>
      <w:r w:rsidR="00BB0BB7">
        <w:rPr>
          <w:rFonts w:ascii="Times New Roman" w:hAnsi="Times New Roman"/>
          <w:szCs w:val="22"/>
        </w:rPr>
        <w:t>NTPS</w:t>
      </w:r>
      <w:r w:rsidRPr="00D23972">
        <w:rPr>
          <w:rFonts w:ascii="Times New Roman" w:hAnsi="Times New Roman"/>
          <w:szCs w:val="22"/>
        </w:rPr>
        <w:t xml:space="preserve"> item</w:t>
      </w:r>
      <w:r w:rsidR="004A7D80">
        <w:rPr>
          <w:rFonts w:ascii="Times New Roman" w:hAnsi="Times New Roman"/>
          <w:szCs w:val="22"/>
        </w:rPr>
        <w:t xml:space="preserve"> nonresponse bias analysis: 2015</w:t>
      </w:r>
      <w:r w:rsidRPr="00D23972">
        <w:rPr>
          <w:rFonts w:ascii="Times New Roman" w:hAnsi="Times New Roman"/>
          <w:szCs w:val="22"/>
        </w:rPr>
        <w:t>–1</w:t>
      </w:r>
      <w:bookmarkEnd w:id="4"/>
      <w:r w:rsidR="004A7D80">
        <w:rPr>
          <w:rFonts w:ascii="Times New Roman" w:hAnsi="Times New Roman"/>
          <w:szCs w:val="22"/>
        </w:rPr>
        <w:t>6</w:t>
      </w:r>
    </w:p>
    <w:tbl>
      <w:tblPr>
        <w:tblW w:w="9450" w:type="dxa"/>
        <w:tblInd w:w="108" w:type="dxa"/>
        <w:tblLook w:val="04A0" w:firstRow="1" w:lastRow="0" w:firstColumn="1" w:lastColumn="0" w:noHBand="0" w:noVBand="1"/>
      </w:tblPr>
      <w:tblGrid>
        <w:gridCol w:w="4815"/>
        <w:gridCol w:w="4635"/>
      </w:tblGrid>
      <w:tr w:rsidR="00D23972" w:rsidRPr="00D23972" w:rsidTr="007D4351">
        <w:tc>
          <w:tcPr>
            <w:tcW w:w="4815" w:type="dxa"/>
            <w:tcBorders>
              <w:top w:val="single" w:sz="4" w:space="0" w:color="000000"/>
              <w:bottom w:val="single" w:sz="4" w:space="0" w:color="000000"/>
            </w:tcBorders>
          </w:tcPr>
          <w:p w:rsidR="00D23972" w:rsidRPr="00D23972" w:rsidRDefault="00D23972" w:rsidP="007D4351">
            <w:pPr>
              <w:rPr>
                <w:sz w:val="22"/>
                <w:szCs w:val="22"/>
              </w:rPr>
            </w:pPr>
          </w:p>
          <w:p w:rsidR="00D23972" w:rsidRPr="00D23972" w:rsidRDefault="004A7D80" w:rsidP="007D43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 s</w:t>
            </w:r>
            <w:r w:rsidR="00D23972" w:rsidRPr="00D23972">
              <w:rPr>
                <w:sz w:val="22"/>
                <w:szCs w:val="22"/>
              </w:rPr>
              <w:t>chools</w:t>
            </w:r>
            <w:r>
              <w:rPr>
                <w:sz w:val="22"/>
                <w:szCs w:val="22"/>
              </w:rPr>
              <w:t xml:space="preserve"> and </w:t>
            </w:r>
            <w:r w:rsidR="00D23972" w:rsidRPr="00D23972">
              <w:rPr>
                <w:sz w:val="22"/>
                <w:szCs w:val="22"/>
              </w:rPr>
              <w:t>principals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Enrollment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Percent</w:t>
            </w:r>
            <w:r w:rsidR="004A7D80">
              <w:rPr>
                <w:szCs w:val="22"/>
              </w:rPr>
              <w:t xml:space="preserve"> of enrollment with race</w:t>
            </w:r>
            <w:r w:rsidRPr="00D23972">
              <w:rPr>
                <w:szCs w:val="22"/>
              </w:rPr>
              <w:t xml:space="preserve"> other than White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Percent free</w:t>
            </w:r>
            <w:r w:rsidR="004A7D80">
              <w:rPr>
                <w:szCs w:val="22"/>
              </w:rPr>
              <w:t xml:space="preserve"> or reduced price</w:t>
            </w:r>
            <w:r w:rsidRPr="00D23972">
              <w:rPr>
                <w:szCs w:val="22"/>
              </w:rPr>
              <w:t xml:space="preserve"> lunch eligible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Locale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Pupil-teacher ratio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Grade level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Region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Number of teachers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Title 1 status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State</w:t>
            </w:r>
          </w:p>
          <w:p w:rsidR="00D23972" w:rsidRPr="00D23972" w:rsidRDefault="00D23972" w:rsidP="007D4351">
            <w:pPr>
              <w:contextualSpacing/>
              <w:rPr>
                <w:sz w:val="22"/>
                <w:szCs w:val="22"/>
              </w:rPr>
            </w:pPr>
          </w:p>
          <w:p w:rsidR="00D23972" w:rsidRPr="00D23972" w:rsidRDefault="00D23972" w:rsidP="007D4351">
            <w:pPr>
              <w:contextualSpacing/>
              <w:rPr>
                <w:sz w:val="22"/>
                <w:szCs w:val="22"/>
              </w:rPr>
            </w:pPr>
            <w:r w:rsidRPr="00D23972">
              <w:rPr>
                <w:sz w:val="22"/>
                <w:szCs w:val="22"/>
              </w:rPr>
              <w:t>Public school teachers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Enrollment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 xml:space="preserve">Percent </w:t>
            </w:r>
            <w:r w:rsidR="004A7D80">
              <w:rPr>
                <w:szCs w:val="22"/>
              </w:rPr>
              <w:t>of enrollment with race</w:t>
            </w:r>
            <w:r w:rsidRPr="00D23972">
              <w:rPr>
                <w:szCs w:val="22"/>
              </w:rPr>
              <w:t xml:space="preserve"> other than White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Percent free</w:t>
            </w:r>
            <w:r w:rsidR="004A7D80">
              <w:rPr>
                <w:szCs w:val="22"/>
              </w:rPr>
              <w:t xml:space="preserve"> or reduced price</w:t>
            </w:r>
            <w:r w:rsidRPr="00D23972">
              <w:rPr>
                <w:szCs w:val="22"/>
              </w:rPr>
              <w:t xml:space="preserve"> lunch eligible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Locale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Pupil-teacher ratio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Grade level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Region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Number of teachers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Title 1 status</w:t>
            </w:r>
          </w:p>
          <w:p w:rsidR="00D23972" w:rsidRPr="004A7D80" w:rsidRDefault="00D23972" w:rsidP="004A7D80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Subject</w:t>
            </w:r>
            <w:r w:rsidR="004A7D80">
              <w:rPr>
                <w:szCs w:val="22"/>
              </w:rPr>
              <w:t xml:space="preserve"> taught</w:t>
            </w:r>
          </w:p>
          <w:p w:rsidR="00D23972" w:rsidRPr="00D23972" w:rsidRDefault="00D23972" w:rsidP="00D23972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szCs w:val="22"/>
              </w:rPr>
            </w:pPr>
            <w:r w:rsidRPr="00D23972">
              <w:rPr>
                <w:szCs w:val="22"/>
              </w:rPr>
              <w:t>State</w:t>
            </w:r>
          </w:p>
        </w:tc>
        <w:tc>
          <w:tcPr>
            <w:tcW w:w="4635" w:type="dxa"/>
            <w:tcBorders>
              <w:top w:val="single" w:sz="4" w:space="0" w:color="000000"/>
              <w:bottom w:val="single" w:sz="4" w:space="0" w:color="000000"/>
            </w:tcBorders>
          </w:tcPr>
          <w:p w:rsidR="00D23972" w:rsidRPr="00D23972" w:rsidRDefault="00D23972" w:rsidP="007D4351">
            <w:pPr>
              <w:pStyle w:val="ListParagraph"/>
              <w:ind w:left="1017"/>
              <w:rPr>
                <w:szCs w:val="22"/>
              </w:rPr>
            </w:pPr>
          </w:p>
          <w:p w:rsidR="00D23972" w:rsidRPr="00D23972" w:rsidRDefault="00D23972" w:rsidP="007D4351">
            <w:pPr>
              <w:pStyle w:val="ListParagraph"/>
              <w:ind w:left="1017"/>
              <w:rPr>
                <w:szCs w:val="22"/>
              </w:rPr>
            </w:pPr>
          </w:p>
          <w:p w:rsidR="00D23972" w:rsidRPr="00D23972" w:rsidRDefault="00D23972" w:rsidP="007D4351">
            <w:pPr>
              <w:pStyle w:val="ListParagraph"/>
              <w:rPr>
                <w:szCs w:val="22"/>
              </w:rPr>
            </w:pPr>
          </w:p>
          <w:p w:rsidR="00D23972" w:rsidRPr="00D23972" w:rsidRDefault="00D23972" w:rsidP="007D4351">
            <w:pPr>
              <w:pStyle w:val="ListParagraph"/>
              <w:ind w:left="1017"/>
              <w:rPr>
                <w:szCs w:val="22"/>
              </w:rPr>
            </w:pPr>
          </w:p>
          <w:p w:rsidR="00D23972" w:rsidRPr="00D23972" w:rsidRDefault="00D23972" w:rsidP="007D4351">
            <w:pPr>
              <w:pStyle w:val="ListParagraph"/>
              <w:ind w:left="1017"/>
              <w:rPr>
                <w:szCs w:val="22"/>
              </w:rPr>
            </w:pPr>
          </w:p>
        </w:tc>
      </w:tr>
    </w:tbl>
    <w:p w:rsidR="004A7D80" w:rsidRDefault="004A7D80" w:rsidP="004A7D80">
      <w:r w:rsidRPr="00DE2DE8">
        <w:rPr>
          <w:sz w:val="18"/>
          <w:szCs w:val="18"/>
        </w:rPr>
        <w:t xml:space="preserve">SOURCE: </w:t>
      </w:r>
      <w:r>
        <w:rPr>
          <w:iCs/>
          <w:sz w:val="18"/>
          <w:szCs w:val="18"/>
        </w:rPr>
        <w:t>U.S. Department of Education, National Center for Education Statistics</w:t>
      </w:r>
      <w:r w:rsidRPr="00DE2DE8">
        <w:rPr>
          <w:sz w:val="18"/>
          <w:szCs w:val="18"/>
        </w:rPr>
        <w:t xml:space="preserve">, </w:t>
      </w:r>
      <w:r>
        <w:rPr>
          <w:sz w:val="18"/>
          <w:szCs w:val="18"/>
        </w:rPr>
        <w:t>National Teacher and Principal</w:t>
      </w:r>
      <w:r w:rsidRPr="00DE2DE8">
        <w:rPr>
          <w:sz w:val="18"/>
          <w:szCs w:val="18"/>
        </w:rPr>
        <w:t xml:space="preserve"> Survey (</w:t>
      </w:r>
      <w:r>
        <w:rPr>
          <w:sz w:val="18"/>
          <w:szCs w:val="18"/>
        </w:rPr>
        <w:t>NTPS</w:t>
      </w:r>
      <w:r w:rsidRPr="00DE2DE8">
        <w:rPr>
          <w:sz w:val="18"/>
          <w:szCs w:val="18"/>
        </w:rPr>
        <w:t>), 201</w:t>
      </w:r>
      <w:r>
        <w:rPr>
          <w:sz w:val="18"/>
          <w:szCs w:val="18"/>
        </w:rPr>
        <w:t>5-16 – forthcoming survey documentation.</w:t>
      </w:r>
    </w:p>
    <w:p w:rsidR="00D924DD" w:rsidRPr="00D23972" w:rsidRDefault="00D924DD" w:rsidP="004A7D80">
      <w:pPr>
        <w:autoSpaceDE w:val="0"/>
        <w:autoSpaceDN w:val="0"/>
        <w:adjustRightInd w:val="0"/>
        <w:rPr>
          <w:sz w:val="22"/>
          <w:szCs w:val="22"/>
        </w:rPr>
      </w:pPr>
    </w:p>
    <w:sectPr w:rsidR="00D924DD" w:rsidRPr="00D23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6BAF"/>
    <w:multiLevelType w:val="hybridMultilevel"/>
    <w:tmpl w:val="EFC4D0C4"/>
    <w:lvl w:ilvl="0" w:tplc="0409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">
    <w:nsid w:val="3C5678B8"/>
    <w:multiLevelType w:val="hybridMultilevel"/>
    <w:tmpl w:val="D630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534DA"/>
    <w:multiLevelType w:val="hybridMultilevel"/>
    <w:tmpl w:val="7882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43AC2"/>
    <w:multiLevelType w:val="hybridMultilevel"/>
    <w:tmpl w:val="D144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9D"/>
    <w:rsid w:val="000113EF"/>
    <w:rsid w:val="00011A5B"/>
    <w:rsid w:val="00023974"/>
    <w:rsid w:val="00031A8C"/>
    <w:rsid w:val="000370DF"/>
    <w:rsid w:val="00042C04"/>
    <w:rsid w:val="0004767F"/>
    <w:rsid w:val="00054CF4"/>
    <w:rsid w:val="00057FCD"/>
    <w:rsid w:val="00067C4C"/>
    <w:rsid w:val="0007580E"/>
    <w:rsid w:val="00092D92"/>
    <w:rsid w:val="00097FC4"/>
    <w:rsid w:val="000B023D"/>
    <w:rsid w:val="000B5976"/>
    <w:rsid w:val="000B6B53"/>
    <w:rsid w:val="000D64AC"/>
    <w:rsid w:val="000E56F5"/>
    <w:rsid w:val="000F6337"/>
    <w:rsid w:val="00101F4F"/>
    <w:rsid w:val="00105AB7"/>
    <w:rsid w:val="001060C1"/>
    <w:rsid w:val="00107C9E"/>
    <w:rsid w:val="001104D9"/>
    <w:rsid w:val="00110B46"/>
    <w:rsid w:val="0011233D"/>
    <w:rsid w:val="00113571"/>
    <w:rsid w:val="00117E58"/>
    <w:rsid w:val="00121395"/>
    <w:rsid w:val="00121ADA"/>
    <w:rsid w:val="00124ED5"/>
    <w:rsid w:val="0012500B"/>
    <w:rsid w:val="001273B9"/>
    <w:rsid w:val="00127AA3"/>
    <w:rsid w:val="001347CF"/>
    <w:rsid w:val="001453DE"/>
    <w:rsid w:val="00145911"/>
    <w:rsid w:val="00146646"/>
    <w:rsid w:val="001610C6"/>
    <w:rsid w:val="00161A78"/>
    <w:rsid w:val="00162186"/>
    <w:rsid w:val="001636E2"/>
    <w:rsid w:val="00163AB9"/>
    <w:rsid w:val="00164A1B"/>
    <w:rsid w:val="0017614E"/>
    <w:rsid w:val="00184593"/>
    <w:rsid w:val="001A03F3"/>
    <w:rsid w:val="001A5C61"/>
    <w:rsid w:val="001B4A66"/>
    <w:rsid w:val="001B76C6"/>
    <w:rsid w:val="001C3736"/>
    <w:rsid w:val="001D0060"/>
    <w:rsid w:val="001D0A1D"/>
    <w:rsid w:val="001D1173"/>
    <w:rsid w:val="001D2999"/>
    <w:rsid w:val="001D769C"/>
    <w:rsid w:val="001F1BEB"/>
    <w:rsid w:val="001F4AE7"/>
    <w:rsid w:val="0020362A"/>
    <w:rsid w:val="00204D63"/>
    <w:rsid w:val="00217BD1"/>
    <w:rsid w:val="0022014C"/>
    <w:rsid w:val="002218F4"/>
    <w:rsid w:val="00223179"/>
    <w:rsid w:val="002242F5"/>
    <w:rsid w:val="00224B69"/>
    <w:rsid w:val="00233934"/>
    <w:rsid w:val="00236E11"/>
    <w:rsid w:val="00236EE2"/>
    <w:rsid w:val="00241F18"/>
    <w:rsid w:val="002420AA"/>
    <w:rsid w:val="00253513"/>
    <w:rsid w:val="0025595E"/>
    <w:rsid w:val="0026366B"/>
    <w:rsid w:val="00282D9E"/>
    <w:rsid w:val="0028318B"/>
    <w:rsid w:val="002871B8"/>
    <w:rsid w:val="002922E5"/>
    <w:rsid w:val="002935FB"/>
    <w:rsid w:val="002A7E6C"/>
    <w:rsid w:val="002B2171"/>
    <w:rsid w:val="002B3EBC"/>
    <w:rsid w:val="002B7E5D"/>
    <w:rsid w:val="002C4FBC"/>
    <w:rsid w:val="002D69F1"/>
    <w:rsid w:val="002E34AD"/>
    <w:rsid w:val="002E371E"/>
    <w:rsid w:val="002E63EC"/>
    <w:rsid w:val="002F1A7A"/>
    <w:rsid w:val="002F34E0"/>
    <w:rsid w:val="002F3812"/>
    <w:rsid w:val="002F51E3"/>
    <w:rsid w:val="002F7742"/>
    <w:rsid w:val="00303E83"/>
    <w:rsid w:val="00303FDE"/>
    <w:rsid w:val="003102A7"/>
    <w:rsid w:val="0031104D"/>
    <w:rsid w:val="003155ED"/>
    <w:rsid w:val="003158E8"/>
    <w:rsid w:val="00320A0F"/>
    <w:rsid w:val="00330115"/>
    <w:rsid w:val="003324F4"/>
    <w:rsid w:val="00337252"/>
    <w:rsid w:val="00341038"/>
    <w:rsid w:val="00356132"/>
    <w:rsid w:val="003652E3"/>
    <w:rsid w:val="0036700B"/>
    <w:rsid w:val="003712A0"/>
    <w:rsid w:val="00375963"/>
    <w:rsid w:val="00377515"/>
    <w:rsid w:val="00380697"/>
    <w:rsid w:val="00381F46"/>
    <w:rsid w:val="00385985"/>
    <w:rsid w:val="00396C91"/>
    <w:rsid w:val="00397C43"/>
    <w:rsid w:val="003A2D96"/>
    <w:rsid w:val="003B7AC6"/>
    <w:rsid w:val="003D1112"/>
    <w:rsid w:val="003D3649"/>
    <w:rsid w:val="003D64B3"/>
    <w:rsid w:val="003E3152"/>
    <w:rsid w:val="003E5A19"/>
    <w:rsid w:val="003E6A2D"/>
    <w:rsid w:val="003E7108"/>
    <w:rsid w:val="003F08CA"/>
    <w:rsid w:val="003F20DB"/>
    <w:rsid w:val="003F21D0"/>
    <w:rsid w:val="003F2BF3"/>
    <w:rsid w:val="003F631C"/>
    <w:rsid w:val="003F6702"/>
    <w:rsid w:val="004119EC"/>
    <w:rsid w:val="00412A70"/>
    <w:rsid w:val="00423609"/>
    <w:rsid w:val="00430DF6"/>
    <w:rsid w:val="0043101E"/>
    <w:rsid w:val="004400B4"/>
    <w:rsid w:val="00440E1A"/>
    <w:rsid w:val="00441D27"/>
    <w:rsid w:val="00453951"/>
    <w:rsid w:val="00460E0B"/>
    <w:rsid w:val="004654BA"/>
    <w:rsid w:val="004664EF"/>
    <w:rsid w:val="004673C8"/>
    <w:rsid w:val="00471024"/>
    <w:rsid w:val="00472F5F"/>
    <w:rsid w:val="00484E41"/>
    <w:rsid w:val="004A7D80"/>
    <w:rsid w:val="004B3443"/>
    <w:rsid w:val="004B7BD2"/>
    <w:rsid w:val="004D4259"/>
    <w:rsid w:val="004E1351"/>
    <w:rsid w:val="004E4093"/>
    <w:rsid w:val="004F0F11"/>
    <w:rsid w:val="004F6778"/>
    <w:rsid w:val="004F7DFD"/>
    <w:rsid w:val="005009FE"/>
    <w:rsid w:val="005029C1"/>
    <w:rsid w:val="00503FE6"/>
    <w:rsid w:val="0051517B"/>
    <w:rsid w:val="00516D7A"/>
    <w:rsid w:val="00517205"/>
    <w:rsid w:val="005200EB"/>
    <w:rsid w:val="005218C1"/>
    <w:rsid w:val="005239A6"/>
    <w:rsid w:val="00524562"/>
    <w:rsid w:val="00524D24"/>
    <w:rsid w:val="005335D8"/>
    <w:rsid w:val="00545314"/>
    <w:rsid w:val="00563F61"/>
    <w:rsid w:val="00573356"/>
    <w:rsid w:val="00573C54"/>
    <w:rsid w:val="005757EA"/>
    <w:rsid w:val="005803F4"/>
    <w:rsid w:val="00586916"/>
    <w:rsid w:val="005870EF"/>
    <w:rsid w:val="00587454"/>
    <w:rsid w:val="005928E5"/>
    <w:rsid w:val="005A1073"/>
    <w:rsid w:val="005A21DC"/>
    <w:rsid w:val="005B712C"/>
    <w:rsid w:val="005C24AF"/>
    <w:rsid w:val="005C3993"/>
    <w:rsid w:val="005C52AC"/>
    <w:rsid w:val="005D0E69"/>
    <w:rsid w:val="005D0EF8"/>
    <w:rsid w:val="005D12F9"/>
    <w:rsid w:val="005D1327"/>
    <w:rsid w:val="005D3A5D"/>
    <w:rsid w:val="005D7C0E"/>
    <w:rsid w:val="005E3BF7"/>
    <w:rsid w:val="005F5DB8"/>
    <w:rsid w:val="0060775F"/>
    <w:rsid w:val="00614F4B"/>
    <w:rsid w:val="00622676"/>
    <w:rsid w:val="006314DA"/>
    <w:rsid w:val="00637929"/>
    <w:rsid w:val="0064035D"/>
    <w:rsid w:val="00646729"/>
    <w:rsid w:val="006601D8"/>
    <w:rsid w:val="0067461A"/>
    <w:rsid w:val="00676CDD"/>
    <w:rsid w:val="00677C0F"/>
    <w:rsid w:val="006858D7"/>
    <w:rsid w:val="00687A67"/>
    <w:rsid w:val="006A2202"/>
    <w:rsid w:val="006A3669"/>
    <w:rsid w:val="006A3CE9"/>
    <w:rsid w:val="006A42EF"/>
    <w:rsid w:val="006B2412"/>
    <w:rsid w:val="006B26FB"/>
    <w:rsid w:val="006C0559"/>
    <w:rsid w:val="006C6544"/>
    <w:rsid w:val="006C71DB"/>
    <w:rsid w:val="006D34C8"/>
    <w:rsid w:val="006E0477"/>
    <w:rsid w:val="006F10DE"/>
    <w:rsid w:val="00702197"/>
    <w:rsid w:val="00706166"/>
    <w:rsid w:val="00711CAB"/>
    <w:rsid w:val="0072189B"/>
    <w:rsid w:val="0073220B"/>
    <w:rsid w:val="00732CE2"/>
    <w:rsid w:val="0073558C"/>
    <w:rsid w:val="00737C4A"/>
    <w:rsid w:val="00754BEE"/>
    <w:rsid w:val="00771DDB"/>
    <w:rsid w:val="00772A23"/>
    <w:rsid w:val="00776053"/>
    <w:rsid w:val="00777BED"/>
    <w:rsid w:val="007923DD"/>
    <w:rsid w:val="007966C3"/>
    <w:rsid w:val="007970FB"/>
    <w:rsid w:val="007979B1"/>
    <w:rsid w:val="007A670E"/>
    <w:rsid w:val="007B3F95"/>
    <w:rsid w:val="007C37B8"/>
    <w:rsid w:val="007D1A08"/>
    <w:rsid w:val="007D3354"/>
    <w:rsid w:val="007D7231"/>
    <w:rsid w:val="007E3600"/>
    <w:rsid w:val="007E529B"/>
    <w:rsid w:val="007F4D3E"/>
    <w:rsid w:val="00827EFA"/>
    <w:rsid w:val="00830BC4"/>
    <w:rsid w:val="00834C80"/>
    <w:rsid w:val="00835AE4"/>
    <w:rsid w:val="00842211"/>
    <w:rsid w:val="008443A0"/>
    <w:rsid w:val="00845CCE"/>
    <w:rsid w:val="008526B8"/>
    <w:rsid w:val="00865CEA"/>
    <w:rsid w:val="008707FD"/>
    <w:rsid w:val="008724DC"/>
    <w:rsid w:val="00873961"/>
    <w:rsid w:val="00884C92"/>
    <w:rsid w:val="00891798"/>
    <w:rsid w:val="00894957"/>
    <w:rsid w:val="008A07A3"/>
    <w:rsid w:val="008A0999"/>
    <w:rsid w:val="008A302A"/>
    <w:rsid w:val="008A3E1D"/>
    <w:rsid w:val="008B1886"/>
    <w:rsid w:val="008B57A5"/>
    <w:rsid w:val="008B6838"/>
    <w:rsid w:val="008B713C"/>
    <w:rsid w:val="008B774F"/>
    <w:rsid w:val="008C12A6"/>
    <w:rsid w:val="008C4456"/>
    <w:rsid w:val="008D0E34"/>
    <w:rsid w:val="008D1C69"/>
    <w:rsid w:val="008D78D1"/>
    <w:rsid w:val="008E5EA3"/>
    <w:rsid w:val="008E795F"/>
    <w:rsid w:val="008E7AAF"/>
    <w:rsid w:val="008F1698"/>
    <w:rsid w:val="008F46C6"/>
    <w:rsid w:val="008F57AC"/>
    <w:rsid w:val="00901734"/>
    <w:rsid w:val="00927DC3"/>
    <w:rsid w:val="00933D56"/>
    <w:rsid w:val="00935A06"/>
    <w:rsid w:val="00942797"/>
    <w:rsid w:val="00957A0C"/>
    <w:rsid w:val="0096364A"/>
    <w:rsid w:val="00964E67"/>
    <w:rsid w:val="00971780"/>
    <w:rsid w:val="00972D53"/>
    <w:rsid w:val="0097530B"/>
    <w:rsid w:val="009801B2"/>
    <w:rsid w:val="009B36D0"/>
    <w:rsid w:val="009C0562"/>
    <w:rsid w:val="009C292B"/>
    <w:rsid w:val="009D0236"/>
    <w:rsid w:val="009D0C4B"/>
    <w:rsid w:val="009D1063"/>
    <w:rsid w:val="009D1636"/>
    <w:rsid w:val="009E288C"/>
    <w:rsid w:val="009F6A58"/>
    <w:rsid w:val="00A013F7"/>
    <w:rsid w:val="00A02A2E"/>
    <w:rsid w:val="00A16367"/>
    <w:rsid w:val="00A26C6B"/>
    <w:rsid w:val="00A27502"/>
    <w:rsid w:val="00A3322F"/>
    <w:rsid w:val="00A34E14"/>
    <w:rsid w:val="00A44F52"/>
    <w:rsid w:val="00A562C5"/>
    <w:rsid w:val="00A61B8D"/>
    <w:rsid w:val="00A66607"/>
    <w:rsid w:val="00A66839"/>
    <w:rsid w:val="00A773D3"/>
    <w:rsid w:val="00A830EB"/>
    <w:rsid w:val="00A9227B"/>
    <w:rsid w:val="00A94176"/>
    <w:rsid w:val="00A94BC0"/>
    <w:rsid w:val="00A95660"/>
    <w:rsid w:val="00A95F0C"/>
    <w:rsid w:val="00AA5309"/>
    <w:rsid w:val="00AB2554"/>
    <w:rsid w:val="00AB72EC"/>
    <w:rsid w:val="00AC2F9D"/>
    <w:rsid w:val="00AD13D5"/>
    <w:rsid w:val="00AD2371"/>
    <w:rsid w:val="00AD6E7A"/>
    <w:rsid w:val="00AD713E"/>
    <w:rsid w:val="00AE132B"/>
    <w:rsid w:val="00AE5558"/>
    <w:rsid w:val="00AE5A44"/>
    <w:rsid w:val="00AE6741"/>
    <w:rsid w:val="00AF0F53"/>
    <w:rsid w:val="00AF3B92"/>
    <w:rsid w:val="00AF5DFB"/>
    <w:rsid w:val="00AF74DE"/>
    <w:rsid w:val="00B07FF2"/>
    <w:rsid w:val="00B15ADC"/>
    <w:rsid w:val="00B15C93"/>
    <w:rsid w:val="00B254F8"/>
    <w:rsid w:val="00B303F5"/>
    <w:rsid w:val="00B35E77"/>
    <w:rsid w:val="00B4192E"/>
    <w:rsid w:val="00B51DB7"/>
    <w:rsid w:val="00B62992"/>
    <w:rsid w:val="00B6388F"/>
    <w:rsid w:val="00B71642"/>
    <w:rsid w:val="00B73E5A"/>
    <w:rsid w:val="00B812BD"/>
    <w:rsid w:val="00B832B4"/>
    <w:rsid w:val="00B914D3"/>
    <w:rsid w:val="00B92198"/>
    <w:rsid w:val="00B95A75"/>
    <w:rsid w:val="00BA1121"/>
    <w:rsid w:val="00BA1A19"/>
    <w:rsid w:val="00BA3AA9"/>
    <w:rsid w:val="00BB091D"/>
    <w:rsid w:val="00BB0BB7"/>
    <w:rsid w:val="00BB0C81"/>
    <w:rsid w:val="00BC1984"/>
    <w:rsid w:val="00BD1574"/>
    <w:rsid w:val="00BD59F0"/>
    <w:rsid w:val="00BD64C4"/>
    <w:rsid w:val="00BE3B01"/>
    <w:rsid w:val="00BF5B59"/>
    <w:rsid w:val="00BF678E"/>
    <w:rsid w:val="00C015D6"/>
    <w:rsid w:val="00C034D9"/>
    <w:rsid w:val="00C04EB5"/>
    <w:rsid w:val="00C16C73"/>
    <w:rsid w:val="00C20706"/>
    <w:rsid w:val="00C23A41"/>
    <w:rsid w:val="00C34988"/>
    <w:rsid w:val="00C36305"/>
    <w:rsid w:val="00C376DF"/>
    <w:rsid w:val="00C406FF"/>
    <w:rsid w:val="00C41C49"/>
    <w:rsid w:val="00C479CA"/>
    <w:rsid w:val="00C521CD"/>
    <w:rsid w:val="00C52ED2"/>
    <w:rsid w:val="00C565E8"/>
    <w:rsid w:val="00C5792E"/>
    <w:rsid w:val="00C60A6C"/>
    <w:rsid w:val="00C74536"/>
    <w:rsid w:val="00C84413"/>
    <w:rsid w:val="00C863BE"/>
    <w:rsid w:val="00C866BF"/>
    <w:rsid w:val="00C95182"/>
    <w:rsid w:val="00CA127B"/>
    <w:rsid w:val="00CA79C3"/>
    <w:rsid w:val="00CB636B"/>
    <w:rsid w:val="00CC19C7"/>
    <w:rsid w:val="00CD2408"/>
    <w:rsid w:val="00CD5777"/>
    <w:rsid w:val="00CD68A9"/>
    <w:rsid w:val="00CE3711"/>
    <w:rsid w:val="00D1154D"/>
    <w:rsid w:val="00D13784"/>
    <w:rsid w:val="00D16445"/>
    <w:rsid w:val="00D23972"/>
    <w:rsid w:val="00D26B85"/>
    <w:rsid w:val="00D35901"/>
    <w:rsid w:val="00D35B34"/>
    <w:rsid w:val="00D36929"/>
    <w:rsid w:val="00D56CB2"/>
    <w:rsid w:val="00D64ED4"/>
    <w:rsid w:val="00D729B7"/>
    <w:rsid w:val="00D921C2"/>
    <w:rsid w:val="00D924DD"/>
    <w:rsid w:val="00D93851"/>
    <w:rsid w:val="00D94214"/>
    <w:rsid w:val="00D95DED"/>
    <w:rsid w:val="00DB6CDF"/>
    <w:rsid w:val="00DC0E5F"/>
    <w:rsid w:val="00DC5687"/>
    <w:rsid w:val="00DD0C83"/>
    <w:rsid w:val="00DD2850"/>
    <w:rsid w:val="00DD54B5"/>
    <w:rsid w:val="00DD5E0F"/>
    <w:rsid w:val="00DD67E8"/>
    <w:rsid w:val="00DE5B43"/>
    <w:rsid w:val="00E05456"/>
    <w:rsid w:val="00E16306"/>
    <w:rsid w:val="00E26FAA"/>
    <w:rsid w:val="00E27550"/>
    <w:rsid w:val="00E34BB2"/>
    <w:rsid w:val="00E3502A"/>
    <w:rsid w:val="00E47ADC"/>
    <w:rsid w:val="00E5228A"/>
    <w:rsid w:val="00E56F63"/>
    <w:rsid w:val="00E575E0"/>
    <w:rsid w:val="00E61336"/>
    <w:rsid w:val="00E63D14"/>
    <w:rsid w:val="00E71749"/>
    <w:rsid w:val="00E71F6B"/>
    <w:rsid w:val="00E74CAC"/>
    <w:rsid w:val="00E767C9"/>
    <w:rsid w:val="00E84E19"/>
    <w:rsid w:val="00E90752"/>
    <w:rsid w:val="00E95126"/>
    <w:rsid w:val="00E9718A"/>
    <w:rsid w:val="00EA1055"/>
    <w:rsid w:val="00EA393C"/>
    <w:rsid w:val="00EA4B6B"/>
    <w:rsid w:val="00EA55FC"/>
    <w:rsid w:val="00EB4DD8"/>
    <w:rsid w:val="00EC330F"/>
    <w:rsid w:val="00EC4F58"/>
    <w:rsid w:val="00EC5888"/>
    <w:rsid w:val="00EC5E8E"/>
    <w:rsid w:val="00EC6C1A"/>
    <w:rsid w:val="00ED077A"/>
    <w:rsid w:val="00ED3E54"/>
    <w:rsid w:val="00EE3D3E"/>
    <w:rsid w:val="00EE429B"/>
    <w:rsid w:val="00EF429C"/>
    <w:rsid w:val="00EF49A5"/>
    <w:rsid w:val="00EF51BC"/>
    <w:rsid w:val="00EF6F43"/>
    <w:rsid w:val="00F033E6"/>
    <w:rsid w:val="00F11CC2"/>
    <w:rsid w:val="00F27C19"/>
    <w:rsid w:val="00F40485"/>
    <w:rsid w:val="00F472E0"/>
    <w:rsid w:val="00F47FDB"/>
    <w:rsid w:val="00F50D47"/>
    <w:rsid w:val="00F72564"/>
    <w:rsid w:val="00F806F1"/>
    <w:rsid w:val="00F80C0E"/>
    <w:rsid w:val="00F90EBB"/>
    <w:rsid w:val="00F912EE"/>
    <w:rsid w:val="00FA3ED3"/>
    <w:rsid w:val="00FB0462"/>
    <w:rsid w:val="00FB665F"/>
    <w:rsid w:val="00FE4B3B"/>
    <w:rsid w:val="00FE55C9"/>
    <w:rsid w:val="00FF4A52"/>
    <w:rsid w:val="00FF4EA2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HeadingSASS">
    <w:name w:val="Exhibit Heading: SASS"/>
    <w:basedOn w:val="Caption"/>
    <w:link w:val="ExhibitHeadingSASSChar"/>
    <w:qFormat/>
    <w:rsid w:val="00AC2F9D"/>
    <w:pPr>
      <w:keepNext/>
      <w:spacing w:after="240"/>
      <w:ind w:left="1224" w:hanging="1224"/>
    </w:pPr>
    <w:rPr>
      <w:rFonts w:ascii="Times New Roman Bold" w:hAnsi="Times New Roman Bold"/>
      <w:color w:val="auto"/>
      <w:sz w:val="22"/>
      <w:szCs w:val="20"/>
    </w:rPr>
  </w:style>
  <w:style w:type="character" w:customStyle="1" w:styleId="ExhibitHeadingSASSChar">
    <w:name w:val="Exhibit Heading: SASS Char"/>
    <w:link w:val="ExhibitHeadingSASS"/>
    <w:locked/>
    <w:rsid w:val="00AC2F9D"/>
    <w:rPr>
      <w:rFonts w:ascii="Times New Roman Bold" w:eastAsia="Times New Roman" w:hAnsi="Times New Roman Bold" w:cs="Times New Roman"/>
      <w:b/>
      <w:bCs/>
      <w:szCs w:val="20"/>
    </w:rPr>
  </w:style>
  <w:style w:type="paragraph" w:customStyle="1" w:styleId="Heading1SASS">
    <w:name w:val="Heading 1: SASS"/>
    <w:basedOn w:val="Normal"/>
    <w:link w:val="Heading1SASSChar"/>
    <w:qFormat/>
    <w:rsid w:val="00AC2F9D"/>
    <w:pPr>
      <w:jc w:val="center"/>
    </w:pPr>
    <w:rPr>
      <w:rFonts w:ascii="Arial" w:hAnsi="Arial" w:cs="Arial"/>
      <w:b/>
      <w:sz w:val="28"/>
    </w:rPr>
  </w:style>
  <w:style w:type="character" w:customStyle="1" w:styleId="Heading1SASSChar">
    <w:name w:val="Heading 1: SASS Char"/>
    <w:link w:val="Heading1SASS"/>
    <w:locked/>
    <w:rsid w:val="00AC2F9D"/>
    <w:rPr>
      <w:rFonts w:ascii="Arial" w:eastAsia="Times New Roman" w:hAnsi="Arial" w:cs="Arial"/>
      <w:b/>
      <w:sz w:val="28"/>
      <w:szCs w:val="24"/>
    </w:rPr>
  </w:style>
  <w:style w:type="paragraph" w:customStyle="1" w:styleId="Heading2SASS">
    <w:name w:val="Heading 2: SASS"/>
    <w:basedOn w:val="Normal"/>
    <w:link w:val="Heading2SASSChar"/>
    <w:qFormat/>
    <w:rsid w:val="00AC2F9D"/>
    <w:rPr>
      <w:rFonts w:ascii="Arial" w:hAnsi="Arial" w:cs="Arial"/>
      <w:b/>
      <w:sz w:val="22"/>
    </w:rPr>
  </w:style>
  <w:style w:type="character" w:customStyle="1" w:styleId="Heading2SASSChar">
    <w:name w:val="Heading 2: SASS Char"/>
    <w:link w:val="Heading2SASS"/>
    <w:locked/>
    <w:rsid w:val="00AC2F9D"/>
    <w:rPr>
      <w:rFonts w:ascii="Arial" w:eastAsia="Times New Roman" w:hAnsi="Arial" w:cs="Arial"/>
      <w:b/>
      <w:szCs w:val="24"/>
    </w:rPr>
  </w:style>
  <w:style w:type="paragraph" w:customStyle="1" w:styleId="Heading3SASS">
    <w:name w:val="Heading 3: SASS"/>
    <w:basedOn w:val="Normal"/>
    <w:link w:val="Heading3SASSChar"/>
    <w:qFormat/>
    <w:rsid w:val="00AC2F9D"/>
    <w:rPr>
      <w:rFonts w:ascii="Arial" w:hAnsi="Arial" w:cs="Arial"/>
      <w:b/>
      <w:i/>
      <w:sz w:val="22"/>
      <w:szCs w:val="22"/>
    </w:rPr>
  </w:style>
  <w:style w:type="character" w:customStyle="1" w:styleId="Heading3SASSChar">
    <w:name w:val="Heading 3: SASS Char"/>
    <w:link w:val="Heading3SASS"/>
    <w:locked/>
    <w:rsid w:val="00AC2F9D"/>
    <w:rPr>
      <w:rFonts w:ascii="Arial" w:eastAsia="Times New Roman" w:hAnsi="Arial" w:cs="Arial"/>
      <w:b/>
      <w:i/>
    </w:rPr>
  </w:style>
  <w:style w:type="paragraph" w:styleId="ListParagraph">
    <w:name w:val="List Paragraph"/>
    <w:basedOn w:val="Normal"/>
    <w:uiPriority w:val="34"/>
    <w:qFormat/>
    <w:rsid w:val="00AC2F9D"/>
    <w:pPr>
      <w:ind w:left="720"/>
      <w:contextualSpacing/>
    </w:pPr>
    <w:rPr>
      <w:sz w:val="22"/>
    </w:rPr>
  </w:style>
  <w:style w:type="paragraph" w:customStyle="1" w:styleId="Sourceline">
    <w:name w:val="Source line"/>
    <w:basedOn w:val="PlainText"/>
    <w:rsid w:val="00AC2F9D"/>
    <w:rPr>
      <w:rFonts w:ascii="Times New Roman" w:eastAsia="MS Mincho" w:hAnsi="Times New Roman" w:cs="Courier New"/>
      <w:sz w:val="18"/>
      <w:szCs w:val="20"/>
    </w:rPr>
  </w:style>
  <w:style w:type="paragraph" w:customStyle="1" w:styleId="TableHeadingSASS">
    <w:name w:val="Table Heading: SASS"/>
    <w:basedOn w:val="ExhibitHeadingSASS"/>
    <w:qFormat/>
    <w:rsid w:val="00AC2F9D"/>
  </w:style>
  <w:style w:type="paragraph" w:styleId="Caption">
    <w:name w:val="caption"/>
    <w:basedOn w:val="Normal"/>
    <w:next w:val="Normal"/>
    <w:uiPriority w:val="35"/>
    <w:semiHidden/>
    <w:unhideWhenUsed/>
    <w:qFormat/>
    <w:rsid w:val="00AC2F9D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2F9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F9D"/>
    <w:rPr>
      <w:rFonts w:ascii="Consolas" w:eastAsia="Times New Roman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SASS">
    <w:name w:val="Heading 4: SASS"/>
    <w:basedOn w:val="Normal"/>
    <w:link w:val="Heading4SASSChar"/>
    <w:qFormat/>
    <w:rsid w:val="00D924DD"/>
    <w:rPr>
      <w:rFonts w:ascii="Arial" w:hAnsi="Arial"/>
      <w:i/>
      <w:sz w:val="22"/>
      <w:szCs w:val="22"/>
    </w:rPr>
  </w:style>
  <w:style w:type="character" w:customStyle="1" w:styleId="Heading4SASSChar">
    <w:name w:val="Heading 4: SASS Char"/>
    <w:link w:val="Heading4SASS"/>
    <w:rsid w:val="00D924DD"/>
    <w:rPr>
      <w:rFonts w:ascii="Arial" w:eastAsia="Times New Roman" w:hAnsi="Arial"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HeadingSASS">
    <w:name w:val="Exhibit Heading: SASS"/>
    <w:basedOn w:val="Caption"/>
    <w:link w:val="ExhibitHeadingSASSChar"/>
    <w:qFormat/>
    <w:rsid w:val="00AC2F9D"/>
    <w:pPr>
      <w:keepNext/>
      <w:spacing w:after="240"/>
      <w:ind w:left="1224" w:hanging="1224"/>
    </w:pPr>
    <w:rPr>
      <w:rFonts w:ascii="Times New Roman Bold" w:hAnsi="Times New Roman Bold"/>
      <w:color w:val="auto"/>
      <w:sz w:val="22"/>
      <w:szCs w:val="20"/>
    </w:rPr>
  </w:style>
  <w:style w:type="character" w:customStyle="1" w:styleId="ExhibitHeadingSASSChar">
    <w:name w:val="Exhibit Heading: SASS Char"/>
    <w:link w:val="ExhibitHeadingSASS"/>
    <w:locked/>
    <w:rsid w:val="00AC2F9D"/>
    <w:rPr>
      <w:rFonts w:ascii="Times New Roman Bold" w:eastAsia="Times New Roman" w:hAnsi="Times New Roman Bold" w:cs="Times New Roman"/>
      <w:b/>
      <w:bCs/>
      <w:szCs w:val="20"/>
    </w:rPr>
  </w:style>
  <w:style w:type="paragraph" w:customStyle="1" w:styleId="Heading1SASS">
    <w:name w:val="Heading 1: SASS"/>
    <w:basedOn w:val="Normal"/>
    <w:link w:val="Heading1SASSChar"/>
    <w:qFormat/>
    <w:rsid w:val="00AC2F9D"/>
    <w:pPr>
      <w:jc w:val="center"/>
    </w:pPr>
    <w:rPr>
      <w:rFonts w:ascii="Arial" w:hAnsi="Arial" w:cs="Arial"/>
      <w:b/>
      <w:sz w:val="28"/>
    </w:rPr>
  </w:style>
  <w:style w:type="character" w:customStyle="1" w:styleId="Heading1SASSChar">
    <w:name w:val="Heading 1: SASS Char"/>
    <w:link w:val="Heading1SASS"/>
    <w:locked/>
    <w:rsid w:val="00AC2F9D"/>
    <w:rPr>
      <w:rFonts w:ascii="Arial" w:eastAsia="Times New Roman" w:hAnsi="Arial" w:cs="Arial"/>
      <w:b/>
      <w:sz w:val="28"/>
      <w:szCs w:val="24"/>
    </w:rPr>
  </w:style>
  <w:style w:type="paragraph" w:customStyle="1" w:styleId="Heading2SASS">
    <w:name w:val="Heading 2: SASS"/>
    <w:basedOn w:val="Normal"/>
    <w:link w:val="Heading2SASSChar"/>
    <w:qFormat/>
    <w:rsid w:val="00AC2F9D"/>
    <w:rPr>
      <w:rFonts w:ascii="Arial" w:hAnsi="Arial" w:cs="Arial"/>
      <w:b/>
      <w:sz w:val="22"/>
    </w:rPr>
  </w:style>
  <w:style w:type="character" w:customStyle="1" w:styleId="Heading2SASSChar">
    <w:name w:val="Heading 2: SASS Char"/>
    <w:link w:val="Heading2SASS"/>
    <w:locked/>
    <w:rsid w:val="00AC2F9D"/>
    <w:rPr>
      <w:rFonts w:ascii="Arial" w:eastAsia="Times New Roman" w:hAnsi="Arial" w:cs="Arial"/>
      <w:b/>
      <w:szCs w:val="24"/>
    </w:rPr>
  </w:style>
  <w:style w:type="paragraph" w:customStyle="1" w:styleId="Heading3SASS">
    <w:name w:val="Heading 3: SASS"/>
    <w:basedOn w:val="Normal"/>
    <w:link w:val="Heading3SASSChar"/>
    <w:qFormat/>
    <w:rsid w:val="00AC2F9D"/>
    <w:rPr>
      <w:rFonts w:ascii="Arial" w:hAnsi="Arial" w:cs="Arial"/>
      <w:b/>
      <w:i/>
      <w:sz w:val="22"/>
      <w:szCs w:val="22"/>
    </w:rPr>
  </w:style>
  <w:style w:type="character" w:customStyle="1" w:styleId="Heading3SASSChar">
    <w:name w:val="Heading 3: SASS Char"/>
    <w:link w:val="Heading3SASS"/>
    <w:locked/>
    <w:rsid w:val="00AC2F9D"/>
    <w:rPr>
      <w:rFonts w:ascii="Arial" w:eastAsia="Times New Roman" w:hAnsi="Arial" w:cs="Arial"/>
      <w:b/>
      <w:i/>
    </w:rPr>
  </w:style>
  <w:style w:type="paragraph" w:styleId="ListParagraph">
    <w:name w:val="List Paragraph"/>
    <w:basedOn w:val="Normal"/>
    <w:uiPriority w:val="34"/>
    <w:qFormat/>
    <w:rsid w:val="00AC2F9D"/>
    <w:pPr>
      <w:ind w:left="720"/>
      <w:contextualSpacing/>
    </w:pPr>
    <w:rPr>
      <w:sz w:val="22"/>
    </w:rPr>
  </w:style>
  <w:style w:type="paragraph" w:customStyle="1" w:styleId="Sourceline">
    <w:name w:val="Source line"/>
    <w:basedOn w:val="PlainText"/>
    <w:rsid w:val="00AC2F9D"/>
    <w:rPr>
      <w:rFonts w:ascii="Times New Roman" w:eastAsia="MS Mincho" w:hAnsi="Times New Roman" w:cs="Courier New"/>
      <w:sz w:val="18"/>
      <w:szCs w:val="20"/>
    </w:rPr>
  </w:style>
  <w:style w:type="paragraph" w:customStyle="1" w:styleId="TableHeadingSASS">
    <w:name w:val="Table Heading: SASS"/>
    <w:basedOn w:val="ExhibitHeadingSASS"/>
    <w:qFormat/>
    <w:rsid w:val="00AC2F9D"/>
  </w:style>
  <w:style w:type="paragraph" w:styleId="Caption">
    <w:name w:val="caption"/>
    <w:basedOn w:val="Normal"/>
    <w:next w:val="Normal"/>
    <w:uiPriority w:val="35"/>
    <w:semiHidden/>
    <w:unhideWhenUsed/>
    <w:qFormat/>
    <w:rsid w:val="00AC2F9D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2F9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2F9D"/>
    <w:rPr>
      <w:rFonts w:ascii="Consolas" w:eastAsia="Times New Roman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9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92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SASS">
    <w:name w:val="Heading 4: SASS"/>
    <w:basedOn w:val="Normal"/>
    <w:link w:val="Heading4SASSChar"/>
    <w:qFormat/>
    <w:rsid w:val="00D924DD"/>
    <w:rPr>
      <w:rFonts w:ascii="Arial" w:hAnsi="Arial"/>
      <w:i/>
      <w:sz w:val="22"/>
      <w:szCs w:val="22"/>
    </w:rPr>
  </w:style>
  <w:style w:type="character" w:customStyle="1" w:styleId="Heading4SASSChar">
    <w:name w:val="Heading 4: SASS Char"/>
    <w:link w:val="Heading4SASS"/>
    <w:rsid w:val="00D924DD"/>
    <w:rPr>
      <w:rFonts w:ascii="Arial" w:eastAsia="Times New Roman" w:hAnsi="Arial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 J Parmer</dc:creator>
  <cp:lastModifiedBy>Chelsea Owens</cp:lastModifiedBy>
  <cp:revision>2</cp:revision>
  <dcterms:created xsi:type="dcterms:W3CDTF">2015-06-11T13:08:00Z</dcterms:created>
  <dcterms:modified xsi:type="dcterms:W3CDTF">2015-06-11T13:08:00Z</dcterms:modified>
</cp:coreProperties>
</file>