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66418" w14:textId="77777777" w:rsidR="00194837" w:rsidRDefault="00217DEF" w:rsidP="00194837">
      <w:pPr>
        <w:rPr>
          <w:rFonts w:ascii="Arial" w:hAnsi="Arial" w:cs="Arial"/>
          <w:b/>
        </w:rPr>
      </w:pPr>
      <w:r>
        <w:rPr>
          <w:rFonts w:ascii="Arial" w:hAnsi="Arial" w:cs="Arial"/>
          <w:b/>
          <w:noProof/>
          <w:snapToGrid/>
        </w:rPr>
        <mc:AlternateContent>
          <mc:Choice Requires="wps">
            <w:drawing>
              <wp:anchor distT="0" distB="0" distL="114300" distR="114300" simplePos="0" relativeHeight="251658240" behindDoc="0" locked="0" layoutInCell="1" allowOverlap="1" wp14:anchorId="79EFF430" wp14:editId="0577DC63">
                <wp:simplePos x="0" y="0"/>
                <wp:positionH relativeFrom="column">
                  <wp:posOffset>1993265</wp:posOffset>
                </wp:positionH>
                <wp:positionV relativeFrom="paragraph">
                  <wp:posOffset>10160</wp:posOffset>
                </wp:positionV>
                <wp:extent cx="4378960" cy="1518285"/>
                <wp:effectExtent l="0" t="0" r="2159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518285"/>
                        </a:xfrm>
                        <a:prstGeom prst="rect">
                          <a:avLst/>
                        </a:prstGeom>
                        <a:solidFill>
                          <a:srgbClr val="FFFFFF"/>
                        </a:solidFill>
                        <a:ln w="9525">
                          <a:solidFill>
                            <a:srgbClr val="000000"/>
                          </a:solidFill>
                          <a:miter lim="800000"/>
                          <a:headEnd/>
                          <a:tailEnd/>
                        </a:ln>
                      </wps:spPr>
                      <wps:txbx>
                        <w:txbxContent>
                          <w:p w14:paraId="60AA6DE8" w14:textId="77777777" w:rsidR="005630EC" w:rsidRPr="006139D7" w:rsidRDefault="005630EC" w:rsidP="00194837">
                            <w:pPr>
                              <w:rPr>
                                <w:b/>
                                <w:sz w:val="28"/>
                                <w:szCs w:val="28"/>
                              </w:rPr>
                            </w:pPr>
                            <w:r w:rsidRPr="006139D7">
                              <w:rPr>
                                <w:b/>
                                <w:sz w:val="28"/>
                                <w:szCs w:val="28"/>
                              </w:rPr>
                              <w:t>U.S. Energy Information Administration</w:t>
                            </w:r>
                          </w:p>
                          <w:p w14:paraId="05473B8C" w14:textId="77777777" w:rsidR="005630EC" w:rsidRDefault="005630EC" w:rsidP="00194837">
                            <w:pPr>
                              <w:rPr>
                                <w:b/>
                                <w:sz w:val="28"/>
                                <w:szCs w:val="28"/>
                              </w:rPr>
                            </w:pPr>
                            <w:r w:rsidRPr="006139D7">
                              <w:rPr>
                                <w:b/>
                                <w:sz w:val="28"/>
                                <w:szCs w:val="28"/>
                              </w:rPr>
                              <w:t>Office of Energy Statistics</w:t>
                            </w:r>
                          </w:p>
                          <w:p w14:paraId="18C40A4E" w14:textId="77777777" w:rsidR="005630EC" w:rsidRPr="006139D7" w:rsidRDefault="005630EC" w:rsidP="00194837">
                            <w:pPr>
                              <w:rPr>
                                <w:b/>
                                <w:sz w:val="28"/>
                                <w:szCs w:val="28"/>
                              </w:rPr>
                            </w:pPr>
                            <w:r>
                              <w:rPr>
                                <w:b/>
                                <w:sz w:val="28"/>
                                <w:szCs w:val="28"/>
                              </w:rPr>
                              <w:t>Office of Petroleum and Biofuels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EFF430" id="_x0000_t202" coordsize="21600,21600" o:spt="202" path="m,l,21600r21600,l21600,xe">
                <v:stroke joinstyle="miter"/>
                <v:path gradientshapeok="t" o:connecttype="rect"/>
              </v:shapetype>
              <v:shape id="Text Box 2" o:spid="_x0000_s1026" type="#_x0000_t202" style="position:absolute;left:0;text-align:left;margin-left:156.95pt;margin-top:.8pt;width:344.8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">
                <v:textbox>
                  <w:txbxContent>
                    <w:p w14:paraId="60AA6DE8" w14:textId="77777777" w:rsidR="005630EC" w:rsidRPr="006139D7" w:rsidRDefault="005630EC" w:rsidP="00194837">
                      <w:pPr>
                        <w:rPr>
                          <w:b/>
                          <w:sz w:val="28"/>
                          <w:szCs w:val="28"/>
                        </w:rPr>
                      </w:pPr>
                      <w:r w:rsidRPr="006139D7">
                        <w:rPr>
                          <w:b/>
                          <w:sz w:val="28"/>
                          <w:szCs w:val="28"/>
                        </w:rPr>
                        <w:t>U.S. Energy Information Administration</w:t>
                      </w:r>
                    </w:p>
                    <w:p w14:paraId="05473B8C" w14:textId="77777777" w:rsidR="005630EC" w:rsidRDefault="005630EC" w:rsidP="00194837">
                      <w:pPr>
                        <w:rPr>
                          <w:b/>
                          <w:sz w:val="28"/>
                          <w:szCs w:val="28"/>
                        </w:rPr>
                      </w:pPr>
                      <w:r w:rsidRPr="006139D7">
                        <w:rPr>
                          <w:b/>
                          <w:sz w:val="28"/>
                          <w:szCs w:val="28"/>
                        </w:rPr>
                        <w:t>Office of Energy Statistics</w:t>
                      </w:r>
                    </w:p>
                    <w:p w14:paraId="18C40A4E" w14:textId="77777777" w:rsidR="005630EC" w:rsidRPr="006139D7" w:rsidRDefault="005630EC" w:rsidP="00194837">
                      <w:pPr>
                        <w:rPr>
                          <w:b/>
                          <w:sz w:val="28"/>
                          <w:szCs w:val="28"/>
                        </w:rPr>
                      </w:pPr>
                      <w:r>
                        <w:rPr>
                          <w:b/>
                          <w:sz w:val="28"/>
                          <w:szCs w:val="28"/>
                        </w:rPr>
                        <w:t>Office of Petroleum and Biofuels Statistics</w:t>
                      </w:r>
                    </w:p>
                  </w:txbxContent>
                </v:textbox>
              </v:shape>
            </w:pict>
          </mc:Fallback>
        </mc:AlternateContent>
      </w:r>
      <w:r w:rsidR="00194837">
        <w:rPr>
          <w:noProof/>
        </w:rPr>
        <w:drawing>
          <wp:inline distT="0" distB="0" distL="0" distR="0" wp14:anchorId="624E7AAF" wp14:editId="77C578AB">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14:paraId="6BAAB2E3" w14:textId="77777777" w:rsidR="00194837" w:rsidRDefault="00194837" w:rsidP="00194837">
      <w:pPr>
        <w:ind w:left="4320"/>
      </w:pPr>
    </w:p>
    <w:p w14:paraId="0E9D9F93" w14:textId="77777777" w:rsidR="00194837" w:rsidRDefault="00194837" w:rsidP="00194837">
      <w:pPr>
        <w:rPr>
          <w:rFonts w:ascii="Arial Black" w:hAnsi="Arial Black"/>
          <w:sz w:val="28"/>
        </w:rPr>
      </w:pPr>
    </w:p>
    <w:p w14:paraId="4FFF71E4" w14:textId="77777777" w:rsidR="00194837" w:rsidRPr="006139D7" w:rsidRDefault="00194837" w:rsidP="00194837">
      <w:pPr>
        <w:rPr>
          <w:b/>
          <w:sz w:val="36"/>
          <w:szCs w:val="36"/>
        </w:rPr>
      </w:pPr>
      <w:r w:rsidRPr="006139D7">
        <w:rPr>
          <w:b/>
          <w:sz w:val="36"/>
          <w:szCs w:val="36"/>
        </w:rPr>
        <w:t>Supporting Statement for Survey Clearance</w:t>
      </w:r>
    </w:p>
    <w:p w14:paraId="15C1071B" w14:textId="77777777" w:rsidR="00194837" w:rsidRDefault="00194837" w:rsidP="00194837">
      <w:pPr>
        <w:rPr>
          <w:b/>
          <w:sz w:val="28"/>
          <w:szCs w:val="28"/>
        </w:rPr>
      </w:pPr>
    </w:p>
    <w:p w14:paraId="293A5108" w14:textId="77777777" w:rsidR="005C233F" w:rsidRDefault="005C233F" w:rsidP="00194837">
      <w:pPr>
        <w:rPr>
          <w:b/>
          <w:sz w:val="32"/>
          <w:szCs w:val="32"/>
        </w:rPr>
      </w:pPr>
      <w:r w:rsidRPr="005C233F">
        <w:rPr>
          <w:b/>
          <w:sz w:val="32"/>
          <w:szCs w:val="32"/>
        </w:rPr>
        <w:t>Petroleum Supply Reporting System</w:t>
      </w:r>
    </w:p>
    <w:p w14:paraId="3D43588D" w14:textId="77777777" w:rsidR="005C233F" w:rsidRPr="005C233F" w:rsidRDefault="005C233F" w:rsidP="00194837">
      <w:pPr>
        <w:rPr>
          <w:b/>
          <w:sz w:val="32"/>
          <w:szCs w:val="32"/>
        </w:rPr>
      </w:pPr>
      <w:r>
        <w:rPr>
          <w:b/>
          <w:sz w:val="32"/>
          <w:szCs w:val="32"/>
        </w:rPr>
        <w:t>OMB No. 1905-0165</w:t>
      </w:r>
    </w:p>
    <w:p w14:paraId="5BA8FF59" w14:textId="77777777" w:rsidR="00194837" w:rsidRPr="006139D7" w:rsidRDefault="00194837" w:rsidP="00194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94837" w:rsidRPr="006139D7" w14:paraId="5171DC3E" w14:textId="77777777" w:rsidTr="00A42A18">
        <w:tc>
          <w:tcPr>
            <w:tcW w:w="7488" w:type="dxa"/>
            <w:vAlign w:val="center"/>
          </w:tcPr>
          <w:p w14:paraId="7D58E945" w14:textId="77777777" w:rsidR="005C233F" w:rsidRDefault="00194837" w:rsidP="00A42A18">
            <w:pPr>
              <w:spacing w:before="360" w:after="360"/>
              <w:rPr>
                <w:b/>
                <w:sz w:val="32"/>
                <w:szCs w:val="32"/>
              </w:rPr>
            </w:pPr>
            <w:r w:rsidRPr="005C233F">
              <w:rPr>
                <w:b/>
                <w:sz w:val="32"/>
                <w:szCs w:val="32"/>
              </w:rPr>
              <w:t>Background and Proposal</w:t>
            </w:r>
          </w:p>
          <w:p w14:paraId="56FA0A81" w14:textId="77777777" w:rsidR="00194837" w:rsidRPr="006139D7" w:rsidRDefault="005C233F" w:rsidP="005C233F">
            <w:pPr>
              <w:spacing w:before="360" w:after="360"/>
              <w:rPr>
                <w:b/>
                <w:sz w:val="32"/>
                <w:szCs w:val="32"/>
              </w:rPr>
            </w:pPr>
            <w:r>
              <w:rPr>
                <w:b/>
                <w:sz w:val="32"/>
                <w:szCs w:val="32"/>
              </w:rPr>
              <w:t>Part A</w:t>
            </w:r>
          </w:p>
        </w:tc>
      </w:tr>
    </w:tbl>
    <w:p w14:paraId="181B0726" w14:textId="77777777" w:rsidR="00194837" w:rsidRPr="006139D7" w:rsidRDefault="00194837" w:rsidP="00194837"/>
    <w:p w14:paraId="5FEE015D" w14:textId="77777777" w:rsidR="00194837" w:rsidRPr="006139D7" w:rsidRDefault="00194837" w:rsidP="00194837"/>
    <w:p w14:paraId="48B72E57" w14:textId="6AEFAB20" w:rsidR="00194837" w:rsidRPr="006139D7" w:rsidRDefault="00413889" w:rsidP="00194837">
      <w:r>
        <w:t>July 29</w:t>
      </w:r>
      <w:r w:rsidR="00293E1A">
        <w:t xml:space="preserve">, </w:t>
      </w:r>
      <w:r>
        <w:t>2016</w:t>
      </w:r>
      <w:bookmarkStart w:id="0" w:name="_GoBack"/>
      <w:bookmarkEnd w:id="0"/>
    </w:p>
    <w:p w14:paraId="3679AC7A" w14:textId="77777777" w:rsidR="009828E8" w:rsidRDefault="009828E8" w:rsidP="009828E8">
      <w:pPr>
        <w:rPr>
          <w:b/>
        </w:rPr>
      </w:pPr>
    </w:p>
    <w:p w14:paraId="74DA9B3C" w14:textId="77777777" w:rsidR="009828E8" w:rsidRDefault="009828E8" w:rsidP="009828E8">
      <w:pPr>
        <w:rPr>
          <w:b/>
        </w:rPr>
      </w:pPr>
    </w:p>
    <w:p w14:paraId="0182419D" w14:textId="77777777" w:rsidR="009828E8" w:rsidRDefault="009828E8" w:rsidP="009828E8">
      <w:pPr>
        <w:rPr>
          <w:b/>
        </w:rPr>
      </w:pPr>
    </w:p>
    <w:p w14:paraId="7D1BDE67" w14:textId="77777777" w:rsidR="009828E8" w:rsidRDefault="009828E8" w:rsidP="009828E8">
      <w:pPr>
        <w:rPr>
          <w:b/>
        </w:rPr>
        <w:sectPr w:rsidR="009828E8" w:rsidSect="003634CC">
          <w:footerReference w:type="default" r:id="rId9"/>
          <w:endnotePr>
            <w:numFmt w:val="decimal"/>
          </w:endnotePr>
          <w:type w:val="continuous"/>
          <w:pgSz w:w="12240" w:h="15840"/>
          <w:pgMar w:top="1440" w:right="1440" w:bottom="1440" w:left="1440" w:header="1440" w:footer="1440" w:gutter="0"/>
          <w:cols w:space="720"/>
          <w:noEndnote/>
        </w:sectPr>
      </w:pPr>
    </w:p>
    <w:p w14:paraId="3130025E" w14:textId="77777777" w:rsidR="009828E8" w:rsidRDefault="009828E8" w:rsidP="009828E8">
      <w:pPr>
        <w:rPr>
          <w:b/>
        </w:rPr>
      </w:pPr>
    </w:p>
    <w:sdt>
      <w:sdtPr>
        <w:rPr>
          <w:rFonts w:ascii="Times New Roman" w:eastAsia="Times New Roman" w:hAnsi="Times New Roman" w:cs="Times New Roman"/>
          <w:b w:val="0"/>
          <w:bCs w:val="0"/>
          <w:snapToGrid w:val="0"/>
          <w:color w:val="auto"/>
          <w:sz w:val="24"/>
          <w:szCs w:val="20"/>
        </w:rPr>
        <w:id w:val="31527071"/>
        <w:docPartObj>
          <w:docPartGallery w:val="Table of Contents"/>
          <w:docPartUnique/>
        </w:docPartObj>
      </w:sdtPr>
      <w:sdtEndPr>
        <w:rPr>
          <w:sz w:val="18"/>
          <w:szCs w:val="18"/>
        </w:rPr>
      </w:sdtEndPr>
      <w:sdtContent>
        <w:p w14:paraId="19D79336" w14:textId="77777777" w:rsidR="00E24060" w:rsidRPr="00B06DBB" w:rsidRDefault="00E24060" w:rsidP="00B06DBB">
          <w:pPr>
            <w:pStyle w:val="TOCHeading"/>
            <w:spacing w:before="200" w:after="200" w:line="240" w:lineRule="auto"/>
            <w:rPr>
              <w:rFonts w:ascii="Times New Roman" w:hAnsi="Times New Roman" w:cs="Times New Roman"/>
              <w:color w:val="auto"/>
            </w:rPr>
          </w:pPr>
          <w:r w:rsidRPr="00B06DBB">
            <w:rPr>
              <w:rFonts w:ascii="Times New Roman" w:hAnsi="Times New Roman" w:cs="Times New Roman"/>
              <w:color w:val="auto"/>
            </w:rPr>
            <w:t>Table of Contents</w:t>
          </w:r>
        </w:p>
        <w:p w14:paraId="7E3747E5" w14:textId="77777777" w:rsidR="000265D1" w:rsidRPr="00C8249C" w:rsidRDefault="00186E52" w:rsidP="00C8249C">
          <w:pPr>
            <w:pStyle w:val="TOC1"/>
            <w:spacing w:line="240" w:lineRule="auto"/>
            <w:rPr>
              <w:rFonts w:asciiTheme="minorHAnsi" w:eastAsiaTheme="minorEastAsia" w:hAnsiTheme="minorHAnsi" w:cstheme="minorBidi"/>
              <w:noProof/>
              <w:snapToGrid/>
              <w:sz w:val="22"/>
              <w:szCs w:val="22"/>
            </w:rPr>
          </w:pPr>
          <w:r w:rsidRPr="00483744">
            <w:rPr>
              <w:sz w:val="22"/>
              <w:szCs w:val="22"/>
            </w:rPr>
            <w:fldChar w:fldCharType="begin"/>
          </w:r>
          <w:r w:rsidR="00E24060" w:rsidRPr="00483744">
            <w:rPr>
              <w:sz w:val="22"/>
              <w:szCs w:val="22"/>
            </w:rPr>
            <w:instrText xml:space="preserve"> TOC \o "1-3" \h \z \u </w:instrText>
          </w:r>
          <w:r w:rsidRPr="00483744">
            <w:rPr>
              <w:sz w:val="22"/>
              <w:szCs w:val="22"/>
            </w:rPr>
            <w:fldChar w:fldCharType="separate"/>
          </w:r>
          <w:hyperlink w:anchor="_Toc442088376" w:history="1">
            <w:r w:rsidR="000265D1" w:rsidRPr="00C8249C">
              <w:rPr>
                <w:rStyle w:val="Hyperlink"/>
                <w:rFonts w:asciiTheme="minorHAnsi" w:hAnsiTheme="minorHAnsi"/>
                <w:noProof/>
              </w:rPr>
              <w:t>INTRODUCTION</w:t>
            </w:r>
            <w:r w:rsidR="000265D1" w:rsidRPr="00C8249C">
              <w:rPr>
                <w:rFonts w:asciiTheme="minorHAnsi" w:hAnsiTheme="minorHAnsi"/>
                <w:noProof/>
                <w:webHidden/>
              </w:rPr>
              <w:tab/>
            </w:r>
            <w:r w:rsidR="000265D1" w:rsidRPr="00C8249C">
              <w:rPr>
                <w:rFonts w:asciiTheme="minorHAnsi" w:hAnsiTheme="minorHAnsi"/>
                <w:noProof/>
                <w:webHidden/>
              </w:rPr>
              <w:fldChar w:fldCharType="begin"/>
            </w:r>
            <w:r w:rsidR="000265D1" w:rsidRPr="00C8249C">
              <w:rPr>
                <w:rFonts w:asciiTheme="minorHAnsi" w:hAnsiTheme="minorHAnsi"/>
                <w:noProof/>
                <w:webHidden/>
              </w:rPr>
              <w:instrText xml:space="preserve"> PAGEREF _Toc442088376 \h </w:instrText>
            </w:r>
            <w:r w:rsidR="000265D1" w:rsidRPr="00C8249C">
              <w:rPr>
                <w:rFonts w:asciiTheme="minorHAnsi" w:hAnsiTheme="minorHAnsi"/>
                <w:noProof/>
                <w:webHidden/>
              </w:rPr>
            </w:r>
            <w:r w:rsidR="000265D1" w:rsidRPr="00C8249C">
              <w:rPr>
                <w:rFonts w:asciiTheme="minorHAnsi" w:hAnsiTheme="minorHAnsi"/>
                <w:noProof/>
                <w:webHidden/>
              </w:rPr>
              <w:fldChar w:fldCharType="separate"/>
            </w:r>
            <w:r w:rsidR="00E41954">
              <w:rPr>
                <w:rFonts w:asciiTheme="minorHAnsi" w:hAnsiTheme="minorHAnsi"/>
                <w:noProof/>
                <w:webHidden/>
              </w:rPr>
              <w:t>1</w:t>
            </w:r>
            <w:r w:rsidR="000265D1" w:rsidRPr="00C8249C">
              <w:rPr>
                <w:rFonts w:asciiTheme="minorHAnsi" w:hAnsiTheme="minorHAnsi"/>
                <w:noProof/>
                <w:webHidden/>
              </w:rPr>
              <w:fldChar w:fldCharType="end"/>
            </w:r>
          </w:hyperlink>
        </w:p>
        <w:p w14:paraId="29CE0EC2" w14:textId="77777777" w:rsidR="000265D1" w:rsidRPr="00C8249C" w:rsidRDefault="00413889" w:rsidP="00C8249C">
          <w:pPr>
            <w:pStyle w:val="TOC1"/>
            <w:spacing w:line="240" w:lineRule="auto"/>
            <w:rPr>
              <w:rFonts w:asciiTheme="minorHAnsi" w:eastAsiaTheme="minorEastAsia" w:hAnsiTheme="minorHAnsi" w:cstheme="minorBidi"/>
              <w:noProof/>
              <w:snapToGrid/>
              <w:sz w:val="22"/>
              <w:szCs w:val="22"/>
            </w:rPr>
          </w:pPr>
          <w:hyperlink w:anchor="_Toc442088377" w:history="1">
            <w:r w:rsidR="000265D1" w:rsidRPr="00C8249C">
              <w:rPr>
                <w:rStyle w:val="Hyperlink"/>
                <w:rFonts w:asciiTheme="minorHAnsi" w:hAnsiTheme="minorHAnsi"/>
                <w:noProof/>
              </w:rPr>
              <w:t>JUSTIFICATION</w:t>
            </w:r>
            <w:r w:rsidR="000265D1" w:rsidRPr="00C8249C">
              <w:rPr>
                <w:rFonts w:asciiTheme="minorHAnsi" w:hAnsiTheme="minorHAnsi"/>
                <w:noProof/>
                <w:webHidden/>
              </w:rPr>
              <w:tab/>
            </w:r>
            <w:r w:rsidR="000265D1" w:rsidRPr="00C8249C">
              <w:rPr>
                <w:rFonts w:asciiTheme="minorHAnsi" w:hAnsiTheme="minorHAnsi"/>
                <w:noProof/>
                <w:webHidden/>
              </w:rPr>
              <w:fldChar w:fldCharType="begin"/>
            </w:r>
            <w:r w:rsidR="000265D1" w:rsidRPr="00C8249C">
              <w:rPr>
                <w:rFonts w:asciiTheme="minorHAnsi" w:hAnsiTheme="minorHAnsi"/>
                <w:noProof/>
                <w:webHidden/>
              </w:rPr>
              <w:instrText xml:space="preserve"> PAGEREF _Toc442088377 \h </w:instrText>
            </w:r>
            <w:r w:rsidR="000265D1" w:rsidRPr="00C8249C">
              <w:rPr>
                <w:rFonts w:asciiTheme="minorHAnsi" w:hAnsiTheme="minorHAnsi"/>
                <w:noProof/>
                <w:webHidden/>
              </w:rPr>
            </w:r>
            <w:r w:rsidR="000265D1" w:rsidRPr="00C8249C">
              <w:rPr>
                <w:rFonts w:asciiTheme="minorHAnsi" w:hAnsiTheme="minorHAnsi"/>
                <w:noProof/>
                <w:webHidden/>
              </w:rPr>
              <w:fldChar w:fldCharType="separate"/>
            </w:r>
            <w:r w:rsidR="00E41954">
              <w:rPr>
                <w:rFonts w:asciiTheme="minorHAnsi" w:hAnsiTheme="minorHAnsi"/>
                <w:noProof/>
                <w:webHidden/>
              </w:rPr>
              <w:t>4</w:t>
            </w:r>
            <w:r w:rsidR="000265D1" w:rsidRPr="00C8249C">
              <w:rPr>
                <w:rFonts w:asciiTheme="minorHAnsi" w:hAnsiTheme="minorHAnsi"/>
                <w:noProof/>
                <w:webHidden/>
              </w:rPr>
              <w:fldChar w:fldCharType="end"/>
            </w:r>
          </w:hyperlink>
        </w:p>
        <w:p w14:paraId="6118F7F9" w14:textId="77777777" w:rsidR="000265D1" w:rsidRPr="00DE1129" w:rsidRDefault="00413889" w:rsidP="00DE1129">
          <w:pPr>
            <w:pStyle w:val="TOC2"/>
            <w:rPr>
              <w:rFonts w:eastAsiaTheme="minorEastAsia"/>
              <w:sz w:val="22"/>
            </w:rPr>
          </w:pPr>
          <w:hyperlink w:anchor="_Toc442088378" w:history="1">
            <w:r w:rsidR="000265D1" w:rsidRPr="00C8249C">
              <w:rPr>
                <w:rStyle w:val="Hyperlink"/>
                <w:rFonts w:asciiTheme="minorHAnsi" w:hAnsiTheme="minorHAnsi"/>
                <w:noProof/>
              </w:rPr>
              <w:t>1.</w:t>
            </w:r>
            <w:r w:rsidR="000265D1" w:rsidRPr="00DE1129">
              <w:rPr>
                <w:rFonts w:eastAsiaTheme="minorEastAsia"/>
                <w:sz w:val="22"/>
              </w:rPr>
              <w:tab/>
            </w:r>
            <w:r w:rsidR="000265D1" w:rsidRPr="00C8249C">
              <w:rPr>
                <w:rStyle w:val="Hyperlink"/>
                <w:rFonts w:asciiTheme="minorHAnsi" w:hAnsiTheme="minorHAnsi"/>
                <w:noProof/>
              </w:rPr>
              <w:t>Legal Authority</w:t>
            </w:r>
            <w:r w:rsidR="000265D1" w:rsidRPr="00DE1129">
              <w:rPr>
                <w:webHidden/>
              </w:rPr>
              <w:tab/>
            </w:r>
            <w:r w:rsidR="000265D1" w:rsidRPr="00DE1129">
              <w:rPr>
                <w:webHidden/>
              </w:rPr>
              <w:fldChar w:fldCharType="begin"/>
            </w:r>
            <w:r w:rsidR="000265D1" w:rsidRPr="00DE1129">
              <w:rPr>
                <w:webHidden/>
              </w:rPr>
              <w:instrText xml:space="preserve"> PAGEREF _Toc442088378 \h </w:instrText>
            </w:r>
            <w:r w:rsidR="000265D1" w:rsidRPr="00DE1129">
              <w:rPr>
                <w:webHidden/>
              </w:rPr>
            </w:r>
            <w:r w:rsidR="000265D1" w:rsidRPr="00DE1129">
              <w:rPr>
                <w:webHidden/>
              </w:rPr>
              <w:fldChar w:fldCharType="separate"/>
            </w:r>
            <w:r w:rsidR="00E41954" w:rsidRPr="00DE1129">
              <w:rPr>
                <w:webHidden/>
              </w:rPr>
              <w:t>4</w:t>
            </w:r>
            <w:r w:rsidR="000265D1" w:rsidRPr="00DE1129">
              <w:rPr>
                <w:webHidden/>
              </w:rPr>
              <w:fldChar w:fldCharType="end"/>
            </w:r>
          </w:hyperlink>
        </w:p>
        <w:p w14:paraId="15EE00F3" w14:textId="77777777" w:rsidR="000265D1" w:rsidRPr="00DE1129" w:rsidRDefault="00413889" w:rsidP="00DE1129">
          <w:pPr>
            <w:pStyle w:val="TOC2"/>
            <w:rPr>
              <w:rFonts w:eastAsiaTheme="minorEastAsia"/>
              <w:sz w:val="22"/>
            </w:rPr>
          </w:pPr>
          <w:hyperlink w:anchor="_Toc442088379" w:history="1">
            <w:r w:rsidR="000265D1" w:rsidRPr="00C8249C">
              <w:rPr>
                <w:rStyle w:val="Hyperlink"/>
                <w:rFonts w:asciiTheme="minorHAnsi" w:hAnsiTheme="minorHAnsi"/>
                <w:noProof/>
              </w:rPr>
              <w:t>2.</w:t>
            </w:r>
            <w:r w:rsidR="000265D1" w:rsidRPr="00DE1129">
              <w:rPr>
                <w:rFonts w:eastAsiaTheme="minorEastAsia"/>
                <w:sz w:val="22"/>
              </w:rPr>
              <w:tab/>
            </w:r>
            <w:r w:rsidR="000265D1" w:rsidRPr="00C8249C">
              <w:rPr>
                <w:rStyle w:val="Hyperlink"/>
                <w:rFonts w:asciiTheme="minorHAnsi" w:hAnsiTheme="minorHAnsi"/>
                <w:noProof/>
              </w:rPr>
              <w:t>Needs and Uses of Data</w:t>
            </w:r>
            <w:r w:rsidR="000265D1" w:rsidRPr="00DE1129">
              <w:rPr>
                <w:webHidden/>
              </w:rPr>
              <w:tab/>
            </w:r>
            <w:r w:rsidR="000265D1" w:rsidRPr="00DE1129">
              <w:rPr>
                <w:webHidden/>
              </w:rPr>
              <w:fldChar w:fldCharType="begin"/>
            </w:r>
            <w:r w:rsidR="000265D1" w:rsidRPr="00DE1129">
              <w:rPr>
                <w:webHidden/>
              </w:rPr>
              <w:instrText xml:space="preserve"> PAGEREF _Toc442088379 \h </w:instrText>
            </w:r>
            <w:r w:rsidR="000265D1" w:rsidRPr="00DE1129">
              <w:rPr>
                <w:webHidden/>
              </w:rPr>
            </w:r>
            <w:r w:rsidR="000265D1" w:rsidRPr="00DE1129">
              <w:rPr>
                <w:webHidden/>
              </w:rPr>
              <w:fldChar w:fldCharType="separate"/>
            </w:r>
            <w:r w:rsidR="00E41954" w:rsidRPr="00DE1129">
              <w:rPr>
                <w:webHidden/>
              </w:rPr>
              <w:t>5</w:t>
            </w:r>
            <w:r w:rsidR="000265D1" w:rsidRPr="00DE1129">
              <w:rPr>
                <w:webHidden/>
              </w:rPr>
              <w:fldChar w:fldCharType="end"/>
            </w:r>
          </w:hyperlink>
        </w:p>
        <w:p w14:paraId="66A7168F" w14:textId="77777777" w:rsidR="000265D1" w:rsidRPr="00DE1129" w:rsidRDefault="00413889" w:rsidP="00DE1129">
          <w:pPr>
            <w:pStyle w:val="TOC2"/>
            <w:rPr>
              <w:rFonts w:eastAsiaTheme="minorEastAsia"/>
              <w:sz w:val="22"/>
            </w:rPr>
          </w:pPr>
          <w:hyperlink w:anchor="_Toc442088380" w:history="1">
            <w:r w:rsidR="000265D1" w:rsidRPr="00C8249C">
              <w:rPr>
                <w:rStyle w:val="Hyperlink"/>
                <w:rFonts w:asciiTheme="minorHAnsi" w:hAnsiTheme="minorHAnsi"/>
                <w:noProof/>
              </w:rPr>
              <w:t>3.</w:t>
            </w:r>
            <w:r w:rsidR="000265D1" w:rsidRPr="00DE1129">
              <w:rPr>
                <w:rFonts w:eastAsiaTheme="minorEastAsia"/>
                <w:sz w:val="22"/>
              </w:rPr>
              <w:tab/>
            </w:r>
            <w:r w:rsidR="000265D1" w:rsidRPr="00C8249C">
              <w:rPr>
                <w:rStyle w:val="Hyperlink"/>
                <w:rFonts w:asciiTheme="minorHAnsi" w:hAnsiTheme="minorHAnsi"/>
                <w:noProof/>
              </w:rPr>
              <w:t>Use of Information Technology</w:t>
            </w:r>
            <w:r w:rsidR="000265D1" w:rsidRPr="00DE1129">
              <w:rPr>
                <w:webHidden/>
              </w:rPr>
              <w:tab/>
            </w:r>
            <w:r w:rsidR="000265D1" w:rsidRPr="00DE1129">
              <w:rPr>
                <w:webHidden/>
              </w:rPr>
              <w:fldChar w:fldCharType="begin"/>
            </w:r>
            <w:r w:rsidR="000265D1" w:rsidRPr="00DE1129">
              <w:rPr>
                <w:webHidden/>
              </w:rPr>
              <w:instrText xml:space="preserve"> PAGEREF _Toc442088380 \h </w:instrText>
            </w:r>
            <w:r w:rsidR="000265D1" w:rsidRPr="00DE1129">
              <w:rPr>
                <w:webHidden/>
              </w:rPr>
            </w:r>
            <w:r w:rsidR="000265D1" w:rsidRPr="00DE1129">
              <w:rPr>
                <w:webHidden/>
              </w:rPr>
              <w:fldChar w:fldCharType="separate"/>
            </w:r>
            <w:r w:rsidR="00E41954" w:rsidRPr="00DE1129">
              <w:rPr>
                <w:webHidden/>
              </w:rPr>
              <w:t>8</w:t>
            </w:r>
            <w:r w:rsidR="000265D1" w:rsidRPr="00DE1129">
              <w:rPr>
                <w:webHidden/>
              </w:rPr>
              <w:fldChar w:fldCharType="end"/>
            </w:r>
          </w:hyperlink>
        </w:p>
        <w:p w14:paraId="33195334" w14:textId="77777777" w:rsidR="000265D1" w:rsidRPr="00DE1129" w:rsidRDefault="00413889" w:rsidP="00DE1129">
          <w:pPr>
            <w:pStyle w:val="TOC2"/>
            <w:rPr>
              <w:rFonts w:eastAsiaTheme="minorEastAsia"/>
              <w:sz w:val="22"/>
            </w:rPr>
          </w:pPr>
          <w:hyperlink w:anchor="_Toc442088381" w:history="1">
            <w:r w:rsidR="000265D1" w:rsidRPr="00C8249C">
              <w:rPr>
                <w:rStyle w:val="Hyperlink"/>
                <w:rFonts w:asciiTheme="minorHAnsi" w:hAnsiTheme="minorHAnsi"/>
                <w:noProof/>
              </w:rPr>
              <w:t>4.</w:t>
            </w:r>
            <w:r w:rsidR="000265D1" w:rsidRPr="00DE1129">
              <w:rPr>
                <w:rFonts w:eastAsiaTheme="minorEastAsia"/>
                <w:sz w:val="22"/>
              </w:rPr>
              <w:tab/>
            </w:r>
            <w:r w:rsidR="000265D1" w:rsidRPr="00C8249C">
              <w:rPr>
                <w:rStyle w:val="Hyperlink"/>
                <w:rFonts w:asciiTheme="minorHAnsi" w:hAnsiTheme="minorHAnsi"/>
                <w:noProof/>
              </w:rPr>
              <w:t>Technical Considerations to Reduce Burden</w:t>
            </w:r>
            <w:r w:rsidR="000265D1" w:rsidRPr="00DE1129">
              <w:rPr>
                <w:webHidden/>
              </w:rPr>
              <w:tab/>
            </w:r>
            <w:r w:rsidR="000265D1" w:rsidRPr="00DE1129">
              <w:rPr>
                <w:webHidden/>
              </w:rPr>
              <w:fldChar w:fldCharType="begin"/>
            </w:r>
            <w:r w:rsidR="000265D1" w:rsidRPr="00DE1129">
              <w:rPr>
                <w:webHidden/>
              </w:rPr>
              <w:instrText xml:space="preserve"> PAGEREF _Toc442088381 \h </w:instrText>
            </w:r>
            <w:r w:rsidR="000265D1" w:rsidRPr="00DE1129">
              <w:rPr>
                <w:webHidden/>
              </w:rPr>
            </w:r>
            <w:r w:rsidR="000265D1" w:rsidRPr="00DE1129">
              <w:rPr>
                <w:webHidden/>
              </w:rPr>
              <w:fldChar w:fldCharType="separate"/>
            </w:r>
            <w:r w:rsidR="00E41954" w:rsidRPr="00DE1129">
              <w:rPr>
                <w:webHidden/>
              </w:rPr>
              <w:t>8</w:t>
            </w:r>
            <w:r w:rsidR="000265D1" w:rsidRPr="00DE1129">
              <w:rPr>
                <w:webHidden/>
              </w:rPr>
              <w:fldChar w:fldCharType="end"/>
            </w:r>
          </w:hyperlink>
        </w:p>
        <w:p w14:paraId="6D99B0E7" w14:textId="77777777" w:rsidR="000265D1" w:rsidRPr="00DE1129" w:rsidRDefault="00413889" w:rsidP="00DE1129">
          <w:pPr>
            <w:pStyle w:val="TOC2"/>
            <w:rPr>
              <w:rFonts w:eastAsiaTheme="minorEastAsia"/>
              <w:sz w:val="22"/>
            </w:rPr>
          </w:pPr>
          <w:hyperlink w:anchor="_Toc442088382" w:history="1">
            <w:r w:rsidR="000265D1" w:rsidRPr="00C8249C">
              <w:rPr>
                <w:rStyle w:val="Hyperlink"/>
                <w:rFonts w:asciiTheme="minorHAnsi" w:hAnsiTheme="minorHAnsi"/>
                <w:noProof/>
              </w:rPr>
              <w:t>5.</w:t>
            </w:r>
            <w:r w:rsidR="000265D1" w:rsidRPr="00DE1129">
              <w:rPr>
                <w:rFonts w:eastAsiaTheme="minorEastAsia"/>
                <w:sz w:val="22"/>
              </w:rPr>
              <w:tab/>
            </w:r>
            <w:r w:rsidR="000265D1" w:rsidRPr="00C8249C">
              <w:rPr>
                <w:rStyle w:val="Hyperlink"/>
                <w:rFonts w:asciiTheme="minorHAnsi" w:hAnsiTheme="minorHAnsi"/>
                <w:noProof/>
              </w:rPr>
              <w:t>Efforts to Identify Duplication and Analysis of Similar Existing Information</w:t>
            </w:r>
            <w:r w:rsidR="000265D1" w:rsidRPr="00DE1129">
              <w:rPr>
                <w:webHidden/>
              </w:rPr>
              <w:tab/>
            </w:r>
            <w:r w:rsidR="000265D1" w:rsidRPr="00DE1129">
              <w:rPr>
                <w:webHidden/>
              </w:rPr>
              <w:fldChar w:fldCharType="begin"/>
            </w:r>
            <w:r w:rsidR="000265D1" w:rsidRPr="00DE1129">
              <w:rPr>
                <w:webHidden/>
              </w:rPr>
              <w:instrText xml:space="preserve"> PAGEREF _Toc442088382 \h </w:instrText>
            </w:r>
            <w:r w:rsidR="000265D1" w:rsidRPr="00DE1129">
              <w:rPr>
                <w:webHidden/>
              </w:rPr>
            </w:r>
            <w:r w:rsidR="000265D1" w:rsidRPr="00DE1129">
              <w:rPr>
                <w:webHidden/>
              </w:rPr>
              <w:fldChar w:fldCharType="separate"/>
            </w:r>
            <w:r w:rsidR="00E41954" w:rsidRPr="00DE1129">
              <w:rPr>
                <w:webHidden/>
              </w:rPr>
              <w:t>9</w:t>
            </w:r>
            <w:r w:rsidR="000265D1" w:rsidRPr="00DE1129">
              <w:rPr>
                <w:webHidden/>
              </w:rPr>
              <w:fldChar w:fldCharType="end"/>
            </w:r>
          </w:hyperlink>
        </w:p>
        <w:p w14:paraId="3C2484E8" w14:textId="77777777" w:rsidR="000265D1" w:rsidRPr="00DE1129" w:rsidRDefault="00413889" w:rsidP="00DE1129">
          <w:pPr>
            <w:pStyle w:val="TOC2"/>
            <w:rPr>
              <w:rFonts w:eastAsiaTheme="minorEastAsia"/>
              <w:sz w:val="22"/>
            </w:rPr>
          </w:pPr>
          <w:hyperlink w:anchor="_Toc442088383" w:history="1">
            <w:r w:rsidR="000265D1" w:rsidRPr="00C8249C">
              <w:rPr>
                <w:rStyle w:val="Hyperlink"/>
                <w:rFonts w:asciiTheme="minorHAnsi" w:hAnsiTheme="minorHAnsi"/>
                <w:noProof/>
              </w:rPr>
              <w:t>6.</w:t>
            </w:r>
            <w:r w:rsidR="000265D1" w:rsidRPr="00DE1129">
              <w:rPr>
                <w:rFonts w:eastAsiaTheme="minorEastAsia"/>
                <w:sz w:val="22"/>
              </w:rPr>
              <w:tab/>
            </w:r>
            <w:r w:rsidR="000265D1" w:rsidRPr="00C8249C">
              <w:rPr>
                <w:rStyle w:val="Hyperlink"/>
                <w:rFonts w:asciiTheme="minorHAnsi" w:hAnsiTheme="minorHAnsi"/>
                <w:noProof/>
              </w:rPr>
              <w:t>Burden Reduction for Small Businesses and Small Entities</w:t>
            </w:r>
            <w:r w:rsidR="000265D1" w:rsidRPr="00DE1129">
              <w:rPr>
                <w:webHidden/>
              </w:rPr>
              <w:tab/>
            </w:r>
            <w:r w:rsidR="000265D1" w:rsidRPr="00DE1129">
              <w:rPr>
                <w:webHidden/>
              </w:rPr>
              <w:fldChar w:fldCharType="begin"/>
            </w:r>
            <w:r w:rsidR="000265D1" w:rsidRPr="00DE1129">
              <w:rPr>
                <w:webHidden/>
              </w:rPr>
              <w:instrText xml:space="preserve"> PAGEREF _Toc442088383 \h </w:instrText>
            </w:r>
            <w:r w:rsidR="000265D1" w:rsidRPr="00DE1129">
              <w:rPr>
                <w:webHidden/>
              </w:rPr>
            </w:r>
            <w:r w:rsidR="000265D1" w:rsidRPr="00DE1129">
              <w:rPr>
                <w:webHidden/>
              </w:rPr>
              <w:fldChar w:fldCharType="separate"/>
            </w:r>
            <w:r w:rsidR="00E41954" w:rsidRPr="00DE1129">
              <w:rPr>
                <w:webHidden/>
              </w:rPr>
              <w:t>10</w:t>
            </w:r>
            <w:r w:rsidR="000265D1" w:rsidRPr="00DE1129">
              <w:rPr>
                <w:webHidden/>
              </w:rPr>
              <w:fldChar w:fldCharType="end"/>
            </w:r>
          </w:hyperlink>
        </w:p>
        <w:p w14:paraId="600B7CD7" w14:textId="77777777" w:rsidR="000265D1" w:rsidRPr="00DE1129" w:rsidRDefault="00413889" w:rsidP="00DE1129">
          <w:pPr>
            <w:pStyle w:val="TOC2"/>
            <w:rPr>
              <w:rFonts w:eastAsiaTheme="minorEastAsia"/>
              <w:sz w:val="22"/>
            </w:rPr>
          </w:pPr>
          <w:hyperlink w:anchor="_Toc442088384" w:history="1">
            <w:r w:rsidR="000265D1" w:rsidRPr="00C8249C">
              <w:rPr>
                <w:rStyle w:val="Hyperlink"/>
                <w:rFonts w:asciiTheme="minorHAnsi" w:hAnsiTheme="minorHAnsi"/>
                <w:noProof/>
              </w:rPr>
              <w:t>7.</w:t>
            </w:r>
            <w:r w:rsidR="000265D1" w:rsidRPr="00DE1129">
              <w:rPr>
                <w:rFonts w:eastAsiaTheme="minorEastAsia"/>
                <w:sz w:val="22"/>
              </w:rPr>
              <w:tab/>
            </w:r>
            <w:r w:rsidR="000265D1" w:rsidRPr="00C8249C">
              <w:rPr>
                <w:rStyle w:val="Hyperlink"/>
                <w:rFonts w:asciiTheme="minorHAnsi" w:hAnsiTheme="minorHAnsi"/>
                <w:noProof/>
              </w:rPr>
              <w:t>Consequences of Less Frequent Reporting</w:t>
            </w:r>
            <w:r w:rsidR="000265D1" w:rsidRPr="00DE1129">
              <w:rPr>
                <w:webHidden/>
              </w:rPr>
              <w:tab/>
            </w:r>
            <w:r w:rsidR="000265D1" w:rsidRPr="00DE1129">
              <w:rPr>
                <w:webHidden/>
              </w:rPr>
              <w:fldChar w:fldCharType="begin"/>
            </w:r>
            <w:r w:rsidR="000265D1" w:rsidRPr="00DE1129">
              <w:rPr>
                <w:webHidden/>
              </w:rPr>
              <w:instrText xml:space="preserve"> PAGEREF _Toc442088384 \h </w:instrText>
            </w:r>
            <w:r w:rsidR="000265D1" w:rsidRPr="00DE1129">
              <w:rPr>
                <w:webHidden/>
              </w:rPr>
            </w:r>
            <w:r w:rsidR="000265D1" w:rsidRPr="00DE1129">
              <w:rPr>
                <w:webHidden/>
              </w:rPr>
              <w:fldChar w:fldCharType="separate"/>
            </w:r>
            <w:r w:rsidR="00E41954" w:rsidRPr="00DE1129">
              <w:rPr>
                <w:webHidden/>
              </w:rPr>
              <w:t>10</w:t>
            </w:r>
            <w:r w:rsidR="000265D1" w:rsidRPr="00DE1129">
              <w:rPr>
                <w:webHidden/>
              </w:rPr>
              <w:fldChar w:fldCharType="end"/>
            </w:r>
          </w:hyperlink>
        </w:p>
        <w:p w14:paraId="33C125AA" w14:textId="77777777" w:rsidR="000265D1" w:rsidRPr="00DE1129" w:rsidRDefault="00413889" w:rsidP="00DE1129">
          <w:pPr>
            <w:pStyle w:val="TOC2"/>
            <w:rPr>
              <w:rFonts w:eastAsiaTheme="minorEastAsia"/>
              <w:sz w:val="22"/>
            </w:rPr>
          </w:pPr>
          <w:hyperlink w:anchor="_Toc442088385" w:history="1">
            <w:r w:rsidR="000265D1" w:rsidRPr="00C8249C">
              <w:rPr>
                <w:rStyle w:val="Hyperlink"/>
                <w:rFonts w:asciiTheme="minorHAnsi" w:hAnsiTheme="minorHAnsi"/>
                <w:noProof/>
              </w:rPr>
              <w:t>8.</w:t>
            </w:r>
            <w:r w:rsidR="000265D1" w:rsidRPr="00DE1129">
              <w:rPr>
                <w:rFonts w:eastAsiaTheme="minorEastAsia"/>
                <w:sz w:val="22"/>
              </w:rPr>
              <w:tab/>
            </w:r>
            <w:r w:rsidR="000265D1" w:rsidRPr="00C8249C">
              <w:rPr>
                <w:rStyle w:val="Hyperlink"/>
                <w:rFonts w:asciiTheme="minorHAnsi" w:hAnsiTheme="minorHAnsi"/>
                <w:noProof/>
              </w:rPr>
              <w:t>Special Circumstances</w:t>
            </w:r>
            <w:r w:rsidR="000265D1" w:rsidRPr="00DE1129">
              <w:rPr>
                <w:webHidden/>
              </w:rPr>
              <w:tab/>
            </w:r>
            <w:r w:rsidR="000265D1" w:rsidRPr="00DE1129">
              <w:rPr>
                <w:webHidden/>
              </w:rPr>
              <w:fldChar w:fldCharType="begin"/>
            </w:r>
            <w:r w:rsidR="000265D1" w:rsidRPr="00DE1129">
              <w:rPr>
                <w:webHidden/>
              </w:rPr>
              <w:instrText xml:space="preserve"> PAGEREF _Toc442088385 \h </w:instrText>
            </w:r>
            <w:r w:rsidR="000265D1" w:rsidRPr="00DE1129">
              <w:rPr>
                <w:webHidden/>
              </w:rPr>
            </w:r>
            <w:r w:rsidR="000265D1" w:rsidRPr="00DE1129">
              <w:rPr>
                <w:webHidden/>
              </w:rPr>
              <w:fldChar w:fldCharType="separate"/>
            </w:r>
            <w:r w:rsidR="00E41954" w:rsidRPr="00DE1129">
              <w:rPr>
                <w:webHidden/>
              </w:rPr>
              <w:t>11</w:t>
            </w:r>
            <w:r w:rsidR="000265D1" w:rsidRPr="00DE1129">
              <w:rPr>
                <w:webHidden/>
              </w:rPr>
              <w:fldChar w:fldCharType="end"/>
            </w:r>
          </w:hyperlink>
        </w:p>
        <w:p w14:paraId="13CEB145" w14:textId="77777777" w:rsidR="000265D1" w:rsidRPr="00DE1129" w:rsidRDefault="00413889" w:rsidP="00DE1129">
          <w:pPr>
            <w:pStyle w:val="TOC2"/>
            <w:rPr>
              <w:rFonts w:eastAsiaTheme="minorEastAsia"/>
              <w:sz w:val="22"/>
            </w:rPr>
          </w:pPr>
          <w:hyperlink w:anchor="_Toc442088386" w:history="1">
            <w:r w:rsidR="000265D1" w:rsidRPr="00C8249C">
              <w:rPr>
                <w:rStyle w:val="Hyperlink"/>
                <w:rFonts w:asciiTheme="minorHAnsi" w:hAnsiTheme="minorHAnsi"/>
                <w:noProof/>
              </w:rPr>
              <w:t>9.</w:t>
            </w:r>
            <w:r w:rsidR="000265D1" w:rsidRPr="00DE1129">
              <w:rPr>
                <w:rFonts w:eastAsiaTheme="minorEastAsia"/>
                <w:sz w:val="22"/>
              </w:rPr>
              <w:tab/>
            </w:r>
            <w:r w:rsidR="000265D1" w:rsidRPr="00C8249C">
              <w:rPr>
                <w:rStyle w:val="Hyperlink"/>
                <w:rFonts w:asciiTheme="minorHAnsi" w:hAnsiTheme="minorHAnsi"/>
                <w:noProof/>
              </w:rPr>
              <w:t>Summary of Consultation Outside the EIA</w:t>
            </w:r>
            <w:r w:rsidR="000265D1" w:rsidRPr="00DE1129">
              <w:rPr>
                <w:webHidden/>
              </w:rPr>
              <w:tab/>
            </w:r>
            <w:r w:rsidR="000265D1" w:rsidRPr="00DE1129">
              <w:rPr>
                <w:webHidden/>
              </w:rPr>
              <w:fldChar w:fldCharType="begin"/>
            </w:r>
            <w:r w:rsidR="000265D1" w:rsidRPr="00DE1129">
              <w:rPr>
                <w:webHidden/>
              </w:rPr>
              <w:instrText xml:space="preserve"> PAGEREF _Toc442088386 \h </w:instrText>
            </w:r>
            <w:r w:rsidR="000265D1" w:rsidRPr="00DE1129">
              <w:rPr>
                <w:webHidden/>
              </w:rPr>
            </w:r>
            <w:r w:rsidR="000265D1" w:rsidRPr="00DE1129">
              <w:rPr>
                <w:webHidden/>
              </w:rPr>
              <w:fldChar w:fldCharType="separate"/>
            </w:r>
            <w:r w:rsidR="00E41954" w:rsidRPr="00DE1129">
              <w:rPr>
                <w:webHidden/>
              </w:rPr>
              <w:t>11</w:t>
            </w:r>
            <w:r w:rsidR="000265D1" w:rsidRPr="00DE1129">
              <w:rPr>
                <w:webHidden/>
              </w:rPr>
              <w:fldChar w:fldCharType="end"/>
            </w:r>
          </w:hyperlink>
        </w:p>
        <w:p w14:paraId="7B73549E" w14:textId="77777777" w:rsidR="000265D1" w:rsidRPr="00DE1129" w:rsidRDefault="00413889" w:rsidP="00DE1129">
          <w:pPr>
            <w:pStyle w:val="TOC2"/>
            <w:rPr>
              <w:rFonts w:eastAsiaTheme="minorEastAsia"/>
              <w:sz w:val="22"/>
            </w:rPr>
          </w:pPr>
          <w:hyperlink w:anchor="_Toc442088387" w:history="1">
            <w:r w:rsidR="000265D1" w:rsidRPr="00C8249C">
              <w:rPr>
                <w:rStyle w:val="Hyperlink"/>
                <w:rFonts w:asciiTheme="minorHAnsi" w:hAnsiTheme="minorHAnsi"/>
                <w:noProof/>
              </w:rPr>
              <w:t>10.</w:t>
            </w:r>
            <w:r w:rsidR="000265D1" w:rsidRPr="00DE1129">
              <w:rPr>
                <w:rFonts w:eastAsiaTheme="minorEastAsia"/>
                <w:sz w:val="22"/>
              </w:rPr>
              <w:tab/>
            </w:r>
            <w:r w:rsidR="000265D1" w:rsidRPr="00C8249C">
              <w:rPr>
                <w:rStyle w:val="Hyperlink"/>
                <w:rFonts w:asciiTheme="minorHAnsi" w:hAnsiTheme="minorHAnsi"/>
                <w:noProof/>
              </w:rPr>
              <w:t>Remuneration</w:t>
            </w:r>
            <w:r w:rsidR="000265D1" w:rsidRPr="00DE1129">
              <w:rPr>
                <w:webHidden/>
              </w:rPr>
              <w:tab/>
            </w:r>
            <w:r w:rsidR="000265D1" w:rsidRPr="00DE1129">
              <w:rPr>
                <w:webHidden/>
              </w:rPr>
              <w:fldChar w:fldCharType="begin"/>
            </w:r>
            <w:r w:rsidR="000265D1" w:rsidRPr="00DE1129">
              <w:rPr>
                <w:webHidden/>
              </w:rPr>
              <w:instrText xml:space="preserve"> PAGEREF _Toc442088387 \h </w:instrText>
            </w:r>
            <w:r w:rsidR="000265D1" w:rsidRPr="00DE1129">
              <w:rPr>
                <w:webHidden/>
              </w:rPr>
            </w:r>
            <w:r w:rsidR="000265D1" w:rsidRPr="00DE1129">
              <w:rPr>
                <w:webHidden/>
              </w:rPr>
              <w:fldChar w:fldCharType="separate"/>
            </w:r>
            <w:r w:rsidR="00E41954" w:rsidRPr="00DE1129">
              <w:rPr>
                <w:webHidden/>
              </w:rPr>
              <w:t>12</w:t>
            </w:r>
            <w:r w:rsidR="000265D1" w:rsidRPr="00DE1129">
              <w:rPr>
                <w:webHidden/>
              </w:rPr>
              <w:fldChar w:fldCharType="end"/>
            </w:r>
          </w:hyperlink>
        </w:p>
        <w:p w14:paraId="12822637" w14:textId="77777777" w:rsidR="000265D1" w:rsidRPr="00DE1129" w:rsidRDefault="00413889" w:rsidP="00DE1129">
          <w:pPr>
            <w:pStyle w:val="TOC2"/>
            <w:rPr>
              <w:rFonts w:eastAsiaTheme="minorEastAsia"/>
              <w:sz w:val="22"/>
            </w:rPr>
          </w:pPr>
          <w:hyperlink w:anchor="_Toc442088388" w:history="1">
            <w:r w:rsidR="000265D1" w:rsidRPr="00C8249C">
              <w:rPr>
                <w:rStyle w:val="Hyperlink"/>
                <w:rFonts w:asciiTheme="minorHAnsi" w:hAnsiTheme="minorHAnsi"/>
                <w:noProof/>
              </w:rPr>
              <w:t>11.</w:t>
            </w:r>
            <w:r w:rsidR="000265D1" w:rsidRPr="00DE1129">
              <w:rPr>
                <w:rFonts w:eastAsiaTheme="minorEastAsia"/>
                <w:sz w:val="22"/>
              </w:rPr>
              <w:tab/>
            </w:r>
            <w:r w:rsidR="000265D1" w:rsidRPr="00C8249C">
              <w:rPr>
                <w:rStyle w:val="Hyperlink"/>
                <w:rFonts w:asciiTheme="minorHAnsi" w:hAnsiTheme="minorHAnsi"/>
                <w:noProof/>
              </w:rPr>
              <w:t>Disclosure of Information</w:t>
            </w:r>
            <w:r w:rsidR="000265D1" w:rsidRPr="00DE1129">
              <w:rPr>
                <w:webHidden/>
              </w:rPr>
              <w:tab/>
            </w:r>
            <w:r w:rsidR="000265D1" w:rsidRPr="00DE1129">
              <w:rPr>
                <w:webHidden/>
              </w:rPr>
              <w:fldChar w:fldCharType="begin"/>
            </w:r>
            <w:r w:rsidR="000265D1" w:rsidRPr="00DE1129">
              <w:rPr>
                <w:webHidden/>
              </w:rPr>
              <w:instrText xml:space="preserve"> PAGEREF _Toc442088388 \h </w:instrText>
            </w:r>
            <w:r w:rsidR="000265D1" w:rsidRPr="00DE1129">
              <w:rPr>
                <w:webHidden/>
              </w:rPr>
            </w:r>
            <w:r w:rsidR="000265D1" w:rsidRPr="00DE1129">
              <w:rPr>
                <w:webHidden/>
              </w:rPr>
              <w:fldChar w:fldCharType="separate"/>
            </w:r>
            <w:r w:rsidR="00E41954" w:rsidRPr="00DE1129">
              <w:rPr>
                <w:webHidden/>
              </w:rPr>
              <w:t>12</w:t>
            </w:r>
            <w:r w:rsidR="000265D1" w:rsidRPr="00DE1129">
              <w:rPr>
                <w:webHidden/>
              </w:rPr>
              <w:fldChar w:fldCharType="end"/>
            </w:r>
          </w:hyperlink>
        </w:p>
        <w:p w14:paraId="2600C65A" w14:textId="77777777" w:rsidR="000265D1" w:rsidRPr="00DE1129" w:rsidRDefault="00413889" w:rsidP="00DE1129">
          <w:pPr>
            <w:pStyle w:val="TOC2"/>
            <w:rPr>
              <w:rFonts w:eastAsiaTheme="minorEastAsia"/>
              <w:sz w:val="22"/>
            </w:rPr>
          </w:pPr>
          <w:hyperlink w:anchor="_Toc442088389" w:history="1">
            <w:r w:rsidR="000265D1" w:rsidRPr="00C8249C">
              <w:rPr>
                <w:rStyle w:val="Hyperlink"/>
                <w:rFonts w:asciiTheme="minorHAnsi" w:hAnsiTheme="minorHAnsi"/>
                <w:noProof/>
              </w:rPr>
              <w:t>12.</w:t>
            </w:r>
            <w:r w:rsidR="000265D1" w:rsidRPr="00DE1129">
              <w:rPr>
                <w:rFonts w:eastAsiaTheme="minorEastAsia"/>
                <w:sz w:val="22"/>
              </w:rPr>
              <w:tab/>
            </w:r>
            <w:r w:rsidR="000265D1" w:rsidRPr="00C8249C">
              <w:rPr>
                <w:rStyle w:val="Hyperlink"/>
                <w:rFonts w:asciiTheme="minorHAnsi" w:hAnsiTheme="minorHAnsi"/>
                <w:noProof/>
              </w:rPr>
              <w:t>Justification for Questions of a Sensitive Nature</w:t>
            </w:r>
            <w:r w:rsidR="000265D1" w:rsidRPr="00DE1129">
              <w:rPr>
                <w:webHidden/>
              </w:rPr>
              <w:tab/>
            </w:r>
            <w:r w:rsidR="000265D1" w:rsidRPr="00DE1129">
              <w:rPr>
                <w:webHidden/>
              </w:rPr>
              <w:fldChar w:fldCharType="begin"/>
            </w:r>
            <w:r w:rsidR="000265D1" w:rsidRPr="00DE1129">
              <w:rPr>
                <w:webHidden/>
              </w:rPr>
              <w:instrText xml:space="preserve"> PAGEREF _Toc442088389 \h </w:instrText>
            </w:r>
            <w:r w:rsidR="000265D1" w:rsidRPr="00DE1129">
              <w:rPr>
                <w:webHidden/>
              </w:rPr>
            </w:r>
            <w:r w:rsidR="000265D1" w:rsidRPr="00DE1129">
              <w:rPr>
                <w:webHidden/>
              </w:rPr>
              <w:fldChar w:fldCharType="separate"/>
            </w:r>
            <w:r w:rsidR="00E41954" w:rsidRPr="00DE1129">
              <w:rPr>
                <w:webHidden/>
              </w:rPr>
              <w:t>15</w:t>
            </w:r>
            <w:r w:rsidR="000265D1" w:rsidRPr="00DE1129">
              <w:rPr>
                <w:webHidden/>
              </w:rPr>
              <w:fldChar w:fldCharType="end"/>
            </w:r>
          </w:hyperlink>
        </w:p>
        <w:p w14:paraId="06C63148" w14:textId="77777777" w:rsidR="000265D1" w:rsidRPr="00DE1129" w:rsidRDefault="00413889" w:rsidP="00DE1129">
          <w:pPr>
            <w:pStyle w:val="TOC2"/>
            <w:rPr>
              <w:rFonts w:eastAsiaTheme="minorEastAsia"/>
              <w:sz w:val="22"/>
            </w:rPr>
          </w:pPr>
          <w:hyperlink w:anchor="_Toc442088390" w:history="1">
            <w:r w:rsidR="000265D1" w:rsidRPr="00C8249C">
              <w:rPr>
                <w:rStyle w:val="Hyperlink"/>
                <w:rFonts w:asciiTheme="minorHAnsi" w:hAnsiTheme="minorHAnsi"/>
                <w:noProof/>
              </w:rPr>
              <w:t>13.</w:t>
            </w:r>
            <w:r w:rsidR="000265D1" w:rsidRPr="00DE1129">
              <w:rPr>
                <w:rFonts w:eastAsiaTheme="minorEastAsia"/>
                <w:sz w:val="22"/>
              </w:rPr>
              <w:tab/>
            </w:r>
            <w:r w:rsidR="000265D1" w:rsidRPr="00C8249C">
              <w:rPr>
                <w:rStyle w:val="Hyperlink"/>
                <w:rFonts w:asciiTheme="minorHAnsi" w:hAnsiTheme="minorHAnsi"/>
                <w:noProof/>
              </w:rPr>
              <w:t>Estimates of Respondent Burden (Hours and Cost)</w:t>
            </w:r>
            <w:r w:rsidR="000265D1" w:rsidRPr="00DE1129">
              <w:rPr>
                <w:webHidden/>
              </w:rPr>
              <w:tab/>
            </w:r>
            <w:r w:rsidR="000265D1" w:rsidRPr="00DE1129">
              <w:rPr>
                <w:webHidden/>
              </w:rPr>
              <w:fldChar w:fldCharType="begin"/>
            </w:r>
            <w:r w:rsidR="000265D1" w:rsidRPr="00DE1129">
              <w:rPr>
                <w:webHidden/>
              </w:rPr>
              <w:instrText xml:space="preserve"> PAGEREF _Toc442088390 \h </w:instrText>
            </w:r>
            <w:r w:rsidR="000265D1" w:rsidRPr="00DE1129">
              <w:rPr>
                <w:webHidden/>
              </w:rPr>
            </w:r>
            <w:r w:rsidR="000265D1" w:rsidRPr="00DE1129">
              <w:rPr>
                <w:webHidden/>
              </w:rPr>
              <w:fldChar w:fldCharType="separate"/>
            </w:r>
            <w:r w:rsidR="00E41954" w:rsidRPr="00DE1129">
              <w:rPr>
                <w:webHidden/>
              </w:rPr>
              <w:t>15</w:t>
            </w:r>
            <w:r w:rsidR="000265D1" w:rsidRPr="00DE1129">
              <w:rPr>
                <w:webHidden/>
              </w:rPr>
              <w:fldChar w:fldCharType="end"/>
            </w:r>
          </w:hyperlink>
        </w:p>
        <w:p w14:paraId="7C5D4EAD" w14:textId="77777777" w:rsidR="000265D1" w:rsidRPr="00DE1129" w:rsidRDefault="00413889" w:rsidP="00DE1129">
          <w:pPr>
            <w:pStyle w:val="TOC2"/>
            <w:rPr>
              <w:rFonts w:eastAsiaTheme="minorEastAsia"/>
              <w:sz w:val="22"/>
            </w:rPr>
          </w:pPr>
          <w:hyperlink w:anchor="_Toc442088391" w:history="1">
            <w:r w:rsidR="000265D1" w:rsidRPr="00C8249C">
              <w:rPr>
                <w:rStyle w:val="Hyperlink"/>
                <w:rFonts w:asciiTheme="minorHAnsi" w:hAnsiTheme="minorHAnsi"/>
                <w:noProof/>
              </w:rPr>
              <w:t>14.</w:t>
            </w:r>
            <w:r w:rsidR="000265D1" w:rsidRPr="00DE1129">
              <w:rPr>
                <w:rFonts w:eastAsiaTheme="minorEastAsia"/>
                <w:sz w:val="22"/>
              </w:rPr>
              <w:tab/>
            </w:r>
            <w:r w:rsidR="000265D1" w:rsidRPr="00C8249C">
              <w:rPr>
                <w:rStyle w:val="Hyperlink"/>
                <w:rFonts w:asciiTheme="minorHAnsi" w:hAnsiTheme="minorHAnsi"/>
                <w:noProof/>
              </w:rPr>
              <w:t>Estimates of Cost Burden to Respondents</w:t>
            </w:r>
            <w:r w:rsidR="000265D1" w:rsidRPr="00DE1129">
              <w:rPr>
                <w:webHidden/>
              </w:rPr>
              <w:tab/>
            </w:r>
            <w:r w:rsidR="000265D1" w:rsidRPr="00DE1129">
              <w:rPr>
                <w:webHidden/>
              </w:rPr>
              <w:fldChar w:fldCharType="begin"/>
            </w:r>
            <w:r w:rsidR="000265D1" w:rsidRPr="00DE1129">
              <w:rPr>
                <w:webHidden/>
              </w:rPr>
              <w:instrText xml:space="preserve"> PAGEREF _Toc442088391 \h </w:instrText>
            </w:r>
            <w:r w:rsidR="000265D1" w:rsidRPr="00DE1129">
              <w:rPr>
                <w:webHidden/>
              </w:rPr>
            </w:r>
            <w:r w:rsidR="000265D1" w:rsidRPr="00DE1129">
              <w:rPr>
                <w:webHidden/>
              </w:rPr>
              <w:fldChar w:fldCharType="separate"/>
            </w:r>
            <w:r w:rsidR="00E41954" w:rsidRPr="00DE1129">
              <w:rPr>
                <w:webHidden/>
              </w:rPr>
              <w:t>15</w:t>
            </w:r>
            <w:r w:rsidR="000265D1" w:rsidRPr="00DE1129">
              <w:rPr>
                <w:webHidden/>
              </w:rPr>
              <w:fldChar w:fldCharType="end"/>
            </w:r>
          </w:hyperlink>
        </w:p>
        <w:p w14:paraId="22A0338B" w14:textId="77777777" w:rsidR="000265D1" w:rsidRPr="00DE1129" w:rsidRDefault="00413889" w:rsidP="00DE1129">
          <w:pPr>
            <w:pStyle w:val="TOC2"/>
            <w:rPr>
              <w:rFonts w:eastAsiaTheme="minorEastAsia"/>
              <w:sz w:val="22"/>
            </w:rPr>
          </w:pPr>
          <w:hyperlink w:anchor="_Toc442088392" w:history="1">
            <w:r w:rsidR="000265D1" w:rsidRPr="00C8249C">
              <w:rPr>
                <w:rStyle w:val="Hyperlink"/>
                <w:rFonts w:asciiTheme="minorHAnsi" w:hAnsiTheme="minorHAnsi"/>
                <w:noProof/>
              </w:rPr>
              <w:t>15.</w:t>
            </w:r>
            <w:r w:rsidR="000265D1" w:rsidRPr="00DE1129">
              <w:rPr>
                <w:rFonts w:eastAsiaTheme="minorEastAsia"/>
                <w:sz w:val="22"/>
              </w:rPr>
              <w:tab/>
            </w:r>
            <w:r w:rsidR="000265D1" w:rsidRPr="00C8249C">
              <w:rPr>
                <w:rStyle w:val="Hyperlink"/>
                <w:rFonts w:asciiTheme="minorHAnsi" w:hAnsiTheme="minorHAnsi"/>
                <w:noProof/>
              </w:rPr>
              <w:t>Estimates of Annual Cost to the Government</w:t>
            </w:r>
            <w:r w:rsidR="000265D1" w:rsidRPr="00DE1129">
              <w:rPr>
                <w:webHidden/>
              </w:rPr>
              <w:tab/>
            </w:r>
            <w:r w:rsidR="000265D1" w:rsidRPr="00DE1129">
              <w:rPr>
                <w:webHidden/>
              </w:rPr>
              <w:fldChar w:fldCharType="begin"/>
            </w:r>
            <w:r w:rsidR="000265D1" w:rsidRPr="00DE1129">
              <w:rPr>
                <w:webHidden/>
              </w:rPr>
              <w:instrText xml:space="preserve"> PAGEREF _Toc442088392 \h </w:instrText>
            </w:r>
            <w:r w:rsidR="000265D1" w:rsidRPr="00DE1129">
              <w:rPr>
                <w:webHidden/>
              </w:rPr>
            </w:r>
            <w:r w:rsidR="000265D1" w:rsidRPr="00DE1129">
              <w:rPr>
                <w:webHidden/>
              </w:rPr>
              <w:fldChar w:fldCharType="separate"/>
            </w:r>
            <w:r w:rsidR="00E41954" w:rsidRPr="00DE1129">
              <w:rPr>
                <w:webHidden/>
              </w:rPr>
              <w:t>15</w:t>
            </w:r>
            <w:r w:rsidR="000265D1" w:rsidRPr="00DE1129">
              <w:rPr>
                <w:webHidden/>
              </w:rPr>
              <w:fldChar w:fldCharType="end"/>
            </w:r>
          </w:hyperlink>
        </w:p>
        <w:p w14:paraId="76E61629" w14:textId="77777777" w:rsidR="000265D1" w:rsidRPr="00DE1129" w:rsidRDefault="00413889" w:rsidP="00DE1129">
          <w:pPr>
            <w:pStyle w:val="TOC2"/>
            <w:rPr>
              <w:rFonts w:eastAsiaTheme="minorEastAsia"/>
              <w:sz w:val="22"/>
            </w:rPr>
          </w:pPr>
          <w:hyperlink w:anchor="_Toc442088393" w:history="1">
            <w:r w:rsidR="000265D1" w:rsidRPr="00C8249C">
              <w:rPr>
                <w:rStyle w:val="Hyperlink"/>
                <w:rFonts w:asciiTheme="minorHAnsi" w:hAnsiTheme="minorHAnsi"/>
                <w:noProof/>
              </w:rPr>
              <w:t>16.</w:t>
            </w:r>
            <w:r w:rsidR="000265D1" w:rsidRPr="00DE1129">
              <w:rPr>
                <w:rFonts w:eastAsiaTheme="minorEastAsia"/>
                <w:sz w:val="22"/>
              </w:rPr>
              <w:tab/>
            </w:r>
            <w:r w:rsidR="000265D1" w:rsidRPr="00C8249C">
              <w:rPr>
                <w:rStyle w:val="Hyperlink"/>
                <w:rFonts w:asciiTheme="minorHAnsi" w:hAnsiTheme="minorHAnsi"/>
                <w:noProof/>
              </w:rPr>
              <w:t>Changes in Burden to Respondents</w:t>
            </w:r>
            <w:r w:rsidR="000265D1" w:rsidRPr="00DE1129">
              <w:rPr>
                <w:webHidden/>
              </w:rPr>
              <w:tab/>
            </w:r>
            <w:r w:rsidR="000265D1" w:rsidRPr="00DE1129">
              <w:rPr>
                <w:webHidden/>
              </w:rPr>
              <w:fldChar w:fldCharType="begin"/>
            </w:r>
            <w:r w:rsidR="000265D1" w:rsidRPr="00DE1129">
              <w:rPr>
                <w:webHidden/>
              </w:rPr>
              <w:instrText xml:space="preserve"> PAGEREF _Toc442088393 \h </w:instrText>
            </w:r>
            <w:r w:rsidR="000265D1" w:rsidRPr="00DE1129">
              <w:rPr>
                <w:webHidden/>
              </w:rPr>
            </w:r>
            <w:r w:rsidR="000265D1" w:rsidRPr="00DE1129">
              <w:rPr>
                <w:webHidden/>
              </w:rPr>
              <w:fldChar w:fldCharType="separate"/>
            </w:r>
            <w:r w:rsidR="00E41954" w:rsidRPr="00DE1129">
              <w:rPr>
                <w:webHidden/>
              </w:rPr>
              <w:t>15</w:t>
            </w:r>
            <w:r w:rsidR="000265D1" w:rsidRPr="00DE1129">
              <w:rPr>
                <w:webHidden/>
              </w:rPr>
              <w:fldChar w:fldCharType="end"/>
            </w:r>
          </w:hyperlink>
        </w:p>
        <w:p w14:paraId="73ED2BB6" w14:textId="1A2D0B78" w:rsidR="000265D1" w:rsidRPr="00DE1129" w:rsidRDefault="00413889" w:rsidP="00DE1129">
          <w:pPr>
            <w:pStyle w:val="TOC2"/>
            <w:rPr>
              <w:rFonts w:eastAsiaTheme="minorEastAsia"/>
              <w:sz w:val="22"/>
            </w:rPr>
          </w:pPr>
          <w:hyperlink w:anchor="_Toc442088394" w:history="1">
            <w:r w:rsidR="000265D1" w:rsidRPr="00C8249C">
              <w:rPr>
                <w:rStyle w:val="Hyperlink"/>
                <w:rFonts w:asciiTheme="minorHAnsi" w:hAnsiTheme="minorHAnsi"/>
                <w:noProof/>
              </w:rPr>
              <w:t>17.</w:t>
            </w:r>
            <w:r w:rsidR="000265D1" w:rsidRPr="00DE1129">
              <w:rPr>
                <w:rFonts w:eastAsiaTheme="minorEastAsia"/>
                <w:sz w:val="22"/>
              </w:rPr>
              <w:tab/>
            </w:r>
            <w:r w:rsidR="000265D1" w:rsidRPr="00C8249C">
              <w:rPr>
                <w:rStyle w:val="Hyperlink"/>
                <w:rFonts w:asciiTheme="minorHAnsi" w:hAnsiTheme="minorHAnsi"/>
                <w:noProof/>
              </w:rPr>
              <w:t xml:space="preserve">Data </w:t>
            </w:r>
            <w:r w:rsidR="000437AE">
              <w:rPr>
                <w:rStyle w:val="Hyperlink"/>
                <w:rFonts w:asciiTheme="minorHAnsi" w:hAnsiTheme="minorHAnsi"/>
                <w:noProof/>
              </w:rPr>
              <w:t>Collect</w:t>
            </w:r>
            <w:r w:rsidR="000437AE" w:rsidRPr="000437AE">
              <w:rPr>
                <w:rStyle w:val="Hyperlink"/>
                <w:rFonts w:asciiTheme="minorHAnsi" w:hAnsiTheme="minorHAnsi"/>
                <w:noProof/>
              </w:rPr>
              <w:t xml:space="preserve">ion </w:t>
            </w:r>
            <w:r w:rsidR="000437AE">
              <w:rPr>
                <w:rStyle w:val="Hyperlink"/>
                <w:rFonts w:asciiTheme="minorHAnsi" w:hAnsiTheme="minorHAnsi"/>
                <w:noProof/>
              </w:rPr>
              <w:t>and Publication</w:t>
            </w:r>
            <w:r w:rsidR="000265D1" w:rsidRPr="00DE1129">
              <w:rPr>
                <w:webHidden/>
              </w:rPr>
              <w:tab/>
            </w:r>
            <w:r w:rsidR="000265D1" w:rsidRPr="00DE1129">
              <w:rPr>
                <w:webHidden/>
              </w:rPr>
              <w:fldChar w:fldCharType="begin"/>
            </w:r>
            <w:r w:rsidR="000265D1" w:rsidRPr="00DE1129">
              <w:rPr>
                <w:webHidden/>
              </w:rPr>
              <w:instrText xml:space="preserve"> PAGEREF _Toc442088394 \h </w:instrText>
            </w:r>
            <w:r w:rsidR="000265D1" w:rsidRPr="00DE1129">
              <w:rPr>
                <w:webHidden/>
              </w:rPr>
            </w:r>
            <w:r w:rsidR="000265D1" w:rsidRPr="00DE1129">
              <w:rPr>
                <w:webHidden/>
              </w:rPr>
              <w:fldChar w:fldCharType="separate"/>
            </w:r>
            <w:r w:rsidR="00E41954" w:rsidRPr="00DE1129">
              <w:rPr>
                <w:webHidden/>
              </w:rPr>
              <w:t>18</w:t>
            </w:r>
            <w:r w:rsidR="000265D1" w:rsidRPr="00DE1129">
              <w:rPr>
                <w:webHidden/>
              </w:rPr>
              <w:fldChar w:fldCharType="end"/>
            </w:r>
          </w:hyperlink>
        </w:p>
        <w:p w14:paraId="6CB2D907" w14:textId="77777777" w:rsidR="000265D1" w:rsidRPr="00DE1129" w:rsidRDefault="00413889" w:rsidP="00DE1129">
          <w:pPr>
            <w:pStyle w:val="TOC2"/>
            <w:rPr>
              <w:rFonts w:eastAsiaTheme="minorEastAsia"/>
              <w:sz w:val="22"/>
            </w:rPr>
          </w:pPr>
          <w:hyperlink w:anchor="_Toc442088395" w:history="1">
            <w:r w:rsidR="000265D1" w:rsidRPr="00C8249C">
              <w:rPr>
                <w:rStyle w:val="Hyperlink"/>
                <w:rFonts w:asciiTheme="minorHAnsi" w:hAnsiTheme="minorHAnsi"/>
                <w:noProof/>
              </w:rPr>
              <w:t>18.</w:t>
            </w:r>
            <w:r w:rsidR="000265D1" w:rsidRPr="00DE1129">
              <w:rPr>
                <w:rFonts w:eastAsiaTheme="minorEastAsia"/>
                <w:sz w:val="22"/>
              </w:rPr>
              <w:tab/>
            </w:r>
            <w:r w:rsidR="000265D1" w:rsidRPr="00C8249C">
              <w:rPr>
                <w:rStyle w:val="Hyperlink"/>
                <w:rFonts w:asciiTheme="minorHAnsi" w:hAnsiTheme="minorHAnsi"/>
                <w:noProof/>
              </w:rPr>
              <w:t>Display of Expiration Date and OMB Number</w:t>
            </w:r>
            <w:r w:rsidR="000265D1" w:rsidRPr="00DE1129">
              <w:rPr>
                <w:webHidden/>
              </w:rPr>
              <w:tab/>
            </w:r>
            <w:r w:rsidR="000265D1" w:rsidRPr="00DE1129">
              <w:rPr>
                <w:webHidden/>
              </w:rPr>
              <w:fldChar w:fldCharType="begin"/>
            </w:r>
            <w:r w:rsidR="000265D1" w:rsidRPr="00DE1129">
              <w:rPr>
                <w:webHidden/>
              </w:rPr>
              <w:instrText xml:space="preserve"> PAGEREF _Toc442088395 \h </w:instrText>
            </w:r>
            <w:r w:rsidR="000265D1" w:rsidRPr="00DE1129">
              <w:rPr>
                <w:webHidden/>
              </w:rPr>
            </w:r>
            <w:r w:rsidR="000265D1" w:rsidRPr="00DE1129">
              <w:rPr>
                <w:webHidden/>
              </w:rPr>
              <w:fldChar w:fldCharType="separate"/>
            </w:r>
            <w:r w:rsidR="00E41954" w:rsidRPr="00DE1129">
              <w:rPr>
                <w:webHidden/>
              </w:rPr>
              <w:t>20</w:t>
            </w:r>
            <w:r w:rsidR="000265D1" w:rsidRPr="00DE1129">
              <w:rPr>
                <w:webHidden/>
              </w:rPr>
              <w:fldChar w:fldCharType="end"/>
            </w:r>
          </w:hyperlink>
        </w:p>
        <w:p w14:paraId="41573226" w14:textId="5C804B6D" w:rsidR="00E24060" w:rsidRPr="00F172C2" w:rsidRDefault="00186E52" w:rsidP="00C8249C">
          <w:pPr>
            <w:spacing w:before="200" w:beforeAutospacing="0" w:after="200" w:afterAutospacing="0"/>
            <w:rPr>
              <w:sz w:val="18"/>
              <w:szCs w:val="18"/>
            </w:rPr>
          </w:pPr>
          <w:r w:rsidRPr="00483744">
            <w:rPr>
              <w:sz w:val="22"/>
              <w:szCs w:val="22"/>
            </w:rPr>
            <w:fldChar w:fldCharType="end"/>
          </w:r>
        </w:p>
      </w:sdtContent>
    </w:sdt>
    <w:p w14:paraId="492BBA24" w14:textId="77777777" w:rsidR="009828E8" w:rsidRDefault="009828E8" w:rsidP="009828E8">
      <w:pPr>
        <w:rPr>
          <w:b/>
        </w:rPr>
      </w:pPr>
    </w:p>
    <w:p w14:paraId="2D90C4DB" w14:textId="77777777" w:rsidR="009828E8" w:rsidRPr="00DE1129" w:rsidRDefault="009828E8" w:rsidP="00DE1129">
      <w:pPr>
        <w:rPr>
          <w:b/>
        </w:rPr>
        <w:sectPr w:rsidR="009828E8" w:rsidRPr="00DE1129" w:rsidSect="009828E8">
          <w:headerReference w:type="default" r:id="rId10"/>
          <w:footerReference w:type="default" r:id="rId11"/>
          <w:endnotePr>
            <w:numFmt w:val="decimal"/>
          </w:endnotePr>
          <w:pgSz w:w="12240" w:h="15840"/>
          <w:pgMar w:top="1440" w:right="1440" w:bottom="1440" w:left="1440" w:header="1440" w:footer="1440" w:gutter="0"/>
          <w:cols w:space="720"/>
          <w:noEndnote/>
        </w:sectPr>
      </w:pPr>
    </w:p>
    <w:p w14:paraId="25DCCDDE" w14:textId="77777777" w:rsidR="00B8549C" w:rsidRDefault="003B6A8F" w:rsidP="00EA35EC">
      <w:pPr>
        <w:pStyle w:val="Heading1"/>
        <w:rPr>
          <w:rFonts w:asciiTheme="minorHAnsi" w:hAnsiTheme="minorHAnsi"/>
          <w:sz w:val="24"/>
        </w:rPr>
      </w:pPr>
      <w:bookmarkStart w:id="1" w:name="_Toc442088376"/>
      <w:r w:rsidRPr="005C6DD6">
        <w:rPr>
          <w:rFonts w:asciiTheme="minorHAnsi" w:hAnsiTheme="minorHAnsi"/>
        </w:rPr>
        <w:lastRenderedPageBreak/>
        <w:t>INTRODUCTION</w:t>
      </w:r>
      <w:bookmarkEnd w:id="1"/>
      <w:r w:rsidR="005C6DD6" w:rsidRPr="005C6DD6">
        <w:rPr>
          <w:rFonts w:asciiTheme="minorHAnsi" w:hAnsiTheme="minorHAnsi"/>
          <w:sz w:val="24"/>
        </w:rPr>
        <w:t xml:space="preserve"> </w:t>
      </w:r>
    </w:p>
    <w:p w14:paraId="22D27BFE" w14:textId="77777777" w:rsidR="00B8549C" w:rsidRDefault="00B8549C" w:rsidP="00B8549C">
      <w:pPr>
        <w:pStyle w:val="Heading1"/>
        <w:spacing w:before="0"/>
        <w:rPr>
          <w:rFonts w:asciiTheme="minorHAnsi" w:hAnsiTheme="minorHAnsi"/>
          <w:b w:val="0"/>
          <w:sz w:val="24"/>
          <w:szCs w:val="24"/>
        </w:rPr>
      </w:pPr>
    </w:p>
    <w:p w14:paraId="7FEB778A" w14:textId="77777777" w:rsidR="009C54E6" w:rsidRPr="00EA35EC" w:rsidRDefault="009C54E6" w:rsidP="00EA35EC">
      <w:pPr>
        <w:rPr>
          <w:rFonts w:asciiTheme="minorHAnsi" w:hAnsiTheme="minorHAnsi"/>
        </w:rPr>
      </w:pPr>
      <w:r w:rsidRPr="00EA35EC">
        <w:rPr>
          <w:rFonts w:asciiTheme="minorHAnsi" w:hAnsiTheme="minorHAnsi"/>
          <w:szCs w:val="24"/>
        </w:rPr>
        <w:t xml:space="preserve">The U.S. Energy Information Administration (EIA) of the U.S. Department of Energy (DOE) is required to publish, and otherwise make </w:t>
      </w:r>
      <w:r w:rsidR="0066284D" w:rsidRPr="00EA35EC">
        <w:rPr>
          <w:rFonts w:asciiTheme="minorHAnsi" w:hAnsiTheme="minorHAnsi"/>
          <w:szCs w:val="24"/>
        </w:rPr>
        <w:t xml:space="preserve">available </w:t>
      </w:r>
      <w:r w:rsidRPr="00EA35EC">
        <w:rPr>
          <w:rFonts w:asciiTheme="minorHAnsi" w:hAnsiTheme="minorHAnsi"/>
          <w:szCs w:val="24"/>
        </w:rPr>
        <w:t xml:space="preserve">independent, high-quality statistical data to </w:t>
      </w:r>
      <w:r w:rsidR="00C84F62" w:rsidRPr="00EA35EC">
        <w:rPr>
          <w:rFonts w:asciiTheme="minorHAnsi" w:hAnsiTheme="minorHAnsi"/>
          <w:szCs w:val="24"/>
        </w:rPr>
        <w:t>f</w:t>
      </w:r>
      <w:r w:rsidRPr="00EA35EC">
        <w:rPr>
          <w:rFonts w:asciiTheme="minorHAnsi" w:hAnsiTheme="minorHAnsi"/>
          <w:szCs w:val="24"/>
        </w:rPr>
        <w:t xml:space="preserve">ederal government agencies, </w:t>
      </w:r>
      <w:r w:rsidR="00C84F62" w:rsidRPr="00EA35EC">
        <w:rPr>
          <w:rFonts w:asciiTheme="minorHAnsi" w:hAnsiTheme="minorHAnsi"/>
          <w:szCs w:val="24"/>
        </w:rPr>
        <w:t>s</w:t>
      </w:r>
      <w:r w:rsidRPr="00EA35EC">
        <w:rPr>
          <w:rFonts w:asciiTheme="minorHAnsi" w:hAnsiTheme="minorHAnsi"/>
          <w:szCs w:val="24"/>
        </w:rPr>
        <w:t>tate and local governments, the petroleum ind</w:t>
      </w:r>
      <w:r w:rsidR="0066284D" w:rsidRPr="00EA35EC">
        <w:rPr>
          <w:rFonts w:asciiTheme="minorHAnsi" w:hAnsiTheme="minorHAnsi"/>
          <w:szCs w:val="24"/>
        </w:rPr>
        <w:t>ustry, academic researchers, and the general public.</w:t>
      </w:r>
    </w:p>
    <w:p w14:paraId="0755F926" w14:textId="77777777" w:rsidR="00C121F1" w:rsidRPr="005C6DD6" w:rsidRDefault="009C54E6" w:rsidP="00B7681A">
      <w:pPr>
        <w:spacing w:after="0" w:afterAutospacing="0"/>
        <w:jc w:val="left"/>
        <w:rPr>
          <w:rFonts w:asciiTheme="minorHAnsi" w:hAnsiTheme="minorHAnsi"/>
          <w:szCs w:val="24"/>
        </w:rPr>
      </w:pPr>
      <w:r w:rsidRPr="005C6DD6">
        <w:rPr>
          <w:rFonts w:asciiTheme="minorHAnsi" w:hAnsiTheme="minorHAnsi"/>
          <w:szCs w:val="24"/>
        </w:rPr>
        <w:t>To meet this obligation, EIA’s Office of Petroleum and Biofuels Statistics (PBS) maintains the Petroleum Supply Reporting System (PSRS) to collect data on U.S. supplies of crude oil, petroleum products, and related biofuels.  The PSRS is comprised of weekly surveys that make up the Weekly Petroleum Supply Reporting System (WPSRS) and monthly/annual surveys that make up the Monthly Petroleum Supply Reporting System (MPSRS).</w:t>
      </w:r>
      <w:r w:rsidR="00C121F1" w:rsidRPr="005C6DD6">
        <w:rPr>
          <w:rFonts w:asciiTheme="minorHAnsi" w:hAnsiTheme="minorHAnsi"/>
          <w:szCs w:val="24"/>
        </w:rPr>
        <w:t xml:space="preserve">  The following weekly, monthly, and annual surveys make up the PSRS</w:t>
      </w:r>
      <w:r w:rsidR="00B97952" w:rsidRPr="005C6DD6">
        <w:rPr>
          <w:rFonts w:asciiTheme="minorHAnsi" w:hAnsiTheme="minorHAnsi"/>
          <w:szCs w:val="24"/>
        </w:rPr>
        <w:t>:</w:t>
      </w:r>
    </w:p>
    <w:p w14:paraId="0843DEC8" w14:textId="77777777" w:rsidR="00A42C14" w:rsidRPr="005C6DD6" w:rsidRDefault="00A42C14" w:rsidP="00B7681A">
      <w:pPr>
        <w:pStyle w:val="ListParagraph"/>
        <w:numPr>
          <w:ilvl w:val="2"/>
          <w:numId w:val="8"/>
        </w:numPr>
        <w:spacing w:before="12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Form EIA-22M, “Monthly Biodiesel Production Survey”</w:t>
      </w:r>
    </w:p>
    <w:p w14:paraId="2EC64612" w14:textId="77777777" w:rsidR="00C121F1" w:rsidRPr="005C6DD6" w:rsidRDefault="00C121F1" w:rsidP="00B7681A">
      <w:pPr>
        <w:pStyle w:val="ListParagraph"/>
        <w:numPr>
          <w:ilvl w:val="2"/>
          <w:numId w:val="8"/>
        </w:numPr>
        <w:spacing w:before="12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EIA-800, </w:t>
      </w:r>
      <w:r w:rsidR="00B97952" w:rsidRPr="005C6DD6">
        <w:rPr>
          <w:rFonts w:asciiTheme="minorHAnsi" w:hAnsiTheme="minorHAnsi"/>
          <w:sz w:val="24"/>
          <w:szCs w:val="24"/>
        </w:rPr>
        <w:t>“</w:t>
      </w:r>
      <w:r w:rsidRPr="005C6DD6">
        <w:rPr>
          <w:rFonts w:asciiTheme="minorHAnsi" w:hAnsiTheme="minorHAnsi"/>
          <w:sz w:val="24"/>
          <w:szCs w:val="24"/>
        </w:rPr>
        <w:t>Weekly Refinery and Fractionator Report</w:t>
      </w:r>
      <w:r w:rsidR="00B97952" w:rsidRPr="005C6DD6">
        <w:rPr>
          <w:rFonts w:asciiTheme="minorHAnsi" w:hAnsiTheme="minorHAnsi"/>
          <w:sz w:val="24"/>
          <w:szCs w:val="24"/>
        </w:rPr>
        <w:t>”</w:t>
      </w:r>
    </w:p>
    <w:p w14:paraId="077AE8D9"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EIA-802, </w:t>
      </w:r>
      <w:r w:rsidR="00B97952" w:rsidRPr="005C6DD6">
        <w:rPr>
          <w:rFonts w:asciiTheme="minorHAnsi" w:hAnsiTheme="minorHAnsi"/>
          <w:sz w:val="24"/>
          <w:szCs w:val="24"/>
        </w:rPr>
        <w:t>“</w:t>
      </w:r>
      <w:r w:rsidRPr="005C6DD6">
        <w:rPr>
          <w:rFonts w:asciiTheme="minorHAnsi" w:hAnsiTheme="minorHAnsi"/>
          <w:sz w:val="24"/>
          <w:szCs w:val="24"/>
        </w:rPr>
        <w:t>Weekly Product Pipeline Report</w:t>
      </w:r>
      <w:r w:rsidR="00B97952" w:rsidRPr="005C6DD6">
        <w:rPr>
          <w:rFonts w:asciiTheme="minorHAnsi" w:hAnsiTheme="minorHAnsi"/>
          <w:sz w:val="24"/>
          <w:szCs w:val="24"/>
        </w:rPr>
        <w:t>”</w:t>
      </w:r>
    </w:p>
    <w:p w14:paraId="11438B2D"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EIA-803, </w:t>
      </w:r>
      <w:r w:rsidR="00B97952" w:rsidRPr="005C6DD6">
        <w:rPr>
          <w:rFonts w:asciiTheme="minorHAnsi" w:hAnsiTheme="minorHAnsi"/>
          <w:sz w:val="24"/>
          <w:szCs w:val="24"/>
        </w:rPr>
        <w:t>“</w:t>
      </w:r>
      <w:r w:rsidRPr="005C6DD6">
        <w:rPr>
          <w:rFonts w:asciiTheme="minorHAnsi" w:hAnsiTheme="minorHAnsi"/>
          <w:sz w:val="24"/>
          <w:szCs w:val="24"/>
        </w:rPr>
        <w:t>Weekly Crude Oil Stocks Report</w:t>
      </w:r>
      <w:r w:rsidR="00B97952" w:rsidRPr="005C6DD6">
        <w:rPr>
          <w:rFonts w:asciiTheme="minorHAnsi" w:hAnsiTheme="minorHAnsi"/>
          <w:sz w:val="24"/>
          <w:szCs w:val="24"/>
        </w:rPr>
        <w:t>”</w:t>
      </w:r>
    </w:p>
    <w:p w14:paraId="673EF59E"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EIA-804, </w:t>
      </w:r>
      <w:r w:rsidR="00B97952" w:rsidRPr="005C6DD6">
        <w:rPr>
          <w:rFonts w:asciiTheme="minorHAnsi" w:hAnsiTheme="minorHAnsi"/>
          <w:sz w:val="24"/>
          <w:szCs w:val="24"/>
        </w:rPr>
        <w:t>“</w:t>
      </w:r>
      <w:r w:rsidRPr="005C6DD6">
        <w:rPr>
          <w:rFonts w:asciiTheme="minorHAnsi" w:hAnsiTheme="minorHAnsi"/>
          <w:sz w:val="24"/>
          <w:szCs w:val="24"/>
        </w:rPr>
        <w:t>Weekly Imports Report</w:t>
      </w:r>
      <w:r w:rsidR="00B97952" w:rsidRPr="005C6DD6">
        <w:rPr>
          <w:rFonts w:asciiTheme="minorHAnsi" w:hAnsiTheme="minorHAnsi"/>
          <w:sz w:val="24"/>
          <w:szCs w:val="24"/>
        </w:rPr>
        <w:t>”</w:t>
      </w:r>
    </w:p>
    <w:p w14:paraId="7561980B"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EIA-805, </w:t>
      </w:r>
      <w:r w:rsidR="00B97952" w:rsidRPr="005C6DD6">
        <w:rPr>
          <w:rFonts w:asciiTheme="minorHAnsi" w:hAnsiTheme="minorHAnsi"/>
          <w:sz w:val="24"/>
          <w:szCs w:val="24"/>
        </w:rPr>
        <w:t>“</w:t>
      </w:r>
      <w:r w:rsidRPr="005C6DD6">
        <w:rPr>
          <w:rFonts w:asciiTheme="minorHAnsi" w:hAnsiTheme="minorHAnsi"/>
          <w:sz w:val="24"/>
          <w:szCs w:val="24"/>
        </w:rPr>
        <w:t>Weekly Bulk Terminal and Blender Report</w:t>
      </w:r>
      <w:r w:rsidR="00B97952" w:rsidRPr="005C6DD6">
        <w:rPr>
          <w:rFonts w:asciiTheme="minorHAnsi" w:hAnsiTheme="minorHAnsi"/>
          <w:sz w:val="24"/>
          <w:szCs w:val="24"/>
        </w:rPr>
        <w:t>”</w:t>
      </w:r>
    </w:p>
    <w:p w14:paraId="3C12E28B"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EIA-809, </w:t>
      </w:r>
      <w:r w:rsidR="00B97952" w:rsidRPr="005C6DD6">
        <w:rPr>
          <w:rFonts w:asciiTheme="minorHAnsi" w:hAnsiTheme="minorHAnsi"/>
          <w:sz w:val="24"/>
          <w:szCs w:val="24"/>
        </w:rPr>
        <w:t>“</w:t>
      </w:r>
      <w:r w:rsidRPr="005C6DD6">
        <w:rPr>
          <w:rFonts w:asciiTheme="minorHAnsi" w:hAnsiTheme="minorHAnsi"/>
          <w:sz w:val="24"/>
          <w:szCs w:val="24"/>
        </w:rPr>
        <w:t>Weekly Oxygenate Report</w:t>
      </w:r>
      <w:r w:rsidR="00B97952" w:rsidRPr="005C6DD6">
        <w:rPr>
          <w:rFonts w:asciiTheme="minorHAnsi" w:hAnsiTheme="minorHAnsi"/>
          <w:sz w:val="24"/>
          <w:szCs w:val="24"/>
        </w:rPr>
        <w:t>”</w:t>
      </w:r>
    </w:p>
    <w:p w14:paraId="3B89D4C6"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EIA-810, </w:t>
      </w:r>
      <w:r w:rsidR="00B97952" w:rsidRPr="005C6DD6">
        <w:rPr>
          <w:rFonts w:asciiTheme="minorHAnsi" w:hAnsiTheme="minorHAnsi"/>
          <w:sz w:val="24"/>
          <w:szCs w:val="24"/>
        </w:rPr>
        <w:t>“</w:t>
      </w:r>
      <w:r w:rsidRPr="005C6DD6">
        <w:rPr>
          <w:rFonts w:asciiTheme="minorHAnsi" w:hAnsiTheme="minorHAnsi"/>
          <w:sz w:val="24"/>
          <w:szCs w:val="24"/>
        </w:rPr>
        <w:t>Monthly Refinery Report</w:t>
      </w:r>
      <w:r w:rsidR="00B97952" w:rsidRPr="005C6DD6">
        <w:rPr>
          <w:rFonts w:asciiTheme="minorHAnsi" w:hAnsiTheme="minorHAnsi"/>
          <w:sz w:val="24"/>
          <w:szCs w:val="24"/>
        </w:rPr>
        <w:t>”</w:t>
      </w:r>
    </w:p>
    <w:p w14:paraId="31B48772"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EIA-812, </w:t>
      </w:r>
      <w:r w:rsidR="00B97952" w:rsidRPr="005C6DD6">
        <w:rPr>
          <w:rFonts w:asciiTheme="minorHAnsi" w:hAnsiTheme="minorHAnsi"/>
          <w:sz w:val="24"/>
          <w:szCs w:val="24"/>
        </w:rPr>
        <w:t>“</w:t>
      </w:r>
      <w:r w:rsidRPr="005C6DD6">
        <w:rPr>
          <w:rFonts w:asciiTheme="minorHAnsi" w:hAnsiTheme="minorHAnsi"/>
          <w:sz w:val="24"/>
          <w:szCs w:val="24"/>
        </w:rPr>
        <w:t>Monthly Product Pipeline Report</w:t>
      </w:r>
      <w:r w:rsidR="00B97952" w:rsidRPr="005C6DD6">
        <w:rPr>
          <w:rFonts w:asciiTheme="minorHAnsi" w:hAnsiTheme="minorHAnsi"/>
          <w:sz w:val="24"/>
          <w:szCs w:val="24"/>
        </w:rPr>
        <w:t>”</w:t>
      </w:r>
    </w:p>
    <w:p w14:paraId="75BD003F"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EIA-813, </w:t>
      </w:r>
      <w:r w:rsidR="00B97952" w:rsidRPr="005C6DD6">
        <w:rPr>
          <w:rFonts w:asciiTheme="minorHAnsi" w:hAnsiTheme="minorHAnsi"/>
          <w:sz w:val="24"/>
          <w:szCs w:val="24"/>
        </w:rPr>
        <w:t>“</w:t>
      </w:r>
      <w:r w:rsidRPr="005C6DD6">
        <w:rPr>
          <w:rFonts w:asciiTheme="minorHAnsi" w:hAnsiTheme="minorHAnsi"/>
          <w:sz w:val="24"/>
          <w:szCs w:val="24"/>
        </w:rPr>
        <w:t>Monthly Crude Oil Report</w:t>
      </w:r>
      <w:r w:rsidR="00B97952" w:rsidRPr="005C6DD6">
        <w:rPr>
          <w:rFonts w:asciiTheme="minorHAnsi" w:hAnsiTheme="minorHAnsi"/>
          <w:sz w:val="24"/>
          <w:szCs w:val="24"/>
        </w:rPr>
        <w:t>”</w:t>
      </w:r>
    </w:p>
    <w:p w14:paraId="6EBF56F0"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EIA-814, </w:t>
      </w:r>
      <w:r w:rsidR="00B97952" w:rsidRPr="005C6DD6">
        <w:rPr>
          <w:rFonts w:asciiTheme="minorHAnsi" w:hAnsiTheme="minorHAnsi"/>
          <w:sz w:val="24"/>
          <w:szCs w:val="24"/>
        </w:rPr>
        <w:t>“</w:t>
      </w:r>
      <w:r w:rsidRPr="005C6DD6">
        <w:rPr>
          <w:rFonts w:asciiTheme="minorHAnsi" w:hAnsiTheme="minorHAnsi"/>
          <w:sz w:val="24"/>
          <w:szCs w:val="24"/>
        </w:rPr>
        <w:t>Monthly Imports Report</w:t>
      </w:r>
      <w:r w:rsidR="00B97952" w:rsidRPr="005C6DD6">
        <w:rPr>
          <w:rFonts w:asciiTheme="minorHAnsi" w:hAnsiTheme="minorHAnsi"/>
          <w:sz w:val="24"/>
          <w:szCs w:val="24"/>
        </w:rPr>
        <w:t>”</w:t>
      </w:r>
    </w:p>
    <w:p w14:paraId="3D771E50"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EIA-815, </w:t>
      </w:r>
      <w:r w:rsidR="00B97952" w:rsidRPr="005C6DD6">
        <w:rPr>
          <w:rFonts w:asciiTheme="minorHAnsi" w:hAnsiTheme="minorHAnsi"/>
          <w:sz w:val="24"/>
          <w:szCs w:val="24"/>
        </w:rPr>
        <w:t>“</w:t>
      </w:r>
      <w:r w:rsidRPr="005C6DD6">
        <w:rPr>
          <w:rFonts w:asciiTheme="minorHAnsi" w:hAnsiTheme="minorHAnsi"/>
          <w:sz w:val="24"/>
          <w:szCs w:val="24"/>
        </w:rPr>
        <w:t xml:space="preserve">Monthly </w:t>
      </w:r>
      <w:r w:rsidR="00293AFC" w:rsidRPr="005C6DD6">
        <w:rPr>
          <w:rFonts w:asciiTheme="minorHAnsi" w:hAnsiTheme="minorHAnsi"/>
          <w:sz w:val="24"/>
          <w:szCs w:val="24"/>
        </w:rPr>
        <w:t xml:space="preserve">Bulk </w:t>
      </w:r>
      <w:r w:rsidRPr="005C6DD6">
        <w:rPr>
          <w:rFonts w:asciiTheme="minorHAnsi" w:hAnsiTheme="minorHAnsi"/>
          <w:sz w:val="24"/>
          <w:szCs w:val="24"/>
        </w:rPr>
        <w:t xml:space="preserve">Terminal </w:t>
      </w:r>
      <w:r w:rsidR="00012725" w:rsidRPr="005C6DD6">
        <w:rPr>
          <w:rFonts w:asciiTheme="minorHAnsi" w:hAnsiTheme="minorHAnsi"/>
          <w:sz w:val="24"/>
          <w:szCs w:val="24"/>
        </w:rPr>
        <w:t xml:space="preserve">and </w:t>
      </w:r>
      <w:r w:rsidRPr="005C6DD6">
        <w:rPr>
          <w:rFonts w:asciiTheme="minorHAnsi" w:hAnsiTheme="minorHAnsi"/>
          <w:sz w:val="24"/>
          <w:szCs w:val="24"/>
        </w:rPr>
        <w:t>Blender Report</w:t>
      </w:r>
      <w:r w:rsidR="00B97952" w:rsidRPr="005C6DD6">
        <w:rPr>
          <w:rFonts w:asciiTheme="minorHAnsi" w:hAnsiTheme="minorHAnsi"/>
          <w:sz w:val="24"/>
          <w:szCs w:val="24"/>
        </w:rPr>
        <w:t>”</w:t>
      </w:r>
    </w:p>
    <w:p w14:paraId="1DD2B6E9"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EIA-816, </w:t>
      </w:r>
      <w:r w:rsidR="00B97952" w:rsidRPr="005C6DD6">
        <w:rPr>
          <w:rFonts w:asciiTheme="minorHAnsi" w:hAnsiTheme="minorHAnsi"/>
          <w:sz w:val="24"/>
          <w:szCs w:val="24"/>
        </w:rPr>
        <w:t>“</w:t>
      </w:r>
      <w:r w:rsidRPr="005C6DD6">
        <w:rPr>
          <w:rFonts w:asciiTheme="minorHAnsi" w:hAnsiTheme="minorHAnsi"/>
          <w:sz w:val="24"/>
          <w:szCs w:val="24"/>
        </w:rPr>
        <w:t>Monthly Natural Gas Plant Liquids Report</w:t>
      </w:r>
      <w:r w:rsidR="00B97952" w:rsidRPr="005C6DD6">
        <w:rPr>
          <w:rFonts w:asciiTheme="minorHAnsi" w:hAnsiTheme="minorHAnsi"/>
          <w:sz w:val="24"/>
          <w:szCs w:val="24"/>
        </w:rPr>
        <w:t>”</w:t>
      </w:r>
    </w:p>
    <w:p w14:paraId="37BFC5F0"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EIA-817, </w:t>
      </w:r>
      <w:r w:rsidR="00B97952" w:rsidRPr="005C6DD6">
        <w:rPr>
          <w:rFonts w:asciiTheme="minorHAnsi" w:hAnsiTheme="minorHAnsi"/>
          <w:sz w:val="24"/>
          <w:szCs w:val="24"/>
        </w:rPr>
        <w:t>“</w:t>
      </w:r>
      <w:r w:rsidRPr="005C6DD6">
        <w:rPr>
          <w:rFonts w:asciiTheme="minorHAnsi" w:hAnsiTheme="minorHAnsi"/>
          <w:sz w:val="24"/>
          <w:szCs w:val="24"/>
        </w:rPr>
        <w:t>Monthly Tanker and Barge Movement Report</w:t>
      </w:r>
      <w:r w:rsidR="00B97952" w:rsidRPr="005C6DD6">
        <w:rPr>
          <w:rFonts w:asciiTheme="minorHAnsi" w:hAnsiTheme="minorHAnsi"/>
          <w:sz w:val="24"/>
          <w:szCs w:val="24"/>
        </w:rPr>
        <w:t>”</w:t>
      </w:r>
    </w:p>
    <w:p w14:paraId="531951FE"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EIA-819, </w:t>
      </w:r>
      <w:r w:rsidR="00B97952" w:rsidRPr="005C6DD6">
        <w:rPr>
          <w:rFonts w:asciiTheme="minorHAnsi" w:hAnsiTheme="minorHAnsi"/>
          <w:sz w:val="24"/>
          <w:szCs w:val="24"/>
        </w:rPr>
        <w:t>“</w:t>
      </w:r>
      <w:r w:rsidRPr="005C6DD6">
        <w:rPr>
          <w:rFonts w:asciiTheme="minorHAnsi" w:hAnsiTheme="minorHAnsi"/>
          <w:sz w:val="24"/>
          <w:szCs w:val="24"/>
        </w:rPr>
        <w:t>Monthly Oxygenate Report</w:t>
      </w:r>
      <w:r w:rsidR="00B97952" w:rsidRPr="005C6DD6">
        <w:rPr>
          <w:rFonts w:asciiTheme="minorHAnsi" w:hAnsiTheme="minorHAnsi"/>
          <w:sz w:val="24"/>
          <w:szCs w:val="24"/>
        </w:rPr>
        <w:t>”</w:t>
      </w:r>
    </w:p>
    <w:p w14:paraId="0D6B53E5" w14:textId="77777777" w:rsidR="00C121F1" w:rsidRPr="005C6DD6" w:rsidRDefault="00C121F1" w:rsidP="00B7681A">
      <w:pPr>
        <w:pStyle w:val="ListParagraph"/>
        <w:numPr>
          <w:ilvl w:val="2"/>
          <w:numId w:val="8"/>
        </w:numPr>
        <w:spacing w:before="6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Form EIA-820, </w:t>
      </w:r>
      <w:r w:rsidR="00B97952" w:rsidRPr="005C6DD6">
        <w:rPr>
          <w:rFonts w:asciiTheme="minorHAnsi" w:hAnsiTheme="minorHAnsi"/>
          <w:sz w:val="24"/>
          <w:szCs w:val="24"/>
        </w:rPr>
        <w:t>“</w:t>
      </w:r>
      <w:r w:rsidRPr="005C6DD6">
        <w:rPr>
          <w:rFonts w:asciiTheme="minorHAnsi" w:hAnsiTheme="minorHAnsi"/>
          <w:sz w:val="24"/>
          <w:szCs w:val="24"/>
        </w:rPr>
        <w:t>Annual Refinery Report</w:t>
      </w:r>
      <w:r w:rsidR="00B97952" w:rsidRPr="005C6DD6">
        <w:rPr>
          <w:rFonts w:asciiTheme="minorHAnsi" w:hAnsiTheme="minorHAnsi"/>
          <w:sz w:val="24"/>
          <w:szCs w:val="24"/>
        </w:rPr>
        <w:t>”</w:t>
      </w:r>
    </w:p>
    <w:p w14:paraId="7B5399FA" w14:textId="0F29BFC0" w:rsidR="00085A59" w:rsidRPr="00085A59" w:rsidRDefault="00085A59" w:rsidP="00085A59">
      <w:pPr>
        <w:autoSpaceDE w:val="0"/>
        <w:autoSpaceDN w:val="0"/>
        <w:rPr>
          <w:rFonts w:asciiTheme="minorHAnsi" w:hAnsiTheme="minorHAnsi"/>
          <w:snapToGrid/>
        </w:rPr>
      </w:pPr>
      <w:r w:rsidRPr="00085A59">
        <w:rPr>
          <w:rFonts w:asciiTheme="minorHAnsi" w:hAnsiTheme="minorHAnsi"/>
        </w:rPr>
        <w:t xml:space="preserve">EIA proposes </w:t>
      </w:r>
      <w:r w:rsidR="005630EC">
        <w:rPr>
          <w:rFonts w:asciiTheme="minorHAnsi" w:hAnsiTheme="minorHAnsi"/>
        </w:rPr>
        <w:t xml:space="preserve">to </w:t>
      </w:r>
      <w:r w:rsidRPr="00085A59">
        <w:rPr>
          <w:rFonts w:asciiTheme="minorHAnsi" w:hAnsiTheme="minorHAnsi"/>
        </w:rPr>
        <w:t>exten</w:t>
      </w:r>
      <w:r w:rsidR="005630EC">
        <w:rPr>
          <w:rFonts w:asciiTheme="minorHAnsi" w:hAnsiTheme="minorHAnsi"/>
        </w:rPr>
        <w:t>d</w:t>
      </w:r>
      <w:r w:rsidRPr="00085A59">
        <w:rPr>
          <w:rFonts w:asciiTheme="minorHAnsi" w:hAnsiTheme="minorHAnsi"/>
        </w:rPr>
        <w:t xml:space="preserve"> the PSRS surveys for three years wit</w:t>
      </w:r>
      <w:r>
        <w:rPr>
          <w:rFonts w:asciiTheme="minorHAnsi" w:hAnsiTheme="minorHAnsi"/>
        </w:rPr>
        <w:t xml:space="preserve">h minor changes to discontinue </w:t>
      </w:r>
      <w:r w:rsidRPr="00085A59">
        <w:rPr>
          <w:rFonts w:asciiTheme="minorHAnsi" w:hAnsiTheme="minorHAnsi"/>
        </w:rPr>
        <w:t>collecting information on Form EIA-812 biannually on petroleum product tank storage capacity and related bi</w:t>
      </w:r>
      <w:r w:rsidR="005630EC">
        <w:rPr>
          <w:rFonts w:asciiTheme="minorHAnsi" w:hAnsiTheme="minorHAnsi"/>
        </w:rPr>
        <w:t>-</w:t>
      </w:r>
      <w:r w:rsidRPr="00085A59">
        <w:rPr>
          <w:rFonts w:asciiTheme="minorHAnsi" w:hAnsiTheme="minorHAnsi"/>
        </w:rPr>
        <w:t xml:space="preserve">annual separate reporting of stocks held in those tanks and discontinue collection </w:t>
      </w:r>
      <w:r w:rsidRPr="00085A59">
        <w:rPr>
          <w:rFonts w:asciiTheme="minorHAnsi" w:hAnsiTheme="minorHAnsi"/>
        </w:rPr>
        <w:lastRenderedPageBreak/>
        <w:t xml:space="preserve">of crude oil lease stocks on </w:t>
      </w:r>
      <w:r w:rsidR="007B7FB7" w:rsidRPr="00085A59">
        <w:rPr>
          <w:rFonts w:asciiTheme="minorHAnsi" w:hAnsiTheme="minorHAnsi"/>
        </w:rPr>
        <w:t xml:space="preserve">Form EIA-803 and </w:t>
      </w:r>
      <w:r w:rsidRPr="00085A59">
        <w:rPr>
          <w:rFonts w:asciiTheme="minorHAnsi" w:hAnsiTheme="minorHAnsi"/>
        </w:rPr>
        <w:t>Form EIA-813.  In a Federal Register Notice (</w:t>
      </w:r>
      <w:hyperlink r:id="rId12" w:history="1">
        <w:r w:rsidRPr="00085A59">
          <w:rPr>
            <w:rStyle w:val="Hyperlink"/>
            <w:rFonts w:asciiTheme="minorHAnsi" w:hAnsiTheme="minorHAnsi"/>
          </w:rPr>
          <w:t>80 FR 39424</w:t>
        </w:r>
      </w:hyperlink>
      <w:r w:rsidRPr="00085A59">
        <w:rPr>
          <w:rFonts w:asciiTheme="minorHAnsi" w:hAnsiTheme="minorHAnsi"/>
        </w:rPr>
        <w:t xml:space="preserve">) released on July 9, 2015, the U.S. Energy Information Administration (EIA) proposed changes to the Petroleum Supply survey forms.  Based on numerous stakeholder comments in response to the Federal Register Notice and internal EIA assessments of our ability to accomplish these extensive changes by May 2016, EIA decided to postpone implementing many of the proposed forms changes until a later date except for changes to Forms EIA-812 and EIA-813 and EIA-803 described above. </w:t>
      </w:r>
    </w:p>
    <w:p w14:paraId="5147165D" w14:textId="50C69E69" w:rsidR="00085A59" w:rsidRPr="00085A59" w:rsidRDefault="005630EC" w:rsidP="00085A59">
      <w:pPr>
        <w:autoSpaceDE w:val="0"/>
        <w:autoSpaceDN w:val="0"/>
        <w:rPr>
          <w:rFonts w:asciiTheme="minorHAnsi" w:hAnsiTheme="minorHAnsi"/>
        </w:rPr>
      </w:pPr>
      <w:r>
        <w:rPr>
          <w:rFonts w:asciiTheme="minorHAnsi" w:hAnsiTheme="minorHAnsi"/>
        </w:rPr>
        <w:t>EIA</w:t>
      </w:r>
      <w:r w:rsidR="00085A59" w:rsidRPr="00085A59">
        <w:rPr>
          <w:rFonts w:asciiTheme="minorHAnsi" w:hAnsiTheme="minorHAnsi"/>
        </w:rPr>
        <w:t xml:space="preserve"> plan</w:t>
      </w:r>
      <w:r>
        <w:rPr>
          <w:rFonts w:asciiTheme="minorHAnsi" w:hAnsiTheme="minorHAnsi"/>
        </w:rPr>
        <w:t>s</w:t>
      </w:r>
      <w:r w:rsidR="00085A59" w:rsidRPr="00085A59">
        <w:rPr>
          <w:rFonts w:asciiTheme="minorHAnsi" w:hAnsiTheme="minorHAnsi"/>
        </w:rPr>
        <w:t xml:space="preserve"> to discontinue collecting crude oil lease stocks on </w:t>
      </w:r>
      <w:r w:rsidR="007B7FB7" w:rsidRPr="00085A59">
        <w:rPr>
          <w:rFonts w:asciiTheme="minorHAnsi" w:hAnsiTheme="minorHAnsi"/>
        </w:rPr>
        <w:t xml:space="preserve">Form EIA-803, “Weekly Crude Oil Stocks Report” and </w:t>
      </w:r>
      <w:r w:rsidR="00085A59" w:rsidRPr="00085A59">
        <w:rPr>
          <w:rFonts w:asciiTheme="minorHAnsi" w:hAnsiTheme="minorHAnsi"/>
        </w:rPr>
        <w:t>Form EIA–813, ‘‘Monthly Crude Oil Report</w:t>
      </w:r>
      <w:r w:rsidR="007B7FB7" w:rsidRPr="00085A59">
        <w:rPr>
          <w:rFonts w:asciiTheme="minorHAnsi" w:hAnsiTheme="minorHAnsi"/>
        </w:rPr>
        <w:t>.</w:t>
      </w:r>
      <w:r w:rsidR="00085A59" w:rsidRPr="00085A59">
        <w:rPr>
          <w:rFonts w:asciiTheme="minorHAnsi" w:hAnsiTheme="minorHAnsi"/>
        </w:rPr>
        <w:t xml:space="preserve">’’  Lease stocks include crude oil stored at production sites. The purpose of stocks held on oil production sites is to facilitate oil and gas production operations. Lease stocks are typically held only long enough for oil to be picked up by trucks or otherwise removed from production sites. While the total number of barrels held as lease stocks is significant, the barrels are widely dispersed at producing sites with only small quantities at any given location. For these reasons, we have determined that continued tracking of lease stocks on </w:t>
      </w:r>
      <w:r w:rsidR="00A7504B">
        <w:rPr>
          <w:rFonts w:ascii="Calibri" w:hAnsi="Calibri"/>
        </w:rPr>
        <w:t xml:space="preserve">Form EIA-803 and Form EIA-813 </w:t>
      </w:r>
      <w:r w:rsidR="00085A59" w:rsidRPr="00085A59">
        <w:rPr>
          <w:rFonts w:asciiTheme="minorHAnsi" w:hAnsiTheme="minorHAnsi"/>
        </w:rPr>
        <w:t>has limited value for assessment of crude oil supplies available to markets. In addition, our research has shown that some or all of the barrels included as lease stocks are actually outside of the U.S. and regional crude oil balances developed by EIA</w:t>
      </w:r>
      <w:r w:rsidR="00A7504B">
        <w:rPr>
          <w:rFonts w:asciiTheme="minorHAnsi" w:hAnsiTheme="minorHAnsi"/>
        </w:rPr>
        <w:t>.</w:t>
      </w:r>
      <w:r w:rsidR="00085A59" w:rsidRPr="00085A59">
        <w:rPr>
          <w:rFonts w:asciiTheme="minorHAnsi" w:hAnsiTheme="minorHAnsi"/>
        </w:rPr>
        <w:t xml:space="preserve"> </w:t>
      </w:r>
      <w:r w:rsidR="00A7504B">
        <w:rPr>
          <w:rFonts w:asciiTheme="minorHAnsi" w:hAnsiTheme="minorHAnsi"/>
        </w:rPr>
        <w:t xml:space="preserve"> </w:t>
      </w:r>
      <w:r w:rsidR="00A7504B">
        <w:rPr>
          <w:rFonts w:ascii="Calibri" w:hAnsi="Calibri"/>
        </w:rPr>
        <w:t xml:space="preserve">This affects estimates that are calculated to assess supply </w:t>
      </w:r>
      <w:r w:rsidR="00085A59" w:rsidRPr="00085A59">
        <w:rPr>
          <w:rFonts w:asciiTheme="minorHAnsi" w:hAnsiTheme="minorHAnsi"/>
        </w:rPr>
        <w:t>because barrels may be recorded as crude oil production, which is the first supply component of our balance, only after the barrels are withdrawn from lease stocks. EIA will create and publish historical data series of crude oil stocks excluding lease stocks in order to meet analyst requirements for crude oil inventory data that are consistent over time.</w:t>
      </w:r>
    </w:p>
    <w:p w14:paraId="2F31C215" w14:textId="77777777" w:rsidR="00085A59" w:rsidRPr="00085A59" w:rsidRDefault="00085A59" w:rsidP="00085A59">
      <w:pPr>
        <w:autoSpaceDE w:val="0"/>
        <w:autoSpaceDN w:val="0"/>
        <w:rPr>
          <w:rFonts w:asciiTheme="minorHAnsi" w:hAnsiTheme="minorHAnsi"/>
        </w:rPr>
      </w:pPr>
      <w:r w:rsidRPr="00085A59">
        <w:rPr>
          <w:rFonts w:asciiTheme="minorHAnsi" w:hAnsiTheme="minorHAnsi"/>
        </w:rPr>
        <w:t>Changes are also proposed to Form EIA-812 to discontinue biannual collection of data on storage capacity and pipeline access (part 5), tank storage capacity (part 6), and stocks held in tanks (part 7).  EIA will continue to use Form EIA-812 to collect combined total pipeline stocks (including pipeline fill and stocks in tanks) of petroleum products (part 3) as well as pipeline movements of petroleum products between Petroleum Administration for Defense Districts (PADDs) (part 4).  EIA assessment of data collected in parts 5-7 of Form EIA-812 found limited usefulness of the data for petroleum products supply and market assessments, and may actually contribute to confusion by suggesting that pipeline storage capacity maintained for operational purposes could be used for commercial purposes.</w:t>
      </w:r>
    </w:p>
    <w:p w14:paraId="22EF605E" w14:textId="7B0B31B2" w:rsidR="00085A59" w:rsidRPr="00085A59" w:rsidRDefault="00085A59" w:rsidP="00085A59">
      <w:pPr>
        <w:rPr>
          <w:rFonts w:asciiTheme="minorHAnsi" w:hAnsiTheme="minorHAnsi"/>
        </w:rPr>
      </w:pPr>
      <w:r w:rsidRPr="00085A59">
        <w:rPr>
          <w:rFonts w:asciiTheme="minorHAnsi" w:hAnsiTheme="minorHAnsi"/>
        </w:rPr>
        <w:t xml:space="preserve">While the other initial proposals will improve the utility and relevancy of the information collected from the Petroleum Supply data collection program in the future, more time is needed to develop the necessary data collection and processing systems to implement these proposals.  Consequently, EIA requests an extension of the current Petroleum Supply survey </w:t>
      </w:r>
      <w:r w:rsidRPr="00085A59">
        <w:rPr>
          <w:rFonts w:asciiTheme="minorHAnsi" w:hAnsiTheme="minorHAnsi"/>
        </w:rPr>
        <w:lastRenderedPageBreak/>
        <w:t xml:space="preserve">forms (OMB No. 1905–0165) with changes described above to Forms </w:t>
      </w:r>
      <w:r w:rsidR="00241231" w:rsidRPr="00085A59">
        <w:rPr>
          <w:rFonts w:asciiTheme="minorHAnsi" w:hAnsiTheme="minorHAnsi"/>
        </w:rPr>
        <w:t xml:space="preserve">EIA-803, </w:t>
      </w:r>
      <w:r w:rsidRPr="00085A59">
        <w:rPr>
          <w:rFonts w:asciiTheme="minorHAnsi" w:hAnsiTheme="minorHAnsi"/>
        </w:rPr>
        <w:t xml:space="preserve">EIA-812, </w:t>
      </w:r>
      <w:r w:rsidR="00241231" w:rsidRPr="00085A59">
        <w:rPr>
          <w:rFonts w:asciiTheme="minorHAnsi" w:hAnsiTheme="minorHAnsi"/>
        </w:rPr>
        <w:t xml:space="preserve">and </w:t>
      </w:r>
      <w:r w:rsidRPr="00085A59">
        <w:rPr>
          <w:rFonts w:asciiTheme="minorHAnsi" w:hAnsiTheme="minorHAnsi"/>
        </w:rPr>
        <w:t xml:space="preserve">EIA-813. </w:t>
      </w:r>
    </w:p>
    <w:p w14:paraId="5450CD97" w14:textId="77777777" w:rsidR="00085A59" w:rsidRPr="00085A59" w:rsidRDefault="00085A59" w:rsidP="00085A59">
      <w:pPr>
        <w:jc w:val="left"/>
        <w:rPr>
          <w:rFonts w:asciiTheme="minorHAnsi" w:hAnsiTheme="minorHAnsi"/>
        </w:rPr>
      </w:pPr>
      <w:r w:rsidRPr="00085A59">
        <w:rPr>
          <w:rFonts w:asciiTheme="minorHAnsi" w:hAnsiTheme="minorHAnsi"/>
        </w:rPr>
        <w:t>EIA intends to continue to make the necessary changes to our systems and to work closely with respondents and its stakeholders so that when any forms changes are approved, respondents will be prepared to provide the necessary data.</w:t>
      </w:r>
    </w:p>
    <w:p w14:paraId="521EEB82" w14:textId="77777777" w:rsidR="00394988" w:rsidRPr="005C6DD6" w:rsidRDefault="00394988" w:rsidP="005C6DD6">
      <w:pPr>
        <w:spacing w:before="360" w:beforeAutospacing="0" w:after="0" w:afterAutospacing="0"/>
        <w:jc w:val="left"/>
        <w:rPr>
          <w:rFonts w:asciiTheme="minorHAnsi" w:hAnsiTheme="minorHAnsi"/>
          <w:b/>
          <w:szCs w:val="24"/>
        </w:rPr>
      </w:pPr>
      <w:r w:rsidRPr="005C6DD6">
        <w:rPr>
          <w:rFonts w:asciiTheme="minorHAnsi" w:hAnsiTheme="minorHAnsi"/>
          <w:b/>
          <w:szCs w:val="24"/>
        </w:rPr>
        <w:t>Background of the Petroleum Supply Reporting System</w:t>
      </w:r>
    </w:p>
    <w:p w14:paraId="073DA9E1" w14:textId="77777777" w:rsidR="004619E3" w:rsidRPr="005C6DD6" w:rsidRDefault="00872064" w:rsidP="00B7681A">
      <w:pPr>
        <w:autoSpaceDE w:val="0"/>
        <w:autoSpaceDN w:val="0"/>
        <w:adjustRightInd w:val="0"/>
        <w:spacing w:before="120" w:beforeAutospacing="0" w:after="0" w:afterAutospacing="0"/>
        <w:jc w:val="left"/>
        <w:rPr>
          <w:rFonts w:asciiTheme="minorHAnsi" w:hAnsiTheme="minorHAnsi"/>
          <w:szCs w:val="24"/>
        </w:rPr>
      </w:pPr>
      <w:r w:rsidRPr="005C6DD6">
        <w:rPr>
          <w:rFonts w:asciiTheme="minorHAnsi" w:hAnsiTheme="minorHAnsi"/>
          <w:szCs w:val="24"/>
        </w:rPr>
        <w:t>Weekly petroleum and biofuels supply surveys (Forms EIA-800, 802, 803, 804, 805, and 809) are used to gather data on petroleum refinery operations, blending, biofuels production, inventory levels, and imports of crude oil, petroleum products, and biofuels from sample</w:t>
      </w:r>
      <w:r w:rsidR="00293AFC" w:rsidRPr="005C6DD6">
        <w:rPr>
          <w:rFonts w:asciiTheme="minorHAnsi" w:hAnsiTheme="minorHAnsi"/>
          <w:szCs w:val="24"/>
        </w:rPr>
        <w:t>s</w:t>
      </w:r>
      <w:r w:rsidRPr="005C6DD6">
        <w:rPr>
          <w:rFonts w:asciiTheme="minorHAnsi" w:hAnsiTheme="minorHAnsi"/>
          <w:szCs w:val="24"/>
        </w:rPr>
        <w:t xml:space="preserve"> of operating companies</w:t>
      </w:r>
      <w:r w:rsidR="00293AFC" w:rsidRPr="005C6DD6">
        <w:rPr>
          <w:rFonts w:asciiTheme="minorHAnsi" w:hAnsiTheme="minorHAnsi"/>
          <w:szCs w:val="24"/>
        </w:rPr>
        <w:t>, with the sampling frame and sampled companies being different for the various surveys</w:t>
      </w:r>
      <w:r w:rsidRPr="005C6DD6">
        <w:rPr>
          <w:rFonts w:asciiTheme="minorHAnsi" w:hAnsiTheme="minorHAnsi"/>
          <w:szCs w:val="24"/>
        </w:rPr>
        <w:t>.  Data from weekly surveys appear in EIA reports</w:t>
      </w:r>
      <w:r w:rsidR="004619E3" w:rsidRPr="005C6DD6">
        <w:rPr>
          <w:rFonts w:asciiTheme="minorHAnsi" w:hAnsiTheme="minorHAnsi"/>
          <w:szCs w:val="24"/>
        </w:rPr>
        <w:t>,</w:t>
      </w:r>
      <w:r w:rsidRPr="005C6DD6">
        <w:rPr>
          <w:rFonts w:asciiTheme="minorHAnsi" w:hAnsiTheme="minorHAnsi"/>
          <w:szCs w:val="24"/>
        </w:rPr>
        <w:t xml:space="preserve"> including the</w:t>
      </w:r>
      <w:r w:rsidR="004619E3" w:rsidRPr="005C6DD6">
        <w:rPr>
          <w:rFonts w:asciiTheme="minorHAnsi" w:hAnsiTheme="minorHAnsi"/>
          <w:szCs w:val="24"/>
        </w:rPr>
        <w:t xml:space="preserve"> following</w:t>
      </w:r>
      <w:r w:rsidR="005A6D09" w:rsidRPr="005C6DD6">
        <w:rPr>
          <w:rFonts w:asciiTheme="minorHAnsi" w:hAnsiTheme="minorHAnsi"/>
          <w:szCs w:val="24"/>
        </w:rPr>
        <w:t>:</w:t>
      </w:r>
    </w:p>
    <w:p w14:paraId="63AAD36F" w14:textId="77777777" w:rsidR="004619E3" w:rsidRPr="005C6DD6" w:rsidRDefault="00872064"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sz w:val="24"/>
          <w:szCs w:val="24"/>
        </w:rPr>
      </w:pPr>
      <w:r w:rsidRPr="005C6DD6">
        <w:rPr>
          <w:rFonts w:asciiTheme="minorHAnsi" w:hAnsiTheme="minorHAnsi"/>
          <w:i/>
          <w:sz w:val="24"/>
          <w:szCs w:val="24"/>
        </w:rPr>
        <w:t xml:space="preserve">Weekly Petroleum Status Report, </w:t>
      </w:r>
      <w:hyperlink r:id="rId13" w:history="1">
        <w:r w:rsidRPr="005C6DD6">
          <w:rPr>
            <w:rStyle w:val="Hyperlink"/>
            <w:rFonts w:asciiTheme="minorHAnsi" w:hAnsiTheme="minorHAnsi"/>
            <w:i/>
            <w:sz w:val="24"/>
            <w:szCs w:val="24"/>
          </w:rPr>
          <w:t>http://www.eia.gov/oil_gas/petroleum/data_publications/weekly_petroleum_status_report/wpsr.html</w:t>
        </w:r>
      </w:hyperlink>
    </w:p>
    <w:p w14:paraId="2B7E3A18" w14:textId="77777777" w:rsidR="004619E3" w:rsidRPr="005C6DD6" w:rsidRDefault="00872064"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sz w:val="24"/>
          <w:szCs w:val="24"/>
        </w:rPr>
      </w:pPr>
      <w:r w:rsidRPr="005C6DD6">
        <w:rPr>
          <w:rFonts w:asciiTheme="minorHAnsi" w:hAnsiTheme="minorHAnsi"/>
          <w:i/>
          <w:sz w:val="24"/>
          <w:szCs w:val="24"/>
        </w:rPr>
        <w:t xml:space="preserve">Short-Term Energy Outlook, </w:t>
      </w:r>
      <w:hyperlink r:id="rId14" w:history="1">
        <w:r w:rsidRPr="005C6DD6">
          <w:rPr>
            <w:rStyle w:val="Hyperlink"/>
            <w:rFonts w:asciiTheme="minorHAnsi" w:hAnsiTheme="minorHAnsi"/>
            <w:i/>
            <w:sz w:val="24"/>
            <w:szCs w:val="24"/>
          </w:rPr>
          <w:t>http://www.eia.gov/forecasts/steo/</w:t>
        </w:r>
      </w:hyperlink>
    </w:p>
    <w:p w14:paraId="24876C5C" w14:textId="77777777" w:rsidR="00CF6419" w:rsidRPr="005C6DD6" w:rsidRDefault="00CF6419"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u w:val="single"/>
        </w:rPr>
      </w:pPr>
      <w:r w:rsidRPr="005C6DD6">
        <w:rPr>
          <w:rFonts w:asciiTheme="minorHAnsi" w:hAnsiTheme="minorHAnsi"/>
          <w:i/>
          <w:sz w:val="24"/>
          <w:szCs w:val="24"/>
        </w:rPr>
        <w:t xml:space="preserve">This Week in Petroleum, </w:t>
      </w:r>
      <w:hyperlink r:id="rId15" w:history="1">
        <w:r w:rsidRPr="005C6DD6">
          <w:rPr>
            <w:rStyle w:val="Hyperlink"/>
            <w:rFonts w:asciiTheme="minorHAnsi" w:hAnsiTheme="minorHAnsi"/>
            <w:i/>
            <w:sz w:val="24"/>
            <w:szCs w:val="24"/>
          </w:rPr>
          <w:t>http://www.eia.gov/oog/info/twip/twip.asp</w:t>
        </w:r>
      </w:hyperlink>
    </w:p>
    <w:p w14:paraId="7A54BD64" w14:textId="77777777" w:rsidR="00872064" w:rsidRPr="005C6DD6" w:rsidRDefault="00872064"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rPr>
      </w:pPr>
      <w:r w:rsidRPr="005C6DD6">
        <w:rPr>
          <w:rFonts w:asciiTheme="minorHAnsi" w:hAnsiTheme="minorHAnsi"/>
          <w:i/>
          <w:sz w:val="24"/>
          <w:szCs w:val="24"/>
        </w:rPr>
        <w:t xml:space="preserve">Monthly Energy Review, </w:t>
      </w:r>
      <w:hyperlink r:id="rId16" w:history="1">
        <w:r w:rsidRPr="005C6DD6">
          <w:rPr>
            <w:rStyle w:val="Hyperlink"/>
            <w:rFonts w:asciiTheme="minorHAnsi" w:hAnsiTheme="minorHAnsi"/>
            <w:i/>
            <w:sz w:val="24"/>
            <w:szCs w:val="24"/>
          </w:rPr>
          <w:t>http://www.eia.gov/tota</w:t>
        </w:r>
        <w:r w:rsidR="000918BB" w:rsidRPr="005C6DD6">
          <w:rPr>
            <w:rStyle w:val="Hyperlink"/>
            <w:rFonts w:asciiTheme="minorHAnsi" w:hAnsiTheme="minorHAnsi"/>
            <w:i/>
            <w:sz w:val="24"/>
            <w:szCs w:val="24"/>
          </w:rPr>
          <w:t>lenergy/data/monthly/</w:t>
        </w:r>
      </w:hyperlink>
    </w:p>
    <w:p w14:paraId="1FF29978" w14:textId="77777777" w:rsidR="00872064" w:rsidRPr="005C6DD6" w:rsidRDefault="00872064" w:rsidP="00B7681A">
      <w:pPr>
        <w:autoSpaceDE w:val="0"/>
        <w:autoSpaceDN w:val="0"/>
        <w:adjustRightInd w:val="0"/>
        <w:jc w:val="left"/>
        <w:rPr>
          <w:rFonts w:asciiTheme="minorHAnsi" w:hAnsiTheme="minorHAnsi"/>
          <w:szCs w:val="24"/>
        </w:rPr>
      </w:pPr>
      <w:r w:rsidRPr="005C6DD6">
        <w:rPr>
          <w:rFonts w:asciiTheme="minorHAnsi" w:hAnsiTheme="minorHAnsi"/>
          <w:szCs w:val="24"/>
        </w:rPr>
        <w:t>Monthly petroleum and biofuels supply surveys (Forms EIA-810, 812, 813, 814, 815, 816, 817, 819, and 22M) are used to gather data on petroleum refinery operations, blending, biofuels production, natural gas plant liquids production, inventory levels, imports, inter-regional movements, and storage capacity for crude oil, petroleum products, and biofuels.  Crude oil production data and petroleum and biofuels export data from the U.S. Census Bureau are integrated with data from EIA petroleum supply surveys to create a comprehensive statistical view of U.S. petroleum supplies that is unavailable from any other source.</w:t>
      </w:r>
    </w:p>
    <w:p w14:paraId="38F6590D" w14:textId="77777777" w:rsidR="006D6F0D" w:rsidRDefault="00872064" w:rsidP="00B7681A">
      <w:pPr>
        <w:autoSpaceDE w:val="0"/>
        <w:autoSpaceDN w:val="0"/>
        <w:adjustRightInd w:val="0"/>
        <w:jc w:val="left"/>
        <w:rPr>
          <w:rFonts w:asciiTheme="minorHAnsi" w:hAnsiTheme="minorHAnsi"/>
          <w:szCs w:val="24"/>
        </w:rPr>
      </w:pPr>
      <w:r w:rsidRPr="005C6DD6">
        <w:rPr>
          <w:rFonts w:asciiTheme="minorHAnsi" w:hAnsiTheme="minorHAnsi"/>
          <w:szCs w:val="24"/>
        </w:rPr>
        <w:t xml:space="preserve">Monthly petroleum and biofuels supply surveys </w:t>
      </w:r>
      <w:r w:rsidR="00CF6419" w:rsidRPr="005C6DD6">
        <w:rPr>
          <w:rFonts w:asciiTheme="minorHAnsi" w:hAnsiTheme="minorHAnsi"/>
          <w:szCs w:val="24"/>
        </w:rPr>
        <w:t xml:space="preserve">provide essential </w:t>
      </w:r>
      <w:r w:rsidRPr="005C6DD6">
        <w:rPr>
          <w:rFonts w:asciiTheme="minorHAnsi" w:hAnsiTheme="minorHAnsi"/>
          <w:szCs w:val="24"/>
        </w:rPr>
        <w:t xml:space="preserve">support </w:t>
      </w:r>
      <w:r w:rsidR="00CF6419" w:rsidRPr="005C6DD6">
        <w:rPr>
          <w:rFonts w:asciiTheme="minorHAnsi" w:hAnsiTheme="minorHAnsi"/>
          <w:szCs w:val="24"/>
        </w:rPr>
        <w:t xml:space="preserve">to </w:t>
      </w:r>
      <w:r w:rsidRPr="005C6DD6">
        <w:rPr>
          <w:rFonts w:asciiTheme="minorHAnsi" w:hAnsiTheme="minorHAnsi"/>
          <w:szCs w:val="24"/>
        </w:rPr>
        <w:t>weekly surveys by providing a complete set of petroleum and biofuels supply data from</w:t>
      </w:r>
      <w:r w:rsidR="00473C85" w:rsidRPr="005C6DD6">
        <w:rPr>
          <w:rFonts w:asciiTheme="minorHAnsi" w:hAnsiTheme="minorHAnsi"/>
          <w:szCs w:val="24"/>
        </w:rPr>
        <w:t xml:space="preserve"> all in-scope companies. The companies required to submit </w:t>
      </w:r>
      <w:r w:rsidR="00AC3A81" w:rsidRPr="005C6DD6">
        <w:rPr>
          <w:rFonts w:asciiTheme="minorHAnsi" w:hAnsiTheme="minorHAnsi"/>
          <w:szCs w:val="24"/>
        </w:rPr>
        <w:t>each of the monthly surveys comprise the sampling frame from which samples are drawn for the corresponding</w:t>
      </w:r>
      <w:r w:rsidR="00713F20" w:rsidRPr="005C6DD6">
        <w:rPr>
          <w:rFonts w:asciiTheme="minorHAnsi" w:hAnsiTheme="minorHAnsi"/>
          <w:szCs w:val="24"/>
        </w:rPr>
        <w:t xml:space="preserve"> </w:t>
      </w:r>
      <w:r w:rsidRPr="005C6DD6">
        <w:rPr>
          <w:rFonts w:asciiTheme="minorHAnsi" w:hAnsiTheme="minorHAnsi"/>
          <w:szCs w:val="24"/>
        </w:rPr>
        <w:t>weekly survey</w:t>
      </w:r>
      <w:r w:rsidR="00AC3A81" w:rsidRPr="005C6DD6">
        <w:rPr>
          <w:rFonts w:asciiTheme="minorHAnsi" w:hAnsiTheme="minorHAnsi"/>
          <w:szCs w:val="24"/>
        </w:rPr>
        <w:t>s</w:t>
      </w:r>
      <w:r w:rsidRPr="005C6DD6">
        <w:rPr>
          <w:rFonts w:asciiTheme="minorHAnsi" w:hAnsiTheme="minorHAnsi"/>
          <w:szCs w:val="24"/>
        </w:rPr>
        <w:t>.  In addition, monthly surveys provide data elements that are not collected on weekly reports such as production of natural gas plant liquids and refinery processing gain.  Data from monthly petroleum and biofuels supply surveys appear in EIA reports</w:t>
      </w:r>
      <w:r w:rsidR="00C84F62" w:rsidRPr="005C6DD6">
        <w:rPr>
          <w:rFonts w:asciiTheme="minorHAnsi" w:hAnsiTheme="minorHAnsi"/>
          <w:szCs w:val="24"/>
        </w:rPr>
        <w:t>,</w:t>
      </w:r>
      <w:r w:rsidRPr="005C6DD6">
        <w:rPr>
          <w:rFonts w:asciiTheme="minorHAnsi" w:hAnsiTheme="minorHAnsi"/>
          <w:szCs w:val="24"/>
        </w:rPr>
        <w:t xml:space="preserve"> including</w:t>
      </w:r>
      <w:r w:rsidR="006D6F0D" w:rsidRPr="005C6DD6">
        <w:rPr>
          <w:rFonts w:asciiTheme="minorHAnsi" w:hAnsiTheme="minorHAnsi"/>
          <w:szCs w:val="24"/>
        </w:rPr>
        <w:t xml:space="preserve"> the following:</w:t>
      </w:r>
    </w:p>
    <w:p w14:paraId="5CDE5987" w14:textId="77777777" w:rsidR="00085A59" w:rsidRPr="005C6DD6" w:rsidRDefault="00085A59" w:rsidP="00B7681A">
      <w:pPr>
        <w:autoSpaceDE w:val="0"/>
        <w:autoSpaceDN w:val="0"/>
        <w:adjustRightInd w:val="0"/>
        <w:jc w:val="left"/>
        <w:rPr>
          <w:rFonts w:asciiTheme="minorHAnsi" w:hAnsiTheme="minorHAnsi"/>
          <w:szCs w:val="24"/>
        </w:rPr>
      </w:pPr>
    </w:p>
    <w:p w14:paraId="5DC31400" w14:textId="77777777" w:rsidR="006D6F0D" w:rsidRPr="005C6DD6" w:rsidRDefault="00872064"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rPr>
      </w:pPr>
      <w:r w:rsidRPr="005C6DD6">
        <w:rPr>
          <w:rFonts w:asciiTheme="minorHAnsi" w:hAnsiTheme="minorHAnsi"/>
          <w:i/>
          <w:sz w:val="24"/>
          <w:szCs w:val="24"/>
        </w:rPr>
        <w:t>Petroleum Supply Monthly</w:t>
      </w:r>
      <w:r w:rsidRPr="005C6DD6">
        <w:rPr>
          <w:rFonts w:asciiTheme="minorHAnsi" w:hAnsiTheme="minorHAnsi"/>
          <w:sz w:val="24"/>
          <w:szCs w:val="24"/>
        </w:rPr>
        <w:t xml:space="preserve">, </w:t>
      </w:r>
      <w:hyperlink r:id="rId17" w:history="1">
        <w:r w:rsidRPr="005C6DD6">
          <w:rPr>
            <w:rStyle w:val="Hyperlink"/>
            <w:rFonts w:asciiTheme="minorHAnsi" w:hAnsiTheme="minorHAnsi"/>
            <w:i/>
            <w:sz w:val="24"/>
            <w:szCs w:val="24"/>
          </w:rPr>
          <w:t>http://www.eia.gov/petroleum/supply/monthly/</w:t>
        </w:r>
      </w:hyperlink>
    </w:p>
    <w:p w14:paraId="1FE31A65" w14:textId="77777777" w:rsidR="006D6F0D" w:rsidRPr="005C6DD6" w:rsidRDefault="00872064"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rPr>
      </w:pPr>
      <w:r w:rsidRPr="005C6DD6">
        <w:rPr>
          <w:rFonts w:asciiTheme="minorHAnsi" w:hAnsiTheme="minorHAnsi"/>
          <w:i/>
          <w:sz w:val="24"/>
          <w:szCs w:val="24"/>
        </w:rPr>
        <w:t>Petroleum Supply Annual</w:t>
      </w:r>
      <w:r w:rsidRPr="005C6DD6">
        <w:rPr>
          <w:rStyle w:val="Hyperlink"/>
          <w:rFonts w:asciiTheme="minorHAnsi" w:hAnsiTheme="minorHAnsi"/>
          <w:color w:val="auto"/>
          <w:sz w:val="24"/>
          <w:szCs w:val="24"/>
          <w:u w:val="none"/>
        </w:rPr>
        <w:t xml:space="preserve">, </w:t>
      </w:r>
      <w:hyperlink r:id="rId18" w:history="1">
        <w:r w:rsidRPr="005C6DD6">
          <w:rPr>
            <w:rStyle w:val="Hyperlink"/>
            <w:rFonts w:asciiTheme="minorHAnsi" w:hAnsiTheme="minorHAnsi"/>
            <w:i/>
            <w:sz w:val="24"/>
            <w:szCs w:val="24"/>
          </w:rPr>
          <w:t>http://www.eia.gov/petroleum/supply/annual/volume1/</w:t>
        </w:r>
      </w:hyperlink>
    </w:p>
    <w:p w14:paraId="667858B9" w14:textId="77777777" w:rsidR="00CF6419" w:rsidRPr="005C6DD6" w:rsidRDefault="00CF6419"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rPr>
      </w:pPr>
      <w:r w:rsidRPr="005C6DD6">
        <w:rPr>
          <w:rFonts w:asciiTheme="minorHAnsi" w:hAnsiTheme="minorHAnsi"/>
          <w:i/>
          <w:sz w:val="24"/>
          <w:szCs w:val="24"/>
        </w:rPr>
        <w:t xml:space="preserve">Monthly Energy Review, </w:t>
      </w:r>
      <w:hyperlink r:id="rId19" w:history="1">
        <w:r w:rsidRPr="005C6DD6">
          <w:rPr>
            <w:rStyle w:val="Hyperlink"/>
            <w:rFonts w:asciiTheme="minorHAnsi" w:hAnsiTheme="minorHAnsi"/>
            <w:i/>
            <w:sz w:val="24"/>
            <w:szCs w:val="24"/>
          </w:rPr>
          <w:t>http://www.eia.gov/totalenergy/data/monthly/</w:t>
        </w:r>
      </w:hyperlink>
    </w:p>
    <w:p w14:paraId="31F0AEB7" w14:textId="77777777" w:rsidR="006D6F0D" w:rsidRPr="005C6DD6" w:rsidRDefault="00872064"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rPr>
      </w:pPr>
      <w:r w:rsidRPr="005C6DD6">
        <w:rPr>
          <w:rFonts w:asciiTheme="minorHAnsi" w:hAnsiTheme="minorHAnsi"/>
          <w:i/>
          <w:sz w:val="24"/>
          <w:szCs w:val="24"/>
        </w:rPr>
        <w:t>Annual Energy Review</w:t>
      </w:r>
      <w:r w:rsidRPr="005C6DD6">
        <w:rPr>
          <w:rStyle w:val="Hyperlink"/>
          <w:rFonts w:asciiTheme="minorHAnsi" w:hAnsiTheme="minorHAnsi"/>
          <w:color w:val="auto"/>
          <w:sz w:val="24"/>
          <w:szCs w:val="24"/>
          <w:u w:val="none"/>
        </w:rPr>
        <w:t xml:space="preserve">, </w:t>
      </w:r>
      <w:hyperlink r:id="rId20" w:history="1">
        <w:r w:rsidRPr="005C6DD6">
          <w:rPr>
            <w:rStyle w:val="Hyperlink"/>
            <w:rFonts w:asciiTheme="minorHAnsi" w:hAnsiTheme="minorHAnsi"/>
            <w:i/>
            <w:sz w:val="24"/>
            <w:szCs w:val="24"/>
          </w:rPr>
          <w:t>http://www.eia.gov/totalenergy/data/annual/</w:t>
        </w:r>
      </w:hyperlink>
    </w:p>
    <w:p w14:paraId="796B5F78" w14:textId="77777777" w:rsidR="006D6F0D" w:rsidRPr="005C6DD6" w:rsidRDefault="00872064"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rPr>
      </w:pPr>
      <w:r w:rsidRPr="005C6DD6">
        <w:rPr>
          <w:rFonts w:asciiTheme="minorHAnsi" w:hAnsiTheme="minorHAnsi"/>
          <w:i/>
          <w:sz w:val="24"/>
          <w:szCs w:val="24"/>
        </w:rPr>
        <w:t xml:space="preserve">Short-Term Energy Outlook, </w:t>
      </w:r>
      <w:hyperlink r:id="rId21" w:history="1">
        <w:r w:rsidRPr="005C6DD6">
          <w:rPr>
            <w:rStyle w:val="Hyperlink"/>
            <w:rFonts w:asciiTheme="minorHAnsi" w:hAnsiTheme="minorHAnsi"/>
            <w:i/>
            <w:sz w:val="24"/>
            <w:szCs w:val="24"/>
          </w:rPr>
          <w:t>http://www.eia.gov/forecasts/steo/</w:t>
        </w:r>
      </w:hyperlink>
    </w:p>
    <w:p w14:paraId="273A7941" w14:textId="77777777" w:rsidR="006D6F0D" w:rsidRPr="005C6DD6" w:rsidRDefault="00CF6419" w:rsidP="00B7681A">
      <w:pPr>
        <w:pStyle w:val="ListParagraph"/>
        <w:numPr>
          <w:ilvl w:val="0"/>
          <w:numId w:val="7"/>
        </w:numPr>
        <w:autoSpaceDE w:val="0"/>
        <w:autoSpaceDN w:val="0"/>
        <w:adjustRightInd w:val="0"/>
        <w:spacing w:before="120" w:beforeAutospacing="0" w:after="0" w:afterAutospacing="0"/>
        <w:ind w:left="720"/>
        <w:contextualSpacing w:val="0"/>
        <w:jc w:val="left"/>
        <w:rPr>
          <w:rFonts w:asciiTheme="minorHAnsi" w:hAnsiTheme="minorHAnsi"/>
          <w:i/>
          <w:sz w:val="24"/>
          <w:szCs w:val="24"/>
        </w:rPr>
      </w:pPr>
      <w:r w:rsidRPr="005C6DD6">
        <w:rPr>
          <w:rFonts w:asciiTheme="minorHAnsi" w:hAnsiTheme="minorHAnsi"/>
          <w:i/>
          <w:sz w:val="24"/>
          <w:szCs w:val="24"/>
        </w:rPr>
        <w:t xml:space="preserve">Annual Energy Outlook, </w:t>
      </w:r>
      <w:hyperlink r:id="rId22" w:history="1">
        <w:r w:rsidRPr="005C6DD6">
          <w:rPr>
            <w:rStyle w:val="Hyperlink"/>
            <w:rFonts w:asciiTheme="minorHAnsi" w:hAnsiTheme="minorHAnsi"/>
            <w:i/>
            <w:sz w:val="24"/>
            <w:szCs w:val="24"/>
          </w:rPr>
          <w:t>http://www.eia.gov/forecasts/aeo/</w:t>
        </w:r>
      </w:hyperlink>
    </w:p>
    <w:p w14:paraId="094A736E" w14:textId="77777777" w:rsidR="00872064" w:rsidRPr="005C6DD6" w:rsidRDefault="00366B75" w:rsidP="00B7681A">
      <w:pPr>
        <w:autoSpaceDE w:val="0"/>
        <w:autoSpaceDN w:val="0"/>
        <w:adjustRightInd w:val="0"/>
        <w:jc w:val="left"/>
        <w:rPr>
          <w:rFonts w:asciiTheme="minorHAnsi" w:hAnsiTheme="minorHAnsi"/>
          <w:szCs w:val="24"/>
        </w:rPr>
      </w:pPr>
      <w:r w:rsidRPr="005C6DD6">
        <w:rPr>
          <w:rFonts w:asciiTheme="minorHAnsi" w:hAnsiTheme="minorHAnsi"/>
          <w:szCs w:val="24"/>
        </w:rPr>
        <w:t xml:space="preserve">In addition, </w:t>
      </w:r>
      <w:r w:rsidR="00AC3A81" w:rsidRPr="005C6DD6">
        <w:rPr>
          <w:rFonts w:asciiTheme="minorHAnsi" w:hAnsiTheme="minorHAnsi"/>
          <w:szCs w:val="24"/>
        </w:rPr>
        <w:t>m</w:t>
      </w:r>
      <w:r w:rsidR="00872064" w:rsidRPr="005C6DD6">
        <w:rPr>
          <w:rFonts w:asciiTheme="minorHAnsi" w:hAnsiTheme="minorHAnsi"/>
          <w:szCs w:val="24"/>
        </w:rPr>
        <w:t>onthly survey data provide input for the EIA State Energy Data System and provide U.S. data submitted to the International Energy Agency.</w:t>
      </w:r>
    </w:p>
    <w:p w14:paraId="083AFB03" w14:textId="77777777" w:rsidR="00872064" w:rsidRPr="005C6DD6" w:rsidRDefault="00872064" w:rsidP="00B7681A">
      <w:pPr>
        <w:jc w:val="left"/>
        <w:rPr>
          <w:rFonts w:asciiTheme="minorHAnsi" w:hAnsiTheme="minorHAnsi"/>
          <w:szCs w:val="24"/>
        </w:rPr>
      </w:pPr>
      <w:r w:rsidRPr="005C6DD6">
        <w:rPr>
          <w:rFonts w:asciiTheme="minorHAnsi" w:hAnsiTheme="minorHAnsi"/>
          <w:szCs w:val="24"/>
        </w:rPr>
        <w:t>Section 1508 of the Energy Policy Act of 2005 (EPACT 2005) (</w:t>
      </w:r>
      <w:r w:rsidRPr="005C6DD6">
        <w:rPr>
          <w:rFonts w:asciiTheme="minorHAnsi" w:hAnsiTheme="minorHAnsi"/>
          <w:bCs/>
          <w:szCs w:val="24"/>
        </w:rPr>
        <w:t xml:space="preserve">42 U.S.C. </w:t>
      </w:r>
      <w:r w:rsidRPr="005C6DD6">
        <w:rPr>
          <w:rFonts w:asciiTheme="minorHAnsi" w:hAnsiTheme="minorHAnsi"/>
          <w:szCs w:val="24"/>
        </w:rPr>
        <w:t xml:space="preserve">§ 7135(m)) requires EIA to conduct a survey which collects the quantity of renewable fuels produced, blended, imported, and demanded </w:t>
      </w:r>
      <w:r w:rsidR="006851DC" w:rsidRPr="005C6DD6">
        <w:rPr>
          <w:rFonts w:asciiTheme="minorHAnsi" w:hAnsiTheme="minorHAnsi"/>
          <w:szCs w:val="24"/>
        </w:rPr>
        <w:t>as well as market price</w:t>
      </w:r>
      <w:r w:rsidR="00366B75" w:rsidRPr="005C6DD6">
        <w:rPr>
          <w:rFonts w:asciiTheme="minorHAnsi" w:hAnsiTheme="minorHAnsi"/>
          <w:szCs w:val="24"/>
        </w:rPr>
        <w:t>s</w:t>
      </w:r>
      <w:r w:rsidR="006851DC" w:rsidRPr="005C6DD6">
        <w:rPr>
          <w:rFonts w:asciiTheme="minorHAnsi" w:hAnsiTheme="minorHAnsi"/>
          <w:szCs w:val="24"/>
        </w:rPr>
        <w:t xml:space="preserve"> </w:t>
      </w:r>
      <w:r w:rsidRPr="005C6DD6">
        <w:rPr>
          <w:rFonts w:asciiTheme="minorHAnsi" w:hAnsiTheme="minorHAnsi"/>
          <w:szCs w:val="24"/>
        </w:rPr>
        <w:t xml:space="preserve">on a monthly basis.  </w:t>
      </w:r>
      <w:r w:rsidR="00C84F62" w:rsidRPr="005C6DD6">
        <w:rPr>
          <w:rFonts w:asciiTheme="minorHAnsi" w:hAnsiTheme="minorHAnsi"/>
          <w:szCs w:val="24"/>
        </w:rPr>
        <w:t xml:space="preserve">Form </w:t>
      </w:r>
      <w:r w:rsidRPr="005C6DD6">
        <w:rPr>
          <w:rFonts w:asciiTheme="minorHAnsi" w:hAnsiTheme="minorHAnsi"/>
          <w:szCs w:val="24"/>
        </w:rPr>
        <w:t xml:space="preserve">EIA-22M collects </w:t>
      </w:r>
      <w:r w:rsidR="006851DC" w:rsidRPr="005C6DD6">
        <w:rPr>
          <w:rFonts w:asciiTheme="minorHAnsi" w:hAnsiTheme="minorHAnsi"/>
          <w:szCs w:val="24"/>
        </w:rPr>
        <w:t xml:space="preserve">production and certain blending </w:t>
      </w:r>
      <w:r w:rsidRPr="005C6DD6">
        <w:rPr>
          <w:rFonts w:asciiTheme="minorHAnsi" w:hAnsiTheme="minorHAnsi"/>
          <w:szCs w:val="24"/>
        </w:rPr>
        <w:t xml:space="preserve">data in order to fulfill </w:t>
      </w:r>
      <w:r w:rsidR="006851DC" w:rsidRPr="005C6DD6">
        <w:rPr>
          <w:rFonts w:asciiTheme="minorHAnsi" w:hAnsiTheme="minorHAnsi"/>
          <w:szCs w:val="24"/>
        </w:rPr>
        <w:t xml:space="preserve">a portion of </w:t>
      </w:r>
      <w:r w:rsidRPr="005C6DD6">
        <w:rPr>
          <w:rFonts w:asciiTheme="minorHAnsi" w:hAnsiTheme="minorHAnsi"/>
          <w:szCs w:val="24"/>
        </w:rPr>
        <w:t>this mandate.</w:t>
      </w:r>
      <w:r w:rsidR="006851DC" w:rsidRPr="005C6DD6">
        <w:rPr>
          <w:rFonts w:asciiTheme="minorHAnsi" w:hAnsiTheme="minorHAnsi"/>
          <w:szCs w:val="24"/>
        </w:rPr>
        <w:t xml:space="preserve">  Form EIA-22M in combination with other PSRS surveys provides data to comply with the supply and demand data requirements of EPACT 2005 for renewable fuels.</w:t>
      </w:r>
    </w:p>
    <w:p w14:paraId="59BC5078" w14:textId="77777777" w:rsidR="00872064" w:rsidRPr="005C6DD6" w:rsidRDefault="00872064" w:rsidP="00B7681A">
      <w:pPr>
        <w:autoSpaceDE w:val="0"/>
        <w:autoSpaceDN w:val="0"/>
        <w:adjustRightInd w:val="0"/>
        <w:jc w:val="left"/>
        <w:rPr>
          <w:rFonts w:asciiTheme="minorHAnsi" w:hAnsiTheme="minorHAnsi"/>
          <w:i/>
          <w:szCs w:val="24"/>
        </w:rPr>
      </w:pPr>
      <w:r w:rsidRPr="005C6DD6">
        <w:rPr>
          <w:rFonts w:asciiTheme="minorHAnsi" w:hAnsiTheme="minorHAnsi"/>
          <w:szCs w:val="24"/>
        </w:rPr>
        <w:t>Form EIA-820</w:t>
      </w:r>
      <w:r w:rsidR="00C84F62" w:rsidRPr="005C6DD6">
        <w:rPr>
          <w:rFonts w:asciiTheme="minorHAnsi" w:hAnsiTheme="minorHAnsi"/>
          <w:szCs w:val="24"/>
        </w:rPr>
        <w:t>,</w:t>
      </w:r>
      <w:r w:rsidRPr="005C6DD6">
        <w:rPr>
          <w:rFonts w:asciiTheme="minorHAnsi" w:hAnsiTheme="minorHAnsi"/>
          <w:szCs w:val="24"/>
        </w:rPr>
        <w:t xml:space="preserve"> “Annual Refinery Report</w:t>
      </w:r>
      <w:r w:rsidR="00C84F62" w:rsidRPr="005C6DD6">
        <w:rPr>
          <w:rFonts w:asciiTheme="minorHAnsi" w:hAnsiTheme="minorHAnsi"/>
          <w:szCs w:val="24"/>
        </w:rPr>
        <w:t>,</w:t>
      </w:r>
      <w:r w:rsidRPr="005C6DD6">
        <w:rPr>
          <w:rFonts w:asciiTheme="minorHAnsi" w:hAnsiTheme="minorHAnsi"/>
          <w:szCs w:val="24"/>
        </w:rPr>
        <w:t>” provides plant-level data on refinery capacities</w:t>
      </w:r>
      <w:r w:rsidR="001B3261" w:rsidRPr="005C6DD6">
        <w:rPr>
          <w:rFonts w:asciiTheme="minorHAnsi" w:hAnsiTheme="minorHAnsi"/>
          <w:szCs w:val="24"/>
        </w:rPr>
        <w:t>,</w:t>
      </w:r>
      <w:r w:rsidRPr="005C6DD6">
        <w:rPr>
          <w:rFonts w:asciiTheme="minorHAnsi" w:hAnsiTheme="minorHAnsi"/>
          <w:szCs w:val="24"/>
        </w:rPr>
        <w:t xml:space="preserve"> as well as national and regional data on fuels consumed by refineries, natural gas consumed as hydrogen feedstock, and crude oil receipts</w:t>
      </w:r>
      <w:r w:rsidR="001B3261" w:rsidRPr="005C6DD6">
        <w:rPr>
          <w:rFonts w:asciiTheme="minorHAnsi" w:hAnsiTheme="minorHAnsi"/>
          <w:szCs w:val="24"/>
        </w:rPr>
        <w:t>,</w:t>
      </w:r>
      <w:r w:rsidRPr="005C6DD6">
        <w:rPr>
          <w:rFonts w:asciiTheme="minorHAnsi" w:hAnsiTheme="minorHAnsi"/>
          <w:szCs w:val="24"/>
        </w:rPr>
        <w:t xml:space="preserve"> by method of transportation for operating and idle petroleum refineries (including new refineries under construction), and refineries shut</w:t>
      </w:r>
      <w:r w:rsidR="00366B75" w:rsidRPr="005C6DD6">
        <w:rPr>
          <w:rFonts w:asciiTheme="minorHAnsi" w:hAnsiTheme="minorHAnsi"/>
          <w:szCs w:val="24"/>
        </w:rPr>
        <w:t xml:space="preserve"> </w:t>
      </w:r>
      <w:r w:rsidRPr="005C6DD6">
        <w:rPr>
          <w:rFonts w:asciiTheme="minorHAnsi" w:hAnsiTheme="minorHAnsi"/>
          <w:szCs w:val="24"/>
        </w:rPr>
        <w:t xml:space="preserve">down during the previous year. </w:t>
      </w:r>
      <w:r w:rsidR="00C84F62" w:rsidRPr="005C6DD6">
        <w:rPr>
          <w:rFonts w:asciiTheme="minorHAnsi" w:hAnsiTheme="minorHAnsi"/>
          <w:szCs w:val="24"/>
        </w:rPr>
        <w:t xml:space="preserve"> </w:t>
      </w:r>
      <w:r w:rsidRPr="005C6DD6">
        <w:rPr>
          <w:rFonts w:asciiTheme="minorHAnsi" w:hAnsiTheme="minorHAnsi"/>
          <w:szCs w:val="24"/>
        </w:rPr>
        <w:t xml:space="preserve">The information collected appears in the </w:t>
      </w:r>
      <w:r w:rsidRPr="005C6DD6">
        <w:rPr>
          <w:rFonts w:asciiTheme="minorHAnsi" w:hAnsiTheme="minorHAnsi"/>
          <w:i/>
          <w:szCs w:val="24"/>
        </w:rPr>
        <w:t xml:space="preserve">Refinery Capacity Report, </w:t>
      </w:r>
      <w:hyperlink r:id="rId23" w:history="1">
        <w:r w:rsidRPr="005C6DD6">
          <w:rPr>
            <w:rStyle w:val="Hyperlink"/>
            <w:rFonts w:asciiTheme="minorHAnsi" w:hAnsiTheme="minorHAnsi"/>
            <w:i/>
            <w:szCs w:val="24"/>
          </w:rPr>
          <w:t>http://www.eia.gov/petroleum/refinerycapacity/</w:t>
        </w:r>
      </w:hyperlink>
      <w:r w:rsidR="006851DC" w:rsidRPr="005C6DD6">
        <w:rPr>
          <w:rFonts w:asciiTheme="minorHAnsi" w:hAnsiTheme="minorHAnsi"/>
          <w:szCs w:val="24"/>
        </w:rPr>
        <w:t xml:space="preserve">, </w:t>
      </w:r>
      <w:r w:rsidRPr="005C6DD6">
        <w:rPr>
          <w:rFonts w:asciiTheme="minorHAnsi" w:hAnsiTheme="minorHAnsi"/>
          <w:szCs w:val="24"/>
        </w:rPr>
        <w:t>Annual Energy Review</w:t>
      </w:r>
      <w:r w:rsidRPr="005C6DD6">
        <w:rPr>
          <w:rFonts w:asciiTheme="minorHAnsi" w:hAnsiTheme="minorHAnsi"/>
          <w:i/>
          <w:szCs w:val="24"/>
        </w:rPr>
        <w:t xml:space="preserve">, </w:t>
      </w:r>
      <w:hyperlink r:id="rId24" w:history="1">
        <w:r w:rsidR="00F42DDE" w:rsidRPr="005C6DD6">
          <w:rPr>
            <w:rStyle w:val="Hyperlink"/>
            <w:rFonts w:asciiTheme="minorHAnsi" w:hAnsiTheme="minorHAnsi"/>
            <w:i/>
            <w:szCs w:val="24"/>
          </w:rPr>
          <w:t>http://www.eia.gov/totalenergy/data/annual/index.cfm</w:t>
        </w:r>
      </w:hyperlink>
      <w:r w:rsidR="00F42DDE" w:rsidRPr="005C6DD6">
        <w:rPr>
          <w:rFonts w:asciiTheme="minorHAnsi" w:hAnsiTheme="minorHAnsi"/>
          <w:i/>
          <w:szCs w:val="24"/>
        </w:rPr>
        <w:t xml:space="preserve">, </w:t>
      </w:r>
      <w:r w:rsidRPr="005C6DD6">
        <w:rPr>
          <w:rFonts w:asciiTheme="minorHAnsi" w:hAnsiTheme="minorHAnsi"/>
          <w:szCs w:val="24"/>
        </w:rPr>
        <w:t xml:space="preserve">and other reports available electronically from the EIA web site at </w:t>
      </w:r>
      <w:hyperlink r:id="rId25" w:history="1">
        <w:r w:rsidRPr="005C6DD6">
          <w:rPr>
            <w:rFonts w:asciiTheme="minorHAnsi" w:hAnsiTheme="minorHAnsi"/>
            <w:szCs w:val="24"/>
          </w:rPr>
          <w:t>http://www.eia.gov</w:t>
        </w:r>
      </w:hyperlink>
      <w:r w:rsidRPr="005C6DD6">
        <w:rPr>
          <w:rFonts w:asciiTheme="minorHAnsi" w:hAnsiTheme="minorHAnsi"/>
          <w:szCs w:val="24"/>
        </w:rPr>
        <w:t>.</w:t>
      </w:r>
    </w:p>
    <w:p w14:paraId="2BF1E1A5" w14:textId="77777777" w:rsidR="000C651B" w:rsidRPr="005C6DD6" w:rsidRDefault="003B6A8F" w:rsidP="00B7681A">
      <w:pPr>
        <w:pStyle w:val="Heading1"/>
        <w:rPr>
          <w:rFonts w:asciiTheme="minorHAnsi" w:hAnsiTheme="minorHAnsi"/>
          <w:sz w:val="24"/>
          <w:szCs w:val="24"/>
        </w:rPr>
      </w:pPr>
      <w:bookmarkStart w:id="2" w:name="_Toc442088377"/>
      <w:r w:rsidRPr="005C6DD6">
        <w:rPr>
          <w:rFonts w:asciiTheme="minorHAnsi" w:hAnsiTheme="minorHAnsi"/>
          <w:sz w:val="24"/>
          <w:szCs w:val="24"/>
        </w:rPr>
        <w:t>JUSTIFICATION</w:t>
      </w:r>
      <w:bookmarkEnd w:id="2"/>
    </w:p>
    <w:p w14:paraId="796A4BFB" w14:textId="77777777" w:rsidR="000C651B" w:rsidRPr="005C6DD6" w:rsidRDefault="003B6A8F" w:rsidP="00B7681A">
      <w:pPr>
        <w:pStyle w:val="Heading2"/>
        <w:rPr>
          <w:rFonts w:asciiTheme="minorHAnsi" w:hAnsiTheme="minorHAnsi"/>
        </w:rPr>
      </w:pPr>
      <w:bookmarkStart w:id="3" w:name="_Toc442088378"/>
      <w:r w:rsidRPr="005C6DD6">
        <w:rPr>
          <w:rFonts w:asciiTheme="minorHAnsi" w:hAnsiTheme="minorHAnsi"/>
        </w:rPr>
        <w:t>Legal Authority</w:t>
      </w:r>
      <w:bookmarkEnd w:id="3"/>
    </w:p>
    <w:p w14:paraId="7DF1E29A" w14:textId="77777777" w:rsidR="000C651B" w:rsidRPr="005C6DD6" w:rsidRDefault="000C651B" w:rsidP="00B7681A">
      <w:pPr>
        <w:spacing w:after="0" w:afterAutospacing="0"/>
        <w:jc w:val="left"/>
        <w:rPr>
          <w:rFonts w:asciiTheme="minorHAnsi" w:hAnsiTheme="minorHAnsi"/>
          <w:szCs w:val="24"/>
        </w:rPr>
      </w:pPr>
      <w:r w:rsidRPr="005C6DD6">
        <w:rPr>
          <w:rFonts w:asciiTheme="minorHAnsi" w:hAnsiTheme="minorHAnsi"/>
          <w:szCs w:val="24"/>
        </w:rPr>
        <w:t>The authority for these data collections is provided by the following provisions:</w:t>
      </w:r>
    </w:p>
    <w:p w14:paraId="438F290D" w14:textId="77777777" w:rsidR="000C651B" w:rsidRPr="005C6DD6" w:rsidRDefault="003D691C" w:rsidP="00B7681A">
      <w:pPr>
        <w:spacing w:before="120" w:beforeAutospacing="0" w:after="0" w:afterAutospacing="0"/>
        <w:jc w:val="left"/>
        <w:rPr>
          <w:rFonts w:asciiTheme="minorHAnsi" w:hAnsiTheme="minorHAnsi"/>
          <w:szCs w:val="24"/>
        </w:rPr>
      </w:pPr>
      <w:r w:rsidRPr="005C6DD6">
        <w:rPr>
          <w:rFonts w:asciiTheme="minorHAnsi" w:hAnsiTheme="minorHAnsi"/>
          <w:szCs w:val="24"/>
        </w:rPr>
        <w:t xml:space="preserve">15 U.S.C. §772(b), </w:t>
      </w:r>
      <w:r w:rsidR="003553C2" w:rsidRPr="005C6DD6">
        <w:rPr>
          <w:rFonts w:asciiTheme="minorHAnsi" w:hAnsiTheme="minorHAnsi"/>
          <w:szCs w:val="24"/>
        </w:rPr>
        <w:t xml:space="preserve">Section 13(b) </w:t>
      </w:r>
      <w:r w:rsidRPr="005C6DD6">
        <w:rPr>
          <w:rFonts w:asciiTheme="minorHAnsi" w:hAnsiTheme="minorHAnsi"/>
          <w:szCs w:val="24"/>
        </w:rPr>
        <w:t xml:space="preserve">of the Federal Energy Administration Act of 1974 (FEA Act), Public Law 93-275, outlines the types of individuals subject to the information collection </w:t>
      </w:r>
      <w:r w:rsidRPr="005C6DD6">
        <w:rPr>
          <w:rFonts w:asciiTheme="minorHAnsi" w:hAnsiTheme="minorHAnsi"/>
          <w:szCs w:val="24"/>
        </w:rPr>
        <w:lastRenderedPageBreak/>
        <w:t>authority delegated to the [Secretary] and the general parameters of the type of data which can be required.  Section 772(b) states:</w:t>
      </w:r>
    </w:p>
    <w:p w14:paraId="6626C258" w14:textId="77777777" w:rsidR="000C651B" w:rsidRPr="005C6DD6" w:rsidRDefault="000C651B" w:rsidP="00B7681A">
      <w:pPr>
        <w:spacing w:before="120" w:beforeAutospacing="0"/>
        <w:ind w:left="720"/>
        <w:jc w:val="left"/>
        <w:rPr>
          <w:rFonts w:asciiTheme="minorHAnsi" w:hAnsiTheme="minorHAnsi"/>
          <w:szCs w:val="24"/>
        </w:rPr>
      </w:pPr>
      <w:r w:rsidRPr="005C6DD6">
        <w:rPr>
          <w:rFonts w:asciiTheme="minorHAnsi" w:hAnsiTheme="minorHAnsi"/>
          <w:szCs w:val="24"/>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exercise of functions under the Act.”</w:t>
      </w:r>
    </w:p>
    <w:p w14:paraId="77FA9603" w14:textId="77777777" w:rsidR="003D691C" w:rsidRPr="005C6DD6" w:rsidRDefault="003D691C" w:rsidP="00B7681A">
      <w:pPr>
        <w:spacing w:after="0" w:afterAutospacing="0"/>
        <w:jc w:val="left"/>
        <w:rPr>
          <w:rFonts w:asciiTheme="minorHAnsi" w:hAnsiTheme="minorHAnsi"/>
          <w:szCs w:val="24"/>
        </w:rPr>
      </w:pPr>
      <w:r w:rsidRPr="005C6DD6">
        <w:rPr>
          <w:rFonts w:asciiTheme="minorHAnsi" w:hAnsiTheme="minorHAnsi"/>
          <w:szCs w:val="24"/>
        </w:rPr>
        <w:t xml:space="preserve">The functions of the FEA Act are set forth in 15 U.S.C. §764(b), of the FEA Act, which states that the Administrator shall, to the extent he is authorized by Section 764(a) of the FEA Act, </w:t>
      </w:r>
    </w:p>
    <w:p w14:paraId="6359EE71" w14:textId="77777777" w:rsidR="000C651B" w:rsidRPr="005C6DD6" w:rsidRDefault="000A4D98" w:rsidP="00B7681A">
      <w:pPr>
        <w:spacing w:before="120" w:beforeAutospacing="0" w:after="0" w:afterAutospacing="0"/>
        <w:ind w:left="720"/>
        <w:jc w:val="left"/>
        <w:rPr>
          <w:rFonts w:asciiTheme="minorHAnsi" w:hAnsiTheme="minorHAnsi"/>
          <w:color w:val="000000"/>
          <w:szCs w:val="24"/>
        </w:rPr>
      </w:pPr>
      <w:r w:rsidRPr="005C6DD6">
        <w:rPr>
          <w:rFonts w:asciiTheme="minorHAnsi" w:hAnsiTheme="minorHAnsi"/>
          <w:szCs w:val="24"/>
        </w:rPr>
        <w:t>“</w:t>
      </w:r>
      <w:r w:rsidR="000C651B" w:rsidRPr="005C6DD6">
        <w:rPr>
          <w:rFonts w:asciiTheme="minorHAnsi" w:hAnsiTheme="minorHAnsi"/>
          <w:szCs w:val="24"/>
        </w:rPr>
        <w:t>(2) assess the adequacy of energy resources to meet demands in the immediate and longer range future for all sectors of the economy and for the general public</w:t>
      </w:r>
      <w:r w:rsidR="000C651B" w:rsidRPr="005C6DD6">
        <w:rPr>
          <w:rFonts w:asciiTheme="minorHAnsi" w:hAnsiTheme="minorHAnsi"/>
          <w:color w:val="000000"/>
          <w:szCs w:val="24"/>
        </w:rPr>
        <w:t>;</w:t>
      </w:r>
      <w:r w:rsidR="00876CB7" w:rsidRPr="005C6DD6">
        <w:rPr>
          <w:rFonts w:asciiTheme="minorHAnsi" w:hAnsiTheme="minorHAnsi"/>
          <w:szCs w:val="24"/>
        </w:rPr>
        <w:t xml:space="preserve"> ...</w:t>
      </w:r>
    </w:p>
    <w:p w14:paraId="0C1D60E9"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 xml:space="preserve">(4) </w:t>
      </w:r>
      <w:r w:rsidR="00876CB7" w:rsidRPr="005C6DD6">
        <w:rPr>
          <w:rFonts w:asciiTheme="minorHAnsi" w:hAnsiTheme="minorHAnsi"/>
          <w:szCs w:val="24"/>
        </w:rPr>
        <w:t>...</w:t>
      </w:r>
      <w:r w:rsidRPr="005C6DD6">
        <w:rPr>
          <w:rFonts w:asciiTheme="minorHAnsi" w:hAnsiTheme="minorHAnsi"/>
          <w:szCs w:val="24"/>
        </w:rPr>
        <w:t>develop plans and programs for dealing with energy production shortages;</w:t>
      </w:r>
    </w:p>
    <w:p w14:paraId="5E1B87C9"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(5) promote stability in energy prices to the consumer, promote free and open competition in all aspects of the energy field, prevent unreasonable profits within the various segments of the energy industry, and promote free enterprise;</w:t>
      </w:r>
    </w:p>
    <w:p w14:paraId="61350C40"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(6) assure that energy programs are designed and implemented in a fair and efficient manner so as to minimize hardship and inequity while assuring that the priority needs of the Nation are met;...</w:t>
      </w:r>
    </w:p>
    <w:p w14:paraId="4B23D21C"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 xml:space="preserve">(9) </w:t>
      </w:r>
      <w:r w:rsidR="00876CB7" w:rsidRPr="005C6DD6">
        <w:rPr>
          <w:rFonts w:asciiTheme="minorHAnsi" w:hAnsiTheme="minorHAnsi"/>
          <w:szCs w:val="24"/>
        </w:rPr>
        <w:t>...</w:t>
      </w:r>
      <w:r w:rsidRPr="005C6DD6">
        <w:rPr>
          <w:rFonts w:asciiTheme="minorHAnsi" w:hAnsiTheme="minorHAnsi"/>
          <w:szCs w:val="24"/>
        </w:rPr>
        <w:t>collect, evaluate, assemble, and analyze energy information on reserves, production, de</w:t>
      </w:r>
      <w:r w:rsidR="001802BA" w:rsidRPr="005C6DD6">
        <w:rPr>
          <w:rFonts w:asciiTheme="minorHAnsi" w:hAnsiTheme="minorHAnsi"/>
          <w:szCs w:val="24"/>
        </w:rPr>
        <w:t>mand, and related economic data.”</w:t>
      </w:r>
    </w:p>
    <w:p w14:paraId="3840545D" w14:textId="77777777" w:rsidR="003D691C" w:rsidRPr="005C6DD6" w:rsidRDefault="003D691C" w:rsidP="00B7681A">
      <w:pPr>
        <w:spacing w:after="0" w:afterAutospacing="0"/>
        <w:jc w:val="left"/>
        <w:rPr>
          <w:rFonts w:asciiTheme="minorHAnsi" w:hAnsiTheme="minorHAnsi"/>
          <w:szCs w:val="24"/>
        </w:rPr>
      </w:pPr>
      <w:r w:rsidRPr="005C6DD6">
        <w:rPr>
          <w:rFonts w:asciiTheme="minorHAnsi" w:hAnsiTheme="minorHAnsi"/>
          <w:szCs w:val="24"/>
        </w:rPr>
        <w:t>As the authority for invoking Section 764(b)</w:t>
      </w:r>
      <w:r w:rsidR="00876CB7" w:rsidRPr="005C6DD6">
        <w:rPr>
          <w:rFonts w:asciiTheme="minorHAnsi" w:hAnsiTheme="minorHAnsi"/>
          <w:szCs w:val="24"/>
        </w:rPr>
        <w:t>, above</w:t>
      </w:r>
      <w:r w:rsidRPr="005C6DD6">
        <w:rPr>
          <w:rFonts w:asciiTheme="minorHAnsi" w:hAnsiTheme="minorHAnsi"/>
          <w:szCs w:val="24"/>
        </w:rPr>
        <w:t>, 15 U.S.C. §764(a), of the FEA Act</w:t>
      </w:r>
      <w:r w:rsidR="00876CB7" w:rsidRPr="005C6DD6">
        <w:rPr>
          <w:rFonts w:asciiTheme="minorHAnsi" w:hAnsiTheme="minorHAnsi"/>
          <w:szCs w:val="24"/>
        </w:rPr>
        <w:t>,</w:t>
      </w:r>
      <w:r w:rsidRPr="005C6DD6">
        <w:rPr>
          <w:rFonts w:asciiTheme="minorHAnsi" w:hAnsiTheme="minorHAnsi"/>
          <w:szCs w:val="24"/>
        </w:rPr>
        <w:t xml:space="preserve"> in turn</w:t>
      </w:r>
      <w:r w:rsidR="00876CB7" w:rsidRPr="005C6DD6">
        <w:rPr>
          <w:rFonts w:asciiTheme="minorHAnsi" w:hAnsiTheme="minorHAnsi"/>
          <w:szCs w:val="24"/>
        </w:rPr>
        <w:t>,</w:t>
      </w:r>
      <w:r w:rsidRPr="005C6DD6">
        <w:rPr>
          <w:rFonts w:asciiTheme="minorHAnsi" w:hAnsiTheme="minorHAnsi"/>
          <w:szCs w:val="24"/>
        </w:rPr>
        <w:t xml:space="preserve"> states:</w:t>
      </w:r>
    </w:p>
    <w:p w14:paraId="16F1459C" w14:textId="77777777" w:rsidR="000C651B" w:rsidRPr="005C6DD6" w:rsidRDefault="000A4D98"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w:t>
      </w:r>
      <w:r w:rsidR="000C651B" w:rsidRPr="005C6DD6">
        <w:rPr>
          <w:rFonts w:asciiTheme="minorHAnsi" w:hAnsiTheme="minorHAnsi"/>
          <w:szCs w:val="24"/>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rsidR="003D691C" w:rsidRPr="005C6DD6">
        <w:rPr>
          <w:rFonts w:asciiTheme="minorHAnsi" w:hAnsiTheme="minorHAnsi"/>
          <w:szCs w:val="24"/>
        </w:rPr>
        <w:t>:</w:t>
      </w:r>
    </w:p>
    <w:p w14:paraId="410832A3" w14:textId="77777777" w:rsidR="000C651B" w:rsidRPr="005C6DD6" w:rsidRDefault="000C651B" w:rsidP="00B7681A">
      <w:pPr>
        <w:spacing w:before="120" w:beforeAutospacing="0" w:after="0" w:afterAutospacing="0"/>
        <w:ind w:firstLine="720"/>
        <w:jc w:val="left"/>
        <w:rPr>
          <w:rFonts w:asciiTheme="minorHAnsi" w:hAnsiTheme="minorHAnsi"/>
          <w:szCs w:val="24"/>
        </w:rPr>
      </w:pPr>
      <w:r w:rsidRPr="005C6DD6">
        <w:rPr>
          <w:rFonts w:asciiTheme="minorHAnsi" w:hAnsiTheme="minorHAnsi"/>
          <w:szCs w:val="24"/>
        </w:rPr>
        <w:t>(1) specifically transferred to or vested in</w:t>
      </w:r>
      <w:r w:rsidR="000A4D98" w:rsidRPr="005C6DD6">
        <w:rPr>
          <w:rFonts w:asciiTheme="minorHAnsi" w:hAnsiTheme="minorHAnsi"/>
          <w:szCs w:val="24"/>
        </w:rPr>
        <w:t xml:space="preserve"> him by or pursuant to this Act: </w:t>
      </w:r>
      <w:r w:rsidR="00876CB7" w:rsidRPr="005C6DD6">
        <w:rPr>
          <w:rFonts w:asciiTheme="minorHAnsi" w:hAnsiTheme="minorHAnsi"/>
          <w:szCs w:val="24"/>
        </w:rPr>
        <w:t>...</w:t>
      </w:r>
    </w:p>
    <w:p w14:paraId="728B5D32"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 xml:space="preserve">(3) </w:t>
      </w:r>
      <w:r w:rsidR="00876CB7" w:rsidRPr="005C6DD6">
        <w:rPr>
          <w:rFonts w:asciiTheme="minorHAnsi" w:hAnsiTheme="minorHAnsi"/>
          <w:szCs w:val="24"/>
        </w:rPr>
        <w:t>...</w:t>
      </w:r>
      <w:r w:rsidRPr="005C6DD6">
        <w:rPr>
          <w:rFonts w:asciiTheme="minorHAnsi" w:hAnsiTheme="minorHAnsi"/>
          <w:szCs w:val="24"/>
        </w:rPr>
        <w:t xml:space="preserve">otherwise specifically vested in the </w:t>
      </w:r>
      <w:r w:rsidR="003D691C" w:rsidRPr="005C6DD6">
        <w:rPr>
          <w:rFonts w:asciiTheme="minorHAnsi" w:hAnsiTheme="minorHAnsi"/>
          <w:szCs w:val="24"/>
        </w:rPr>
        <w:t>Administrator</w:t>
      </w:r>
      <w:r w:rsidRPr="005C6DD6">
        <w:rPr>
          <w:rFonts w:asciiTheme="minorHAnsi" w:hAnsiTheme="minorHAnsi"/>
          <w:szCs w:val="24"/>
        </w:rPr>
        <w:t xml:space="preserve"> by the Congress.</w:t>
      </w:r>
      <w:r w:rsidR="000A4D98" w:rsidRPr="005C6DD6">
        <w:rPr>
          <w:rFonts w:asciiTheme="minorHAnsi" w:hAnsiTheme="minorHAnsi"/>
          <w:szCs w:val="24"/>
        </w:rPr>
        <w:t>”</w:t>
      </w:r>
    </w:p>
    <w:p w14:paraId="67833A07" w14:textId="77777777" w:rsidR="000C651B" w:rsidRPr="005C6DD6" w:rsidRDefault="003D691C" w:rsidP="00B7681A">
      <w:pPr>
        <w:jc w:val="left"/>
        <w:rPr>
          <w:rFonts w:asciiTheme="minorHAnsi" w:hAnsiTheme="minorHAnsi"/>
          <w:szCs w:val="24"/>
        </w:rPr>
      </w:pPr>
      <w:r w:rsidRPr="005C6DD6">
        <w:rPr>
          <w:rFonts w:asciiTheme="minorHAnsi" w:hAnsiTheme="minorHAnsi"/>
          <w:szCs w:val="24"/>
        </w:rPr>
        <w:lastRenderedPageBreak/>
        <w:t>Additional authority for this information collection is provided by 15 U.S.C. §790a of the FEA Act, which states that the Administrator:</w:t>
      </w:r>
    </w:p>
    <w:p w14:paraId="305609EB" w14:textId="77777777" w:rsidR="000C651B" w:rsidRPr="005C6DD6" w:rsidRDefault="001802BA"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w:t>
      </w:r>
      <w:r w:rsidR="00AF10BE" w:rsidRPr="005C6DD6">
        <w:rPr>
          <w:rFonts w:asciiTheme="minorHAnsi" w:hAnsiTheme="minorHAnsi"/>
          <w:szCs w:val="24"/>
        </w:rPr>
        <w:t>...</w:t>
      </w:r>
      <w:r w:rsidRPr="005C6DD6">
        <w:rPr>
          <w:rFonts w:asciiTheme="minorHAnsi" w:hAnsiTheme="minorHAnsi"/>
          <w:szCs w:val="24"/>
        </w:rPr>
        <w:t xml:space="preserve"> [Shall] es</w:t>
      </w:r>
      <w:r w:rsidR="000C651B" w:rsidRPr="005C6DD6">
        <w:rPr>
          <w:rFonts w:asciiTheme="minorHAnsi" w:hAnsiTheme="minorHAnsi"/>
          <w:szCs w:val="24"/>
        </w:rPr>
        <w:t>tablish a National Energy Information System</w:t>
      </w:r>
      <w:r w:rsidRPr="005C6DD6">
        <w:rPr>
          <w:rFonts w:asciiTheme="minorHAnsi" w:hAnsiTheme="minorHAnsi"/>
          <w:szCs w:val="24"/>
        </w:rPr>
        <w:t xml:space="preserve"> </w:t>
      </w:r>
      <w:r w:rsidR="00AF10BE" w:rsidRPr="005C6DD6">
        <w:rPr>
          <w:rFonts w:asciiTheme="minorHAnsi" w:hAnsiTheme="minorHAnsi"/>
          <w:szCs w:val="24"/>
        </w:rPr>
        <w:t>...</w:t>
      </w:r>
      <w:r w:rsidRPr="005C6DD6">
        <w:rPr>
          <w:rFonts w:asciiTheme="minorHAnsi" w:hAnsiTheme="minorHAnsi"/>
          <w:szCs w:val="24"/>
        </w:rPr>
        <w:t xml:space="preserve"> [which] shall </w:t>
      </w:r>
      <w:r w:rsidR="000C651B" w:rsidRPr="005C6DD6">
        <w:rPr>
          <w:rFonts w:asciiTheme="minorHAnsi" w:hAnsiTheme="minorHAnsi"/>
          <w:szCs w:val="24"/>
        </w:rPr>
        <w:t>contain such information as is required to provide a description of and facilitate analysis of energy supply and consumption within and affecting the United States on the basis of such geographic areas and economic sectors as may be appropriate ...</w:t>
      </w:r>
    </w:p>
    <w:p w14:paraId="6FC73B02"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 xml:space="preserve">(b) </w:t>
      </w:r>
      <w:r w:rsidR="00AF10BE" w:rsidRPr="005C6DD6">
        <w:rPr>
          <w:rFonts w:asciiTheme="minorHAnsi" w:hAnsiTheme="minorHAnsi"/>
          <w:szCs w:val="24"/>
        </w:rPr>
        <w:t>...</w:t>
      </w:r>
      <w:r w:rsidRPr="005C6DD6">
        <w:rPr>
          <w:rFonts w:asciiTheme="minorHAnsi" w:hAnsiTheme="minorHAnsi"/>
          <w:szCs w:val="24"/>
        </w:rPr>
        <w:t>At a minimum, the System shall contain such energy information as is necessary to carry out the Administration's statistical and forecasting activities, and shall include, such energy information as is required to define and permit analysis of:</w:t>
      </w:r>
    </w:p>
    <w:p w14:paraId="492FB63C"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(1) the institutional structure of the energy supply system including patterns of ownership and control of mineral fuel and nonmineral energy resources and the production, distribution, and marketing of mineral fuels and electricity;</w:t>
      </w:r>
    </w:p>
    <w:p w14:paraId="466EF509"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(2) the consumption of mineral fuels, nonmineral energy resources, and electricity by such classes, sectors, and regions as may be appropriate for the purposes of this Act;...</w:t>
      </w:r>
    </w:p>
    <w:p w14:paraId="29BB40EC" w14:textId="77777777" w:rsidR="000C651B" w:rsidRPr="005C6DD6" w:rsidRDefault="000C651B" w:rsidP="00B7681A">
      <w:pPr>
        <w:spacing w:before="120" w:beforeAutospacing="0" w:after="0" w:afterAutospacing="0"/>
        <w:ind w:left="720"/>
        <w:jc w:val="left"/>
        <w:rPr>
          <w:rFonts w:asciiTheme="minorHAnsi" w:hAnsiTheme="minorHAnsi"/>
          <w:szCs w:val="24"/>
        </w:rPr>
      </w:pPr>
      <w:r w:rsidRPr="005C6DD6">
        <w:rPr>
          <w:rFonts w:asciiTheme="minorHAnsi" w:hAnsiTheme="minorHAnsi"/>
          <w:szCs w:val="24"/>
        </w:rPr>
        <w:t xml:space="preserve">(5) </w:t>
      </w:r>
      <w:r w:rsidR="00AF10BE" w:rsidRPr="005C6DD6">
        <w:rPr>
          <w:rFonts w:asciiTheme="minorHAnsi" w:hAnsiTheme="minorHAnsi"/>
          <w:szCs w:val="24"/>
        </w:rPr>
        <w:t>...</w:t>
      </w:r>
      <w:r w:rsidRPr="005C6DD6">
        <w:rPr>
          <w:rFonts w:asciiTheme="minorHAnsi" w:hAnsiTheme="minorHAnsi"/>
          <w:szCs w:val="24"/>
        </w:rPr>
        <w:t>industrial, labor, and regional impacts of changes and patterns of energy supply and consumption.</w:t>
      </w:r>
      <w:r w:rsidR="001802BA" w:rsidRPr="005C6DD6">
        <w:rPr>
          <w:rFonts w:asciiTheme="minorHAnsi" w:hAnsiTheme="minorHAnsi"/>
          <w:szCs w:val="24"/>
        </w:rPr>
        <w:t>”</w:t>
      </w:r>
    </w:p>
    <w:p w14:paraId="0FB671BB" w14:textId="77777777" w:rsidR="000C651B" w:rsidRPr="005C6DD6" w:rsidRDefault="001802BA" w:rsidP="00B7681A">
      <w:pPr>
        <w:pStyle w:val="Heading2"/>
        <w:rPr>
          <w:rFonts w:asciiTheme="minorHAnsi" w:hAnsiTheme="minorHAnsi"/>
        </w:rPr>
      </w:pPr>
      <w:bookmarkStart w:id="4" w:name="_Toc442088379"/>
      <w:r w:rsidRPr="005C6DD6">
        <w:rPr>
          <w:rFonts w:asciiTheme="minorHAnsi" w:hAnsiTheme="minorHAnsi"/>
        </w:rPr>
        <w:t>Needs and Uses of Data</w:t>
      </w:r>
      <w:bookmarkEnd w:id="4"/>
    </w:p>
    <w:p w14:paraId="6535DE29" w14:textId="77777777" w:rsidR="004C31D5" w:rsidRPr="005C6DD6" w:rsidRDefault="000C651B" w:rsidP="00B7681A">
      <w:pPr>
        <w:spacing w:before="120" w:beforeAutospacing="0"/>
        <w:jc w:val="left"/>
        <w:rPr>
          <w:rFonts w:asciiTheme="minorHAnsi" w:hAnsiTheme="minorHAnsi"/>
          <w:szCs w:val="24"/>
        </w:rPr>
      </w:pPr>
      <w:r w:rsidRPr="005C6DD6">
        <w:rPr>
          <w:rFonts w:asciiTheme="minorHAnsi" w:hAnsiTheme="minorHAnsi"/>
          <w:szCs w:val="24"/>
        </w:rPr>
        <w:t xml:space="preserve">The purpose of the </w:t>
      </w:r>
      <w:r w:rsidR="000865D3" w:rsidRPr="005C6DD6">
        <w:rPr>
          <w:rFonts w:asciiTheme="minorHAnsi" w:hAnsiTheme="minorHAnsi"/>
          <w:szCs w:val="24"/>
        </w:rPr>
        <w:t>P</w:t>
      </w:r>
      <w:r w:rsidRPr="005C6DD6">
        <w:rPr>
          <w:rFonts w:asciiTheme="minorHAnsi" w:hAnsiTheme="minorHAnsi"/>
          <w:szCs w:val="24"/>
        </w:rPr>
        <w:t>SRS package</w:t>
      </w:r>
      <w:r w:rsidR="000F39B9" w:rsidRPr="005C6DD6">
        <w:rPr>
          <w:rFonts w:asciiTheme="minorHAnsi" w:hAnsiTheme="minorHAnsi"/>
          <w:szCs w:val="24"/>
        </w:rPr>
        <w:t xml:space="preserve"> of surveys</w:t>
      </w:r>
      <w:r w:rsidRPr="005C6DD6">
        <w:rPr>
          <w:rFonts w:asciiTheme="minorHAnsi" w:hAnsiTheme="minorHAnsi"/>
          <w:szCs w:val="24"/>
        </w:rPr>
        <w:t xml:space="preserve"> is to collect detailed </w:t>
      </w:r>
      <w:r w:rsidR="00020C25" w:rsidRPr="005C6DD6">
        <w:rPr>
          <w:rFonts w:asciiTheme="minorHAnsi" w:hAnsiTheme="minorHAnsi"/>
          <w:szCs w:val="24"/>
        </w:rPr>
        <w:t xml:space="preserve">petroleum industry </w:t>
      </w:r>
      <w:r w:rsidRPr="005C6DD6">
        <w:rPr>
          <w:rFonts w:asciiTheme="minorHAnsi" w:hAnsiTheme="minorHAnsi"/>
          <w:szCs w:val="24"/>
        </w:rPr>
        <w:t xml:space="preserve">data to meet EIA’s mandates and energy data users’ needs for credible, reliable, and timely energy information.  </w:t>
      </w:r>
      <w:r w:rsidR="007D30AC" w:rsidRPr="005C6DD6">
        <w:rPr>
          <w:rFonts w:asciiTheme="minorHAnsi" w:hAnsiTheme="minorHAnsi"/>
          <w:szCs w:val="24"/>
        </w:rPr>
        <w:t>D</w:t>
      </w:r>
      <w:r w:rsidRPr="005C6DD6">
        <w:rPr>
          <w:rFonts w:asciiTheme="minorHAnsi" w:hAnsiTheme="minorHAnsi"/>
          <w:szCs w:val="24"/>
        </w:rPr>
        <w:t xml:space="preserve">ata on production, receipts, inputs, movements, and stocks of crude oil, petroleum products, natural gas </w:t>
      </w:r>
      <w:r w:rsidR="009F79B5" w:rsidRPr="005C6DD6">
        <w:rPr>
          <w:rFonts w:asciiTheme="minorHAnsi" w:hAnsiTheme="minorHAnsi"/>
          <w:szCs w:val="24"/>
        </w:rPr>
        <w:t xml:space="preserve">plant </w:t>
      </w:r>
      <w:r w:rsidRPr="005C6DD6">
        <w:rPr>
          <w:rFonts w:asciiTheme="minorHAnsi" w:hAnsiTheme="minorHAnsi"/>
          <w:szCs w:val="24"/>
        </w:rPr>
        <w:t>liquids</w:t>
      </w:r>
      <w:r w:rsidR="009F79B5" w:rsidRPr="005C6DD6">
        <w:rPr>
          <w:rFonts w:asciiTheme="minorHAnsi" w:hAnsiTheme="minorHAnsi"/>
          <w:szCs w:val="24"/>
        </w:rPr>
        <w:t>, and related biofuels</w:t>
      </w:r>
      <w:r w:rsidRPr="005C6DD6">
        <w:rPr>
          <w:rFonts w:asciiTheme="minorHAnsi" w:hAnsiTheme="minorHAnsi"/>
          <w:szCs w:val="24"/>
        </w:rPr>
        <w:t xml:space="preserve"> in the United States</w:t>
      </w:r>
      <w:r w:rsidR="007D30AC" w:rsidRPr="005C6DD6">
        <w:rPr>
          <w:rFonts w:asciiTheme="minorHAnsi" w:hAnsiTheme="minorHAnsi"/>
          <w:szCs w:val="24"/>
        </w:rPr>
        <w:t xml:space="preserve"> is required to adequately evaluate the petroleum industry</w:t>
      </w:r>
      <w:r w:rsidR="004967E9" w:rsidRPr="005C6DD6">
        <w:rPr>
          <w:rFonts w:asciiTheme="minorHAnsi" w:hAnsiTheme="minorHAnsi"/>
          <w:szCs w:val="24"/>
        </w:rPr>
        <w:t>.</w:t>
      </w:r>
    </w:p>
    <w:p w14:paraId="5E98B2D2" w14:textId="77777777" w:rsidR="004967E9" w:rsidRPr="005C6DD6" w:rsidRDefault="004967E9" w:rsidP="00B7681A">
      <w:pPr>
        <w:spacing w:before="120" w:beforeAutospacing="0" w:after="0" w:afterAutospacing="0"/>
        <w:jc w:val="left"/>
        <w:rPr>
          <w:rFonts w:asciiTheme="minorHAnsi" w:hAnsiTheme="minorHAnsi"/>
          <w:szCs w:val="24"/>
        </w:rPr>
      </w:pPr>
      <w:r w:rsidRPr="005C6DD6">
        <w:rPr>
          <w:rFonts w:asciiTheme="minorHAnsi" w:hAnsiTheme="minorHAnsi"/>
          <w:szCs w:val="24"/>
        </w:rPr>
        <w:t>The need for information from the PSRS data collection can be described, as follows:</w:t>
      </w:r>
    </w:p>
    <w:p w14:paraId="2310F9A8" w14:textId="77777777" w:rsidR="004967E9" w:rsidRPr="005C6DD6" w:rsidRDefault="000C651B" w:rsidP="00B7681A">
      <w:pPr>
        <w:pStyle w:val="ListParagraph"/>
        <w:numPr>
          <w:ilvl w:val="0"/>
          <w:numId w:val="9"/>
        </w:numPr>
        <w:spacing w:before="120" w:beforeAutospacing="0" w:after="0" w:afterAutospacing="0"/>
        <w:contextualSpacing w:val="0"/>
        <w:jc w:val="left"/>
        <w:rPr>
          <w:rFonts w:asciiTheme="minorHAnsi" w:hAnsiTheme="minorHAnsi"/>
          <w:sz w:val="24"/>
          <w:szCs w:val="24"/>
        </w:rPr>
      </w:pPr>
      <w:r w:rsidRPr="005C6DD6">
        <w:rPr>
          <w:rFonts w:asciiTheme="minorHAnsi" w:hAnsiTheme="minorHAnsi"/>
          <w:sz w:val="24"/>
          <w:szCs w:val="24"/>
        </w:rPr>
        <w:t xml:space="preserve">The data that </w:t>
      </w:r>
      <w:r w:rsidR="001802BA" w:rsidRPr="005C6DD6">
        <w:rPr>
          <w:rFonts w:asciiTheme="minorHAnsi" w:hAnsiTheme="minorHAnsi"/>
          <w:sz w:val="24"/>
          <w:szCs w:val="24"/>
        </w:rPr>
        <w:t>EIA</w:t>
      </w:r>
      <w:r w:rsidRPr="005C6DD6">
        <w:rPr>
          <w:rFonts w:asciiTheme="minorHAnsi" w:hAnsiTheme="minorHAnsi"/>
          <w:sz w:val="24"/>
          <w:szCs w:val="24"/>
        </w:rPr>
        <w:t xml:space="preserve"> collects are used to address significant energy industry issues.</w:t>
      </w:r>
    </w:p>
    <w:p w14:paraId="5D4673ED" w14:textId="77777777" w:rsidR="000C651B" w:rsidRPr="005C6DD6" w:rsidRDefault="000C651B" w:rsidP="00B7681A">
      <w:pPr>
        <w:spacing w:before="60" w:beforeAutospacing="0"/>
        <w:ind w:left="1080"/>
        <w:jc w:val="left"/>
        <w:rPr>
          <w:rFonts w:asciiTheme="minorHAnsi" w:hAnsiTheme="minorHAnsi"/>
          <w:szCs w:val="24"/>
        </w:rPr>
      </w:pPr>
      <w:r w:rsidRPr="005C6DD6">
        <w:rPr>
          <w:rFonts w:asciiTheme="minorHAnsi" w:hAnsiTheme="minorHAnsi"/>
          <w:szCs w:val="24"/>
        </w:rPr>
        <w:t xml:space="preserve">In line with its mandated responsibility to collect data that adequately describe the petroleum supply marketplace, </w:t>
      </w:r>
      <w:r w:rsidR="001802BA" w:rsidRPr="005C6DD6">
        <w:rPr>
          <w:rFonts w:asciiTheme="minorHAnsi" w:hAnsiTheme="minorHAnsi"/>
          <w:szCs w:val="24"/>
        </w:rPr>
        <w:t>EIA</w:t>
      </w:r>
      <w:r w:rsidRPr="005C6DD6">
        <w:rPr>
          <w:rFonts w:asciiTheme="minorHAnsi" w:hAnsiTheme="minorHAnsi"/>
          <w:szCs w:val="24"/>
        </w:rPr>
        <w:t xml:space="preserve"> has been and will continue to be asked to evaluate the significance of a number of important issues related to the energy industry</w:t>
      </w:r>
      <w:r w:rsidR="007D30AC" w:rsidRPr="005C6DD6">
        <w:rPr>
          <w:rFonts w:asciiTheme="minorHAnsi" w:hAnsiTheme="minorHAnsi"/>
          <w:szCs w:val="24"/>
        </w:rPr>
        <w:t>,</w:t>
      </w:r>
      <w:r w:rsidRPr="005C6DD6">
        <w:rPr>
          <w:rFonts w:asciiTheme="minorHAnsi" w:hAnsiTheme="minorHAnsi"/>
          <w:szCs w:val="24"/>
        </w:rPr>
        <w:t xml:space="preserve"> in general</w:t>
      </w:r>
      <w:r w:rsidR="007D30AC" w:rsidRPr="005C6DD6">
        <w:rPr>
          <w:rFonts w:asciiTheme="minorHAnsi" w:hAnsiTheme="minorHAnsi"/>
          <w:szCs w:val="24"/>
        </w:rPr>
        <w:t>,</w:t>
      </w:r>
      <w:r w:rsidRPr="005C6DD6">
        <w:rPr>
          <w:rFonts w:asciiTheme="minorHAnsi" w:hAnsiTheme="minorHAnsi"/>
          <w:szCs w:val="24"/>
        </w:rPr>
        <w:t xml:space="preserve"> and the petroleum </w:t>
      </w:r>
      <w:r w:rsidR="009F79B5" w:rsidRPr="005C6DD6">
        <w:rPr>
          <w:rFonts w:asciiTheme="minorHAnsi" w:hAnsiTheme="minorHAnsi"/>
          <w:szCs w:val="24"/>
        </w:rPr>
        <w:t xml:space="preserve">and biofuels </w:t>
      </w:r>
      <w:r w:rsidRPr="005C6DD6">
        <w:rPr>
          <w:rFonts w:asciiTheme="minorHAnsi" w:hAnsiTheme="minorHAnsi"/>
          <w:szCs w:val="24"/>
        </w:rPr>
        <w:t>supply industr</w:t>
      </w:r>
      <w:r w:rsidR="009F79B5" w:rsidRPr="005C6DD6">
        <w:rPr>
          <w:rFonts w:asciiTheme="minorHAnsi" w:hAnsiTheme="minorHAnsi"/>
          <w:szCs w:val="24"/>
        </w:rPr>
        <w:t>ies</w:t>
      </w:r>
      <w:r w:rsidR="007D30AC" w:rsidRPr="005C6DD6">
        <w:rPr>
          <w:rFonts w:asciiTheme="minorHAnsi" w:hAnsiTheme="minorHAnsi"/>
          <w:szCs w:val="24"/>
        </w:rPr>
        <w:t>,</w:t>
      </w:r>
      <w:r w:rsidRPr="005C6DD6">
        <w:rPr>
          <w:rFonts w:asciiTheme="minorHAnsi" w:hAnsiTheme="minorHAnsi"/>
          <w:szCs w:val="24"/>
        </w:rPr>
        <w:t xml:space="preserve"> in particular.  The data collected by the P</w:t>
      </w:r>
      <w:r w:rsidR="00CD6A62" w:rsidRPr="005C6DD6">
        <w:rPr>
          <w:rFonts w:asciiTheme="minorHAnsi" w:hAnsiTheme="minorHAnsi"/>
          <w:szCs w:val="24"/>
        </w:rPr>
        <w:t>SRS sur</w:t>
      </w:r>
      <w:r w:rsidRPr="005C6DD6">
        <w:rPr>
          <w:rFonts w:asciiTheme="minorHAnsi" w:hAnsiTheme="minorHAnsi"/>
          <w:szCs w:val="24"/>
        </w:rPr>
        <w:t xml:space="preserve">veys are among those </w:t>
      </w:r>
      <w:r w:rsidR="007D30AC" w:rsidRPr="005C6DD6">
        <w:rPr>
          <w:rFonts w:asciiTheme="minorHAnsi" w:hAnsiTheme="minorHAnsi"/>
          <w:szCs w:val="24"/>
        </w:rPr>
        <w:t xml:space="preserve">data </w:t>
      </w:r>
      <w:r w:rsidRPr="005C6DD6">
        <w:rPr>
          <w:rFonts w:asciiTheme="minorHAnsi" w:hAnsiTheme="minorHAnsi"/>
          <w:szCs w:val="24"/>
        </w:rPr>
        <w:t>that are required to address these issues.</w:t>
      </w:r>
    </w:p>
    <w:p w14:paraId="72DA3964" w14:textId="77777777" w:rsidR="004967E9" w:rsidRPr="005C6DD6" w:rsidRDefault="001802BA" w:rsidP="00B7681A">
      <w:pPr>
        <w:pStyle w:val="ListParagraph"/>
        <w:numPr>
          <w:ilvl w:val="0"/>
          <w:numId w:val="9"/>
        </w:numPr>
        <w:spacing w:after="0" w:afterAutospacing="0"/>
        <w:contextualSpacing w:val="0"/>
        <w:jc w:val="left"/>
        <w:rPr>
          <w:rFonts w:asciiTheme="minorHAnsi" w:hAnsiTheme="minorHAnsi"/>
          <w:sz w:val="24"/>
          <w:szCs w:val="24"/>
        </w:rPr>
      </w:pPr>
      <w:r w:rsidRPr="005C6DD6">
        <w:rPr>
          <w:rFonts w:asciiTheme="minorHAnsi" w:hAnsiTheme="minorHAnsi"/>
          <w:sz w:val="24"/>
          <w:szCs w:val="24"/>
        </w:rPr>
        <w:lastRenderedPageBreak/>
        <w:t xml:space="preserve">Alternative </w:t>
      </w:r>
      <w:r w:rsidR="000C651B" w:rsidRPr="005C6DD6">
        <w:rPr>
          <w:rFonts w:asciiTheme="minorHAnsi" w:hAnsiTheme="minorHAnsi"/>
          <w:sz w:val="24"/>
          <w:szCs w:val="24"/>
        </w:rPr>
        <w:t>data sources do not adequately satisfy the needs of EIA and its user communities.</w:t>
      </w:r>
    </w:p>
    <w:p w14:paraId="38D8998E" w14:textId="77777777" w:rsidR="000C651B" w:rsidRPr="005C6DD6" w:rsidRDefault="000C651B" w:rsidP="00B7681A">
      <w:pPr>
        <w:spacing w:before="60" w:beforeAutospacing="0"/>
        <w:ind w:left="1080"/>
        <w:jc w:val="left"/>
        <w:rPr>
          <w:rFonts w:asciiTheme="minorHAnsi" w:hAnsiTheme="minorHAnsi"/>
          <w:szCs w:val="24"/>
        </w:rPr>
      </w:pPr>
      <w:r w:rsidRPr="005C6DD6">
        <w:rPr>
          <w:rFonts w:asciiTheme="minorHAnsi" w:hAnsiTheme="minorHAnsi"/>
          <w:szCs w:val="24"/>
        </w:rPr>
        <w:t>Accurate, meaningful, and independent supply statistics are essential to describe and measure phenomena in the marketplace.  It is necessary that this information be collected by an unbiased, independent source, if the data are to be credible.</w:t>
      </w:r>
    </w:p>
    <w:p w14:paraId="6887A989"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Data from the forms in the P</w:t>
      </w:r>
      <w:r w:rsidR="00CD6A62" w:rsidRPr="005C6DD6">
        <w:rPr>
          <w:rFonts w:asciiTheme="minorHAnsi" w:hAnsiTheme="minorHAnsi"/>
          <w:szCs w:val="24"/>
        </w:rPr>
        <w:t xml:space="preserve">SRS </w:t>
      </w:r>
      <w:r w:rsidRPr="005C6DD6">
        <w:rPr>
          <w:rFonts w:asciiTheme="minorHAnsi" w:hAnsiTheme="minorHAnsi"/>
          <w:szCs w:val="24"/>
        </w:rPr>
        <w:t xml:space="preserve">are published or </w:t>
      </w:r>
      <w:r w:rsidR="00020C25" w:rsidRPr="005C6DD6">
        <w:rPr>
          <w:rFonts w:asciiTheme="minorHAnsi" w:hAnsiTheme="minorHAnsi"/>
          <w:szCs w:val="24"/>
        </w:rPr>
        <w:t xml:space="preserve">released on EIA’s website </w:t>
      </w:r>
      <w:r w:rsidRPr="005C6DD6">
        <w:rPr>
          <w:rFonts w:asciiTheme="minorHAnsi" w:hAnsiTheme="minorHAnsi"/>
          <w:szCs w:val="24"/>
        </w:rPr>
        <w:t>in the Weekly Petroleum Status Repo</w:t>
      </w:r>
      <w:r w:rsidR="00CD6A62" w:rsidRPr="005C6DD6">
        <w:rPr>
          <w:rFonts w:asciiTheme="minorHAnsi" w:hAnsiTheme="minorHAnsi"/>
          <w:szCs w:val="24"/>
        </w:rPr>
        <w:t>rt (WPSR)</w:t>
      </w:r>
      <w:r w:rsidRPr="005C6DD6">
        <w:rPr>
          <w:rFonts w:asciiTheme="minorHAnsi" w:hAnsiTheme="minorHAnsi"/>
          <w:szCs w:val="24"/>
        </w:rPr>
        <w:t>,</w:t>
      </w:r>
      <w:r w:rsidRPr="005C6DD6">
        <w:rPr>
          <w:rFonts w:asciiTheme="minorHAnsi" w:hAnsiTheme="minorHAnsi"/>
          <w:i/>
          <w:szCs w:val="24"/>
        </w:rPr>
        <w:t xml:space="preserve"> </w:t>
      </w:r>
      <w:r w:rsidRPr="005C6DD6">
        <w:rPr>
          <w:rFonts w:asciiTheme="minorHAnsi" w:hAnsiTheme="minorHAnsi"/>
          <w:szCs w:val="24"/>
        </w:rPr>
        <w:t>This Week in Petroleum</w:t>
      </w:r>
      <w:r w:rsidR="00CD6A62" w:rsidRPr="005C6DD6">
        <w:rPr>
          <w:rFonts w:asciiTheme="minorHAnsi" w:hAnsiTheme="minorHAnsi"/>
          <w:szCs w:val="24"/>
        </w:rPr>
        <w:t xml:space="preserve"> (TWIP)</w:t>
      </w:r>
      <w:r w:rsidRPr="005C6DD6">
        <w:rPr>
          <w:rFonts w:asciiTheme="minorHAnsi" w:hAnsiTheme="minorHAnsi"/>
          <w:szCs w:val="24"/>
        </w:rPr>
        <w:t>, Petroleum Supply Monthly</w:t>
      </w:r>
      <w:r w:rsidR="00CD6A62" w:rsidRPr="005C6DD6">
        <w:rPr>
          <w:rFonts w:asciiTheme="minorHAnsi" w:hAnsiTheme="minorHAnsi"/>
          <w:szCs w:val="24"/>
        </w:rPr>
        <w:t xml:space="preserve"> (PSM)</w:t>
      </w:r>
      <w:r w:rsidRPr="005C6DD6">
        <w:rPr>
          <w:rFonts w:asciiTheme="minorHAnsi" w:hAnsiTheme="minorHAnsi"/>
          <w:szCs w:val="24"/>
        </w:rPr>
        <w:t xml:space="preserve">, </w:t>
      </w:r>
      <w:r w:rsidR="00CD6A62" w:rsidRPr="005C6DD6">
        <w:rPr>
          <w:rFonts w:asciiTheme="minorHAnsi" w:hAnsiTheme="minorHAnsi"/>
          <w:szCs w:val="24"/>
        </w:rPr>
        <w:t>Petroleum Supply Annual (PSA)</w:t>
      </w:r>
      <w:r w:rsidRPr="005C6DD6">
        <w:rPr>
          <w:rFonts w:asciiTheme="minorHAnsi" w:hAnsiTheme="minorHAnsi"/>
          <w:szCs w:val="24"/>
        </w:rPr>
        <w:t>,</w:t>
      </w:r>
      <w:r w:rsidRPr="005C6DD6">
        <w:rPr>
          <w:rFonts w:asciiTheme="minorHAnsi" w:hAnsiTheme="minorHAnsi"/>
          <w:i/>
          <w:szCs w:val="24"/>
        </w:rPr>
        <w:t xml:space="preserve"> </w:t>
      </w:r>
      <w:r w:rsidRPr="005C6DD6">
        <w:rPr>
          <w:rFonts w:asciiTheme="minorHAnsi" w:hAnsiTheme="minorHAnsi"/>
          <w:szCs w:val="24"/>
        </w:rPr>
        <w:t>Monthly Energy Review</w:t>
      </w:r>
      <w:r w:rsidR="00CD6A62" w:rsidRPr="005C6DD6">
        <w:rPr>
          <w:rFonts w:asciiTheme="minorHAnsi" w:hAnsiTheme="minorHAnsi"/>
          <w:szCs w:val="24"/>
        </w:rPr>
        <w:t xml:space="preserve"> (MER)</w:t>
      </w:r>
      <w:r w:rsidRPr="005C6DD6">
        <w:rPr>
          <w:rFonts w:asciiTheme="minorHAnsi" w:hAnsiTheme="minorHAnsi"/>
          <w:szCs w:val="24"/>
        </w:rPr>
        <w:t>,</w:t>
      </w:r>
      <w:r w:rsidRPr="005C6DD6">
        <w:rPr>
          <w:rFonts w:asciiTheme="minorHAnsi" w:hAnsiTheme="minorHAnsi"/>
          <w:i/>
          <w:szCs w:val="24"/>
        </w:rPr>
        <w:t xml:space="preserve"> </w:t>
      </w:r>
      <w:r w:rsidRPr="005C6DD6">
        <w:rPr>
          <w:rFonts w:asciiTheme="minorHAnsi" w:hAnsiTheme="minorHAnsi"/>
          <w:szCs w:val="24"/>
        </w:rPr>
        <w:t>Annual Energy Review</w:t>
      </w:r>
      <w:r w:rsidR="00CD6A62" w:rsidRPr="005C6DD6">
        <w:rPr>
          <w:rFonts w:asciiTheme="minorHAnsi" w:hAnsiTheme="minorHAnsi"/>
          <w:szCs w:val="24"/>
        </w:rPr>
        <w:t xml:space="preserve"> (AER)</w:t>
      </w:r>
      <w:r w:rsidRPr="005C6DD6">
        <w:rPr>
          <w:rFonts w:asciiTheme="minorHAnsi" w:hAnsiTheme="minorHAnsi"/>
          <w:szCs w:val="24"/>
        </w:rPr>
        <w:t>, Short</w:t>
      </w:r>
      <w:r w:rsidRPr="005C6DD6">
        <w:rPr>
          <w:rFonts w:asciiTheme="minorHAnsi" w:hAnsiTheme="minorHAnsi"/>
          <w:szCs w:val="24"/>
        </w:rPr>
        <w:noBreakHyphen/>
        <w:t>Term Energy Outlook</w:t>
      </w:r>
      <w:r w:rsidR="00CD6A62" w:rsidRPr="005C6DD6">
        <w:rPr>
          <w:rFonts w:asciiTheme="minorHAnsi" w:hAnsiTheme="minorHAnsi"/>
          <w:szCs w:val="24"/>
        </w:rPr>
        <w:t xml:space="preserve"> (STEO)</w:t>
      </w:r>
      <w:r w:rsidRPr="005C6DD6">
        <w:rPr>
          <w:rFonts w:asciiTheme="minorHAnsi" w:hAnsiTheme="minorHAnsi"/>
          <w:szCs w:val="24"/>
        </w:rPr>
        <w:t>, Annual Energy Outlook</w:t>
      </w:r>
      <w:r w:rsidR="00CD6A62" w:rsidRPr="005C6DD6">
        <w:rPr>
          <w:rFonts w:asciiTheme="minorHAnsi" w:hAnsiTheme="minorHAnsi"/>
          <w:szCs w:val="24"/>
        </w:rPr>
        <w:t xml:space="preserve"> (AEO)</w:t>
      </w:r>
      <w:r w:rsidRPr="005C6DD6">
        <w:rPr>
          <w:rFonts w:asciiTheme="minorHAnsi" w:hAnsiTheme="minorHAnsi"/>
          <w:szCs w:val="24"/>
        </w:rPr>
        <w:t>,</w:t>
      </w:r>
      <w:r w:rsidR="00B410EB" w:rsidRPr="005C6DD6">
        <w:rPr>
          <w:rFonts w:asciiTheme="minorHAnsi" w:hAnsiTheme="minorHAnsi"/>
          <w:szCs w:val="24"/>
        </w:rPr>
        <w:t xml:space="preserve"> Refinery </w:t>
      </w:r>
      <w:r w:rsidR="0070041A" w:rsidRPr="005C6DD6">
        <w:rPr>
          <w:rFonts w:asciiTheme="minorHAnsi" w:hAnsiTheme="minorHAnsi"/>
          <w:szCs w:val="24"/>
        </w:rPr>
        <w:t>Capacity Report</w:t>
      </w:r>
      <w:r w:rsidR="00B410EB" w:rsidRPr="005C6DD6">
        <w:rPr>
          <w:rFonts w:asciiTheme="minorHAnsi" w:hAnsiTheme="minorHAnsi"/>
          <w:i/>
          <w:szCs w:val="24"/>
        </w:rPr>
        <w:t>,</w:t>
      </w:r>
      <w:r w:rsidRPr="005C6DD6">
        <w:rPr>
          <w:rFonts w:asciiTheme="minorHAnsi" w:hAnsiTheme="minorHAnsi"/>
          <w:szCs w:val="24"/>
        </w:rPr>
        <w:t xml:space="preserve"> and </w:t>
      </w:r>
      <w:r w:rsidR="001802BA" w:rsidRPr="005C6DD6">
        <w:rPr>
          <w:rFonts w:asciiTheme="minorHAnsi" w:hAnsiTheme="minorHAnsi"/>
          <w:szCs w:val="24"/>
        </w:rPr>
        <w:t>numerous other EIA products.</w:t>
      </w:r>
    </w:p>
    <w:p w14:paraId="377FDB84"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EIA’s petroleum supply program provides Congress, other government agencies, businesses, trade associations, and private research and consulting organizations with data for analysis, projections, and monitoring purposes.</w:t>
      </w:r>
    </w:p>
    <w:p w14:paraId="3F151C43"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Data collected weekly using Forms EIA-800</w:t>
      </w:r>
      <w:r w:rsidR="00F9390D" w:rsidRPr="005C6DD6">
        <w:rPr>
          <w:rFonts w:asciiTheme="minorHAnsi" w:hAnsiTheme="minorHAnsi"/>
          <w:szCs w:val="24"/>
        </w:rPr>
        <w:t>, 802</w:t>
      </w:r>
      <w:r w:rsidRPr="005C6DD6">
        <w:rPr>
          <w:rFonts w:asciiTheme="minorHAnsi" w:hAnsiTheme="minorHAnsi"/>
          <w:szCs w:val="24"/>
        </w:rPr>
        <w:t xml:space="preserve"> through</w:t>
      </w:r>
      <w:r w:rsidR="000F39B9" w:rsidRPr="005C6DD6">
        <w:rPr>
          <w:rFonts w:asciiTheme="minorHAnsi" w:hAnsiTheme="minorHAnsi"/>
          <w:szCs w:val="24"/>
        </w:rPr>
        <w:t xml:space="preserve"> 805 and</w:t>
      </w:r>
      <w:r w:rsidRPr="005C6DD6">
        <w:rPr>
          <w:rFonts w:asciiTheme="minorHAnsi" w:hAnsiTheme="minorHAnsi"/>
          <w:szCs w:val="24"/>
        </w:rPr>
        <w:t xml:space="preserve"> 80</w:t>
      </w:r>
      <w:r w:rsidR="009D07DF" w:rsidRPr="005C6DD6">
        <w:rPr>
          <w:rFonts w:asciiTheme="minorHAnsi" w:hAnsiTheme="minorHAnsi"/>
          <w:szCs w:val="24"/>
        </w:rPr>
        <w:t>9</w:t>
      </w:r>
      <w:r w:rsidRPr="005C6DD6">
        <w:rPr>
          <w:rFonts w:asciiTheme="minorHAnsi" w:hAnsiTheme="minorHAnsi"/>
          <w:szCs w:val="24"/>
        </w:rPr>
        <w:t xml:space="preserve"> </w:t>
      </w:r>
      <w:r w:rsidR="001418E3" w:rsidRPr="005C6DD6">
        <w:rPr>
          <w:rFonts w:asciiTheme="minorHAnsi" w:hAnsiTheme="minorHAnsi"/>
          <w:szCs w:val="24"/>
        </w:rPr>
        <w:t>are</w:t>
      </w:r>
      <w:r w:rsidRPr="005C6DD6">
        <w:rPr>
          <w:rFonts w:asciiTheme="minorHAnsi" w:hAnsiTheme="minorHAnsi"/>
          <w:szCs w:val="24"/>
        </w:rPr>
        <w:t xml:space="preserve"> similar</w:t>
      </w:r>
      <w:r w:rsidR="001418E3" w:rsidRPr="005C6DD6">
        <w:rPr>
          <w:rFonts w:asciiTheme="minorHAnsi" w:hAnsiTheme="minorHAnsi"/>
          <w:szCs w:val="24"/>
        </w:rPr>
        <w:t>,</w:t>
      </w:r>
      <w:r w:rsidRPr="005C6DD6">
        <w:rPr>
          <w:rFonts w:asciiTheme="minorHAnsi" w:hAnsiTheme="minorHAnsi"/>
          <w:szCs w:val="24"/>
        </w:rPr>
        <w:t xml:space="preserve"> although less detailed, than the data collected monthly using Forms EIA-810</w:t>
      </w:r>
      <w:r w:rsidR="009D07DF" w:rsidRPr="005C6DD6">
        <w:rPr>
          <w:rFonts w:asciiTheme="minorHAnsi" w:hAnsiTheme="minorHAnsi"/>
          <w:szCs w:val="24"/>
        </w:rPr>
        <w:t>, 812 through 816 and 819.</w:t>
      </w:r>
      <w:r w:rsidRPr="005C6DD6">
        <w:rPr>
          <w:rFonts w:asciiTheme="minorHAnsi" w:hAnsiTheme="minorHAnsi"/>
          <w:szCs w:val="24"/>
        </w:rPr>
        <w:t xml:space="preserve">  Respondents to the weekly surveys </w:t>
      </w:r>
      <w:r w:rsidR="001418E3" w:rsidRPr="005C6DD6">
        <w:rPr>
          <w:rFonts w:asciiTheme="minorHAnsi" w:hAnsiTheme="minorHAnsi"/>
          <w:szCs w:val="24"/>
        </w:rPr>
        <w:t xml:space="preserve">represent </w:t>
      </w:r>
      <w:r w:rsidRPr="005C6DD6">
        <w:rPr>
          <w:rFonts w:asciiTheme="minorHAnsi" w:hAnsiTheme="minorHAnsi"/>
          <w:szCs w:val="24"/>
        </w:rPr>
        <w:t>a sample of those reporting on the monthly surveys.  The Form EIA-81</w:t>
      </w:r>
      <w:r w:rsidR="00CD6A62" w:rsidRPr="005C6DD6">
        <w:rPr>
          <w:rFonts w:asciiTheme="minorHAnsi" w:hAnsiTheme="minorHAnsi"/>
          <w:szCs w:val="24"/>
        </w:rPr>
        <w:t xml:space="preserve">7 </w:t>
      </w:r>
      <w:r w:rsidR="009D07DF" w:rsidRPr="005C6DD6">
        <w:rPr>
          <w:rFonts w:asciiTheme="minorHAnsi" w:hAnsiTheme="minorHAnsi"/>
          <w:szCs w:val="24"/>
        </w:rPr>
        <w:t>is</w:t>
      </w:r>
      <w:r w:rsidRPr="005C6DD6">
        <w:rPr>
          <w:rFonts w:asciiTheme="minorHAnsi" w:hAnsiTheme="minorHAnsi"/>
          <w:szCs w:val="24"/>
        </w:rPr>
        <w:t xml:space="preserve"> also used to collect data</w:t>
      </w:r>
      <w:r w:rsidR="001418E3" w:rsidRPr="005C6DD6">
        <w:rPr>
          <w:rFonts w:asciiTheme="minorHAnsi" w:hAnsiTheme="minorHAnsi"/>
          <w:szCs w:val="24"/>
        </w:rPr>
        <w:t xml:space="preserve"> on a</w:t>
      </w:r>
      <w:r w:rsidRPr="005C6DD6">
        <w:rPr>
          <w:rFonts w:asciiTheme="minorHAnsi" w:hAnsiTheme="minorHAnsi"/>
          <w:szCs w:val="24"/>
        </w:rPr>
        <w:t xml:space="preserve"> monthly</w:t>
      </w:r>
      <w:r w:rsidR="001418E3" w:rsidRPr="005C6DD6">
        <w:rPr>
          <w:rFonts w:asciiTheme="minorHAnsi" w:hAnsiTheme="minorHAnsi"/>
          <w:szCs w:val="24"/>
        </w:rPr>
        <w:t xml:space="preserve"> basis</w:t>
      </w:r>
      <w:r w:rsidRPr="005C6DD6">
        <w:rPr>
          <w:rFonts w:asciiTheme="minorHAnsi" w:hAnsiTheme="minorHAnsi"/>
          <w:szCs w:val="24"/>
        </w:rPr>
        <w:t>.</w:t>
      </w:r>
    </w:p>
    <w:p w14:paraId="27EA10DB"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 xml:space="preserve">Data collected weekly appear in </w:t>
      </w:r>
      <w:r w:rsidR="000F39B9" w:rsidRPr="005C6DD6">
        <w:rPr>
          <w:rFonts w:asciiTheme="minorHAnsi" w:hAnsiTheme="minorHAnsi"/>
          <w:szCs w:val="24"/>
        </w:rPr>
        <w:t xml:space="preserve">the </w:t>
      </w:r>
      <w:r w:rsidRPr="005C6DD6">
        <w:rPr>
          <w:rFonts w:asciiTheme="minorHAnsi" w:hAnsiTheme="minorHAnsi"/>
          <w:szCs w:val="24"/>
        </w:rPr>
        <w:t>EIA publications WPSR and TWIP</w:t>
      </w:r>
      <w:r w:rsidRPr="005C6DD6">
        <w:rPr>
          <w:rFonts w:asciiTheme="minorHAnsi" w:hAnsiTheme="minorHAnsi"/>
          <w:i/>
          <w:szCs w:val="24"/>
        </w:rPr>
        <w:t xml:space="preserve"> </w:t>
      </w:r>
      <w:r w:rsidRPr="005C6DD6">
        <w:rPr>
          <w:rFonts w:asciiTheme="minorHAnsi" w:hAnsiTheme="minorHAnsi"/>
          <w:szCs w:val="24"/>
        </w:rPr>
        <w:t xml:space="preserve">on the </w:t>
      </w:r>
      <w:r w:rsidR="0009331A" w:rsidRPr="005C6DD6">
        <w:rPr>
          <w:rFonts w:asciiTheme="minorHAnsi" w:hAnsiTheme="minorHAnsi"/>
          <w:szCs w:val="24"/>
        </w:rPr>
        <w:t>Internet</w:t>
      </w:r>
      <w:r w:rsidRPr="005C6DD6">
        <w:rPr>
          <w:rFonts w:asciiTheme="minorHAnsi" w:hAnsiTheme="minorHAnsi"/>
          <w:szCs w:val="24"/>
        </w:rPr>
        <w:t xml:space="preserve">.  This summary of petroleum supply, demand, and inventories is the only </w:t>
      </w:r>
      <w:r w:rsidR="000F39B9" w:rsidRPr="005C6DD6">
        <w:rPr>
          <w:rFonts w:asciiTheme="minorHAnsi" w:hAnsiTheme="minorHAnsi"/>
          <w:szCs w:val="24"/>
        </w:rPr>
        <w:t xml:space="preserve">weekly </w:t>
      </w:r>
      <w:r w:rsidRPr="005C6DD6">
        <w:rPr>
          <w:rFonts w:asciiTheme="minorHAnsi" w:hAnsiTheme="minorHAnsi"/>
          <w:szCs w:val="24"/>
        </w:rPr>
        <w:t xml:space="preserve">government source of consistent data regarding the current </w:t>
      </w:r>
      <w:r w:rsidR="001418E3" w:rsidRPr="005C6DD6">
        <w:rPr>
          <w:rFonts w:asciiTheme="minorHAnsi" w:hAnsiTheme="minorHAnsi"/>
          <w:szCs w:val="24"/>
        </w:rPr>
        <w:t xml:space="preserve">status of petroleum </w:t>
      </w:r>
      <w:r w:rsidR="00EC79E0" w:rsidRPr="005C6DD6">
        <w:rPr>
          <w:rFonts w:asciiTheme="minorHAnsi" w:hAnsiTheme="minorHAnsi"/>
          <w:szCs w:val="24"/>
        </w:rPr>
        <w:t xml:space="preserve">supply and disposition </w:t>
      </w:r>
      <w:r w:rsidR="001418E3" w:rsidRPr="005C6DD6">
        <w:rPr>
          <w:rFonts w:asciiTheme="minorHAnsi" w:hAnsiTheme="minorHAnsi"/>
          <w:szCs w:val="24"/>
        </w:rPr>
        <w:t xml:space="preserve">in the </w:t>
      </w:r>
      <w:r w:rsidRPr="005C6DD6">
        <w:rPr>
          <w:rFonts w:asciiTheme="minorHAnsi" w:hAnsiTheme="minorHAnsi"/>
          <w:szCs w:val="24"/>
        </w:rPr>
        <w:t xml:space="preserve">United States.  The EIA instituted the WPSR in April 1979. </w:t>
      </w:r>
      <w:r w:rsidR="001418E3" w:rsidRPr="005C6DD6">
        <w:rPr>
          <w:rFonts w:asciiTheme="minorHAnsi" w:hAnsiTheme="minorHAnsi"/>
          <w:szCs w:val="24"/>
        </w:rPr>
        <w:t xml:space="preserve"> </w:t>
      </w:r>
      <w:r w:rsidRPr="005C6DD6">
        <w:rPr>
          <w:rFonts w:asciiTheme="minorHAnsi" w:hAnsiTheme="minorHAnsi"/>
          <w:szCs w:val="24"/>
        </w:rPr>
        <w:t>Th</w:t>
      </w:r>
      <w:r w:rsidR="001418E3" w:rsidRPr="005C6DD6">
        <w:rPr>
          <w:rFonts w:asciiTheme="minorHAnsi" w:hAnsiTheme="minorHAnsi"/>
          <w:szCs w:val="24"/>
        </w:rPr>
        <w:t>is</w:t>
      </w:r>
      <w:r w:rsidRPr="005C6DD6">
        <w:rPr>
          <w:rFonts w:asciiTheme="minorHAnsi" w:hAnsiTheme="minorHAnsi"/>
          <w:szCs w:val="24"/>
        </w:rPr>
        <w:t xml:space="preserve"> report was designed to provide prompt information during gasoline shortages</w:t>
      </w:r>
      <w:r w:rsidR="001418E3" w:rsidRPr="005C6DD6">
        <w:rPr>
          <w:rFonts w:asciiTheme="minorHAnsi" w:hAnsiTheme="minorHAnsi"/>
          <w:szCs w:val="24"/>
        </w:rPr>
        <w:t>, wh</w:t>
      </w:r>
      <w:r w:rsidR="002169C4" w:rsidRPr="005C6DD6">
        <w:rPr>
          <w:rFonts w:asciiTheme="minorHAnsi" w:hAnsiTheme="minorHAnsi"/>
          <w:szCs w:val="24"/>
        </w:rPr>
        <w:t xml:space="preserve">ich </w:t>
      </w:r>
      <w:r w:rsidR="001418E3" w:rsidRPr="005C6DD6">
        <w:rPr>
          <w:rFonts w:asciiTheme="minorHAnsi" w:hAnsiTheme="minorHAnsi"/>
          <w:szCs w:val="24"/>
        </w:rPr>
        <w:t>resulted</w:t>
      </w:r>
      <w:r w:rsidRPr="005C6DD6">
        <w:rPr>
          <w:rFonts w:asciiTheme="minorHAnsi" w:hAnsiTheme="minorHAnsi"/>
          <w:szCs w:val="24"/>
        </w:rPr>
        <w:t xml:space="preserve"> from </w:t>
      </w:r>
      <w:r w:rsidR="00EC79E0" w:rsidRPr="005C6DD6">
        <w:rPr>
          <w:rFonts w:asciiTheme="minorHAnsi" w:hAnsiTheme="minorHAnsi"/>
          <w:szCs w:val="24"/>
        </w:rPr>
        <w:t xml:space="preserve">oil supply disruptions related to </w:t>
      </w:r>
      <w:r w:rsidRPr="005C6DD6">
        <w:rPr>
          <w:rFonts w:asciiTheme="minorHAnsi" w:hAnsiTheme="minorHAnsi"/>
          <w:szCs w:val="24"/>
        </w:rPr>
        <w:t xml:space="preserve">the revolution in Iran.  Since then, the report has informed a wide audience of the overall </w:t>
      </w:r>
      <w:r w:rsidR="001418E3" w:rsidRPr="005C6DD6">
        <w:rPr>
          <w:rFonts w:asciiTheme="minorHAnsi" w:hAnsiTheme="minorHAnsi"/>
          <w:szCs w:val="24"/>
        </w:rPr>
        <w:t>status of petroleum in the U.S.</w:t>
      </w:r>
      <w:r w:rsidRPr="005C6DD6">
        <w:rPr>
          <w:rFonts w:asciiTheme="minorHAnsi" w:hAnsiTheme="minorHAnsi"/>
          <w:szCs w:val="24"/>
        </w:rPr>
        <w:t xml:space="preserve"> on a very timely basis with consistent, well-understood, and verifiable data.  The TWIP was instituted in 2002 as a means to provide data, graphs, and analys</w:t>
      </w:r>
      <w:r w:rsidR="000F39B9" w:rsidRPr="005C6DD6">
        <w:rPr>
          <w:rFonts w:asciiTheme="minorHAnsi" w:hAnsiTheme="minorHAnsi"/>
          <w:szCs w:val="24"/>
        </w:rPr>
        <w:t>e</w:t>
      </w:r>
      <w:r w:rsidRPr="005C6DD6">
        <w:rPr>
          <w:rFonts w:asciiTheme="minorHAnsi" w:hAnsiTheme="minorHAnsi"/>
          <w:szCs w:val="24"/>
        </w:rPr>
        <w:t xml:space="preserve">s about petroleum supply and prices on the </w:t>
      </w:r>
      <w:r w:rsidR="0009331A" w:rsidRPr="005C6DD6">
        <w:rPr>
          <w:rFonts w:asciiTheme="minorHAnsi" w:hAnsiTheme="minorHAnsi"/>
          <w:szCs w:val="24"/>
        </w:rPr>
        <w:t>Internet</w:t>
      </w:r>
      <w:r w:rsidRPr="005C6DD6">
        <w:rPr>
          <w:rFonts w:asciiTheme="minorHAnsi" w:hAnsiTheme="minorHAnsi"/>
          <w:szCs w:val="24"/>
        </w:rPr>
        <w:t>.</w:t>
      </w:r>
    </w:p>
    <w:p w14:paraId="59956538"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 xml:space="preserve">The </w:t>
      </w:r>
      <w:r w:rsidR="00F51682" w:rsidRPr="005C6DD6">
        <w:rPr>
          <w:rFonts w:asciiTheme="minorHAnsi" w:hAnsiTheme="minorHAnsi"/>
          <w:szCs w:val="24"/>
        </w:rPr>
        <w:t>availability of e</w:t>
      </w:r>
      <w:r w:rsidRPr="005C6DD6">
        <w:rPr>
          <w:rFonts w:asciiTheme="minorHAnsi" w:hAnsiTheme="minorHAnsi"/>
          <w:szCs w:val="24"/>
        </w:rPr>
        <w:t xml:space="preserve">lectronic access </w:t>
      </w:r>
      <w:r w:rsidR="00F51682" w:rsidRPr="005C6DD6">
        <w:rPr>
          <w:rFonts w:asciiTheme="minorHAnsi" w:hAnsiTheme="minorHAnsi"/>
          <w:szCs w:val="24"/>
        </w:rPr>
        <w:t xml:space="preserve">to </w:t>
      </w:r>
      <w:r w:rsidRPr="005C6DD6">
        <w:rPr>
          <w:rFonts w:asciiTheme="minorHAnsi" w:hAnsiTheme="minorHAnsi"/>
          <w:szCs w:val="24"/>
        </w:rPr>
        <w:t xml:space="preserve">the WPSR and the TWIP has </w:t>
      </w:r>
      <w:r w:rsidR="00F51682" w:rsidRPr="005C6DD6">
        <w:rPr>
          <w:rFonts w:asciiTheme="minorHAnsi" w:hAnsiTheme="minorHAnsi"/>
          <w:szCs w:val="24"/>
        </w:rPr>
        <w:t>promoted at least</w:t>
      </w:r>
      <w:r w:rsidR="00A61F75" w:rsidRPr="005C6DD6">
        <w:rPr>
          <w:rFonts w:asciiTheme="minorHAnsi" w:hAnsiTheme="minorHAnsi"/>
          <w:szCs w:val="24"/>
        </w:rPr>
        <w:t xml:space="preserve"> </w:t>
      </w:r>
      <w:r w:rsidR="008C21EA" w:rsidRPr="005C6DD6">
        <w:rPr>
          <w:rFonts w:asciiTheme="minorHAnsi" w:hAnsiTheme="minorHAnsi"/>
          <w:szCs w:val="24"/>
        </w:rPr>
        <w:t>1 million</w:t>
      </w:r>
      <w:r w:rsidR="00A61F75" w:rsidRPr="005C6DD6">
        <w:rPr>
          <w:rFonts w:asciiTheme="minorHAnsi" w:hAnsiTheme="minorHAnsi"/>
          <w:szCs w:val="24"/>
        </w:rPr>
        <w:t xml:space="preserve"> </w:t>
      </w:r>
      <w:r w:rsidR="00F51682" w:rsidRPr="005C6DD6">
        <w:rPr>
          <w:rFonts w:asciiTheme="minorHAnsi" w:hAnsiTheme="minorHAnsi"/>
          <w:szCs w:val="24"/>
        </w:rPr>
        <w:t xml:space="preserve">views of the data, </w:t>
      </w:r>
      <w:r w:rsidR="00A61F75" w:rsidRPr="005C6DD6">
        <w:rPr>
          <w:rFonts w:asciiTheme="minorHAnsi" w:hAnsiTheme="minorHAnsi"/>
          <w:szCs w:val="24"/>
        </w:rPr>
        <w:t>annually</w:t>
      </w:r>
      <w:r w:rsidRPr="005C6DD6">
        <w:rPr>
          <w:rFonts w:asciiTheme="minorHAnsi" w:hAnsiTheme="minorHAnsi"/>
          <w:szCs w:val="24"/>
        </w:rPr>
        <w:t xml:space="preserve">.  Customers of the WPSR and the TWIP represent </w:t>
      </w:r>
      <w:r w:rsidR="005534FE" w:rsidRPr="005C6DD6">
        <w:rPr>
          <w:rFonts w:asciiTheme="minorHAnsi" w:hAnsiTheme="minorHAnsi"/>
          <w:szCs w:val="24"/>
        </w:rPr>
        <w:t>f</w:t>
      </w:r>
      <w:r w:rsidRPr="005C6DD6">
        <w:rPr>
          <w:rFonts w:asciiTheme="minorHAnsi" w:hAnsiTheme="minorHAnsi"/>
          <w:szCs w:val="24"/>
        </w:rPr>
        <w:t xml:space="preserve">ederal and </w:t>
      </w:r>
      <w:r w:rsidR="005534FE" w:rsidRPr="005C6DD6">
        <w:rPr>
          <w:rFonts w:asciiTheme="minorHAnsi" w:hAnsiTheme="minorHAnsi"/>
          <w:szCs w:val="24"/>
        </w:rPr>
        <w:t>s</w:t>
      </w:r>
      <w:r w:rsidRPr="005C6DD6">
        <w:rPr>
          <w:rFonts w:asciiTheme="minorHAnsi" w:hAnsiTheme="minorHAnsi"/>
          <w:szCs w:val="24"/>
        </w:rPr>
        <w:t>tate government energy staffs, managers and analysts with the petroleum, financial, and other industries</w:t>
      </w:r>
      <w:r w:rsidR="00FF130F" w:rsidRPr="005C6DD6">
        <w:rPr>
          <w:rFonts w:asciiTheme="minorHAnsi" w:hAnsiTheme="minorHAnsi"/>
          <w:szCs w:val="24"/>
        </w:rPr>
        <w:t xml:space="preserve">, the news media, </w:t>
      </w:r>
      <w:r w:rsidRPr="005C6DD6">
        <w:rPr>
          <w:rFonts w:asciiTheme="minorHAnsi" w:hAnsiTheme="minorHAnsi"/>
          <w:szCs w:val="24"/>
        </w:rPr>
        <w:t xml:space="preserve">and diverse groups in the general public.  Data are used within the EIA as a source of current information required to develop meaningful supply and demand forecasts published monthly in the </w:t>
      </w:r>
      <w:r w:rsidR="00924CD3" w:rsidRPr="005C6DD6">
        <w:rPr>
          <w:rFonts w:asciiTheme="minorHAnsi" w:hAnsiTheme="minorHAnsi"/>
          <w:szCs w:val="24"/>
        </w:rPr>
        <w:t>Short-Term Energy Outlook (</w:t>
      </w:r>
      <w:r w:rsidRPr="005C6DD6">
        <w:rPr>
          <w:rFonts w:asciiTheme="minorHAnsi" w:hAnsiTheme="minorHAnsi"/>
          <w:szCs w:val="24"/>
        </w:rPr>
        <w:t>STEO</w:t>
      </w:r>
      <w:r w:rsidR="00924CD3" w:rsidRPr="005C6DD6">
        <w:rPr>
          <w:rFonts w:asciiTheme="minorHAnsi" w:hAnsiTheme="minorHAnsi"/>
          <w:szCs w:val="24"/>
        </w:rPr>
        <w:t>)</w:t>
      </w:r>
      <w:r w:rsidRPr="005C6DD6">
        <w:rPr>
          <w:rFonts w:asciiTheme="minorHAnsi" w:hAnsiTheme="minorHAnsi"/>
          <w:szCs w:val="24"/>
        </w:rPr>
        <w:t>.  The</w:t>
      </w:r>
      <w:r w:rsidR="007666D2" w:rsidRPr="005C6DD6">
        <w:rPr>
          <w:rFonts w:asciiTheme="minorHAnsi" w:hAnsiTheme="minorHAnsi"/>
          <w:szCs w:val="24"/>
        </w:rPr>
        <w:t>se data</w:t>
      </w:r>
      <w:r w:rsidRPr="005C6DD6">
        <w:rPr>
          <w:rFonts w:asciiTheme="minorHAnsi" w:hAnsiTheme="minorHAnsi"/>
          <w:szCs w:val="24"/>
        </w:rPr>
        <w:t xml:space="preserve"> are also used in a similar manner to provide timely information for United States petroleum supply </w:t>
      </w:r>
      <w:r w:rsidRPr="005C6DD6">
        <w:rPr>
          <w:rFonts w:asciiTheme="minorHAnsi" w:hAnsiTheme="minorHAnsi"/>
          <w:szCs w:val="24"/>
        </w:rPr>
        <w:lastRenderedPageBreak/>
        <w:t xml:space="preserve">forecasts </w:t>
      </w:r>
      <w:r w:rsidR="007666D2" w:rsidRPr="005C6DD6">
        <w:rPr>
          <w:rFonts w:asciiTheme="minorHAnsi" w:hAnsiTheme="minorHAnsi"/>
          <w:szCs w:val="24"/>
        </w:rPr>
        <w:t xml:space="preserve">each month </w:t>
      </w:r>
      <w:r w:rsidRPr="005C6DD6">
        <w:rPr>
          <w:rFonts w:asciiTheme="minorHAnsi" w:hAnsiTheme="minorHAnsi"/>
          <w:szCs w:val="24"/>
        </w:rPr>
        <w:t>to the International Energy Agency (IEA).</w:t>
      </w:r>
    </w:p>
    <w:p w14:paraId="5358F002" w14:textId="77777777" w:rsidR="000C651B" w:rsidRPr="005C6DD6" w:rsidRDefault="001B2841" w:rsidP="00B7681A">
      <w:pPr>
        <w:jc w:val="left"/>
        <w:rPr>
          <w:rFonts w:asciiTheme="minorHAnsi" w:hAnsiTheme="minorHAnsi"/>
          <w:szCs w:val="24"/>
        </w:rPr>
      </w:pPr>
      <w:r w:rsidRPr="005C6DD6">
        <w:rPr>
          <w:rFonts w:asciiTheme="minorHAnsi" w:hAnsiTheme="minorHAnsi"/>
          <w:szCs w:val="24"/>
        </w:rPr>
        <w:t>Providing Web-based o</w:t>
      </w:r>
      <w:r w:rsidR="000C651B" w:rsidRPr="005C6DD6">
        <w:rPr>
          <w:rFonts w:asciiTheme="minorHAnsi" w:hAnsiTheme="minorHAnsi"/>
          <w:szCs w:val="24"/>
        </w:rPr>
        <w:t xml:space="preserve">utput </w:t>
      </w:r>
      <w:r w:rsidRPr="005C6DD6">
        <w:rPr>
          <w:rFonts w:asciiTheme="minorHAnsi" w:hAnsiTheme="minorHAnsi"/>
          <w:szCs w:val="24"/>
        </w:rPr>
        <w:t xml:space="preserve">from </w:t>
      </w:r>
      <w:r w:rsidR="000C651B" w:rsidRPr="005C6DD6">
        <w:rPr>
          <w:rFonts w:asciiTheme="minorHAnsi" w:hAnsiTheme="minorHAnsi"/>
          <w:szCs w:val="24"/>
        </w:rPr>
        <w:t xml:space="preserve">the WPSR and the TWIP has reduced the number of ad hoc requests to EIA for current petroleum supply information, ensured consistency in the supply information which is provided to the public, and acted as a deterrent to undue reaction to isolated </w:t>
      </w:r>
      <w:r w:rsidRPr="005C6DD6">
        <w:rPr>
          <w:rFonts w:asciiTheme="minorHAnsi" w:hAnsiTheme="minorHAnsi"/>
          <w:szCs w:val="24"/>
        </w:rPr>
        <w:t xml:space="preserve">petroleum </w:t>
      </w:r>
      <w:r w:rsidR="000C651B" w:rsidRPr="005C6DD6">
        <w:rPr>
          <w:rFonts w:asciiTheme="minorHAnsi" w:hAnsiTheme="minorHAnsi"/>
          <w:szCs w:val="24"/>
        </w:rPr>
        <w:t xml:space="preserve">supply problems.  The WPSR and the TWIP are well-regarded by customers </w:t>
      </w:r>
      <w:r w:rsidR="00020C25" w:rsidRPr="005C6DD6">
        <w:rPr>
          <w:rFonts w:asciiTheme="minorHAnsi" w:hAnsiTheme="minorHAnsi"/>
          <w:szCs w:val="24"/>
        </w:rPr>
        <w:t xml:space="preserve">and </w:t>
      </w:r>
      <w:r w:rsidR="000C651B" w:rsidRPr="005C6DD6">
        <w:rPr>
          <w:rFonts w:asciiTheme="minorHAnsi" w:hAnsiTheme="minorHAnsi"/>
          <w:szCs w:val="24"/>
        </w:rPr>
        <w:t xml:space="preserve">have become necessary </w:t>
      </w:r>
      <w:r w:rsidR="00921B4C" w:rsidRPr="005C6DD6">
        <w:rPr>
          <w:rFonts w:asciiTheme="minorHAnsi" w:hAnsiTheme="minorHAnsi"/>
          <w:szCs w:val="24"/>
        </w:rPr>
        <w:t>i</w:t>
      </w:r>
      <w:r w:rsidR="00020C25" w:rsidRPr="005C6DD6">
        <w:rPr>
          <w:rFonts w:asciiTheme="minorHAnsi" w:hAnsiTheme="minorHAnsi"/>
          <w:szCs w:val="24"/>
        </w:rPr>
        <w:t xml:space="preserve">nformation and analytical </w:t>
      </w:r>
      <w:r w:rsidR="000C651B" w:rsidRPr="005C6DD6">
        <w:rPr>
          <w:rFonts w:asciiTheme="minorHAnsi" w:hAnsiTheme="minorHAnsi"/>
          <w:szCs w:val="24"/>
        </w:rPr>
        <w:t xml:space="preserve">tools </w:t>
      </w:r>
      <w:r w:rsidR="00020C25" w:rsidRPr="005C6DD6">
        <w:rPr>
          <w:rFonts w:asciiTheme="minorHAnsi" w:hAnsiTheme="minorHAnsi"/>
          <w:szCs w:val="24"/>
        </w:rPr>
        <w:t xml:space="preserve">that users </w:t>
      </w:r>
      <w:r w:rsidR="000C651B" w:rsidRPr="005C6DD6">
        <w:rPr>
          <w:rFonts w:asciiTheme="minorHAnsi" w:hAnsiTheme="minorHAnsi"/>
          <w:szCs w:val="24"/>
        </w:rPr>
        <w:t>heavily</w:t>
      </w:r>
      <w:r w:rsidR="00020C25" w:rsidRPr="005C6DD6">
        <w:rPr>
          <w:rFonts w:asciiTheme="minorHAnsi" w:hAnsiTheme="minorHAnsi"/>
          <w:szCs w:val="24"/>
        </w:rPr>
        <w:t xml:space="preserve"> rely</w:t>
      </w:r>
      <w:r w:rsidR="000C651B" w:rsidRPr="005C6DD6">
        <w:rPr>
          <w:rFonts w:asciiTheme="minorHAnsi" w:hAnsiTheme="minorHAnsi"/>
          <w:szCs w:val="24"/>
        </w:rPr>
        <w:t xml:space="preserve"> upon for timely data.</w:t>
      </w:r>
    </w:p>
    <w:p w14:paraId="15FC4E54"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 xml:space="preserve">While more </w:t>
      </w:r>
      <w:r w:rsidR="009F79B5" w:rsidRPr="005C6DD6">
        <w:rPr>
          <w:rFonts w:asciiTheme="minorHAnsi" w:hAnsiTheme="minorHAnsi"/>
          <w:szCs w:val="24"/>
        </w:rPr>
        <w:t xml:space="preserve">complete, </w:t>
      </w:r>
      <w:r w:rsidR="00D57800" w:rsidRPr="005C6DD6">
        <w:rPr>
          <w:rFonts w:asciiTheme="minorHAnsi" w:hAnsiTheme="minorHAnsi"/>
          <w:szCs w:val="24"/>
        </w:rPr>
        <w:t>detailed and accurate</w:t>
      </w:r>
      <w:r w:rsidRPr="005C6DD6">
        <w:rPr>
          <w:rFonts w:asciiTheme="minorHAnsi" w:hAnsiTheme="minorHAnsi"/>
          <w:szCs w:val="24"/>
        </w:rPr>
        <w:t xml:space="preserve"> data are presented in the EIA’s publication, </w:t>
      </w:r>
      <w:r w:rsidR="005534FE" w:rsidRPr="005C6DD6">
        <w:rPr>
          <w:rFonts w:asciiTheme="minorHAnsi" w:hAnsiTheme="minorHAnsi"/>
          <w:szCs w:val="24"/>
        </w:rPr>
        <w:t>Petroleum Supply Monthly</w:t>
      </w:r>
      <w:r w:rsidR="00422230" w:rsidRPr="005C6DD6">
        <w:rPr>
          <w:rFonts w:asciiTheme="minorHAnsi" w:hAnsiTheme="minorHAnsi"/>
          <w:szCs w:val="24"/>
        </w:rPr>
        <w:t xml:space="preserve"> (PSM)</w:t>
      </w:r>
      <w:r w:rsidRPr="005C6DD6">
        <w:rPr>
          <w:rFonts w:asciiTheme="minorHAnsi" w:hAnsiTheme="minorHAnsi"/>
          <w:szCs w:val="24"/>
        </w:rPr>
        <w:t>, the monthly surveys do not capture</w:t>
      </w:r>
      <w:r w:rsidR="00020C25" w:rsidRPr="005C6DD6">
        <w:rPr>
          <w:rFonts w:asciiTheme="minorHAnsi" w:hAnsiTheme="minorHAnsi"/>
          <w:szCs w:val="24"/>
        </w:rPr>
        <w:t xml:space="preserve"> </w:t>
      </w:r>
      <w:r w:rsidR="00924CD3" w:rsidRPr="005C6DD6">
        <w:rPr>
          <w:rFonts w:asciiTheme="minorHAnsi" w:hAnsiTheme="minorHAnsi"/>
          <w:szCs w:val="24"/>
        </w:rPr>
        <w:t xml:space="preserve">short-term </w:t>
      </w:r>
      <w:r w:rsidRPr="005C6DD6">
        <w:rPr>
          <w:rFonts w:asciiTheme="minorHAnsi" w:hAnsiTheme="minorHAnsi"/>
          <w:szCs w:val="24"/>
        </w:rPr>
        <w:t xml:space="preserve">changes in petroleum market </w:t>
      </w:r>
      <w:r w:rsidR="00020C25" w:rsidRPr="005C6DD6">
        <w:rPr>
          <w:rFonts w:asciiTheme="minorHAnsi" w:hAnsiTheme="minorHAnsi"/>
          <w:szCs w:val="24"/>
        </w:rPr>
        <w:t>conditions</w:t>
      </w:r>
      <w:r w:rsidRPr="005C6DD6">
        <w:rPr>
          <w:rFonts w:asciiTheme="minorHAnsi" w:hAnsiTheme="minorHAnsi"/>
          <w:szCs w:val="24"/>
        </w:rPr>
        <w:t xml:space="preserve">.  </w:t>
      </w:r>
      <w:r w:rsidR="009A4ADF" w:rsidRPr="005C6DD6">
        <w:rPr>
          <w:rFonts w:asciiTheme="minorHAnsi" w:hAnsiTheme="minorHAnsi"/>
          <w:szCs w:val="24"/>
        </w:rPr>
        <w:t>Hence, t</w:t>
      </w:r>
      <w:r w:rsidRPr="005C6DD6">
        <w:rPr>
          <w:rFonts w:asciiTheme="minorHAnsi" w:hAnsiTheme="minorHAnsi"/>
          <w:szCs w:val="24"/>
        </w:rPr>
        <w:t xml:space="preserve">here are well-defined needs for petroleum supply data to be collected both on a weekly and monthly basis in order to meet data requirements </w:t>
      </w:r>
      <w:r w:rsidR="00924CD3" w:rsidRPr="005C6DD6">
        <w:rPr>
          <w:rFonts w:asciiTheme="minorHAnsi" w:hAnsiTheme="minorHAnsi"/>
          <w:szCs w:val="24"/>
        </w:rPr>
        <w:t>of</w:t>
      </w:r>
      <w:r w:rsidRPr="005C6DD6">
        <w:rPr>
          <w:rFonts w:asciiTheme="minorHAnsi" w:hAnsiTheme="minorHAnsi"/>
          <w:szCs w:val="24"/>
        </w:rPr>
        <w:t xml:space="preserve"> governments, industry, </w:t>
      </w:r>
      <w:r w:rsidR="00D57800" w:rsidRPr="005C6DD6">
        <w:rPr>
          <w:rFonts w:asciiTheme="minorHAnsi" w:hAnsiTheme="minorHAnsi"/>
          <w:szCs w:val="24"/>
        </w:rPr>
        <w:t>and</w:t>
      </w:r>
      <w:r w:rsidRPr="005C6DD6">
        <w:rPr>
          <w:rFonts w:asciiTheme="minorHAnsi" w:hAnsiTheme="minorHAnsi"/>
          <w:szCs w:val="24"/>
        </w:rPr>
        <w:t xml:space="preserve"> the general public.  Altering either data collection effort in order to eliminate what appears to be duplication would result in disruption to the availability of necessary, valid, and timely petroleum supply information.</w:t>
      </w:r>
    </w:p>
    <w:p w14:paraId="0B559894"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E</w:t>
      </w:r>
      <w:r w:rsidR="00905EDA" w:rsidRPr="005C6DD6">
        <w:rPr>
          <w:rFonts w:asciiTheme="minorHAnsi" w:hAnsiTheme="minorHAnsi"/>
          <w:szCs w:val="24"/>
        </w:rPr>
        <w:t>IA</w:t>
      </w:r>
      <w:r w:rsidRPr="005C6DD6">
        <w:rPr>
          <w:rFonts w:asciiTheme="minorHAnsi" w:hAnsiTheme="minorHAnsi"/>
          <w:szCs w:val="24"/>
        </w:rPr>
        <w:t xml:space="preserve"> maintains that the data collected on these forms are unique.  While some data are available from other </w:t>
      </w:r>
      <w:r w:rsidR="00422230" w:rsidRPr="005C6DD6">
        <w:rPr>
          <w:rFonts w:asciiTheme="minorHAnsi" w:hAnsiTheme="minorHAnsi"/>
          <w:szCs w:val="24"/>
        </w:rPr>
        <w:t>f</w:t>
      </w:r>
      <w:r w:rsidRPr="005C6DD6">
        <w:rPr>
          <w:rFonts w:asciiTheme="minorHAnsi" w:hAnsiTheme="minorHAnsi"/>
          <w:szCs w:val="24"/>
        </w:rPr>
        <w:t xml:space="preserve">ederal agencies and/or from private or industry sources, these data cannot adequately replace the high quality, independent, </w:t>
      </w:r>
      <w:r w:rsidR="009F79B5" w:rsidRPr="005C6DD6">
        <w:rPr>
          <w:rFonts w:asciiTheme="minorHAnsi" w:hAnsiTheme="minorHAnsi"/>
          <w:szCs w:val="24"/>
        </w:rPr>
        <w:t xml:space="preserve">internally consistent, </w:t>
      </w:r>
      <w:r w:rsidRPr="005C6DD6">
        <w:rPr>
          <w:rFonts w:asciiTheme="minorHAnsi" w:hAnsiTheme="minorHAnsi"/>
          <w:szCs w:val="24"/>
        </w:rPr>
        <w:t>and timely data provided by these petroleum supply survey forms.</w:t>
      </w:r>
    </w:p>
    <w:p w14:paraId="6DCB11BF" w14:textId="77777777" w:rsidR="000C651B" w:rsidRPr="005C6DD6" w:rsidRDefault="004717D8" w:rsidP="00085A59">
      <w:pPr>
        <w:jc w:val="left"/>
        <w:rPr>
          <w:rFonts w:asciiTheme="minorHAnsi" w:hAnsiTheme="minorHAnsi"/>
          <w:szCs w:val="24"/>
        </w:rPr>
      </w:pPr>
      <w:r w:rsidRPr="005C6DD6">
        <w:rPr>
          <w:rFonts w:asciiTheme="minorHAnsi" w:hAnsiTheme="minorHAnsi"/>
          <w:szCs w:val="24"/>
        </w:rPr>
        <w:t xml:space="preserve">While much of the petroleum supply reporting system is oriented toward data collection related to crude oil and products derived from crude oil, the system also provides </w:t>
      </w:r>
      <w:r w:rsidR="00B04D18" w:rsidRPr="005C6DD6">
        <w:rPr>
          <w:rFonts w:asciiTheme="minorHAnsi" w:hAnsiTheme="minorHAnsi"/>
          <w:szCs w:val="24"/>
        </w:rPr>
        <w:t xml:space="preserve">critically </w:t>
      </w:r>
      <w:r w:rsidRPr="005C6DD6">
        <w:rPr>
          <w:rFonts w:asciiTheme="minorHAnsi" w:hAnsiTheme="minorHAnsi"/>
          <w:szCs w:val="24"/>
        </w:rPr>
        <w:t xml:space="preserve">important information about biofuel supplies.  </w:t>
      </w:r>
      <w:r w:rsidR="000C651B" w:rsidRPr="005C6DD6">
        <w:rPr>
          <w:rFonts w:asciiTheme="minorHAnsi" w:hAnsiTheme="minorHAnsi"/>
          <w:szCs w:val="24"/>
        </w:rPr>
        <w:t>As a result of the Clean Air Act of 1990, the Form EIA-819 was implemented in order to monitor the availability of oxygenates</w:t>
      </w:r>
      <w:r w:rsidRPr="005C6DD6">
        <w:rPr>
          <w:rFonts w:asciiTheme="minorHAnsi" w:hAnsiTheme="minorHAnsi"/>
          <w:szCs w:val="24"/>
        </w:rPr>
        <w:t xml:space="preserve">.  In recent years, Form EIA-819 has become particularly important for tracking production of biofuels including fuel ethanol and Ethyl Tertiary Butyl Ether </w:t>
      </w:r>
      <w:r w:rsidR="00B04D18" w:rsidRPr="005C6DD6">
        <w:rPr>
          <w:rFonts w:asciiTheme="minorHAnsi" w:hAnsiTheme="minorHAnsi"/>
          <w:szCs w:val="24"/>
        </w:rPr>
        <w:t xml:space="preserve">(ETBE) </w:t>
      </w:r>
      <w:r w:rsidRPr="005C6DD6">
        <w:rPr>
          <w:rFonts w:asciiTheme="minorHAnsi" w:hAnsiTheme="minorHAnsi"/>
          <w:szCs w:val="24"/>
        </w:rPr>
        <w:t>produced from ethanol feedstocks.</w:t>
      </w:r>
      <w:r w:rsidR="000C651B" w:rsidRPr="005C6DD6">
        <w:rPr>
          <w:rFonts w:asciiTheme="minorHAnsi" w:hAnsiTheme="minorHAnsi"/>
          <w:szCs w:val="24"/>
        </w:rPr>
        <w:t xml:space="preserve">  This information is used by </w:t>
      </w:r>
      <w:r w:rsidR="00D87E8B" w:rsidRPr="005C6DD6">
        <w:rPr>
          <w:rFonts w:asciiTheme="minorHAnsi" w:hAnsiTheme="minorHAnsi"/>
          <w:szCs w:val="24"/>
        </w:rPr>
        <w:t>f</w:t>
      </w:r>
      <w:r w:rsidR="000C651B" w:rsidRPr="005C6DD6">
        <w:rPr>
          <w:rFonts w:asciiTheme="minorHAnsi" w:hAnsiTheme="minorHAnsi"/>
          <w:szCs w:val="24"/>
        </w:rPr>
        <w:t xml:space="preserve">ederal </w:t>
      </w:r>
      <w:r w:rsidR="00B04D18" w:rsidRPr="005C6DD6">
        <w:rPr>
          <w:rFonts w:asciiTheme="minorHAnsi" w:hAnsiTheme="minorHAnsi"/>
          <w:szCs w:val="24"/>
        </w:rPr>
        <w:t xml:space="preserve">and other </w:t>
      </w:r>
      <w:r w:rsidR="000C651B" w:rsidRPr="005C6DD6">
        <w:rPr>
          <w:rFonts w:asciiTheme="minorHAnsi" w:hAnsiTheme="minorHAnsi"/>
          <w:szCs w:val="24"/>
        </w:rPr>
        <w:t xml:space="preserve">government agencies, energy analysts, and </w:t>
      </w:r>
      <w:r w:rsidRPr="005C6DD6">
        <w:rPr>
          <w:rFonts w:asciiTheme="minorHAnsi" w:hAnsiTheme="minorHAnsi"/>
          <w:szCs w:val="24"/>
        </w:rPr>
        <w:t xml:space="preserve">the </w:t>
      </w:r>
      <w:r w:rsidR="000C651B" w:rsidRPr="005C6DD6">
        <w:rPr>
          <w:rFonts w:asciiTheme="minorHAnsi" w:hAnsiTheme="minorHAnsi"/>
          <w:szCs w:val="24"/>
        </w:rPr>
        <w:t xml:space="preserve">public.  </w:t>
      </w:r>
      <w:r w:rsidR="00D87E8B" w:rsidRPr="005C6DD6">
        <w:rPr>
          <w:rFonts w:asciiTheme="minorHAnsi" w:hAnsiTheme="minorHAnsi"/>
          <w:szCs w:val="24"/>
        </w:rPr>
        <w:t>The Form EIA-819 data</w:t>
      </w:r>
      <w:r w:rsidR="000C651B" w:rsidRPr="005C6DD6">
        <w:rPr>
          <w:rFonts w:asciiTheme="minorHAnsi" w:hAnsiTheme="minorHAnsi"/>
          <w:szCs w:val="24"/>
        </w:rPr>
        <w:t xml:space="preserve"> </w:t>
      </w:r>
      <w:r w:rsidR="00B04D18" w:rsidRPr="005C6DD6">
        <w:rPr>
          <w:rFonts w:asciiTheme="minorHAnsi" w:hAnsiTheme="minorHAnsi"/>
          <w:szCs w:val="24"/>
        </w:rPr>
        <w:t>are</w:t>
      </w:r>
      <w:r w:rsidR="000C651B" w:rsidRPr="005C6DD6">
        <w:rPr>
          <w:rFonts w:asciiTheme="minorHAnsi" w:hAnsiTheme="minorHAnsi"/>
          <w:szCs w:val="24"/>
        </w:rPr>
        <w:t xml:space="preserve"> published</w:t>
      </w:r>
      <w:r w:rsidR="00B410EB" w:rsidRPr="005C6DD6">
        <w:rPr>
          <w:rFonts w:asciiTheme="minorHAnsi" w:hAnsiTheme="minorHAnsi"/>
          <w:szCs w:val="24"/>
        </w:rPr>
        <w:t xml:space="preserve"> </w:t>
      </w:r>
      <w:r w:rsidR="00BD071E" w:rsidRPr="005C6DD6">
        <w:rPr>
          <w:rFonts w:asciiTheme="minorHAnsi" w:hAnsiTheme="minorHAnsi"/>
          <w:szCs w:val="24"/>
        </w:rPr>
        <w:t>electronically</w:t>
      </w:r>
      <w:r w:rsidR="000C651B" w:rsidRPr="005C6DD6">
        <w:rPr>
          <w:rFonts w:asciiTheme="minorHAnsi" w:hAnsiTheme="minorHAnsi"/>
          <w:szCs w:val="24"/>
        </w:rPr>
        <w:t xml:space="preserve"> in the PSM</w:t>
      </w:r>
      <w:r w:rsidR="00847830" w:rsidRPr="005C6DD6">
        <w:rPr>
          <w:rFonts w:asciiTheme="minorHAnsi" w:hAnsiTheme="minorHAnsi"/>
          <w:i/>
          <w:szCs w:val="24"/>
        </w:rPr>
        <w:t>.</w:t>
      </w:r>
      <w:r w:rsidR="009F79B5" w:rsidRPr="005C6DD6">
        <w:rPr>
          <w:rFonts w:asciiTheme="minorHAnsi" w:hAnsiTheme="minorHAnsi"/>
          <w:szCs w:val="24"/>
        </w:rPr>
        <w:t xml:space="preserve">  </w:t>
      </w:r>
      <w:r w:rsidRPr="005C6DD6">
        <w:rPr>
          <w:rFonts w:asciiTheme="minorHAnsi" w:hAnsiTheme="minorHAnsi"/>
          <w:szCs w:val="24"/>
        </w:rPr>
        <w:t xml:space="preserve">Biodiesel production and stocks data </w:t>
      </w:r>
      <w:r w:rsidR="009F79B5" w:rsidRPr="005C6DD6">
        <w:rPr>
          <w:rFonts w:asciiTheme="minorHAnsi" w:hAnsiTheme="minorHAnsi"/>
          <w:szCs w:val="24"/>
        </w:rPr>
        <w:t xml:space="preserve">Form EIA-22M </w:t>
      </w:r>
      <w:r w:rsidRPr="005C6DD6">
        <w:rPr>
          <w:rFonts w:asciiTheme="minorHAnsi" w:hAnsiTheme="minorHAnsi"/>
          <w:szCs w:val="24"/>
        </w:rPr>
        <w:t>were</w:t>
      </w:r>
      <w:r w:rsidR="009F79B5" w:rsidRPr="005C6DD6">
        <w:rPr>
          <w:rFonts w:asciiTheme="minorHAnsi" w:hAnsiTheme="minorHAnsi"/>
          <w:szCs w:val="24"/>
        </w:rPr>
        <w:t xml:space="preserve"> integrated into the MPSRS</w:t>
      </w:r>
      <w:r w:rsidR="00422230" w:rsidRPr="005C6DD6">
        <w:rPr>
          <w:rFonts w:asciiTheme="minorHAnsi" w:hAnsiTheme="minorHAnsi"/>
          <w:szCs w:val="24"/>
        </w:rPr>
        <w:t>,</w:t>
      </w:r>
      <w:r w:rsidR="009F79B5" w:rsidRPr="005C6DD6">
        <w:rPr>
          <w:rFonts w:asciiTheme="minorHAnsi" w:hAnsiTheme="minorHAnsi"/>
          <w:szCs w:val="24"/>
        </w:rPr>
        <w:t xml:space="preserve"> beginning with monthly data for May 2012 and revised data for January-December 2011</w:t>
      </w:r>
      <w:r w:rsidR="00422230" w:rsidRPr="005C6DD6">
        <w:rPr>
          <w:rFonts w:asciiTheme="minorHAnsi" w:hAnsiTheme="minorHAnsi"/>
          <w:szCs w:val="24"/>
        </w:rPr>
        <w:t>,</w:t>
      </w:r>
      <w:r w:rsidR="009D4214" w:rsidRPr="005C6DD6">
        <w:rPr>
          <w:rFonts w:asciiTheme="minorHAnsi" w:hAnsiTheme="minorHAnsi"/>
          <w:szCs w:val="24"/>
        </w:rPr>
        <w:t xml:space="preserve"> </w:t>
      </w:r>
      <w:r w:rsidR="0084616B" w:rsidRPr="005C6DD6">
        <w:rPr>
          <w:rFonts w:asciiTheme="minorHAnsi" w:hAnsiTheme="minorHAnsi"/>
          <w:szCs w:val="24"/>
        </w:rPr>
        <w:t xml:space="preserve">to </w:t>
      </w:r>
      <w:r w:rsidR="00D87E8B" w:rsidRPr="005C6DD6">
        <w:rPr>
          <w:rFonts w:asciiTheme="minorHAnsi" w:hAnsiTheme="minorHAnsi"/>
          <w:szCs w:val="24"/>
        </w:rPr>
        <w:t>permit more complete reporting</w:t>
      </w:r>
      <w:r w:rsidR="0084616B" w:rsidRPr="005C6DD6">
        <w:rPr>
          <w:rFonts w:asciiTheme="minorHAnsi" w:hAnsiTheme="minorHAnsi"/>
          <w:szCs w:val="24"/>
        </w:rPr>
        <w:t xml:space="preserve"> of biofuel use and distillate fuel oil supplies</w:t>
      </w:r>
      <w:r w:rsidR="00D87E8B" w:rsidRPr="005C6DD6">
        <w:rPr>
          <w:rFonts w:asciiTheme="minorHAnsi" w:hAnsiTheme="minorHAnsi"/>
          <w:szCs w:val="24"/>
        </w:rPr>
        <w:t>.</w:t>
      </w:r>
    </w:p>
    <w:p w14:paraId="2274BE21" w14:textId="77777777" w:rsidR="000C651B" w:rsidRDefault="000C651B" w:rsidP="00B7681A">
      <w:pPr>
        <w:jc w:val="left"/>
        <w:rPr>
          <w:rFonts w:asciiTheme="minorHAnsi" w:hAnsiTheme="minorHAnsi"/>
          <w:szCs w:val="24"/>
        </w:rPr>
      </w:pPr>
      <w:r w:rsidRPr="005C6DD6">
        <w:rPr>
          <w:rFonts w:asciiTheme="minorHAnsi" w:hAnsiTheme="minorHAnsi"/>
          <w:szCs w:val="24"/>
        </w:rPr>
        <w:t>Form EIA-820 is an annual survey used to collect current and p</w:t>
      </w:r>
      <w:r w:rsidR="00905EDA" w:rsidRPr="005C6DD6">
        <w:rPr>
          <w:rFonts w:asciiTheme="minorHAnsi" w:hAnsiTheme="minorHAnsi"/>
          <w:szCs w:val="24"/>
        </w:rPr>
        <w:t xml:space="preserve">rojected </w:t>
      </w:r>
      <w:r w:rsidR="00B04D18" w:rsidRPr="005C6DD6">
        <w:rPr>
          <w:rFonts w:asciiTheme="minorHAnsi" w:hAnsiTheme="minorHAnsi"/>
          <w:szCs w:val="24"/>
        </w:rPr>
        <w:t xml:space="preserve">capacity </w:t>
      </w:r>
      <w:r w:rsidR="00905EDA" w:rsidRPr="005C6DD6">
        <w:rPr>
          <w:rFonts w:asciiTheme="minorHAnsi" w:hAnsiTheme="minorHAnsi"/>
          <w:szCs w:val="24"/>
        </w:rPr>
        <w:t>data</w:t>
      </w:r>
      <w:r w:rsidR="00B04D18" w:rsidRPr="005C6DD6">
        <w:rPr>
          <w:rFonts w:asciiTheme="minorHAnsi" w:hAnsiTheme="minorHAnsi"/>
          <w:szCs w:val="24"/>
        </w:rPr>
        <w:t>, fuels consumed, natural gas used as input for production of hydrogen</w:t>
      </w:r>
      <w:r w:rsidR="00905EDA" w:rsidRPr="005C6DD6">
        <w:rPr>
          <w:rFonts w:asciiTheme="minorHAnsi" w:hAnsiTheme="minorHAnsi"/>
          <w:szCs w:val="24"/>
        </w:rPr>
        <w:t xml:space="preserve"> </w:t>
      </w:r>
      <w:r w:rsidR="00BE47DB" w:rsidRPr="005C6DD6">
        <w:rPr>
          <w:rFonts w:asciiTheme="minorHAnsi" w:hAnsiTheme="minorHAnsi"/>
          <w:szCs w:val="24"/>
        </w:rPr>
        <w:t xml:space="preserve">at </w:t>
      </w:r>
      <w:r w:rsidR="00905EDA" w:rsidRPr="005C6DD6">
        <w:rPr>
          <w:rFonts w:asciiTheme="minorHAnsi" w:hAnsiTheme="minorHAnsi"/>
          <w:szCs w:val="24"/>
        </w:rPr>
        <w:t>refineries</w:t>
      </w:r>
      <w:r w:rsidR="00BE47DB" w:rsidRPr="005C6DD6">
        <w:rPr>
          <w:rFonts w:asciiTheme="minorHAnsi" w:hAnsiTheme="minorHAnsi"/>
          <w:szCs w:val="24"/>
        </w:rPr>
        <w:t>, and crude oil receipts by method of transportation</w:t>
      </w:r>
      <w:r w:rsidR="00905EDA" w:rsidRPr="005C6DD6">
        <w:rPr>
          <w:rFonts w:asciiTheme="minorHAnsi" w:hAnsiTheme="minorHAnsi"/>
          <w:szCs w:val="24"/>
        </w:rPr>
        <w:t xml:space="preserve">. </w:t>
      </w:r>
      <w:r w:rsidR="0012646F" w:rsidRPr="005C6DD6">
        <w:rPr>
          <w:rFonts w:asciiTheme="minorHAnsi" w:hAnsiTheme="minorHAnsi"/>
          <w:szCs w:val="24"/>
        </w:rPr>
        <w:t xml:space="preserve"> </w:t>
      </w:r>
      <w:r w:rsidRPr="005C6DD6">
        <w:rPr>
          <w:rFonts w:asciiTheme="minorHAnsi" w:hAnsiTheme="minorHAnsi"/>
          <w:szCs w:val="24"/>
        </w:rPr>
        <w:t xml:space="preserve">This information is used by EIA analysts, other </w:t>
      </w:r>
      <w:r w:rsidR="0012646F" w:rsidRPr="005C6DD6">
        <w:rPr>
          <w:rFonts w:asciiTheme="minorHAnsi" w:hAnsiTheme="minorHAnsi"/>
          <w:szCs w:val="24"/>
        </w:rPr>
        <w:t>f</w:t>
      </w:r>
      <w:r w:rsidRPr="005C6DD6">
        <w:rPr>
          <w:rFonts w:asciiTheme="minorHAnsi" w:hAnsiTheme="minorHAnsi"/>
          <w:szCs w:val="24"/>
        </w:rPr>
        <w:t xml:space="preserve">ederal and </w:t>
      </w:r>
      <w:r w:rsidR="0012646F" w:rsidRPr="005C6DD6">
        <w:rPr>
          <w:rFonts w:asciiTheme="minorHAnsi" w:hAnsiTheme="minorHAnsi"/>
          <w:szCs w:val="24"/>
        </w:rPr>
        <w:t>s</w:t>
      </w:r>
      <w:r w:rsidRPr="005C6DD6">
        <w:rPr>
          <w:rFonts w:asciiTheme="minorHAnsi" w:hAnsiTheme="minorHAnsi"/>
          <w:szCs w:val="24"/>
        </w:rPr>
        <w:t xml:space="preserve">tate government agencies, energy analysts, and a wide range of groups in the general public to analyze the refinery industry.  Data are published </w:t>
      </w:r>
      <w:r w:rsidR="00D91936" w:rsidRPr="005C6DD6">
        <w:rPr>
          <w:rFonts w:asciiTheme="minorHAnsi" w:hAnsiTheme="minorHAnsi"/>
          <w:szCs w:val="24"/>
        </w:rPr>
        <w:t xml:space="preserve">on the </w:t>
      </w:r>
      <w:r w:rsidR="0009331A" w:rsidRPr="005C6DD6">
        <w:rPr>
          <w:rFonts w:asciiTheme="minorHAnsi" w:hAnsiTheme="minorHAnsi"/>
          <w:szCs w:val="24"/>
        </w:rPr>
        <w:t>Internet</w:t>
      </w:r>
      <w:r w:rsidR="00D91936" w:rsidRPr="005C6DD6">
        <w:rPr>
          <w:rFonts w:asciiTheme="minorHAnsi" w:hAnsiTheme="minorHAnsi"/>
          <w:szCs w:val="24"/>
        </w:rPr>
        <w:t xml:space="preserve"> at</w:t>
      </w:r>
      <w:r w:rsidRPr="005C6DD6">
        <w:rPr>
          <w:rFonts w:asciiTheme="minorHAnsi" w:hAnsiTheme="minorHAnsi"/>
          <w:szCs w:val="24"/>
        </w:rPr>
        <w:t xml:space="preserve"> the </w:t>
      </w:r>
      <w:r w:rsidR="00D91936" w:rsidRPr="005C6DD6">
        <w:rPr>
          <w:rFonts w:asciiTheme="minorHAnsi" w:hAnsiTheme="minorHAnsi"/>
          <w:color w:val="000000"/>
          <w:szCs w:val="24"/>
        </w:rPr>
        <w:t xml:space="preserve">Refinery </w:t>
      </w:r>
      <w:r w:rsidR="0070041A" w:rsidRPr="005C6DD6">
        <w:rPr>
          <w:rFonts w:asciiTheme="minorHAnsi" w:hAnsiTheme="minorHAnsi"/>
          <w:color w:val="000000"/>
          <w:szCs w:val="24"/>
        </w:rPr>
        <w:lastRenderedPageBreak/>
        <w:t>Capacity Report</w:t>
      </w:r>
      <w:r w:rsidR="00D91936" w:rsidRPr="005C6DD6">
        <w:rPr>
          <w:rFonts w:asciiTheme="minorHAnsi" w:hAnsiTheme="minorHAnsi"/>
          <w:szCs w:val="24"/>
        </w:rPr>
        <w:t xml:space="preserve"> site</w:t>
      </w:r>
      <w:r w:rsidRPr="005C6DD6">
        <w:rPr>
          <w:rFonts w:asciiTheme="minorHAnsi" w:hAnsiTheme="minorHAnsi"/>
          <w:szCs w:val="24"/>
        </w:rPr>
        <w:t>.</w:t>
      </w:r>
    </w:p>
    <w:p w14:paraId="73AEC7A2" w14:textId="77777777" w:rsidR="008205AD" w:rsidRPr="005C6DD6" w:rsidRDefault="008205AD" w:rsidP="00B7681A">
      <w:pPr>
        <w:pStyle w:val="Heading2"/>
        <w:rPr>
          <w:rFonts w:asciiTheme="minorHAnsi" w:hAnsiTheme="minorHAnsi"/>
        </w:rPr>
      </w:pPr>
      <w:bookmarkStart w:id="5" w:name="_Toc442088380"/>
      <w:r w:rsidRPr="005C6DD6">
        <w:rPr>
          <w:rFonts w:asciiTheme="minorHAnsi" w:hAnsiTheme="minorHAnsi"/>
        </w:rPr>
        <w:t>Use of Information Technology</w:t>
      </w:r>
      <w:bookmarkEnd w:id="5"/>
    </w:p>
    <w:p w14:paraId="132D9547" w14:textId="77777777" w:rsidR="0012646F" w:rsidRPr="005C6DD6" w:rsidRDefault="000C651B" w:rsidP="00B7681A">
      <w:pPr>
        <w:spacing w:before="120" w:beforeAutospacing="0"/>
        <w:jc w:val="left"/>
        <w:rPr>
          <w:rFonts w:asciiTheme="minorHAnsi" w:hAnsiTheme="minorHAnsi"/>
          <w:szCs w:val="24"/>
        </w:rPr>
      </w:pPr>
      <w:r w:rsidRPr="005C6DD6">
        <w:rPr>
          <w:rFonts w:asciiTheme="minorHAnsi" w:hAnsiTheme="minorHAnsi"/>
          <w:szCs w:val="24"/>
        </w:rPr>
        <w:t>In an effort to reduce respondent burden and to provide for more</w:t>
      </w:r>
      <w:r w:rsidR="00F7531E" w:rsidRPr="005C6DD6">
        <w:rPr>
          <w:rFonts w:asciiTheme="minorHAnsi" w:hAnsiTheme="minorHAnsi"/>
          <w:szCs w:val="24"/>
        </w:rPr>
        <w:t xml:space="preserve"> </w:t>
      </w:r>
      <w:r w:rsidRPr="005C6DD6">
        <w:rPr>
          <w:rFonts w:asciiTheme="minorHAnsi" w:hAnsiTheme="minorHAnsi"/>
          <w:szCs w:val="24"/>
        </w:rPr>
        <w:t xml:space="preserve">timely processing of filings, automated reporting of the </w:t>
      </w:r>
      <w:r w:rsidR="0012646F" w:rsidRPr="005C6DD6">
        <w:rPr>
          <w:rFonts w:asciiTheme="minorHAnsi" w:hAnsiTheme="minorHAnsi"/>
          <w:szCs w:val="24"/>
        </w:rPr>
        <w:t xml:space="preserve">PSRS </w:t>
      </w:r>
      <w:r w:rsidRPr="005C6DD6">
        <w:rPr>
          <w:rFonts w:asciiTheme="minorHAnsi" w:hAnsiTheme="minorHAnsi"/>
          <w:szCs w:val="24"/>
        </w:rPr>
        <w:t xml:space="preserve">data is accepted, provided such reports are prepared and transmitted to EIA in the same format as </w:t>
      </w:r>
      <w:r w:rsidR="0012646F" w:rsidRPr="005C6DD6">
        <w:rPr>
          <w:rFonts w:asciiTheme="minorHAnsi" w:hAnsiTheme="minorHAnsi"/>
          <w:szCs w:val="24"/>
        </w:rPr>
        <w:t xml:space="preserve">in </w:t>
      </w:r>
      <w:r w:rsidRPr="005C6DD6">
        <w:rPr>
          <w:rFonts w:asciiTheme="minorHAnsi" w:hAnsiTheme="minorHAnsi"/>
          <w:szCs w:val="24"/>
        </w:rPr>
        <w:t xml:space="preserve">the data collection form.  Data are submitted by </w:t>
      </w:r>
      <w:r w:rsidR="0012646F" w:rsidRPr="005C6DD6">
        <w:rPr>
          <w:rFonts w:asciiTheme="minorHAnsi" w:hAnsiTheme="minorHAnsi"/>
          <w:szCs w:val="24"/>
        </w:rPr>
        <w:t xml:space="preserve">the </w:t>
      </w:r>
      <w:r w:rsidR="0009331A" w:rsidRPr="005C6DD6">
        <w:rPr>
          <w:rFonts w:asciiTheme="minorHAnsi" w:hAnsiTheme="minorHAnsi"/>
          <w:szCs w:val="24"/>
        </w:rPr>
        <w:t>Internet</w:t>
      </w:r>
      <w:r w:rsidRPr="005C6DD6">
        <w:rPr>
          <w:rFonts w:asciiTheme="minorHAnsi" w:hAnsiTheme="minorHAnsi"/>
          <w:szCs w:val="24"/>
        </w:rPr>
        <w:t xml:space="preserve"> using secure file transfer</w:t>
      </w:r>
      <w:r w:rsidR="0012646F" w:rsidRPr="005C6DD6">
        <w:rPr>
          <w:rFonts w:asciiTheme="minorHAnsi" w:hAnsiTheme="minorHAnsi"/>
          <w:szCs w:val="24"/>
        </w:rPr>
        <w:t xml:space="preserve"> and by </w:t>
      </w:r>
      <w:r w:rsidRPr="005C6DD6">
        <w:rPr>
          <w:rFonts w:asciiTheme="minorHAnsi" w:hAnsiTheme="minorHAnsi"/>
          <w:szCs w:val="24"/>
        </w:rPr>
        <w:t xml:space="preserve">facsimile, email, and the PC </w:t>
      </w:r>
      <w:r w:rsidR="007808B3" w:rsidRPr="005C6DD6">
        <w:rPr>
          <w:rFonts w:asciiTheme="minorHAnsi" w:hAnsiTheme="minorHAnsi"/>
          <w:szCs w:val="24"/>
        </w:rPr>
        <w:t>E</w:t>
      </w:r>
      <w:r w:rsidRPr="005C6DD6">
        <w:rPr>
          <w:rFonts w:asciiTheme="minorHAnsi" w:hAnsiTheme="minorHAnsi"/>
          <w:szCs w:val="24"/>
        </w:rPr>
        <w:t xml:space="preserve">lectronic </w:t>
      </w:r>
      <w:r w:rsidR="007808B3" w:rsidRPr="005C6DD6">
        <w:rPr>
          <w:rFonts w:asciiTheme="minorHAnsi" w:hAnsiTheme="minorHAnsi"/>
          <w:szCs w:val="24"/>
        </w:rPr>
        <w:t>D</w:t>
      </w:r>
      <w:r w:rsidRPr="005C6DD6">
        <w:rPr>
          <w:rFonts w:asciiTheme="minorHAnsi" w:hAnsiTheme="minorHAnsi"/>
          <w:szCs w:val="24"/>
        </w:rPr>
        <w:t xml:space="preserve">ata </w:t>
      </w:r>
      <w:r w:rsidR="007808B3" w:rsidRPr="005C6DD6">
        <w:rPr>
          <w:rFonts w:asciiTheme="minorHAnsi" w:hAnsiTheme="minorHAnsi"/>
          <w:szCs w:val="24"/>
        </w:rPr>
        <w:t>R</w:t>
      </w:r>
      <w:r w:rsidRPr="005C6DD6">
        <w:rPr>
          <w:rFonts w:asciiTheme="minorHAnsi" w:hAnsiTheme="minorHAnsi"/>
          <w:szCs w:val="24"/>
        </w:rPr>
        <w:t xml:space="preserve">eporting </w:t>
      </w:r>
      <w:r w:rsidR="007808B3" w:rsidRPr="005C6DD6">
        <w:rPr>
          <w:rFonts w:asciiTheme="minorHAnsi" w:hAnsiTheme="minorHAnsi"/>
          <w:szCs w:val="24"/>
        </w:rPr>
        <w:t>O</w:t>
      </w:r>
      <w:r w:rsidRPr="005C6DD6">
        <w:rPr>
          <w:rFonts w:asciiTheme="minorHAnsi" w:hAnsiTheme="minorHAnsi"/>
          <w:szCs w:val="24"/>
        </w:rPr>
        <w:t xml:space="preserve">ption (PEDRO).  </w:t>
      </w:r>
    </w:p>
    <w:p w14:paraId="56C48F58"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In various EIA surveys, several large respondents provide computer-generated reports in lieu of completing report forms.  EIA encourages this type of reporting in order to reduce respondent burden.</w:t>
      </w:r>
    </w:p>
    <w:p w14:paraId="4DBC18E8" w14:textId="77777777" w:rsidR="0012646F" w:rsidRPr="005C6DD6" w:rsidRDefault="000C651B" w:rsidP="00B7681A">
      <w:pPr>
        <w:jc w:val="left"/>
        <w:rPr>
          <w:rFonts w:asciiTheme="minorHAnsi" w:hAnsiTheme="minorHAnsi"/>
          <w:szCs w:val="24"/>
        </w:rPr>
      </w:pPr>
      <w:r w:rsidRPr="005C6DD6">
        <w:rPr>
          <w:rFonts w:asciiTheme="minorHAnsi" w:hAnsiTheme="minorHAnsi"/>
          <w:szCs w:val="24"/>
        </w:rPr>
        <w:t>EIA encourages its survey respondents to transmit data using the Secure File Transfer System of a</w:t>
      </w:r>
      <w:r w:rsidR="0012646F" w:rsidRPr="005C6DD6">
        <w:rPr>
          <w:rFonts w:asciiTheme="minorHAnsi" w:hAnsiTheme="minorHAnsi"/>
          <w:szCs w:val="24"/>
        </w:rPr>
        <w:t xml:space="preserve"> Microsoft</w:t>
      </w:r>
      <w:r w:rsidRPr="005C6DD6">
        <w:rPr>
          <w:rFonts w:asciiTheme="minorHAnsi" w:hAnsiTheme="minorHAnsi"/>
          <w:szCs w:val="24"/>
        </w:rPr>
        <w:t xml:space="preserve"> Excel</w:t>
      </w:r>
      <w:r w:rsidR="0012646F" w:rsidRPr="005C6DD6">
        <w:rPr>
          <w:rFonts w:asciiTheme="minorHAnsi" w:hAnsiTheme="minorHAnsi"/>
          <w:szCs w:val="24"/>
        </w:rPr>
        <w:t>®</w:t>
      </w:r>
      <w:r w:rsidRPr="005C6DD6">
        <w:rPr>
          <w:rFonts w:asciiTheme="minorHAnsi" w:hAnsiTheme="minorHAnsi"/>
          <w:szCs w:val="24"/>
        </w:rPr>
        <w:t xml:space="preserve"> spreadsheet through the </w:t>
      </w:r>
      <w:r w:rsidR="0009331A" w:rsidRPr="005C6DD6">
        <w:rPr>
          <w:rFonts w:asciiTheme="minorHAnsi" w:hAnsiTheme="minorHAnsi"/>
          <w:szCs w:val="24"/>
        </w:rPr>
        <w:t>Internet</w:t>
      </w:r>
      <w:r w:rsidR="0012646F" w:rsidRPr="005C6DD6">
        <w:rPr>
          <w:rFonts w:asciiTheme="minorHAnsi" w:hAnsiTheme="minorHAnsi"/>
          <w:szCs w:val="24"/>
        </w:rPr>
        <w:t>,</w:t>
      </w:r>
      <w:r w:rsidRPr="005C6DD6">
        <w:rPr>
          <w:rFonts w:asciiTheme="minorHAnsi" w:hAnsiTheme="minorHAnsi"/>
          <w:szCs w:val="24"/>
        </w:rPr>
        <w:t xml:space="preserve"> or to use PEDRO.  The Secure File Transfer System encrypts (scrambles) the spreadsheet data into a code that is not readable to anyone without the key to decipher </w:t>
      </w:r>
      <w:r w:rsidR="00267CD6" w:rsidRPr="005C6DD6">
        <w:rPr>
          <w:rFonts w:asciiTheme="minorHAnsi" w:hAnsiTheme="minorHAnsi"/>
          <w:szCs w:val="24"/>
        </w:rPr>
        <w:t>the code</w:t>
      </w:r>
      <w:r w:rsidRPr="005C6DD6">
        <w:rPr>
          <w:rFonts w:asciiTheme="minorHAnsi" w:hAnsiTheme="minorHAnsi"/>
          <w:szCs w:val="24"/>
        </w:rPr>
        <w:t xml:space="preserve">. </w:t>
      </w:r>
      <w:r w:rsidR="0012646F" w:rsidRPr="005C6DD6">
        <w:rPr>
          <w:rFonts w:asciiTheme="minorHAnsi" w:hAnsiTheme="minorHAnsi"/>
          <w:szCs w:val="24"/>
        </w:rPr>
        <w:t xml:space="preserve"> </w:t>
      </w:r>
      <w:r w:rsidRPr="005C6DD6">
        <w:rPr>
          <w:rFonts w:asciiTheme="minorHAnsi" w:hAnsiTheme="minorHAnsi"/>
          <w:szCs w:val="24"/>
        </w:rPr>
        <w:t xml:space="preserve">The secure hypertext transfer protocol (HTTPS) is a communications protocol designed to transfer encrypted information between computers over the </w:t>
      </w:r>
      <w:r w:rsidR="001F07D8" w:rsidRPr="005C6DD6">
        <w:rPr>
          <w:rFonts w:asciiTheme="minorHAnsi" w:hAnsiTheme="minorHAnsi"/>
          <w:szCs w:val="24"/>
        </w:rPr>
        <w:t>I</w:t>
      </w:r>
      <w:r w:rsidR="003D009D" w:rsidRPr="005C6DD6">
        <w:rPr>
          <w:rFonts w:asciiTheme="minorHAnsi" w:hAnsiTheme="minorHAnsi"/>
          <w:szCs w:val="24"/>
        </w:rPr>
        <w:t>nternet</w:t>
      </w:r>
      <w:r w:rsidRPr="005C6DD6">
        <w:rPr>
          <w:rFonts w:asciiTheme="minorHAnsi" w:hAnsiTheme="minorHAnsi"/>
          <w:szCs w:val="24"/>
        </w:rPr>
        <w:t>.</w:t>
      </w:r>
    </w:p>
    <w:p w14:paraId="44145260" w14:textId="77777777" w:rsidR="002B1C34" w:rsidRPr="005C6DD6" w:rsidRDefault="008205AD" w:rsidP="00B7681A">
      <w:pPr>
        <w:pStyle w:val="Heading2"/>
        <w:rPr>
          <w:rFonts w:asciiTheme="minorHAnsi" w:hAnsiTheme="minorHAnsi"/>
        </w:rPr>
      </w:pPr>
      <w:bookmarkStart w:id="6" w:name="_Toc334544804"/>
      <w:bookmarkStart w:id="7" w:name="_Toc334545000"/>
      <w:bookmarkStart w:id="8" w:name="_Toc334552619"/>
      <w:bookmarkStart w:id="9" w:name="_Toc334544805"/>
      <w:bookmarkStart w:id="10" w:name="_Toc334545001"/>
      <w:bookmarkStart w:id="11" w:name="_Toc334552620"/>
      <w:bookmarkStart w:id="12" w:name="_Toc334544806"/>
      <w:bookmarkStart w:id="13" w:name="_Toc334545002"/>
      <w:bookmarkStart w:id="14" w:name="_Toc334552621"/>
      <w:bookmarkStart w:id="15" w:name="_Toc442088381"/>
      <w:bookmarkEnd w:id="6"/>
      <w:bookmarkEnd w:id="7"/>
      <w:bookmarkEnd w:id="8"/>
      <w:bookmarkEnd w:id="9"/>
      <w:bookmarkEnd w:id="10"/>
      <w:bookmarkEnd w:id="11"/>
      <w:bookmarkEnd w:id="12"/>
      <w:bookmarkEnd w:id="13"/>
      <w:bookmarkEnd w:id="14"/>
      <w:r w:rsidRPr="005C6DD6">
        <w:rPr>
          <w:rFonts w:asciiTheme="minorHAnsi" w:hAnsiTheme="minorHAnsi"/>
        </w:rPr>
        <w:t>Technical Considerations to Reduce Burden</w:t>
      </w:r>
      <w:bookmarkEnd w:id="15"/>
    </w:p>
    <w:p w14:paraId="5AA8FB66" w14:textId="77777777" w:rsidR="008205AD" w:rsidRPr="005C6DD6" w:rsidRDefault="008205AD" w:rsidP="00B7681A">
      <w:pPr>
        <w:spacing w:before="120" w:beforeAutospacing="0"/>
        <w:jc w:val="left"/>
        <w:rPr>
          <w:rFonts w:asciiTheme="minorHAnsi" w:hAnsiTheme="minorHAnsi"/>
          <w:szCs w:val="24"/>
        </w:rPr>
      </w:pPr>
      <w:r w:rsidRPr="005C6DD6">
        <w:rPr>
          <w:rFonts w:asciiTheme="minorHAnsi" w:hAnsiTheme="minorHAnsi"/>
          <w:szCs w:val="24"/>
        </w:rPr>
        <w:t>PEDRO was developed to reduce respondent burden and provide timely data to EIA.  PEDRO is an advanced electronic data communications software package.  It facilitates a fast, accurate, and efficient transmission of data from remote sites to a central computing facility.  Through use of a personal computer for data entry, the user is provided by PEDRO with an image of a hard copy survey form.  Users enter numeric data and text using the keyboard, or import data from another computer system.  PEDRO has the capability to perform a variety of data checks by comparing data against lists of accept</w:t>
      </w:r>
      <w:r w:rsidR="00292F9B" w:rsidRPr="005C6DD6">
        <w:rPr>
          <w:rFonts w:asciiTheme="minorHAnsi" w:hAnsiTheme="minorHAnsi"/>
          <w:szCs w:val="24"/>
        </w:rPr>
        <w:t>able</w:t>
      </w:r>
      <w:r w:rsidRPr="005C6DD6">
        <w:rPr>
          <w:rFonts w:asciiTheme="minorHAnsi" w:hAnsiTheme="minorHAnsi"/>
          <w:szCs w:val="24"/>
        </w:rPr>
        <w:t xml:space="preserve"> values, or criteria derived from historical data.  Security of the data transmission is accomplished through the use of passwords and data encryption.  Data accuracy is ensured by several levels of error detection.</w:t>
      </w:r>
    </w:p>
    <w:p w14:paraId="1FC15FAF" w14:textId="77777777" w:rsidR="008205AD" w:rsidRPr="005C6DD6" w:rsidRDefault="008205AD" w:rsidP="00B7681A">
      <w:pPr>
        <w:jc w:val="left"/>
        <w:rPr>
          <w:rFonts w:asciiTheme="minorHAnsi" w:hAnsiTheme="minorHAnsi"/>
          <w:szCs w:val="24"/>
        </w:rPr>
      </w:pPr>
      <w:r w:rsidRPr="005C6DD6">
        <w:rPr>
          <w:rFonts w:asciiTheme="minorHAnsi" w:hAnsiTheme="minorHAnsi"/>
          <w:szCs w:val="24"/>
        </w:rPr>
        <w:t xml:space="preserve">EIA is currently engaged in work to upgrade </w:t>
      </w:r>
      <w:r w:rsidR="00267CD6" w:rsidRPr="005C6DD6">
        <w:rPr>
          <w:rFonts w:asciiTheme="minorHAnsi" w:hAnsiTheme="minorHAnsi"/>
          <w:szCs w:val="24"/>
        </w:rPr>
        <w:t xml:space="preserve">its </w:t>
      </w:r>
      <w:r w:rsidRPr="005C6DD6">
        <w:rPr>
          <w:rFonts w:asciiTheme="minorHAnsi" w:hAnsiTheme="minorHAnsi"/>
          <w:szCs w:val="24"/>
        </w:rPr>
        <w:t>electronic reporting options</w:t>
      </w:r>
      <w:r w:rsidR="00267CD6" w:rsidRPr="005C6DD6">
        <w:rPr>
          <w:rFonts w:asciiTheme="minorHAnsi" w:hAnsiTheme="minorHAnsi"/>
          <w:szCs w:val="24"/>
        </w:rPr>
        <w:t>,</w:t>
      </w:r>
      <w:r w:rsidRPr="005C6DD6">
        <w:rPr>
          <w:rFonts w:asciiTheme="minorHAnsi" w:hAnsiTheme="minorHAnsi"/>
          <w:szCs w:val="24"/>
        </w:rPr>
        <w:t xml:space="preserve"> using the Internet.  This work will ultimately replace both PEDRO and ISMS</w:t>
      </w:r>
      <w:r w:rsidR="00292F9B" w:rsidRPr="005C6DD6">
        <w:rPr>
          <w:rFonts w:asciiTheme="minorHAnsi" w:hAnsiTheme="minorHAnsi"/>
          <w:szCs w:val="24"/>
        </w:rPr>
        <w:t>, which is</w:t>
      </w:r>
      <w:r w:rsidRPr="005C6DD6">
        <w:rPr>
          <w:rFonts w:asciiTheme="minorHAnsi" w:hAnsiTheme="minorHAnsi"/>
          <w:szCs w:val="24"/>
        </w:rPr>
        <w:t xml:space="preserve"> used for the EIA-22M survey.</w:t>
      </w:r>
    </w:p>
    <w:p w14:paraId="58807811" w14:textId="77777777" w:rsidR="000C651B" w:rsidRPr="005C6DD6" w:rsidRDefault="000C651B" w:rsidP="00B7681A">
      <w:pPr>
        <w:pStyle w:val="Heading2"/>
        <w:rPr>
          <w:rFonts w:asciiTheme="minorHAnsi" w:hAnsiTheme="minorHAnsi"/>
        </w:rPr>
      </w:pPr>
      <w:bookmarkStart w:id="16" w:name="_Toc442088382"/>
      <w:r w:rsidRPr="005C6DD6">
        <w:rPr>
          <w:rFonts w:asciiTheme="minorHAnsi" w:hAnsiTheme="minorHAnsi"/>
        </w:rPr>
        <w:t xml:space="preserve">Efforts to </w:t>
      </w:r>
      <w:r w:rsidR="00CE3E6E" w:rsidRPr="005C6DD6">
        <w:rPr>
          <w:rFonts w:asciiTheme="minorHAnsi" w:hAnsiTheme="minorHAnsi"/>
        </w:rPr>
        <w:t>Identify Duplication and Analysis of Similar Existing Information</w:t>
      </w:r>
      <w:bookmarkEnd w:id="16"/>
    </w:p>
    <w:p w14:paraId="538B068E" w14:textId="77777777" w:rsidR="000C651B" w:rsidRPr="005C6DD6" w:rsidRDefault="000C651B" w:rsidP="00B7681A">
      <w:pPr>
        <w:spacing w:before="120" w:beforeAutospacing="0"/>
        <w:jc w:val="left"/>
        <w:rPr>
          <w:rFonts w:asciiTheme="minorHAnsi" w:hAnsiTheme="minorHAnsi"/>
          <w:szCs w:val="24"/>
        </w:rPr>
      </w:pPr>
      <w:r w:rsidRPr="005C6DD6">
        <w:rPr>
          <w:rFonts w:asciiTheme="minorHAnsi" w:hAnsiTheme="minorHAnsi"/>
          <w:szCs w:val="24"/>
        </w:rPr>
        <w:lastRenderedPageBreak/>
        <w:t xml:space="preserve">EIA has conducted extensive reviews to ensure its petroleum supply surveys do not duplicate other </w:t>
      </w:r>
      <w:r w:rsidR="007A7696" w:rsidRPr="005C6DD6">
        <w:rPr>
          <w:rFonts w:asciiTheme="minorHAnsi" w:hAnsiTheme="minorHAnsi"/>
          <w:szCs w:val="24"/>
        </w:rPr>
        <w:t xml:space="preserve">available </w:t>
      </w:r>
      <w:r w:rsidRPr="005C6DD6">
        <w:rPr>
          <w:rFonts w:asciiTheme="minorHAnsi" w:hAnsiTheme="minorHAnsi"/>
          <w:szCs w:val="24"/>
        </w:rPr>
        <w:t xml:space="preserve">data.  In addition, EIA has analysts </w:t>
      </w:r>
      <w:r w:rsidR="007B0491" w:rsidRPr="005C6DD6">
        <w:rPr>
          <w:rFonts w:asciiTheme="minorHAnsi" w:hAnsiTheme="minorHAnsi"/>
          <w:szCs w:val="24"/>
        </w:rPr>
        <w:t xml:space="preserve">who are </w:t>
      </w:r>
      <w:r w:rsidRPr="005C6DD6">
        <w:rPr>
          <w:rFonts w:asciiTheme="minorHAnsi" w:hAnsiTheme="minorHAnsi"/>
          <w:szCs w:val="24"/>
        </w:rPr>
        <w:t xml:space="preserve">very knowledgeable of the petroleum data </w:t>
      </w:r>
      <w:r w:rsidR="00CC00EC" w:rsidRPr="005C6DD6">
        <w:rPr>
          <w:rFonts w:asciiTheme="minorHAnsi" w:hAnsiTheme="minorHAnsi"/>
          <w:szCs w:val="24"/>
        </w:rPr>
        <w:t>that review these survey forms</w:t>
      </w:r>
      <w:r w:rsidRPr="005C6DD6">
        <w:rPr>
          <w:rFonts w:asciiTheme="minorHAnsi" w:hAnsiTheme="minorHAnsi"/>
          <w:szCs w:val="24"/>
        </w:rPr>
        <w:t xml:space="preserve">.  As changes are proposed to petroleum supply survey forms, EIA conducts extensive review processes to ensure the avoidance of the unnecessary collection of data.  </w:t>
      </w:r>
      <w:r w:rsidR="007A7696" w:rsidRPr="005C6DD6">
        <w:rPr>
          <w:rFonts w:asciiTheme="minorHAnsi" w:hAnsiTheme="minorHAnsi"/>
          <w:szCs w:val="24"/>
        </w:rPr>
        <w:t>Through discussions with trade associations, private companies, and other government offices,</w:t>
      </w:r>
      <w:r w:rsidRPr="005C6DD6">
        <w:rPr>
          <w:rFonts w:asciiTheme="minorHAnsi" w:hAnsiTheme="minorHAnsi"/>
          <w:szCs w:val="24"/>
        </w:rPr>
        <w:t xml:space="preserve"> every effort has been be made to identify potential duplication of data, data that is no longer necessary, or data that can be collected more efficiently by another survey.</w:t>
      </w:r>
    </w:p>
    <w:p w14:paraId="17876262" w14:textId="77777777" w:rsidR="000C651B" w:rsidRPr="005C6DD6" w:rsidRDefault="000C651B" w:rsidP="00B7681A">
      <w:pPr>
        <w:jc w:val="left"/>
        <w:rPr>
          <w:rFonts w:asciiTheme="minorHAnsi" w:hAnsiTheme="minorHAnsi"/>
          <w:szCs w:val="24"/>
        </w:rPr>
      </w:pPr>
      <w:r w:rsidRPr="005C6DD6">
        <w:rPr>
          <w:rFonts w:asciiTheme="minorHAnsi" w:hAnsiTheme="minorHAnsi"/>
          <w:szCs w:val="24"/>
        </w:rPr>
        <w:t xml:space="preserve">EIA has evaluated all known sources of data relating to petroleum supply and found no other sources to be as comprehensive or detailed to replace the data collections currently utilized by the Federal </w:t>
      </w:r>
      <w:r w:rsidR="007A7696" w:rsidRPr="005C6DD6">
        <w:rPr>
          <w:rFonts w:asciiTheme="minorHAnsi" w:hAnsiTheme="minorHAnsi"/>
          <w:szCs w:val="24"/>
        </w:rPr>
        <w:t>G</w:t>
      </w:r>
      <w:r w:rsidRPr="005C6DD6">
        <w:rPr>
          <w:rFonts w:asciiTheme="minorHAnsi" w:hAnsiTheme="minorHAnsi"/>
          <w:szCs w:val="24"/>
        </w:rPr>
        <w:t xml:space="preserve">overnment.  </w:t>
      </w:r>
      <w:r w:rsidR="007A7696" w:rsidRPr="005C6DD6">
        <w:rPr>
          <w:rFonts w:asciiTheme="minorHAnsi" w:hAnsiTheme="minorHAnsi"/>
          <w:szCs w:val="24"/>
        </w:rPr>
        <w:t>O</w:t>
      </w:r>
      <w:r w:rsidRPr="005C6DD6">
        <w:rPr>
          <w:rFonts w:asciiTheme="minorHAnsi" w:hAnsiTheme="minorHAnsi"/>
          <w:szCs w:val="24"/>
        </w:rPr>
        <w:t xml:space="preserve">ther sources </w:t>
      </w:r>
      <w:r w:rsidR="007A7696" w:rsidRPr="005C6DD6">
        <w:rPr>
          <w:rFonts w:asciiTheme="minorHAnsi" w:hAnsiTheme="minorHAnsi"/>
          <w:szCs w:val="24"/>
        </w:rPr>
        <w:t xml:space="preserve">were determined to </w:t>
      </w:r>
      <w:r w:rsidRPr="005C6DD6">
        <w:rPr>
          <w:rFonts w:asciiTheme="minorHAnsi" w:hAnsiTheme="minorHAnsi"/>
          <w:szCs w:val="24"/>
        </w:rPr>
        <w:t xml:space="preserve">not </w:t>
      </w:r>
      <w:r w:rsidR="007A7696" w:rsidRPr="005C6DD6">
        <w:rPr>
          <w:rFonts w:asciiTheme="minorHAnsi" w:hAnsiTheme="minorHAnsi"/>
          <w:szCs w:val="24"/>
        </w:rPr>
        <w:t xml:space="preserve">be </w:t>
      </w:r>
      <w:r w:rsidRPr="005C6DD6">
        <w:rPr>
          <w:rFonts w:asciiTheme="minorHAnsi" w:hAnsiTheme="minorHAnsi"/>
          <w:szCs w:val="24"/>
        </w:rPr>
        <w:t>sufficient to replace or approximate the information collected</w:t>
      </w:r>
      <w:r w:rsidR="007A7696" w:rsidRPr="005C6DD6">
        <w:rPr>
          <w:rFonts w:asciiTheme="minorHAnsi" w:hAnsiTheme="minorHAnsi"/>
          <w:szCs w:val="24"/>
        </w:rPr>
        <w:t xml:space="preserve"> by EIA</w:t>
      </w:r>
      <w:r w:rsidR="00505B73" w:rsidRPr="005C6DD6">
        <w:rPr>
          <w:rFonts w:asciiTheme="minorHAnsi" w:hAnsiTheme="minorHAnsi"/>
          <w:szCs w:val="24"/>
        </w:rPr>
        <w:t>,</w:t>
      </w:r>
      <w:r w:rsidRPr="005C6DD6">
        <w:rPr>
          <w:rFonts w:asciiTheme="minorHAnsi" w:hAnsiTheme="minorHAnsi"/>
          <w:szCs w:val="24"/>
        </w:rPr>
        <w:t xml:space="preserve"> because of differences in classification, or due to the lack of universe estimation procedures.</w:t>
      </w:r>
    </w:p>
    <w:p w14:paraId="3FD6198D" w14:textId="77777777" w:rsidR="00D733BB" w:rsidRPr="005C6DD6" w:rsidRDefault="00A2129A" w:rsidP="00630517">
      <w:pPr>
        <w:jc w:val="left"/>
        <w:rPr>
          <w:rFonts w:asciiTheme="minorHAnsi" w:hAnsiTheme="minorHAnsi"/>
          <w:szCs w:val="24"/>
        </w:rPr>
      </w:pPr>
      <w:r w:rsidRPr="005C6DD6">
        <w:rPr>
          <w:rFonts w:asciiTheme="minorHAnsi" w:hAnsiTheme="minorHAnsi"/>
          <w:szCs w:val="24"/>
        </w:rPr>
        <w:t xml:space="preserve">This is the first petroleum supply survey clearance to include Form EIA-22M “Monthly </w:t>
      </w:r>
      <w:r w:rsidR="00630517" w:rsidRPr="005C6DD6">
        <w:rPr>
          <w:rFonts w:asciiTheme="minorHAnsi" w:hAnsiTheme="minorHAnsi"/>
          <w:szCs w:val="24"/>
        </w:rPr>
        <w:t>Biodiesel</w:t>
      </w:r>
      <w:r w:rsidRPr="005C6DD6">
        <w:rPr>
          <w:rFonts w:asciiTheme="minorHAnsi" w:hAnsiTheme="minorHAnsi"/>
          <w:szCs w:val="24"/>
        </w:rPr>
        <w:t xml:space="preserve"> Production Survey” and so we include discussion of other biodiesel data sources.  T</w:t>
      </w:r>
      <w:r w:rsidR="00D733BB" w:rsidRPr="005C6DD6">
        <w:rPr>
          <w:rFonts w:asciiTheme="minorHAnsi" w:hAnsiTheme="minorHAnsi"/>
          <w:szCs w:val="24"/>
        </w:rPr>
        <w:t xml:space="preserve">he </w:t>
      </w:r>
      <w:r w:rsidRPr="005C6DD6">
        <w:rPr>
          <w:rFonts w:asciiTheme="minorHAnsi" w:hAnsiTheme="minorHAnsi"/>
          <w:szCs w:val="24"/>
        </w:rPr>
        <w:t>U.S. Environmental Protection Agency (</w:t>
      </w:r>
      <w:r w:rsidR="00D733BB" w:rsidRPr="005C6DD6">
        <w:rPr>
          <w:rFonts w:asciiTheme="minorHAnsi" w:hAnsiTheme="minorHAnsi"/>
          <w:szCs w:val="24"/>
        </w:rPr>
        <w:t>EPA</w:t>
      </w:r>
      <w:r w:rsidRPr="005C6DD6">
        <w:rPr>
          <w:rFonts w:asciiTheme="minorHAnsi" w:hAnsiTheme="minorHAnsi"/>
          <w:szCs w:val="24"/>
        </w:rPr>
        <w:t>)</w:t>
      </w:r>
      <w:r w:rsidR="00D733BB" w:rsidRPr="005C6DD6">
        <w:rPr>
          <w:rFonts w:asciiTheme="minorHAnsi" w:hAnsiTheme="minorHAnsi"/>
          <w:szCs w:val="24"/>
        </w:rPr>
        <w:t xml:space="preserve"> requires all producers of renewable fuels </w:t>
      </w:r>
      <w:r w:rsidRPr="005C6DD6">
        <w:rPr>
          <w:rFonts w:asciiTheme="minorHAnsi" w:hAnsiTheme="minorHAnsi"/>
          <w:szCs w:val="24"/>
        </w:rPr>
        <w:t xml:space="preserve">to </w:t>
      </w:r>
      <w:r w:rsidR="00D733BB" w:rsidRPr="005C6DD6">
        <w:rPr>
          <w:rFonts w:asciiTheme="minorHAnsi" w:hAnsiTheme="minorHAnsi"/>
          <w:szCs w:val="24"/>
        </w:rPr>
        <w:t xml:space="preserve">report their production to </w:t>
      </w:r>
      <w:r w:rsidRPr="005C6DD6">
        <w:rPr>
          <w:rFonts w:asciiTheme="minorHAnsi" w:hAnsiTheme="minorHAnsi"/>
          <w:szCs w:val="24"/>
        </w:rPr>
        <w:t>EPA</w:t>
      </w:r>
      <w:r w:rsidR="00D733BB" w:rsidRPr="005C6DD6">
        <w:rPr>
          <w:rFonts w:asciiTheme="minorHAnsi" w:hAnsiTheme="minorHAnsi"/>
          <w:szCs w:val="24"/>
        </w:rPr>
        <w:t xml:space="preserve"> under authority from </w:t>
      </w:r>
      <w:r w:rsidRPr="005C6DD6">
        <w:rPr>
          <w:rFonts w:asciiTheme="minorHAnsi" w:hAnsiTheme="minorHAnsi"/>
          <w:szCs w:val="24"/>
        </w:rPr>
        <w:t>the Energy Policy Act of 2005 (</w:t>
      </w:r>
      <w:r w:rsidR="00D733BB" w:rsidRPr="005C6DD6">
        <w:rPr>
          <w:rFonts w:asciiTheme="minorHAnsi" w:hAnsiTheme="minorHAnsi"/>
          <w:szCs w:val="24"/>
        </w:rPr>
        <w:t>EPACT</w:t>
      </w:r>
      <w:r w:rsidRPr="005C6DD6">
        <w:rPr>
          <w:rFonts w:asciiTheme="minorHAnsi" w:hAnsiTheme="minorHAnsi"/>
          <w:szCs w:val="24"/>
        </w:rPr>
        <w:t xml:space="preserve"> </w:t>
      </w:r>
      <w:r w:rsidR="00D733BB" w:rsidRPr="005C6DD6">
        <w:rPr>
          <w:rFonts w:asciiTheme="minorHAnsi" w:hAnsiTheme="minorHAnsi"/>
          <w:szCs w:val="24"/>
        </w:rPr>
        <w:t>2005</w:t>
      </w:r>
      <w:r w:rsidRPr="005C6DD6">
        <w:rPr>
          <w:rFonts w:asciiTheme="minorHAnsi" w:hAnsiTheme="minorHAnsi"/>
          <w:szCs w:val="24"/>
        </w:rPr>
        <w:t>)</w:t>
      </w:r>
      <w:r w:rsidR="00D733BB" w:rsidRPr="005C6DD6">
        <w:rPr>
          <w:rFonts w:asciiTheme="minorHAnsi" w:hAnsiTheme="minorHAnsi"/>
          <w:szCs w:val="24"/>
        </w:rPr>
        <w:t xml:space="preserve"> on forms entitled </w:t>
      </w:r>
      <w:r w:rsidR="00D733BB" w:rsidRPr="005C6DD6">
        <w:rPr>
          <w:rFonts w:asciiTheme="minorHAnsi" w:hAnsiTheme="minorHAnsi"/>
          <w:bCs/>
          <w:color w:val="000000"/>
          <w:szCs w:val="24"/>
        </w:rPr>
        <w:t>Renewable Fuel Standard Compliance Report Forms</w:t>
      </w:r>
      <w:r w:rsidR="00D733BB" w:rsidRPr="005C6DD6">
        <w:rPr>
          <w:rFonts w:asciiTheme="minorHAnsi" w:hAnsiTheme="minorHAnsi"/>
          <w:szCs w:val="24"/>
        </w:rPr>
        <w:t>.  The EPA program is designed to track Renewable Identification Numbers (RINs) that are generated by producers, and not specifically to track market activities such as production, sales, etc.</w:t>
      </w:r>
      <w:r w:rsidR="00DC56CA" w:rsidRPr="005C6DD6">
        <w:rPr>
          <w:rFonts w:asciiTheme="minorHAnsi" w:hAnsiTheme="minorHAnsi"/>
          <w:szCs w:val="24"/>
        </w:rPr>
        <w:t xml:space="preserve">  While RIN generation can be useful as an indicator of biofuel production, EIA believes it is necessary to collect survey data specifically aimed at biodiesel production</w:t>
      </w:r>
      <w:r w:rsidR="009C6B72" w:rsidRPr="005C6DD6">
        <w:rPr>
          <w:rFonts w:asciiTheme="minorHAnsi" w:hAnsiTheme="minorHAnsi"/>
          <w:szCs w:val="24"/>
        </w:rPr>
        <w:t xml:space="preserve"> and other data on Form EIA-22M </w:t>
      </w:r>
      <w:r w:rsidR="00DC56CA" w:rsidRPr="005C6DD6">
        <w:rPr>
          <w:rFonts w:asciiTheme="minorHAnsi" w:hAnsiTheme="minorHAnsi"/>
          <w:szCs w:val="24"/>
        </w:rPr>
        <w:t xml:space="preserve">in order to fulfill statistical requirements for </w:t>
      </w:r>
      <w:r w:rsidR="009C6B72" w:rsidRPr="005C6DD6">
        <w:rPr>
          <w:rFonts w:asciiTheme="minorHAnsi" w:hAnsiTheme="minorHAnsi"/>
          <w:szCs w:val="24"/>
        </w:rPr>
        <w:t xml:space="preserve">biofuel </w:t>
      </w:r>
      <w:r w:rsidR="00DC56CA" w:rsidRPr="005C6DD6">
        <w:rPr>
          <w:rFonts w:asciiTheme="minorHAnsi" w:hAnsiTheme="minorHAnsi"/>
          <w:szCs w:val="24"/>
        </w:rPr>
        <w:t xml:space="preserve">market information.  </w:t>
      </w:r>
      <w:r w:rsidR="00D733BB" w:rsidRPr="005C6DD6">
        <w:rPr>
          <w:rFonts w:asciiTheme="minorHAnsi" w:hAnsiTheme="minorHAnsi"/>
          <w:szCs w:val="24"/>
        </w:rPr>
        <w:t>The EPA data</w:t>
      </w:r>
      <w:r w:rsidR="00DC56CA" w:rsidRPr="005C6DD6">
        <w:rPr>
          <w:rFonts w:asciiTheme="minorHAnsi" w:hAnsiTheme="minorHAnsi"/>
          <w:szCs w:val="24"/>
        </w:rPr>
        <w:t xml:space="preserve"> on RIN generation</w:t>
      </w:r>
      <w:r w:rsidR="00D733BB" w:rsidRPr="005C6DD6">
        <w:rPr>
          <w:rFonts w:asciiTheme="minorHAnsi" w:hAnsiTheme="minorHAnsi"/>
          <w:szCs w:val="24"/>
        </w:rPr>
        <w:t xml:space="preserve"> are collected on a quarterly basis, two months after the end of </w:t>
      </w:r>
      <w:r w:rsidR="005179EE" w:rsidRPr="005C6DD6">
        <w:rPr>
          <w:rFonts w:asciiTheme="minorHAnsi" w:hAnsiTheme="minorHAnsi"/>
          <w:szCs w:val="24"/>
        </w:rPr>
        <w:t>each</w:t>
      </w:r>
      <w:r w:rsidR="00D733BB" w:rsidRPr="005C6DD6">
        <w:rPr>
          <w:rFonts w:asciiTheme="minorHAnsi" w:hAnsiTheme="minorHAnsi"/>
          <w:szCs w:val="24"/>
        </w:rPr>
        <w:t xml:space="preserve"> quarter.</w:t>
      </w:r>
      <w:r w:rsidR="00DC56CA" w:rsidRPr="005C6DD6">
        <w:rPr>
          <w:rFonts w:asciiTheme="minorHAnsi" w:hAnsiTheme="minorHAnsi"/>
          <w:szCs w:val="24"/>
        </w:rPr>
        <w:t xml:space="preserve">  T</w:t>
      </w:r>
      <w:r w:rsidR="009C6B72" w:rsidRPr="005C6DD6">
        <w:rPr>
          <w:rFonts w:asciiTheme="minorHAnsi" w:hAnsiTheme="minorHAnsi"/>
          <w:szCs w:val="24"/>
        </w:rPr>
        <w:t xml:space="preserve">herefore, the timing of these </w:t>
      </w:r>
      <w:r w:rsidR="00F06D51" w:rsidRPr="005C6DD6">
        <w:rPr>
          <w:rFonts w:asciiTheme="minorHAnsi" w:hAnsiTheme="minorHAnsi"/>
          <w:szCs w:val="24"/>
        </w:rPr>
        <w:t xml:space="preserve">EPA </w:t>
      </w:r>
      <w:r w:rsidR="009C6B72" w:rsidRPr="005C6DD6">
        <w:rPr>
          <w:rFonts w:asciiTheme="minorHAnsi" w:hAnsiTheme="minorHAnsi"/>
          <w:szCs w:val="24"/>
        </w:rPr>
        <w:t xml:space="preserve">reports is not </w:t>
      </w:r>
      <w:r w:rsidR="00F06D51" w:rsidRPr="005C6DD6">
        <w:rPr>
          <w:rFonts w:asciiTheme="minorHAnsi" w:hAnsiTheme="minorHAnsi"/>
          <w:szCs w:val="24"/>
        </w:rPr>
        <w:t xml:space="preserve">consistent with the monthly schedule of EIA data releases.  Another survey conducted by the U.S. Census Bureau (Census Form M311K – “Fats and Oils:  Production, Consumption, and Stocks, data for all fats and oils consumed in methyl ester (biodiesel)” was discontinued.  The last available data from Census Form M311K was for August 2011.  </w:t>
      </w:r>
      <w:r w:rsidR="00D733BB" w:rsidRPr="005C6DD6">
        <w:rPr>
          <w:rFonts w:asciiTheme="minorHAnsi" w:hAnsiTheme="minorHAnsi"/>
          <w:szCs w:val="24"/>
        </w:rPr>
        <w:t>T</w:t>
      </w:r>
      <w:r w:rsidR="00D733BB" w:rsidRPr="005C6DD6">
        <w:rPr>
          <w:rFonts w:asciiTheme="minorHAnsi" w:hAnsiTheme="minorHAnsi"/>
          <w:color w:val="000000"/>
          <w:szCs w:val="24"/>
        </w:rPr>
        <w:t>he National Biodiesel Board (NBB) maintains a plant list of its members.  The information collected by the NBB includes plant location, nameplate capacity and primary feedstocks used.  However, these data are not collected via a statistical survey, nor are they complete, as not all biodiesel producers are members of the NBB.  This source also does not always track changes in feedstocks and/or capacities on a timely basis.</w:t>
      </w:r>
    </w:p>
    <w:p w14:paraId="139F08CC" w14:textId="77777777" w:rsidR="000C651B" w:rsidRDefault="000C651B" w:rsidP="00B7681A">
      <w:pPr>
        <w:jc w:val="left"/>
        <w:rPr>
          <w:rFonts w:asciiTheme="minorHAnsi" w:hAnsiTheme="minorHAnsi"/>
          <w:szCs w:val="24"/>
        </w:rPr>
      </w:pPr>
      <w:r w:rsidRPr="005C6DD6">
        <w:rPr>
          <w:rFonts w:asciiTheme="minorHAnsi" w:hAnsiTheme="minorHAnsi"/>
          <w:szCs w:val="24"/>
        </w:rPr>
        <w:t>When changes are proposed to petroleum supply survey forms, an extensive review of other sources relating to these types of data is performed.</w:t>
      </w:r>
    </w:p>
    <w:p w14:paraId="5B6AB2A1" w14:textId="77777777" w:rsidR="00085A59" w:rsidRDefault="00085A59" w:rsidP="00B7681A">
      <w:pPr>
        <w:jc w:val="left"/>
        <w:rPr>
          <w:rFonts w:asciiTheme="minorHAnsi" w:hAnsiTheme="minorHAnsi"/>
          <w:szCs w:val="24"/>
        </w:rPr>
      </w:pPr>
    </w:p>
    <w:p w14:paraId="57213407" w14:textId="77777777" w:rsidR="000C651B" w:rsidRPr="005C6DD6" w:rsidRDefault="000C651B" w:rsidP="00B7681A">
      <w:pPr>
        <w:pStyle w:val="Heading2"/>
        <w:rPr>
          <w:rFonts w:asciiTheme="minorHAnsi" w:hAnsiTheme="minorHAnsi"/>
        </w:rPr>
      </w:pPr>
      <w:bookmarkStart w:id="17" w:name="_Toc442088383"/>
      <w:r w:rsidRPr="005C6DD6">
        <w:rPr>
          <w:rFonts w:asciiTheme="minorHAnsi" w:hAnsiTheme="minorHAnsi"/>
        </w:rPr>
        <w:t>Burden Reduction for Small Businesses and Small Entities</w:t>
      </w:r>
      <w:bookmarkEnd w:id="17"/>
    </w:p>
    <w:p w14:paraId="2FD5DA0B" w14:textId="77777777" w:rsidR="000C651B" w:rsidRPr="005C6DD6" w:rsidRDefault="00895CA1" w:rsidP="00B7681A">
      <w:pPr>
        <w:spacing w:before="120" w:beforeAutospacing="0"/>
        <w:jc w:val="left"/>
        <w:rPr>
          <w:rFonts w:asciiTheme="minorHAnsi" w:hAnsiTheme="minorHAnsi"/>
          <w:szCs w:val="24"/>
        </w:rPr>
      </w:pPr>
      <w:r w:rsidRPr="005C6DD6">
        <w:rPr>
          <w:rFonts w:asciiTheme="minorHAnsi" w:hAnsiTheme="minorHAnsi"/>
          <w:szCs w:val="24"/>
        </w:rPr>
        <w:t>The d</w:t>
      </w:r>
      <w:r w:rsidR="000C651B" w:rsidRPr="005C6DD6">
        <w:rPr>
          <w:rFonts w:asciiTheme="minorHAnsi" w:hAnsiTheme="minorHAnsi"/>
          <w:szCs w:val="24"/>
        </w:rPr>
        <w:t xml:space="preserve">ata requested </w:t>
      </w:r>
      <w:r w:rsidRPr="005C6DD6">
        <w:rPr>
          <w:rFonts w:asciiTheme="minorHAnsi" w:hAnsiTheme="minorHAnsi"/>
          <w:szCs w:val="24"/>
        </w:rPr>
        <w:t xml:space="preserve">in the PSRS collection </w:t>
      </w:r>
      <w:r w:rsidR="000C651B" w:rsidRPr="005C6DD6">
        <w:rPr>
          <w:rFonts w:asciiTheme="minorHAnsi" w:hAnsiTheme="minorHAnsi"/>
          <w:szCs w:val="24"/>
        </w:rPr>
        <w:t xml:space="preserve">provide the minimum information necessary to fulfill EIA's responsibility to provide meaningful, timely, objective, and accurate petroleum supply data.  Respondents to the survey complete only those data elements applicable to their operations. </w:t>
      </w:r>
      <w:r w:rsidRPr="005C6DD6">
        <w:rPr>
          <w:rFonts w:asciiTheme="minorHAnsi" w:hAnsiTheme="minorHAnsi"/>
          <w:szCs w:val="24"/>
        </w:rPr>
        <w:t xml:space="preserve"> </w:t>
      </w:r>
      <w:r w:rsidR="000C651B" w:rsidRPr="005C6DD6">
        <w:rPr>
          <w:rFonts w:asciiTheme="minorHAnsi" w:hAnsiTheme="minorHAnsi"/>
          <w:szCs w:val="24"/>
        </w:rPr>
        <w:t xml:space="preserve">Sampling practices are utilized </w:t>
      </w:r>
      <w:r w:rsidR="00292F9B" w:rsidRPr="005C6DD6">
        <w:rPr>
          <w:rFonts w:asciiTheme="minorHAnsi" w:hAnsiTheme="minorHAnsi"/>
          <w:szCs w:val="24"/>
        </w:rPr>
        <w:t xml:space="preserve">for the weekly surveys </w:t>
      </w:r>
      <w:r w:rsidR="000C651B" w:rsidRPr="005C6DD6">
        <w:rPr>
          <w:rFonts w:asciiTheme="minorHAnsi" w:hAnsiTheme="minorHAnsi"/>
          <w:szCs w:val="24"/>
        </w:rPr>
        <w:t xml:space="preserve">in order to minimize burden on respondents </w:t>
      </w:r>
      <w:r w:rsidR="007A7696" w:rsidRPr="005C6DD6">
        <w:rPr>
          <w:rFonts w:asciiTheme="minorHAnsi" w:hAnsiTheme="minorHAnsi"/>
          <w:szCs w:val="24"/>
        </w:rPr>
        <w:t xml:space="preserve">while still ensuring that </w:t>
      </w:r>
      <w:r w:rsidR="00457BB1" w:rsidRPr="005C6DD6">
        <w:rPr>
          <w:rFonts w:asciiTheme="minorHAnsi" w:hAnsiTheme="minorHAnsi"/>
          <w:szCs w:val="24"/>
        </w:rPr>
        <w:t>quality summary-level data can be estimated for publication</w:t>
      </w:r>
      <w:r w:rsidR="000C651B" w:rsidRPr="005C6DD6">
        <w:rPr>
          <w:rFonts w:asciiTheme="minorHAnsi" w:hAnsiTheme="minorHAnsi"/>
          <w:szCs w:val="24"/>
        </w:rPr>
        <w:t xml:space="preserve">. </w:t>
      </w:r>
      <w:r w:rsidRPr="005C6DD6">
        <w:rPr>
          <w:rFonts w:asciiTheme="minorHAnsi" w:hAnsiTheme="minorHAnsi"/>
          <w:szCs w:val="24"/>
        </w:rPr>
        <w:t xml:space="preserve"> </w:t>
      </w:r>
      <w:r w:rsidR="000C651B" w:rsidRPr="005C6DD6">
        <w:rPr>
          <w:rFonts w:asciiTheme="minorHAnsi" w:hAnsiTheme="minorHAnsi"/>
          <w:szCs w:val="24"/>
        </w:rPr>
        <w:t xml:space="preserve">The use of PEDRO or the </w:t>
      </w:r>
      <w:r w:rsidR="0009331A" w:rsidRPr="005C6DD6">
        <w:rPr>
          <w:rFonts w:asciiTheme="minorHAnsi" w:hAnsiTheme="minorHAnsi"/>
          <w:szCs w:val="24"/>
        </w:rPr>
        <w:t>Internet</w:t>
      </w:r>
      <w:r w:rsidR="000C651B" w:rsidRPr="005C6DD6">
        <w:rPr>
          <w:rFonts w:asciiTheme="minorHAnsi" w:hAnsiTheme="minorHAnsi"/>
          <w:szCs w:val="24"/>
        </w:rPr>
        <w:t xml:space="preserve"> by respondents reduces reporting burden by eliminating paperwork and reducing </w:t>
      </w:r>
      <w:r w:rsidR="00292F9B" w:rsidRPr="005C6DD6">
        <w:rPr>
          <w:rFonts w:asciiTheme="minorHAnsi" w:hAnsiTheme="minorHAnsi"/>
          <w:szCs w:val="24"/>
        </w:rPr>
        <w:t xml:space="preserve">the need for </w:t>
      </w:r>
      <w:r w:rsidR="000C651B" w:rsidRPr="005C6DD6">
        <w:rPr>
          <w:rFonts w:asciiTheme="minorHAnsi" w:hAnsiTheme="minorHAnsi"/>
          <w:szCs w:val="24"/>
        </w:rPr>
        <w:t>follow-up calls</w:t>
      </w:r>
      <w:r w:rsidR="003863FF" w:rsidRPr="005C6DD6">
        <w:rPr>
          <w:rFonts w:asciiTheme="minorHAnsi" w:hAnsiTheme="minorHAnsi"/>
          <w:szCs w:val="24"/>
        </w:rPr>
        <w:t xml:space="preserve"> and</w:t>
      </w:r>
      <w:r w:rsidR="000C651B" w:rsidRPr="005C6DD6">
        <w:rPr>
          <w:rFonts w:asciiTheme="minorHAnsi" w:hAnsiTheme="minorHAnsi"/>
          <w:szCs w:val="24"/>
        </w:rPr>
        <w:t xml:space="preserve"> resubmissions</w:t>
      </w:r>
      <w:r w:rsidR="00292F9B" w:rsidRPr="005C6DD6">
        <w:rPr>
          <w:rFonts w:asciiTheme="minorHAnsi" w:hAnsiTheme="minorHAnsi"/>
          <w:szCs w:val="24"/>
        </w:rPr>
        <w:t xml:space="preserve"> of the forms</w:t>
      </w:r>
      <w:r w:rsidR="000C651B" w:rsidRPr="005C6DD6">
        <w:rPr>
          <w:rFonts w:asciiTheme="minorHAnsi" w:hAnsiTheme="minorHAnsi"/>
          <w:szCs w:val="24"/>
        </w:rPr>
        <w:t>.  Also, EIA staff members are available during normal business hours to provide assistance by telephone.</w:t>
      </w:r>
    </w:p>
    <w:p w14:paraId="3A1AA83F" w14:textId="77777777" w:rsidR="000C651B" w:rsidRPr="005C6DD6" w:rsidRDefault="00CE3E6E" w:rsidP="00B7681A">
      <w:pPr>
        <w:pStyle w:val="Heading2"/>
        <w:rPr>
          <w:rFonts w:asciiTheme="minorHAnsi" w:hAnsiTheme="minorHAnsi"/>
        </w:rPr>
      </w:pPr>
      <w:bookmarkStart w:id="18" w:name="_Toc442088384"/>
      <w:r w:rsidRPr="005C6DD6">
        <w:rPr>
          <w:rFonts w:asciiTheme="minorHAnsi" w:hAnsiTheme="minorHAnsi"/>
        </w:rPr>
        <w:t>Consequences of Less Frequent Reporting</w:t>
      </w:r>
      <w:bookmarkEnd w:id="18"/>
    </w:p>
    <w:p w14:paraId="2BB540F8" w14:textId="77777777" w:rsidR="00F558AE" w:rsidRPr="005C6DD6" w:rsidRDefault="00F558AE" w:rsidP="00B7681A">
      <w:pPr>
        <w:spacing w:before="120" w:beforeAutospacing="0"/>
        <w:jc w:val="left"/>
        <w:rPr>
          <w:rFonts w:asciiTheme="minorHAnsi" w:hAnsiTheme="minorHAnsi"/>
          <w:szCs w:val="24"/>
        </w:rPr>
      </w:pPr>
      <w:r w:rsidRPr="005C6DD6">
        <w:rPr>
          <w:rFonts w:asciiTheme="minorHAnsi" w:hAnsiTheme="minorHAnsi"/>
          <w:szCs w:val="24"/>
        </w:rPr>
        <w:t xml:space="preserve">Less frequent reporting would </w:t>
      </w:r>
      <w:r w:rsidR="008A104C" w:rsidRPr="005C6DD6">
        <w:rPr>
          <w:rFonts w:asciiTheme="minorHAnsi" w:hAnsiTheme="minorHAnsi"/>
          <w:szCs w:val="24"/>
        </w:rPr>
        <w:t xml:space="preserve">degrade </w:t>
      </w:r>
      <w:r w:rsidRPr="005C6DD6">
        <w:rPr>
          <w:rFonts w:asciiTheme="minorHAnsi" w:hAnsiTheme="minorHAnsi"/>
          <w:szCs w:val="24"/>
        </w:rPr>
        <w:t>EIA</w:t>
      </w:r>
      <w:r w:rsidR="008A104C" w:rsidRPr="005C6DD6">
        <w:rPr>
          <w:rFonts w:asciiTheme="minorHAnsi" w:hAnsiTheme="minorHAnsi"/>
          <w:szCs w:val="24"/>
        </w:rPr>
        <w:t>’s capability to meet</w:t>
      </w:r>
      <w:r w:rsidRPr="005C6DD6">
        <w:rPr>
          <w:rFonts w:asciiTheme="minorHAnsi" w:hAnsiTheme="minorHAnsi"/>
          <w:szCs w:val="24"/>
        </w:rPr>
        <w:t xml:space="preserve"> its mandate of providing timely and reliable energy information.  </w:t>
      </w:r>
      <w:r w:rsidR="00CE3E6E" w:rsidRPr="005C6DD6">
        <w:rPr>
          <w:rFonts w:asciiTheme="minorHAnsi" w:hAnsiTheme="minorHAnsi"/>
          <w:szCs w:val="24"/>
        </w:rPr>
        <w:t xml:space="preserve">Data are required at </w:t>
      </w:r>
      <w:r w:rsidR="00292F9B" w:rsidRPr="005C6DD6">
        <w:rPr>
          <w:rFonts w:asciiTheme="minorHAnsi" w:hAnsiTheme="minorHAnsi"/>
          <w:szCs w:val="24"/>
        </w:rPr>
        <w:t>both the weekly and monthly levels</w:t>
      </w:r>
      <w:r w:rsidR="00CE3E6E" w:rsidRPr="005C6DD6">
        <w:rPr>
          <w:rFonts w:asciiTheme="minorHAnsi" w:hAnsiTheme="minorHAnsi"/>
          <w:szCs w:val="24"/>
        </w:rPr>
        <w:t xml:space="preserve"> in order to satisfy EI</w:t>
      </w:r>
      <w:r w:rsidR="00312DAE" w:rsidRPr="005C6DD6">
        <w:rPr>
          <w:rFonts w:asciiTheme="minorHAnsi" w:hAnsiTheme="minorHAnsi"/>
          <w:szCs w:val="24"/>
        </w:rPr>
        <w:t>A</w:t>
      </w:r>
      <w:r w:rsidR="00CE3E6E" w:rsidRPr="005C6DD6">
        <w:rPr>
          <w:rFonts w:asciiTheme="minorHAnsi" w:hAnsiTheme="minorHAnsi"/>
          <w:szCs w:val="24"/>
        </w:rPr>
        <w:t>’s prog</w:t>
      </w:r>
      <w:r w:rsidR="0041775F" w:rsidRPr="005C6DD6">
        <w:rPr>
          <w:rFonts w:asciiTheme="minorHAnsi" w:hAnsiTheme="minorHAnsi"/>
          <w:szCs w:val="24"/>
        </w:rPr>
        <w:t xml:space="preserve">rammatic needs as described in Section </w:t>
      </w:r>
      <w:r w:rsidR="00CE3E6E" w:rsidRPr="005C6DD6">
        <w:rPr>
          <w:rFonts w:asciiTheme="minorHAnsi" w:hAnsiTheme="minorHAnsi"/>
          <w:szCs w:val="24"/>
        </w:rPr>
        <w:t xml:space="preserve">2 above.  </w:t>
      </w:r>
      <w:r w:rsidR="000C651B" w:rsidRPr="005C6DD6">
        <w:rPr>
          <w:rFonts w:asciiTheme="minorHAnsi" w:hAnsiTheme="minorHAnsi"/>
          <w:szCs w:val="24"/>
        </w:rPr>
        <w:t>E</w:t>
      </w:r>
      <w:r w:rsidR="00CE3E6E" w:rsidRPr="005C6DD6">
        <w:rPr>
          <w:rFonts w:asciiTheme="minorHAnsi" w:hAnsiTheme="minorHAnsi"/>
          <w:szCs w:val="24"/>
        </w:rPr>
        <w:t>IA</w:t>
      </w:r>
      <w:r w:rsidR="000C651B" w:rsidRPr="005C6DD6">
        <w:rPr>
          <w:rFonts w:asciiTheme="minorHAnsi" w:hAnsiTheme="minorHAnsi"/>
          <w:szCs w:val="24"/>
        </w:rPr>
        <w:t xml:space="preserve"> is recognized as the major collector of comprehensive</w:t>
      </w:r>
      <w:r w:rsidR="00227CD1" w:rsidRPr="005C6DD6">
        <w:rPr>
          <w:rFonts w:asciiTheme="minorHAnsi" w:hAnsiTheme="minorHAnsi"/>
          <w:szCs w:val="24"/>
        </w:rPr>
        <w:t>, internally consistent,</w:t>
      </w:r>
      <w:r w:rsidR="000C651B" w:rsidRPr="005C6DD6">
        <w:rPr>
          <w:rFonts w:asciiTheme="minorHAnsi" w:hAnsiTheme="minorHAnsi"/>
          <w:szCs w:val="24"/>
        </w:rPr>
        <w:t xml:space="preserve"> and reliable United States energy supply and demand data.  All sectors of the economy rely on EIA for energy statistics and consider its publications </w:t>
      </w:r>
      <w:r w:rsidR="00780CB7" w:rsidRPr="005C6DD6">
        <w:rPr>
          <w:rFonts w:asciiTheme="minorHAnsi" w:hAnsiTheme="minorHAnsi"/>
          <w:szCs w:val="24"/>
        </w:rPr>
        <w:t xml:space="preserve">to be </w:t>
      </w:r>
      <w:r w:rsidR="000C651B" w:rsidRPr="005C6DD6">
        <w:rPr>
          <w:rFonts w:asciiTheme="minorHAnsi" w:hAnsiTheme="minorHAnsi"/>
          <w:szCs w:val="24"/>
        </w:rPr>
        <w:t>timely</w:t>
      </w:r>
      <w:r w:rsidR="00780CB7" w:rsidRPr="005C6DD6">
        <w:rPr>
          <w:rFonts w:asciiTheme="minorHAnsi" w:hAnsiTheme="minorHAnsi"/>
          <w:szCs w:val="24"/>
        </w:rPr>
        <w:t xml:space="preserve"> unbiased </w:t>
      </w:r>
      <w:r w:rsidR="000C651B" w:rsidRPr="005C6DD6">
        <w:rPr>
          <w:rFonts w:asciiTheme="minorHAnsi" w:hAnsiTheme="minorHAnsi"/>
          <w:szCs w:val="24"/>
        </w:rPr>
        <w:t>indicators of current energy conditions and incipient trends.</w:t>
      </w:r>
    </w:p>
    <w:p w14:paraId="638A39E4" w14:textId="77777777" w:rsidR="00CE3E6E" w:rsidRPr="005C6DD6" w:rsidRDefault="00CE3E6E" w:rsidP="00B7681A">
      <w:pPr>
        <w:jc w:val="left"/>
        <w:rPr>
          <w:rFonts w:asciiTheme="minorHAnsi" w:hAnsiTheme="minorHAnsi"/>
          <w:szCs w:val="24"/>
        </w:rPr>
      </w:pPr>
      <w:r w:rsidRPr="005C6DD6">
        <w:rPr>
          <w:rFonts w:asciiTheme="minorHAnsi" w:hAnsiTheme="minorHAnsi"/>
          <w:szCs w:val="24"/>
        </w:rPr>
        <w:t xml:space="preserve">On a weekly basis, the data on the </w:t>
      </w:r>
      <w:r w:rsidR="005F253B" w:rsidRPr="005C6DD6">
        <w:rPr>
          <w:rFonts w:asciiTheme="minorHAnsi" w:hAnsiTheme="minorHAnsi"/>
          <w:szCs w:val="24"/>
        </w:rPr>
        <w:t xml:space="preserve">Forms </w:t>
      </w:r>
      <w:r w:rsidRPr="005C6DD6">
        <w:rPr>
          <w:rFonts w:asciiTheme="minorHAnsi" w:hAnsiTheme="minorHAnsi"/>
          <w:szCs w:val="24"/>
        </w:rPr>
        <w:t>EIA-800 through EIA-804 have been collected since 1979</w:t>
      </w:r>
      <w:r w:rsidR="005F253B" w:rsidRPr="005C6DD6">
        <w:rPr>
          <w:rFonts w:asciiTheme="minorHAnsi" w:hAnsiTheme="minorHAnsi"/>
          <w:szCs w:val="24"/>
        </w:rPr>
        <w:t>,</w:t>
      </w:r>
      <w:r w:rsidRPr="005C6DD6">
        <w:rPr>
          <w:rFonts w:asciiTheme="minorHAnsi" w:hAnsiTheme="minorHAnsi"/>
          <w:szCs w:val="24"/>
        </w:rPr>
        <w:t xml:space="preserve"> while data on the </w:t>
      </w:r>
      <w:r w:rsidR="005F253B" w:rsidRPr="005C6DD6">
        <w:rPr>
          <w:rFonts w:asciiTheme="minorHAnsi" w:hAnsiTheme="minorHAnsi"/>
          <w:szCs w:val="24"/>
        </w:rPr>
        <w:t xml:space="preserve">Form </w:t>
      </w:r>
      <w:r w:rsidRPr="005C6DD6">
        <w:rPr>
          <w:rFonts w:asciiTheme="minorHAnsi" w:hAnsiTheme="minorHAnsi"/>
          <w:szCs w:val="24"/>
        </w:rPr>
        <w:t>EIA-805 have been collected since 2004</w:t>
      </w:r>
      <w:r w:rsidR="005F7CEC" w:rsidRPr="005C6DD6">
        <w:rPr>
          <w:rFonts w:asciiTheme="minorHAnsi" w:hAnsiTheme="minorHAnsi"/>
          <w:szCs w:val="24"/>
        </w:rPr>
        <w:t xml:space="preserve"> and on the Form EIA-809 since </w:t>
      </w:r>
      <w:r w:rsidR="009E2974" w:rsidRPr="005C6DD6">
        <w:rPr>
          <w:rFonts w:asciiTheme="minorHAnsi" w:hAnsiTheme="minorHAnsi"/>
          <w:szCs w:val="24"/>
        </w:rPr>
        <w:t>2010</w:t>
      </w:r>
      <w:r w:rsidRPr="005C6DD6">
        <w:rPr>
          <w:rFonts w:asciiTheme="minorHAnsi" w:hAnsiTheme="minorHAnsi"/>
          <w:szCs w:val="24"/>
        </w:rPr>
        <w:t xml:space="preserve">.  The data are used to generate the Weekly Petroleum Status Report </w:t>
      </w:r>
      <w:r w:rsidRPr="005C6DD6">
        <w:rPr>
          <w:rFonts w:asciiTheme="minorHAnsi" w:hAnsiTheme="minorHAnsi"/>
          <w:iCs/>
          <w:szCs w:val="24"/>
        </w:rPr>
        <w:t>and</w:t>
      </w:r>
      <w:r w:rsidRPr="005C6DD6">
        <w:rPr>
          <w:rFonts w:asciiTheme="minorHAnsi" w:hAnsiTheme="minorHAnsi"/>
          <w:szCs w:val="24"/>
        </w:rPr>
        <w:t xml:space="preserve"> This Week in Petroleum.  The reports generated from the weekly data are very much in </w:t>
      </w:r>
      <w:r w:rsidR="00630517" w:rsidRPr="005C6DD6">
        <w:rPr>
          <w:rFonts w:asciiTheme="minorHAnsi" w:hAnsiTheme="minorHAnsi"/>
          <w:szCs w:val="24"/>
        </w:rPr>
        <w:t xml:space="preserve">demand by a wide audience.  </w:t>
      </w:r>
      <w:r w:rsidR="005F253B" w:rsidRPr="005C6DD6">
        <w:rPr>
          <w:rFonts w:asciiTheme="minorHAnsi" w:hAnsiTheme="minorHAnsi"/>
          <w:szCs w:val="24"/>
        </w:rPr>
        <w:t xml:space="preserve">Forms </w:t>
      </w:r>
      <w:r w:rsidRPr="005C6DD6">
        <w:rPr>
          <w:rFonts w:asciiTheme="minorHAnsi" w:hAnsiTheme="minorHAnsi"/>
          <w:szCs w:val="24"/>
        </w:rPr>
        <w:t>EIA-810 through EIA-819 are collected on a monthly basis and are published in the Petroleum Supply Monthly, Monthly Energy Review, Petroleum Supply Annual and the Annual Energy Review.</w:t>
      </w:r>
      <w:r w:rsidR="009E2974" w:rsidRPr="005C6DD6">
        <w:rPr>
          <w:rFonts w:asciiTheme="minorHAnsi" w:hAnsiTheme="minorHAnsi"/>
          <w:szCs w:val="24"/>
        </w:rPr>
        <w:t xml:space="preserve">  Monthly data are essential for assessment of seasonal changes in petroleum supplies and markets and to capture market adjustments to changes in prices and levels of economic activity.  Annual data collected on Form EIA-820 are adequate for analysis and assessment of detailed refinery capacities, fuels and </w:t>
      </w:r>
      <w:r w:rsidR="00BE47DB" w:rsidRPr="005C6DD6">
        <w:rPr>
          <w:rFonts w:asciiTheme="minorHAnsi" w:hAnsiTheme="minorHAnsi"/>
          <w:szCs w:val="24"/>
        </w:rPr>
        <w:t xml:space="preserve">hydrogen </w:t>
      </w:r>
      <w:r w:rsidR="009E2974" w:rsidRPr="005C6DD6">
        <w:rPr>
          <w:rFonts w:asciiTheme="minorHAnsi" w:hAnsiTheme="minorHAnsi"/>
          <w:szCs w:val="24"/>
        </w:rPr>
        <w:t>feedstocks consumed, and crude oil receipts by method of transportation.</w:t>
      </w:r>
    </w:p>
    <w:p w14:paraId="48DBCAD3" w14:textId="77777777" w:rsidR="000C651B" w:rsidRPr="005C6DD6" w:rsidRDefault="000C651B" w:rsidP="00B7681A">
      <w:pPr>
        <w:pStyle w:val="Heading2"/>
        <w:rPr>
          <w:rFonts w:asciiTheme="minorHAnsi" w:hAnsiTheme="minorHAnsi"/>
        </w:rPr>
      </w:pPr>
      <w:bookmarkStart w:id="19" w:name="_Toc442088385"/>
      <w:r w:rsidRPr="005C6DD6">
        <w:rPr>
          <w:rFonts w:asciiTheme="minorHAnsi" w:hAnsiTheme="minorHAnsi"/>
        </w:rPr>
        <w:t>Special Circumstances</w:t>
      </w:r>
      <w:bookmarkEnd w:id="19"/>
    </w:p>
    <w:p w14:paraId="3300E92E" w14:textId="77777777" w:rsidR="00CE3E6E" w:rsidRPr="005C6DD6" w:rsidRDefault="00CE3E6E" w:rsidP="00B7681A">
      <w:pPr>
        <w:spacing w:before="120" w:beforeAutospacing="0"/>
        <w:jc w:val="left"/>
        <w:rPr>
          <w:rFonts w:asciiTheme="minorHAnsi" w:hAnsiTheme="minorHAnsi"/>
          <w:szCs w:val="24"/>
        </w:rPr>
      </w:pPr>
      <w:r w:rsidRPr="005C6DD6">
        <w:rPr>
          <w:rFonts w:asciiTheme="minorHAnsi" w:hAnsiTheme="minorHAnsi"/>
          <w:szCs w:val="24"/>
        </w:rPr>
        <w:lastRenderedPageBreak/>
        <w:t>There are no</w:t>
      </w:r>
      <w:r w:rsidR="008205AD" w:rsidRPr="005C6DD6">
        <w:rPr>
          <w:rFonts w:asciiTheme="minorHAnsi" w:hAnsiTheme="minorHAnsi"/>
          <w:szCs w:val="24"/>
        </w:rPr>
        <w:t>t any</w:t>
      </w:r>
      <w:r w:rsidRPr="005C6DD6">
        <w:rPr>
          <w:rFonts w:asciiTheme="minorHAnsi" w:hAnsiTheme="minorHAnsi"/>
          <w:szCs w:val="24"/>
        </w:rPr>
        <w:t xml:space="preserve"> special circumstances for the</w:t>
      </w:r>
      <w:r w:rsidR="007A4769" w:rsidRPr="005C6DD6">
        <w:rPr>
          <w:rFonts w:asciiTheme="minorHAnsi" w:hAnsiTheme="minorHAnsi"/>
          <w:szCs w:val="24"/>
        </w:rPr>
        <w:t xml:space="preserve"> PSRS data</w:t>
      </w:r>
      <w:r w:rsidRPr="005C6DD6">
        <w:rPr>
          <w:rFonts w:asciiTheme="minorHAnsi" w:hAnsiTheme="minorHAnsi"/>
          <w:szCs w:val="24"/>
        </w:rPr>
        <w:t xml:space="preserve"> collection.</w:t>
      </w:r>
    </w:p>
    <w:p w14:paraId="44FE4C19" w14:textId="6A0FC79E" w:rsidR="000C651B" w:rsidRPr="00042AA2" w:rsidRDefault="000C651B" w:rsidP="00B7681A">
      <w:pPr>
        <w:pStyle w:val="Heading2"/>
        <w:rPr>
          <w:rFonts w:asciiTheme="minorHAnsi" w:hAnsiTheme="minorHAnsi"/>
        </w:rPr>
      </w:pPr>
      <w:bookmarkStart w:id="20" w:name="_Toc442088386"/>
      <w:r w:rsidRPr="00042AA2">
        <w:rPr>
          <w:rFonts w:asciiTheme="minorHAnsi" w:hAnsiTheme="minorHAnsi"/>
        </w:rPr>
        <w:t>Summary of Consultation Outside the E</w:t>
      </w:r>
      <w:r w:rsidR="006D75D4">
        <w:rPr>
          <w:rFonts w:asciiTheme="minorHAnsi" w:hAnsiTheme="minorHAnsi"/>
        </w:rPr>
        <w:t>nergy Information Administration</w:t>
      </w:r>
      <w:bookmarkEnd w:id="20"/>
    </w:p>
    <w:p w14:paraId="6ABA325F" w14:textId="77777777" w:rsidR="00834E66" w:rsidRPr="00042AA2" w:rsidRDefault="000C651B" w:rsidP="00B7681A">
      <w:pPr>
        <w:spacing w:before="120" w:beforeAutospacing="0"/>
        <w:jc w:val="left"/>
        <w:rPr>
          <w:rFonts w:asciiTheme="minorHAnsi" w:hAnsiTheme="minorHAnsi"/>
          <w:szCs w:val="24"/>
        </w:rPr>
      </w:pPr>
      <w:r w:rsidRPr="00042AA2">
        <w:rPr>
          <w:rFonts w:asciiTheme="minorHAnsi" w:hAnsiTheme="minorHAnsi"/>
          <w:szCs w:val="24"/>
        </w:rPr>
        <w:t xml:space="preserve">A request for comments from interested persons was solicited in a </w:t>
      </w:r>
      <w:r w:rsidR="00CE3E6E" w:rsidRPr="00042AA2">
        <w:rPr>
          <w:rFonts w:asciiTheme="minorHAnsi" w:hAnsiTheme="minorHAnsi"/>
          <w:szCs w:val="24"/>
        </w:rPr>
        <w:t xml:space="preserve">notice describing the proposed extension of the forms and proposed modifications to each form.  The notice was published </w:t>
      </w:r>
      <w:r w:rsidR="0014045E" w:rsidRPr="00042AA2">
        <w:rPr>
          <w:rFonts w:asciiTheme="minorHAnsi" w:hAnsiTheme="minorHAnsi"/>
          <w:szCs w:val="24"/>
        </w:rPr>
        <w:t>July</w:t>
      </w:r>
      <w:r w:rsidR="00833C26" w:rsidRPr="00042AA2">
        <w:rPr>
          <w:rFonts w:asciiTheme="minorHAnsi" w:hAnsiTheme="minorHAnsi"/>
          <w:szCs w:val="24"/>
        </w:rPr>
        <w:t xml:space="preserve"> </w:t>
      </w:r>
      <w:r w:rsidR="0014045E" w:rsidRPr="00042AA2">
        <w:rPr>
          <w:rFonts w:asciiTheme="minorHAnsi" w:hAnsiTheme="minorHAnsi"/>
          <w:szCs w:val="24"/>
        </w:rPr>
        <w:t>9, 20</w:t>
      </w:r>
      <w:r w:rsidR="00630517" w:rsidRPr="00042AA2">
        <w:rPr>
          <w:rFonts w:asciiTheme="minorHAnsi" w:hAnsiTheme="minorHAnsi"/>
          <w:szCs w:val="24"/>
        </w:rPr>
        <w:t>15</w:t>
      </w:r>
      <w:r w:rsidR="00CE3E6E" w:rsidRPr="00042AA2">
        <w:rPr>
          <w:rFonts w:asciiTheme="minorHAnsi" w:hAnsiTheme="minorHAnsi"/>
          <w:szCs w:val="24"/>
        </w:rPr>
        <w:t>, in the Federal Register,</w:t>
      </w:r>
      <w:r w:rsidR="003D0FAD" w:rsidRPr="00042AA2">
        <w:rPr>
          <w:rFonts w:asciiTheme="minorHAnsi" w:hAnsiTheme="minorHAnsi"/>
          <w:szCs w:val="24"/>
        </w:rPr>
        <w:t xml:space="preserve"> </w:t>
      </w:r>
      <w:r w:rsidR="003D0FAD" w:rsidRPr="00042AA2">
        <w:rPr>
          <w:rFonts w:asciiTheme="minorHAnsi" w:hAnsiTheme="minorHAnsi"/>
          <w:snapToGrid/>
          <w:szCs w:val="24"/>
        </w:rPr>
        <w:t>Vol. 80, No. 131</w:t>
      </w:r>
      <w:r w:rsidR="00630517" w:rsidRPr="00042AA2">
        <w:rPr>
          <w:rFonts w:asciiTheme="minorHAnsi" w:hAnsiTheme="minorHAnsi"/>
          <w:szCs w:val="24"/>
        </w:rPr>
        <w:t>, pages 39424 - 39427</w:t>
      </w:r>
      <w:r w:rsidR="00CE3E6E" w:rsidRPr="00042AA2">
        <w:rPr>
          <w:rFonts w:asciiTheme="minorHAnsi" w:hAnsiTheme="minorHAnsi"/>
          <w:szCs w:val="24"/>
        </w:rPr>
        <w:t xml:space="preserve">.  An announcement of the Federal Register notice was sent to a list of trade associations and other interested petroleum data programs.  In addition, the notice and proposed versions of the forms were posted </w:t>
      </w:r>
      <w:r w:rsidR="005F7CEC" w:rsidRPr="00042AA2">
        <w:rPr>
          <w:rFonts w:asciiTheme="minorHAnsi" w:hAnsiTheme="minorHAnsi"/>
          <w:szCs w:val="24"/>
        </w:rPr>
        <w:t xml:space="preserve">in several locations </w:t>
      </w:r>
      <w:r w:rsidR="0014045E" w:rsidRPr="00042AA2">
        <w:rPr>
          <w:rFonts w:asciiTheme="minorHAnsi" w:hAnsiTheme="minorHAnsi"/>
          <w:szCs w:val="24"/>
        </w:rPr>
        <w:t>on</w:t>
      </w:r>
      <w:r w:rsidR="001D0A14" w:rsidRPr="00042AA2">
        <w:rPr>
          <w:rFonts w:asciiTheme="minorHAnsi" w:hAnsiTheme="minorHAnsi"/>
          <w:szCs w:val="24"/>
        </w:rPr>
        <w:t xml:space="preserve"> </w:t>
      </w:r>
      <w:r w:rsidR="00CE3E6E" w:rsidRPr="00042AA2">
        <w:rPr>
          <w:rFonts w:asciiTheme="minorHAnsi" w:hAnsiTheme="minorHAnsi"/>
          <w:szCs w:val="24"/>
        </w:rPr>
        <w:t>EIA</w:t>
      </w:r>
      <w:r w:rsidR="0014045E" w:rsidRPr="00042AA2">
        <w:rPr>
          <w:rFonts w:asciiTheme="minorHAnsi" w:hAnsiTheme="minorHAnsi"/>
          <w:szCs w:val="24"/>
        </w:rPr>
        <w:t>’s</w:t>
      </w:r>
      <w:r w:rsidR="00CE3E6E" w:rsidRPr="00042AA2">
        <w:rPr>
          <w:rFonts w:asciiTheme="minorHAnsi" w:hAnsiTheme="minorHAnsi"/>
          <w:szCs w:val="24"/>
        </w:rPr>
        <w:t xml:space="preserve"> website.</w:t>
      </w:r>
    </w:p>
    <w:p w14:paraId="042B57CF" w14:textId="77777777" w:rsidR="007A7028" w:rsidRDefault="007A7028" w:rsidP="005C6DD6">
      <w:pPr>
        <w:spacing w:before="120" w:beforeAutospacing="0"/>
        <w:jc w:val="left"/>
        <w:rPr>
          <w:rFonts w:asciiTheme="minorHAnsi" w:hAnsiTheme="minorHAnsi"/>
          <w:snapToGrid/>
          <w:szCs w:val="24"/>
        </w:rPr>
      </w:pPr>
      <w:r>
        <w:rPr>
          <w:rFonts w:asciiTheme="minorHAnsi" w:hAnsiTheme="minorHAnsi"/>
          <w:snapToGrid/>
          <w:szCs w:val="24"/>
        </w:rPr>
        <w:t>Four p</w:t>
      </w:r>
      <w:r w:rsidR="00042AA2">
        <w:rPr>
          <w:rFonts w:asciiTheme="minorHAnsi" w:hAnsiTheme="minorHAnsi"/>
          <w:snapToGrid/>
          <w:szCs w:val="24"/>
        </w:rPr>
        <w:t xml:space="preserve">ublic </w:t>
      </w:r>
      <w:r w:rsidR="005C6DD6" w:rsidRPr="00042AA2">
        <w:rPr>
          <w:rFonts w:asciiTheme="minorHAnsi" w:hAnsiTheme="minorHAnsi"/>
          <w:snapToGrid/>
          <w:szCs w:val="24"/>
        </w:rPr>
        <w:t xml:space="preserve">comments </w:t>
      </w:r>
      <w:r>
        <w:rPr>
          <w:rFonts w:asciiTheme="minorHAnsi" w:hAnsiTheme="minorHAnsi"/>
          <w:snapToGrid/>
          <w:szCs w:val="24"/>
        </w:rPr>
        <w:t>were submitted by the following</w:t>
      </w:r>
      <w:r w:rsidR="00042AA2">
        <w:rPr>
          <w:rFonts w:asciiTheme="minorHAnsi" w:hAnsiTheme="minorHAnsi"/>
          <w:snapToGrid/>
          <w:szCs w:val="24"/>
        </w:rPr>
        <w:t xml:space="preserve"> </w:t>
      </w:r>
      <w:r w:rsidR="005C6DD6" w:rsidRPr="00042AA2">
        <w:rPr>
          <w:rFonts w:asciiTheme="minorHAnsi" w:hAnsiTheme="minorHAnsi"/>
          <w:snapToGrid/>
          <w:szCs w:val="24"/>
        </w:rPr>
        <w:t>federal agencies</w:t>
      </w:r>
      <w:r w:rsidR="00042AA2">
        <w:rPr>
          <w:rFonts w:asciiTheme="minorHAnsi" w:hAnsiTheme="minorHAnsi"/>
          <w:snapToGrid/>
          <w:szCs w:val="24"/>
        </w:rPr>
        <w:t>: (1)</w:t>
      </w:r>
      <w:r w:rsidR="005C6DD6" w:rsidRPr="00042AA2">
        <w:rPr>
          <w:rFonts w:asciiTheme="minorHAnsi" w:hAnsiTheme="minorHAnsi"/>
          <w:snapToGrid/>
          <w:szCs w:val="24"/>
        </w:rPr>
        <w:t xml:space="preserve"> </w:t>
      </w:r>
      <w:r w:rsidR="00042AA2">
        <w:rPr>
          <w:rFonts w:asciiTheme="minorHAnsi" w:hAnsiTheme="minorHAnsi"/>
          <w:snapToGrid/>
          <w:szCs w:val="24"/>
        </w:rPr>
        <w:t>t</w:t>
      </w:r>
      <w:r w:rsidR="005C6DD6" w:rsidRPr="00042AA2">
        <w:rPr>
          <w:rFonts w:asciiTheme="minorHAnsi" w:hAnsiTheme="minorHAnsi"/>
          <w:snapToGrid/>
          <w:szCs w:val="24"/>
        </w:rPr>
        <w:t>he Bureau of Economic Analysis (BEA),</w:t>
      </w:r>
      <w:r w:rsidR="00042AA2">
        <w:rPr>
          <w:rFonts w:asciiTheme="minorHAnsi" w:hAnsiTheme="minorHAnsi"/>
          <w:snapToGrid/>
          <w:szCs w:val="24"/>
        </w:rPr>
        <w:t xml:space="preserve"> (2)</w:t>
      </w:r>
      <w:r w:rsidR="005C6DD6" w:rsidRPr="00042AA2">
        <w:rPr>
          <w:rFonts w:asciiTheme="minorHAnsi" w:hAnsiTheme="minorHAnsi"/>
          <w:snapToGrid/>
          <w:szCs w:val="24"/>
        </w:rPr>
        <w:t xml:space="preserve"> </w:t>
      </w:r>
      <w:r w:rsidR="00042AA2">
        <w:rPr>
          <w:rFonts w:asciiTheme="minorHAnsi" w:hAnsiTheme="minorHAnsi"/>
          <w:snapToGrid/>
          <w:szCs w:val="24"/>
        </w:rPr>
        <w:t xml:space="preserve">the </w:t>
      </w:r>
      <w:r w:rsidR="005C6DD6" w:rsidRPr="00042AA2">
        <w:rPr>
          <w:rFonts w:asciiTheme="minorHAnsi" w:hAnsiTheme="minorHAnsi"/>
          <w:snapToGrid/>
          <w:szCs w:val="24"/>
        </w:rPr>
        <w:t xml:space="preserve">Commodity Futures Trading Commission (CFTC), and </w:t>
      </w:r>
      <w:r w:rsidR="00042AA2">
        <w:rPr>
          <w:rFonts w:asciiTheme="minorHAnsi" w:hAnsiTheme="minorHAnsi"/>
          <w:snapToGrid/>
          <w:szCs w:val="24"/>
        </w:rPr>
        <w:t xml:space="preserve">(3) the </w:t>
      </w:r>
      <w:r w:rsidR="005C6DD6" w:rsidRPr="00042AA2">
        <w:rPr>
          <w:rFonts w:asciiTheme="minorHAnsi" w:hAnsiTheme="minorHAnsi"/>
          <w:snapToGrid/>
          <w:szCs w:val="24"/>
        </w:rPr>
        <w:t>U.S. Environmental Protection Agency (EPA).</w:t>
      </w:r>
      <w:r w:rsidR="00042AA2">
        <w:rPr>
          <w:rFonts w:asciiTheme="minorHAnsi" w:hAnsiTheme="minorHAnsi"/>
          <w:snapToGrid/>
          <w:szCs w:val="24"/>
        </w:rPr>
        <w:t xml:space="preserve"> </w:t>
      </w:r>
    </w:p>
    <w:p w14:paraId="0DD445E4" w14:textId="2D4B1D5F" w:rsidR="000265D1" w:rsidRPr="00DB619D" w:rsidRDefault="00042AA2" w:rsidP="000265D1">
      <w:pPr>
        <w:spacing w:before="120" w:beforeAutospacing="0"/>
        <w:jc w:val="left"/>
        <w:rPr>
          <w:rFonts w:asciiTheme="minorHAnsi" w:hAnsiTheme="minorHAnsi"/>
          <w:snapToGrid/>
          <w:szCs w:val="24"/>
        </w:rPr>
      </w:pPr>
      <w:r w:rsidRPr="00DB619D">
        <w:rPr>
          <w:rFonts w:asciiTheme="minorHAnsi" w:hAnsiTheme="minorHAnsi"/>
          <w:snapToGrid/>
          <w:szCs w:val="24"/>
        </w:rPr>
        <w:t xml:space="preserve">Below is a summary of the responses from federal agencies and </w:t>
      </w:r>
      <w:r w:rsidR="00264611">
        <w:rPr>
          <w:rFonts w:asciiTheme="minorHAnsi" w:hAnsiTheme="minorHAnsi"/>
          <w:snapToGrid/>
          <w:szCs w:val="24"/>
        </w:rPr>
        <w:t xml:space="preserve">copies of </w:t>
      </w:r>
      <w:r w:rsidR="006737E3" w:rsidRPr="00DB619D">
        <w:rPr>
          <w:rFonts w:asciiTheme="minorHAnsi" w:hAnsiTheme="minorHAnsi"/>
          <w:snapToGrid/>
          <w:szCs w:val="24"/>
        </w:rPr>
        <w:t xml:space="preserve">the original letters are included in </w:t>
      </w:r>
      <w:r w:rsidR="005630EC">
        <w:rPr>
          <w:rFonts w:asciiTheme="minorHAnsi" w:hAnsiTheme="minorHAnsi"/>
          <w:snapToGrid/>
          <w:szCs w:val="24"/>
        </w:rPr>
        <w:t>the Public Comment file included with this</w:t>
      </w:r>
      <w:r w:rsidR="006737E3" w:rsidRPr="00DB619D">
        <w:rPr>
          <w:rFonts w:asciiTheme="minorHAnsi" w:hAnsiTheme="minorHAnsi"/>
          <w:snapToGrid/>
          <w:szCs w:val="24"/>
        </w:rPr>
        <w:t xml:space="preserve"> OMB package.</w:t>
      </w:r>
    </w:p>
    <w:p w14:paraId="2389FD51" w14:textId="77777777" w:rsidR="0014045E" w:rsidRPr="00DB619D" w:rsidRDefault="000265D1" w:rsidP="000265D1">
      <w:pPr>
        <w:pStyle w:val="ListParagraph"/>
        <w:numPr>
          <w:ilvl w:val="0"/>
          <w:numId w:val="26"/>
        </w:numPr>
        <w:spacing w:before="120" w:beforeAutospacing="0"/>
        <w:jc w:val="left"/>
        <w:rPr>
          <w:rFonts w:asciiTheme="minorHAnsi" w:hAnsiTheme="minorHAnsi"/>
          <w:sz w:val="24"/>
          <w:szCs w:val="24"/>
        </w:rPr>
      </w:pPr>
      <w:r w:rsidRPr="00DB619D">
        <w:rPr>
          <w:rFonts w:asciiTheme="minorHAnsi" w:hAnsiTheme="minorHAnsi"/>
          <w:sz w:val="24"/>
          <w:szCs w:val="24"/>
        </w:rPr>
        <w:t>M</w:t>
      </w:r>
      <w:r w:rsidR="00CF78B7" w:rsidRPr="00DB619D">
        <w:rPr>
          <w:rFonts w:asciiTheme="minorHAnsi" w:hAnsiTheme="minorHAnsi"/>
          <w:sz w:val="24"/>
          <w:szCs w:val="24"/>
        </w:rPr>
        <w:t xml:space="preserve">r. Dennis Fixler, Chief Statistician at the Bureau of Economic Analysis (BEA), submitted a letter </w:t>
      </w:r>
      <w:r w:rsidR="00463AD8" w:rsidRPr="00DB619D">
        <w:rPr>
          <w:rFonts w:asciiTheme="minorHAnsi" w:hAnsiTheme="minorHAnsi"/>
          <w:sz w:val="24"/>
          <w:szCs w:val="24"/>
        </w:rPr>
        <w:t xml:space="preserve">on August 27, 2015, </w:t>
      </w:r>
      <w:r w:rsidR="00CF78B7" w:rsidRPr="00DB619D">
        <w:rPr>
          <w:rFonts w:asciiTheme="minorHAnsi" w:hAnsiTheme="minorHAnsi"/>
          <w:sz w:val="24"/>
          <w:szCs w:val="24"/>
        </w:rPr>
        <w:t xml:space="preserve">supporting continued collection of petroleum supply data by EIA.  BEA uses petroleum data collected on EIA surveys to prepare estimates of personal consumption expenditures in GDP, change in private inventories in the GDP and gross output in the annual </w:t>
      </w:r>
      <w:r w:rsidR="00B07AB7" w:rsidRPr="00DB619D">
        <w:rPr>
          <w:rFonts w:asciiTheme="minorHAnsi" w:hAnsiTheme="minorHAnsi"/>
          <w:sz w:val="24"/>
          <w:szCs w:val="24"/>
        </w:rPr>
        <w:t>input-output (I-O) table and in GDP-by-industry, and gross output in the annual I-O table and in GDP-by-industry.</w:t>
      </w:r>
      <w:r w:rsidR="00DE43F2" w:rsidRPr="00DB619D">
        <w:rPr>
          <w:rFonts w:asciiTheme="minorHAnsi" w:hAnsiTheme="minorHAnsi"/>
          <w:sz w:val="24"/>
          <w:szCs w:val="24"/>
        </w:rPr>
        <w:t xml:space="preserve">  In response, EIA acknowledged the BEA letter.</w:t>
      </w:r>
    </w:p>
    <w:p w14:paraId="7FC7DCD2" w14:textId="77777777" w:rsidR="005D749B" w:rsidRPr="00DB619D" w:rsidRDefault="005D749B" w:rsidP="005D749B">
      <w:pPr>
        <w:pStyle w:val="ListParagraph"/>
        <w:ind w:left="360"/>
        <w:jc w:val="left"/>
        <w:rPr>
          <w:rFonts w:asciiTheme="minorHAnsi" w:hAnsiTheme="minorHAnsi"/>
          <w:sz w:val="24"/>
          <w:szCs w:val="24"/>
        </w:rPr>
      </w:pPr>
    </w:p>
    <w:p w14:paraId="316F60AC" w14:textId="77777777" w:rsidR="00463AD8" w:rsidRPr="008C6082" w:rsidRDefault="00463AD8" w:rsidP="00463AD8">
      <w:pPr>
        <w:pStyle w:val="ListParagraph"/>
        <w:numPr>
          <w:ilvl w:val="0"/>
          <w:numId w:val="15"/>
        </w:numPr>
        <w:jc w:val="left"/>
        <w:rPr>
          <w:rFonts w:asciiTheme="minorHAnsi" w:hAnsiTheme="minorHAnsi"/>
          <w:sz w:val="24"/>
          <w:szCs w:val="24"/>
        </w:rPr>
      </w:pPr>
      <w:r w:rsidRPr="00DB619D">
        <w:rPr>
          <w:rFonts w:asciiTheme="minorHAnsi" w:hAnsiTheme="minorHAnsi"/>
          <w:sz w:val="24"/>
          <w:szCs w:val="24"/>
        </w:rPr>
        <w:t>Mr. Robert Corea, Economist, Industry Directorate, Bureau of Economic Analysis, submitted an email on August 17, 2015 inquiring when the historical data series on crude oil stocks excluding lease stocks would be published as BEA uses data in estimation of Gross Domestic</w:t>
      </w:r>
      <w:r w:rsidRPr="008C6082">
        <w:rPr>
          <w:rFonts w:asciiTheme="minorHAnsi" w:hAnsiTheme="minorHAnsi"/>
          <w:sz w:val="24"/>
          <w:szCs w:val="24"/>
        </w:rPr>
        <w:t xml:space="preserve"> Product (GDP).</w:t>
      </w:r>
    </w:p>
    <w:p w14:paraId="18DC6E0B" w14:textId="77777777" w:rsidR="005D749B" w:rsidRDefault="005D749B" w:rsidP="005D749B">
      <w:pPr>
        <w:pStyle w:val="ListParagraph"/>
        <w:ind w:left="360"/>
        <w:jc w:val="left"/>
        <w:rPr>
          <w:rFonts w:asciiTheme="minorHAnsi" w:hAnsiTheme="minorHAnsi"/>
          <w:sz w:val="24"/>
          <w:szCs w:val="24"/>
        </w:rPr>
      </w:pPr>
    </w:p>
    <w:p w14:paraId="5B766161" w14:textId="77777777" w:rsidR="007A7028" w:rsidRPr="007A7028" w:rsidRDefault="005C6DD6" w:rsidP="007A7028">
      <w:pPr>
        <w:pStyle w:val="ListParagraph"/>
        <w:numPr>
          <w:ilvl w:val="0"/>
          <w:numId w:val="15"/>
        </w:numPr>
        <w:jc w:val="left"/>
        <w:rPr>
          <w:rFonts w:asciiTheme="minorHAnsi" w:hAnsiTheme="minorHAnsi"/>
          <w:sz w:val="24"/>
          <w:szCs w:val="24"/>
        </w:rPr>
      </w:pPr>
      <w:r w:rsidRPr="007A7028">
        <w:rPr>
          <w:rFonts w:asciiTheme="minorHAnsi" w:hAnsiTheme="minorHAnsi"/>
          <w:sz w:val="24"/>
          <w:szCs w:val="24"/>
        </w:rPr>
        <w:t>Mr. Gregory Kuserk, Deputy Director, Division of Market Oversight, Commodity Futures Trading Commission</w:t>
      </w:r>
      <w:r w:rsidR="00496D70" w:rsidRPr="007A7028">
        <w:rPr>
          <w:rFonts w:asciiTheme="minorHAnsi" w:hAnsiTheme="minorHAnsi"/>
          <w:sz w:val="24"/>
          <w:szCs w:val="24"/>
        </w:rPr>
        <w:t xml:space="preserve"> (CFTC)</w:t>
      </w:r>
      <w:r w:rsidRPr="007A7028">
        <w:rPr>
          <w:rFonts w:asciiTheme="minorHAnsi" w:hAnsiTheme="minorHAnsi"/>
          <w:sz w:val="24"/>
          <w:szCs w:val="24"/>
        </w:rPr>
        <w:t xml:space="preserve"> submitted a letter on September 4, 2015 supporting continued collection of petroleum supply data by EIA. The suggested collecting data on the crude oil being held for delivery on the Nymex Light Sweet Crude oil future contract (WTI contract), which is commonly known as “Light Sweet Crude Oil Nymex </w:t>
      </w:r>
      <w:r w:rsidR="00D6220E" w:rsidRPr="007A7028">
        <w:rPr>
          <w:rFonts w:asciiTheme="minorHAnsi" w:hAnsiTheme="minorHAnsi"/>
          <w:sz w:val="24"/>
          <w:szCs w:val="24"/>
        </w:rPr>
        <w:t>Deliverable</w:t>
      </w:r>
      <w:r w:rsidRPr="007A7028">
        <w:rPr>
          <w:rFonts w:asciiTheme="minorHAnsi" w:hAnsiTheme="minorHAnsi"/>
          <w:sz w:val="24"/>
          <w:szCs w:val="24"/>
        </w:rPr>
        <w:t>.”</w:t>
      </w:r>
    </w:p>
    <w:p w14:paraId="6782A7B8" w14:textId="77777777" w:rsidR="005D749B" w:rsidRDefault="005D749B" w:rsidP="005D749B">
      <w:pPr>
        <w:pStyle w:val="ListParagraph"/>
        <w:ind w:left="360"/>
        <w:jc w:val="left"/>
        <w:rPr>
          <w:rFonts w:asciiTheme="minorHAnsi" w:hAnsiTheme="minorHAnsi"/>
          <w:sz w:val="24"/>
          <w:szCs w:val="24"/>
        </w:rPr>
      </w:pPr>
    </w:p>
    <w:p w14:paraId="1A6923C0" w14:textId="77777777" w:rsidR="007A7028" w:rsidRDefault="00463AD8" w:rsidP="007A7028">
      <w:pPr>
        <w:pStyle w:val="ListParagraph"/>
        <w:numPr>
          <w:ilvl w:val="0"/>
          <w:numId w:val="15"/>
        </w:numPr>
        <w:jc w:val="left"/>
        <w:rPr>
          <w:rFonts w:asciiTheme="minorHAnsi" w:hAnsiTheme="minorHAnsi"/>
          <w:sz w:val="24"/>
          <w:szCs w:val="24"/>
        </w:rPr>
      </w:pPr>
      <w:r w:rsidRPr="007A7028">
        <w:rPr>
          <w:rFonts w:asciiTheme="minorHAnsi" w:hAnsiTheme="minorHAnsi"/>
          <w:sz w:val="24"/>
          <w:szCs w:val="24"/>
        </w:rPr>
        <w:t xml:space="preserve">Mr. Dallas Burkholder, Office of Transportation and Air Quality, U.S. Environmental Protection Agency, </w:t>
      </w:r>
      <w:r w:rsidR="007A7028" w:rsidRPr="007A7028">
        <w:rPr>
          <w:rFonts w:asciiTheme="minorHAnsi" w:hAnsiTheme="minorHAnsi"/>
          <w:sz w:val="24"/>
          <w:szCs w:val="24"/>
        </w:rPr>
        <w:t xml:space="preserve">supporting EIA’s proposal (1) to collect data on categories of motor </w:t>
      </w:r>
      <w:r w:rsidR="007A7028" w:rsidRPr="007A7028">
        <w:rPr>
          <w:rFonts w:asciiTheme="minorHAnsi" w:hAnsiTheme="minorHAnsi"/>
          <w:sz w:val="24"/>
          <w:szCs w:val="24"/>
        </w:rPr>
        <w:lastRenderedPageBreak/>
        <w:t xml:space="preserve">gasoline not blended with ethanol (E0) and motor gasoline blended with 51 volume percent ethanol or greater (E85) on the EIA-810, 815 and 819, (2) to collect data on type of fuels produced on the biofuel and oxygenate producer form (EIA-819), such as a differentiation between cellulosic and non-cellulosic biofuels and between ethanol, butanol, </w:t>
      </w:r>
      <w:r w:rsidR="00C8029A" w:rsidRPr="007A7028">
        <w:rPr>
          <w:rFonts w:asciiTheme="minorHAnsi" w:hAnsiTheme="minorHAnsi"/>
          <w:sz w:val="24"/>
          <w:szCs w:val="24"/>
        </w:rPr>
        <w:t>naphtha</w:t>
      </w:r>
      <w:r w:rsidR="007A7028" w:rsidRPr="007A7028">
        <w:rPr>
          <w:rFonts w:asciiTheme="minorHAnsi" w:hAnsiTheme="minorHAnsi"/>
          <w:sz w:val="24"/>
          <w:szCs w:val="24"/>
        </w:rPr>
        <w:t xml:space="preserve"> and gasoline, and (3) to collect units in barrels rather than thousands of barrels. </w:t>
      </w:r>
    </w:p>
    <w:p w14:paraId="4E8D316D" w14:textId="0FD667BB" w:rsidR="008932EC" w:rsidRPr="008932EC" w:rsidRDefault="008932EC" w:rsidP="008932EC">
      <w:pPr>
        <w:spacing w:before="0" w:beforeAutospacing="0" w:after="0" w:afterAutospacing="0"/>
        <w:jc w:val="left"/>
        <w:rPr>
          <w:rFonts w:ascii="Calibri" w:hAnsi="Calibri"/>
        </w:rPr>
      </w:pPr>
      <w:r w:rsidRPr="008932EC">
        <w:rPr>
          <w:rFonts w:ascii="Calibri" w:hAnsi="Calibri"/>
        </w:rPr>
        <w:t>Additional public comments from the private sec</w:t>
      </w:r>
      <w:r w:rsidR="006737E3">
        <w:rPr>
          <w:rFonts w:ascii="Calibri" w:hAnsi="Calibri"/>
        </w:rPr>
        <w:t xml:space="preserve">tor are </w:t>
      </w:r>
      <w:r w:rsidR="005630EC">
        <w:rPr>
          <w:rFonts w:ascii="Calibri" w:hAnsi="Calibri"/>
        </w:rPr>
        <w:t xml:space="preserve">also </w:t>
      </w:r>
      <w:r w:rsidR="006737E3">
        <w:rPr>
          <w:rFonts w:ascii="Calibri" w:hAnsi="Calibri"/>
        </w:rPr>
        <w:t xml:space="preserve">included in </w:t>
      </w:r>
      <w:r w:rsidR="005630EC">
        <w:rPr>
          <w:rFonts w:ascii="Calibri" w:hAnsi="Calibri"/>
        </w:rPr>
        <w:t xml:space="preserve">the Public Comment </w:t>
      </w:r>
      <w:r w:rsidR="00BD6E77">
        <w:rPr>
          <w:rFonts w:ascii="Calibri" w:hAnsi="Calibri"/>
        </w:rPr>
        <w:t xml:space="preserve">file </w:t>
      </w:r>
      <w:r w:rsidR="005630EC">
        <w:rPr>
          <w:rFonts w:ascii="Calibri" w:hAnsi="Calibri"/>
        </w:rPr>
        <w:t>included with this OMB</w:t>
      </w:r>
      <w:r w:rsidR="00BD6E77">
        <w:rPr>
          <w:rFonts w:ascii="Calibri" w:hAnsi="Calibri"/>
        </w:rPr>
        <w:t xml:space="preserve"> package</w:t>
      </w:r>
      <w:r w:rsidR="005630EC">
        <w:rPr>
          <w:rFonts w:ascii="Calibri" w:hAnsi="Calibri"/>
        </w:rPr>
        <w:t xml:space="preserve">.  </w:t>
      </w:r>
      <w:r w:rsidRPr="008932EC">
        <w:rPr>
          <w:rFonts w:ascii="Calibri" w:hAnsi="Calibri"/>
        </w:rPr>
        <w:t xml:space="preserve"> Several associations (American Petroleum Institute, National Biodiesel Board, and National Propane Gas Association, research firms (Houston Biofuels Consultants, PIRA Energy Group), and several companies provided responses.  In general data users wrote in support of the proposed changes to the program, indicating how the proposed change would be useful to them. API and the companies who report on EIA surveys sought clarification about the proposed changes, when and how they would be implemented, and expressed concern about the amount of time available to implement changes to their systems. EIA provided clarification, as needed, to companies and associations regarding proposed changes to surveys in the Petroleum Supply program.  </w:t>
      </w:r>
    </w:p>
    <w:p w14:paraId="19ADF0AD" w14:textId="77777777" w:rsidR="008932EC" w:rsidRPr="008932EC" w:rsidRDefault="008932EC" w:rsidP="008932EC">
      <w:pPr>
        <w:spacing w:before="0" w:beforeAutospacing="0" w:after="0" w:afterAutospacing="0"/>
        <w:jc w:val="left"/>
        <w:rPr>
          <w:rFonts w:ascii="Calibri" w:hAnsi="Calibri"/>
          <w:sz w:val="22"/>
          <w:szCs w:val="22"/>
        </w:rPr>
      </w:pPr>
    </w:p>
    <w:p w14:paraId="40F6DAAA" w14:textId="77777777" w:rsidR="008932EC" w:rsidRPr="008932EC" w:rsidRDefault="008932EC" w:rsidP="008932EC">
      <w:pPr>
        <w:spacing w:before="0" w:beforeAutospacing="0" w:after="0" w:afterAutospacing="0"/>
        <w:jc w:val="left"/>
        <w:rPr>
          <w:rFonts w:ascii="Calibri" w:hAnsi="Calibri"/>
          <w:szCs w:val="24"/>
        </w:rPr>
      </w:pPr>
      <w:r w:rsidRPr="008932EC">
        <w:rPr>
          <w:rFonts w:ascii="Calibri" w:hAnsi="Calibri"/>
        </w:rPr>
        <w:t xml:space="preserve">EIA responded to those who submitted public comments, indicating the agency’s decision not to make any of the changes proposed previously in the 60-day Federal Register Notice and notifying them that the 30-day Federal Register Notice will be available soon. </w:t>
      </w:r>
    </w:p>
    <w:p w14:paraId="592F7FFA" w14:textId="77777777" w:rsidR="008A64E5" w:rsidRPr="005C6DD6" w:rsidRDefault="00C2320E" w:rsidP="00B7681A">
      <w:pPr>
        <w:pStyle w:val="Heading2"/>
        <w:rPr>
          <w:rFonts w:asciiTheme="minorHAnsi" w:hAnsiTheme="minorHAnsi"/>
        </w:rPr>
      </w:pPr>
      <w:bookmarkStart w:id="21" w:name="_Toc442088387"/>
      <w:r w:rsidRPr="005C6DD6">
        <w:rPr>
          <w:rFonts w:asciiTheme="minorHAnsi" w:hAnsiTheme="minorHAnsi"/>
        </w:rPr>
        <w:t>R</w:t>
      </w:r>
      <w:r w:rsidR="00505CCA" w:rsidRPr="005C6DD6">
        <w:rPr>
          <w:rFonts w:asciiTheme="minorHAnsi" w:hAnsiTheme="minorHAnsi"/>
        </w:rPr>
        <w:t>emuneration</w:t>
      </w:r>
      <w:bookmarkEnd w:id="21"/>
    </w:p>
    <w:p w14:paraId="0E4D79F5" w14:textId="77777777" w:rsidR="008A64E5" w:rsidRPr="005C6DD6" w:rsidRDefault="008A64E5" w:rsidP="00B7681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beforeAutospacing="0"/>
        <w:jc w:val="left"/>
        <w:rPr>
          <w:rFonts w:asciiTheme="minorHAnsi" w:hAnsiTheme="minorHAnsi"/>
          <w:szCs w:val="24"/>
          <w:u w:val="single"/>
        </w:rPr>
      </w:pPr>
      <w:r w:rsidRPr="005C6DD6">
        <w:rPr>
          <w:rFonts w:asciiTheme="minorHAnsi" w:hAnsiTheme="minorHAnsi"/>
          <w:szCs w:val="24"/>
        </w:rPr>
        <w:t xml:space="preserve">There will </w:t>
      </w:r>
      <w:r w:rsidR="00B97EC7" w:rsidRPr="005C6DD6">
        <w:rPr>
          <w:rFonts w:asciiTheme="minorHAnsi" w:hAnsiTheme="minorHAnsi"/>
          <w:szCs w:val="24"/>
        </w:rPr>
        <w:t xml:space="preserve">not </w:t>
      </w:r>
      <w:r w:rsidRPr="005C6DD6">
        <w:rPr>
          <w:rFonts w:asciiTheme="minorHAnsi" w:hAnsiTheme="minorHAnsi"/>
          <w:szCs w:val="24"/>
        </w:rPr>
        <w:t xml:space="preserve">be </w:t>
      </w:r>
      <w:r w:rsidR="00B97EC7" w:rsidRPr="005C6DD6">
        <w:rPr>
          <w:rFonts w:asciiTheme="minorHAnsi" w:hAnsiTheme="minorHAnsi"/>
          <w:szCs w:val="24"/>
        </w:rPr>
        <w:t xml:space="preserve">any </w:t>
      </w:r>
      <w:r w:rsidRPr="005C6DD6">
        <w:rPr>
          <w:rFonts w:asciiTheme="minorHAnsi" w:hAnsiTheme="minorHAnsi"/>
          <w:szCs w:val="24"/>
        </w:rPr>
        <w:t>payment</w:t>
      </w:r>
      <w:r w:rsidR="00B97EC7" w:rsidRPr="005C6DD6">
        <w:rPr>
          <w:rFonts w:asciiTheme="minorHAnsi" w:hAnsiTheme="minorHAnsi"/>
          <w:szCs w:val="24"/>
        </w:rPr>
        <w:t>s</w:t>
      </w:r>
      <w:r w:rsidRPr="005C6DD6">
        <w:rPr>
          <w:rFonts w:asciiTheme="minorHAnsi" w:hAnsiTheme="minorHAnsi"/>
          <w:szCs w:val="24"/>
        </w:rPr>
        <w:t xml:space="preserve"> </w:t>
      </w:r>
      <w:r w:rsidR="00B97EC7" w:rsidRPr="005C6DD6">
        <w:rPr>
          <w:rFonts w:asciiTheme="minorHAnsi" w:hAnsiTheme="minorHAnsi"/>
          <w:szCs w:val="24"/>
        </w:rPr>
        <w:t xml:space="preserve">made </w:t>
      </w:r>
      <w:r w:rsidRPr="005C6DD6">
        <w:rPr>
          <w:rFonts w:asciiTheme="minorHAnsi" w:hAnsiTheme="minorHAnsi"/>
          <w:szCs w:val="24"/>
        </w:rPr>
        <w:t>or gift</w:t>
      </w:r>
      <w:r w:rsidR="00B97EC7" w:rsidRPr="005C6DD6">
        <w:rPr>
          <w:rFonts w:asciiTheme="minorHAnsi" w:hAnsiTheme="minorHAnsi"/>
          <w:szCs w:val="24"/>
        </w:rPr>
        <w:t>s</w:t>
      </w:r>
      <w:r w:rsidRPr="005C6DD6">
        <w:rPr>
          <w:rFonts w:asciiTheme="minorHAnsi" w:hAnsiTheme="minorHAnsi"/>
          <w:szCs w:val="24"/>
        </w:rPr>
        <w:t xml:space="preserve"> </w:t>
      </w:r>
      <w:r w:rsidR="00B97EC7" w:rsidRPr="005C6DD6">
        <w:rPr>
          <w:rFonts w:asciiTheme="minorHAnsi" w:hAnsiTheme="minorHAnsi"/>
          <w:szCs w:val="24"/>
        </w:rPr>
        <w:t xml:space="preserve">given </w:t>
      </w:r>
      <w:r w:rsidRPr="005C6DD6">
        <w:rPr>
          <w:rFonts w:asciiTheme="minorHAnsi" w:hAnsiTheme="minorHAnsi"/>
          <w:szCs w:val="24"/>
        </w:rPr>
        <w:t xml:space="preserve">to respondents </w:t>
      </w:r>
      <w:r w:rsidR="00B97EC7" w:rsidRPr="005C6DD6">
        <w:rPr>
          <w:rFonts w:asciiTheme="minorHAnsi" w:hAnsiTheme="minorHAnsi"/>
          <w:szCs w:val="24"/>
        </w:rPr>
        <w:t xml:space="preserve">as an incentive </w:t>
      </w:r>
      <w:r w:rsidRPr="005C6DD6">
        <w:rPr>
          <w:rFonts w:asciiTheme="minorHAnsi" w:hAnsiTheme="minorHAnsi"/>
          <w:szCs w:val="24"/>
        </w:rPr>
        <w:t xml:space="preserve">to </w:t>
      </w:r>
      <w:r w:rsidR="00292EBB" w:rsidRPr="005C6DD6">
        <w:rPr>
          <w:rFonts w:asciiTheme="minorHAnsi" w:hAnsiTheme="minorHAnsi"/>
          <w:szCs w:val="24"/>
        </w:rPr>
        <w:t>complete</w:t>
      </w:r>
      <w:r w:rsidR="00B97EC7" w:rsidRPr="005C6DD6">
        <w:rPr>
          <w:rFonts w:asciiTheme="minorHAnsi" w:hAnsiTheme="minorHAnsi"/>
          <w:szCs w:val="24"/>
        </w:rPr>
        <w:t xml:space="preserve"> the PSRS surveys</w:t>
      </w:r>
      <w:r w:rsidRPr="005C6DD6">
        <w:rPr>
          <w:rFonts w:asciiTheme="minorHAnsi" w:hAnsiTheme="minorHAnsi"/>
          <w:szCs w:val="24"/>
        </w:rPr>
        <w:t>.</w:t>
      </w:r>
    </w:p>
    <w:p w14:paraId="4D4C6134" w14:textId="77777777" w:rsidR="008A64E5" w:rsidRPr="005C6DD6" w:rsidRDefault="00C22399" w:rsidP="00B7681A">
      <w:pPr>
        <w:pStyle w:val="Heading2"/>
        <w:rPr>
          <w:rFonts w:asciiTheme="minorHAnsi" w:hAnsiTheme="minorHAnsi"/>
        </w:rPr>
      </w:pPr>
      <w:bookmarkStart w:id="22" w:name="_Toc442088388"/>
      <w:r w:rsidRPr="005C6DD6">
        <w:rPr>
          <w:rFonts w:asciiTheme="minorHAnsi" w:hAnsiTheme="minorHAnsi"/>
        </w:rPr>
        <w:t>Disclosure</w:t>
      </w:r>
      <w:r w:rsidR="008A64E5" w:rsidRPr="005C6DD6">
        <w:rPr>
          <w:rFonts w:asciiTheme="minorHAnsi" w:hAnsiTheme="minorHAnsi"/>
        </w:rPr>
        <w:t xml:space="preserve"> of Information</w:t>
      </w:r>
      <w:bookmarkEnd w:id="22"/>
    </w:p>
    <w:p w14:paraId="0639E063" w14:textId="77777777" w:rsidR="00C931E4" w:rsidRPr="005C6DD6" w:rsidRDefault="00C931E4" w:rsidP="00B7681A">
      <w:pPr>
        <w:spacing w:before="120" w:beforeAutospacing="0"/>
        <w:jc w:val="left"/>
        <w:rPr>
          <w:rFonts w:asciiTheme="minorHAnsi" w:hAnsiTheme="minorHAnsi"/>
          <w:szCs w:val="24"/>
        </w:rPr>
      </w:pPr>
      <w:r w:rsidRPr="005C6DD6">
        <w:rPr>
          <w:rFonts w:asciiTheme="minorHAnsi" w:hAnsiTheme="minorHAnsi"/>
          <w:szCs w:val="24"/>
        </w:rPr>
        <w:t>All Petroleum Supply Reporting System survey forms, with the exception of the Form EIA-814, Monthly Imports Report, utilize the same general confidentiality statement.  All information reported on Form EIA-814 is considered “public information” and may be publicly released in company or individually identifiable form, and is not be protected from disclosure in identifiable form.</w:t>
      </w:r>
    </w:p>
    <w:p w14:paraId="7561D6EE" w14:textId="77777777" w:rsidR="00C931E4" w:rsidRPr="005C6DD6" w:rsidRDefault="00C931E4" w:rsidP="00B7681A">
      <w:pPr>
        <w:jc w:val="left"/>
        <w:rPr>
          <w:rFonts w:asciiTheme="minorHAnsi" w:hAnsiTheme="minorHAnsi"/>
          <w:szCs w:val="24"/>
        </w:rPr>
      </w:pPr>
      <w:r w:rsidRPr="005C6DD6">
        <w:rPr>
          <w:rFonts w:asciiTheme="minorHAnsi" w:hAnsiTheme="minorHAnsi"/>
          <w:szCs w:val="24"/>
        </w:rPr>
        <w:t xml:space="preserve">In addition to the use of the data collected in PSRS surveys by EIA for statistical purposes, the information may be </w:t>
      </w:r>
      <w:r w:rsidRPr="005C6DD6">
        <w:rPr>
          <w:rFonts w:asciiTheme="minorHAnsi" w:hAnsiTheme="minorHAnsi"/>
          <w:color w:val="000000"/>
          <w:szCs w:val="24"/>
        </w:rPr>
        <w:t>made available, upon request, to other federal agencies authorized by law to receive such information for any non-statistical purposes such as administrative, regulatory, law enforcement, or adjudicatory</w:t>
      </w:r>
      <w:r w:rsidRPr="005C6DD6">
        <w:rPr>
          <w:rFonts w:asciiTheme="minorHAnsi" w:hAnsiTheme="minorHAnsi"/>
          <w:szCs w:val="24"/>
        </w:rPr>
        <w:t xml:space="preserve"> purposes.</w:t>
      </w:r>
    </w:p>
    <w:p w14:paraId="457F65AB" w14:textId="77777777" w:rsidR="00C931E4" w:rsidRDefault="00C931E4" w:rsidP="00B7681A">
      <w:pPr>
        <w:jc w:val="left"/>
        <w:rPr>
          <w:rFonts w:asciiTheme="minorHAnsi" w:hAnsiTheme="minorHAnsi"/>
          <w:color w:val="000000"/>
          <w:szCs w:val="24"/>
        </w:rPr>
      </w:pPr>
      <w:r w:rsidRPr="005C6DD6">
        <w:rPr>
          <w:rFonts w:asciiTheme="minorHAnsi" w:hAnsiTheme="minorHAnsi"/>
          <w:color w:val="000000"/>
          <w:szCs w:val="24"/>
        </w:rPr>
        <w:lastRenderedPageBreak/>
        <w:t>Excluding Form EIA-814, the following statement is provided in the survey instructions for each form:</w:t>
      </w:r>
    </w:p>
    <w:p w14:paraId="436C18AD" w14:textId="77777777" w:rsidR="00C931E4" w:rsidRPr="005C6DD6" w:rsidRDefault="00C931E4" w:rsidP="00B7681A">
      <w:pPr>
        <w:ind w:firstLine="1440"/>
        <w:jc w:val="left"/>
        <w:rPr>
          <w:rFonts w:asciiTheme="minorHAnsi" w:hAnsiTheme="minorHAnsi"/>
          <w:b/>
          <w:color w:val="000000"/>
          <w:szCs w:val="24"/>
        </w:rPr>
      </w:pPr>
      <w:r w:rsidRPr="005C6DD6">
        <w:rPr>
          <w:rFonts w:asciiTheme="minorHAnsi" w:hAnsiTheme="minorHAnsi"/>
          <w:b/>
          <w:color w:val="000000"/>
          <w:szCs w:val="24"/>
        </w:rPr>
        <w:t>PROVISIONS REGARDING CONFIDENTIALITY OF INFORMATION</w:t>
      </w:r>
    </w:p>
    <w:p w14:paraId="24FB9099" w14:textId="77777777" w:rsidR="00C931E4" w:rsidRPr="005C6DD6" w:rsidRDefault="00C931E4" w:rsidP="00B7681A">
      <w:pPr>
        <w:ind w:left="360"/>
        <w:jc w:val="left"/>
        <w:rPr>
          <w:rFonts w:asciiTheme="minorHAnsi" w:hAnsiTheme="minorHAnsi"/>
          <w:color w:val="000000"/>
          <w:szCs w:val="24"/>
        </w:rPr>
      </w:pPr>
      <w:r w:rsidRPr="005C6DD6">
        <w:rPr>
          <w:rFonts w:asciiTheme="minorHAnsi" w:hAnsiTheme="minorHAnsi"/>
          <w:color w:val="000000"/>
          <w:szCs w:val="24"/>
        </w:rPr>
        <w:t xml:space="preserve">The information reported on Forms EIA-22M, </w:t>
      </w:r>
      <w:r w:rsidR="00473ACE">
        <w:rPr>
          <w:rFonts w:asciiTheme="minorHAnsi" w:hAnsiTheme="minorHAnsi"/>
          <w:color w:val="000000"/>
          <w:szCs w:val="24"/>
        </w:rPr>
        <w:t>800, 802,</w:t>
      </w:r>
      <w:r w:rsidR="00774C2E">
        <w:rPr>
          <w:rFonts w:asciiTheme="minorHAnsi" w:hAnsiTheme="minorHAnsi"/>
          <w:color w:val="000000"/>
          <w:szCs w:val="24"/>
        </w:rPr>
        <w:t xml:space="preserve"> 803</w:t>
      </w:r>
      <w:r w:rsidR="00473ACE">
        <w:rPr>
          <w:rFonts w:asciiTheme="minorHAnsi" w:hAnsiTheme="minorHAnsi"/>
          <w:color w:val="000000"/>
          <w:szCs w:val="24"/>
        </w:rPr>
        <w:t>,</w:t>
      </w:r>
      <w:r w:rsidR="00774C2E">
        <w:rPr>
          <w:rFonts w:asciiTheme="minorHAnsi" w:hAnsiTheme="minorHAnsi"/>
          <w:color w:val="000000"/>
          <w:szCs w:val="24"/>
        </w:rPr>
        <w:t xml:space="preserve"> 80</w:t>
      </w:r>
      <w:r w:rsidR="003D4DCB">
        <w:rPr>
          <w:rFonts w:asciiTheme="minorHAnsi" w:hAnsiTheme="minorHAnsi"/>
          <w:color w:val="000000"/>
          <w:szCs w:val="24"/>
        </w:rPr>
        <w:t xml:space="preserve">4, 805, 809, </w:t>
      </w:r>
      <w:r w:rsidRPr="005C6DD6">
        <w:rPr>
          <w:rFonts w:asciiTheme="minorHAnsi" w:hAnsiTheme="minorHAnsi"/>
          <w:color w:val="000000"/>
          <w:szCs w:val="24"/>
        </w:rPr>
        <w:t xml:space="preserve">810, 812, 813, 815 through 817, 819, and 820 will be </w:t>
      </w:r>
      <w:r w:rsidRPr="005C6DD6">
        <w:rPr>
          <w:rFonts w:asciiTheme="minorHAnsi" w:hAnsiTheme="minorHAnsi"/>
          <w:szCs w:val="24"/>
        </w:rPr>
        <w:t>protected</w:t>
      </w:r>
      <w:r w:rsidRPr="005C6DD6">
        <w:rPr>
          <w:rFonts w:asciiTheme="minorHAnsi" w:hAnsiTheme="minorHAnsi"/>
          <w:color w:val="000080"/>
          <w:szCs w:val="24"/>
        </w:rPr>
        <w:t xml:space="preserve"> </w:t>
      </w:r>
      <w:r w:rsidRPr="005C6DD6">
        <w:rPr>
          <w:rFonts w:asciiTheme="minorHAnsi" w:hAnsiTheme="minorHAnsi"/>
          <w:color w:val="000000"/>
          <w:szCs w:val="24"/>
        </w:rPr>
        <w:t>and not disclosed to the public to the extent that it satisfies the criteria for exemption under the Freedom of Information Act (FOIA), 5 U.S.C. §552, the Department of Energy (DOE) regulations, 10 C.F.R. §1004.11, implementing the FOIA, and the Trade Secrets Act, 18 U.S.C. §1905.</w:t>
      </w:r>
    </w:p>
    <w:p w14:paraId="61E6F8B3" w14:textId="77777777" w:rsidR="00C931E4" w:rsidRPr="005C6DD6" w:rsidRDefault="00C931E4" w:rsidP="00B7681A">
      <w:pPr>
        <w:ind w:left="360"/>
        <w:jc w:val="left"/>
        <w:rPr>
          <w:rFonts w:asciiTheme="minorHAnsi" w:hAnsiTheme="minorHAnsi"/>
          <w:color w:val="000000"/>
          <w:szCs w:val="24"/>
        </w:rPr>
      </w:pPr>
      <w:r w:rsidRPr="005C6DD6">
        <w:rPr>
          <w:rFonts w:asciiTheme="minorHAnsi" w:hAnsiTheme="minorHAnsi"/>
          <w:szCs w:val="24"/>
        </w:rPr>
        <w:t>The Federal Energy Administration Act requires the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74DFD0ED" w14:textId="77777777" w:rsidR="00C931E4" w:rsidRPr="005C6DD6" w:rsidRDefault="00C931E4" w:rsidP="00B7681A">
      <w:pPr>
        <w:ind w:left="360"/>
        <w:jc w:val="left"/>
        <w:rPr>
          <w:rFonts w:asciiTheme="minorHAnsi" w:hAnsiTheme="minorHAnsi"/>
          <w:snapToGrid/>
          <w:color w:val="000000"/>
          <w:szCs w:val="24"/>
        </w:rPr>
      </w:pPr>
      <w:r w:rsidRPr="005C6DD6">
        <w:rPr>
          <w:rFonts w:asciiTheme="minorHAnsi" w:hAnsiTheme="minorHAnsi"/>
          <w:snapToGrid/>
          <w:color w:val="000000"/>
          <w:szCs w:val="24"/>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bookmarkStart w:id="23" w:name="OLE_LINK7"/>
      <w:bookmarkStart w:id="24" w:name="OLE_LINK8"/>
    </w:p>
    <w:p w14:paraId="495F1580" w14:textId="77777777" w:rsidR="000C651B" w:rsidRPr="005C6DD6" w:rsidRDefault="000C651B" w:rsidP="00EA0307">
      <w:pPr>
        <w:pStyle w:val="BodyText2"/>
        <w:spacing w:after="0" w:afterAutospacing="0"/>
        <w:ind w:left="360"/>
        <w:jc w:val="left"/>
        <w:rPr>
          <w:rFonts w:asciiTheme="minorHAnsi" w:hAnsiTheme="minorHAnsi"/>
          <w:color w:val="000000"/>
          <w:szCs w:val="24"/>
        </w:rPr>
      </w:pPr>
      <w:r w:rsidRPr="005C6DD6">
        <w:rPr>
          <w:rFonts w:asciiTheme="minorHAnsi" w:hAnsiTheme="minorHAnsi"/>
          <w:color w:val="000000"/>
          <w:szCs w:val="24"/>
        </w:rPr>
        <w:t>Special provisions for the Forms EIA-</w:t>
      </w:r>
      <w:r w:rsidR="00C931E4" w:rsidRPr="005C6DD6">
        <w:rPr>
          <w:rFonts w:asciiTheme="minorHAnsi" w:hAnsiTheme="minorHAnsi"/>
          <w:color w:val="000000"/>
          <w:szCs w:val="24"/>
        </w:rPr>
        <w:t xml:space="preserve">22M, </w:t>
      </w:r>
      <w:r w:rsidRPr="005C6DD6">
        <w:rPr>
          <w:rFonts w:asciiTheme="minorHAnsi" w:hAnsiTheme="minorHAnsi"/>
          <w:color w:val="000000"/>
          <w:szCs w:val="24"/>
        </w:rPr>
        <w:t>810</w:t>
      </w:r>
      <w:r w:rsidR="00E2373A" w:rsidRPr="005C6DD6">
        <w:rPr>
          <w:rFonts w:asciiTheme="minorHAnsi" w:hAnsiTheme="minorHAnsi"/>
          <w:color w:val="000000"/>
          <w:szCs w:val="24"/>
        </w:rPr>
        <w:t xml:space="preserve">, </w:t>
      </w:r>
      <w:r w:rsidR="00DA5179" w:rsidRPr="005C6DD6">
        <w:rPr>
          <w:rFonts w:asciiTheme="minorHAnsi" w:hAnsiTheme="minorHAnsi"/>
          <w:color w:val="000000"/>
          <w:szCs w:val="24"/>
        </w:rPr>
        <w:t xml:space="preserve">819 </w:t>
      </w:r>
      <w:r w:rsidRPr="005C6DD6">
        <w:rPr>
          <w:rFonts w:asciiTheme="minorHAnsi" w:hAnsiTheme="minorHAnsi"/>
          <w:color w:val="000000"/>
          <w:szCs w:val="24"/>
        </w:rPr>
        <w:t xml:space="preserve">and 820 </w:t>
      </w:r>
      <w:r w:rsidR="00EA0307">
        <w:rPr>
          <w:rFonts w:asciiTheme="minorHAnsi" w:hAnsiTheme="minorHAnsi"/>
          <w:color w:val="000000"/>
          <w:szCs w:val="24"/>
        </w:rPr>
        <w:t>are</w:t>
      </w:r>
      <w:r w:rsidRPr="005C6DD6">
        <w:rPr>
          <w:rFonts w:asciiTheme="minorHAnsi" w:hAnsiTheme="minorHAnsi"/>
          <w:color w:val="000000"/>
          <w:szCs w:val="24"/>
        </w:rPr>
        <w:t xml:space="preserve"> </w:t>
      </w:r>
      <w:r w:rsidR="00EA0307">
        <w:rPr>
          <w:rFonts w:asciiTheme="minorHAnsi" w:hAnsiTheme="minorHAnsi"/>
          <w:color w:val="000000"/>
          <w:szCs w:val="24"/>
        </w:rPr>
        <w:t>provided below</w:t>
      </w:r>
      <w:r w:rsidRPr="005C6DD6">
        <w:rPr>
          <w:rFonts w:asciiTheme="minorHAnsi" w:hAnsiTheme="minorHAnsi"/>
          <w:color w:val="000000"/>
          <w:szCs w:val="24"/>
        </w:rPr>
        <w:t>:</w:t>
      </w:r>
    </w:p>
    <w:p w14:paraId="5FC89DA6" w14:textId="77777777" w:rsidR="00EA0307" w:rsidRPr="00EA0307" w:rsidRDefault="00EA0307" w:rsidP="00EA0307">
      <w:pPr>
        <w:pStyle w:val="ListParagraph"/>
        <w:numPr>
          <w:ilvl w:val="0"/>
          <w:numId w:val="27"/>
        </w:numPr>
        <w:rPr>
          <w:rFonts w:asciiTheme="minorHAnsi" w:hAnsiTheme="minorHAnsi"/>
          <w:sz w:val="24"/>
          <w:szCs w:val="24"/>
        </w:rPr>
      </w:pPr>
      <w:r w:rsidRPr="00EA0307">
        <w:rPr>
          <w:rFonts w:asciiTheme="minorHAnsi" w:hAnsiTheme="minorHAnsi"/>
          <w:b/>
          <w:color w:val="000000"/>
          <w:sz w:val="24"/>
          <w:szCs w:val="24"/>
        </w:rPr>
        <w:t>Form EIA-22M:</w:t>
      </w:r>
      <w:r w:rsidRPr="00EA0307">
        <w:rPr>
          <w:rFonts w:asciiTheme="minorHAnsi" w:hAnsiTheme="minorHAnsi"/>
          <w:color w:val="000000"/>
          <w:sz w:val="24"/>
          <w:szCs w:val="24"/>
        </w:rPr>
        <w:t xml:space="preserve"> </w:t>
      </w:r>
      <w:r w:rsidRPr="00EA0307">
        <w:rPr>
          <w:rFonts w:asciiTheme="minorHAnsi" w:hAnsiTheme="minorHAnsi"/>
          <w:sz w:val="24"/>
          <w:szCs w:val="24"/>
        </w:rPr>
        <w:t xml:space="preserve">Biodiesel production capacity data reported on Form EIA-22M, </w:t>
      </w:r>
      <w:r w:rsidRPr="00EA0307">
        <w:rPr>
          <w:rFonts w:asciiTheme="minorHAnsi" w:hAnsiTheme="minorHAnsi"/>
          <w:color w:val="000000"/>
          <w:sz w:val="24"/>
          <w:szCs w:val="24"/>
        </w:rPr>
        <w:t xml:space="preserve">“Monthly Biodiesel Production Survey,” </w:t>
      </w:r>
      <w:r w:rsidRPr="00EA0307">
        <w:rPr>
          <w:rFonts w:asciiTheme="minorHAnsi" w:hAnsiTheme="minorHAnsi"/>
          <w:sz w:val="24"/>
          <w:szCs w:val="24"/>
        </w:rPr>
        <w:t>are considered public information and may be released in identifiable form, by company and plant facility.  Disclosure limitation procedures are applied to all other statistical data published from EIA-22M survey information, except total B100 production reported in Section 3, to ensure that the risk of disclosure of identifiable information is very small.</w:t>
      </w:r>
    </w:p>
    <w:p w14:paraId="2E54D474" w14:textId="77777777" w:rsidR="000C651B" w:rsidRPr="00EA0307" w:rsidRDefault="000C651B" w:rsidP="00EA0307">
      <w:pPr>
        <w:pStyle w:val="ListParagraph"/>
        <w:numPr>
          <w:ilvl w:val="0"/>
          <w:numId w:val="27"/>
        </w:numPr>
        <w:spacing w:before="120" w:beforeAutospacing="0" w:after="0" w:afterAutospacing="0"/>
        <w:jc w:val="left"/>
        <w:rPr>
          <w:rFonts w:asciiTheme="minorHAnsi" w:hAnsiTheme="minorHAnsi"/>
          <w:color w:val="000000"/>
          <w:sz w:val="24"/>
          <w:szCs w:val="24"/>
        </w:rPr>
      </w:pPr>
      <w:r w:rsidRPr="00EA0307">
        <w:rPr>
          <w:rFonts w:asciiTheme="minorHAnsi" w:hAnsiTheme="minorHAnsi"/>
          <w:b/>
          <w:color w:val="000000"/>
          <w:sz w:val="24"/>
          <w:szCs w:val="24"/>
        </w:rPr>
        <w:t>Form EIA-810:</w:t>
      </w:r>
      <w:r w:rsidRPr="00EA0307">
        <w:rPr>
          <w:rFonts w:asciiTheme="minorHAnsi" w:hAnsiTheme="minorHAnsi"/>
          <w:color w:val="000000"/>
          <w:sz w:val="24"/>
          <w:szCs w:val="24"/>
        </w:rPr>
        <w:t xml:space="preserve"> The data collected on Form EIA-810, </w:t>
      </w:r>
      <w:r w:rsidR="00F3718E" w:rsidRPr="00EA0307">
        <w:rPr>
          <w:rFonts w:asciiTheme="minorHAnsi" w:hAnsiTheme="minorHAnsi"/>
          <w:color w:val="000000"/>
          <w:sz w:val="24"/>
          <w:szCs w:val="24"/>
        </w:rPr>
        <w:t>“</w:t>
      </w:r>
      <w:r w:rsidRPr="00EA0307">
        <w:rPr>
          <w:rFonts w:asciiTheme="minorHAnsi" w:hAnsiTheme="minorHAnsi"/>
          <w:color w:val="000000"/>
          <w:sz w:val="24"/>
          <w:szCs w:val="24"/>
        </w:rPr>
        <w:t>Monthly Refinery Report,</w:t>
      </w:r>
      <w:r w:rsidR="00F3718E" w:rsidRPr="00EA0307">
        <w:rPr>
          <w:rFonts w:asciiTheme="minorHAnsi" w:hAnsiTheme="minorHAnsi"/>
          <w:color w:val="000000"/>
          <w:sz w:val="24"/>
          <w:szCs w:val="24"/>
        </w:rPr>
        <w:t>”</w:t>
      </w:r>
      <w:r w:rsidRPr="00EA0307">
        <w:rPr>
          <w:rFonts w:asciiTheme="minorHAnsi" w:hAnsiTheme="minorHAnsi"/>
          <w:color w:val="000000"/>
          <w:sz w:val="24"/>
          <w:szCs w:val="24"/>
        </w:rPr>
        <w:t xml:space="preserve"> is used to report aggregate statistics on and conduct analyses of the operation of U.S. petroleum refineries.</w:t>
      </w:r>
      <w:r w:rsidR="00C931E4" w:rsidRPr="00EA0307">
        <w:rPr>
          <w:rFonts w:asciiTheme="minorHAnsi" w:hAnsiTheme="minorHAnsi"/>
          <w:sz w:val="24"/>
          <w:szCs w:val="24"/>
        </w:rPr>
        <w:t xml:space="preserve">  </w:t>
      </w:r>
      <w:r w:rsidR="00C931E4" w:rsidRPr="00EA0307">
        <w:rPr>
          <w:rFonts w:asciiTheme="minorHAnsi" w:hAnsiTheme="minorHAnsi"/>
          <w:color w:val="000000"/>
          <w:sz w:val="24"/>
          <w:szCs w:val="24"/>
        </w:rPr>
        <w:t>Information on operable atmospheric crude oil distillation capacity reported on Form EIA-810 is not considered confidential and may be publicly released in identifiable form.</w:t>
      </w:r>
    </w:p>
    <w:p w14:paraId="0767363E" w14:textId="4C89DBD2" w:rsidR="00652A86" w:rsidRPr="00EA0307" w:rsidRDefault="00D82DBD" w:rsidP="00EA0307">
      <w:pPr>
        <w:pStyle w:val="Default"/>
        <w:numPr>
          <w:ilvl w:val="0"/>
          <w:numId w:val="27"/>
        </w:numPr>
        <w:spacing w:before="120"/>
        <w:rPr>
          <w:rFonts w:asciiTheme="minorHAnsi" w:hAnsiTheme="minorHAnsi" w:cs="Times New Roman"/>
        </w:rPr>
      </w:pPr>
      <w:r w:rsidRPr="00EA0307">
        <w:rPr>
          <w:rFonts w:asciiTheme="minorHAnsi" w:hAnsiTheme="minorHAnsi" w:cs="Times New Roman"/>
          <w:b/>
          <w:snapToGrid w:val="0"/>
        </w:rPr>
        <w:lastRenderedPageBreak/>
        <w:t>Form EIA-819</w:t>
      </w:r>
      <w:r w:rsidR="00DA5179" w:rsidRPr="00EA0307">
        <w:rPr>
          <w:rFonts w:asciiTheme="minorHAnsi" w:hAnsiTheme="minorHAnsi" w:cs="Times New Roman"/>
          <w:b/>
        </w:rPr>
        <w:t>:</w:t>
      </w:r>
      <w:r w:rsidR="00C039D6" w:rsidRPr="00EA0307">
        <w:rPr>
          <w:rFonts w:asciiTheme="minorHAnsi" w:hAnsiTheme="minorHAnsi" w:cs="Times New Roman"/>
        </w:rPr>
        <w:t xml:space="preserve"> In</w:t>
      </w:r>
      <w:r w:rsidRPr="00EA0307">
        <w:rPr>
          <w:rFonts w:asciiTheme="minorHAnsi" w:hAnsiTheme="minorHAnsi" w:cs="Times New Roman"/>
          <w:snapToGrid w:val="0"/>
        </w:rPr>
        <w:t>formation on fuel ethanol nameplate production capacity reported on Form EIA-819</w:t>
      </w:r>
      <w:r w:rsidR="001A6D99" w:rsidRPr="00EA0307">
        <w:rPr>
          <w:rFonts w:asciiTheme="minorHAnsi" w:hAnsiTheme="minorHAnsi" w:cs="Times New Roman"/>
          <w:snapToGrid w:val="0"/>
        </w:rPr>
        <w:t xml:space="preserve">, </w:t>
      </w:r>
      <w:r w:rsidR="00C039D6" w:rsidRPr="00EA0307">
        <w:rPr>
          <w:rFonts w:asciiTheme="minorHAnsi" w:hAnsiTheme="minorHAnsi" w:cs="Times New Roman"/>
          <w:snapToGrid w:val="0"/>
        </w:rPr>
        <w:t>“Monthly Oxygenate Report,”</w:t>
      </w:r>
      <w:r w:rsidR="001A6D99" w:rsidRPr="00EA0307">
        <w:rPr>
          <w:rFonts w:asciiTheme="minorHAnsi" w:hAnsiTheme="minorHAnsi" w:cs="Times New Roman"/>
          <w:snapToGrid w:val="0"/>
        </w:rPr>
        <w:t xml:space="preserve"> </w:t>
      </w:r>
      <w:r w:rsidRPr="00EA0307">
        <w:rPr>
          <w:rFonts w:asciiTheme="minorHAnsi" w:hAnsiTheme="minorHAnsi" w:cs="Times New Roman"/>
          <w:snapToGrid w:val="0"/>
        </w:rPr>
        <w:t>is considered</w:t>
      </w:r>
      <w:r w:rsidR="006C1642" w:rsidRPr="00EA0307">
        <w:rPr>
          <w:rFonts w:asciiTheme="minorHAnsi" w:hAnsiTheme="minorHAnsi" w:cs="Times New Roman"/>
          <w:snapToGrid w:val="0"/>
        </w:rPr>
        <w:t xml:space="preserve"> public information</w:t>
      </w:r>
      <w:r w:rsidRPr="00EA0307">
        <w:rPr>
          <w:rFonts w:asciiTheme="minorHAnsi" w:hAnsiTheme="minorHAnsi" w:cs="Times New Roman"/>
          <w:snapToGrid w:val="0"/>
        </w:rPr>
        <w:t xml:space="preserve"> and </w:t>
      </w:r>
      <w:r w:rsidR="006C1642" w:rsidRPr="00EA0307">
        <w:rPr>
          <w:rFonts w:asciiTheme="minorHAnsi" w:hAnsiTheme="minorHAnsi" w:cs="Times New Roman"/>
          <w:snapToGrid w:val="0"/>
        </w:rPr>
        <w:t>may</w:t>
      </w:r>
      <w:r w:rsidRPr="00EA0307">
        <w:rPr>
          <w:rFonts w:asciiTheme="minorHAnsi" w:hAnsiTheme="minorHAnsi" w:cs="Times New Roman"/>
          <w:snapToGrid w:val="0"/>
        </w:rPr>
        <w:t xml:space="preserve"> be released in identifiable form by company and site. </w:t>
      </w:r>
      <w:r w:rsidR="00212EFE" w:rsidRPr="00EA0307">
        <w:rPr>
          <w:rFonts w:asciiTheme="minorHAnsi" w:hAnsiTheme="minorHAnsi" w:cs="Times New Roman"/>
          <w:snapToGrid w:val="0"/>
        </w:rPr>
        <w:t xml:space="preserve"> </w:t>
      </w:r>
      <w:r w:rsidRPr="00EA0307">
        <w:rPr>
          <w:rFonts w:asciiTheme="minorHAnsi" w:hAnsiTheme="minorHAnsi" w:cs="Times New Roman"/>
          <w:snapToGrid w:val="0"/>
        </w:rPr>
        <w:t>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r w:rsidRPr="00EA0307">
        <w:rPr>
          <w:rFonts w:asciiTheme="minorHAnsi" w:hAnsiTheme="minorHAnsi" w:cs="Times New Roman"/>
        </w:rPr>
        <w:t xml:space="preserve"> </w:t>
      </w:r>
    </w:p>
    <w:p w14:paraId="1D98A2AC" w14:textId="77777777" w:rsidR="00807A3A" w:rsidRDefault="00807A3A" w:rsidP="00EA0307">
      <w:pPr>
        <w:pStyle w:val="ListParagraph"/>
        <w:numPr>
          <w:ilvl w:val="0"/>
          <w:numId w:val="27"/>
        </w:numPr>
        <w:spacing w:before="120" w:beforeAutospacing="0" w:after="0" w:afterAutospacing="0"/>
        <w:jc w:val="left"/>
        <w:rPr>
          <w:rFonts w:asciiTheme="minorHAnsi" w:hAnsiTheme="minorHAnsi"/>
          <w:color w:val="000000"/>
          <w:sz w:val="24"/>
          <w:szCs w:val="24"/>
        </w:rPr>
      </w:pPr>
      <w:r w:rsidRPr="00EA0307">
        <w:rPr>
          <w:rFonts w:asciiTheme="minorHAnsi" w:hAnsiTheme="minorHAnsi"/>
          <w:b/>
          <w:color w:val="000000"/>
          <w:sz w:val="24"/>
          <w:szCs w:val="24"/>
        </w:rPr>
        <w:t>Form EIA-820:</w:t>
      </w:r>
      <w:r w:rsidRPr="00EA0307">
        <w:rPr>
          <w:rFonts w:asciiTheme="minorHAnsi" w:hAnsiTheme="minorHAnsi"/>
          <w:color w:val="000000"/>
          <w:sz w:val="24"/>
          <w:szCs w:val="24"/>
        </w:rPr>
        <w:t xml:space="preserve"> Information on operable atmospheric crude oil distillation capacity, downstream charge capacity, and production capacity reported on Form EIA-820</w:t>
      </w:r>
      <w:r w:rsidR="00EC03C5" w:rsidRPr="00EA0307">
        <w:rPr>
          <w:rFonts w:asciiTheme="minorHAnsi" w:hAnsiTheme="minorHAnsi"/>
          <w:color w:val="000000"/>
          <w:sz w:val="24"/>
          <w:szCs w:val="24"/>
        </w:rPr>
        <w:t xml:space="preserve"> will be considered public information and may be released in company or individually identifiable form</w:t>
      </w:r>
      <w:r w:rsidR="00431AEF" w:rsidRPr="00EA0307">
        <w:rPr>
          <w:rFonts w:asciiTheme="minorHAnsi" w:hAnsiTheme="minorHAnsi"/>
          <w:color w:val="000000"/>
          <w:sz w:val="24"/>
          <w:szCs w:val="24"/>
        </w:rPr>
        <w:t>.</w:t>
      </w:r>
      <w:r w:rsidRPr="00EA0307">
        <w:rPr>
          <w:rFonts w:asciiTheme="minorHAnsi" w:hAnsiTheme="minorHAnsi"/>
          <w:color w:val="000000"/>
          <w:sz w:val="24"/>
          <w:szCs w:val="24"/>
        </w:rPr>
        <w:t xml:space="preserve">  In addition to the use of the information by EIA for statistical purposes, the information may be made available, upon request, to other </w:t>
      </w:r>
      <w:r w:rsidR="00212EFE" w:rsidRPr="00EA0307">
        <w:rPr>
          <w:rFonts w:asciiTheme="minorHAnsi" w:hAnsiTheme="minorHAnsi"/>
          <w:color w:val="000000"/>
          <w:sz w:val="24"/>
          <w:szCs w:val="24"/>
        </w:rPr>
        <w:t>f</w:t>
      </w:r>
      <w:r w:rsidRPr="00EA0307">
        <w:rPr>
          <w:rFonts w:asciiTheme="minorHAnsi" w:hAnsiTheme="minorHAnsi"/>
          <w:color w:val="000000"/>
          <w:sz w:val="24"/>
          <w:szCs w:val="24"/>
        </w:rPr>
        <w:t>ederal agencies authorized by law to receive such information for any non</w:t>
      </w:r>
      <w:r w:rsidR="00212EFE" w:rsidRPr="00EA0307">
        <w:rPr>
          <w:rFonts w:asciiTheme="minorHAnsi" w:hAnsiTheme="minorHAnsi"/>
          <w:color w:val="000000"/>
          <w:sz w:val="24"/>
          <w:szCs w:val="24"/>
        </w:rPr>
        <w:t>-</w:t>
      </w:r>
      <w:r w:rsidRPr="00EA0307">
        <w:rPr>
          <w:rFonts w:asciiTheme="minorHAnsi" w:hAnsiTheme="minorHAnsi"/>
          <w:color w:val="000000"/>
          <w:sz w:val="24"/>
          <w:szCs w:val="24"/>
        </w:rPr>
        <w:t>statistical purposes such as administrative, regulatory, law enforcement, or adjudicatory purposes.</w:t>
      </w:r>
      <w:r w:rsidR="00212EFE" w:rsidRPr="00EA0307">
        <w:rPr>
          <w:rFonts w:asciiTheme="minorHAnsi" w:hAnsiTheme="minorHAnsi"/>
          <w:color w:val="000000"/>
          <w:sz w:val="24"/>
          <w:szCs w:val="24"/>
        </w:rPr>
        <w:t>”</w:t>
      </w:r>
    </w:p>
    <w:p w14:paraId="3B9B6EA5" w14:textId="77777777" w:rsidR="005B4AE3" w:rsidRDefault="005B4AE3" w:rsidP="005B4AE3">
      <w:pPr>
        <w:pStyle w:val="ListParagraph"/>
        <w:spacing w:before="120" w:beforeAutospacing="0" w:after="0" w:afterAutospacing="0"/>
        <w:ind w:left="1080"/>
        <w:jc w:val="left"/>
        <w:rPr>
          <w:rFonts w:asciiTheme="minorHAnsi" w:hAnsiTheme="minorHAnsi"/>
          <w:color w:val="000000"/>
          <w:sz w:val="24"/>
          <w:szCs w:val="24"/>
        </w:rPr>
      </w:pPr>
    </w:p>
    <w:p w14:paraId="303EB868" w14:textId="1B2D6E0C" w:rsidR="00EE4111" w:rsidRPr="008739DA" w:rsidRDefault="005B4AE3" w:rsidP="008739DA">
      <w:pPr>
        <w:pStyle w:val="Default"/>
        <w:rPr>
          <w:rFonts w:asciiTheme="minorHAnsi" w:hAnsiTheme="minorHAnsi"/>
        </w:rPr>
      </w:pPr>
      <w:r w:rsidRPr="008739DA">
        <w:rPr>
          <w:rFonts w:asciiTheme="minorHAnsi" w:hAnsiTheme="minorHAnsi"/>
        </w:rPr>
        <w:t>The public release of production capacity and distillati</w:t>
      </w:r>
      <w:r w:rsidR="003D2E66" w:rsidRPr="008739DA">
        <w:rPr>
          <w:rFonts w:asciiTheme="minorHAnsi" w:hAnsiTheme="minorHAnsi"/>
        </w:rPr>
        <w:t xml:space="preserve">on capacity information reported on Forms EIA-22M, 810, 819, and 820 referenced above was a data protection policy change that was implemented in 2013 after the previous </w:t>
      </w:r>
      <w:r w:rsidR="002431CF">
        <w:rPr>
          <w:rFonts w:asciiTheme="minorHAnsi" w:hAnsiTheme="minorHAnsi"/>
        </w:rPr>
        <w:t>I</w:t>
      </w:r>
      <w:r w:rsidR="003D2E66" w:rsidRPr="008739DA">
        <w:rPr>
          <w:rFonts w:asciiTheme="minorHAnsi" w:hAnsiTheme="minorHAnsi"/>
        </w:rPr>
        <w:t xml:space="preserve">nformation </w:t>
      </w:r>
      <w:r w:rsidR="002431CF">
        <w:rPr>
          <w:rFonts w:asciiTheme="minorHAnsi" w:hAnsiTheme="minorHAnsi"/>
        </w:rPr>
        <w:t>C</w:t>
      </w:r>
      <w:r w:rsidR="003D2E66" w:rsidRPr="008739DA">
        <w:rPr>
          <w:rFonts w:asciiTheme="minorHAnsi" w:hAnsiTheme="minorHAnsi"/>
        </w:rPr>
        <w:t xml:space="preserve">ollection </w:t>
      </w:r>
      <w:r w:rsidR="002431CF">
        <w:rPr>
          <w:rFonts w:asciiTheme="minorHAnsi" w:hAnsiTheme="minorHAnsi"/>
        </w:rPr>
        <w:t>R</w:t>
      </w:r>
      <w:r w:rsidR="003D2E66" w:rsidRPr="008739DA">
        <w:rPr>
          <w:rFonts w:asciiTheme="minorHAnsi" w:hAnsiTheme="minorHAnsi"/>
        </w:rPr>
        <w:t xml:space="preserve">equest cycle was approved by OMB on May 29, 2013.  EIA immediately posted revised survey instructions that stated this policy change on its website and continued outreach and communication with survey respondents regarding the public release of distillation and production capacity information relating to Forms EIA-810, 819, and 22M.   EIA hosted a stakeholder </w:t>
      </w:r>
      <w:r w:rsidR="00612C44" w:rsidRPr="008739DA">
        <w:rPr>
          <w:rFonts w:asciiTheme="minorHAnsi" w:hAnsiTheme="minorHAnsi"/>
        </w:rPr>
        <w:t xml:space="preserve">workshop on </w:t>
      </w:r>
      <w:r w:rsidR="00612C44" w:rsidRPr="005630EC">
        <w:rPr>
          <w:rFonts w:asciiTheme="minorHAnsi" w:hAnsiTheme="minorHAnsi"/>
          <w:color w:val="auto"/>
        </w:rPr>
        <w:t>January 28-29, 2015, at the corporate headquarters facility of the Logistics Management Institute (LMI) at 7940 Jones Branch Dr., Tysons, VA 22102.  The attendees included survey respondents, industry analysts, industry trade associations, researchers, consultants, and users of EIA data.  The representatives of survey respondents in attendance covered all petroleum supply surveys (Forms EIA-800, 802, 803, 804, 805, and 809, 810,</w:t>
      </w:r>
      <w:r w:rsidR="00C7229B" w:rsidRPr="005630EC">
        <w:rPr>
          <w:rFonts w:asciiTheme="minorHAnsi" w:hAnsiTheme="minorHAnsi"/>
          <w:color w:val="auto"/>
        </w:rPr>
        <w:t xml:space="preserve"> 812, 813, 814, 815, 816, 817, </w:t>
      </w:r>
      <w:r w:rsidR="00612C44" w:rsidRPr="005630EC">
        <w:rPr>
          <w:rFonts w:asciiTheme="minorHAnsi" w:hAnsiTheme="minorHAnsi"/>
          <w:color w:val="auto"/>
        </w:rPr>
        <w:t>819</w:t>
      </w:r>
      <w:r w:rsidR="00C7229B" w:rsidRPr="005630EC">
        <w:rPr>
          <w:rFonts w:asciiTheme="minorHAnsi" w:hAnsiTheme="minorHAnsi"/>
          <w:color w:val="auto"/>
        </w:rPr>
        <w:t>, 820 and 22M</w:t>
      </w:r>
      <w:r w:rsidR="00612C44" w:rsidRPr="005630EC">
        <w:rPr>
          <w:rFonts w:asciiTheme="minorHAnsi" w:hAnsiTheme="minorHAnsi"/>
          <w:color w:val="auto"/>
        </w:rPr>
        <w:t>) encompassing refiners, importers, pipeline operators, blending terminals, crude terminals, and biodiesel and ethanol producers.</w:t>
      </w:r>
      <w:r w:rsidR="00C7229B" w:rsidRPr="005630EC">
        <w:rPr>
          <w:rFonts w:asciiTheme="minorHAnsi" w:hAnsiTheme="minorHAnsi"/>
          <w:color w:val="auto"/>
        </w:rPr>
        <w:t xml:space="preserve"> </w:t>
      </w:r>
      <w:r w:rsidR="003D2E66" w:rsidRPr="008739DA">
        <w:rPr>
          <w:rFonts w:asciiTheme="minorHAnsi" w:hAnsiTheme="minorHAnsi"/>
        </w:rPr>
        <w:t xml:space="preserve">EIA continued discussions with respondents and stakeholders </w:t>
      </w:r>
      <w:r w:rsidR="008739DA">
        <w:rPr>
          <w:rFonts w:asciiTheme="minorHAnsi" w:hAnsiTheme="minorHAnsi"/>
        </w:rPr>
        <w:t xml:space="preserve">on several issues </w:t>
      </w:r>
      <w:r w:rsidR="003D2E66" w:rsidRPr="008739DA">
        <w:rPr>
          <w:rFonts w:asciiTheme="minorHAnsi" w:hAnsiTheme="minorHAnsi"/>
        </w:rPr>
        <w:t xml:space="preserve">at that conference.  </w:t>
      </w:r>
      <w:r w:rsidR="00C7229B" w:rsidRPr="008739DA">
        <w:rPr>
          <w:rFonts w:asciiTheme="minorHAnsi" w:hAnsiTheme="minorHAnsi"/>
        </w:rPr>
        <w:t>Respondents were remind</w:t>
      </w:r>
      <w:r w:rsidR="003D2E66" w:rsidRPr="008739DA">
        <w:rPr>
          <w:rFonts w:asciiTheme="minorHAnsi" w:hAnsiTheme="minorHAnsi"/>
        </w:rPr>
        <w:t xml:space="preserve">ed </w:t>
      </w:r>
      <w:r w:rsidR="00C7229B" w:rsidRPr="008739DA">
        <w:rPr>
          <w:rFonts w:asciiTheme="minorHAnsi" w:hAnsiTheme="minorHAnsi"/>
        </w:rPr>
        <w:t>o</w:t>
      </w:r>
      <w:r w:rsidR="003D2E66" w:rsidRPr="008739DA">
        <w:rPr>
          <w:rFonts w:asciiTheme="minorHAnsi" w:hAnsiTheme="minorHAnsi"/>
        </w:rPr>
        <w:t>f EIA’s changes to the data protection policies to those survey forms that permitted monthly disclosure of reported plant-level distillation capacity data for the EIA-810, and production capacity for Forms EIA-819, and EIA-22M. </w:t>
      </w:r>
      <w:r w:rsidR="00EE4111" w:rsidRPr="008739DA">
        <w:rPr>
          <w:rFonts w:asciiTheme="minorHAnsi" w:hAnsiTheme="minorHAnsi"/>
        </w:rPr>
        <w:t>The data users expressed interest in EIA making more detailed breakouts of the petroleum supply data</w:t>
      </w:r>
      <w:r w:rsidR="008739DA">
        <w:rPr>
          <w:rFonts w:asciiTheme="minorHAnsi" w:hAnsiTheme="minorHAnsi"/>
        </w:rPr>
        <w:t xml:space="preserve"> publicly available</w:t>
      </w:r>
      <w:r w:rsidR="00EE4111" w:rsidRPr="008739DA">
        <w:rPr>
          <w:rFonts w:asciiTheme="minorHAnsi" w:hAnsiTheme="minorHAnsi"/>
        </w:rPr>
        <w:t xml:space="preserve">. </w:t>
      </w:r>
      <w:r w:rsidR="008739DA" w:rsidRPr="008739DA">
        <w:rPr>
          <w:rFonts w:asciiTheme="minorHAnsi" w:hAnsiTheme="minorHAnsi"/>
        </w:rPr>
        <w:t xml:space="preserve">Survey respondents recognized the benefits of collecting more granular data but expressed concerns about what kind of additional data they would actually be asked to collect and submit to EIA. For example, survey respondents participating in the workshop felt there was no need to </w:t>
      </w:r>
      <w:r w:rsidR="008739DA" w:rsidRPr="008739DA">
        <w:rPr>
          <w:rFonts w:asciiTheme="minorHAnsi" w:hAnsiTheme="minorHAnsi"/>
        </w:rPr>
        <w:lastRenderedPageBreak/>
        <w:t xml:space="preserve">collect data from all points in the supply chain from upstream production to downstream marketing activities. </w:t>
      </w:r>
      <w:r w:rsidR="003D2E66" w:rsidRPr="008739DA">
        <w:rPr>
          <w:rFonts w:asciiTheme="minorHAnsi" w:hAnsiTheme="minorHAnsi"/>
        </w:rPr>
        <w:t xml:space="preserve">There were no concerns raised by the respondents or analysts in attendance on the issue of the public release of refinery distillation capacity or production capacity information.  </w:t>
      </w:r>
    </w:p>
    <w:p w14:paraId="72292C6B" w14:textId="0D3A6E66" w:rsidR="003D2E66" w:rsidRDefault="00EE4111" w:rsidP="003D2E66">
      <w:pPr>
        <w:rPr>
          <w:snapToGrid/>
          <w:sz w:val="22"/>
        </w:rPr>
      </w:pPr>
      <w:r w:rsidRPr="00BD6E77">
        <w:rPr>
          <w:rFonts w:asciiTheme="minorHAnsi" w:hAnsiTheme="minorHAnsi"/>
        </w:rPr>
        <w:t>As part of its ongoing outreach activities</w:t>
      </w:r>
      <w:r w:rsidR="003D2E66" w:rsidRPr="00BD6E77">
        <w:rPr>
          <w:rFonts w:asciiTheme="minorHAnsi" w:hAnsiTheme="minorHAnsi"/>
        </w:rPr>
        <w:t xml:space="preserve">, EIA </w:t>
      </w:r>
      <w:r w:rsidRPr="00BD6E77">
        <w:rPr>
          <w:rFonts w:asciiTheme="minorHAnsi" w:hAnsiTheme="minorHAnsi"/>
        </w:rPr>
        <w:t>maintains</w:t>
      </w:r>
      <w:r w:rsidR="003D2E66" w:rsidRPr="00BD6E77">
        <w:rPr>
          <w:rFonts w:asciiTheme="minorHAnsi" w:hAnsiTheme="minorHAnsi"/>
        </w:rPr>
        <w:t xml:space="preserve"> a</w:t>
      </w:r>
      <w:r w:rsidRPr="00BD6E77">
        <w:rPr>
          <w:rFonts w:asciiTheme="minorHAnsi" w:hAnsiTheme="minorHAnsi"/>
        </w:rPr>
        <w:t>n open</w:t>
      </w:r>
      <w:r w:rsidR="003D2E66" w:rsidRPr="00BD6E77">
        <w:rPr>
          <w:rFonts w:asciiTheme="minorHAnsi" w:hAnsiTheme="minorHAnsi"/>
        </w:rPr>
        <w:t xml:space="preserve"> dialogue every year, including 2016, with the National Biodiesel Board (NBB) to compare reported plant-level production capacities to identify and r</w:t>
      </w:r>
      <w:r w:rsidRPr="00BD6E77">
        <w:rPr>
          <w:rFonts w:asciiTheme="minorHAnsi" w:hAnsiTheme="minorHAnsi"/>
        </w:rPr>
        <w:t xml:space="preserve">esolve any discrepancy with how biodiesel </w:t>
      </w:r>
      <w:r w:rsidR="003D2E66" w:rsidRPr="00BD6E77">
        <w:rPr>
          <w:rFonts w:asciiTheme="minorHAnsi" w:hAnsiTheme="minorHAnsi"/>
        </w:rPr>
        <w:t>production capacity information is reported to both EIA and NBB.  EIA did not receive any complaints from survey respondents on Forms EIA-810, 819, and 22M regarding the 2013 change in the d</w:t>
      </w:r>
      <w:r w:rsidRPr="00BD6E77">
        <w:rPr>
          <w:rFonts w:asciiTheme="minorHAnsi" w:hAnsiTheme="minorHAnsi"/>
        </w:rPr>
        <w:t>isclosure of information policy in its 2015 Federal Register notice for extending the clearance of these survey forms</w:t>
      </w:r>
      <w:r>
        <w:t xml:space="preserve">. </w:t>
      </w:r>
    </w:p>
    <w:p w14:paraId="03A5522A" w14:textId="543D6EF9" w:rsidR="00807A3A" w:rsidRPr="00EA0307" w:rsidRDefault="00807A3A" w:rsidP="00EA0307">
      <w:pPr>
        <w:autoSpaceDE w:val="0"/>
        <w:autoSpaceDN w:val="0"/>
        <w:adjustRightInd w:val="0"/>
        <w:spacing w:after="0" w:afterAutospacing="0"/>
        <w:ind w:left="360"/>
        <w:jc w:val="left"/>
        <w:rPr>
          <w:rFonts w:asciiTheme="minorHAnsi" w:hAnsiTheme="minorHAnsi"/>
          <w:snapToGrid/>
          <w:color w:val="000000"/>
          <w:szCs w:val="24"/>
        </w:rPr>
      </w:pPr>
      <w:r w:rsidRPr="00EA0307">
        <w:rPr>
          <w:rFonts w:asciiTheme="minorHAnsi" w:hAnsiTheme="minorHAnsi"/>
          <w:snapToGrid/>
          <w:color w:val="000000"/>
          <w:szCs w:val="24"/>
        </w:rPr>
        <w:t>For the nine (9) surveys</w:t>
      </w:r>
      <w:r w:rsidR="00EE4111">
        <w:rPr>
          <w:rFonts w:asciiTheme="minorHAnsi" w:hAnsiTheme="minorHAnsi"/>
          <w:color w:val="000000"/>
          <w:szCs w:val="24"/>
        </w:rPr>
        <w:t>, Forms EIA-</w:t>
      </w:r>
      <w:r w:rsidR="00EE4111" w:rsidRPr="005C6DD6">
        <w:rPr>
          <w:rFonts w:asciiTheme="minorHAnsi" w:hAnsiTheme="minorHAnsi"/>
          <w:color w:val="000000"/>
          <w:szCs w:val="24"/>
        </w:rPr>
        <w:t>810, 812, 813, 815</w:t>
      </w:r>
      <w:r w:rsidR="00EE4111">
        <w:rPr>
          <w:rFonts w:asciiTheme="minorHAnsi" w:hAnsiTheme="minorHAnsi"/>
          <w:color w:val="000000"/>
          <w:szCs w:val="24"/>
        </w:rPr>
        <w:t>, 816,</w:t>
      </w:r>
      <w:r w:rsidR="00EE4111" w:rsidRPr="005C6DD6">
        <w:rPr>
          <w:rFonts w:asciiTheme="minorHAnsi" w:hAnsiTheme="minorHAnsi"/>
          <w:color w:val="000000"/>
          <w:szCs w:val="24"/>
        </w:rPr>
        <w:t xml:space="preserve"> 817, 819, 820</w:t>
      </w:r>
      <w:r w:rsidR="00EE4111">
        <w:rPr>
          <w:rFonts w:asciiTheme="minorHAnsi" w:hAnsiTheme="minorHAnsi"/>
          <w:color w:val="000000"/>
          <w:szCs w:val="24"/>
        </w:rPr>
        <w:t xml:space="preserve"> and 22M,</w:t>
      </w:r>
      <w:r w:rsidR="00EE4111" w:rsidRPr="005C6DD6">
        <w:rPr>
          <w:rFonts w:asciiTheme="minorHAnsi" w:hAnsiTheme="minorHAnsi"/>
          <w:color w:val="000000"/>
          <w:szCs w:val="24"/>
        </w:rPr>
        <w:t xml:space="preserve"> </w:t>
      </w:r>
      <w:r w:rsidRPr="00EA0307">
        <w:rPr>
          <w:rFonts w:asciiTheme="minorHAnsi" w:hAnsiTheme="minorHAnsi"/>
          <w:snapToGrid/>
          <w:color w:val="000000"/>
          <w:szCs w:val="24"/>
        </w:rPr>
        <w:t>referenced above, the additional sentence below on data sharing is also included:</w:t>
      </w:r>
    </w:p>
    <w:p w14:paraId="784DD924" w14:textId="77777777" w:rsidR="00807A3A" w:rsidRPr="00EA0307" w:rsidRDefault="00212EFE" w:rsidP="00B7681A">
      <w:pPr>
        <w:autoSpaceDE w:val="0"/>
        <w:autoSpaceDN w:val="0"/>
        <w:adjustRightInd w:val="0"/>
        <w:spacing w:before="120" w:beforeAutospacing="0"/>
        <w:ind w:left="720"/>
        <w:jc w:val="left"/>
        <w:rPr>
          <w:rFonts w:asciiTheme="minorHAnsi" w:hAnsiTheme="minorHAnsi"/>
          <w:snapToGrid/>
          <w:szCs w:val="24"/>
        </w:rPr>
      </w:pPr>
      <w:r w:rsidRPr="00EA0307">
        <w:rPr>
          <w:rFonts w:asciiTheme="minorHAnsi" w:hAnsiTheme="minorHAnsi"/>
          <w:snapToGrid/>
          <w:color w:val="000000"/>
          <w:szCs w:val="24"/>
        </w:rPr>
        <w:t>“</w:t>
      </w:r>
      <w:r w:rsidR="00807A3A" w:rsidRPr="00EA0307">
        <w:rPr>
          <w:rFonts w:asciiTheme="minorHAnsi" w:hAnsiTheme="minorHAnsi"/>
          <w:snapToGrid/>
          <w:color w:val="000000"/>
          <w:szCs w:val="24"/>
        </w:rPr>
        <w:t xml:space="preserve">Company specific data are also provided to other DOE offices for the purpose of examining specific petroleum operations in the context of emergency response planning </w:t>
      </w:r>
      <w:r w:rsidR="00807A3A" w:rsidRPr="00EA0307">
        <w:rPr>
          <w:rFonts w:asciiTheme="minorHAnsi" w:hAnsiTheme="minorHAnsi"/>
          <w:snapToGrid/>
          <w:szCs w:val="24"/>
        </w:rPr>
        <w:t>and actual emergencies.</w:t>
      </w:r>
      <w:r w:rsidRPr="00EA0307">
        <w:rPr>
          <w:rFonts w:asciiTheme="minorHAnsi" w:hAnsiTheme="minorHAnsi"/>
          <w:snapToGrid/>
          <w:szCs w:val="24"/>
        </w:rPr>
        <w:t>”</w:t>
      </w:r>
    </w:p>
    <w:p w14:paraId="5D9029A5" w14:textId="77777777" w:rsidR="00EA0307" w:rsidRPr="00EA0307" w:rsidRDefault="000C651B" w:rsidP="003C5335">
      <w:pPr>
        <w:autoSpaceDE w:val="0"/>
        <w:autoSpaceDN w:val="0"/>
        <w:adjustRightInd w:val="0"/>
        <w:jc w:val="left"/>
        <w:rPr>
          <w:rFonts w:asciiTheme="minorHAnsi" w:hAnsiTheme="minorHAnsi"/>
          <w:szCs w:val="22"/>
        </w:rPr>
      </w:pPr>
      <w:r w:rsidRPr="00EA0307">
        <w:rPr>
          <w:rFonts w:asciiTheme="minorHAnsi" w:hAnsiTheme="minorHAnsi"/>
          <w:szCs w:val="22"/>
        </w:rPr>
        <w:t>The</w:t>
      </w:r>
      <w:r w:rsidR="00EA0307" w:rsidRPr="00EA0307">
        <w:rPr>
          <w:rFonts w:asciiTheme="minorHAnsi" w:hAnsiTheme="minorHAnsi"/>
          <w:szCs w:val="22"/>
        </w:rPr>
        <w:t>se</w:t>
      </w:r>
      <w:r w:rsidRPr="00EA0307">
        <w:rPr>
          <w:rFonts w:asciiTheme="minorHAnsi" w:hAnsiTheme="minorHAnsi"/>
          <w:szCs w:val="22"/>
        </w:rPr>
        <w:t xml:space="preserve"> data appear in </w:t>
      </w:r>
      <w:r w:rsidR="00EA0307" w:rsidRPr="00EA0307">
        <w:rPr>
          <w:rFonts w:asciiTheme="minorHAnsi" w:hAnsiTheme="minorHAnsi"/>
          <w:szCs w:val="22"/>
        </w:rPr>
        <w:t xml:space="preserve">the following </w:t>
      </w:r>
      <w:r w:rsidRPr="00EA0307">
        <w:rPr>
          <w:rFonts w:asciiTheme="minorHAnsi" w:hAnsiTheme="minorHAnsi"/>
          <w:szCs w:val="22"/>
        </w:rPr>
        <w:t xml:space="preserve">EIA </w:t>
      </w:r>
      <w:r w:rsidR="00EA0307" w:rsidRPr="00EA0307">
        <w:rPr>
          <w:rFonts w:asciiTheme="minorHAnsi" w:hAnsiTheme="minorHAnsi"/>
          <w:szCs w:val="22"/>
        </w:rPr>
        <w:t xml:space="preserve">data </w:t>
      </w:r>
      <w:r w:rsidRPr="00EA0307">
        <w:rPr>
          <w:rFonts w:asciiTheme="minorHAnsi" w:hAnsiTheme="minorHAnsi"/>
          <w:szCs w:val="22"/>
        </w:rPr>
        <w:t>publications</w:t>
      </w:r>
      <w:r w:rsidR="00EA0307" w:rsidRPr="00EA0307">
        <w:rPr>
          <w:rFonts w:asciiTheme="minorHAnsi" w:hAnsiTheme="minorHAnsi"/>
          <w:szCs w:val="22"/>
        </w:rPr>
        <w:t>:</w:t>
      </w:r>
    </w:p>
    <w:p w14:paraId="7E9A8A9C" w14:textId="77777777" w:rsidR="00EA0307" w:rsidRPr="00EA0307" w:rsidRDefault="00EA0307" w:rsidP="00EA0307">
      <w:pPr>
        <w:pStyle w:val="ListParagraph"/>
        <w:numPr>
          <w:ilvl w:val="0"/>
          <w:numId w:val="28"/>
        </w:numPr>
        <w:autoSpaceDE w:val="0"/>
        <w:autoSpaceDN w:val="0"/>
        <w:adjustRightInd w:val="0"/>
        <w:jc w:val="left"/>
        <w:rPr>
          <w:rFonts w:asciiTheme="minorHAnsi" w:hAnsiTheme="minorHAnsi"/>
          <w:sz w:val="24"/>
          <w:szCs w:val="22"/>
        </w:rPr>
      </w:pPr>
      <w:r w:rsidRPr="00EA0307">
        <w:rPr>
          <w:rFonts w:asciiTheme="minorHAnsi" w:hAnsiTheme="minorHAnsi"/>
          <w:sz w:val="24"/>
          <w:szCs w:val="22"/>
        </w:rPr>
        <w:t>Crude Oil Imports (monthly)</w:t>
      </w:r>
    </w:p>
    <w:p w14:paraId="09C4838D" w14:textId="77777777" w:rsidR="00EA0307" w:rsidRPr="00EA0307" w:rsidRDefault="00EA0307" w:rsidP="00EA0307">
      <w:pPr>
        <w:pStyle w:val="ListParagraph"/>
        <w:numPr>
          <w:ilvl w:val="0"/>
          <w:numId w:val="28"/>
        </w:numPr>
        <w:autoSpaceDE w:val="0"/>
        <w:autoSpaceDN w:val="0"/>
        <w:adjustRightInd w:val="0"/>
        <w:jc w:val="left"/>
        <w:rPr>
          <w:rFonts w:asciiTheme="minorHAnsi" w:hAnsiTheme="minorHAnsi"/>
          <w:sz w:val="24"/>
          <w:szCs w:val="22"/>
        </w:rPr>
      </w:pPr>
      <w:r w:rsidRPr="00EA0307">
        <w:rPr>
          <w:rFonts w:asciiTheme="minorHAnsi" w:hAnsiTheme="minorHAnsi"/>
          <w:sz w:val="24"/>
          <w:szCs w:val="22"/>
        </w:rPr>
        <w:t>Monthly Biodiesel Production Report</w:t>
      </w:r>
    </w:p>
    <w:p w14:paraId="52F77BE2" w14:textId="77777777" w:rsidR="00EA0307" w:rsidRPr="00EA0307" w:rsidRDefault="00EA0307" w:rsidP="00EA0307">
      <w:pPr>
        <w:pStyle w:val="ListParagraph"/>
        <w:numPr>
          <w:ilvl w:val="0"/>
          <w:numId w:val="28"/>
        </w:numPr>
        <w:autoSpaceDE w:val="0"/>
        <w:autoSpaceDN w:val="0"/>
        <w:adjustRightInd w:val="0"/>
        <w:jc w:val="left"/>
        <w:rPr>
          <w:rFonts w:asciiTheme="minorHAnsi" w:hAnsiTheme="minorHAnsi"/>
          <w:sz w:val="24"/>
          <w:szCs w:val="22"/>
        </w:rPr>
      </w:pPr>
      <w:r w:rsidRPr="00EA0307">
        <w:rPr>
          <w:rFonts w:asciiTheme="minorHAnsi" w:hAnsiTheme="minorHAnsi"/>
          <w:sz w:val="24"/>
          <w:szCs w:val="22"/>
        </w:rPr>
        <w:t xml:space="preserve">Monthly Energy Review </w:t>
      </w:r>
      <w:r>
        <w:rPr>
          <w:rFonts w:asciiTheme="minorHAnsi" w:hAnsiTheme="minorHAnsi"/>
          <w:sz w:val="24"/>
          <w:szCs w:val="22"/>
        </w:rPr>
        <w:t>(MER)</w:t>
      </w:r>
    </w:p>
    <w:p w14:paraId="7B5867C3" w14:textId="77777777" w:rsidR="003C5335" w:rsidRPr="00EA0307" w:rsidRDefault="00EA0307" w:rsidP="00EA0307">
      <w:pPr>
        <w:pStyle w:val="ListParagraph"/>
        <w:numPr>
          <w:ilvl w:val="0"/>
          <w:numId w:val="28"/>
        </w:numPr>
        <w:autoSpaceDE w:val="0"/>
        <w:autoSpaceDN w:val="0"/>
        <w:adjustRightInd w:val="0"/>
        <w:jc w:val="left"/>
        <w:rPr>
          <w:rFonts w:asciiTheme="minorHAnsi" w:hAnsiTheme="minorHAnsi"/>
          <w:sz w:val="24"/>
          <w:szCs w:val="22"/>
        </w:rPr>
      </w:pPr>
      <w:r w:rsidRPr="00EA0307">
        <w:rPr>
          <w:rFonts w:asciiTheme="minorHAnsi" w:hAnsiTheme="minorHAnsi"/>
          <w:sz w:val="24"/>
          <w:szCs w:val="22"/>
        </w:rPr>
        <w:t>Petroleum Supply Annual (PSA)</w:t>
      </w:r>
    </w:p>
    <w:p w14:paraId="09919BCE" w14:textId="77777777" w:rsidR="00EA0307" w:rsidRPr="00EA0307" w:rsidRDefault="00EA0307" w:rsidP="00EA0307">
      <w:pPr>
        <w:pStyle w:val="ListParagraph"/>
        <w:numPr>
          <w:ilvl w:val="0"/>
          <w:numId w:val="28"/>
        </w:numPr>
        <w:autoSpaceDE w:val="0"/>
        <w:autoSpaceDN w:val="0"/>
        <w:adjustRightInd w:val="0"/>
        <w:jc w:val="left"/>
        <w:rPr>
          <w:rFonts w:asciiTheme="minorHAnsi" w:hAnsiTheme="minorHAnsi"/>
          <w:sz w:val="24"/>
          <w:szCs w:val="22"/>
        </w:rPr>
      </w:pPr>
      <w:r w:rsidRPr="00EA0307">
        <w:rPr>
          <w:rFonts w:asciiTheme="minorHAnsi" w:hAnsiTheme="minorHAnsi"/>
          <w:sz w:val="24"/>
          <w:szCs w:val="22"/>
        </w:rPr>
        <w:t>Petroleum Supply Monthly (PSM)</w:t>
      </w:r>
    </w:p>
    <w:p w14:paraId="3212D9F8" w14:textId="77777777" w:rsidR="00EA0307" w:rsidRPr="00EA0307" w:rsidRDefault="00EA0307" w:rsidP="00EA0307">
      <w:pPr>
        <w:pStyle w:val="ListParagraph"/>
        <w:numPr>
          <w:ilvl w:val="0"/>
          <w:numId w:val="28"/>
        </w:numPr>
        <w:autoSpaceDE w:val="0"/>
        <w:autoSpaceDN w:val="0"/>
        <w:adjustRightInd w:val="0"/>
        <w:jc w:val="left"/>
        <w:rPr>
          <w:rFonts w:asciiTheme="minorHAnsi" w:hAnsiTheme="minorHAnsi"/>
          <w:sz w:val="24"/>
          <w:szCs w:val="22"/>
        </w:rPr>
      </w:pPr>
      <w:r w:rsidRPr="00EA0307">
        <w:rPr>
          <w:rFonts w:asciiTheme="minorHAnsi" w:hAnsiTheme="minorHAnsi"/>
          <w:sz w:val="24"/>
          <w:szCs w:val="22"/>
        </w:rPr>
        <w:t>This Week in Petroleum (TWIP)</w:t>
      </w:r>
    </w:p>
    <w:p w14:paraId="1840D869" w14:textId="77777777" w:rsidR="00EA0307" w:rsidRPr="00EA0307" w:rsidRDefault="00EA0307" w:rsidP="00EA0307">
      <w:pPr>
        <w:pStyle w:val="ListParagraph"/>
        <w:numPr>
          <w:ilvl w:val="0"/>
          <w:numId w:val="28"/>
        </w:numPr>
        <w:autoSpaceDE w:val="0"/>
        <w:autoSpaceDN w:val="0"/>
        <w:adjustRightInd w:val="0"/>
        <w:jc w:val="left"/>
        <w:rPr>
          <w:rFonts w:asciiTheme="minorHAnsi" w:hAnsiTheme="minorHAnsi"/>
          <w:sz w:val="24"/>
          <w:szCs w:val="22"/>
        </w:rPr>
      </w:pPr>
      <w:r w:rsidRPr="00EA0307">
        <w:rPr>
          <w:rFonts w:asciiTheme="minorHAnsi" w:hAnsiTheme="minorHAnsi"/>
          <w:sz w:val="24"/>
          <w:szCs w:val="22"/>
        </w:rPr>
        <w:t>Weekly Petroleum Status Report (WPSR)</w:t>
      </w:r>
    </w:p>
    <w:p w14:paraId="0ABAFB68" w14:textId="77777777" w:rsidR="00847496" w:rsidRPr="00847496" w:rsidRDefault="000C651B" w:rsidP="00847496">
      <w:pPr>
        <w:autoSpaceDE w:val="0"/>
        <w:autoSpaceDN w:val="0"/>
        <w:adjustRightInd w:val="0"/>
        <w:spacing w:before="42"/>
        <w:ind w:right="-20"/>
        <w:jc w:val="left"/>
        <w:rPr>
          <w:color w:val="FF0000"/>
        </w:rPr>
      </w:pPr>
      <w:r w:rsidRPr="00847496">
        <w:rPr>
          <w:rFonts w:asciiTheme="minorHAnsi" w:hAnsiTheme="minorHAnsi"/>
          <w:color w:val="000000"/>
          <w:szCs w:val="24"/>
        </w:rPr>
        <w:t>Company</w:t>
      </w:r>
      <w:r w:rsidR="00212EFE" w:rsidRPr="00847496">
        <w:rPr>
          <w:rFonts w:asciiTheme="minorHAnsi" w:hAnsiTheme="minorHAnsi"/>
          <w:color w:val="000000"/>
          <w:szCs w:val="24"/>
        </w:rPr>
        <w:t>-</w:t>
      </w:r>
      <w:r w:rsidRPr="00847496">
        <w:rPr>
          <w:rFonts w:asciiTheme="minorHAnsi" w:hAnsiTheme="minorHAnsi"/>
          <w:color w:val="000000"/>
          <w:szCs w:val="24"/>
        </w:rPr>
        <w:t>specific data are also provided to other DOE offices for the purpose of examining specific facility operations in the context of emergency response planning and actual emergencies.</w:t>
      </w:r>
    </w:p>
    <w:p w14:paraId="424B6E4B" w14:textId="77777777" w:rsidR="00847496" w:rsidRPr="00847496" w:rsidRDefault="000C651B" w:rsidP="00847496">
      <w:pPr>
        <w:jc w:val="left"/>
        <w:rPr>
          <w:rFonts w:asciiTheme="minorHAnsi" w:hAnsiTheme="minorHAnsi"/>
          <w:color w:val="000000"/>
          <w:szCs w:val="24"/>
        </w:rPr>
      </w:pPr>
      <w:r w:rsidRPr="005C6DD6">
        <w:rPr>
          <w:rFonts w:asciiTheme="minorHAnsi" w:hAnsiTheme="minorHAnsi"/>
          <w:color w:val="000000"/>
        </w:rPr>
        <w:t xml:space="preserve">EIA </w:t>
      </w:r>
      <w:r w:rsidR="00EE51CF">
        <w:rPr>
          <w:rFonts w:asciiTheme="minorHAnsi" w:hAnsiTheme="minorHAnsi"/>
          <w:color w:val="000000"/>
        </w:rPr>
        <w:t xml:space="preserve">does not apply any statistical disclosure limitation procedures to the </w:t>
      </w:r>
      <w:r w:rsidRPr="005C6DD6">
        <w:rPr>
          <w:rFonts w:asciiTheme="minorHAnsi" w:hAnsiTheme="minorHAnsi"/>
          <w:color w:val="000000"/>
        </w:rPr>
        <w:t>publishe</w:t>
      </w:r>
      <w:r w:rsidR="00EE51CF">
        <w:rPr>
          <w:rFonts w:asciiTheme="minorHAnsi" w:hAnsiTheme="minorHAnsi"/>
          <w:color w:val="000000"/>
        </w:rPr>
        <w:t>d</w:t>
      </w:r>
      <w:r w:rsidRPr="005C6DD6">
        <w:rPr>
          <w:rFonts w:asciiTheme="minorHAnsi" w:hAnsiTheme="minorHAnsi"/>
          <w:color w:val="000000"/>
        </w:rPr>
        <w:t xml:space="preserve"> tables in the PSM and the PSA based on the data submitted on these forms </w:t>
      </w:r>
      <w:r w:rsidR="00EE51CF">
        <w:rPr>
          <w:rFonts w:asciiTheme="minorHAnsi" w:hAnsiTheme="minorHAnsi"/>
          <w:color w:val="000000"/>
        </w:rPr>
        <w:t xml:space="preserve">except for the tabular data relating to biodiesel </w:t>
      </w:r>
      <w:r w:rsidR="00847496">
        <w:rPr>
          <w:rFonts w:asciiTheme="minorHAnsi" w:hAnsiTheme="minorHAnsi"/>
          <w:color w:val="000000"/>
        </w:rPr>
        <w:t>feedstocks</w:t>
      </w:r>
      <w:r w:rsidR="00EE51CF">
        <w:rPr>
          <w:rFonts w:asciiTheme="minorHAnsi" w:hAnsiTheme="minorHAnsi"/>
          <w:color w:val="000000"/>
        </w:rPr>
        <w:t>.</w:t>
      </w:r>
    </w:p>
    <w:p w14:paraId="62D2FED9" w14:textId="77777777" w:rsidR="000C651B" w:rsidRPr="005C6DD6" w:rsidRDefault="00EE51CF" w:rsidP="00137DBF">
      <w:pPr>
        <w:pStyle w:val="Heading2"/>
        <w:spacing w:before="360"/>
        <w:rPr>
          <w:rFonts w:asciiTheme="minorHAnsi" w:hAnsiTheme="minorHAnsi"/>
        </w:rPr>
      </w:pPr>
      <w:r>
        <w:rPr>
          <w:rFonts w:asciiTheme="minorHAnsi" w:hAnsiTheme="minorHAnsi"/>
          <w:color w:val="000000"/>
        </w:rPr>
        <w:t xml:space="preserve"> </w:t>
      </w:r>
      <w:bookmarkStart w:id="25" w:name="_Toc336849154"/>
      <w:bookmarkStart w:id="26" w:name="_Toc336849598"/>
      <w:bookmarkStart w:id="27" w:name="_Toc442088389"/>
      <w:bookmarkEnd w:id="23"/>
      <w:bookmarkEnd w:id="24"/>
      <w:bookmarkEnd w:id="25"/>
      <w:bookmarkEnd w:id="26"/>
      <w:r w:rsidR="000C651B" w:rsidRPr="005C6DD6">
        <w:rPr>
          <w:rFonts w:asciiTheme="minorHAnsi" w:hAnsiTheme="minorHAnsi"/>
        </w:rPr>
        <w:t xml:space="preserve">Justification for </w:t>
      </w:r>
      <w:r w:rsidR="00EA2968" w:rsidRPr="005C6DD6">
        <w:rPr>
          <w:rFonts w:asciiTheme="minorHAnsi" w:hAnsiTheme="minorHAnsi"/>
        </w:rPr>
        <w:t>Q</w:t>
      </w:r>
      <w:r w:rsidR="000C651B" w:rsidRPr="005C6DD6">
        <w:rPr>
          <w:rFonts w:asciiTheme="minorHAnsi" w:hAnsiTheme="minorHAnsi"/>
        </w:rPr>
        <w:t>uestions</w:t>
      </w:r>
      <w:r w:rsidR="00EA2968" w:rsidRPr="005C6DD6">
        <w:rPr>
          <w:rFonts w:asciiTheme="minorHAnsi" w:hAnsiTheme="minorHAnsi"/>
        </w:rPr>
        <w:t xml:space="preserve"> of a Sensitive Nature</w:t>
      </w:r>
      <w:bookmarkEnd w:id="27"/>
    </w:p>
    <w:p w14:paraId="5387AF3C" w14:textId="77777777" w:rsidR="00463AD8" w:rsidRPr="00EE72AF" w:rsidRDefault="000C651B" w:rsidP="00EE72AF">
      <w:pPr>
        <w:spacing w:before="120" w:beforeAutospacing="0"/>
        <w:jc w:val="left"/>
        <w:rPr>
          <w:rFonts w:asciiTheme="minorHAnsi" w:hAnsiTheme="minorHAnsi"/>
          <w:szCs w:val="24"/>
        </w:rPr>
      </w:pPr>
      <w:r w:rsidRPr="005C6DD6">
        <w:rPr>
          <w:rFonts w:asciiTheme="minorHAnsi" w:hAnsiTheme="minorHAnsi"/>
          <w:szCs w:val="24"/>
        </w:rPr>
        <w:lastRenderedPageBreak/>
        <w:t xml:space="preserve">The </w:t>
      </w:r>
      <w:r w:rsidR="00212EFE" w:rsidRPr="005C6DD6">
        <w:rPr>
          <w:rFonts w:asciiTheme="minorHAnsi" w:hAnsiTheme="minorHAnsi"/>
          <w:szCs w:val="24"/>
        </w:rPr>
        <w:t>PSRS data collections</w:t>
      </w:r>
      <w:r w:rsidRPr="005C6DD6">
        <w:rPr>
          <w:rFonts w:asciiTheme="minorHAnsi" w:hAnsiTheme="minorHAnsi"/>
          <w:szCs w:val="24"/>
        </w:rPr>
        <w:t xml:space="preserve"> </w:t>
      </w:r>
      <w:r w:rsidR="00212EFE" w:rsidRPr="005C6DD6">
        <w:rPr>
          <w:rFonts w:asciiTheme="minorHAnsi" w:hAnsiTheme="minorHAnsi"/>
          <w:szCs w:val="24"/>
        </w:rPr>
        <w:t xml:space="preserve">do not </w:t>
      </w:r>
      <w:r w:rsidRPr="005C6DD6">
        <w:rPr>
          <w:rFonts w:asciiTheme="minorHAnsi" w:hAnsiTheme="minorHAnsi"/>
          <w:szCs w:val="24"/>
        </w:rPr>
        <w:t>contain questions of a sensitive nature.</w:t>
      </w:r>
    </w:p>
    <w:p w14:paraId="175A79ED" w14:textId="77777777" w:rsidR="006B7791" w:rsidRPr="005C6DD6" w:rsidRDefault="000C651B" w:rsidP="0021567E">
      <w:pPr>
        <w:pStyle w:val="Heading2"/>
        <w:spacing w:before="0"/>
        <w:rPr>
          <w:rFonts w:asciiTheme="minorHAnsi" w:hAnsiTheme="minorHAnsi"/>
        </w:rPr>
      </w:pPr>
      <w:bookmarkStart w:id="28" w:name="_Toc442088390"/>
      <w:r w:rsidRPr="005C6DD6">
        <w:rPr>
          <w:rFonts w:asciiTheme="minorHAnsi" w:hAnsiTheme="minorHAnsi"/>
        </w:rPr>
        <w:t>Estimates of Respondent Burden (Hours</w:t>
      </w:r>
      <w:r w:rsidR="00EA2968" w:rsidRPr="005C6DD6">
        <w:rPr>
          <w:rFonts w:asciiTheme="minorHAnsi" w:hAnsiTheme="minorHAnsi"/>
        </w:rPr>
        <w:t xml:space="preserve"> and Cost</w:t>
      </w:r>
      <w:r w:rsidRPr="005C6DD6">
        <w:rPr>
          <w:rFonts w:asciiTheme="minorHAnsi" w:hAnsiTheme="minorHAnsi"/>
        </w:rPr>
        <w:t>)</w:t>
      </w:r>
      <w:bookmarkEnd w:id="28"/>
    </w:p>
    <w:p w14:paraId="05042682" w14:textId="4D8A2818" w:rsidR="001F07D8" w:rsidRDefault="006B7791" w:rsidP="0021567E">
      <w:pPr>
        <w:spacing w:before="0" w:beforeAutospacing="0" w:after="0" w:afterAutospacing="0"/>
        <w:jc w:val="left"/>
        <w:rPr>
          <w:rFonts w:asciiTheme="minorHAnsi" w:hAnsiTheme="minorHAnsi"/>
          <w:szCs w:val="24"/>
        </w:rPr>
      </w:pPr>
      <w:r w:rsidRPr="005C6DD6">
        <w:rPr>
          <w:rFonts w:asciiTheme="minorHAnsi" w:hAnsiTheme="minorHAnsi"/>
          <w:szCs w:val="24"/>
        </w:rPr>
        <w:t xml:space="preserve">The estimates of respondent burden for the individual forms contained in this package are listed in Table A1.  </w:t>
      </w:r>
    </w:p>
    <w:p w14:paraId="4830EEB8" w14:textId="77777777" w:rsidR="00085A59" w:rsidRDefault="00085A59" w:rsidP="0021567E">
      <w:pPr>
        <w:spacing w:before="0" w:beforeAutospacing="0" w:after="0" w:afterAutospacing="0"/>
        <w:jc w:val="left"/>
        <w:rPr>
          <w:rFonts w:asciiTheme="minorHAnsi" w:hAnsiTheme="minorHAnsi"/>
          <w:szCs w:val="24"/>
        </w:rPr>
      </w:pPr>
    </w:p>
    <w:p w14:paraId="21965B91" w14:textId="77777777" w:rsidR="005A2E29" w:rsidRPr="005C6DD6" w:rsidRDefault="005A2E29" w:rsidP="0021567E">
      <w:pPr>
        <w:widowControl/>
        <w:spacing w:before="0" w:beforeAutospacing="0" w:after="0" w:afterAutospacing="0"/>
        <w:jc w:val="left"/>
        <w:rPr>
          <w:rFonts w:asciiTheme="minorHAnsi" w:hAnsiTheme="minorHAnsi"/>
          <w:b/>
        </w:rPr>
      </w:pPr>
      <w:r w:rsidRPr="005C6DD6">
        <w:rPr>
          <w:rFonts w:asciiTheme="minorHAnsi" w:hAnsiTheme="minorHAnsi"/>
          <w:b/>
        </w:rPr>
        <w:t>T</w:t>
      </w:r>
      <w:r w:rsidR="000345DB" w:rsidRPr="005C6DD6">
        <w:rPr>
          <w:rFonts w:asciiTheme="minorHAnsi" w:hAnsiTheme="minorHAnsi"/>
          <w:b/>
        </w:rPr>
        <w:t>able A1</w:t>
      </w:r>
      <w:r w:rsidRPr="005C6DD6">
        <w:rPr>
          <w:rFonts w:asciiTheme="minorHAnsi" w:hAnsiTheme="minorHAnsi"/>
          <w:b/>
        </w:rPr>
        <w:t xml:space="preserve"> Estimated Respondent Burden</w:t>
      </w:r>
    </w:p>
    <w:tbl>
      <w:tblPr>
        <w:tblW w:w="9805" w:type="dxa"/>
        <w:tblLook w:val="04A0" w:firstRow="1" w:lastRow="0" w:firstColumn="1" w:lastColumn="0" w:noHBand="0" w:noVBand="1"/>
      </w:tblPr>
      <w:tblGrid>
        <w:gridCol w:w="3207"/>
        <w:gridCol w:w="1296"/>
        <w:gridCol w:w="951"/>
        <w:gridCol w:w="1092"/>
        <w:gridCol w:w="1012"/>
        <w:gridCol w:w="1012"/>
        <w:gridCol w:w="1235"/>
      </w:tblGrid>
      <w:tr w:rsidR="00C2320E" w:rsidRPr="005C6DD6" w14:paraId="0F648E4F" w14:textId="77777777" w:rsidTr="004A1FD2">
        <w:trPr>
          <w:trHeight w:val="1275"/>
        </w:trPr>
        <w:tc>
          <w:tcPr>
            <w:tcW w:w="3207" w:type="dxa"/>
            <w:tcBorders>
              <w:top w:val="single" w:sz="4" w:space="0" w:color="auto"/>
              <w:left w:val="single" w:sz="4" w:space="0" w:color="auto"/>
              <w:bottom w:val="single" w:sz="4" w:space="0" w:color="auto"/>
              <w:right w:val="single" w:sz="4" w:space="0" w:color="auto"/>
            </w:tcBorders>
            <w:shd w:val="clear" w:color="auto" w:fill="auto"/>
            <w:hideMark/>
          </w:tcPr>
          <w:p w14:paraId="20438924" w14:textId="5FEB6719" w:rsidR="00C2320E" w:rsidRPr="005C6DD6" w:rsidRDefault="00C2320E" w:rsidP="00142B35">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 xml:space="preserve">EIA Form Number/Title                         </w:t>
            </w:r>
          </w:p>
        </w:tc>
        <w:tc>
          <w:tcPr>
            <w:tcW w:w="1296" w:type="dxa"/>
            <w:tcBorders>
              <w:top w:val="single" w:sz="4" w:space="0" w:color="auto"/>
              <w:left w:val="nil"/>
              <w:bottom w:val="single" w:sz="4" w:space="0" w:color="auto"/>
              <w:right w:val="single" w:sz="4" w:space="0" w:color="auto"/>
            </w:tcBorders>
            <w:shd w:val="clear" w:color="auto" w:fill="auto"/>
            <w:hideMark/>
          </w:tcPr>
          <w:p w14:paraId="59F0FE25" w14:textId="77777777" w:rsidR="00C2320E" w:rsidRPr="005C6DD6" w:rsidRDefault="00C2320E" w:rsidP="00C2320E">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Number of Respondents</w:t>
            </w:r>
          </w:p>
        </w:tc>
        <w:tc>
          <w:tcPr>
            <w:tcW w:w="951" w:type="dxa"/>
            <w:tcBorders>
              <w:top w:val="single" w:sz="4" w:space="0" w:color="auto"/>
              <w:left w:val="nil"/>
              <w:bottom w:val="single" w:sz="4" w:space="0" w:color="auto"/>
              <w:right w:val="single" w:sz="4" w:space="0" w:color="auto"/>
            </w:tcBorders>
            <w:shd w:val="clear" w:color="auto" w:fill="auto"/>
            <w:hideMark/>
          </w:tcPr>
          <w:p w14:paraId="0D52CA01" w14:textId="77777777" w:rsidR="00C2320E" w:rsidRPr="005C6DD6" w:rsidRDefault="00C2320E" w:rsidP="00C2320E">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Number of Reports Annually</w:t>
            </w:r>
          </w:p>
        </w:tc>
        <w:tc>
          <w:tcPr>
            <w:tcW w:w="1092" w:type="dxa"/>
            <w:tcBorders>
              <w:top w:val="single" w:sz="4" w:space="0" w:color="auto"/>
              <w:left w:val="nil"/>
              <w:bottom w:val="single" w:sz="4" w:space="0" w:color="auto"/>
              <w:right w:val="single" w:sz="4" w:space="0" w:color="auto"/>
            </w:tcBorders>
            <w:shd w:val="clear" w:color="auto" w:fill="auto"/>
            <w:hideMark/>
          </w:tcPr>
          <w:p w14:paraId="3C1C45CE" w14:textId="77777777" w:rsidR="00C2320E" w:rsidRPr="005C6DD6" w:rsidRDefault="00C2320E" w:rsidP="00C2320E">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Total Number of Responses per Year</w:t>
            </w:r>
          </w:p>
        </w:tc>
        <w:tc>
          <w:tcPr>
            <w:tcW w:w="1012" w:type="dxa"/>
            <w:tcBorders>
              <w:top w:val="single" w:sz="4" w:space="0" w:color="auto"/>
              <w:left w:val="nil"/>
              <w:bottom w:val="single" w:sz="4" w:space="0" w:color="auto"/>
              <w:right w:val="single" w:sz="4" w:space="0" w:color="auto"/>
            </w:tcBorders>
            <w:shd w:val="clear" w:color="auto" w:fill="auto"/>
            <w:hideMark/>
          </w:tcPr>
          <w:p w14:paraId="23AEC794" w14:textId="77777777" w:rsidR="00C2320E" w:rsidRPr="005C6DD6" w:rsidRDefault="00C2320E" w:rsidP="00C2320E">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Average Response Rate (percent)</w:t>
            </w:r>
          </w:p>
        </w:tc>
        <w:tc>
          <w:tcPr>
            <w:tcW w:w="1012" w:type="dxa"/>
            <w:tcBorders>
              <w:top w:val="single" w:sz="4" w:space="0" w:color="auto"/>
              <w:left w:val="nil"/>
              <w:bottom w:val="single" w:sz="4" w:space="0" w:color="auto"/>
              <w:right w:val="single" w:sz="4" w:space="0" w:color="auto"/>
            </w:tcBorders>
            <w:shd w:val="clear" w:color="auto" w:fill="auto"/>
            <w:hideMark/>
          </w:tcPr>
          <w:p w14:paraId="032B4725" w14:textId="77777777" w:rsidR="00C2320E" w:rsidRPr="005C6DD6" w:rsidRDefault="00C2320E" w:rsidP="00C2320E">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Burden Hours per Response</w:t>
            </w:r>
          </w:p>
        </w:tc>
        <w:tc>
          <w:tcPr>
            <w:tcW w:w="1235" w:type="dxa"/>
            <w:tcBorders>
              <w:top w:val="single" w:sz="4" w:space="0" w:color="auto"/>
              <w:left w:val="nil"/>
              <w:bottom w:val="single" w:sz="4" w:space="0" w:color="auto"/>
              <w:right w:val="single" w:sz="4" w:space="0" w:color="auto"/>
            </w:tcBorders>
            <w:shd w:val="clear" w:color="auto" w:fill="auto"/>
            <w:hideMark/>
          </w:tcPr>
          <w:p w14:paraId="2E5509C5" w14:textId="64DF0CC3" w:rsidR="00C2320E" w:rsidRPr="005C6DD6" w:rsidRDefault="00C2320E" w:rsidP="00C2320E">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Annual Burden Hours 201</w:t>
            </w:r>
            <w:r w:rsidR="00142B35">
              <w:rPr>
                <w:rFonts w:asciiTheme="minorHAnsi" w:hAnsiTheme="minorHAnsi"/>
                <w:b/>
                <w:bCs/>
                <w:snapToGrid/>
                <w:color w:val="000000"/>
                <w:sz w:val="20"/>
              </w:rPr>
              <w:t>6</w:t>
            </w:r>
          </w:p>
        </w:tc>
      </w:tr>
      <w:tr w:rsidR="00C2320E" w:rsidRPr="005C6DD6" w14:paraId="3B67F329" w14:textId="77777777" w:rsidTr="004A1FD2">
        <w:trPr>
          <w:trHeight w:val="255"/>
        </w:trPr>
        <w:tc>
          <w:tcPr>
            <w:tcW w:w="3207" w:type="dxa"/>
            <w:tcBorders>
              <w:top w:val="nil"/>
              <w:left w:val="single" w:sz="4" w:space="0" w:color="auto"/>
              <w:bottom w:val="single" w:sz="4" w:space="0" w:color="auto"/>
              <w:right w:val="single" w:sz="4" w:space="0" w:color="auto"/>
            </w:tcBorders>
            <w:shd w:val="clear" w:color="000000" w:fill="D9D9D9"/>
            <w:noWrap/>
            <w:vAlign w:val="bottom"/>
            <w:hideMark/>
          </w:tcPr>
          <w:p w14:paraId="1FB4189C" w14:textId="77777777" w:rsidR="00C2320E" w:rsidRPr="005C6DD6" w:rsidRDefault="00C2320E" w:rsidP="00C2320E">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Weekly Surveys</w:t>
            </w:r>
          </w:p>
        </w:tc>
        <w:tc>
          <w:tcPr>
            <w:tcW w:w="1296" w:type="dxa"/>
            <w:tcBorders>
              <w:top w:val="nil"/>
              <w:left w:val="nil"/>
              <w:bottom w:val="single" w:sz="4" w:space="0" w:color="auto"/>
              <w:right w:val="single" w:sz="4" w:space="0" w:color="auto"/>
            </w:tcBorders>
            <w:shd w:val="clear" w:color="000000" w:fill="D9D9D9"/>
            <w:noWrap/>
            <w:vAlign w:val="bottom"/>
            <w:hideMark/>
          </w:tcPr>
          <w:p w14:paraId="5B20DD14" w14:textId="77777777" w:rsidR="00C2320E" w:rsidRPr="005C6DD6" w:rsidRDefault="00C2320E" w:rsidP="00C2320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951" w:type="dxa"/>
            <w:tcBorders>
              <w:top w:val="nil"/>
              <w:left w:val="nil"/>
              <w:bottom w:val="single" w:sz="4" w:space="0" w:color="auto"/>
              <w:right w:val="single" w:sz="4" w:space="0" w:color="auto"/>
            </w:tcBorders>
            <w:shd w:val="clear" w:color="000000" w:fill="D9D9D9"/>
            <w:noWrap/>
            <w:vAlign w:val="bottom"/>
            <w:hideMark/>
          </w:tcPr>
          <w:p w14:paraId="16CE4240" w14:textId="77777777" w:rsidR="00C2320E" w:rsidRPr="005C6DD6" w:rsidRDefault="00C2320E" w:rsidP="00C2320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1092" w:type="dxa"/>
            <w:tcBorders>
              <w:top w:val="nil"/>
              <w:left w:val="nil"/>
              <w:bottom w:val="single" w:sz="4" w:space="0" w:color="auto"/>
              <w:right w:val="single" w:sz="4" w:space="0" w:color="auto"/>
            </w:tcBorders>
            <w:shd w:val="clear" w:color="000000" w:fill="D9D9D9"/>
            <w:noWrap/>
            <w:vAlign w:val="bottom"/>
            <w:hideMark/>
          </w:tcPr>
          <w:p w14:paraId="01D06001" w14:textId="77777777" w:rsidR="00C2320E" w:rsidRPr="005C6DD6" w:rsidRDefault="00C2320E" w:rsidP="00C2320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1012" w:type="dxa"/>
            <w:tcBorders>
              <w:top w:val="nil"/>
              <w:left w:val="nil"/>
              <w:bottom w:val="single" w:sz="4" w:space="0" w:color="auto"/>
              <w:right w:val="single" w:sz="4" w:space="0" w:color="auto"/>
            </w:tcBorders>
            <w:shd w:val="clear" w:color="000000" w:fill="D9D9D9"/>
            <w:noWrap/>
            <w:vAlign w:val="bottom"/>
            <w:hideMark/>
          </w:tcPr>
          <w:p w14:paraId="31FFB62B" w14:textId="77777777" w:rsidR="00C2320E" w:rsidRPr="005C6DD6" w:rsidRDefault="00C2320E" w:rsidP="00C2320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1012" w:type="dxa"/>
            <w:tcBorders>
              <w:top w:val="nil"/>
              <w:left w:val="nil"/>
              <w:bottom w:val="single" w:sz="4" w:space="0" w:color="auto"/>
              <w:right w:val="single" w:sz="4" w:space="0" w:color="auto"/>
            </w:tcBorders>
            <w:shd w:val="clear" w:color="000000" w:fill="D9D9D9"/>
            <w:noWrap/>
            <w:vAlign w:val="bottom"/>
            <w:hideMark/>
          </w:tcPr>
          <w:p w14:paraId="39FC651E" w14:textId="77777777" w:rsidR="00C2320E" w:rsidRPr="005C6DD6" w:rsidRDefault="00C2320E" w:rsidP="00C2320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1235" w:type="dxa"/>
            <w:tcBorders>
              <w:top w:val="nil"/>
              <w:left w:val="nil"/>
              <w:bottom w:val="single" w:sz="4" w:space="0" w:color="auto"/>
              <w:right w:val="single" w:sz="4" w:space="0" w:color="auto"/>
            </w:tcBorders>
            <w:shd w:val="clear" w:color="000000" w:fill="D9D9D9"/>
            <w:noWrap/>
            <w:vAlign w:val="bottom"/>
            <w:hideMark/>
          </w:tcPr>
          <w:p w14:paraId="22C0040C" w14:textId="77777777" w:rsidR="00C2320E" w:rsidRPr="005C6DD6" w:rsidRDefault="00C2320E" w:rsidP="00C2320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r>
      <w:tr w:rsidR="0021567E" w:rsidRPr="005C6DD6" w14:paraId="5AEA7133" w14:textId="77777777" w:rsidTr="004A1FD2">
        <w:trPr>
          <w:trHeight w:val="510"/>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1DE84B95"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EIA-800, Weekly Refinery and Fractionator Report</w:t>
            </w:r>
          </w:p>
        </w:tc>
        <w:tc>
          <w:tcPr>
            <w:tcW w:w="1296" w:type="dxa"/>
            <w:tcBorders>
              <w:top w:val="nil"/>
              <w:left w:val="nil"/>
              <w:bottom w:val="single" w:sz="8" w:space="0" w:color="auto"/>
              <w:right w:val="single" w:sz="8" w:space="0" w:color="auto"/>
            </w:tcBorders>
            <w:shd w:val="clear" w:color="auto" w:fill="auto"/>
            <w:noWrap/>
            <w:vAlign w:val="bottom"/>
            <w:hideMark/>
          </w:tcPr>
          <w:p w14:paraId="73A844E1" w14:textId="254838A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128</w:t>
            </w:r>
          </w:p>
        </w:tc>
        <w:tc>
          <w:tcPr>
            <w:tcW w:w="951" w:type="dxa"/>
            <w:tcBorders>
              <w:top w:val="nil"/>
              <w:left w:val="nil"/>
              <w:bottom w:val="single" w:sz="8" w:space="0" w:color="auto"/>
              <w:right w:val="single" w:sz="8" w:space="0" w:color="auto"/>
            </w:tcBorders>
            <w:shd w:val="clear" w:color="auto" w:fill="auto"/>
            <w:noWrap/>
            <w:vAlign w:val="bottom"/>
            <w:hideMark/>
          </w:tcPr>
          <w:p w14:paraId="19675CF5" w14:textId="7665427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52</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5E82A" w14:textId="4EE2FAF4"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6,656</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85FD6" w14:textId="3042156F"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96</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3FD160A5" w14:textId="2A41CC36"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1.58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573DB" w14:textId="45AFED2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10,516</w:t>
            </w:r>
          </w:p>
        </w:tc>
      </w:tr>
      <w:tr w:rsidR="0021567E" w:rsidRPr="005C6DD6" w14:paraId="4E10ACB7"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F0586CB"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EIA-802, Weekly Product Pipeline Report</w:t>
            </w:r>
          </w:p>
        </w:tc>
        <w:tc>
          <w:tcPr>
            <w:tcW w:w="1296" w:type="dxa"/>
            <w:tcBorders>
              <w:top w:val="nil"/>
              <w:left w:val="nil"/>
              <w:bottom w:val="single" w:sz="8" w:space="0" w:color="auto"/>
              <w:right w:val="single" w:sz="8" w:space="0" w:color="auto"/>
            </w:tcBorders>
            <w:shd w:val="clear" w:color="auto" w:fill="auto"/>
            <w:noWrap/>
            <w:vAlign w:val="bottom"/>
            <w:hideMark/>
          </w:tcPr>
          <w:p w14:paraId="42110EB6" w14:textId="40BC4D2B"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47</w:t>
            </w:r>
          </w:p>
        </w:tc>
        <w:tc>
          <w:tcPr>
            <w:tcW w:w="951" w:type="dxa"/>
            <w:tcBorders>
              <w:top w:val="nil"/>
              <w:left w:val="nil"/>
              <w:bottom w:val="single" w:sz="8" w:space="0" w:color="auto"/>
              <w:right w:val="single" w:sz="8" w:space="0" w:color="auto"/>
            </w:tcBorders>
            <w:shd w:val="clear" w:color="auto" w:fill="auto"/>
            <w:noWrap/>
            <w:vAlign w:val="bottom"/>
            <w:hideMark/>
          </w:tcPr>
          <w:p w14:paraId="236E246D" w14:textId="19C356B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52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537827F0" w14:textId="5B1586AA"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2,444</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43A100D2" w14:textId="018EA126"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012" w:type="dxa"/>
            <w:tcBorders>
              <w:top w:val="nil"/>
              <w:left w:val="nil"/>
              <w:bottom w:val="single" w:sz="4" w:space="0" w:color="auto"/>
              <w:right w:val="single" w:sz="4" w:space="0" w:color="auto"/>
            </w:tcBorders>
            <w:shd w:val="clear" w:color="auto" w:fill="auto"/>
            <w:noWrap/>
            <w:vAlign w:val="bottom"/>
            <w:hideMark/>
          </w:tcPr>
          <w:p w14:paraId="12A961F1" w14:textId="4E4210F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0.95</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071F1260" w14:textId="79CF5C0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2,322</w:t>
            </w:r>
          </w:p>
        </w:tc>
      </w:tr>
      <w:tr w:rsidR="0021567E" w:rsidRPr="005C6DD6" w14:paraId="6608995E"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70BEB907"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EIA-803, Weekly Crude Oil Stocks Report</w:t>
            </w:r>
          </w:p>
        </w:tc>
        <w:tc>
          <w:tcPr>
            <w:tcW w:w="1296" w:type="dxa"/>
            <w:tcBorders>
              <w:top w:val="nil"/>
              <w:left w:val="nil"/>
              <w:bottom w:val="single" w:sz="8" w:space="0" w:color="auto"/>
              <w:right w:val="single" w:sz="8" w:space="0" w:color="auto"/>
            </w:tcBorders>
            <w:shd w:val="clear" w:color="auto" w:fill="auto"/>
            <w:noWrap/>
            <w:vAlign w:val="bottom"/>
            <w:hideMark/>
          </w:tcPr>
          <w:p w14:paraId="5FCD257F" w14:textId="76376EDB"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69</w:t>
            </w:r>
          </w:p>
        </w:tc>
        <w:tc>
          <w:tcPr>
            <w:tcW w:w="951" w:type="dxa"/>
            <w:tcBorders>
              <w:top w:val="nil"/>
              <w:left w:val="nil"/>
              <w:bottom w:val="single" w:sz="8" w:space="0" w:color="auto"/>
              <w:right w:val="single" w:sz="8" w:space="0" w:color="auto"/>
            </w:tcBorders>
            <w:shd w:val="clear" w:color="auto" w:fill="auto"/>
            <w:noWrap/>
            <w:vAlign w:val="bottom"/>
            <w:hideMark/>
          </w:tcPr>
          <w:p w14:paraId="5C245EF6" w14:textId="6E3B972F"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52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7A5BFDCC" w14:textId="0BBD0AAB"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3,588</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362473AC" w14:textId="2C57E8A4"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012" w:type="dxa"/>
            <w:tcBorders>
              <w:top w:val="nil"/>
              <w:left w:val="nil"/>
              <w:bottom w:val="single" w:sz="4" w:space="0" w:color="auto"/>
              <w:right w:val="single" w:sz="4" w:space="0" w:color="auto"/>
            </w:tcBorders>
            <w:shd w:val="clear" w:color="auto" w:fill="auto"/>
            <w:noWrap/>
            <w:vAlign w:val="bottom"/>
            <w:hideMark/>
          </w:tcPr>
          <w:p w14:paraId="2F764B00" w14:textId="522B5E5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0.50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68281DB5" w14:textId="66FA4433"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1,794</w:t>
            </w:r>
          </w:p>
        </w:tc>
      </w:tr>
      <w:tr w:rsidR="0021567E" w:rsidRPr="005C6DD6" w14:paraId="4D244B77"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72F0AB93"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EIA-804, Weekly Imports Report</w:t>
            </w:r>
          </w:p>
        </w:tc>
        <w:tc>
          <w:tcPr>
            <w:tcW w:w="1296" w:type="dxa"/>
            <w:tcBorders>
              <w:top w:val="nil"/>
              <w:left w:val="nil"/>
              <w:bottom w:val="single" w:sz="8" w:space="0" w:color="auto"/>
              <w:right w:val="single" w:sz="8" w:space="0" w:color="auto"/>
            </w:tcBorders>
            <w:shd w:val="clear" w:color="auto" w:fill="auto"/>
            <w:noWrap/>
            <w:vAlign w:val="bottom"/>
            <w:hideMark/>
          </w:tcPr>
          <w:p w14:paraId="15F30CFB" w14:textId="18484D5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103</w:t>
            </w:r>
          </w:p>
        </w:tc>
        <w:tc>
          <w:tcPr>
            <w:tcW w:w="951" w:type="dxa"/>
            <w:tcBorders>
              <w:top w:val="nil"/>
              <w:left w:val="nil"/>
              <w:bottom w:val="single" w:sz="8" w:space="0" w:color="auto"/>
              <w:right w:val="single" w:sz="8" w:space="0" w:color="auto"/>
            </w:tcBorders>
            <w:shd w:val="clear" w:color="auto" w:fill="auto"/>
            <w:noWrap/>
            <w:vAlign w:val="bottom"/>
            <w:hideMark/>
          </w:tcPr>
          <w:p w14:paraId="2845C649" w14:textId="5E37B29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52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7D4B4D7" w14:textId="685E672A"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5,356</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562A592C" w14:textId="6981182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96</w:t>
            </w:r>
          </w:p>
        </w:tc>
        <w:tc>
          <w:tcPr>
            <w:tcW w:w="1012" w:type="dxa"/>
            <w:tcBorders>
              <w:top w:val="nil"/>
              <w:left w:val="nil"/>
              <w:bottom w:val="single" w:sz="4" w:space="0" w:color="auto"/>
              <w:right w:val="single" w:sz="4" w:space="0" w:color="auto"/>
            </w:tcBorders>
            <w:shd w:val="clear" w:color="auto" w:fill="auto"/>
            <w:noWrap/>
            <w:vAlign w:val="bottom"/>
            <w:hideMark/>
          </w:tcPr>
          <w:p w14:paraId="31ABC840" w14:textId="3AB82F3B"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1.75</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262DFBDE" w14:textId="5919191E"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9,373</w:t>
            </w:r>
          </w:p>
        </w:tc>
      </w:tr>
      <w:tr w:rsidR="0021567E" w:rsidRPr="005C6DD6" w14:paraId="14E9BB80" w14:textId="77777777" w:rsidTr="004A1FD2">
        <w:trPr>
          <w:trHeight w:val="510"/>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046FE994"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EIA-805, Weekly Bulk Terminal and Blender Report</w:t>
            </w:r>
          </w:p>
        </w:tc>
        <w:tc>
          <w:tcPr>
            <w:tcW w:w="1296" w:type="dxa"/>
            <w:tcBorders>
              <w:top w:val="nil"/>
              <w:left w:val="nil"/>
              <w:bottom w:val="single" w:sz="8" w:space="0" w:color="auto"/>
              <w:right w:val="single" w:sz="8" w:space="0" w:color="auto"/>
            </w:tcBorders>
            <w:shd w:val="clear" w:color="auto" w:fill="auto"/>
            <w:noWrap/>
            <w:vAlign w:val="bottom"/>
            <w:hideMark/>
          </w:tcPr>
          <w:p w14:paraId="546081F8" w14:textId="2FDD782D" w:rsidR="0021567E" w:rsidRPr="005C6DD6" w:rsidRDefault="0021567E" w:rsidP="0021567E">
            <w:pPr>
              <w:widowControl/>
              <w:spacing w:before="0" w:beforeAutospacing="0" w:after="0" w:afterAutospacing="0"/>
              <w:jc w:val="right"/>
              <w:rPr>
                <w:rFonts w:asciiTheme="minorHAnsi" w:hAnsiTheme="minorHAnsi"/>
                <w:snapToGrid/>
                <w:sz w:val="20"/>
              </w:rPr>
            </w:pPr>
            <w:r>
              <w:rPr>
                <w:rFonts w:ascii="Calibri" w:hAnsi="Calibri" w:cs="Arial"/>
                <w:color w:val="000000"/>
                <w:sz w:val="20"/>
              </w:rPr>
              <w:t>740</w:t>
            </w:r>
          </w:p>
        </w:tc>
        <w:tc>
          <w:tcPr>
            <w:tcW w:w="951" w:type="dxa"/>
            <w:tcBorders>
              <w:top w:val="nil"/>
              <w:left w:val="nil"/>
              <w:bottom w:val="single" w:sz="8" w:space="0" w:color="auto"/>
              <w:right w:val="single" w:sz="8" w:space="0" w:color="auto"/>
            </w:tcBorders>
            <w:shd w:val="clear" w:color="auto" w:fill="auto"/>
            <w:noWrap/>
            <w:vAlign w:val="bottom"/>
            <w:hideMark/>
          </w:tcPr>
          <w:p w14:paraId="1566F192" w14:textId="754C54F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52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294E25CA" w14:textId="468756E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38,480</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360C6F41" w14:textId="50D65FDE"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012" w:type="dxa"/>
            <w:tcBorders>
              <w:top w:val="nil"/>
              <w:left w:val="nil"/>
              <w:bottom w:val="single" w:sz="4" w:space="0" w:color="auto"/>
              <w:right w:val="single" w:sz="4" w:space="0" w:color="auto"/>
            </w:tcBorders>
            <w:shd w:val="clear" w:color="auto" w:fill="auto"/>
            <w:noWrap/>
            <w:vAlign w:val="bottom"/>
            <w:hideMark/>
          </w:tcPr>
          <w:p w14:paraId="1614E549" w14:textId="72859609"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1.60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3AACDEBD" w14:textId="29647E2B"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61,568</w:t>
            </w:r>
          </w:p>
        </w:tc>
      </w:tr>
      <w:tr w:rsidR="0021567E" w:rsidRPr="005C6DD6" w14:paraId="55CC9311"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5CAD1DF"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EIA-809, Weekly Oxygenate Report</w:t>
            </w:r>
          </w:p>
        </w:tc>
        <w:tc>
          <w:tcPr>
            <w:tcW w:w="1296" w:type="dxa"/>
            <w:tcBorders>
              <w:top w:val="nil"/>
              <w:left w:val="nil"/>
              <w:bottom w:val="single" w:sz="8" w:space="0" w:color="auto"/>
              <w:right w:val="single" w:sz="8" w:space="0" w:color="auto"/>
            </w:tcBorders>
            <w:shd w:val="clear" w:color="auto" w:fill="auto"/>
            <w:noWrap/>
            <w:vAlign w:val="bottom"/>
            <w:hideMark/>
          </w:tcPr>
          <w:p w14:paraId="30E256F1" w14:textId="222AC9DF"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156</w:t>
            </w:r>
          </w:p>
        </w:tc>
        <w:tc>
          <w:tcPr>
            <w:tcW w:w="951" w:type="dxa"/>
            <w:tcBorders>
              <w:top w:val="nil"/>
              <w:left w:val="nil"/>
              <w:bottom w:val="single" w:sz="8" w:space="0" w:color="auto"/>
              <w:right w:val="single" w:sz="8" w:space="0" w:color="auto"/>
            </w:tcBorders>
            <w:shd w:val="clear" w:color="auto" w:fill="auto"/>
            <w:noWrap/>
            <w:vAlign w:val="bottom"/>
            <w:hideMark/>
          </w:tcPr>
          <w:p w14:paraId="762E29D9" w14:textId="35B5B40C"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52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640862EA" w14:textId="1D4E638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8,112</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30C7993B" w14:textId="015D9A79"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96</w:t>
            </w:r>
          </w:p>
        </w:tc>
        <w:tc>
          <w:tcPr>
            <w:tcW w:w="1012" w:type="dxa"/>
            <w:tcBorders>
              <w:top w:val="nil"/>
              <w:left w:val="nil"/>
              <w:bottom w:val="single" w:sz="4" w:space="0" w:color="auto"/>
              <w:right w:val="single" w:sz="4" w:space="0" w:color="auto"/>
            </w:tcBorders>
            <w:shd w:val="clear" w:color="auto" w:fill="auto"/>
            <w:noWrap/>
            <w:vAlign w:val="bottom"/>
            <w:hideMark/>
          </w:tcPr>
          <w:p w14:paraId="744E2753" w14:textId="1E71C43B"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75479283" w14:textId="7C02892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8,112</w:t>
            </w:r>
          </w:p>
        </w:tc>
      </w:tr>
      <w:tr w:rsidR="0021567E" w:rsidRPr="005C6DD6" w14:paraId="46988ACF" w14:textId="77777777" w:rsidTr="004A1FD2">
        <w:trPr>
          <w:trHeight w:val="255"/>
        </w:trPr>
        <w:tc>
          <w:tcPr>
            <w:tcW w:w="3207" w:type="dxa"/>
            <w:tcBorders>
              <w:top w:val="nil"/>
              <w:left w:val="single" w:sz="4" w:space="0" w:color="auto"/>
              <w:bottom w:val="single" w:sz="4" w:space="0" w:color="auto"/>
              <w:right w:val="single" w:sz="4" w:space="0" w:color="auto"/>
            </w:tcBorders>
            <w:shd w:val="clear" w:color="000000" w:fill="D9D9D9"/>
            <w:vAlign w:val="bottom"/>
            <w:hideMark/>
          </w:tcPr>
          <w:p w14:paraId="2432C72C" w14:textId="77777777" w:rsidR="0021567E" w:rsidRPr="005C6DD6" w:rsidRDefault="0021567E" w:rsidP="0021567E">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Monthly Surveys</w:t>
            </w:r>
          </w:p>
        </w:tc>
        <w:tc>
          <w:tcPr>
            <w:tcW w:w="1296" w:type="dxa"/>
            <w:tcBorders>
              <w:top w:val="nil"/>
              <w:left w:val="nil"/>
              <w:bottom w:val="single" w:sz="8" w:space="0" w:color="auto"/>
              <w:right w:val="single" w:sz="8" w:space="0" w:color="auto"/>
            </w:tcBorders>
            <w:shd w:val="clear" w:color="000000" w:fill="D9D9D9"/>
            <w:noWrap/>
            <w:vAlign w:val="bottom"/>
            <w:hideMark/>
          </w:tcPr>
          <w:p w14:paraId="4B0FAE36" w14:textId="547585FF"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951" w:type="dxa"/>
            <w:tcBorders>
              <w:top w:val="nil"/>
              <w:left w:val="nil"/>
              <w:bottom w:val="single" w:sz="8" w:space="0" w:color="auto"/>
              <w:right w:val="single" w:sz="8" w:space="0" w:color="auto"/>
            </w:tcBorders>
            <w:shd w:val="clear" w:color="000000" w:fill="D9D9D9"/>
            <w:noWrap/>
            <w:vAlign w:val="bottom"/>
            <w:hideMark/>
          </w:tcPr>
          <w:p w14:paraId="339B358B" w14:textId="626235E2"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6461ECDC" w14:textId="73959509"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12" w:type="dxa"/>
            <w:tcBorders>
              <w:top w:val="nil"/>
              <w:left w:val="single" w:sz="4" w:space="0" w:color="auto"/>
              <w:bottom w:val="single" w:sz="4" w:space="0" w:color="auto"/>
              <w:right w:val="single" w:sz="4" w:space="0" w:color="auto"/>
            </w:tcBorders>
            <w:shd w:val="clear" w:color="000000" w:fill="D9D9D9"/>
            <w:noWrap/>
            <w:vAlign w:val="bottom"/>
            <w:hideMark/>
          </w:tcPr>
          <w:p w14:paraId="1BC8AC2F" w14:textId="45D63EB2"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12" w:type="dxa"/>
            <w:tcBorders>
              <w:top w:val="nil"/>
              <w:left w:val="nil"/>
              <w:bottom w:val="single" w:sz="4" w:space="0" w:color="auto"/>
              <w:right w:val="single" w:sz="4" w:space="0" w:color="auto"/>
            </w:tcBorders>
            <w:shd w:val="clear" w:color="000000" w:fill="D9D9D9"/>
            <w:noWrap/>
            <w:vAlign w:val="bottom"/>
            <w:hideMark/>
          </w:tcPr>
          <w:p w14:paraId="7C824F01" w14:textId="193FC3D5"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235" w:type="dxa"/>
            <w:tcBorders>
              <w:top w:val="nil"/>
              <w:left w:val="single" w:sz="4" w:space="0" w:color="auto"/>
              <w:bottom w:val="single" w:sz="4" w:space="0" w:color="auto"/>
              <w:right w:val="single" w:sz="4" w:space="0" w:color="auto"/>
            </w:tcBorders>
            <w:shd w:val="clear" w:color="000000" w:fill="D9D9D9"/>
            <w:noWrap/>
            <w:vAlign w:val="bottom"/>
            <w:hideMark/>
          </w:tcPr>
          <w:p w14:paraId="2E1DC197" w14:textId="3414556E"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r>
      <w:tr w:rsidR="0021567E" w:rsidRPr="005C6DD6" w14:paraId="007AD605" w14:textId="77777777" w:rsidTr="004A1FD2">
        <w:trPr>
          <w:trHeight w:val="510"/>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511EF94"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EIA-22M, Monthly Biodiesel Production Survey</w:t>
            </w:r>
          </w:p>
        </w:tc>
        <w:tc>
          <w:tcPr>
            <w:tcW w:w="1296" w:type="dxa"/>
            <w:tcBorders>
              <w:top w:val="nil"/>
              <w:left w:val="nil"/>
              <w:bottom w:val="single" w:sz="8" w:space="0" w:color="auto"/>
              <w:right w:val="single" w:sz="8" w:space="0" w:color="auto"/>
            </w:tcBorders>
            <w:shd w:val="clear" w:color="auto" w:fill="auto"/>
            <w:noWrap/>
            <w:vAlign w:val="bottom"/>
            <w:hideMark/>
          </w:tcPr>
          <w:p w14:paraId="7C20EC6F" w14:textId="4C20608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135</w:t>
            </w:r>
          </w:p>
        </w:tc>
        <w:tc>
          <w:tcPr>
            <w:tcW w:w="951" w:type="dxa"/>
            <w:tcBorders>
              <w:top w:val="nil"/>
              <w:left w:val="nil"/>
              <w:bottom w:val="single" w:sz="8" w:space="0" w:color="auto"/>
              <w:right w:val="single" w:sz="8" w:space="0" w:color="auto"/>
            </w:tcBorders>
            <w:shd w:val="clear" w:color="auto" w:fill="auto"/>
            <w:noWrap/>
            <w:vAlign w:val="bottom"/>
            <w:hideMark/>
          </w:tcPr>
          <w:p w14:paraId="161B5F34" w14:textId="1EE004C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3320118D" w14:textId="6A630CAF"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1,620</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704E28E2" w14:textId="7D3A201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99</w:t>
            </w:r>
          </w:p>
        </w:tc>
        <w:tc>
          <w:tcPr>
            <w:tcW w:w="1012" w:type="dxa"/>
            <w:tcBorders>
              <w:top w:val="nil"/>
              <w:left w:val="nil"/>
              <w:bottom w:val="single" w:sz="4" w:space="0" w:color="auto"/>
              <w:right w:val="single" w:sz="4" w:space="0" w:color="auto"/>
            </w:tcBorders>
            <w:shd w:val="clear" w:color="auto" w:fill="auto"/>
            <w:noWrap/>
            <w:vAlign w:val="bottom"/>
            <w:hideMark/>
          </w:tcPr>
          <w:p w14:paraId="01835E11" w14:textId="7AB5A77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3.00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27BC5E4F" w14:textId="20E14B61"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4,860</w:t>
            </w:r>
          </w:p>
        </w:tc>
      </w:tr>
      <w:tr w:rsidR="0021567E" w:rsidRPr="005C6DD6" w14:paraId="473579C5"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03712A37"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EIA-810, Monthly Refinery Report</w:t>
            </w:r>
          </w:p>
        </w:tc>
        <w:tc>
          <w:tcPr>
            <w:tcW w:w="1296" w:type="dxa"/>
            <w:tcBorders>
              <w:top w:val="nil"/>
              <w:left w:val="nil"/>
              <w:bottom w:val="single" w:sz="8" w:space="0" w:color="auto"/>
              <w:right w:val="single" w:sz="8" w:space="0" w:color="auto"/>
            </w:tcBorders>
            <w:shd w:val="clear" w:color="auto" w:fill="auto"/>
            <w:noWrap/>
            <w:vAlign w:val="bottom"/>
            <w:hideMark/>
          </w:tcPr>
          <w:p w14:paraId="276D3824" w14:textId="13C2D99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141</w:t>
            </w:r>
          </w:p>
        </w:tc>
        <w:tc>
          <w:tcPr>
            <w:tcW w:w="951" w:type="dxa"/>
            <w:tcBorders>
              <w:top w:val="nil"/>
              <w:left w:val="nil"/>
              <w:bottom w:val="single" w:sz="8" w:space="0" w:color="auto"/>
              <w:right w:val="single" w:sz="8" w:space="0" w:color="auto"/>
            </w:tcBorders>
            <w:shd w:val="clear" w:color="auto" w:fill="auto"/>
            <w:noWrap/>
            <w:vAlign w:val="bottom"/>
            <w:hideMark/>
          </w:tcPr>
          <w:p w14:paraId="240F9497" w14:textId="53ECB0F3"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04C43D0D" w14:textId="6655A6E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1,692</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7766C72E" w14:textId="6DE6ABA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99</w:t>
            </w:r>
          </w:p>
        </w:tc>
        <w:tc>
          <w:tcPr>
            <w:tcW w:w="1012" w:type="dxa"/>
            <w:tcBorders>
              <w:top w:val="nil"/>
              <w:left w:val="nil"/>
              <w:bottom w:val="single" w:sz="4" w:space="0" w:color="auto"/>
              <w:right w:val="single" w:sz="4" w:space="0" w:color="auto"/>
            </w:tcBorders>
            <w:shd w:val="clear" w:color="auto" w:fill="auto"/>
            <w:noWrap/>
            <w:vAlign w:val="bottom"/>
            <w:hideMark/>
          </w:tcPr>
          <w:p w14:paraId="3CF4170A" w14:textId="3B56E26E"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5.20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7B24A0B0" w14:textId="1D17A08A"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8,798</w:t>
            </w:r>
          </w:p>
        </w:tc>
      </w:tr>
      <w:tr w:rsidR="0021567E" w:rsidRPr="005C6DD6" w14:paraId="493A9F9D"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98D61E4"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EIA-812, Monthly Product Pipeline Report</w:t>
            </w:r>
          </w:p>
        </w:tc>
        <w:tc>
          <w:tcPr>
            <w:tcW w:w="1296" w:type="dxa"/>
            <w:tcBorders>
              <w:top w:val="nil"/>
              <w:left w:val="nil"/>
              <w:bottom w:val="single" w:sz="8" w:space="0" w:color="auto"/>
              <w:right w:val="single" w:sz="8" w:space="0" w:color="auto"/>
            </w:tcBorders>
            <w:shd w:val="clear" w:color="auto" w:fill="auto"/>
            <w:noWrap/>
            <w:vAlign w:val="bottom"/>
            <w:hideMark/>
          </w:tcPr>
          <w:p w14:paraId="6FF1542C" w14:textId="5A39D2F6"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87</w:t>
            </w:r>
          </w:p>
        </w:tc>
        <w:tc>
          <w:tcPr>
            <w:tcW w:w="951" w:type="dxa"/>
            <w:tcBorders>
              <w:top w:val="nil"/>
              <w:left w:val="nil"/>
              <w:bottom w:val="single" w:sz="8" w:space="0" w:color="auto"/>
              <w:right w:val="single" w:sz="8" w:space="0" w:color="auto"/>
            </w:tcBorders>
            <w:shd w:val="clear" w:color="auto" w:fill="auto"/>
            <w:noWrap/>
            <w:vAlign w:val="bottom"/>
            <w:hideMark/>
          </w:tcPr>
          <w:p w14:paraId="18370EDA" w14:textId="169AF371"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3418635" w14:textId="7954CD5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1,044</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53C65DE5" w14:textId="283E0BC3"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99</w:t>
            </w:r>
          </w:p>
        </w:tc>
        <w:tc>
          <w:tcPr>
            <w:tcW w:w="1012" w:type="dxa"/>
            <w:tcBorders>
              <w:top w:val="nil"/>
              <w:left w:val="nil"/>
              <w:bottom w:val="single" w:sz="4" w:space="0" w:color="auto"/>
              <w:right w:val="single" w:sz="4" w:space="0" w:color="auto"/>
            </w:tcBorders>
            <w:shd w:val="clear" w:color="auto" w:fill="auto"/>
            <w:noWrap/>
            <w:vAlign w:val="bottom"/>
            <w:hideMark/>
          </w:tcPr>
          <w:p w14:paraId="7C0CEE55" w14:textId="4EEC2BB1"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3.00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17203269" w14:textId="12EF9401"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3,132</w:t>
            </w:r>
          </w:p>
        </w:tc>
      </w:tr>
      <w:tr w:rsidR="0021567E" w:rsidRPr="005C6DD6" w14:paraId="105F2D08"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90A3016"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EIA-813, Monthly Crude Oil Report</w:t>
            </w:r>
          </w:p>
        </w:tc>
        <w:tc>
          <w:tcPr>
            <w:tcW w:w="1296" w:type="dxa"/>
            <w:tcBorders>
              <w:top w:val="nil"/>
              <w:left w:val="nil"/>
              <w:bottom w:val="single" w:sz="8" w:space="0" w:color="auto"/>
              <w:right w:val="single" w:sz="8" w:space="0" w:color="auto"/>
            </w:tcBorders>
            <w:shd w:val="clear" w:color="auto" w:fill="auto"/>
            <w:noWrap/>
            <w:vAlign w:val="bottom"/>
            <w:hideMark/>
          </w:tcPr>
          <w:p w14:paraId="46E3A4F7" w14:textId="379D01B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177</w:t>
            </w:r>
          </w:p>
        </w:tc>
        <w:tc>
          <w:tcPr>
            <w:tcW w:w="951" w:type="dxa"/>
            <w:tcBorders>
              <w:top w:val="nil"/>
              <w:left w:val="nil"/>
              <w:bottom w:val="single" w:sz="8" w:space="0" w:color="auto"/>
              <w:right w:val="single" w:sz="8" w:space="0" w:color="auto"/>
            </w:tcBorders>
            <w:shd w:val="clear" w:color="auto" w:fill="auto"/>
            <w:noWrap/>
            <w:vAlign w:val="bottom"/>
            <w:hideMark/>
          </w:tcPr>
          <w:p w14:paraId="263C83EE" w14:textId="25A73A73"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7A9E0006" w14:textId="7A1CE6A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2,124</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1A73D9B9" w14:textId="38D8593C"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99</w:t>
            </w:r>
          </w:p>
        </w:tc>
        <w:tc>
          <w:tcPr>
            <w:tcW w:w="1012" w:type="dxa"/>
            <w:tcBorders>
              <w:top w:val="nil"/>
              <w:left w:val="nil"/>
              <w:bottom w:val="single" w:sz="4" w:space="0" w:color="auto"/>
              <w:right w:val="single" w:sz="4" w:space="0" w:color="auto"/>
            </w:tcBorders>
            <w:shd w:val="clear" w:color="auto" w:fill="auto"/>
            <w:noWrap/>
            <w:vAlign w:val="bottom"/>
            <w:hideMark/>
          </w:tcPr>
          <w:p w14:paraId="69744547" w14:textId="7007981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2C92A20A" w14:textId="00985C5A"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4,248</w:t>
            </w:r>
          </w:p>
        </w:tc>
      </w:tr>
      <w:tr w:rsidR="0021567E" w:rsidRPr="005C6DD6" w14:paraId="6A34090E"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2E4F45C1"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EIA-814, Monthly Imports Report</w:t>
            </w:r>
          </w:p>
        </w:tc>
        <w:tc>
          <w:tcPr>
            <w:tcW w:w="1296" w:type="dxa"/>
            <w:tcBorders>
              <w:top w:val="nil"/>
              <w:left w:val="nil"/>
              <w:bottom w:val="single" w:sz="8" w:space="0" w:color="auto"/>
              <w:right w:val="single" w:sz="8" w:space="0" w:color="auto"/>
            </w:tcBorders>
            <w:shd w:val="clear" w:color="auto" w:fill="auto"/>
            <w:noWrap/>
            <w:vAlign w:val="bottom"/>
            <w:hideMark/>
          </w:tcPr>
          <w:p w14:paraId="3233B948" w14:textId="02771B6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395</w:t>
            </w:r>
          </w:p>
        </w:tc>
        <w:tc>
          <w:tcPr>
            <w:tcW w:w="951" w:type="dxa"/>
            <w:tcBorders>
              <w:top w:val="nil"/>
              <w:left w:val="nil"/>
              <w:bottom w:val="single" w:sz="8" w:space="0" w:color="auto"/>
              <w:right w:val="single" w:sz="8" w:space="0" w:color="auto"/>
            </w:tcBorders>
            <w:shd w:val="clear" w:color="auto" w:fill="auto"/>
            <w:noWrap/>
            <w:vAlign w:val="bottom"/>
            <w:hideMark/>
          </w:tcPr>
          <w:p w14:paraId="0557D388" w14:textId="1A13AC8A"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55AA9C1" w14:textId="6F410B3C"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4,740</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522EFE12" w14:textId="787BA50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012" w:type="dxa"/>
            <w:tcBorders>
              <w:top w:val="nil"/>
              <w:left w:val="nil"/>
              <w:bottom w:val="single" w:sz="4" w:space="0" w:color="auto"/>
              <w:right w:val="single" w:sz="4" w:space="0" w:color="auto"/>
            </w:tcBorders>
            <w:shd w:val="clear" w:color="auto" w:fill="auto"/>
            <w:noWrap/>
            <w:vAlign w:val="bottom"/>
            <w:hideMark/>
          </w:tcPr>
          <w:p w14:paraId="6FD5D1C7" w14:textId="052D34E4"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2.55</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78DDA5F1" w14:textId="6DE719CB"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12,087</w:t>
            </w:r>
          </w:p>
        </w:tc>
      </w:tr>
      <w:tr w:rsidR="0021567E" w:rsidRPr="005C6DD6" w14:paraId="34D517D5" w14:textId="77777777" w:rsidTr="004A1FD2">
        <w:trPr>
          <w:trHeight w:val="510"/>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94C5DB0"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EIA-815, Monthly Bulk Terminal and Blender Report</w:t>
            </w:r>
          </w:p>
        </w:tc>
        <w:tc>
          <w:tcPr>
            <w:tcW w:w="1296" w:type="dxa"/>
            <w:tcBorders>
              <w:top w:val="nil"/>
              <w:left w:val="nil"/>
              <w:bottom w:val="single" w:sz="8" w:space="0" w:color="auto"/>
              <w:right w:val="single" w:sz="8" w:space="0" w:color="auto"/>
            </w:tcBorders>
            <w:shd w:val="clear" w:color="auto" w:fill="auto"/>
            <w:noWrap/>
            <w:vAlign w:val="bottom"/>
            <w:hideMark/>
          </w:tcPr>
          <w:p w14:paraId="31B30F97" w14:textId="536C8F5E"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1,465</w:t>
            </w:r>
          </w:p>
        </w:tc>
        <w:tc>
          <w:tcPr>
            <w:tcW w:w="951" w:type="dxa"/>
            <w:tcBorders>
              <w:top w:val="nil"/>
              <w:left w:val="nil"/>
              <w:bottom w:val="single" w:sz="8" w:space="0" w:color="auto"/>
              <w:right w:val="single" w:sz="8" w:space="0" w:color="auto"/>
            </w:tcBorders>
            <w:shd w:val="clear" w:color="auto" w:fill="auto"/>
            <w:noWrap/>
            <w:vAlign w:val="bottom"/>
            <w:hideMark/>
          </w:tcPr>
          <w:p w14:paraId="3D69E7DA" w14:textId="491CC2E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22F0616D" w14:textId="468D81C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17,580</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7AD65428" w14:textId="2D4B0C9F"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012" w:type="dxa"/>
            <w:tcBorders>
              <w:top w:val="nil"/>
              <w:left w:val="nil"/>
              <w:bottom w:val="single" w:sz="4" w:space="0" w:color="auto"/>
              <w:right w:val="single" w:sz="4" w:space="0" w:color="auto"/>
            </w:tcBorders>
            <w:shd w:val="clear" w:color="auto" w:fill="auto"/>
            <w:noWrap/>
            <w:vAlign w:val="bottom"/>
            <w:hideMark/>
          </w:tcPr>
          <w:p w14:paraId="0B678044" w14:textId="6D74B9D2" w:rsidR="0021567E" w:rsidRPr="005C6DD6" w:rsidRDefault="00E52AA9" w:rsidP="00E52AA9">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w:t>
            </w:r>
            <w:r w:rsidR="0021567E">
              <w:rPr>
                <w:rFonts w:ascii="Calibri" w:hAnsi="Calibri"/>
                <w:color w:val="000000"/>
                <w:sz w:val="20"/>
              </w:rPr>
              <w:t>.</w:t>
            </w:r>
            <w:r>
              <w:rPr>
                <w:rFonts w:ascii="Calibri" w:hAnsi="Calibri"/>
                <w:color w:val="000000"/>
                <w:sz w:val="20"/>
              </w:rPr>
              <w:t>2</w:t>
            </w:r>
            <w:r w:rsidR="0021567E">
              <w:rPr>
                <w:rFonts w:ascii="Calibri" w:hAnsi="Calibri"/>
                <w:color w:val="000000"/>
                <w:sz w:val="20"/>
              </w:rPr>
              <w:t>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1CB05C64" w14:textId="0371E0DE" w:rsidR="0021567E" w:rsidRPr="005C6DD6" w:rsidRDefault="00E52AA9" w:rsidP="0021567E">
            <w:pPr>
              <w:widowControl/>
              <w:spacing w:before="0" w:beforeAutospacing="0" w:after="0" w:afterAutospacing="0"/>
              <w:jc w:val="right"/>
              <w:rPr>
                <w:rFonts w:asciiTheme="minorHAnsi" w:hAnsiTheme="minorHAnsi"/>
                <w:snapToGrid/>
                <w:color w:val="000000"/>
                <w:sz w:val="20"/>
              </w:rPr>
            </w:pPr>
            <w:r>
              <w:rPr>
                <w:rFonts w:asciiTheme="minorHAnsi" w:hAnsiTheme="minorHAnsi"/>
                <w:snapToGrid/>
                <w:color w:val="000000"/>
                <w:sz w:val="20"/>
              </w:rPr>
              <w:t>73,836</w:t>
            </w:r>
          </w:p>
        </w:tc>
      </w:tr>
      <w:tr w:rsidR="0021567E" w:rsidRPr="005C6DD6" w14:paraId="08E97DB3"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E00265C"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EIA-816, Monthly Natural Gas Liquids Report</w:t>
            </w:r>
          </w:p>
        </w:tc>
        <w:tc>
          <w:tcPr>
            <w:tcW w:w="1296" w:type="dxa"/>
            <w:tcBorders>
              <w:top w:val="nil"/>
              <w:left w:val="nil"/>
              <w:bottom w:val="single" w:sz="8" w:space="0" w:color="auto"/>
              <w:right w:val="single" w:sz="8" w:space="0" w:color="auto"/>
            </w:tcBorders>
            <w:shd w:val="clear" w:color="auto" w:fill="auto"/>
            <w:noWrap/>
            <w:vAlign w:val="bottom"/>
            <w:hideMark/>
          </w:tcPr>
          <w:p w14:paraId="16CC8B6A" w14:textId="46B3380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451</w:t>
            </w:r>
          </w:p>
        </w:tc>
        <w:tc>
          <w:tcPr>
            <w:tcW w:w="951" w:type="dxa"/>
            <w:tcBorders>
              <w:top w:val="nil"/>
              <w:left w:val="nil"/>
              <w:bottom w:val="single" w:sz="8" w:space="0" w:color="auto"/>
              <w:right w:val="single" w:sz="8" w:space="0" w:color="auto"/>
            </w:tcBorders>
            <w:shd w:val="clear" w:color="auto" w:fill="auto"/>
            <w:noWrap/>
            <w:vAlign w:val="bottom"/>
            <w:hideMark/>
          </w:tcPr>
          <w:p w14:paraId="400D1BE1" w14:textId="3EF301C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51F34D52" w14:textId="4164B359"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5,412</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7DEA20AC" w14:textId="4138391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99</w:t>
            </w:r>
          </w:p>
        </w:tc>
        <w:tc>
          <w:tcPr>
            <w:tcW w:w="1012" w:type="dxa"/>
            <w:tcBorders>
              <w:top w:val="nil"/>
              <w:left w:val="nil"/>
              <w:bottom w:val="single" w:sz="4" w:space="0" w:color="auto"/>
              <w:right w:val="single" w:sz="4" w:space="0" w:color="auto"/>
            </w:tcBorders>
            <w:shd w:val="clear" w:color="auto" w:fill="auto"/>
            <w:noWrap/>
            <w:vAlign w:val="bottom"/>
            <w:hideMark/>
          </w:tcPr>
          <w:p w14:paraId="19F4572E" w14:textId="0DF991A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0.95</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4DC13A61" w14:textId="1CEA260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5,141</w:t>
            </w:r>
          </w:p>
        </w:tc>
      </w:tr>
      <w:tr w:rsidR="0021567E" w:rsidRPr="005C6DD6" w14:paraId="18B7E6F3" w14:textId="77777777" w:rsidTr="004A1FD2">
        <w:trPr>
          <w:trHeight w:val="510"/>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0087E312"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EIA-817, Monthly Tanker and Barge Movement Report</w:t>
            </w:r>
          </w:p>
        </w:tc>
        <w:tc>
          <w:tcPr>
            <w:tcW w:w="1296" w:type="dxa"/>
            <w:tcBorders>
              <w:top w:val="nil"/>
              <w:left w:val="nil"/>
              <w:bottom w:val="single" w:sz="8" w:space="0" w:color="auto"/>
              <w:right w:val="single" w:sz="8" w:space="0" w:color="auto"/>
            </w:tcBorders>
            <w:shd w:val="clear" w:color="auto" w:fill="auto"/>
            <w:noWrap/>
            <w:vAlign w:val="bottom"/>
            <w:hideMark/>
          </w:tcPr>
          <w:p w14:paraId="781ECF00" w14:textId="4C359F4A"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35</w:t>
            </w:r>
          </w:p>
        </w:tc>
        <w:tc>
          <w:tcPr>
            <w:tcW w:w="951" w:type="dxa"/>
            <w:tcBorders>
              <w:top w:val="nil"/>
              <w:left w:val="nil"/>
              <w:bottom w:val="single" w:sz="8" w:space="0" w:color="auto"/>
              <w:right w:val="single" w:sz="8" w:space="0" w:color="auto"/>
            </w:tcBorders>
            <w:shd w:val="clear" w:color="auto" w:fill="auto"/>
            <w:noWrap/>
            <w:vAlign w:val="bottom"/>
            <w:hideMark/>
          </w:tcPr>
          <w:p w14:paraId="50F82C4F" w14:textId="0E8FEB0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5BC8BB13" w14:textId="158F31E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420</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3EBDA2B7" w14:textId="00EB915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99</w:t>
            </w:r>
          </w:p>
        </w:tc>
        <w:tc>
          <w:tcPr>
            <w:tcW w:w="1012" w:type="dxa"/>
            <w:tcBorders>
              <w:top w:val="nil"/>
              <w:left w:val="nil"/>
              <w:bottom w:val="single" w:sz="4" w:space="0" w:color="auto"/>
              <w:right w:val="single" w:sz="4" w:space="0" w:color="auto"/>
            </w:tcBorders>
            <w:shd w:val="clear" w:color="auto" w:fill="auto"/>
            <w:noWrap/>
            <w:vAlign w:val="bottom"/>
            <w:hideMark/>
          </w:tcPr>
          <w:p w14:paraId="0C182604" w14:textId="16F25F62"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2.25</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157731A3" w14:textId="4221E9B8"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945</w:t>
            </w:r>
          </w:p>
        </w:tc>
      </w:tr>
      <w:tr w:rsidR="0021567E" w:rsidRPr="005C6DD6" w14:paraId="2B24CEF0"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6223BC9C"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EIA-819, Monthly Oxygenate Report</w:t>
            </w:r>
          </w:p>
        </w:tc>
        <w:tc>
          <w:tcPr>
            <w:tcW w:w="1296" w:type="dxa"/>
            <w:tcBorders>
              <w:top w:val="nil"/>
              <w:left w:val="nil"/>
              <w:bottom w:val="single" w:sz="8" w:space="0" w:color="auto"/>
              <w:right w:val="single" w:sz="8" w:space="0" w:color="auto"/>
            </w:tcBorders>
            <w:shd w:val="clear" w:color="auto" w:fill="auto"/>
            <w:noWrap/>
            <w:vAlign w:val="bottom"/>
            <w:hideMark/>
          </w:tcPr>
          <w:p w14:paraId="10079FB1" w14:textId="328FEDC7"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202</w:t>
            </w:r>
          </w:p>
        </w:tc>
        <w:tc>
          <w:tcPr>
            <w:tcW w:w="951" w:type="dxa"/>
            <w:tcBorders>
              <w:top w:val="nil"/>
              <w:left w:val="nil"/>
              <w:bottom w:val="single" w:sz="8" w:space="0" w:color="auto"/>
              <w:right w:val="single" w:sz="8" w:space="0" w:color="auto"/>
            </w:tcBorders>
            <w:shd w:val="clear" w:color="auto" w:fill="auto"/>
            <w:noWrap/>
            <w:vAlign w:val="bottom"/>
            <w:hideMark/>
          </w:tcPr>
          <w:p w14:paraId="0F85F5D0" w14:textId="136B6530"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12</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2133DBFF" w14:textId="3D0B1CDC"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2,424</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5D8B7849" w14:textId="5C12C8B1"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96</w:t>
            </w:r>
          </w:p>
        </w:tc>
        <w:tc>
          <w:tcPr>
            <w:tcW w:w="1012" w:type="dxa"/>
            <w:tcBorders>
              <w:top w:val="nil"/>
              <w:left w:val="nil"/>
              <w:bottom w:val="single" w:sz="4" w:space="0" w:color="auto"/>
              <w:right w:val="single" w:sz="4" w:space="0" w:color="auto"/>
            </w:tcBorders>
            <w:shd w:val="clear" w:color="auto" w:fill="auto"/>
            <w:noWrap/>
            <w:vAlign w:val="bottom"/>
            <w:hideMark/>
          </w:tcPr>
          <w:p w14:paraId="4A9280A1" w14:textId="7B345FCF" w:rsidR="0021567E" w:rsidRPr="005C6DD6" w:rsidRDefault="0021567E" w:rsidP="00FA72F8">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w:t>
            </w:r>
            <w:r w:rsidR="00FA72F8">
              <w:rPr>
                <w:rFonts w:ascii="Calibri" w:hAnsi="Calibri"/>
                <w:color w:val="000000"/>
                <w:sz w:val="20"/>
              </w:rPr>
              <w:t>6</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715D80D8" w14:textId="4072EBE9" w:rsidR="0021567E" w:rsidRPr="005C6DD6" w:rsidRDefault="00FA72F8"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3,87</w:t>
            </w:r>
            <w:r w:rsidR="00BF5EBD">
              <w:rPr>
                <w:rFonts w:ascii="Calibri" w:hAnsi="Calibri"/>
                <w:color w:val="000000"/>
                <w:sz w:val="20"/>
              </w:rPr>
              <w:t>8</w:t>
            </w:r>
          </w:p>
        </w:tc>
      </w:tr>
      <w:tr w:rsidR="0021567E" w:rsidRPr="005C6DD6" w14:paraId="3F63F158" w14:textId="77777777" w:rsidTr="004A1FD2">
        <w:trPr>
          <w:trHeight w:val="255"/>
        </w:trPr>
        <w:tc>
          <w:tcPr>
            <w:tcW w:w="3207" w:type="dxa"/>
            <w:tcBorders>
              <w:top w:val="nil"/>
              <w:left w:val="single" w:sz="4" w:space="0" w:color="auto"/>
              <w:bottom w:val="single" w:sz="4" w:space="0" w:color="auto"/>
              <w:right w:val="single" w:sz="4" w:space="0" w:color="auto"/>
            </w:tcBorders>
            <w:shd w:val="clear" w:color="000000" w:fill="D9D9D9"/>
            <w:vAlign w:val="bottom"/>
            <w:hideMark/>
          </w:tcPr>
          <w:p w14:paraId="3E239964" w14:textId="77777777" w:rsidR="0021567E" w:rsidRPr="005C6DD6" w:rsidRDefault="0021567E" w:rsidP="0021567E">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Annual Surveys</w:t>
            </w:r>
          </w:p>
        </w:tc>
        <w:tc>
          <w:tcPr>
            <w:tcW w:w="1296" w:type="dxa"/>
            <w:tcBorders>
              <w:top w:val="nil"/>
              <w:left w:val="nil"/>
              <w:bottom w:val="single" w:sz="8" w:space="0" w:color="auto"/>
              <w:right w:val="single" w:sz="8" w:space="0" w:color="auto"/>
            </w:tcBorders>
            <w:shd w:val="clear" w:color="000000" w:fill="D9D9D9"/>
            <w:noWrap/>
            <w:vAlign w:val="bottom"/>
            <w:hideMark/>
          </w:tcPr>
          <w:p w14:paraId="76C060C0" w14:textId="45A8A9D6"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951" w:type="dxa"/>
            <w:tcBorders>
              <w:top w:val="nil"/>
              <w:left w:val="nil"/>
              <w:bottom w:val="single" w:sz="8" w:space="0" w:color="auto"/>
              <w:right w:val="single" w:sz="8" w:space="0" w:color="auto"/>
            </w:tcBorders>
            <w:shd w:val="clear" w:color="000000" w:fill="D9D9D9"/>
            <w:noWrap/>
            <w:vAlign w:val="bottom"/>
            <w:hideMark/>
          </w:tcPr>
          <w:p w14:paraId="4D4C9445" w14:textId="71858170"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0DE0F1E9" w14:textId="4F143E2C"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12" w:type="dxa"/>
            <w:tcBorders>
              <w:top w:val="nil"/>
              <w:left w:val="single" w:sz="4" w:space="0" w:color="auto"/>
              <w:bottom w:val="single" w:sz="4" w:space="0" w:color="auto"/>
              <w:right w:val="single" w:sz="4" w:space="0" w:color="auto"/>
            </w:tcBorders>
            <w:shd w:val="clear" w:color="000000" w:fill="D9D9D9"/>
            <w:noWrap/>
            <w:vAlign w:val="bottom"/>
            <w:hideMark/>
          </w:tcPr>
          <w:p w14:paraId="09AD3F21" w14:textId="2F3A39D6"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12" w:type="dxa"/>
            <w:tcBorders>
              <w:top w:val="nil"/>
              <w:left w:val="nil"/>
              <w:bottom w:val="single" w:sz="4" w:space="0" w:color="auto"/>
              <w:right w:val="single" w:sz="4" w:space="0" w:color="auto"/>
            </w:tcBorders>
            <w:shd w:val="clear" w:color="000000" w:fill="D9D9D9"/>
            <w:noWrap/>
            <w:vAlign w:val="bottom"/>
            <w:hideMark/>
          </w:tcPr>
          <w:p w14:paraId="565B9367" w14:textId="39ACEDA2"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235" w:type="dxa"/>
            <w:tcBorders>
              <w:top w:val="nil"/>
              <w:left w:val="single" w:sz="4" w:space="0" w:color="auto"/>
              <w:bottom w:val="single" w:sz="4" w:space="0" w:color="auto"/>
              <w:right w:val="single" w:sz="4" w:space="0" w:color="auto"/>
            </w:tcBorders>
            <w:shd w:val="clear" w:color="000000" w:fill="D9D9D9"/>
            <w:noWrap/>
            <w:vAlign w:val="bottom"/>
            <w:hideMark/>
          </w:tcPr>
          <w:p w14:paraId="1232BC06" w14:textId="6509721E"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r>
      <w:tr w:rsidR="0021567E" w:rsidRPr="005C6DD6" w14:paraId="660E3E72"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782E9B86"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EIA-820, Annual Refinery Report</w:t>
            </w:r>
          </w:p>
        </w:tc>
        <w:tc>
          <w:tcPr>
            <w:tcW w:w="1296" w:type="dxa"/>
            <w:tcBorders>
              <w:top w:val="nil"/>
              <w:left w:val="nil"/>
              <w:bottom w:val="single" w:sz="8" w:space="0" w:color="auto"/>
              <w:right w:val="single" w:sz="8" w:space="0" w:color="auto"/>
            </w:tcBorders>
            <w:shd w:val="clear" w:color="auto" w:fill="auto"/>
            <w:noWrap/>
            <w:vAlign w:val="bottom"/>
            <w:hideMark/>
          </w:tcPr>
          <w:p w14:paraId="2F116CBA" w14:textId="471E471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141</w:t>
            </w:r>
          </w:p>
        </w:tc>
        <w:tc>
          <w:tcPr>
            <w:tcW w:w="951" w:type="dxa"/>
            <w:tcBorders>
              <w:top w:val="nil"/>
              <w:left w:val="nil"/>
              <w:bottom w:val="single" w:sz="8" w:space="0" w:color="auto"/>
              <w:right w:val="single" w:sz="8" w:space="0" w:color="auto"/>
            </w:tcBorders>
            <w:shd w:val="clear" w:color="auto" w:fill="auto"/>
            <w:noWrap/>
            <w:vAlign w:val="bottom"/>
            <w:hideMark/>
          </w:tcPr>
          <w:p w14:paraId="4A84D796" w14:textId="1FE3D395"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s="Arial"/>
                <w:color w:val="000000"/>
                <w:sz w:val="20"/>
              </w:rPr>
              <w:t>1</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654F8249" w14:textId="203419BD"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141</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364620D5" w14:textId="4190480F"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012" w:type="dxa"/>
            <w:tcBorders>
              <w:top w:val="nil"/>
              <w:left w:val="nil"/>
              <w:bottom w:val="single" w:sz="4" w:space="0" w:color="auto"/>
              <w:right w:val="single" w:sz="4" w:space="0" w:color="auto"/>
            </w:tcBorders>
            <w:shd w:val="clear" w:color="auto" w:fill="auto"/>
            <w:noWrap/>
            <w:vAlign w:val="bottom"/>
            <w:hideMark/>
          </w:tcPr>
          <w:p w14:paraId="3B665DF3" w14:textId="64308BC3"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2.00</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612F138F" w14:textId="62B554D1" w:rsidR="0021567E" w:rsidRPr="005C6DD6" w:rsidRDefault="0021567E" w:rsidP="0021567E">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282</w:t>
            </w:r>
          </w:p>
        </w:tc>
      </w:tr>
      <w:tr w:rsidR="0021567E" w:rsidRPr="005C6DD6" w14:paraId="3287FD07"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vAlign w:val="bottom"/>
            <w:hideMark/>
          </w:tcPr>
          <w:p w14:paraId="4B7E9206" w14:textId="7777777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1296" w:type="dxa"/>
            <w:tcBorders>
              <w:top w:val="nil"/>
              <w:left w:val="nil"/>
              <w:bottom w:val="single" w:sz="8" w:space="0" w:color="auto"/>
              <w:right w:val="single" w:sz="8" w:space="0" w:color="auto"/>
            </w:tcBorders>
            <w:shd w:val="clear" w:color="auto" w:fill="auto"/>
            <w:noWrap/>
            <w:vAlign w:val="bottom"/>
            <w:hideMark/>
          </w:tcPr>
          <w:p w14:paraId="51B4DEA0" w14:textId="7A4C4BB7"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951" w:type="dxa"/>
            <w:tcBorders>
              <w:top w:val="nil"/>
              <w:left w:val="nil"/>
              <w:bottom w:val="single" w:sz="8" w:space="0" w:color="auto"/>
              <w:right w:val="single" w:sz="8" w:space="0" w:color="auto"/>
            </w:tcBorders>
            <w:shd w:val="clear" w:color="auto" w:fill="auto"/>
            <w:noWrap/>
            <w:vAlign w:val="bottom"/>
            <w:hideMark/>
          </w:tcPr>
          <w:p w14:paraId="22CD6FED" w14:textId="46833190"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1092" w:type="dxa"/>
            <w:tcBorders>
              <w:top w:val="nil"/>
              <w:left w:val="nil"/>
              <w:bottom w:val="single" w:sz="8" w:space="0" w:color="auto"/>
              <w:right w:val="single" w:sz="8" w:space="0" w:color="auto"/>
            </w:tcBorders>
            <w:shd w:val="clear" w:color="auto" w:fill="auto"/>
            <w:noWrap/>
            <w:vAlign w:val="bottom"/>
            <w:hideMark/>
          </w:tcPr>
          <w:p w14:paraId="3E4B9BBB" w14:textId="5B282C8D"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1012" w:type="dxa"/>
            <w:tcBorders>
              <w:top w:val="nil"/>
              <w:left w:val="nil"/>
              <w:bottom w:val="single" w:sz="8" w:space="0" w:color="auto"/>
              <w:right w:val="single" w:sz="8" w:space="0" w:color="auto"/>
            </w:tcBorders>
            <w:shd w:val="clear" w:color="auto" w:fill="auto"/>
            <w:noWrap/>
            <w:vAlign w:val="bottom"/>
            <w:hideMark/>
          </w:tcPr>
          <w:p w14:paraId="75A23D75" w14:textId="15309EA1"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1012" w:type="dxa"/>
            <w:tcBorders>
              <w:top w:val="nil"/>
              <w:left w:val="nil"/>
              <w:bottom w:val="single" w:sz="8" w:space="0" w:color="auto"/>
              <w:right w:val="single" w:sz="8" w:space="0" w:color="auto"/>
            </w:tcBorders>
            <w:shd w:val="clear" w:color="auto" w:fill="auto"/>
            <w:noWrap/>
            <w:vAlign w:val="bottom"/>
            <w:hideMark/>
          </w:tcPr>
          <w:p w14:paraId="6C1C9A40" w14:textId="58353039"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s="Arial"/>
                <w:color w:val="000000"/>
                <w:sz w:val="20"/>
              </w:rPr>
              <w:t> </w:t>
            </w: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2056870F" w14:textId="16E34262" w:rsidR="0021567E" w:rsidRPr="005C6DD6" w:rsidRDefault="0021567E" w:rsidP="0021567E">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r>
      <w:tr w:rsidR="0021567E" w:rsidRPr="005C6DD6" w14:paraId="49DBA8E7" w14:textId="77777777" w:rsidTr="004A1FD2">
        <w:trPr>
          <w:trHeight w:val="255"/>
        </w:trPr>
        <w:tc>
          <w:tcPr>
            <w:tcW w:w="3207" w:type="dxa"/>
            <w:tcBorders>
              <w:top w:val="nil"/>
              <w:left w:val="single" w:sz="4" w:space="0" w:color="auto"/>
              <w:bottom w:val="single" w:sz="4" w:space="0" w:color="auto"/>
              <w:right w:val="single" w:sz="4" w:space="0" w:color="auto"/>
            </w:tcBorders>
            <w:shd w:val="clear" w:color="auto" w:fill="auto"/>
            <w:noWrap/>
            <w:vAlign w:val="bottom"/>
            <w:hideMark/>
          </w:tcPr>
          <w:p w14:paraId="2602C053" w14:textId="77777777" w:rsidR="0021567E" w:rsidRPr="005C6DD6" w:rsidRDefault="0021567E" w:rsidP="0021567E">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TOTALS</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8EE44" w14:textId="1815DCA8" w:rsidR="0021567E" w:rsidRPr="005C6DD6" w:rsidRDefault="0021567E" w:rsidP="0021567E">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4472</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4FF996CC" w14:textId="4A226D18" w:rsidR="0021567E" w:rsidRPr="005C6DD6" w:rsidRDefault="0021567E" w:rsidP="0021567E">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421</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351ADFC2" w14:textId="52EA25BC" w:rsidR="0021567E" w:rsidRPr="005C6DD6" w:rsidRDefault="0021567E" w:rsidP="0021567E">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101,833</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6306F289" w14:textId="216CF23E" w:rsidR="0021567E" w:rsidRPr="005C6DD6" w:rsidRDefault="0021567E" w:rsidP="0021567E">
            <w:pPr>
              <w:widowControl/>
              <w:spacing w:before="0" w:beforeAutospacing="0" w:after="0" w:afterAutospacing="0"/>
              <w:jc w:val="left"/>
              <w:rPr>
                <w:rFonts w:asciiTheme="minorHAnsi" w:hAnsiTheme="minorHAnsi"/>
                <w:b/>
                <w:bCs/>
                <w:snapToGrid/>
                <w:color w:val="000000"/>
                <w:sz w:val="20"/>
              </w:rPr>
            </w:pPr>
            <w:r>
              <w:rPr>
                <w:rFonts w:ascii="Calibri" w:hAnsi="Calibri"/>
                <w:b/>
                <w:bCs/>
                <w:color w:val="000000"/>
                <w:sz w:val="20"/>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1C93628A" w14:textId="61DE5AB6" w:rsidR="0021567E" w:rsidRPr="005C6DD6" w:rsidRDefault="0021567E" w:rsidP="0021567E">
            <w:pPr>
              <w:widowControl/>
              <w:spacing w:before="0" w:beforeAutospacing="0" w:after="0" w:afterAutospacing="0"/>
              <w:jc w:val="right"/>
              <w:rPr>
                <w:rFonts w:asciiTheme="minorHAnsi" w:hAnsiTheme="minorHAnsi"/>
                <w:b/>
                <w:bCs/>
                <w:snapToGrid/>
                <w:color w:val="000000"/>
                <w:sz w:val="20"/>
              </w:rPr>
            </w:pP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5D3809C5" w14:textId="2C6C88AE" w:rsidR="0021567E" w:rsidRPr="005C6DD6" w:rsidRDefault="00FA72F8" w:rsidP="0021567E">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210,89</w:t>
            </w:r>
            <w:r w:rsidR="00BF5EBD">
              <w:rPr>
                <w:rFonts w:ascii="Calibri" w:hAnsi="Calibri"/>
                <w:b/>
                <w:bCs/>
                <w:color w:val="000000"/>
                <w:sz w:val="20"/>
              </w:rPr>
              <w:t>2</w:t>
            </w:r>
          </w:p>
        </w:tc>
      </w:tr>
    </w:tbl>
    <w:p w14:paraId="2DAC17CF" w14:textId="54EB4C63" w:rsidR="00085A59" w:rsidRPr="00085A59" w:rsidRDefault="00085A59" w:rsidP="00085A59">
      <w:pPr>
        <w:pStyle w:val="Heading2"/>
        <w:numPr>
          <w:ilvl w:val="0"/>
          <w:numId w:val="0"/>
        </w:numPr>
        <w:rPr>
          <w:rFonts w:asciiTheme="minorHAnsi" w:hAnsiTheme="minorHAnsi"/>
          <w:b w:val="0"/>
        </w:rPr>
      </w:pPr>
      <w:bookmarkStart w:id="29" w:name="_Toc442088391"/>
      <w:bookmarkStart w:id="30" w:name="_Toc442088392"/>
      <w:bookmarkStart w:id="31" w:name="_Toc442088394"/>
      <w:r w:rsidRPr="00085A59">
        <w:rPr>
          <w:rFonts w:asciiTheme="minorHAnsi" w:hAnsiTheme="minorHAnsi"/>
          <w:b w:val="0"/>
        </w:rPr>
        <w:lastRenderedPageBreak/>
        <w:t xml:space="preserve">The overall annual respondent burden is estimated to be </w:t>
      </w:r>
      <w:r w:rsidR="00A23059">
        <w:rPr>
          <w:rFonts w:asciiTheme="minorHAnsi" w:hAnsiTheme="minorHAnsi"/>
          <w:b w:val="0"/>
          <w:bCs/>
          <w:color w:val="000000"/>
        </w:rPr>
        <w:t>210,89</w:t>
      </w:r>
      <w:r w:rsidR="00BF5EBD">
        <w:rPr>
          <w:rFonts w:asciiTheme="minorHAnsi" w:hAnsiTheme="minorHAnsi"/>
          <w:b w:val="0"/>
          <w:bCs/>
          <w:color w:val="000000"/>
        </w:rPr>
        <w:t>2</w:t>
      </w:r>
      <w:r w:rsidRPr="00085A59">
        <w:rPr>
          <w:rFonts w:asciiTheme="minorHAnsi" w:hAnsiTheme="minorHAnsi"/>
          <w:b w:val="0"/>
        </w:rPr>
        <w:t xml:space="preserve"> hours for 2016.  The estimated costs to respondents for the</w:t>
      </w:r>
      <w:r w:rsidR="00FC5B16">
        <w:rPr>
          <w:rFonts w:asciiTheme="minorHAnsi" w:hAnsiTheme="minorHAnsi"/>
          <w:b w:val="0"/>
        </w:rPr>
        <w:t>se</w:t>
      </w:r>
      <w:r w:rsidRPr="00085A59">
        <w:rPr>
          <w:rFonts w:asciiTheme="minorHAnsi" w:hAnsiTheme="minorHAnsi"/>
          <w:b w:val="0"/>
        </w:rPr>
        <w:t xml:space="preserve"> burden hours are estimated </w:t>
      </w:r>
      <w:r w:rsidR="00FC5B16">
        <w:rPr>
          <w:rFonts w:asciiTheme="minorHAnsi" w:hAnsiTheme="minorHAnsi"/>
          <w:b w:val="0"/>
        </w:rPr>
        <w:t xml:space="preserve">to be </w:t>
      </w:r>
      <w:r w:rsidR="00FC5B16" w:rsidRPr="00FC5B16">
        <w:rPr>
          <w:rFonts w:asciiTheme="minorHAnsi" w:hAnsiTheme="minorHAnsi"/>
          <w:b w:val="0"/>
          <w:bCs/>
        </w:rPr>
        <w:t>$</w:t>
      </w:r>
      <w:r w:rsidR="00BF5EBD">
        <w:rPr>
          <w:rFonts w:asciiTheme="minorHAnsi" w:hAnsiTheme="minorHAnsi"/>
          <w:b w:val="0"/>
          <w:bCs/>
        </w:rPr>
        <w:t>15,188,442</w:t>
      </w:r>
      <w:r w:rsidR="00A23059">
        <w:rPr>
          <w:rFonts w:asciiTheme="minorHAnsi" w:hAnsiTheme="minorHAnsi"/>
          <w:b w:val="0"/>
          <w:bCs/>
        </w:rPr>
        <w:t xml:space="preserve"> </w:t>
      </w:r>
      <w:r w:rsidRPr="00085A59">
        <w:rPr>
          <w:rFonts w:asciiTheme="minorHAnsi" w:hAnsiTheme="minorHAnsi"/>
          <w:b w:val="0"/>
        </w:rPr>
        <w:t>(</w:t>
      </w:r>
      <w:r w:rsidR="00A23059">
        <w:rPr>
          <w:rFonts w:asciiTheme="minorHAnsi" w:hAnsiTheme="minorHAnsi"/>
          <w:b w:val="0"/>
          <w:bCs/>
          <w:color w:val="000000"/>
        </w:rPr>
        <w:t>210,89</w:t>
      </w:r>
      <w:r w:rsidR="00BF5EBD">
        <w:rPr>
          <w:rFonts w:asciiTheme="minorHAnsi" w:hAnsiTheme="minorHAnsi"/>
          <w:b w:val="0"/>
          <w:bCs/>
          <w:color w:val="000000"/>
        </w:rPr>
        <w:t>2</w:t>
      </w:r>
      <w:r w:rsidRPr="00085A59">
        <w:rPr>
          <w:rFonts w:asciiTheme="minorHAnsi" w:hAnsiTheme="minorHAnsi"/>
          <w:b w:val="0"/>
        </w:rPr>
        <w:t xml:space="preserve"> hours times $72.02 per hour) for 2016.  An average cost per hour of $72.02 is used because that is the average loaded (salary plus benefits) cost for an EIA employee at this time. EIA assumes that the survey respondent workforce completing surveys for EIA is comparable with EIA workforce.  </w:t>
      </w:r>
    </w:p>
    <w:p w14:paraId="18D4BCCB" w14:textId="3E1A2249" w:rsidR="006D75D4" w:rsidRPr="005C6DD6" w:rsidRDefault="006D75D4" w:rsidP="006D75D4">
      <w:pPr>
        <w:pStyle w:val="Heading2"/>
        <w:rPr>
          <w:rFonts w:asciiTheme="minorHAnsi" w:hAnsiTheme="minorHAnsi"/>
        </w:rPr>
      </w:pPr>
      <w:r w:rsidRPr="005C6DD6">
        <w:rPr>
          <w:rFonts w:asciiTheme="minorHAnsi" w:hAnsiTheme="minorHAnsi"/>
        </w:rPr>
        <w:t>Estimates of Cost Burden to Respondents</w:t>
      </w:r>
      <w:bookmarkEnd w:id="29"/>
    </w:p>
    <w:p w14:paraId="345B7D81" w14:textId="77777777" w:rsidR="006D75D4" w:rsidRPr="005C6DD6" w:rsidRDefault="006D75D4" w:rsidP="006D75D4">
      <w:pPr>
        <w:spacing w:before="120" w:beforeAutospacing="0"/>
        <w:jc w:val="left"/>
        <w:rPr>
          <w:rFonts w:asciiTheme="minorHAnsi" w:hAnsiTheme="minorHAnsi"/>
          <w:szCs w:val="24"/>
        </w:rPr>
      </w:pPr>
      <w:r w:rsidRPr="005C6DD6">
        <w:rPr>
          <w:rFonts w:asciiTheme="minorHAnsi" w:hAnsiTheme="minorHAnsi"/>
          <w:szCs w:val="24"/>
        </w:rPr>
        <w:t>EIA estimates that there are not any additional costs to respondents associated with the surveys in the PSRS other than the costs associated with the burden hours as set forth in Item 13, above.</w:t>
      </w:r>
    </w:p>
    <w:p w14:paraId="0DD9382B" w14:textId="77777777" w:rsidR="006D75D4" w:rsidRPr="005C6DD6" w:rsidRDefault="006D75D4" w:rsidP="006D75D4">
      <w:pPr>
        <w:pStyle w:val="Heading2"/>
        <w:rPr>
          <w:rFonts w:asciiTheme="minorHAnsi" w:hAnsiTheme="minorHAnsi"/>
        </w:rPr>
      </w:pPr>
      <w:r w:rsidRPr="005C6DD6">
        <w:rPr>
          <w:rFonts w:asciiTheme="minorHAnsi" w:hAnsiTheme="minorHAnsi"/>
        </w:rPr>
        <w:t>Estimates of Annual Cost to the Government</w:t>
      </w:r>
      <w:bookmarkEnd w:id="30"/>
    </w:p>
    <w:p w14:paraId="614C814B" w14:textId="77777777" w:rsidR="006D75D4" w:rsidRPr="005C6DD6" w:rsidRDefault="006D75D4" w:rsidP="006D75D4">
      <w:pPr>
        <w:spacing w:before="120" w:beforeAutospacing="0"/>
        <w:jc w:val="left"/>
        <w:rPr>
          <w:rFonts w:asciiTheme="minorHAnsi" w:hAnsiTheme="minorHAnsi"/>
          <w:szCs w:val="24"/>
        </w:rPr>
      </w:pPr>
      <w:r w:rsidRPr="005C6DD6">
        <w:rPr>
          <w:rFonts w:asciiTheme="minorHAnsi" w:hAnsiTheme="minorHAnsi"/>
          <w:szCs w:val="24"/>
        </w:rPr>
        <w:t>The annual costs of the PSRS data collection to the Federal Government, including personnel, systems development and maintenance, collection, processing, analysis, and publication are estimated to be $</w:t>
      </w:r>
      <w:r w:rsidRPr="005C6DD6">
        <w:rPr>
          <w:rFonts w:asciiTheme="minorHAnsi" w:hAnsiTheme="minorHAnsi"/>
        </w:rPr>
        <w:t>6,100,000</w:t>
      </w:r>
      <w:r w:rsidRPr="005C6DD6">
        <w:rPr>
          <w:rFonts w:asciiTheme="minorHAnsi" w:hAnsiTheme="minorHAnsi"/>
          <w:szCs w:val="24"/>
        </w:rPr>
        <w:t>.</w:t>
      </w:r>
    </w:p>
    <w:p w14:paraId="4F08F283" w14:textId="77777777" w:rsidR="006D75D4" w:rsidRPr="005C6DD6" w:rsidRDefault="006D75D4" w:rsidP="006D75D4">
      <w:pPr>
        <w:pStyle w:val="Heading2"/>
        <w:rPr>
          <w:rFonts w:asciiTheme="minorHAnsi" w:hAnsiTheme="minorHAnsi"/>
        </w:rPr>
      </w:pPr>
      <w:bookmarkStart w:id="32" w:name="_Toc442088393"/>
      <w:bookmarkStart w:id="33" w:name="OLE_LINK3"/>
      <w:bookmarkStart w:id="34" w:name="OLE_LINK4"/>
      <w:r w:rsidRPr="005C6DD6">
        <w:rPr>
          <w:rFonts w:asciiTheme="minorHAnsi" w:hAnsiTheme="minorHAnsi"/>
        </w:rPr>
        <w:t>Changes in Burden to Respondents</w:t>
      </w:r>
      <w:bookmarkEnd w:id="32"/>
    </w:p>
    <w:bookmarkEnd w:id="33"/>
    <w:bookmarkEnd w:id="34"/>
    <w:p w14:paraId="0E1E5364" w14:textId="7C4659B1" w:rsidR="00BD6E77" w:rsidRPr="00940518" w:rsidRDefault="006D75D4" w:rsidP="00940518">
      <w:pPr>
        <w:rPr>
          <w:rFonts w:asciiTheme="minorHAnsi" w:hAnsiTheme="minorHAnsi"/>
        </w:rPr>
      </w:pPr>
      <w:r w:rsidRPr="005C6DD6">
        <w:rPr>
          <w:rFonts w:asciiTheme="minorHAnsi" w:hAnsiTheme="minorHAnsi"/>
          <w:snapToGrid/>
          <w:szCs w:val="24"/>
        </w:rPr>
        <w:t xml:space="preserve">The differences between the respondent burden proposed for 2016 information collection request and the previous 2013 one is an adjustment of </w:t>
      </w:r>
      <w:r w:rsidR="00FC5B16">
        <w:rPr>
          <w:rFonts w:asciiTheme="minorHAnsi" w:hAnsiTheme="minorHAnsi"/>
          <w:snapToGrid/>
          <w:szCs w:val="24"/>
        </w:rPr>
        <w:t>-</w:t>
      </w:r>
      <w:r w:rsidR="00A23059">
        <w:rPr>
          <w:rFonts w:asciiTheme="minorHAnsi" w:hAnsiTheme="minorHAnsi"/>
          <w:snapToGrid/>
          <w:szCs w:val="24"/>
        </w:rPr>
        <w:t>2</w:t>
      </w:r>
      <w:r w:rsidR="0074000B">
        <w:rPr>
          <w:rFonts w:asciiTheme="minorHAnsi" w:hAnsiTheme="minorHAnsi"/>
          <w:snapToGrid/>
          <w:szCs w:val="24"/>
        </w:rPr>
        <w:t>,</w:t>
      </w:r>
      <w:r w:rsidR="00FA72F8">
        <w:rPr>
          <w:rFonts w:asciiTheme="minorHAnsi" w:hAnsiTheme="minorHAnsi"/>
          <w:snapToGrid/>
          <w:szCs w:val="24"/>
        </w:rPr>
        <w:t>6</w:t>
      </w:r>
      <w:r w:rsidR="00BF5EBD">
        <w:rPr>
          <w:rFonts w:asciiTheme="minorHAnsi" w:hAnsiTheme="minorHAnsi"/>
          <w:snapToGrid/>
          <w:szCs w:val="24"/>
        </w:rPr>
        <w:t>70</w:t>
      </w:r>
      <w:r w:rsidR="00FA72F8">
        <w:rPr>
          <w:rFonts w:asciiTheme="minorHAnsi" w:hAnsiTheme="minorHAnsi"/>
          <w:snapToGrid/>
          <w:szCs w:val="24"/>
        </w:rPr>
        <w:t xml:space="preserve"> </w:t>
      </w:r>
      <w:r w:rsidR="009655F2">
        <w:rPr>
          <w:rFonts w:asciiTheme="minorHAnsi" w:hAnsiTheme="minorHAnsi"/>
          <w:snapToGrid/>
          <w:szCs w:val="24"/>
        </w:rPr>
        <w:t>(</w:t>
      </w:r>
      <w:r w:rsidR="00FA72F8">
        <w:rPr>
          <w:rFonts w:asciiTheme="minorHAnsi" w:hAnsiTheme="minorHAnsi"/>
          <w:snapToGrid/>
          <w:szCs w:val="24"/>
        </w:rPr>
        <w:t>210,89</w:t>
      </w:r>
      <w:r w:rsidR="00BF5EBD">
        <w:rPr>
          <w:rFonts w:asciiTheme="minorHAnsi" w:hAnsiTheme="minorHAnsi"/>
          <w:snapToGrid/>
          <w:szCs w:val="24"/>
        </w:rPr>
        <w:t>2</w:t>
      </w:r>
      <w:r w:rsidR="009655F2">
        <w:rPr>
          <w:rFonts w:asciiTheme="minorHAnsi" w:hAnsiTheme="minorHAnsi"/>
          <w:snapToGrid/>
          <w:szCs w:val="24"/>
        </w:rPr>
        <w:t xml:space="preserve"> – 213,</w:t>
      </w:r>
      <w:r w:rsidR="00FF75B7">
        <w:rPr>
          <w:rFonts w:asciiTheme="minorHAnsi" w:hAnsiTheme="minorHAnsi"/>
          <w:snapToGrid/>
          <w:szCs w:val="24"/>
        </w:rPr>
        <w:t>5</w:t>
      </w:r>
      <w:r w:rsidR="009655F2">
        <w:rPr>
          <w:rFonts w:asciiTheme="minorHAnsi" w:hAnsiTheme="minorHAnsi"/>
          <w:snapToGrid/>
          <w:szCs w:val="24"/>
        </w:rPr>
        <w:t>62)</w:t>
      </w:r>
      <w:r w:rsidRPr="005C6DD6">
        <w:rPr>
          <w:rFonts w:asciiTheme="minorHAnsi" w:hAnsiTheme="minorHAnsi"/>
          <w:snapToGrid/>
          <w:szCs w:val="24"/>
        </w:rPr>
        <w:t xml:space="preserve"> hours annually.  The </w:t>
      </w:r>
      <w:r w:rsidR="00FC5B16">
        <w:rPr>
          <w:rFonts w:asciiTheme="minorHAnsi" w:hAnsiTheme="minorHAnsi"/>
          <w:snapToGrid/>
          <w:szCs w:val="24"/>
        </w:rPr>
        <w:t>de</w:t>
      </w:r>
      <w:r w:rsidRPr="005C6DD6">
        <w:rPr>
          <w:rFonts w:asciiTheme="minorHAnsi" w:hAnsiTheme="minorHAnsi"/>
          <w:snapToGrid/>
          <w:szCs w:val="24"/>
        </w:rPr>
        <w:t>crease in</w:t>
      </w:r>
      <w:r w:rsidR="00FC5B16">
        <w:rPr>
          <w:rFonts w:asciiTheme="minorHAnsi" w:hAnsiTheme="minorHAnsi"/>
          <w:snapToGrid/>
          <w:szCs w:val="24"/>
        </w:rPr>
        <w:t xml:space="preserve"> burden to the</w:t>
      </w:r>
      <w:r w:rsidRPr="005C6DD6">
        <w:rPr>
          <w:rFonts w:asciiTheme="minorHAnsi" w:hAnsiTheme="minorHAnsi"/>
          <w:snapToGrid/>
          <w:szCs w:val="24"/>
        </w:rPr>
        <w:t xml:space="preserve"> respondent</w:t>
      </w:r>
      <w:r w:rsidR="00FC5B16">
        <w:rPr>
          <w:rFonts w:asciiTheme="minorHAnsi" w:hAnsiTheme="minorHAnsi"/>
          <w:snapToGrid/>
          <w:szCs w:val="24"/>
        </w:rPr>
        <w:t>s is due to a decline</w:t>
      </w:r>
      <w:r w:rsidRPr="005C6DD6">
        <w:rPr>
          <w:rFonts w:asciiTheme="minorHAnsi" w:hAnsiTheme="minorHAnsi"/>
          <w:snapToGrid/>
          <w:szCs w:val="24"/>
        </w:rPr>
        <w:t xml:space="preserve"> in the size of the target popula</w:t>
      </w:r>
      <w:r w:rsidR="00FC5B16">
        <w:rPr>
          <w:rFonts w:asciiTheme="minorHAnsi" w:hAnsiTheme="minorHAnsi"/>
          <w:snapToGrid/>
          <w:szCs w:val="24"/>
        </w:rPr>
        <w:t xml:space="preserve">tion (for monthly surveys) and sample size (for weekly surveys), </w:t>
      </w:r>
      <w:r w:rsidRPr="005C6DD6">
        <w:rPr>
          <w:rFonts w:asciiTheme="minorHAnsi" w:hAnsiTheme="minorHAnsi"/>
          <w:snapToGrid/>
          <w:szCs w:val="24"/>
        </w:rPr>
        <w:t xml:space="preserve">as indicated in Table A2. </w:t>
      </w:r>
      <w:r w:rsidR="00614A41">
        <w:rPr>
          <w:rFonts w:asciiTheme="minorHAnsi" w:hAnsiTheme="minorHAnsi"/>
          <w:snapToGrid/>
          <w:szCs w:val="24"/>
        </w:rPr>
        <w:t xml:space="preserve">For Form </w:t>
      </w:r>
      <w:r w:rsidR="00614A41" w:rsidRPr="00614A41">
        <w:rPr>
          <w:rFonts w:asciiTheme="minorHAnsi" w:hAnsiTheme="minorHAnsi"/>
          <w:snapToGrid/>
          <w:szCs w:val="24"/>
        </w:rPr>
        <w:t>EI-</w:t>
      </w:r>
      <w:r w:rsidR="00614A41" w:rsidRPr="00614A41">
        <w:rPr>
          <w:rFonts w:asciiTheme="minorHAnsi" w:hAnsiTheme="minorHAnsi"/>
        </w:rPr>
        <w:t xml:space="preserve">22M, the decline in </w:t>
      </w:r>
      <w:r w:rsidR="009A7F14">
        <w:rPr>
          <w:rFonts w:asciiTheme="minorHAnsi" w:hAnsiTheme="minorHAnsi"/>
        </w:rPr>
        <w:t xml:space="preserve">the number of </w:t>
      </w:r>
      <w:r w:rsidR="00614A41" w:rsidRPr="00614A41">
        <w:rPr>
          <w:rFonts w:asciiTheme="minorHAnsi" w:hAnsiTheme="minorHAnsi"/>
        </w:rPr>
        <w:t xml:space="preserve">respondents is </w:t>
      </w:r>
      <w:r w:rsidR="006C2087">
        <w:rPr>
          <w:rFonts w:asciiTheme="minorHAnsi" w:hAnsiTheme="minorHAnsi"/>
        </w:rPr>
        <w:t>due to</w:t>
      </w:r>
      <w:r w:rsidR="00614A41" w:rsidRPr="00614A41">
        <w:rPr>
          <w:rFonts w:asciiTheme="minorHAnsi" w:hAnsiTheme="minorHAnsi"/>
        </w:rPr>
        <w:t xml:space="preserve"> </w:t>
      </w:r>
      <w:r w:rsidR="006C2087">
        <w:rPr>
          <w:rFonts w:asciiTheme="minorHAnsi" w:hAnsiTheme="minorHAnsi"/>
        </w:rPr>
        <w:t xml:space="preserve">the number of </w:t>
      </w:r>
      <w:r w:rsidR="00614A41" w:rsidRPr="00614A41">
        <w:rPr>
          <w:rFonts w:asciiTheme="minorHAnsi" w:hAnsiTheme="minorHAnsi"/>
        </w:rPr>
        <w:t>companies that ceased operations.  These</w:t>
      </w:r>
      <w:r w:rsidR="006C2087">
        <w:rPr>
          <w:rFonts w:asciiTheme="minorHAnsi" w:hAnsiTheme="minorHAnsi"/>
        </w:rPr>
        <w:t xml:space="preserve"> respondents</w:t>
      </w:r>
      <w:r w:rsidR="00614A41" w:rsidRPr="00614A41">
        <w:rPr>
          <w:rFonts w:asciiTheme="minorHAnsi" w:hAnsiTheme="minorHAnsi"/>
        </w:rPr>
        <w:t xml:space="preserve"> are often smaller facilities that are sensitive to market conditions.</w:t>
      </w:r>
      <w:r w:rsidR="00614A41">
        <w:rPr>
          <w:rFonts w:asciiTheme="minorHAnsi" w:hAnsiTheme="minorHAnsi"/>
        </w:rPr>
        <w:t xml:space="preserve">  For Form EIA-813, the </w:t>
      </w:r>
      <w:r w:rsidR="00614A41" w:rsidRPr="00614A41">
        <w:rPr>
          <w:rFonts w:asciiTheme="minorHAnsi" w:hAnsiTheme="minorHAnsi"/>
        </w:rPr>
        <w:t>2013 frame increased</w:t>
      </w:r>
      <w:r w:rsidR="009A7F14">
        <w:rPr>
          <w:rFonts w:asciiTheme="minorHAnsi" w:hAnsiTheme="minorHAnsi"/>
        </w:rPr>
        <w:t xml:space="preserve"> during 2013-2015</w:t>
      </w:r>
      <w:r w:rsidR="00614A41" w:rsidRPr="00614A41">
        <w:rPr>
          <w:rFonts w:asciiTheme="minorHAnsi" w:hAnsiTheme="minorHAnsi"/>
        </w:rPr>
        <w:t xml:space="preserve"> by 1</w:t>
      </w:r>
      <w:r w:rsidR="00614A41">
        <w:rPr>
          <w:rFonts w:asciiTheme="minorHAnsi" w:hAnsiTheme="minorHAnsi"/>
        </w:rPr>
        <w:t xml:space="preserve">10 companies </w:t>
      </w:r>
      <w:r w:rsidR="009A7F14">
        <w:rPr>
          <w:rFonts w:asciiTheme="minorHAnsi" w:hAnsiTheme="minorHAnsi"/>
        </w:rPr>
        <w:t>from 167 to</w:t>
      </w:r>
      <w:r w:rsidR="00614A41">
        <w:rPr>
          <w:rFonts w:asciiTheme="minorHAnsi" w:hAnsiTheme="minorHAnsi"/>
        </w:rPr>
        <w:t xml:space="preserve"> 277 respondents.  </w:t>
      </w:r>
      <w:r w:rsidR="006C2087">
        <w:rPr>
          <w:rFonts w:asciiTheme="minorHAnsi" w:hAnsiTheme="minorHAnsi"/>
        </w:rPr>
        <w:t>Most</w:t>
      </w:r>
      <w:r w:rsidR="00614A41" w:rsidRPr="00614A41">
        <w:rPr>
          <w:rFonts w:asciiTheme="minorHAnsi" w:hAnsiTheme="minorHAnsi"/>
        </w:rPr>
        <w:t xml:space="preserve"> of the companies that</w:t>
      </w:r>
      <w:r w:rsidR="009A7F14">
        <w:rPr>
          <w:rFonts w:asciiTheme="minorHAnsi" w:hAnsiTheme="minorHAnsi"/>
        </w:rPr>
        <w:t xml:space="preserve"> were added</w:t>
      </w:r>
      <w:r w:rsidR="00614A41" w:rsidRPr="00614A41">
        <w:rPr>
          <w:rFonts w:asciiTheme="minorHAnsi" w:hAnsiTheme="minorHAnsi"/>
        </w:rPr>
        <w:t xml:space="preserve"> only reported crude oil Lease Stocks.  </w:t>
      </w:r>
      <w:r w:rsidR="006C2087">
        <w:rPr>
          <w:rFonts w:asciiTheme="minorHAnsi" w:hAnsiTheme="minorHAnsi"/>
        </w:rPr>
        <w:t xml:space="preserve">In this clearance, EIA </w:t>
      </w:r>
      <w:r w:rsidR="00614A41" w:rsidRPr="00614A41">
        <w:rPr>
          <w:rFonts w:asciiTheme="minorHAnsi" w:hAnsiTheme="minorHAnsi"/>
        </w:rPr>
        <w:t>propos</w:t>
      </w:r>
      <w:r w:rsidR="00FC4DCF">
        <w:rPr>
          <w:rFonts w:asciiTheme="minorHAnsi" w:hAnsiTheme="minorHAnsi"/>
        </w:rPr>
        <w:t>es</w:t>
      </w:r>
      <w:r w:rsidR="00614A41" w:rsidRPr="00614A41">
        <w:rPr>
          <w:rFonts w:asciiTheme="minorHAnsi" w:hAnsiTheme="minorHAnsi"/>
        </w:rPr>
        <w:t xml:space="preserve"> </w:t>
      </w:r>
      <w:r w:rsidR="009A7F14">
        <w:rPr>
          <w:rFonts w:asciiTheme="minorHAnsi" w:hAnsiTheme="minorHAnsi"/>
        </w:rPr>
        <w:t>to</w:t>
      </w:r>
      <w:r w:rsidR="00614A41" w:rsidRPr="00614A41">
        <w:rPr>
          <w:rFonts w:asciiTheme="minorHAnsi" w:hAnsiTheme="minorHAnsi"/>
        </w:rPr>
        <w:t xml:space="preserve"> </w:t>
      </w:r>
      <w:r w:rsidR="003C706C">
        <w:rPr>
          <w:rFonts w:asciiTheme="minorHAnsi" w:hAnsiTheme="minorHAnsi"/>
        </w:rPr>
        <w:t>discontinue</w:t>
      </w:r>
      <w:r w:rsidR="00394DDD">
        <w:rPr>
          <w:rFonts w:asciiTheme="minorHAnsi" w:hAnsiTheme="minorHAnsi"/>
        </w:rPr>
        <w:t xml:space="preserve"> collecting</w:t>
      </w:r>
      <w:r w:rsidR="00614A41" w:rsidRPr="00614A41">
        <w:rPr>
          <w:rFonts w:asciiTheme="minorHAnsi" w:hAnsiTheme="minorHAnsi"/>
        </w:rPr>
        <w:t xml:space="preserve"> Lease Stocks data</w:t>
      </w:r>
      <w:r w:rsidR="00DE1129" w:rsidRPr="00614A41">
        <w:rPr>
          <w:rFonts w:asciiTheme="minorHAnsi" w:hAnsiTheme="minorHAnsi"/>
        </w:rPr>
        <w:t>, so</w:t>
      </w:r>
      <w:r w:rsidR="006C2087">
        <w:rPr>
          <w:rFonts w:asciiTheme="minorHAnsi" w:hAnsiTheme="minorHAnsi"/>
        </w:rPr>
        <w:t xml:space="preserve"> </w:t>
      </w:r>
      <w:r w:rsidR="00614A41" w:rsidRPr="00614A41">
        <w:rPr>
          <w:rFonts w:asciiTheme="minorHAnsi" w:hAnsiTheme="minorHAnsi"/>
        </w:rPr>
        <w:t xml:space="preserve">these </w:t>
      </w:r>
      <w:r w:rsidR="006C2087">
        <w:rPr>
          <w:rFonts w:asciiTheme="minorHAnsi" w:hAnsiTheme="minorHAnsi"/>
        </w:rPr>
        <w:t>companies</w:t>
      </w:r>
      <w:r w:rsidR="00614A41">
        <w:rPr>
          <w:rFonts w:asciiTheme="minorHAnsi" w:hAnsiTheme="minorHAnsi"/>
        </w:rPr>
        <w:t xml:space="preserve"> </w:t>
      </w:r>
      <w:r w:rsidR="009A7F14">
        <w:rPr>
          <w:rFonts w:asciiTheme="minorHAnsi" w:hAnsiTheme="minorHAnsi"/>
        </w:rPr>
        <w:t>were removed from the frame</w:t>
      </w:r>
      <w:r w:rsidR="006C2087">
        <w:rPr>
          <w:rFonts w:asciiTheme="minorHAnsi" w:hAnsiTheme="minorHAnsi"/>
        </w:rPr>
        <w:t>.  After removing the respondents that only reported crude oil Lease Stocks on Form EIA-813,</w:t>
      </w:r>
      <w:r w:rsidR="009A7F14">
        <w:rPr>
          <w:rFonts w:asciiTheme="minorHAnsi" w:hAnsiTheme="minorHAnsi"/>
        </w:rPr>
        <w:t xml:space="preserve"> </w:t>
      </w:r>
      <w:r w:rsidR="00614A41">
        <w:rPr>
          <w:rFonts w:asciiTheme="minorHAnsi" w:hAnsiTheme="minorHAnsi"/>
        </w:rPr>
        <w:t xml:space="preserve">the frame </w:t>
      </w:r>
      <w:r w:rsidR="009A7F14">
        <w:rPr>
          <w:rFonts w:asciiTheme="minorHAnsi" w:hAnsiTheme="minorHAnsi"/>
        </w:rPr>
        <w:t xml:space="preserve">is reduced </w:t>
      </w:r>
      <w:r w:rsidR="00614A41">
        <w:rPr>
          <w:rFonts w:asciiTheme="minorHAnsi" w:hAnsiTheme="minorHAnsi"/>
        </w:rPr>
        <w:t>to 177.</w:t>
      </w:r>
    </w:p>
    <w:p w14:paraId="4DDDB483" w14:textId="77777777" w:rsidR="00940518" w:rsidRDefault="00940518">
      <w:pPr>
        <w:widowControl/>
        <w:spacing w:before="0" w:beforeAutospacing="0" w:after="0" w:afterAutospacing="0"/>
        <w:jc w:val="left"/>
        <w:rPr>
          <w:rFonts w:asciiTheme="minorHAnsi" w:hAnsiTheme="minorHAnsi"/>
          <w:b/>
        </w:rPr>
      </w:pPr>
      <w:r>
        <w:rPr>
          <w:rFonts w:asciiTheme="minorHAnsi" w:hAnsiTheme="minorHAnsi"/>
          <w:b/>
        </w:rPr>
        <w:br w:type="page"/>
      </w:r>
    </w:p>
    <w:p w14:paraId="33553BF6" w14:textId="40A9D1AD" w:rsidR="00FD729C" w:rsidRPr="005C6DD6" w:rsidRDefault="00FD729C" w:rsidP="00FD729C">
      <w:pPr>
        <w:spacing w:after="120"/>
        <w:rPr>
          <w:rFonts w:asciiTheme="minorHAnsi" w:hAnsiTheme="minorHAnsi"/>
          <w:b/>
        </w:rPr>
      </w:pPr>
      <w:r w:rsidRPr="005C6DD6">
        <w:rPr>
          <w:rFonts w:asciiTheme="minorHAnsi" w:hAnsiTheme="minorHAnsi"/>
          <w:b/>
        </w:rPr>
        <w:lastRenderedPageBreak/>
        <w:t>Table A2. Change in Burden to Respondents</w:t>
      </w:r>
    </w:p>
    <w:tbl>
      <w:tblPr>
        <w:tblW w:w="11425" w:type="dxa"/>
        <w:tblInd w:w="-1080" w:type="dxa"/>
        <w:tblLayout w:type="fixed"/>
        <w:tblLook w:val="04A0" w:firstRow="1" w:lastRow="0" w:firstColumn="1" w:lastColumn="0" w:noHBand="0" w:noVBand="1"/>
      </w:tblPr>
      <w:tblGrid>
        <w:gridCol w:w="2875"/>
        <w:gridCol w:w="900"/>
        <w:gridCol w:w="900"/>
        <w:gridCol w:w="1080"/>
        <w:gridCol w:w="1080"/>
        <w:gridCol w:w="900"/>
        <w:gridCol w:w="900"/>
        <w:gridCol w:w="810"/>
        <w:gridCol w:w="990"/>
        <w:gridCol w:w="990"/>
      </w:tblGrid>
      <w:tr w:rsidR="004E33CC" w:rsidRPr="005C6DD6" w14:paraId="3B0E974A" w14:textId="0B9F0A79" w:rsidTr="00940518">
        <w:trPr>
          <w:trHeight w:val="1020"/>
        </w:trPr>
        <w:tc>
          <w:tcPr>
            <w:tcW w:w="2875" w:type="dxa"/>
            <w:tcBorders>
              <w:top w:val="single" w:sz="4" w:space="0" w:color="auto"/>
              <w:left w:val="single" w:sz="4" w:space="0" w:color="auto"/>
              <w:bottom w:val="single" w:sz="4" w:space="0" w:color="auto"/>
              <w:right w:val="single" w:sz="4" w:space="0" w:color="auto"/>
            </w:tcBorders>
            <w:shd w:val="clear" w:color="auto" w:fill="auto"/>
            <w:hideMark/>
          </w:tcPr>
          <w:p w14:paraId="67EA13D9" w14:textId="77777777"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 xml:space="preserve">EIA Form Number/Title          </w:t>
            </w:r>
          </w:p>
        </w:tc>
        <w:tc>
          <w:tcPr>
            <w:tcW w:w="900" w:type="dxa"/>
            <w:tcBorders>
              <w:top w:val="single" w:sz="4" w:space="0" w:color="auto"/>
              <w:left w:val="nil"/>
              <w:bottom w:val="single" w:sz="4" w:space="0" w:color="auto"/>
              <w:right w:val="single" w:sz="4" w:space="0" w:color="auto"/>
            </w:tcBorders>
            <w:shd w:val="clear" w:color="000000" w:fill="D9D9D9"/>
            <w:hideMark/>
          </w:tcPr>
          <w:p w14:paraId="1A08509D" w14:textId="77777777"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Number of Respondents 2013</w:t>
            </w:r>
          </w:p>
        </w:tc>
        <w:tc>
          <w:tcPr>
            <w:tcW w:w="900" w:type="dxa"/>
            <w:tcBorders>
              <w:top w:val="single" w:sz="4" w:space="0" w:color="auto"/>
              <w:left w:val="nil"/>
              <w:bottom w:val="single" w:sz="4" w:space="0" w:color="auto"/>
              <w:right w:val="single" w:sz="4" w:space="0" w:color="auto"/>
            </w:tcBorders>
            <w:shd w:val="clear" w:color="FFFFFF" w:fill="auto"/>
            <w:hideMark/>
          </w:tcPr>
          <w:p w14:paraId="4C095646" w14:textId="77777777"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Number of Respondents 2016</w:t>
            </w:r>
          </w:p>
        </w:tc>
        <w:tc>
          <w:tcPr>
            <w:tcW w:w="1080" w:type="dxa"/>
            <w:tcBorders>
              <w:top w:val="single" w:sz="4" w:space="0" w:color="auto"/>
              <w:left w:val="nil"/>
              <w:bottom w:val="single" w:sz="4" w:space="0" w:color="auto"/>
              <w:right w:val="single" w:sz="4" w:space="0" w:color="auto"/>
            </w:tcBorders>
            <w:shd w:val="clear" w:color="FFFFFF" w:fill="D9D9D9"/>
            <w:hideMark/>
          </w:tcPr>
          <w:p w14:paraId="1D3FA0F6" w14:textId="77777777"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Burden Hours per Response 2013</w:t>
            </w:r>
          </w:p>
        </w:tc>
        <w:tc>
          <w:tcPr>
            <w:tcW w:w="1080" w:type="dxa"/>
            <w:tcBorders>
              <w:top w:val="single" w:sz="4" w:space="0" w:color="auto"/>
              <w:left w:val="nil"/>
              <w:bottom w:val="single" w:sz="4" w:space="0" w:color="auto"/>
              <w:right w:val="single" w:sz="4" w:space="0" w:color="auto"/>
            </w:tcBorders>
            <w:shd w:val="clear" w:color="FFFFFF" w:fill="FFFFFF"/>
            <w:hideMark/>
          </w:tcPr>
          <w:p w14:paraId="2D0EB591" w14:textId="77777777"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Burden Hours per Response 2016</w:t>
            </w:r>
          </w:p>
        </w:tc>
        <w:tc>
          <w:tcPr>
            <w:tcW w:w="900" w:type="dxa"/>
            <w:tcBorders>
              <w:top w:val="single" w:sz="4" w:space="0" w:color="auto"/>
              <w:left w:val="nil"/>
              <w:bottom w:val="single" w:sz="4" w:space="0" w:color="auto"/>
              <w:right w:val="single" w:sz="4" w:space="0" w:color="auto"/>
            </w:tcBorders>
            <w:shd w:val="clear" w:color="FFFFFF" w:fill="D9D9D9"/>
            <w:hideMark/>
          </w:tcPr>
          <w:p w14:paraId="285837FF" w14:textId="77777777"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Annual Burden Hours 2013</w:t>
            </w:r>
          </w:p>
        </w:tc>
        <w:tc>
          <w:tcPr>
            <w:tcW w:w="900" w:type="dxa"/>
            <w:tcBorders>
              <w:top w:val="single" w:sz="4" w:space="0" w:color="auto"/>
              <w:left w:val="nil"/>
              <w:bottom w:val="single" w:sz="4" w:space="0" w:color="auto"/>
              <w:right w:val="single" w:sz="4" w:space="0" w:color="auto"/>
            </w:tcBorders>
            <w:shd w:val="clear" w:color="auto" w:fill="auto"/>
            <w:hideMark/>
          </w:tcPr>
          <w:p w14:paraId="5B68ED94" w14:textId="77777777"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Annual Burden Hours 2016</w:t>
            </w:r>
          </w:p>
        </w:tc>
        <w:tc>
          <w:tcPr>
            <w:tcW w:w="810" w:type="dxa"/>
            <w:tcBorders>
              <w:top w:val="single" w:sz="4" w:space="0" w:color="auto"/>
              <w:left w:val="nil"/>
              <w:bottom w:val="single" w:sz="4" w:space="0" w:color="auto"/>
              <w:right w:val="single" w:sz="4" w:space="0" w:color="auto"/>
            </w:tcBorders>
            <w:shd w:val="clear" w:color="auto" w:fill="auto"/>
            <w:hideMark/>
          </w:tcPr>
          <w:p w14:paraId="636F2C97" w14:textId="6582DC95"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sidRPr="005C6DD6">
              <w:rPr>
                <w:rFonts w:asciiTheme="minorHAnsi" w:hAnsiTheme="minorHAnsi"/>
                <w:b/>
                <w:bCs/>
                <w:snapToGrid/>
                <w:color w:val="000000"/>
                <w:sz w:val="20"/>
              </w:rPr>
              <w:t>Adjustment</w:t>
            </w:r>
          </w:p>
        </w:tc>
        <w:tc>
          <w:tcPr>
            <w:tcW w:w="990" w:type="dxa"/>
            <w:tcBorders>
              <w:top w:val="single" w:sz="4" w:space="0" w:color="auto"/>
              <w:left w:val="nil"/>
              <w:bottom w:val="single" w:sz="4" w:space="0" w:color="auto"/>
              <w:right w:val="single" w:sz="4" w:space="0" w:color="auto"/>
            </w:tcBorders>
          </w:tcPr>
          <w:p w14:paraId="6F6173D5" w14:textId="02C70DB4" w:rsidR="004E33CC" w:rsidRPr="005C6DD6" w:rsidRDefault="004E33CC" w:rsidP="00E344B7">
            <w:pPr>
              <w:widowControl/>
              <w:spacing w:before="0" w:beforeAutospacing="0" w:after="0" w:afterAutospacing="0"/>
              <w:jc w:val="center"/>
              <w:rPr>
                <w:rFonts w:asciiTheme="minorHAnsi" w:hAnsiTheme="minorHAnsi"/>
                <w:b/>
                <w:bCs/>
                <w:snapToGrid/>
                <w:color w:val="000000"/>
                <w:sz w:val="20"/>
              </w:rPr>
            </w:pPr>
            <w:r>
              <w:rPr>
                <w:rFonts w:asciiTheme="minorHAnsi" w:hAnsiTheme="minorHAnsi"/>
                <w:b/>
                <w:bCs/>
                <w:snapToGrid/>
                <w:color w:val="000000"/>
                <w:sz w:val="20"/>
              </w:rPr>
              <w:t>Change D</w:t>
            </w:r>
            <w:r w:rsidR="00B13897">
              <w:rPr>
                <w:rFonts w:asciiTheme="minorHAnsi" w:hAnsiTheme="minorHAnsi"/>
                <w:b/>
                <w:bCs/>
                <w:snapToGrid/>
                <w:color w:val="000000"/>
                <w:sz w:val="20"/>
              </w:rPr>
              <w:t xml:space="preserve">ue to </w:t>
            </w:r>
            <w:r w:rsidR="00E344B7">
              <w:rPr>
                <w:rFonts w:asciiTheme="minorHAnsi" w:hAnsiTheme="minorHAnsi"/>
                <w:b/>
                <w:bCs/>
                <w:snapToGrid/>
                <w:color w:val="000000"/>
                <w:sz w:val="20"/>
              </w:rPr>
              <w:t>Agency Discretion</w:t>
            </w:r>
          </w:p>
        </w:tc>
        <w:tc>
          <w:tcPr>
            <w:tcW w:w="990" w:type="dxa"/>
            <w:tcBorders>
              <w:top w:val="single" w:sz="4" w:space="0" w:color="auto"/>
              <w:left w:val="nil"/>
              <w:bottom w:val="single" w:sz="4" w:space="0" w:color="auto"/>
              <w:right w:val="single" w:sz="4" w:space="0" w:color="auto"/>
            </w:tcBorders>
          </w:tcPr>
          <w:p w14:paraId="08A5B535" w14:textId="21146BF8" w:rsidR="004E33CC" w:rsidRPr="005C6DD6" w:rsidRDefault="004E33CC" w:rsidP="004E33CC">
            <w:pPr>
              <w:widowControl/>
              <w:spacing w:before="0" w:beforeAutospacing="0" w:after="0" w:afterAutospacing="0"/>
              <w:jc w:val="center"/>
              <w:rPr>
                <w:rFonts w:asciiTheme="minorHAnsi" w:hAnsiTheme="minorHAnsi"/>
                <w:b/>
                <w:bCs/>
                <w:snapToGrid/>
                <w:color w:val="000000"/>
                <w:sz w:val="20"/>
              </w:rPr>
            </w:pPr>
            <w:r>
              <w:rPr>
                <w:rFonts w:asciiTheme="minorHAnsi" w:hAnsiTheme="minorHAnsi"/>
                <w:b/>
                <w:bCs/>
                <w:snapToGrid/>
                <w:color w:val="000000"/>
                <w:sz w:val="20"/>
              </w:rPr>
              <w:t>Change Due to Adjustment in Agency Estimate</w:t>
            </w:r>
          </w:p>
        </w:tc>
      </w:tr>
      <w:tr w:rsidR="004E33CC" w:rsidRPr="005C6DD6" w14:paraId="4A4A6C65" w14:textId="58256B6C" w:rsidTr="00940518">
        <w:trPr>
          <w:trHeight w:val="255"/>
        </w:trPr>
        <w:tc>
          <w:tcPr>
            <w:tcW w:w="2875" w:type="dxa"/>
            <w:tcBorders>
              <w:top w:val="nil"/>
              <w:left w:val="single" w:sz="4" w:space="0" w:color="auto"/>
              <w:bottom w:val="single" w:sz="4" w:space="0" w:color="auto"/>
              <w:right w:val="single" w:sz="4" w:space="0" w:color="auto"/>
            </w:tcBorders>
            <w:shd w:val="clear" w:color="000000" w:fill="D9D9D9"/>
            <w:noWrap/>
            <w:vAlign w:val="bottom"/>
            <w:hideMark/>
          </w:tcPr>
          <w:p w14:paraId="39CEC414" w14:textId="77777777" w:rsidR="004E33CC" w:rsidRPr="005C6DD6" w:rsidRDefault="004E33CC" w:rsidP="004E33CC">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Weekly Surveys</w:t>
            </w:r>
          </w:p>
        </w:tc>
        <w:tc>
          <w:tcPr>
            <w:tcW w:w="900" w:type="dxa"/>
            <w:tcBorders>
              <w:top w:val="nil"/>
              <w:left w:val="nil"/>
              <w:bottom w:val="single" w:sz="4" w:space="0" w:color="auto"/>
              <w:right w:val="single" w:sz="4" w:space="0" w:color="auto"/>
            </w:tcBorders>
            <w:shd w:val="clear" w:color="FFFFFF" w:fill="D9D9D9"/>
            <w:noWrap/>
            <w:vAlign w:val="bottom"/>
            <w:hideMark/>
          </w:tcPr>
          <w:p w14:paraId="4C451712"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900" w:type="dxa"/>
            <w:tcBorders>
              <w:top w:val="nil"/>
              <w:left w:val="nil"/>
              <w:bottom w:val="single" w:sz="4" w:space="0" w:color="auto"/>
              <w:right w:val="single" w:sz="4" w:space="0" w:color="auto"/>
            </w:tcBorders>
            <w:shd w:val="clear" w:color="FFFFFF" w:fill="D9D9D9"/>
            <w:noWrap/>
            <w:vAlign w:val="bottom"/>
            <w:hideMark/>
          </w:tcPr>
          <w:p w14:paraId="1192E549"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1080" w:type="dxa"/>
            <w:tcBorders>
              <w:top w:val="nil"/>
              <w:left w:val="nil"/>
              <w:bottom w:val="single" w:sz="4" w:space="0" w:color="auto"/>
              <w:right w:val="single" w:sz="4" w:space="0" w:color="auto"/>
            </w:tcBorders>
            <w:shd w:val="clear" w:color="FFFFFF" w:fill="D9D9D9"/>
            <w:noWrap/>
            <w:vAlign w:val="bottom"/>
            <w:hideMark/>
          </w:tcPr>
          <w:p w14:paraId="4B72C988"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1080" w:type="dxa"/>
            <w:tcBorders>
              <w:top w:val="nil"/>
              <w:left w:val="nil"/>
              <w:bottom w:val="single" w:sz="4" w:space="0" w:color="auto"/>
              <w:right w:val="single" w:sz="4" w:space="0" w:color="auto"/>
            </w:tcBorders>
            <w:shd w:val="clear" w:color="FFFFFF" w:fill="FFFFFF"/>
            <w:noWrap/>
            <w:vAlign w:val="bottom"/>
            <w:hideMark/>
          </w:tcPr>
          <w:p w14:paraId="0DAA4019"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900" w:type="dxa"/>
            <w:tcBorders>
              <w:top w:val="nil"/>
              <w:left w:val="nil"/>
              <w:bottom w:val="single" w:sz="4" w:space="0" w:color="auto"/>
              <w:right w:val="single" w:sz="4" w:space="0" w:color="auto"/>
            </w:tcBorders>
            <w:shd w:val="clear" w:color="FFFFFF" w:fill="D9D9D9"/>
            <w:noWrap/>
            <w:vAlign w:val="bottom"/>
            <w:hideMark/>
          </w:tcPr>
          <w:p w14:paraId="5769C2D1"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0F63AD90"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810" w:type="dxa"/>
            <w:tcBorders>
              <w:top w:val="nil"/>
              <w:left w:val="nil"/>
              <w:bottom w:val="single" w:sz="4" w:space="0" w:color="auto"/>
              <w:right w:val="single" w:sz="4" w:space="0" w:color="auto"/>
            </w:tcBorders>
            <w:shd w:val="clear" w:color="000000" w:fill="D9D9D9"/>
            <w:noWrap/>
            <w:vAlign w:val="bottom"/>
            <w:hideMark/>
          </w:tcPr>
          <w:p w14:paraId="7E06146C"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 </w:t>
            </w:r>
          </w:p>
        </w:tc>
        <w:tc>
          <w:tcPr>
            <w:tcW w:w="990" w:type="dxa"/>
            <w:tcBorders>
              <w:top w:val="nil"/>
              <w:left w:val="nil"/>
              <w:bottom w:val="single" w:sz="4" w:space="0" w:color="auto"/>
              <w:right w:val="single" w:sz="4" w:space="0" w:color="auto"/>
            </w:tcBorders>
            <w:shd w:val="clear" w:color="000000" w:fill="D9D9D9"/>
          </w:tcPr>
          <w:p w14:paraId="2E96FEC7"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p>
        </w:tc>
        <w:tc>
          <w:tcPr>
            <w:tcW w:w="990" w:type="dxa"/>
            <w:tcBorders>
              <w:top w:val="nil"/>
              <w:left w:val="nil"/>
              <w:bottom w:val="single" w:sz="4" w:space="0" w:color="auto"/>
              <w:right w:val="single" w:sz="4" w:space="0" w:color="auto"/>
            </w:tcBorders>
            <w:shd w:val="clear" w:color="000000" w:fill="D9D9D9"/>
          </w:tcPr>
          <w:p w14:paraId="71B8EB63"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p>
        </w:tc>
      </w:tr>
      <w:tr w:rsidR="004E33CC" w:rsidRPr="005C6DD6" w14:paraId="5F79E6C9" w14:textId="5E2B1FA9"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242D2D98"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EIA-800, Weekly Refinery and Fractionator Report</w:t>
            </w:r>
          </w:p>
        </w:tc>
        <w:tc>
          <w:tcPr>
            <w:tcW w:w="900" w:type="dxa"/>
            <w:tcBorders>
              <w:top w:val="single" w:sz="4" w:space="0" w:color="auto"/>
              <w:left w:val="single" w:sz="4" w:space="0" w:color="auto"/>
              <w:bottom w:val="single" w:sz="4" w:space="0" w:color="auto"/>
              <w:right w:val="single" w:sz="4" w:space="0" w:color="auto"/>
            </w:tcBorders>
            <w:shd w:val="clear" w:color="FFFFFF" w:fill="D9D9D9"/>
            <w:noWrap/>
            <w:vAlign w:val="bottom"/>
            <w:hideMark/>
          </w:tcPr>
          <w:p w14:paraId="743ADDF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161F39F"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128</w:t>
            </w:r>
          </w:p>
        </w:tc>
        <w:tc>
          <w:tcPr>
            <w:tcW w:w="1080" w:type="dxa"/>
            <w:tcBorders>
              <w:top w:val="single" w:sz="4" w:space="0" w:color="auto"/>
              <w:left w:val="nil"/>
              <w:bottom w:val="single" w:sz="4" w:space="0" w:color="auto"/>
              <w:right w:val="single" w:sz="4" w:space="0" w:color="auto"/>
            </w:tcBorders>
            <w:shd w:val="clear" w:color="FFFFFF" w:fill="D9D9D9"/>
            <w:noWrap/>
            <w:vAlign w:val="bottom"/>
            <w:hideMark/>
          </w:tcPr>
          <w:p w14:paraId="75CBD8B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1.58</w:t>
            </w:r>
          </w:p>
        </w:tc>
        <w:tc>
          <w:tcPr>
            <w:tcW w:w="1080" w:type="dxa"/>
            <w:tcBorders>
              <w:top w:val="single" w:sz="4" w:space="0" w:color="auto"/>
              <w:left w:val="nil"/>
              <w:bottom w:val="single" w:sz="4" w:space="0" w:color="auto"/>
              <w:right w:val="single" w:sz="4" w:space="0" w:color="auto"/>
            </w:tcBorders>
            <w:shd w:val="clear" w:color="FFFFFF" w:fill="FFFFFF"/>
            <w:noWrap/>
            <w:vAlign w:val="bottom"/>
            <w:hideMark/>
          </w:tcPr>
          <w:p w14:paraId="284639B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1.58</w:t>
            </w:r>
          </w:p>
        </w:tc>
        <w:tc>
          <w:tcPr>
            <w:tcW w:w="900" w:type="dxa"/>
            <w:tcBorders>
              <w:top w:val="single" w:sz="4" w:space="0" w:color="auto"/>
              <w:left w:val="nil"/>
              <w:bottom w:val="single" w:sz="4" w:space="0" w:color="auto"/>
              <w:right w:val="single" w:sz="4" w:space="0" w:color="auto"/>
            </w:tcBorders>
            <w:shd w:val="clear" w:color="000000" w:fill="D9D9D9"/>
            <w:noWrap/>
            <w:vAlign w:val="bottom"/>
            <w:hideMark/>
          </w:tcPr>
          <w:p w14:paraId="29216C9D"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11,585</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25086ED"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10,516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654D4F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-1,068</w:t>
            </w:r>
          </w:p>
        </w:tc>
        <w:tc>
          <w:tcPr>
            <w:tcW w:w="990" w:type="dxa"/>
            <w:tcBorders>
              <w:top w:val="single" w:sz="4" w:space="0" w:color="auto"/>
              <w:left w:val="nil"/>
              <w:bottom w:val="single" w:sz="4" w:space="0" w:color="auto"/>
              <w:right w:val="single" w:sz="4" w:space="0" w:color="auto"/>
            </w:tcBorders>
            <w:vAlign w:val="bottom"/>
          </w:tcPr>
          <w:p w14:paraId="376A8969" w14:textId="7373B0F9" w:rsidR="004E33CC" w:rsidRDefault="00F84850"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single" w:sz="4" w:space="0" w:color="auto"/>
              <w:left w:val="nil"/>
              <w:bottom w:val="single" w:sz="4" w:space="0" w:color="auto"/>
              <w:right w:val="single" w:sz="4" w:space="0" w:color="auto"/>
            </w:tcBorders>
            <w:vAlign w:val="bottom"/>
          </w:tcPr>
          <w:p w14:paraId="0D265405" w14:textId="385943A8" w:rsidR="004E33CC" w:rsidRDefault="00F84850" w:rsidP="0083444F">
            <w:pPr>
              <w:widowControl/>
              <w:spacing w:before="0" w:beforeAutospacing="0" w:after="0" w:afterAutospacing="0"/>
              <w:jc w:val="right"/>
              <w:rPr>
                <w:rFonts w:ascii="Calibri" w:hAnsi="Calibri"/>
                <w:color w:val="000000"/>
                <w:sz w:val="20"/>
              </w:rPr>
            </w:pPr>
            <w:r>
              <w:rPr>
                <w:rFonts w:ascii="Calibri" w:hAnsi="Calibri"/>
                <w:color w:val="000000"/>
                <w:sz w:val="20"/>
              </w:rPr>
              <w:t>-1068</w:t>
            </w:r>
          </w:p>
        </w:tc>
      </w:tr>
      <w:tr w:rsidR="004E33CC" w:rsidRPr="005C6DD6" w14:paraId="0F210D9C" w14:textId="1271F340"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62979791"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EIA-802, Weekly Product Pipeline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6C9E7AC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51</w:t>
            </w:r>
          </w:p>
        </w:tc>
        <w:tc>
          <w:tcPr>
            <w:tcW w:w="900" w:type="dxa"/>
            <w:tcBorders>
              <w:top w:val="nil"/>
              <w:left w:val="nil"/>
              <w:bottom w:val="single" w:sz="4" w:space="0" w:color="auto"/>
              <w:right w:val="single" w:sz="4" w:space="0" w:color="auto"/>
            </w:tcBorders>
            <w:shd w:val="clear" w:color="auto" w:fill="auto"/>
            <w:noWrap/>
            <w:vAlign w:val="bottom"/>
            <w:hideMark/>
          </w:tcPr>
          <w:p w14:paraId="16D8193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47</w:t>
            </w:r>
          </w:p>
        </w:tc>
        <w:tc>
          <w:tcPr>
            <w:tcW w:w="1080" w:type="dxa"/>
            <w:tcBorders>
              <w:top w:val="nil"/>
              <w:left w:val="nil"/>
              <w:bottom w:val="single" w:sz="4" w:space="0" w:color="auto"/>
              <w:right w:val="single" w:sz="4" w:space="0" w:color="auto"/>
            </w:tcBorders>
            <w:shd w:val="clear" w:color="FFFFFF" w:fill="D9D9D9"/>
            <w:noWrap/>
            <w:vAlign w:val="bottom"/>
            <w:hideMark/>
          </w:tcPr>
          <w:p w14:paraId="7B4C9B1C"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0.95</w:t>
            </w:r>
          </w:p>
        </w:tc>
        <w:tc>
          <w:tcPr>
            <w:tcW w:w="1080" w:type="dxa"/>
            <w:tcBorders>
              <w:top w:val="nil"/>
              <w:left w:val="nil"/>
              <w:bottom w:val="single" w:sz="4" w:space="0" w:color="auto"/>
              <w:right w:val="single" w:sz="4" w:space="0" w:color="auto"/>
            </w:tcBorders>
            <w:shd w:val="clear" w:color="FFFFFF" w:fill="FFFFFF"/>
            <w:noWrap/>
            <w:vAlign w:val="bottom"/>
            <w:hideMark/>
          </w:tcPr>
          <w:p w14:paraId="44E7879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0.95</w:t>
            </w:r>
          </w:p>
        </w:tc>
        <w:tc>
          <w:tcPr>
            <w:tcW w:w="900" w:type="dxa"/>
            <w:tcBorders>
              <w:top w:val="nil"/>
              <w:left w:val="nil"/>
              <w:bottom w:val="single" w:sz="4" w:space="0" w:color="auto"/>
              <w:right w:val="single" w:sz="4" w:space="0" w:color="auto"/>
            </w:tcBorders>
            <w:shd w:val="clear" w:color="000000" w:fill="D9D9D9"/>
            <w:noWrap/>
            <w:vAlign w:val="bottom"/>
            <w:hideMark/>
          </w:tcPr>
          <w:p w14:paraId="0149A6F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2,519</w:t>
            </w:r>
          </w:p>
        </w:tc>
        <w:tc>
          <w:tcPr>
            <w:tcW w:w="900" w:type="dxa"/>
            <w:tcBorders>
              <w:top w:val="nil"/>
              <w:left w:val="nil"/>
              <w:bottom w:val="single" w:sz="4" w:space="0" w:color="auto"/>
              <w:right w:val="single" w:sz="4" w:space="0" w:color="auto"/>
            </w:tcBorders>
            <w:shd w:val="clear" w:color="auto" w:fill="auto"/>
            <w:noWrap/>
            <w:vAlign w:val="bottom"/>
            <w:hideMark/>
          </w:tcPr>
          <w:p w14:paraId="019715E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2,322</w:t>
            </w:r>
          </w:p>
        </w:tc>
        <w:tc>
          <w:tcPr>
            <w:tcW w:w="810" w:type="dxa"/>
            <w:tcBorders>
              <w:top w:val="nil"/>
              <w:left w:val="nil"/>
              <w:bottom w:val="single" w:sz="4" w:space="0" w:color="auto"/>
              <w:right w:val="single" w:sz="4" w:space="0" w:color="auto"/>
            </w:tcBorders>
            <w:shd w:val="clear" w:color="auto" w:fill="auto"/>
            <w:noWrap/>
            <w:vAlign w:val="bottom"/>
            <w:hideMark/>
          </w:tcPr>
          <w:p w14:paraId="1C309717"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-198</w:t>
            </w:r>
          </w:p>
        </w:tc>
        <w:tc>
          <w:tcPr>
            <w:tcW w:w="990" w:type="dxa"/>
            <w:tcBorders>
              <w:top w:val="nil"/>
              <w:left w:val="nil"/>
              <w:bottom w:val="single" w:sz="4" w:space="0" w:color="auto"/>
              <w:right w:val="single" w:sz="4" w:space="0" w:color="auto"/>
            </w:tcBorders>
            <w:vAlign w:val="bottom"/>
          </w:tcPr>
          <w:p w14:paraId="388D90E7" w14:textId="3EBF8210" w:rsidR="004E33CC" w:rsidRDefault="00F84850"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29FCBFAB" w14:textId="53855FF8" w:rsidR="004E33CC" w:rsidRDefault="00F84850" w:rsidP="0083444F">
            <w:pPr>
              <w:widowControl/>
              <w:spacing w:before="0" w:beforeAutospacing="0" w:after="0" w:afterAutospacing="0"/>
              <w:jc w:val="right"/>
              <w:rPr>
                <w:rFonts w:ascii="Calibri" w:hAnsi="Calibri"/>
                <w:color w:val="000000"/>
                <w:sz w:val="20"/>
              </w:rPr>
            </w:pPr>
            <w:r>
              <w:rPr>
                <w:rFonts w:ascii="Calibri" w:hAnsi="Calibri"/>
                <w:color w:val="000000"/>
                <w:sz w:val="20"/>
              </w:rPr>
              <w:t>-198</w:t>
            </w:r>
          </w:p>
        </w:tc>
      </w:tr>
      <w:tr w:rsidR="004E33CC" w:rsidRPr="005C6DD6" w14:paraId="588C6AA0" w14:textId="6051BD1D"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0213C000"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EIA-803, Weekly Crude Oil Stocks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4AB9832C"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57</w:t>
            </w:r>
          </w:p>
        </w:tc>
        <w:tc>
          <w:tcPr>
            <w:tcW w:w="900" w:type="dxa"/>
            <w:tcBorders>
              <w:top w:val="nil"/>
              <w:left w:val="nil"/>
              <w:bottom w:val="single" w:sz="4" w:space="0" w:color="auto"/>
              <w:right w:val="single" w:sz="4" w:space="0" w:color="auto"/>
            </w:tcBorders>
            <w:shd w:val="clear" w:color="auto" w:fill="auto"/>
            <w:noWrap/>
            <w:vAlign w:val="bottom"/>
            <w:hideMark/>
          </w:tcPr>
          <w:p w14:paraId="49EA15E7"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69</w:t>
            </w:r>
          </w:p>
        </w:tc>
        <w:tc>
          <w:tcPr>
            <w:tcW w:w="1080" w:type="dxa"/>
            <w:tcBorders>
              <w:top w:val="nil"/>
              <w:left w:val="nil"/>
              <w:bottom w:val="single" w:sz="4" w:space="0" w:color="auto"/>
              <w:right w:val="single" w:sz="4" w:space="0" w:color="auto"/>
            </w:tcBorders>
            <w:shd w:val="clear" w:color="FFFFFF" w:fill="D9D9D9"/>
            <w:noWrap/>
            <w:vAlign w:val="bottom"/>
            <w:hideMark/>
          </w:tcPr>
          <w:p w14:paraId="345708B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0.50</w:t>
            </w:r>
          </w:p>
        </w:tc>
        <w:tc>
          <w:tcPr>
            <w:tcW w:w="1080" w:type="dxa"/>
            <w:tcBorders>
              <w:top w:val="nil"/>
              <w:left w:val="nil"/>
              <w:bottom w:val="single" w:sz="4" w:space="0" w:color="auto"/>
              <w:right w:val="single" w:sz="4" w:space="0" w:color="auto"/>
            </w:tcBorders>
            <w:shd w:val="clear" w:color="FFFFFF" w:fill="FFFFFF"/>
            <w:noWrap/>
            <w:vAlign w:val="bottom"/>
            <w:hideMark/>
          </w:tcPr>
          <w:p w14:paraId="09F677D4"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0.50</w:t>
            </w:r>
          </w:p>
        </w:tc>
        <w:tc>
          <w:tcPr>
            <w:tcW w:w="900" w:type="dxa"/>
            <w:tcBorders>
              <w:top w:val="nil"/>
              <w:left w:val="nil"/>
              <w:bottom w:val="single" w:sz="4" w:space="0" w:color="auto"/>
              <w:right w:val="single" w:sz="4" w:space="0" w:color="auto"/>
            </w:tcBorders>
            <w:shd w:val="clear" w:color="000000" w:fill="D9D9D9"/>
            <w:noWrap/>
            <w:vAlign w:val="bottom"/>
            <w:hideMark/>
          </w:tcPr>
          <w:p w14:paraId="4F5FB297"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1,482</w:t>
            </w:r>
          </w:p>
        </w:tc>
        <w:tc>
          <w:tcPr>
            <w:tcW w:w="900" w:type="dxa"/>
            <w:tcBorders>
              <w:top w:val="nil"/>
              <w:left w:val="nil"/>
              <w:bottom w:val="single" w:sz="4" w:space="0" w:color="auto"/>
              <w:right w:val="single" w:sz="4" w:space="0" w:color="auto"/>
            </w:tcBorders>
            <w:shd w:val="clear" w:color="auto" w:fill="auto"/>
            <w:noWrap/>
            <w:vAlign w:val="bottom"/>
            <w:hideMark/>
          </w:tcPr>
          <w:p w14:paraId="25533C0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1,794</w:t>
            </w:r>
          </w:p>
        </w:tc>
        <w:tc>
          <w:tcPr>
            <w:tcW w:w="810" w:type="dxa"/>
            <w:tcBorders>
              <w:top w:val="nil"/>
              <w:left w:val="nil"/>
              <w:bottom w:val="single" w:sz="4" w:space="0" w:color="auto"/>
              <w:right w:val="single" w:sz="4" w:space="0" w:color="auto"/>
            </w:tcBorders>
            <w:shd w:val="clear" w:color="auto" w:fill="auto"/>
            <w:noWrap/>
            <w:vAlign w:val="bottom"/>
            <w:hideMark/>
          </w:tcPr>
          <w:p w14:paraId="05318A1F"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312</w:t>
            </w:r>
          </w:p>
        </w:tc>
        <w:tc>
          <w:tcPr>
            <w:tcW w:w="990" w:type="dxa"/>
            <w:tcBorders>
              <w:top w:val="nil"/>
              <w:left w:val="nil"/>
              <w:bottom w:val="single" w:sz="4" w:space="0" w:color="auto"/>
              <w:right w:val="single" w:sz="4" w:space="0" w:color="auto"/>
            </w:tcBorders>
            <w:vAlign w:val="bottom"/>
          </w:tcPr>
          <w:p w14:paraId="3AD0F201" w14:textId="0D85C7B2" w:rsidR="004E33CC" w:rsidRDefault="009A6598"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7CE0DC7D" w14:textId="604AAB70" w:rsidR="004E33CC" w:rsidRDefault="009A6598" w:rsidP="0083444F">
            <w:pPr>
              <w:widowControl/>
              <w:spacing w:before="0" w:beforeAutospacing="0" w:after="0" w:afterAutospacing="0"/>
              <w:jc w:val="right"/>
              <w:rPr>
                <w:rFonts w:ascii="Calibri" w:hAnsi="Calibri"/>
                <w:color w:val="000000"/>
                <w:sz w:val="20"/>
              </w:rPr>
            </w:pPr>
            <w:r>
              <w:rPr>
                <w:rFonts w:ascii="Calibri" w:hAnsi="Calibri"/>
                <w:color w:val="000000"/>
                <w:sz w:val="20"/>
              </w:rPr>
              <w:t>312</w:t>
            </w:r>
          </w:p>
        </w:tc>
      </w:tr>
      <w:tr w:rsidR="004E33CC" w:rsidRPr="005C6DD6" w14:paraId="1EDFA09F" w14:textId="5977963A" w:rsidTr="00940518">
        <w:trPr>
          <w:trHeight w:val="368"/>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1DE37224"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EIA-804, Weekly Imports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399E85C7"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104</w:t>
            </w:r>
          </w:p>
        </w:tc>
        <w:tc>
          <w:tcPr>
            <w:tcW w:w="900" w:type="dxa"/>
            <w:tcBorders>
              <w:top w:val="nil"/>
              <w:left w:val="nil"/>
              <w:bottom w:val="single" w:sz="4" w:space="0" w:color="auto"/>
              <w:right w:val="single" w:sz="4" w:space="0" w:color="auto"/>
            </w:tcBorders>
            <w:shd w:val="clear" w:color="auto" w:fill="auto"/>
            <w:noWrap/>
            <w:vAlign w:val="bottom"/>
            <w:hideMark/>
          </w:tcPr>
          <w:p w14:paraId="117EEDB3"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103</w:t>
            </w:r>
          </w:p>
        </w:tc>
        <w:tc>
          <w:tcPr>
            <w:tcW w:w="1080" w:type="dxa"/>
            <w:tcBorders>
              <w:top w:val="nil"/>
              <w:left w:val="nil"/>
              <w:bottom w:val="single" w:sz="4" w:space="0" w:color="auto"/>
              <w:right w:val="single" w:sz="4" w:space="0" w:color="auto"/>
            </w:tcBorders>
            <w:shd w:val="clear" w:color="FFFFFF" w:fill="D9D9D9"/>
            <w:noWrap/>
            <w:vAlign w:val="bottom"/>
            <w:hideMark/>
          </w:tcPr>
          <w:p w14:paraId="4D71ADA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1.75</w:t>
            </w:r>
          </w:p>
        </w:tc>
        <w:tc>
          <w:tcPr>
            <w:tcW w:w="1080" w:type="dxa"/>
            <w:tcBorders>
              <w:top w:val="nil"/>
              <w:left w:val="nil"/>
              <w:bottom w:val="single" w:sz="4" w:space="0" w:color="auto"/>
              <w:right w:val="single" w:sz="4" w:space="0" w:color="auto"/>
            </w:tcBorders>
            <w:shd w:val="clear" w:color="FFFFFF" w:fill="FFFFFF"/>
            <w:noWrap/>
            <w:vAlign w:val="bottom"/>
            <w:hideMark/>
          </w:tcPr>
          <w:p w14:paraId="1D20311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1.75</w:t>
            </w:r>
          </w:p>
        </w:tc>
        <w:tc>
          <w:tcPr>
            <w:tcW w:w="900" w:type="dxa"/>
            <w:tcBorders>
              <w:top w:val="nil"/>
              <w:left w:val="nil"/>
              <w:bottom w:val="single" w:sz="4" w:space="0" w:color="auto"/>
              <w:right w:val="single" w:sz="4" w:space="0" w:color="auto"/>
            </w:tcBorders>
            <w:shd w:val="clear" w:color="000000" w:fill="D9D9D9"/>
            <w:noWrap/>
            <w:vAlign w:val="bottom"/>
            <w:hideMark/>
          </w:tcPr>
          <w:p w14:paraId="7708337E"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9,464</w:t>
            </w:r>
          </w:p>
        </w:tc>
        <w:tc>
          <w:tcPr>
            <w:tcW w:w="900" w:type="dxa"/>
            <w:tcBorders>
              <w:top w:val="nil"/>
              <w:left w:val="nil"/>
              <w:bottom w:val="single" w:sz="4" w:space="0" w:color="auto"/>
              <w:right w:val="single" w:sz="4" w:space="0" w:color="auto"/>
            </w:tcBorders>
            <w:shd w:val="clear" w:color="auto" w:fill="auto"/>
            <w:noWrap/>
            <w:vAlign w:val="bottom"/>
            <w:hideMark/>
          </w:tcPr>
          <w:p w14:paraId="10AC5772"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9,373</w:t>
            </w:r>
          </w:p>
        </w:tc>
        <w:tc>
          <w:tcPr>
            <w:tcW w:w="810" w:type="dxa"/>
            <w:tcBorders>
              <w:top w:val="nil"/>
              <w:left w:val="nil"/>
              <w:bottom w:val="single" w:sz="4" w:space="0" w:color="auto"/>
              <w:right w:val="single" w:sz="4" w:space="0" w:color="auto"/>
            </w:tcBorders>
            <w:shd w:val="clear" w:color="auto" w:fill="auto"/>
            <w:noWrap/>
            <w:vAlign w:val="bottom"/>
            <w:hideMark/>
          </w:tcPr>
          <w:p w14:paraId="3EA36ED4"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-91</w:t>
            </w:r>
          </w:p>
        </w:tc>
        <w:tc>
          <w:tcPr>
            <w:tcW w:w="990" w:type="dxa"/>
            <w:tcBorders>
              <w:top w:val="nil"/>
              <w:left w:val="nil"/>
              <w:bottom w:val="single" w:sz="4" w:space="0" w:color="auto"/>
              <w:right w:val="single" w:sz="4" w:space="0" w:color="auto"/>
            </w:tcBorders>
            <w:vAlign w:val="bottom"/>
          </w:tcPr>
          <w:p w14:paraId="5BCB21C9" w14:textId="4950E781" w:rsidR="004E33CC" w:rsidRDefault="00B13897"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1ADBF962" w14:textId="55CD8AC1" w:rsidR="004E33CC" w:rsidRDefault="00B13897" w:rsidP="0083444F">
            <w:pPr>
              <w:widowControl/>
              <w:spacing w:before="0" w:beforeAutospacing="0" w:after="0" w:afterAutospacing="0"/>
              <w:jc w:val="right"/>
              <w:rPr>
                <w:rFonts w:ascii="Calibri" w:hAnsi="Calibri"/>
                <w:color w:val="000000"/>
                <w:sz w:val="20"/>
              </w:rPr>
            </w:pPr>
            <w:r>
              <w:rPr>
                <w:rFonts w:ascii="Calibri" w:hAnsi="Calibri"/>
                <w:color w:val="000000"/>
                <w:sz w:val="20"/>
              </w:rPr>
              <w:t>-91</w:t>
            </w:r>
          </w:p>
        </w:tc>
      </w:tr>
      <w:tr w:rsidR="004E33CC" w:rsidRPr="005C6DD6" w14:paraId="4F6DC273" w14:textId="03FAE485"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0421B2EE"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EIA-805, Weekly Bulk Terminal and Blender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1BDA0CA9" w14:textId="77777777" w:rsidR="004E33CC" w:rsidRPr="005C6DD6" w:rsidRDefault="004E33CC" w:rsidP="004E33CC">
            <w:pPr>
              <w:widowControl/>
              <w:spacing w:before="0" w:beforeAutospacing="0" w:after="0" w:afterAutospacing="0"/>
              <w:jc w:val="right"/>
              <w:rPr>
                <w:rFonts w:asciiTheme="minorHAnsi" w:hAnsiTheme="minorHAnsi"/>
                <w:snapToGrid/>
                <w:sz w:val="20"/>
              </w:rPr>
            </w:pPr>
            <w:r>
              <w:rPr>
                <w:rFonts w:ascii="Calibri" w:hAnsi="Calibri"/>
                <w:sz w:val="20"/>
              </w:rPr>
              <w:t>750</w:t>
            </w:r>
          </w:p>
        </w:tc>
        <w:tc>
          <w:tcPr>
            <w:tcW w:w="900" w:type="dxa"/>
            <w:tcBorders>
              <w:top w:val="nil"/>
              <w:left w:val="nil"/>
              <w:bottom w:val="single" w:sz="4" w:space="0" w:color="auto"/>
              <w:right w:val="single" w:sz="4" w:space="0" w:color="auto"/>
            </w:tcBorders>
            <w:shd w:val="clear" w:color="auto" w:fill="auto"/>
            <w:noWrap/>
            <w:vAlign w:val="bottom"/>
            <w:hideMark/>
          </w:tcPr>
          <w:p w14:paraId="17246BB7" w14:textId="77777777" w:rsidR="004E33CC" w:rsidRPr="005C6DD6" w:rsidRDefault="004E33CC" w:rsidP="004E33CC">
            <w:pPr>
              <w:widowControl/>
              <w:spacing w:before="0" w:beforeAutospacing="0" w:after="0" w:afterAutospacing="0"/>
              <w:jc w:val="right"/>
              <w:rPr>
                <w:rFonts w:asciiTheme="minorHAnsi" w:hAnsiTheme="minorHAnsi"/>
                <w:snapToGrid/>
                <w:sz w:val="20"/>
              </w:rPr>
            </w:pPr>
            <w:r>
              <w:rPr>
                <w:rFonts w:ascii="Calibri" w:hAnsi="Calibri"/>
                <w:sz w:val="20"/>
              </w:rPr>
              <w:t>740</w:t>
            </w:r>
          </w:p>
        </w:tc>
        <w:tc>
          <w:tcPr>
            <w:tcW w:w="1080" w:type="dxa"/>
            <w:tcBorders>
              <w:top w:val="nil"/>
              <w:left w:val="nil"/>
              <w:bottom w:val="single" w:sz="4" w:space="0" w:color="auto"/>
              <w:right w:val="single" w:sz="4" w:space="0" w:color="auto"/>
            </w:tcBorders>
            <w:shd w:val="clear" w:color="FFFFFF" w:fill="D9D9D9"/>
            <w:noWrap/>
            <w:vAlign w:val="bottom"/>
            <w:hideMark/>
          </w:tcPr>
          <w:p w14:paraId="6B45076C" w14:textId="77777777" w:rsidR="004E33CC" w:rsidRPr="005C6DD6" w:rsidRDefault="004E33CC" w:rsidP="004E33CC">
            <w:pPr>
              <w:widowControl/>
              <w:spacing w:before="0" w:beforeAutospacing="0" w:after="0" w:afterAutospacing="0"/>
              <w:jc w:val="right"/>
              <w:rPr>
                <w:rFonts w:asciiTheme="minorHAnsi" w:hAnsiTheme="minorHAnsi"/>
                <w:snapToGrid/>
                <w:sz w:val="20"/>
              </w:rPr>
            </w:pPr>
            <w:r>
              <w:rPr>
                <w:rFonts w:ascii="Calibri" w:hAnsi="Calibri"/>
                <w:sz w:val="20"/>
              </w:rPr>
              <w:t>1.60</w:t>
            </w:r>
          </w:p>
        </w:tc>
        <w:tc>
          <w:tcPr>
            <w:tcW w:w="1080" w:type="dxa"/>
            <w:tcBorders>
              <w:top w:val="nil"/>
              <w:left w:val="nil"/>
              <w:bottom w:val="single" w:sz="4" w:space="0" w:color="auto"/>
              <w:right w:val="single" w:sz="4" w:space="0" w:color="auto"/>
            </w:tcBorders>
            <w:shd w:val="clear" w:color="FFFFFF" w:fill="FFFFFF"/>
            <w:noWrap/>
            <w:vAlign w:val="bottom"/>
            <w:hideMark/>
          </w:tcPr>
          <w:p w14:paraId="523AA010" w14:textId="77777777" w:rsidR="004E33CC" w:rsidRPr="005C6DD6" w:rsidRDefault="004E33CC" w:rsidP="004E33CC">
            <w:pPr>
              <w:widowControl/>
              <w:spacing w:before="0" w:beforeAutospacing="0" w:after="0" w:afterAutospacing="0"/>
              <w:jc w:val="right"/>
              <w:rPr>
                <w:rFonts w:asciiTheme="minorHAnsi" w:hAnsiTheme="minorHAnsi"/>
                <w:snapToGrid/>
                <w:sz w:val="20"/>
              </w:rPr>
            </w:pPr>
            <w:r>
              <w:rPr>
                <w:rFonts w:ascii="Calibri" w:hAnsi="Calibri"/>
                <w:sz w:val="20"/>
              </w:rPr>
              <w:t>1.60</w:t>
            </w:r>
          </w:p>
        </w:tc>
        <w:tc>
          <w:tcPr>
            <w:tcW w:w="900" w:type="dxa"/>
            <w:tcBorders>
              <w:top w:val="nil"/>
              <w:left w:val="nil"/>
              <w:bottom w:val="single" w:sz="4" w:space="0" w:color="auto"/>
              <w:right w:val="single" w:sz="4" w:space="0" w:color="auto"/>
            </w:tcBorders>
            <w:shd w:val="clear" w:color="000000" w:fill="D9D9D9"/>
            <w:noWrap/>
            <w:vAlign w:val="bottom"/>
            <w:hideMark/>
          </w:tcPr>
          <w:p w14:paraId="2E1B59F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62,400</w:t>
            </w:r>
          </w:p>
        </w:tc>
        <w:tc>
          <w:tcPr>
            <w:tcW w:w="900" w:type="dxa"/>
            <w:tcBorders>
              <w:top w:val="nil"/>
              <w:left w:val="nil"/>
              <w:bottom w:val="single" w:sz="4" w:space="0" w:color="auto"/>
              <w:right w:val="single" w:sz="4" w:space="0" w:color="auto"/>
            </w:tcBorders>
            <w:shd w:val="clear" w:color="auto" w:fill="auto"/>
            <w:noWrap/>
            <w:vAlign w:val="bottom"/>
            <w:hideMark/>
          </w:tcPr>
          <w:p w14:paraId="6A56E52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61,568</w:t>
            </w:r>
          </w:p>
        </w:tc>
        <w:tc>
          <w:tcPr>
            <w:tcW w:w="810" w:type="dxa"/>
            <w:tcBorders>
              <w:top w:val="nil"/>
              <w:left w:val="nil"/>
              <w:bottom w:val="single" w:sz="4" w:space="0" w:color="auto"/>
              <w:right w:val="single" w:sz="4" w:space="0" w:color="auto"/>
            </w:tcBorders>
            <w:shd w:val="clear" w:color="auto" w:fill="auto"/>
            <w:noWrap/>
            <w:vAlign w:val="bottom"/>
            <w:hideMark/>
          </w:tcPr>
          <w:p w14:paraId="22A2824E"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-832</w:t>
            </w:r>
          </w:p>
        </w:tc>
        <w:tc>
          <w:tcPr>
            <w:tcW w:w="990" w:type="dxa"/>
            <w:tcBorders>
              <w:top w:val="nil"/>
              <w:left w:val="nil"/>
              <w:bottom w:val="single" w:sz="4" w:space="0" w:color="auto"/>
              <w:right w:val="single" w:sz="4" w:space="0" w:color="auto"/>
            </w:tcBorders>
            <w:vAlign w:val="bottom"/>
          </w:tcPr>
          <w:p w14:paraId="4B1D7378" w14:textId="3FCE0E17" w:rsidR="004E33CC" w:rsidRDefault="00B13897"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43E3A26D" w14:textId="5EFF541B" w:rsidR="004E33CC" w:rsidRDefault="00B13897" w:rsidP="0083444F">
            <w:pPr>
              <w:widowControl/>
              <w:spacing w:before="0" w:beforeAutospacing="0" w:after="0" w:afterAutospacing="0"/>
              <w:jc w:val="right"/>
              <w:rPr>
                <w:rFonts w:ascii="Calibri" w:hAnsi="Calibri"/>
                <w:color w:val="000000"/>
                <w:sz w:val="20"/>
              </w:rPr>
            </w:pPr>
            <w:r>
              <w:rPr>
                <w:rFonts w:ascii="Calibri" w:hAnsi="Calibri"/>
                <w:color w:val="000000"/>
                <w:sz w:val="20"/>
              </w:rPr>
              <w:t>-832</w:t>
            </w:r>
          </w:p>
        </w:tc>
      </w:tr>
      <w:tr w:rsidR="004E33CC" w:rsidRPr="005C6DD6" w14:paraId="7F2177B6" w14:textId="0EDB15A7"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40C9A6FF"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EIA-809, Weekly Oxygenate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131849B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142</w:t>
            </w:r>
          </w:p>
        </w:tc>
        <w:tc>
          <w:tcPr>
            <w:tcW w:w="900" w:type="dxa"/>
            <w:tcBorders>
              <w:top w:val="nil"/>
              <w:left w:val="nil"/>
              <w:bottom w:val="single" w:sz="4" w:space="0" w:color="auto"/>
              <w:right w:val="single" w:sz="4" w:space="0" w:color="auto"/>
            </w:tcBorders>
            <w:shd w:val="clear" w:color="auto" w:fill="auto"/>
            <w:noWrap/>
            <w:vAlign w:val="bottom"/>
            <w:hideMark/>
          </w:tcPr>
          <w:p w14:paraId="25D103D1"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156</w:t>
            </w:r>
          </w:p>
        </w:tc>
        <w:tc>
          <w:tcPr>
            <w:tcW w:w="1080" w:type="dxa"/>
            <w:tcBorders>
              <w:top w:val="nil"/>
              <w:left w:val="nil"/>
              <w:bottom w:val="single" w:sz="4" w:space="0" w:color="auto"/>
              <w:right w:val="single" w:sz="4" w:space="0" w:color="auto"/>
            </w:tcBorders>
            <w:shd w:val="clear" w:color="FFFFFF" w:fill="D9D9D9"/>
            <w:noWrap/>
            <w:vAlign w:val="bottom"/>
            <w:hideMark/>
          </w:tcPr>
          <w:p w14:paraId="5E8C38F3"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1080" w:type="dxa"/>
            <w:tcBorders>
              <w:top w:val="nil"/>
              <w:left w:val="nil"/>
              <w:bottom w:val="single" w:sz="4" w:space="0" w:color="auto"/>
              <w:right w:val="single" w:sz="4" w:space="0" w:color="auto"/>
            </w:tcBorders>
            <w:shd w:val="clear" w:color="FFFFFF" w:fill="FFFFFF"/>
            <w:noWrap/>
            <w:vAlign w:val="bottom"/>
            <w:hideMark/>
          </w:tcPr>
          <w:p w14:paraId="44719BD1"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1.00</w:t>
            </w:r>
          </w:p>
        </w:tc>
        <w:tc>
          <w:tcPr>
            <w:tcW w:w="900" w:type="dxa"/>
            <w:tcBorders>
              <w:top w:val="nil"/>
              <w:left w:val="nil"/>
              <w:bottom w:val="single" w:sz="4" w:space="0" w:color="auto"/>
              <w:right w:val="single" w:sz="4" w:space="0" w:color="auto"/>
            </w:tcBorders>
            <w:shd w:val="clear" w:color="000000" w:fill="D9D9D9"/>
            <w:noWrap/>
            <w:vAlign w:val="bottom"/>
            <w:hideMark/>
          </w:tcPr>
          <w:p w14:paraId="55737D16"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7,384</w:t>
            </w:r>
          </w:p>
        </w:tc>
        <w:tc>
          <w:tcPr>
            <w:tcW w:w="900" w:type="dxa"/>
            <w:tcBorders>
              <w:top w:val="nil"/>
              <w:left w:val="nil"/>
              <w:bottom w:val="single" w:sz="4" w:space="0" w:color="auto"/>
              <w:right w:val="single" w:sz="4" w:space="0" w:color="auto"/>
            </w:tcBorders>
            <w:shd w:val="clear" w:color="auto" w:fill="auto"/>
            <w:noWrap/>
            <w:vAlign w:val="bottom"/>
            <w:hideMark/>
          </w:tcPr>
          <w:p w14:paraId="4A929EDE"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8,112</w:t>
            </w:r>
          </w:p>
        </w:tc>
        <w:tc>
          <w:tcPr>
            <w:tcW w:w="810" w:type="dxa"/>
            <w:tcBorders>
              <w:top w:val="nil"/>
              <w:left w:val="nil"/>
              <w:bottom w:val="single" w:sz="4" w:space="0" w:color="auto"/>
              <w:right w:val="single" w:sz="4" w:space="0" w:color="auto"/>
            </w:tcBorders>
            <w:shd w:val="clear" w:color="auto" w:fill="auto"/>
            <w:noWrap/>
            <w:vAlign w:val="bottom"/>
            <w:hideMark/>
          </w:tcPr>
          <w:p w14:paraId="75E5775F"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728</w:t>
            </w:r>
          </w:p>
        </w:tc>
        <w:tc>
          <w:tcPr>
            <w:tcW w:w="990" w:type="dxa"/>
            <w:tcBorders>
              <w:top w:val="nil"/>
              <w:left w:val="nil"/>
              <w:bottom w:val="single" w:sz="4" w:space="0" w:color="auto"/>
              <w:right w:val="single" w:sz="4" w:space="0" w:color="auto"/>
            </w:tcBorders>
            <w:vAlign w:val="bottom"/>
          </w:tcPr>
          <w:p w14:paraId="05DA6A48" w14:textId="396FCCB0" w:rsidR="004E33CC" w:rsidRDefault="00B13897"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272C11FE" w14:textId="044A8227" w:rsidR="004E33CC" w:rsidRDefault="00B13897" w:rsidP="0083444F">
            <w:pPr>
              <w:widowControl/>
              <w:spacing w:before="0" w:beforeAutospacing="0" w:after="0" w:afterAutospacing="0"/>
              <w:jc w:val="right"/>
              <w:rPr>
                <w:rFonts w:ascii="Calibri" w:hAnsi="Calibri"/>
                <w:color w:val="000000"/>
                <w:sz w:val="20"/>
              </w:rPr>
            </w:pPr>
            <w:r>
              <w:rPr>
                <w:rFonts w:ascii="Calibri" w:hAnsi="Calibri"/>
                <w:color w:val="000000"/>
                <w:sz w:val="20"/>
              </w:rPr>
              <w:t>728</w:t>
            </w:r>
          </w:p>
        </w:tc>
      </w:tr>
      <w:tr w:rsidR="004E33CC" w:rsidRPr="005C6DD6" w14:paraId="34867C0D" w14:textId="60BAFBD6" w:rsidTr="00940518">
        <w:trPr>
          <w:trHeight w:val="255"/>
        </w:trPr>
        <w:tc>
          <w:tcPr>
            <w:tcW w:w="2875" w:type="dxa"/>
            <w:tcBorders>
              <w:top w:val="nil"/>
              <w:left w:val="single" w:sz="4" w:space="0" w:color="auto"/>
              <w:bottom w:val="single" w:sz="4" w:space="0" w:color="auto"/>
              <w:right w:val="single" w:sz="4" w:space="0" w:color="auto"/>
            </w:tcBorders>
            <w:shd w:val="clear" w:color="000000" w:fill="D9D9D9"/>
            <w:vAlign w:val="bottom"/>
            <w:hideMark/>
          </w:tcPr>
          <w:p w14:paraId="41FA793A" w14:textId="77777777" w:rsidR="004E33CC" w:rsidRPr="005C6DD6" w:rsidRDefault="004E33CC" w:rsidP="004E33CC">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Monthly Surveys</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41098681"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2579D3F0"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80" w:type="dxa"/>
            <w:tcBorders>
              <w:top w:val="nil"/>
              <w:left w:val="nil"/>
              <w:bottom w:val="single" w:sz="4" w:space="0" w:color="auto"/>
              <w:right w:val="single" w:sz="4" w:space="0" w:color="auto"/>
            </w:tcBorders>
            <w:shd w:val="clear" w:color="FFFFFF" w:fill="D9D9D9"/>
            <w:noWrap/>
            <w:vAlign w:val="bottom"/>
            <w:hideMark/>
          </w:tcPr>
          <w:p w14:paraId="4DC46631"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80" w:type="dxa"/>
            <w:tcBorders>
              <w:top w:val="nil"/>
              <w:left w:val="nil"/>
              <w:bottom w:val="single" w:sz="4" w:space="0" w:color="auto"/>
              <w:right w:val="single" w:sz="4" w:space="0" w:color="auto"/>
            </w:tcBorders>
            <w:shd w:val="clear" w:color="FFFFFF" w:fill="FFFFFF"/>
            <w:noWrap/>
            <w:vAlign w:val="bottom"/>
            <w:hideMark/>
          </w:tcPr>
          <w:p w14:paraId="02915500"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1C768365"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099B7B7C"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810" w:type="dxa"/>
            <w:tcBorders>
              <w:top w:val="nil"/>
              <w:left w:val="nil"/>
              <w:bottom w:val="single" w:sz="4" w:space="0" w:color="auto"/>
              <w:right w:val="single" w:sz="4" w:space="0" w:color="auto"/>
            </w:tcBorders>
            <w:shd w:val="clear" w:color="000000" w:fill="D9D9D9"/>
            <w:noWrap/>
            <w:vAlign w:val="bottom"/>
            <w:hideMark/>
          </w:tcPr>
          <w:p w14:paraId="2CDCFA99"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90" w:type="dxa"/>
            <w:tcBorders>
              <w:top w:val="nil"/>
              <w:left w:val="nil"/>
              <w:bottom w:val="single" w:sz="4" w:space="0" w:color="auto"/>
              <w:right w:val="single" w:sz="4" w:space="0" w:color="auto"/>
            </w:tcBorders>
            <w:shd w:val="clear" w:color="000000" w:fill="D9D9D9"/>
            <w:vAlign w:val="bottom"/>
          </w:tcPr>
          <w:p w14:paraId="005C3449" w14:textId="77777777" w:rsidR="004E33CC" w:rsidRDefault="004E33CC" w:rsidP="004A1FD2">
            <w:pPr>
              <w:widowControl/>
              <w:spacing w:before="0" w:beforeAutospacing="0" w:after="0" w:afterAutospacing="0"/>
              <w:jc w:val="right"/>
              <w:rPr>
                <w:rFonts w:ascii="Calibri" w:hAnsi="Calibri"/>
                <w:color w:val="000000"/>
                <w:sz w:val="20"/>
              </w:rPr>
            </w:pPr>
          </w:p>
        </w:tc>
        <w:tc>
          <w:tcPr>
            <w:tcW w:w="990" w:type="dxa"/>
            <w:tcBorders>
              <w:top w:val="nil"/>
              <w:left w:val="nil"/>
              <w:bottom w:val="single" w:sz="4" w:space="0" w:color="auto"/>
              <w:right w:val="single" w:sz="4" w:space="0" w:color="auto"/>
            </w:tcBorders>
            <w:shd w:val="clear" w:color="000000" w:fill="D9D9D9"/>
            <w:vAlign w:val="bottom"/>
          </w:tcPr>
          <w:p w14:paraId="6C4E8B71" w14:textId="77777777" w:rsidR="004E33CC" w:rsidRDefault="004E33CC" w:rsidP="004A1FD2">
            <w:pPr>
              <w:widowControl/>
              <w:spacing w:before="0" w:beforeAutospacing="0" w:after="0" w:afterAutospacing="0"/>
              <w:jc w:val="right"/>
              <w:rPr>
                <w:rFonts w:ascii="Calibri" w:hAnsi="Calibri"/>
                <w:color w:val="000000"/>
                <w:sz w:val="20"/>
              </w:rPr>
            </w:pPr>
          </w:p>
        </w:tc>
      </w:tr>
      <w:tr w:rsidR="004E33CC" w:rsidRPr="005C6DD6" w14:paraId="11A5FB4B" w14:textId="1C484D5D"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2651C89B"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EIA-22M, Monthly Biodiesel Production Survey</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2A89998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150</w:t>
            </w:r>
          </w:p>
        </w:tc>
        <w:tc>
          <w:tcPr>
            <w:tcW w:w="900" w:type="dxa"/>
            <w:tcBorders>
              <w:top w:val="nil"/>
              <w:left w:val="nil"/>
              <w:bottom w:val="single" w:sz="4" w:space="0" w:color="auto"/>
              <w:right w:val="single" w:sz="4" w:space="0" w:color="auto"/>
            </w:tcBorders>
            <w:shd w:val="clear" w:color="auto" w:fill="auto"/>
            <w:noWrap/>
            <w:vAlign w:val="bottom"/>
            <w:hideMark/>
          </w:tcPr>
          <w:p w14:paraId="7BD3CB3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135</w:t>
            </w:r>
          </w:p>
        </w:tc>
        <w:tc>
          <w:tcPr>
            <w:tcW w:w="1080" w:type="dxa"/>
            <w:tcBorders>
              <w:top w:val="nil"/>
              <w:left w:val="nil"/>
              <w:bottom w:val="single" w:sz="4" w:space="0" w:color="auto"/>
              <w:right w:val="single" w:sz="4" w:space="0" w:color="auto"/>
            </w:tcBorders>
            <w:shd w:val="clear" w:color="FFFFFF" w:fill="D9D9D9"/>
            <w:noWrap/>
            <w:vAlign w:val="bottom"/>
            <w:hideMark/>
          </w:tcPr>
          <w:p w14:paraId="07283B3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3.00</w:t>
            </w:r>
          </w:p>
        </w:tc>
        <w:tc>
          <w:tcPr>
            <w:tcW w:w="1080" w:type="dxa"/>
            <w:tcBorders>
              <w:top w:val="nil"/>
              <w:left w:val="nil"/>
              <w:bottom w:val="single" w:sz="4" w:space="0" w:color="auto"/>
              <w:right w:val="single" w:sz="4" w:space="0" w:color="auto"/>
            </w:tcBorders>
            <w:shd w:val="clear" w:color="FFFFFF" w:fill="FFFFFF"/>
            <w:noWrap/>
            <w:vAlign w:val="bottom"/>
            <w:hideMark/>
          </w:tcPr>
          <w:p w14:paraId="2D74DABE"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3.00</w:t>
            </w:r>
          </w:p>
        </w:tc>
        <w:tc>
          <w:tcPr>
            <w:tcW w:w="900" w:type="dxa"/>
            <w:tcBorders>
              <w:top w:val="nil"/>
              <w:left w:val="nil"/>
              <w:bottom w:val="single" w:sz="4" w:space="0" w:color="auto"/>
              <w:right w:val="single" w:sz="4" w:space="0" w:color="auto"/>
            </w:tcBorders>
            <w:shd w:val="clear" w:color="000000" w:fill="D9D9D9"/>
            <w:noWrap/>
            <w:vAlign w:val="bottom"/>
            <w:hideMark/>
          </w:tcPr>
          <w:p w14:paraId="76F8671D"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5,400</w:t>
            </w:r>
          </w:p>
        </w:tc>
        <w:tc>
          <w:tcPr>
            <w:tcW w:w="900" w:type="dxa"/>
            <w:tcBorders>
              <w:top w:val="nil"/>
              <w:left w:val="nil"/>
              <w:bottom w:val="single" w:sz="4" w:space="0" w:color="auto"/>
              <w:right w:val="single" w:sz="4" w:space="0" w:color="auto"/>
            </w:tcBorders>
            <w:shd w:val="clear" w:color="auto" w:fill="auto"/>
            <w:noWrap/>
            <w:vAlign w:val="bottom"/>
            <w:hideMark/>
          </w:tcPr>
          <w:p w14:paraId="3298B74D"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4,860</w:t>
            </w:r>
          </w:p>
        </w:tc>
        <w:tc>
          <w:tcPr>
            <w:tcW w:w="810" w:type="dxa"/>
            <w:tcBorders>
              <w:top w:val="nil"/>
              <w:left w:val="nil"/>
              <w:bottom w:val="single" w:sz="4" w:space="0" w:color="auto"/>
              <w:right w:val="single" w:sz="4" w:space="0" w:color="auto"/>
            </w:tcBorders>
            <w:shd w:val="clear" w:color="auto" w:fill="auto"/>
            <w:noWrap/>
            <w:vAlign w:val="bottom"/>
            <w:hideMark/>
          </w:tcPr>
          <w:p w14:paraId="27BCD0E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-540</w:t>
            </w:r>
          </w:p>
        </w:tc>
        <w:tc>
          <w:tcPr>
            <w:tcW w:w="990" w:type="dxa"/>
            <w:tcBorders>
              <w:top w:val="nil"/>
              <w:left w:val="nil"/>
              <w:bottom w:val="single" w:sz="4" w:space="0" w:color="auto"/>
              <w:right w:val="single" w:sz="4" w:space="0" w:color="auto"/>
            </w:tcBorders>
            <w:vAlign w:val="bottom"/>
          </w:tcPr>
          <w:p w14:paraId="1CCCAC73" w14:textId="332E2D1F" w:rsidR="004E33CC" w:rsidRDefault="009A6598"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73006C13" w14:textId="4B0C5538" w:rsidR="004E33CC" w:rsidRDefault="009A6598" w:rsidP="0083444F">
            <w:pPr>
              <w:widowControl/>
              <w:spacing w:before="0" w:beforeAutospacing="0" w:after="0" w:afterAutospacing="0"/>
              <w:jc w:val="right"/>
              <w:rPr>
                <w:rFonts w:ascii="Calibri" w:hAnsi="Calibri"/>
                <w:color w:val="000000"/>
                <w:sz w:val="20"/>
              </w:rPr>
            </w:pPr>
            <w:r>
              <w:rPr>
                <w:rFonts w:ascii="Calibri" w:hAnsi="Calibri"/>
                <w:color w:val="000000"/>
                <w:sz w:val="20"/>
              </w:rPr>
              <w:t>-540</w:t>
            </w:r>
          </w:p>
        </w:tc>
      </w:tr>
      <w:tr w:rsidR="004E33CC" w:rsidRPr="005C6DD6" w14:paraId="68F5E0AD" w14:textId="723F0CDC"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27A61E86"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EIA-810, Monthly Refinery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2AEDCFF3"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150</w:t>
            </w:r>
          </w:p>
        </w:tc>
        <w:tc>
          <w:tcPr>
            <w:tcW w:w="900" w:type="dxa"/>
            <w:tcBorders>
              <w:top w:val="nil"/>
              <w:left w:val="nil"/>
              <w:bottom w:val="single" w:sz="4" w:space="0" w:color="auto"/>
              <w:right w:val="single" w:sz="4" w:space="0" w:color="auto"/>
            </w:tcBorders>
            <w:shd w:val="clear" w:color="auto" w:fill="auto"/>
            <w:noWrap/>
            <w:vAlign w:val="bottom"/>
            <w:hideMark/>
          </w:tcPr>
          <w:p w14:paraId="004F6BE2"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141</w:t>
            </w:r>
          </w:p>
        </w:tc>
        <w:tc>
          <w:tcPr>
            <w:tcW w:w="1080" w:type="dxa"/>
            <w:tcBorders>
              <w:top w:val="nil"/>
              <w:left w:val="nil"/>
              <w:bottom w:val="single" w:sz="4" w:space="0" w:color="auto"/>
              <w:right w:val="single" w:sz="4" w:space="0" w:color="auto"/>
            </w:tcBorders>
            <w:shd w:val="clear" w:color="FFFFFF" w:fill="D9D9D9"/>
            <w:noWrap/>
            <w:vAlign w:val="bottom"/>
            <w:hideMark/>
          </w:tcPr>
          <w:p w14:paraId="01EA5EF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5.20</w:t>
            </w:r>
          </w:p>
        </w:tc>
        <w:tc>
          <w:tcPr>
            <w:tcW w:w="1080" w:type="dxa"/>
            <w:tcBorders>
              <w:top w:val="nil"/>
              <w:left w:val="nil"/>
              <w:bottom w:val="single" w:sz="4" w:space="0" w:color="auto"/>
              <w:right w:val="single" w:sz="4" w:space="0" w:color="auto"/>
            </w:tcBorders>
            <w:shd w:val="clear" w:color="FFFFFF" w:fill="FFFFFF"/>
            <w:noWrap/>
            <w:vAlign w:val="bottom"/>
            <w:hideMark/>
          </w:tcPr>
          <w:p w14:paraId="174A2DD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5.20</w:t>
            </w:r>
          </w:p>
        </w:tc>
        <w:tc>
          <w:tcPr>
            <w:tcW w:w="900" w:type="dxa"/>
            <w:tcBorders>
              <w:top w:val="nil"/>
              <w:left w:val="nil"/>
              <w:bottom w:val="single" w:sz="4" w:space="0" w:color="auto"/>
              <w:right w:val="single" w:sz="4" w:space="0" w:color="auto"/>
            </w:tcBorders>
            <w:shd w:val="clear" w:color="000000" w:fill="D9D9D9"/>
            <w:noWrap/>
            <w:vAlign w:val="bottom"/>
            <w:hideMark/>
          </w:tcPr>
          <w:p w14:paraId="13CD0F26"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9,360</w:t>
            </w:r>
          </w:p>
        </w:tc>
        <w:tc>
          <w:tcPr>
            <w:tcW w:w="900" w:type="dxa"/>
            <w:tcBorders>
              <w:top w:val="nil"/>
              <w:left w:val="nil"/>
              <w:bottom w:val="single" w:sz="4" w:space="0" w:color="auto"/>
              <w:right w:val="single" w:sz="4" w:space="0" w:color="auto"/>
            </w:tcBorders>
            <w:shd w:val="clear" w:color="auto" w:fill="auto"/>
            <w:noWrap/>
            <w:vAlign w:val="bottom"/>
            <w:hideMark/>
          </w:tcPr>
          <w:p w14:paraId="3CCAE30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8,798</w:t>
            </w:r>
          </w:p>
        </w:tc>
        <w:tc>
          <w:tcPr>
            <w:tcW w:w="810" w:type="dxa"/>
            <w:tcBorders>
              <w:top w:val="nil"/>
              <w:left w:val="nil"/>
              <w:bottom w:val="single" w:sz="4" w:space="0" w:color="auto"/>
              <w:right w:val="single" w:sz="4" w:space="0" w:color="auto"/>
            </w:tcBorders>
            <w:shd w:val="clear" w:color="auto" w:fill="auto"/>
            <w:noWrap/>
            <w:vAlign w:val="bottom"/>
            <w:hideMark/>
          </w:tcPr>
          <w:p w14:paraId="4E74914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-562</w:t>
            </w:r>
          </w:p>
        </w:tc>
        <w:tc>
          <w:tcPr>
            <w:tcW w:w="990" w:type="dxa"/>
            <w:tcBorders>
              <w:top w:val="nil"/>
              <w:left w:val="nil"/>
              <w:bottom w:val="single" w:sz="4" w:space="0" w:color="auto"/>
              <w:right w:val="single" w:sz="4" w:space="0" w:color="auto"/>
            </w:tcBorders>
            <w:vAlign w:val="bottom"/>
          </w:tcPr>
          <w:p w14:paraId="77DD4CC7" w14:textId="53ED78E7" w:rsidR="004E33CC" w:rsidRDefault="00F84850"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7FD76E0B" w14:textId="58440EA2" w:rsidR="004E33CC" w:rsidRDefault="00F84850" w:rsidP="0083444F">
            <w:pPr>
              <w:widowControl/>
              <w:spacing w:before="0" w:beforeAutospacing="0" w:after="0" w:afterAutospacing="0"/>
              <w:jc w:val="right"/>
              <w:rPr>
                <w:rFonts w:ascii="Calibri" w:hAnsi="Calibri"/>
                <w:color w:val="000000"/>
                <w:sz w:val="20"/>
              </w:rPr>
            </w:pPr>
            <w:r>
              <w:rPr>
                <w:rFonts w:ascii="Calibri" w:hAnsi="Calibri"/>
                <w:color w:val="000000"/>
                <w:sz w:val="20"/>
              </w:rPr>
              <w:t>-562</w:t>
            </w:r>
          </w:p>
        </w:tc>
      </w:tr>
      <w:tr w:rsidR="004E33CC" w:rsidRPr="005C6DD6" w14:paraId="37A9FC8C" w14:textId="06A590AA"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3BB93A2B"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EIA-812, Monthly Product Pipeline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4BF95DFC"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80</w:t>
            </w:r>
          </w:p>
        </w:tc>
        <w:tc>
          <w:tcPr>
            <w:tcW w:w="900" w:type="dxa"/>
            <w:tcBorders>
              <w:top w:val="nil"/>
              <w:left w:val="nil"/>
              <w:bottom w:val="single" w:sz="4" w:space="0" w:color="auto"/>
              <w:right w:val="single" w:sz="4" w:space="0" w:color="auto"/>
            </w:tcBorders>
            <w:shd w:val="clear" w:color="auto" w:fill="auto"/>
            <w:noWrap/>
            <w:vAlign w:val="bottom"/>
            <w:hideMark/>
          </w:tcPr>
          <w:p w14:paraId="389768A2"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87</w:t>
            </w:r>
          </w:p>
        </w:tc>
        <w:tc>
          <w:tcPr>
            <w:tcW w:w="1080" w:type="dxa"/>
            <w:tcBorders>
              <w:top w:val="nil"/>
              <w:left w:val="nil"/>
              <w:bottom w:val="single" w:sz="4" w:space="0" w:color="auto"/>
              <w:right w:val="single" w:sz="4" w:space="0" w:color="auto"/>
            </w:tcBorders>
            <w:shd w:val="clear" w:color="FFFFFF" w:fill="D9D9D9"/>
            <w:noWrap/>
            <w:vAlign w:val="bottom"/>
            <w:hideMark/>
          </w:tcPr>
          <w:p w14:paraId="2395F1C2"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3.50</w:t>
            </w:r>
          </w:p>
        </w:tc>
        <w:tc>
          <w:tcPr>
            <w:tcW w:w="1080" w:type="dxa"/>
            <w:tcBorders>
              <w:top w:val="nil"/>
              <w:left w:val="nil"/>
              <w:bottom w:val="single" w:sz="4" w:space="0" w:color="auto"/>
              <w:right w:val="single" w:sz="4" w:space="0" w:color="auto"/>
            </w:tcBorders>
            <w:shd w:val="clear" w:color="FFFFFF" w:fill="FFFFFF"/>
            <w:noWrap/>
            <w:vAlign w:val="bottom"/>
            <w:hideMark/>
          </w:tcPr>
          <w:p w14:paraId="4A687053"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3.00</w:t>
            </w:r>
          </w:p>
        </w:tc>
        <w:tc>
          <w:tcPr>
            <w:tcW w:w="900" w:type="dxa"/>
            <w:tcBorders>
              <w:top w:val="nil"/>
              <w:left w:val="nil"/>
              <w:bottom w:val="single" w:sz="4" w:space="0" w:color="auto"/>
              <w:right w:val="single" w:sz="4" w:space="0" w:color="auto"/>
            </w:tcBorders>
            <w:shd w:val="clear" w:color="000000" w:fill="D9D9D9"/>
            <w:noWrap/>
            <w:vAlign w:val="bottom"/>
            <w:hideMark/>
          </w:tcPr>
          <w:p w14:paraId="23A9F99E"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3,360</w:t>
            </w:r>
          </w:p>
        </w:tc>
        <w:tc>
          <w:tcPr>
            <w:tcW w:w="900" w:type="dxa"/>
            <w:tcBorders>
              <w:top w:val="nil"/>
              <w:left w:val="nil"/>
              <w:bottom w:val="single" w:sz="4" w:space="0" w:color="auto"/>
              <w:right w:val="single" w:sz="4" w:space="0" w:color="auto"/>
            </w:tcBorders>
            <w:shd w:val="clear" w:color="auto" w:fill="auto"/>
            <w:noWrap/>
            <w:vAlign w:val="bottom"/>
            <w:hideMark/>
          </w:tcPr>
          <w:p w14:paraId="4AD9F797"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3,132</w:t>
            </w:r>
          </w:p>
        </w:tc>
        <w:tc>
          <w:tcPr>
            <w:tcW w:w="810" w:type="dxa"/>
            <w:tcBorders>
              <w:top w:val="nil"/>
              <w:left w:val="nil"/>
              <w:bottom w:val="single" w:sz="4" w:space="0" w:color="auto"/>
              <w:right w:val="single" w:sz="4" w:space="0" w:color="auto"/>
            </w:tcBorders>
            <w:shd w:val="clear" w:color="auto" w:fill="auto"/>
            <w:noWrap/>
            <w:vAlign w:val="bottom"/>
            <w:hideMark/>
          </w:tcPr>
          <w:p w14:paraId="26FC49D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-228</w:t>
            </w:r>
          </w:p>
        </w:tc>
        <w:tc>
          <w:tcPr>
            <w:tcW w:w="990" w:type="dxa"/>
            <w:tcBorders>
              <w:top w:val="nil"/>
              <w:left w:val="nil"/>
              <w:bottom w:val="single" w:sz="4" w:space="0" w:color="auto"/>
              <w:right w:val="single" w:sz="4" w:space="0" w:color="auto"/>
            </w:tcBorders>
            <w:vAlign w:val="bottom"/>
          </w:tcPr>
          <w:p w14:paraId="18AB7631" w14:textId="74E7EE40" w:rsidR="004E33CC" w:rsidRDefault="00B13897" w:rsidP="004E33CC">
            <w:pPr>
              <w:widowControl/>
              <w:spacing w:before="0" w:beforeAutospacing="0" w:after="0" w:afterAutospacing="0"/>
              <w:jc w:val="right"/>
              <w:rPr>
                <w:rFonts w:ascii="Calibri" w:hAnsi="Calibri"/>
                <w:color w:val="000000"/>
                <w:sz w:val="20"/>
              </w:rPr>
            </w:pPr>
            <w:r>
              <w:rPr>
                <w:rFonts w:ascii="Calibri" w:hAnsi="Calibri"/>
                <w:color w:val="000000"/>
                <w:sz w:val="20"/>
              </w:rPr>
              <w:t>-228</w:t>
            </w:r>
          </w:p>
        </w:tc>
        <w:tc>
          <w:tcPr>
            <w:tcW w:w="990" w:type="dxa"/>
            <w:tcBorders>
              <w:top w:val="nil"/>
              <w:left w:val="nil"/>
              <w:bottom w:val="single" w:sz="4" w:space="0" w:color="auto"/>
              <w:right w:val="single" w:sz="4" w:space="0" w:color="auto"/>
            </w:tcBorders>
            <w:vAlign w:val="bottom"/>
          </w:tcPr>
          <w:p w14:paraId="04E204A1" w14:textId="00AC1387" w:rsidR="004E33CC" w:rsidRDefault="00B13897" w:rsidP="0083444F">
            <w:pPr>
              <w:widowControl/>
              <w:spacing w:before="0" w:beforeAutospacing="0" w:after="0" w:afterAutospacing="0"/>
              <w:jc w:val="right"/>
              <w:rPr>
                <w:rFonts w:ascii="Calibri" w:hAnsi="Calibri"/>
                <w:color w:val="000000"/>
                <w:sz w:val="20"/>
              </w:rPr>
            </w:pPr>
            <w:r>
              <w:rPr>
                <w:rFonts w:ascii="Calibri" w:hAnsi="Calibri"/>
                <w:color w:val="000000"/>
                <w:sz w:val="20"/>
              </w:rPr>
              <w:t>0</w:t>
            </w:r>
          </w:p>
        </w:tc>
      </w:tr>
      <w:tr w:rsidR="004E33CC" w:rsidRPr="005C6DD6" w14:paraId="0690D7CC" w14:textId="6DD84B42"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0F4A6439"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EIA-813, Monthly Crude Oil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33F39E9F"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167</w:t>
            </w:r>
          </w:p>
        </w:tc>
        <w:tc>
          <w:tcPr>
            <w:tcW w:w="900" w:type="dxa"/>
            <w:tcBorders>
              <w:top w:val="nil"/>
              <w:left w:val="nil"/>
              <w:bottom w:val="single" w:sz="4" w:space="0" w:color="auto"/>
              <w:right w:val="single" w:sz="4" w:space="0" w:color="auto"/>
            </w:tcBorders>
            <w:shd w:val="clear" w:color="auto" w:fill="auto"/>
            <w:noWrap/>
            <w:vAlign w:val="bottom"/>
            <w:hideMark/>
          </w:tcPr>
          <w:p w14:paraId="2419114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177</w:t>
            </w:r>
          </w:p>
        </w:tc>
        <w:tc>
          <w:tcPr>
            <w:tcW w:w="1080" w:type="dxa"/>
            <w:tcBorders>
              <w:top w:val="nil"/>
              <w:left w:val="nil"/>
              <w:bottom w:val="single" w:sz="4" w:space="0" w:color="auto"/>
              <w:right w:val="single" w:sz="4" w:space="0" w:color="auto"/>
            </w:tcBorders>
            <w:shd w:val="clear" w:color="FFFFFF" w:fill="D9D9D9"/>
            <w:noWrap/>
            <w:vAlign w:val="bottom"/>
            <w:hideMark/>
          </w:tcPr>
          <w:p w14:paraId="70B8B0A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2.00</w:t>
            </w:r>
          </w:p>
        </w:tc>
        <w:tc>
          <w:tcPr>
            <w:tcW w:w="1080" w:type="dxa"/>
            <w:tcBorders>
              <w:top w:val="nil"/>
              <w:left w:val="nil"/>
              <w:bottom w:val="single" w:sz="4" w:space="0" w:color="auto"/>
              <w:right w:val="single" w:sz="4" w:space="0" w:color="auto"/>
            </w:tcBorders>
            <w:shd w:val="clear" w:color="FFFFFF" w:fill="FFFFFF"/>
            <w:noWrap/>
            <w:vAlign w:val="bottom"/>
            <w:hideMark/>
          </w:tcPr>
          <w:p w14:paraId="785CD02D"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2.00</w:t>
            </w:r>
          </w:p>
        </w:tc>
        <w:tc>
          <w:tcPr>
            <w:tcW w:w="900" w:type="dxa"/>
            <w:tcBorders>
              <w:top w:val="nil"/>
              <w:left w:val="nil"/>
              <w:bottom w:val="single" w:sz="4" w:space="0" w:color="auto"/>
              <w:right w:val="single" w:sz="4" w:space="0" w:color="auto"/>
            </w:tcBorders>
            <w:shd w:val="clear" w:color="000000" w:fill="D9D9D9"/>
            <w:noWrap/>
            <w:vAlign w:val="bottom"/>
            <w:hideMark/>
          </w:tcPr>
          <w:p w14:paraId="1BAB377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4,008</w:t>
            </w:r>
          </w:p>
        </w:tc>
        <w:tc>
          <w:tcPr>
            <w:tcW w:w="900" w:type="dxa"/>
            <w:tcBorders>
              <w:top w:val="nil"/>
              <w:left w:val="nil"/>
              <w:bottom w:val="single" w:sz="4" w:space="0" w:color="auto"/>
              <w:right w:val="single" w:sz="4" w:space="0" w:color="auto"/>
            </w:tcBorders>
            <w:shd w:val="clear" w:color="auto" w:fill="auto"/>
            <w:noWrap/>
            <w:vAlign w:val="bottom"/>
            <w:hideMark/>
          </w:tcPr>
          <w:p w14:paraId="127BF0CE"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4,248</w:t>
            </w:r>
          </w:p>
        </w:tc>
        <w:tc>
          <w:tcPr>
            <w:tcW w:w="810" w:type="dxa"/>
            <w:tcBorders>
              <w:top w:val="nil"/>
              <w:left w:val="nil"/>
              <w:bottom w:val="single" w:sz="4" w:space="0" w:color="auto"/>
              <w:right w:val="single" w:sz="4" w:space="0" w:color="auto"/>
            </w:tcBorders>
            <w:shd w:val="clear" w:color="auto" w:fill="auto"/>
            <w:noWrap/>
            <w:vAlign w:val="bottom"/>
            <w:hideMark/>
          </w:tcPr>
          <w:p w14:paraId="37D1CC21"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240</w:t>
            </w:r>
          </w:p>
        </w:tc>
        <w:tc>
          <w:tcPr>
            <w:tcW w:w="990" w:type="dxa"/>
            <w:tcBorders>
              <w:top w:val="nil"/>
              <w:left w:val="nil"/>
              <w:bottom w:val="single" w:sz="4" w:space="0" w:color="auto"/>
              <w:right w:val="single" w:sz="4" w:space="0" w:color="auto"/>
            </w:tcBorders>
            <w:vAlign w:val="bottom"/>
          </w:tcPr>
          <w:p w14:paraId="1DCC1AB7" w14:textId="758E8F44" w:rsidR="004E33CC" w:rsidRDefault="00FF75B7" w:rsidP="004E33CC">
            <w:pPr>
              <w:widowControl/>
              <w:spacing w:before="0" w:beforeAutospacing="0" w:after="0" w:afterAutospacing="0"/>
              <w:jc w:val="right"/>
              <w:rPr>
                <w:rFonts w:ascii="Calibri" w:hAnsi="Calibri"/>
                <w:color w:val="000000"/>
                <w:sz w:val="20"/>
              </w:rPr>
            </w:pPr>
            <w:r>
              <w:rPr>
                <w:rFonts w:ascii="Calibri" w:hAnsi="Calibri"/>
                <w:color w:val="000000"/>
                <w:sz w:val="20"/>
              </w:rPr>
              <w:t>24</w:t>
            </w:r>
            <w:r w:rsidR="00051D08">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3A299C26" w14:textId="255CD61B" w:rsidR="004E33CC" w:rsidRDefault="00FF75B7" w:rsidP="0083444F">
            <w:pPr>
              <w:widowControl/>
              <w:spacing w:before="0" w:beforeAutospacing="0" w:after="0" w:afterAutospacing="0"/>
              <w:jc w:val="right"/>
              <w:rPr>
                <w:rFonts w:ascii="Calibri" w:hAnsi="Calibri"/>
                <w:color w:val="000000"/>
                <w:sz w:val="20"/>
              </w:rPr>
            </w:pPr>
            <w:r>
              <w:rPr>
                <w:rFonts w:ascii="Calibri" w:hAnsi="Calibri"/>
                <w:color w:val="000000"/>
                <w:sz w:val="20"/>
              </w:rPr>
              <w:t>0</w:t>
            </w:r>
          </w:p>
        </w:tc>
      </w:tr>
      <w:tr w:rsidR="004E33CC" w:rsidRPr="005C6DD6" w14:paraId="043AE85A" w14:textId="69582416"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7DB35D5C"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EIA-814, Monthly Imports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651191B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391</w:t>
            </w:r>
          </w:p>
        </w:tc>
        <w:tc>
          <w:tcPr>
            <w:tcW w:w="900" w:type="dxa"/>
            <w:tcBorders>
              <w:top w:val="nil"/>
              <w:left w:val="nil"/>
              <w:bottom w:val="single" w:sz="4" w:space="0" w:color="auto"/>
              <w:right w:val="single" w:sz="4" w:space="0" w:color="auto"/>
            </w:tcBorders>
            <w:shd w:val="clear" w:color="auto" w:fill="auto"/>
            <w:noWrap/>
            <w:vAlign w:val="bottom"/>
            <w:hideMark/>
          </w:tcPr>
          <w:p w14:paraId="6E10576C"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395</w:t>
            </w:r>
          </w:p>
        </w:tc>
        <w:tc>
          <w:tcPr>
            <w:tcW w:w="1080" w:type="dxa"/>
            <w:tcBorders>
              <w:top w:val="nil"/>
              <w:left w:val="nil"/>
              <w:bottom w:val="single" w:sz="4" w:space="0" w:color="auto"/>
              <w:right w:val="single" w:sz="4" w:space="0" w:color="auto"/>
            </w:tcBorders>
            <w:shd w:val="clear" w:color="FFFFFF" w:fill="D9D9D9"/>
            <w:noWrap/>
            <w:vAlign w:val="bottom"/>
            <w:hideMark/>
          </w:tcPr>
          <w:p w14:paraId="03F6B5B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2.55</w:t>
            </w:r>
          </w:p>
        </w:tc>
        <w:tc>
          <w:tcPr>
            <w:tcW w:w="1080" w:type="dxa"/>
            <w:tcBorders>
              <w:top w:val="nil"/>
              <w:left w:val="nil"/>
              <w:bottom w:val="single" w:sz="4" w:space="0" w:color="auto"/>
              <w:right w:val="single" w:sz="4" w:space="0" w:color="auto"/>
            </w:tcBorders>
            <w:shd w:val="clear" w:color="FFFFFF" w:fill="FFFFFF"/>
            <w:noWrap/>
            <w:vAlign w:val="bottom"/>
            <w:hideMark/>
          </w:tcPr>
          <w:p w14:paraId="2AA4C056"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2.55</w:t>
            </w:r>
          </w:p>
        </w:tc>
        <w:tc>
          <w:tcPr>
            <w:tcW w:w="900" w:type="dxa"/>
            <w:tcBorders>
              <w:top w:val="nil"/>
              <w:left w:val="nil"/>
              <w:bottom w:val="single" w:sz="4" w:space="0" w:color="auto"/>
              <w:right w:val="single" w:sz="4" w:space="0" w:color="auto"/>
            </w:tcBorders>
            <w:shd w:val="clear" w:color="000000" w:fill="D9D9D9"/>
            <w:noWrap/>
            <w:vAlign w:val="bottom"/>
            <w:hideMark/>
          </w:tcPr>
          <w:p w14:paraId="0D735AD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11,965</w:t>
            </w:r>
          </w:p>
        </w:tc>
        <w:tc>
          <w:tcPr>
            <w:tcW w:w="900" w:type="dxa"/>
            <w:tcBorders>
              <w:top w:val="nil"/>
              <w:left w:val="nil"/>
              <w:bottom w:val="single" w:sz="4" w:space="0" w:color="auto"/>
              <w:right w:val="single" w:sz="4" w:space="0" w:color="auto"/>
            </w:tcBorders>
            <w:shd w:val="clear" w:color="auto" w:fill="auto"/>
            <w:noWrap/>
            <w:vAlign w:val="bottom"/>
            <w:hideMark/>
          </w:tcPr>
          <w:p w14:paraId="1D70BB6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12,087</w:t>
            </w:r>
          </w:p>
        </w:tc>
        <w:tc>
          <w:tcPr>
            <w:tcW w:w="810" w:type="dxa"/>
            <w:tcBorders>
              <w:top w:val="nil"/>
              <w:left w:val="nil"/>
              <w:bottom w:val="single" w:sz="4" w:space="0" w:color="auto"/>
              <w:right w:val="single" w:sz="4" w:space="0" w:color="auto"/>
            </w:tcBorders>
            <w:shd w:val="clear" w:color="auto" w:fill="auto"/>
            <w:noWrap/>
            <w:vAlign w:val="bottom"/>
            <w:hideMark/>
          </w:tcPr>
          <w:p w14:paraId="08D23B5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122</w:t>
            </w:r>
          </w:p>
        </w:tc>
        <w:tc>
          <w:tcPr>
            <w:tcW w:w="990" w:type="dxa"/>
            <w:tcBorders>
              <w:top w:val="nil"/>
              <w:left w:val="nil"/>
              <w:bottom w:val="single" w:sz="4" w:space="0" w:color="auto"/>
              <w:right w:val="single" w:sz="4" w:space="0" w:color="auto"/>
            </w:tcBorders>
            <w:vAlign w:val="bottom"/>
          </w:tcPr>
          <w:p w14:paraId="756D485D" w14:textId="7884F1D5" w:rsidR="004E33CC" w:rsidRDefault="00F84850"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7C7E18F5" w14:textId="45F23917" w:rsidR="004E33CC" w:rsidRDefault="00F84850" w:rsidP="0083444F">
            <w:pPr>
              <w:widowControl/>
              <w:spacing w:before="0" w:beforeAutospacing="0" w:after="0" w:afterAutospacing="0"/>
              <w:jc w:val="right"/>
              <w:rPr>
                <w:rFonts w:ascii="Calibri" w:hAnsi="Calibri"/>
                <w:color w:val="000000"/>
                <w:sz w:val="20"/>
              </w:rPr>
            </w:pPr>
            <w:r>
              <w:rPr>
                <w:rFonts w:ascii="Calibri" w:hAnsi="Calibri"/>
                <w:color w:val="000000"/>
                <w:sz w:val="20"/>
              </w:rPr>
              <w:t>122</w:t>
            </w:r>
          </w:p>
        </w:tc>
      </w:tr>
      <w:tr w:rsidR="004E33CC" w:rsidRPr="005C6DD6" w14:paraId="4AC18E6E" w14:textId="0C9074E7"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62F06836"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EIA-815, Monthly Bulk Terminal and Blender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3BDABD34"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1,476</w:t>
            </w:r>
          </w:p>
        </w:tc>
        <w:tc>
          <w:tcPr>
            <w:tcW w:w="900" w:type="dxa"/>
            <w:tcBorders>
              <w:top w:val="nil"/>
              <w:left w:val="nil"/>
              <w:bottom w:val="single" w:sz="4" w:space="0" w:color="auto"/>
              <w:right w:val="single" w:sz="4" w:space="0" w:color="auto"/>
            </w:tcBorders>
            <w:shd w:val="clear" w:color="auto" w:fill="auto"/>
            <w:noWrap/>
            <w:vAlign w:val="bottom"/>
            <w:hideMark/>
          </w:tcPr>
          <w:p w14:paraId="519948B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1,465</w:t>
            </w:r>
          </w:p>
        </w:tc>
        <w:tc>
          <w:tcPr>
            <w:tcW w:w="1080" w:type="dxa"/>
            <w:tcBorders>
              <w:top w:val="nil"/>
              <w:left w:val="nil"/>
              <w:bottom w:val="single" w:sz="4" w:space="0" w:color="auto"/>
              <w:right w:val="single" w:sz="4" w:space="0" w:color="auto"/>
            </w:tcBorders>
            <w:shd w:val="clear" w:color="FFFFFF" w:fill="D9D9D9"/>
            <w:noWrap/>
            <w:vAlign w:val="bottom"/>
            <w:hideMark/>
          </w:tcPr>
          <w:p w14:paraId="00873946"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4.20</w:t>
            </w:r>
          </w:p>
        </w:tc>
        <w:tc>
          <w:tcPr>
            <w:tcW w:w="1080" w:type="dxa"/>
            <w:tcBorders>
              <w:top w:val="nil"/>
              <w:left w:val="nil"/>
              <w:bottom w:val="single" w:sz="4" w:space="0" w:color="auto"/>
              <w:right w:val="single" w:sz="4" w:space="0" w:color="auto"/>
            </w:tcBorders>
            <w:shd w:val="clear" w:color="FFFFFF" w:fill="FFFFFF"/>
            <w:noWrap/>
            <w:vAlign w:val="bottom"/>
            <w:hideMark/>
          </w:tcPr>
          <w:p w14:paraId="5EACED06"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4.20</w:t>
            </w:r>
          </w:p>
        </w:tc>
        <w:tc>
          <w:tcPr>
            <w:tcW w:w="900" w:type="dxa"/>
            <w:tcBorders>
              <w:top w:val="nil"/>
              <w:left w:val="nil"/>
              <w:bottom w:val="single" w:sz="4" w:space="0" w:color="auto"/>
              <w:right w:val="single" w:sz="4" w:space="0" w:color="auto"/>
            </w:tcBorders>
            <w:shd w:val="clear" w:color="000000" w:fill="D9D9D9"/>
            <w:noWrap/>
            <w:vAlign w:val="bottom"/>
            <w:hideMark/>
          </w:tcPr>
          <w:p w14:paraId="2B0DDAA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74,390</w:t>
            </w:r>
          </w:p>
        </w:tc>
        <w:tc>
          <w:tcPr>
            <w:tcW w:w="900" w:type="dxa"/>
            <w:tcBorders>
              <w:top w:val="nil"/>
              <w:left w:val="nil"/>
              <w:bottom w:val="single" w:sz="4" w:space="0" w:color="auto"/>
              <w:right w:val="single" w:sz="4" w:space="0" w:color="auto"/>
            </w:tcBorders>
            <w:shd w:val="clear" w:color="auto" w:fill="auto"/>
            <w:noWrap/>
            <w:vAlign w:val="bottom"/>
            <w:hideMark/>
          </w:tcPr>
          <w:p w14:paraId="4D8AAF1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73,836</w:t>
            </w:r>
          </w:p>
        </w:tc>
        <w:tc>
          <w:tcPr>
            <w:tcW w:w="810" w:type="dxa"/>
            <w:tcBorders>
              <w:top w:val="nil"/>
              <w:left w:val="nil"/>
              <w:bottom w:val="single" w:sz="4" w:space="0" w:color="auto"/>
              <w:right w:val="single" w:sz="4" w:space="0" w:color="auto"/>
            </w:tcBorders>
            <w:shd w:val="clear" w:color="auto" w:fill="auto"/>
            <w:noWrap/>
            <w:vAlign w:val="bottom"/>
            <w:hideMark/>
          </w:tcPr>
          <w:p w14:paraId="5C6C889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Theme="minorHAnsi" w:hAnsiTheme="minorHAnsi"/>
                <w:snapToGrid/>
                <w:color w:val="000000"/>
                <w:sz w:val="20"/>
              </w:rPr>
              <w:t>-554</w:t>
            </w:r>
          </w:p>
        </w:tc>
        <w:tc>
          <w:tcPr>
            <w:tcW w:w="990" w:type="dxa"/>
            <w:tcBorders>
              <w:top w:val="nil"/>
              <w:left w:val="nil"/>
              <w:bottom w:val="single" w:sz="4" w:space="0" w:color="auto"/>
              <w:right w:val="single" w:sz="4" w:space="0" w:color="auto"/>
            </w:tcBorders>
            <w:vAlign w:val="bottom"/>
          </w:tcPr>
          <w:p w14:paraId="1CE18C2D" w14:textId="1F3E675A" w:rsidR="004E33CC" w:rsidRDefault="00F84850" w:rsidP="004E33CC">
            <w:pPr>
              <w:widowControl/>
              <w:spacing w:before="0" w:beforeAutospacing="0" w:after="0" w:afterAutospacing="0"/>
              <w:jc w:val="right"/>
              <w:rPr>
                <w:rFonts w:asciiTheme="minorHAnsi" w:hAnsiTheme="minorHAnsi"/>
                <w:snapToGrid/>
                <w:color w:val="000000"/>
                <w:sz w:val="20"/>
              </w:rPr>
            </w:pPr>
            <w:r>
              <w:rPr>
                <w:rFonts w:asciiTheme="minorHAnsi" w:hAnsiTheme="minorHAnsi"/>
                <w:snapToGrid/>
                <w:color w:val="000000"/>
                <w:sz w:val="20"/>
              </w:rPr>
              <w:t>0</w:t>
            </w:r>
          </w:p>
        </w:tc>
        <w:tc>
          <w:tcPr>
            <w:tcW w:w="990" w:type="dxa"/>
            <w:tcBorders>
              <w:top w:val="nil"/>
              <w:left w:val="nil"/>
              <w:bottom w:val="single" w:sz="4" w:space="0" w:color="auto"/>
              <w:right w:val="single" w:sz="4" w:space="0" w:color="auto"/>
            </w:tcBorders>
            <w:vAlign w:val="bottom"/>
          </w:tcPr>
          <w:p w14:paraId="13CB4E0D" w14:textId="380F9B9F" w:rsidR="004E33CC" w:rsidRDefault="00F84850" w:rsidP="0083444F">
            <w:pPr>
              <w:widowControl/>
              <w:spacing w:before="0" w:beforeAutospacing="0" w:after="0" w:afterAutospacing="0"/>
              <w:jc w:val="right"/>
              <w:rPr>
                <w:rFonts w:asciiTheme="minorHAnsi" w:hAnsiTheme="minorHAnsi"/>
                <w:snapToGrid/>
                <w:color w:val="000000"/>
                <w:sz w:val="20"/>
              </w:rPr>
            </w:pPr>
            <w:r>
              <w:rPr>
                <w:rFonts w:asciiTheme="minorHAnsi" w:hAnsiTheme="minorHAnsi"/>
                <w:snapToGrid/>
                <w:color w:val="000000"/>
                <w:sz w:val="20"/>
              </w:rPr>
              <w:t>-554</w:t>
            </w:r>
          </w:p>
        </w:tc>
      </w:tr>
      <w:tr w:rsidR="004E33CC" w:rsidRPr="005C6DD6" w14:paraId="245077AA" w14:textId="797E08EF"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7E81EFEB"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EIA-816, Monthly Natural Gas Liquids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59DE0208"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451</w:t>
            </w:r>
          </w:p>
        </w:tc>
        <w:tc>
          <w:tcPr>
            <w:tcW w:w="900" w:type="dxa"/>
            <w:tcBorders>
              <w:top w:val="nil"/>
              <w:left w:val="nil"/>
              <w:bottom w:val="single" w:sz="4" w:space="0" w:color="auto"/>
              <w:right w:val="single" w:sz="4" w:space="0" w:color="auto"/>
            </w:tcBorders>
            <w:shd w:val="clear" w:color="auto" w:fill="auto"/>
            <w:noWrap/>
            <w:vAlign w:val="bottom"/>
            <w:hideMark/>
          </w:tcPr>
          <w:p w14:paraId="3500C9E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451</w:t>
            </w:r>
          </w:p>
        </w:tc>
        <w:tc>
          <w:tcPr>
            <w:tcW w:w="1080" w:type="dxa"/>
            <w:tcBorders>
              <w:top w:val="nil"/>
              <w:left w:val="nil"/>
              <w:bottom w:val="single" w:sz="4" w:space="0" w:color="auto"/>
              <w:right w:val="single" w:sz="4" w:space="0" w:color="auto"/>
            </w:tcBorders>
            <w:shd w:val="clear" w:color="FFFFFF" w:fill="D9D9D9"/>
            <w:noWrap/>
            <w:vAlign w:val="bottom"/>
            <w:hideMark/>
          </w:tcPr>
          <w:p w14:paraId="7A4E19A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0.95</w:t>
            </w:r>
          </w:p>
        </w:tc>
        <w:tc>
          <w:tcPr>
            <w:tcW w:w="1080" w:type="dxa"/>
            <w:tcBorders>
              <w:top w:val="nil"/>
              <w:left w:val="nil"/>
              <w:bottom w:val="single" w:sz="4" w:space="0" w:color="auto"/>
              <w:right w:val="single" w:sz="4" w:space="0" w:color="auto"/>
            </w:tcBorders>
            <w:shd w:val="clear" w:color="FFFFFF" w:fill="FFFFFF"/>
            <w:noWrap/>
            <w:vAlign w:val="bottom"/>
            <w:hideMark/>
          </w:tcPr>
          <w:p w14:paraId="2139FB4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0.95</w:t>
            </w:r>
          </w:p>
        </w:tc>
        <w:tc>
          <w:tcPr>
            <w:tcW w:w="900" w:type="dxa"/>
            <w:tcBorders>
              <w:top w:val="nil"/>
              <w:left w:val="nil"/>
              <w:bottom w:val="single" w:sz="4" w:space="0" w:color="auto"/>
              <w:right w:val="single" w:sz="4" w:space="0" w:color="auto"/>
            </w:tcBorders>
            <w:shd w:val="clear" w:color="000000" w:fill="D9D9D9"/>
            <w:noWrap/>
            <w:vAlign w:val="bottom"/>
            <w:hideMark/>
          </w:tcPr>
          <w:p w14:paraId="48687DEC"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5,141</w:t>
            </w:r>
          </w:p>
        </w:tc>
        <w:tc>
          <w:tcPr>
            <w:tcW w:w="900" w:type="dxa"/>
            <w:tcBorders>
              <w:top w:val="nil"/>
              <w:left w:val="nil"/>
              <w:bottom w:val="single" w:sz="4" w:space="0" w:color="auto"/>
              <w:right w:val="single" w:sz="4" w:space="0" w:color="auto"/>
            </w:tcBorders>
            <w:shd w:val="clear" w:color="auto" w:fill="auto"/>
            <w:noWrap/>
            <w:vAlign w:val="bottom"/>
            <w:hideMark/>
          </w:tcPr>
          <w:p w14:paraId="6BB39EFF"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5,141</w:t>
            </w:r>
          </w:p>
        </w:tc>
        <w:tc>
          <w:tcPr>
            <w:tcW w:w="810" w:type="dxa"/>
            <w:tcBorders>
              <w:top w:val="nil"/>
              <w:left w:val="nil"/>
              <w:bottom w:val="single" w:sz="4" w:space="0" w:color="auto"/>
              <w:right w:val="single" w:sz="4" w:space="0" w:color="auto"/>
            </w:tcBorders>
            <w:shd w:val="clear" w:color="auto" w:fill="auto"/>
            <w:noWrap/>
            <w:vAlign w:val="bottom"/>
            <w:hideMark/>
          </w:tcPr>
          <w:p w14:paraId="64E79BC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7329AC36" w14:textId="282B719B" w:rsidR="004E33CC" w:rsidRDefault="0082508C"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20C08955" w14:textId="2633B174" w:rsidR="004E33CC" w:rsidRDefault="0082508C" w:rsidP="0083444F">
            <w:pPr>
              <w:widowControl/>
              <w:spacing w:before="0" w:beforeAutospacing="0" w:after="0" w:afterAutospacing="0"/>
              <w:jc w:val="right"/>
              <w:rPr>
                <w:rFonts w:ascii="Calibri" w:hAnsi="Calibri"/>
                <w:color w:val="000000"/>
                <w:sz w:val="20"/>
              </w:rPr>
            </w:pPr>
            <w:r>
              <w:rPr>
                <w:rFonts w:ascii="Calibri" w:hAnsi="Calibri"/>
                <w:color w:val="000000"/>
                <w:sz w:val="20"/>
              </w:rPr>
              <w:t>0</w:t>
            </w:r>
          </w:p>
        </w:tc>
      </w:tr>
      <w:tr w:rsidR="004E33CC" w:rsidRPr="005C6DD6" w14:paraId="6937A268" w14:textId="15614325"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3E0B8216"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EIA-817, Monthly Tanker and Barge Move</w:t>
            </w:r>
            <w:r>
              <w:rPr>
                <w:rFonts w:asciiTheme="minorHAnsi" w:hAnsiTheme="minorHAnsi"/>
                <w:snapToGrid/>
                <w:color w:val="000000"/>
                <w:sz w:val="20"/>
              </w:rPr>
              <w:t>m</w:t>
            </w:r>
            <w:r w:rsidRPr="005C6DD6">
              <w:rPr>
                <w:rFonts w:asciiTheme="minorHAnsi" w:hAnsiTheme="minorHAnsi"/>
                <w:snapToGrid/>
                <w:color w:val="000000"/>
                <w:sz w:val="20"/>
              </w:rPr>
              <w:t>e</w:t>
            </w:r>
            <w:r>
              <w:rPr>
                <w:rFonts w:asciiTheme="minorHAnsi" w:hAnsiTheme="minorHAnsi"/>
                <w:snapToGrid/>
                <w:color w:val="000000"/>
                <w:sz w:val="20"/>
              </w:rPr>
              <w:t>n</w:t>
            </w:r>
            <w:r w:rsidRPr="005C6DD6">
              <w:rPr>
                <w:rFonts w:asciiTheme="minorHAnsi" w:hAnsiTheme="minorHAnsi"/>
                <w:snapToGrid/>
                <w:color w:val="000000"/>
                <w:sz w:val="20"/>
              </w:rPr>
              <w:t>t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5A8A4AD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34</w:t>
            </w:r>
          </w:p>
        </w:tc>
        <w:tc>
          <w:tcPr>
            <w:tcW w:w="900" w:type="dxa"/>
            <w:tcBorders>
              <w:top w:val="nil"/>
              <w:left w:val="nil"/>
              <w:bottom w:val="single" w:sz="4" w:space="0" w:color="auto"/>
              <w:right w:val="single" w:sz="4" w:space="0" w:color="auto"/>
            </w:tcBorders>
            <w:shd w:val="clear" w:color="auto" w:fill="auto"/>
            <w:noWrap/>
            <w:vAlign w:val="bottom"/>
            <w:hideMark/>
          </w:tcPr>
          <w:p w14:paraId="06666444"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35</w:t>
            </w:r>
          </w:p>
        </w:tc>
        <w:tc>
          <w:tcPr>
            <w:tcW w:w="1080" w:type="dxa"/>
            <w:tcBorders>
              <w:top w:val="nil"/>
              <w:left w:val="nil"/>
              <w:bottom w:val="single" w:sz="4" w:space="0" w:color="auto"/>
              <w:right w:val="single" w:sz="4" w:space="0" w:color="auto"/>
            </w:tcBorders>
            <w:shd w:val="clear" w:color="FFFFFF" w:fill="D9D9D9"/>
            <w:noWrap/>
            <w:vAlign w:val="bottom"/>
            <w:hideMark/>
          </w:tcPr>
          <w:p w14:paraId="21213AB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2.25</w:t>
            </w:r>
          </w:p>
        </w:tc>
        <w:tc>
          <w:tcPr>
            <w:tcW w:w="1080" w:type="dxa"/>
            <w:tcBorders>
              <w:top w:val="nil"/>
              <w:left w:val="nil"/>
              <w:bottom w:val="single" w:sz="4" w:space="0" w:color="auto"/>
              <w:right w:val="single" w:sz="4" w:space="0" w:color="auto"/>
            </w:tcBorders>
            <w:shd w:val="clear" w:color="FFFFFF" w:fill="FFFFFF"/>
            <w:noWrap/>
            <w:vAlign w:val="bottom"/>
            <w:hideMark/>
          </w:tcPr>
          <w:p w14:paraId="12D6C9FD"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2.25</w:t>
            </w:r>
          </w:p>
        </w:tc>
        <w:tc>
          <w:tcPr>
            <w:tcW w:w="900" w:type="dxa"/>
            <w:tcBorders>
              <w:top w:val="nil"/>
              <w:left w:val="nil"/>
              <w:bottom w:val="single" w:sz="4" w:space="0" w:color="auto"/>
              <w:right w:val="single" w:sz="4" w:space="0" w:color="auto"/>
            </w:tcBorders>
            <w:shd w:val="clear" w:color="000000" w:fill="D9D9D9"/>
            <w:noWrap/>
            <w:vAlign w:val="bottom"/>
            <w:hideMark/>
          </w:tcPr>
          <w:p w14:paraId="550FAF46"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918</w:t>
            </w:r>
          </w:p>
        </w:tc>
        <w:tc>
          <w:tcPr>
            <w:tcW w:w="900" w:type="dxa"/>
            <w:tcBorders>
              <w:top w:val="nil"/>
              <w:left w:val="nil"/>
              <w:bottom w:val="single" w:sz="4" w:space="0" w:color="auto"/>
              <w:right w:val="single" w:sz="4" w:space="0" w:color="auto"/>
            </w:tcBorders>
            <w:shd w:val="clear" w:color="auto" w:fill="auto"/>
            <w:noWrap/>
            <w:vAlign w:val="bottom"/>
            <w:hideMark/>
          </w:tcPr>
          <w:p w14:paraId="55C3EB64"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945</w:t>
            </w:r>
          </w:p>
        </w:tc>
        <w:tc>
          <w:tcPr>
            <w:tcW w:w="810" w:type="dxa"/>
            <w:tcBorders>
              <w:top w:val="nil"/>
              <w:left w:val="nil"/>
              <w:bottom w:val="single" w:sz="4" w:space="0" w:color="auto"/>
              <w:right w:val="single" w:sz="4" w:space="0" w:color="auto"/>
            </w:tcBorders>
            <w:shd w:val="clear" w:color="auto" w:fill="auto"/>
            <w:noWrap/>
            <w:vAlign w:val="bottom"/>
            <w:hideMark/>
          </w:tcPr>
          <w:p w14:paraId="582A48CC"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27</w:t>
            </w:r>
          </w:p>
        </w:tc>
        <w:tc>
          <w:tcPr>
            <w:tcW w:w="990" w:type="dxa"/>
            <w:tcBorders>
              <w:top w:val="nil"/>
              <w:left w:val="nil"/>
              <w:bottom w:val="single" w:sz="4" w:space="0" w:color="auto"/>
              <w:right w:val="single" w:sz="4" w:space="0" w:color="auto"/>
            </w:tcBorders>
            <w:vAlign w:val="bottom"/>
          </w:tcPr>
          <w:p w14:paraId="4F599DEF" w14:textId="171F59C4" w:rsidR="004E33CC" w:rsidRDefault="00F84850"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3C0CBC35" w14:textId="49D1F7E1" w:rsidR="004E33CC" w:rsidRDefault="00F84850" w:rsidP="0083444F">
            <w:pPr>
              <w:widowControl/>
              <w:spacing w:before="0" w:beforeAutospacing="0" w:after="0" w:afterAutospacing="0"/>
              <w:jc w:val="right"/>
              <w:rPr>
                <w:rFonts w:ascii="Calibri" w:hAnsi="Calibri"/>
                <w:color w:val="000000"/>
                <w:sz w:val="20"/>
              </w:rPr>
            </w:pPr>
            <w:r>
              <w:rPr>
                <w:rFonts w:ascii="Calibri" w:hAnsi="Calibri"/>
                <w:color w:val="000000"/>
                <w:sz w:val="20"/>
              </w:rPr>
              <w:t>27</w:t>
            </w:r>
          </w:p>
        </w:tc>
      </w:tr>
      <w:tr w:rsidR="004E33CC" w:rsidRPr="005C6DD6" w14:paraId="600CD5DD" w14:textId="4F9D03B0" w:rsidTr="00940518">
        <w:trPr>
          <w:trHeight w:val="510"/>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165E69FE"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EIA-819, Monthly Oxygenate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3F14F291"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203</w:t>
            </w:r>
          </w:p>
        </w:tc>
        <w:tc>
          <w:tcPr>
            <w:tcW w:w="900" w:type="dxa"/>
            <w:tcBorders>
              <w:top w:val="nil"/>
              <w:left w:val="nil"/>
              <w:bottom w:val="single" w:sz="4" w:space="0" w:color="auto"/>
              <w:right w:val="single" w:sz="4" w:space="0" w:color="auto"/>
            </w:tcBorders>
            <w:shd w:val="clear" w:color="auto" w:fill="auto"/>
            <w:noWrap/>
            <w:vAlign w:val="bottom"/>
            <w:hideMark/>
          </w:tcPr>
          <w:p w14:paraId="21AA6E7B"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202</w:t>
            </w:r>
          </w:p>
        </w:tc>
        <w:tc>
          <w:tcPr>
            <w:tcW w:w="1080" w:type="dxa"/>
            <w:tcBorders>
              <w:top w:val="nil"/>
              <w:left w:val="nil"/>
              <w:bottom w:val="single" w:sz="4" w:space="0" w:color="auto"/>
              <w:right w:val="single" w:sz="4" w:space="0" w:color="auto"/>
            </w:tcBorders>
            <w:shd w:val="clear" w:color="FFFFFF" w:fill="D9D9D9"/>
            <w:noWrap/>
            <w:vAlign w:val="bottom"/>
            <w:hideMark/>
          </w:tcPr>
          <w:p w14:paraId="225D3B4E"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1.60</w:t>
            </w:r>
          </w:p>
        </w:tc>
        <w:tc>
          <w:tcPr>
            <w:tcW w:w="1080" w:type="dxa"/>
            <w:tcBorders>
              <w:top w:val="nil"/>
              <w:left w:val="nil"/>
              <w:bottom w:val="single" w:sz="4" w:space="0" w:color="auto"/>
              <w:right w:val="single" w:sz="4" w:space="0" w:color="auto"/>
            </w:tcBorders>
            <w:shd w:val="clear" w:color="FFFFFF" w:fill="FFFFFF"/>
            <w:noWrap/>
            <w:vAlign w:val="bottom"/>
            <w:hideMark/>
          </w:tcPr>
          <w:p w14:paraId="6DB8D1E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1.60</w:t>
            </w:r>
          </w:p>
        </w:tc>
        <w:tc>
          <w:tcPr>
            <w:tcW w:w="900" w:type="dxa"/>
            <w:tcBorders>
              <w:top w:val="nil"/>
              <w:left w:val="nil"/>
              <w:bottom w:val="single" w:sz="4" w:space="0" w:color="auto"/>
              <w:right w:val="single" w:sz="4" w:space="0" w:color="auto"/>
            </w:tcBorders>
            <w:shd w:val="clear" w:color="000000" w:fill="D9D9D9"/>
            <w:noWrap/>
            <w:vAlign w:val="bottom"/>
            <w:hideMark/>
          </w:tcPr>
          <w:p w14:paraId="6659C8C9"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3,898</w:t>
            </w:r>
          </w:p>
        </w:tc>
        <w:tc>
          <w:tcPr>
            <w:tcW w:w="900" w:type="dxa"/>
            <w:tcBorders>
              <w:top w:val="nil"/>
              <w:left w:val="nil"/>
              <w:bottom w:val="single" w:sz="4" w:space="0" w:color="auto"/>
              <w:right w:val="single" w:sz="4" w:space="0" w:color="auto"/>
            </w:tcBorders>
            <w:shd w:val="clear" w:color="auto" w:fill="auto"/>
            <w:noWrap/>
            <w:vAlign w:val="bottom"/>
            <w:hideMark/>
          </w:tcPr>
          <w:p w14:paraId="1D78ABA7" w14:textId="2C1A9DE6" w:rsidR="004E33CC" w:rsidRPr="005C6DD6" w:rsidRDefault="004E33CC" w:rsidP="00BF5EBD">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3,87</w:t>
            </w:r>
            <w:r w:rsidR="00BF5EBD">
              <w:rPr>
                <w:rFonts w:ascii="Calibri" w:hAnsi="Calibri"/>
                <w:color w:val="000000"/>
                <w:sz w:val="20"/>
              </w:rPr>
              <w:t>8</w:t>
            </w:r>
          </w:p>
        </w:tc>
        <w:tc>
          <w:tcPr>
            <w:tcW w:w="810" w:type="dxa"/>
            <w:tcBorders>
              <w:top w:val="nil"/>
              <w:left w:val="nil"/>
              <w:bottom w:val="single" w:sz="4" w:space="0" w:color="auto"/>
              <w:right w:val="single" w:sz="4" w:space="0" w:color="auto"/>
            </w:tcBorders>
            <w:shd w:val="clear" w:color="auto" w:fill="auto"/>
            <w:noWrap/>
            <w:vAlign w:val="bottom"/>
            <w:hideMark/>
          </w:tcPr>
          <w:p w14:paraId="395DD6F9" w14:textId="204937DA" w:rsidR="004E33CC" w:rsidRPr="005C6DD6" w:rsidRDefault="004E33CC" w:rsidP="00BF5EBD">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w:t>
            </w:r>
            <w:r w:rsidR="00BF5EBD">
              <w:rPr>
                <w:rFonts w:ascii="Calibri" w:hAnsi="Calibri"/>
                <w:color w:val="000000"/>
                <w:sz w:val="20"/>
              </w:rPr>
              <w:t>20</w:t>
            </w:r>
          </w:p>
        </w:tc>
        <w:tc>
          <w:tcPr>
            <w:tcW w:w="990" w:type="dxa"/>
            <w:tcBorders>
              <w:top w:val="nil"/>
              <w:left w:val="nil"/>
              <w:bottom w:val="single" w:sz="4" w:space="0" w:color="auto"/>
              <w:right w:val="single" w:sz="4" w:space="0" w:color="auto"/>
            </w:tcBorders>
            <w:vAlign w:val="bottom"/>
          </w:tcPr>
          <w:p w14:paraId="55A346E3" w14:textId="28C384AE" w:rsidR="004E33CC" w:rsidRDefault="00F84850"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73E34508" w14:textId="0A269751" w:rsidR="004E33CC" w:rsidRDefault="00F84850" w:rsidP="00BF5EBD">
            <w:pPr>
              <w:widowControl/>
              <w:spacing w:before="0" w:beforeAutospacing="0" w:after="0" w:afterAutospacing="0"/>
              <w:jc w:val="right"/>
              <w:rPr>
                <w:rFonts w:ascii="Calibri" w:hAnsi="Calibri"/>
                <w:color w:val="000000"/>
                <w:sz w:val="20"/>
              </w:rPr>
            </w:pPr>
            <w:r>
              <w:rPr>
                <w:rFonts w:ascii="Calibri" w:hAnsi="Calibri"/>
                <w:color w:val="000000"/>
                <w:sz w:val="20"/>
              </w:rPr>
              <w:t>-</w:t>
            </w:r>
            <w:r w:rsidR="00BF5EBD">
              <w:rPr>
                <w:rFonts w:ascii="Calibri" w:hAnsi="Calibri"/>
                <w:color w:val="000000"/>
                <w:sz w:val="20"/>
              </w:rPr>
              <w:t>20</w:t>
            </w:r>
          </w:p>
        </w:tc>
      </w:tr>
      <w:tr w:rsidR="004E33CC" w:rsidRPr="005C6DD6" w14:paraId="696664D5" w14:textId="70DC4A8D" w:rsidTr="00940518">
        <w:trPr>
          <w:trHeight w:val="255"/>
        </w:trPr>
        <w:tc>
          <w:tcPr>
            <w:tcW w:w="2875" w:type="dxa"/>
            <w:tcBorders>
              <w:top w:val="nil"/>
              <w:left w:val="single" w:sz="4" w:space="0" w:color="auto"/>
              <w:bottom w:val="single" w:sz="4" w:space="0" w:color="auto"/>
              <w:right w:val="single" w:sz="4" w:space="0" w:color="auto"/>
            </w:tcBorders>
            <w:shd w:val="clear" w:color="000000" w:fill="D9D9D9"/>
            <w:vAlign w:val="bottom"/>
            <w:hideMark/>
          </w:tcPr>
          <w:p w14:paraId="67755D18" w14:textId="77777777" w:rsidR="004E33CC" w:rsidRPr="005C6DD6" w:rsidRDefault="004E33CC" w:rsidP="004E33CC">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Annual Survey</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1C814B72"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27381335"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80" w:type="dxa"/>
            <w:tcBorders>
              <w:top w:val="nil"/>
              <w:left w:val="nil"/>
              <w:bottom w:val="single" w:sz="4" w:space="0" w:color="auto"/>
              <w:right w:val="single" w:sz="4" w:space="0" w:color="auto"/>
            </w:tcBorders>
            <w:shd w:val="clear" w:color="FFFFFF" w:fill="D9D9D9"/>
            <w:noWrap/>
            <w:vAlign w:val="bottom"/>
            <w:hideMark/>
          </w:tcPr>
          <w:p w14:paraId="2D4593F9"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1080" w:type="dxa"/>
            <w:tcBorders>
              <w:top w:val="nil"/>
              <w:left w:val="nil"/>
              <w:bottom w:val="single" w:sz="4" w:space="0" w:color="auto"/>
              <w:right w:val="single" w:sz="4" w:space="0" w:color="auto"/>
            </w:tcBorders>
            <w:shd w:val="clear" w:color="FFFFFF" w:fill="FFFFFF"/>
            <w:noWrap/>
            <w:vAlign w:val="bottom"/>
            <w:hideMark/>
          </w:tcPr>
          <w:p w14:paraId="614A8861"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035ED1AD"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679E848E"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810" w:type="dxa"/>
            <w:tcBorders>
              <w:top w:val="nil"/>
              <w:left w:val="nil"/>
              <w:bottom w:val="single" w:sz="4" w:space="0" w:color="auto"/>
              <w:right w:val="single" w:sz="4" w:space="0" w:color="auto"/>
            </w:tcBorders>
            <w:shd w:val="clear" w:color="000000" w:fill="D9D9D9"/>
            <w:noWrap/>
            <w:vAlign w:val="bottom"/>
            <w:hideMark/>
          </w:tcPr>
          <w:p w14:paraId="475029F5"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Pr>
                <w:rFonts w:ascii="Calibri" w:hAnsi="Calibri"/>
                <w:color w:val="000000"/>
                <w:sz w:val="20"/>
              </w:rPr>
              <w:t> </w:t>
            </w:r>
          </w:p>
        </w:tc>
        <w:tc>
          <w:tcPr>
            <w:tcW w:w="990" w:type="dxa"/>
            <w:tcBorders>
              <w:top w:val="nil"/>
              <w:left w:val="nil"/>
              <w:bottom w:val="single" w:sz="4" w:space="0" w:color="auto"/>
              <w:right w:val="single" w:sz="4" w:space="0" w:color="auto"/>
            </w:tcBorders>
            <w:shd w:val="clear" w:color="000000" w:fill="D9D9D9"/>
            <w:vAlign w:val="bottom"/>
          </w:tcPr>
          <w:p w14:paraId="4E24ECCC" w14:textId="77777777" w:rsidR="004E33CC" w:rsidRDefault="004E33CC" w:rsidP="004A1FD2">
            <w:pPr>
              <w:widowControl/>
              <w:spacing w:before="0" w:beforeAutospacing="0" w:after="0" w:afterAutospacing="0"/>
              <w:jc w:val="right"/>
              <w:rPr>
                <w:rFonts w:ascii="Calibri" w:hAnsi="Calibri"/>
                <w:color w:val="000000"/>
                <w:sz w:val="20"/>
              </w:rPr>
            </w:pPr>
          </w:p>
        </w:tc>
        <w:tc>
          <w:tcPr>
            <w:tcW w:w="990" w:type="dxa"/>
            <w:tcBorders>
              <w:top w:val="nil"/>
              <w:left w:val="nil"/>
              <w:bottom w:val="single" w:sz="4" w:space="0" w:color="auto"/>
              <w:right w:val="single" w:sz="4" w:space="0" w:color="auto"/>
            </w:tcBorders>
            <w:shd w:val="clear" w:color="000000" w:fill="D9D9D9"/>
            <w:vAlign w:val="bottom"/>
          </w:tcPr>
          <w:p w14:paraId="799D2566" w14:textId="77777777" w:rsidR="004E33CC" w:rsidRDefault="004E33CC" w:rsidP="004A1FD2">
            <w:pPr>
              <w:widowControl/>
              <w:spacing w:before="0" w:beforeAutospacing="0" w:after="0" w:afterAutospacing="0"/>
              <w:jc w:val="right"/>
              <w:rPr>
                <w:rFonts w:ascii="Calibri" w:hAnsi="Calibri"/>
                <w:color w:val="000000"/>
                <w:sz w:val="20"/>
              </w:rPr>
            </w:pPr>
          </w:p>
        </w:tc>
      </w:tr>
      <w:tr w:rsidR="004E33CC" w:rsidRPr="005C6DD6" w14:paraId="2B156931" w14:textId="1CB0AB59" w:rsidTr="00940518">
        <w:trPr>
          <w:trHeight w:val="404"/>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18372E80" w14:textId="77777777" w:rsidR="004E33CC" w:rsidRPr="005C6DD6" w:rsidRDefault="004E33CC" w:rsidP="004E33CC">
            <w:pPr>
              <w:widowControl/>
              <w:spacing w:before="0" w:beforeAutospacing="0" w:after="0" w:afterAutospacing="0"/>
              <w:jc w:val="left"/>
              <w:rPr>
                <w:rFonts w:asciiTheme="minorHAnsi" w:hAnsiTheme="minorHAnsi"/>
                <w:snapToGrid/>
                <w:color w:val="000000"/>
                <w:sz w:val="20"/>
              </w:rPr>
            </w:pPr>
            <w:r w:rsidRPr="005C6DD6">
              <w:rPr>
                <w:rFonts w:asciiTheme="minorHAnsi" w:hAnsiTheme="minorHAnsi"/>
                <w:snapToGrid/>
                <w:color w:val="000000"/>
                <w:sz w:val="20"/>
              </w:rPr>
              <w:t>EIA-820, Annual Refinery Report</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17FFA64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144</w:t>
            </w:r>
          </w:p>
        </w:tc>
        <w:tc>
          <w:tcPr>
            <w:tcW w:w="900" w:type="dxa"/>
            <w:tcBorders>
              <w:top w:val="nil"/>
              <w:left w:val="nil"/>
              <w:bottom w:val="single" w:sz="4" w:space="0" w:color="auto"/>
              <w:right w:val="single" w:sz="4" w:space="0" w:color="auto"/>
            </w:tcBorders>
            <w:shd w:val="clear" w:color="auto" w:fill="auto"/>
            <w:noWrap/>
            <w:vAlign w:val="bottom"/>
            <w:hideMark/>
          </w:tcPr>
          <w:p w14:paraId="459B2AC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141</w:t>
            </w:r>
          </w:p>
        </w:tc>
        <w:tc>
          <w:tcPr>
            <w:tcW w:w="1080" w:type="dxa"/>
            <w:tcBorders>
              <w:top w:val="nil"/>
              <w:left w:val="nil"/>
              <w:bottom w:val="single" w:sz="4" w:space="0" w:color="auto"/>
              <w:right w:val="single" w:sz="4" w:space="0" w:color="auto"/>
            </w:tcBorders>
            <w:shd w:val="clear" w:color="FFFFFF" w:fill="D9D9D9"/>
            <w:noWrap/>
            <w:vAlign w:val="bottom"/>
            <w:hideMark/>
          </w:tcPr>
          <w:p w14:paraId="6CC57347"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2.00</w:t>
            </w:r>
          </w:p>
        </w:tc>
        <w:tc>
          <w:tcPr>
            <w:tcW w:w="1080" w:type="dxa"/>
            <w:tcBorders>
              <w:top w:val="nil"/>
              <w:left w:val="nil"/>
              <w:bottom w:val="single" w:sz="4" w:space="0" w:color="auto"/>
              <w:right w:val="single" w:sz="4" w:space="0" w:color="auto"/>
            </w:tcBorders>
            <w:shd w:val="clear" w:color="FFFFFF" w:fill="FFFFFF"/>
            <w:noWrap/>
            <w:vAlign w:val="bottom"/>
            <w:hideMark/>
          </w:tcPr>
          <w:p w14:paraId="6DE45A35"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2.00</w:t>
            </w:r>
          </w:p>
        </w:tc>
        <w:tc>
          <w:tcPr>
            <w:tcW w:w="900" w:type="dxa"/>
            <w:tcBorders>
              <w:top w:val="nil"/>
              <w:left w:val="nil"/>
              <w:bottom w:val="single" w:sz="4" w:space="0" w:color="auto"/>
              <w:right w:val="single" w:sz="4" w:space="0" w:color="auto"/>
            </w:tcBorders>
            <w:shd w:val="clear" w:color="000000" w:fill="D9D9D9"/>
            <w:noWrap/>
            <w:vAlign w:val="bottom"/>
            <w:hideMark/>
          </w:tcPr>
          <w:p w14:paraId="6C65A75A"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288</w:t>
            </w:r>
          </w:p>
        </w:tc>
        <w:tc>
          <w:tcPr>
            <w:tcW w:w="900" w:type="dxa"/>
            <w:tcBorders>
              <w:top w:val="nil"/>
              <w:left w:val="nil"/>
              <w:bottom w:val="single" w:sz="4" w:space="0" w:color="auto"/>
              <w:right w:val="single" w:sz="4" w:space="0" w:color="auto"/>
            </w:tcBorders>
            <w:shd w:val="clear" w:color="auto" w:fill="auto"/>
            <w:noWrap/>
            <w:vAlign w:val="bottom"/>
            <w:hideMark/>
          </w:tcPr>
          <w:p w14:paraId="12D20A87"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282</w:t>
            </w:r>
          </w:p>
        </w:tc>
        <w:tc>
          <w:tcPr>
            <w:tcW w:w="810" w:type="dxa"/>
            <w:tcBorders>
              <w:top w:val="nil"/>
              <w:left w:val="nil"/>
              <w:bottom w:val="single" w:sz="4" w:space="0" w:color="auto"/>
              <w:right w:val="single" w:sz="4" w:space="0" w:color="auto"/>
            </w:tcBorders>
            <w:shd w:val="clear" w:color="auto" w:fill="auto"/>
            <w:noWrap/>
            <w:vAlign w:val="bottom"/>
            <w:hideMark/>
          </w:tcPr>
          <w:p w14:paraId="1EEAA700"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-6</w:t>
            </w:r>
          </w:p>
        </w:tc>
        <w:tc>
          <w:tcPr>
            <w:tcW w:w="990" w:type="dxa"/>
            <w:tcBorders>
              <w:top w:val="nil"/>
              <w:left w:val="nil"/>
              <w:bottom w:val="single" w:sz="4" w:space="0" w:color="auto"/>
              <w:right w:val="single" w:sz="4" w:space="0" w:color="auto"/>
            </w:tcBorders>
            <w:vAlign w:val="bottom"/>
          </w:tcPr>
          <w:p w14:paraId="40AA4162" w14:textId="10107E2E" w:rsidR="004E33CC" w:rsidRDefault="00F84850" w:rsidP="004E33CC">
            <w:pPr>
              <w:widowControl/>
              <w:spacing w:before="0" w:beforeAutospacing="0" w:after="0" w:afterAutospacing="0"/>
              <w:jc w:val="right"/>
              <w:rPr>
                <w:rFonts w:ascii="Calibri" w:hAnsi="Calibri"/>
                <w:color w:val="000000"/>
                <w:sz w:val="20"/>
              </w:rPr>
            </w:pPr>
            <w:r>
              <w:rPr>
                <w:rFonts w:ascii="Calibri" w:hAnsi="Calibri"/>
                <w:color w:val="000000"/>
                <w:sz w:val="20"/>
              </w:rPr>
              <w:t>0</w:t>
            </w:r>
          </w:p>
        </w:tc>
        <w:tc>
          <w:tcPr>
            <w:tcW w:w="990" w:type="dxa"/>
            <w:tcBorders>
              <w:top w:val="nil"/>
              <w:left w:val="nil"/>
              <w:bottom w:val="single" w:sz="4" w:space="0" w:color="auto"/>
              <w:right w:val="single" w:sz="4" w:space="0" w:color="auto"/>
            </w:tcBorders>
            <w:vAlign w:val="bottom"/>
          </w:tcPr>
          <w:p w14:paraId="5E9B3473" w14:textId="63C57078" w:rsidR="004E33CC" w:rsidRDefault="00F84850" w:rsidP="0083444F">
            <w:pPr>
              <w:widowControl/>
              <w:spacing w:before="0" w:beforeAutospacing="0" w:after="0" w:afterAutospacing="0"/>
              <w:jc w:val="right"/>
              <w:rPr>
                <w:rFonts w:ascii="Calibri" w:hAnsi="Calibri"/>
                <w:color w:val="000000"/>
                <w:sz w:val="20"/>
              </w:rPr>
            </w:pPr>
            <w:r>
              <w:rPr>
                <w:rFonts w:ascii="Calibri" w:hAnsi="Calibri"/>
                <w:color w:val="000000"/>
                <w:sz w:val="20"/>
              </w:rPr>
              <w:t>-6</w:t>
            </w:r>
          </w:p>
        </w:tc>
      </w:tr>
      <w:tr w:rsidR="004E33CC" w:rsidRPr="005C6DD6" w14:paraId="042B1E3C" w14:textId="0338168B" w:rsidTr="00940518">
        <w:trPr>
          <w:trHeight w:val="25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14D7F" w14:textId="77777777" w:rsidR="004E33CC" w:rsidRPr="005C6DD6" w:rsidRDefault="004E33CC" w:rsidP="004E33CC">
            <w:pPr>
              <w:widowControl/>
              <w:spacing w:before="0" w:beforeAutospacing="0" w:after="0" w:afterAutospacing="0"/>
              <w:jc w:val="left"/>
              <w:rPr>
                <w:rFonts w:asciiTheme="minorHAnsi" w:hAnsiTheme="minorHAnsi"/>
                <w:b/>
                <w:bCs/>
                <w:snapToGrid/>
                <w:color w:val="000000"/>
                <w:sz w:val="20"/>
              </w:rPr>
            </w:pPr>
            <w:r w:rsidRPr="005C6DD6">
              <w:rPr>
                <w:rFonts w:asciiTheme="minorHAnsi" w:hAnsiTheme="minorHAnsi"/>
                <w:b/>
                <w:bCs/>
                <w:snapToGrid/>
                <w:color w:val="000000"/>
                <w:sz w:val="20"/>
              </w:rPr>
              <w:t>TOTALS</w:t>
            </w:r>
          </w:p>
        </w:tc>
        <w:tc>
          <w:tcPr>
            <w:tcW w:w="900" w:type="dxa"/>
            <w:tcBorders>
              <w:top w:val="nil"/>
              <w:left w:val="single" w:sz="4" w:space="0" w:color="auto"/>
              <w:bottom w:val="single" w:sz="4" w:space="0" w:color="auto"/>
              <w:right w:val="single" w:sz="4" w:space="0" w:color="auto"/>
            </w:tcBorders>
            <w:shd w:val="clear" w:color="FFFFFF" w:fill="D9D9D9"/>
            <w:noWrap/>
            <w:vAlign w:val="bottom"/>
            <w:hideMark/>
          </w:tcPr>
          <w:p w14:paraId="68B6F307" w14:textId="77777777" w:rsidR="004E33CC" w:rsidRPr="005C6DD6" w:rsidRDefault="004E33CC" w:rsidP="004E33CC">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4491</w:t>
            </w:r>
          </w:p>
        </w:tc>
        <w:tc>
          <w:tcPr>
            <w:tcW w:w="900" w:type="dxa"/>
            <w:tcBorders>
              <w:top w:val="nil"/>
              <w:left w:val="nil"/>
              <w:bottom w:val="single" w:sz="4" w:space="0" w:color="auto"/>
              <w:right w:val="single" w:sz="4" w:space="0" w:color="auto"/>
            </w:tcBorders>
            <w:shd w:val="clear" w:color="auto" w:fill="auto"/>
            <w:noWrap/>
            <w:vAlign w:val="bottom"/>
            <w:hideMark/>
          </w:tcPr>
          <w:p w14:paraId="4D9630FA" w14:textId="77777777" w:rsidR="004E33CC" w:rsidRPr="005C6DD6" w:rsidRDefault="004E33CC" w:rsidP="004E33CC">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4472</w:t>
            </w:r>
          </w:p>
        </w:tc>
        <w:tc>
          <w:tcPr>
            <w:tcW w:w="1080" w:type="dxa"/>
            <w:tcBorders>
              <w:top w:val="nil"/>
              <w:left w:val="nil"/>
              <w:bottom w:val="single" w:sz="4" w:space="0" w:color="auto"/>
              <w:right w:val="single" w:sz="4" w:space="0" w:color="auto"/>
            </w:tcBorders>
            <w:shd w:val="clear" w:color="FFFFFF" w:fill="D9D9D9"/>
            <w:noWrap/>
            <w:vAlign w:val="bottom"/>
          </w:tcPr>
          <w:p w14:paraId="15E1D412" w14:textId="77777777" w:rsidR="004E33CC" w:rsidRPr="005C6DD6" w:rsidRDefault="004E33CC" w:rsidP="004E33CC">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35.43</w:t>
            </w:r>
          </w:p>
        </w:tc>
        <w:tc>
          <w:tcPr>
            <w:tcW w:w="1080" w:type="dxa"/>
            <w:tcBorders>
              <w:top w:val="nil"/>
              <w:left w:val="nil"/>
              <w:bottom w:val="single" w:sz="4" w:space="0" w:color="auto"/>
              <w:right w:val="single" w:sz="4" w:space="0" w:color="auto"/>
            </w:tcBorders>
            <w:shd w:val="clear" w:color="FFFFFF" w:fill="FFFFFF"/>
            <w:noWrap/>
            <w:vAlign w:val="bottom"/>
          </w:tcPr>
          <w:p w14:paraId="13916393" w14:textId="77777777" w:rsidR="004E33CC" w:rsidRPr="005C6DD6" w:rsidRDefault="004E33CC" w:rsidP="004E33CC">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35.08</w:t>
            </w:r>
          </w:p>
        </w:tc>
        <w:tc>
          <w:tcPr>
            <w:tcW w:w="900" w:type="dxa"/>
            <w:tcBorders>
              <w:top w:val="nil"/>
              <w:left w:val="nil"/>
              <w:bottom w:val="single" w:sz="4" w:space="0" w:color="auto"/>
              <w:right w:val="single" w:sz="4" w:space="0" w:color="auto"/>
            </w:tcBorders>
            <w:shd w:val="clear" w:color="000000" w:fill="D9D9D9"/>
            <w:noWrap/>
            <w:vAlign w:val="bottom"/>
            <w:hideMark/>
          </w:tcPr>
          <w:p w14:paraId="4BA5B83F" w14:textId="77777777" w:rsidR="004E33CC" w:rsidRPr="005C6DD6" w:rsidRDefault="004E33CC" w:rsidP="004E33CC">
            <w:pPr>
              <w:widowControl/>
              <w:spacing w:before="0" w:beforeAutospacing="0" w:after="0" w:afterAutospacing="0"/>
              <w:jc w:val="right"/>
              <w:rPr>
                <w:rFonts w:asciiTheme="minorHAnsi" w:hAnsiTheme="minorHAnsi"/>
                <w:snapToGrid/>
                <w:color w:val="000000"/>
                <w:sz w:val="20"/>
              </w:rPr>
            </w:pPr>
            <w:r>
              <w:rPr>
                <w:rFonts w:ascii="Calibri" w:hAnsi="Calibri"/>
                <w:color w:val="000000"/>
                <w:sz w:val="20"/>
              </w:rPr>
              <w:t>213,562</w:t>
            </w:r>
          </w:p>
        </w:tc>
        <w:tc>
          <w:tcPr>
            <w:tcW w:w="900" w:type="dxa"/>
            <w:tcBorders>
              <w:top w:val="nil"/>
              <w:left w:val="nil"/>
              <w:bottom w:val="single" w:sz="4" w:space="0" w:color="auto"/>
              <w:right w:val="single" w:sz="4" w:space="0" w:color="auto"/>
            </w:tcBorders>
            <w:shd w:val="clear" w:color="auto" w:fill="auto"/>
            <w:noWrap/>
            <w:vAlign w:val="bottom"/>
            <w:hideMark/>
          </w:tcPr>
          <w:p w14:paraId="2F9A2B6B" w14:textId="46719959" w:rsidR="004E33CC" w:rsidRPr="005C6DD6" w:rsidRDefault="004E33CC" w:rsidP="00BF5EBD">
            <w:pPr>
              <w:widowControl/>
              <w:spacing w:before="0" w:beforeAutospacing="0" w:after="0" w:afterAutospacing="0"/>
              <w:jc w:val="right"/>
              <w:rPr>
                <w:rFonts w:asciiTheme="minorHAnsi" w:hAnsiTheme="minorHAnsi"/>
                <w:b/>
                <w:bCs/>
                <w:snapToGrid/>
                <w:color w:val="000000"/>
                <w:sz w:val="20"/>
              </w:rPr>
            </w:pPr>
            <w:r>
              <w:rPr>
                <w:rFonts w:ascii="Calibri" w:hAnsi="Calibri"/>
                <w:b/>
                <w:bCs/>
                <w:color w:val="000000"/>
                <w:sz w:val="20"/>
              </w:rPr>
              <w:t>210,89</w:t>
            </w:r>
            <w:r w:rsidR="00BF5EBD">
              <w:rPr>
                <w:rFonts w:ascii="Calibri" w:hAnsi="Calibri"/>
                <w:b/>
                <w:bCs/>
                <w:color w:val="000000"/>
                <w:sz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48807C3D" w14:textId="5758E6FA" w:rsidR="004E33CC" w:rsidRPr="005C6DD6" w:rsidRDefault="004E33CC" w:rsidP="00BF5EBD">
            <w:pPr>
              <w:widowControl/>
              <w:spacing w:before="0" w:beforeAutospacing="0" w:after="0" w:afterAutospacing="0"/>
              <w:jc w:val="right"/>
              <w:rPr>
                <w:rFonts w:asciiTheme="minorHAnsi" w:hAnsiTheme="minorHAnsi"/>
                <w:snapToGrid/>
                <w:color w:val="000000"/>
                <w:sz w:val="20"/>
              </w:rPr>
            </w:pPr>
            <w:r>
              <w:rPr>
                <w:rFonts w:asciiTheme="minorHAnsi" w:hAnsiTheme="minorHAnsi"/>
                <w:snapToGrid/>
                <w:color w:val="000000"/>
                <w:sz w:val="20"/>
              </w:rPr>
              <w:t>-26</w:t>
            </w:r>
            <w:r w:rsidR="00BF5EBD">
              <w:rPr>
                <w:rFonts w:asciiTheme="minorHAnsi" w:hAnsiTheme="minorHAnsi"/>
                <w:snapToGrid/>
                <w:color w:val="000000"/>
                <w:sz w:val="20"/>
              </w:rPr>
              <w:t>70</w:t>
            </w:r>
          </w:p>
        </w:tc>
        <w:tc>
          <w:tcPr>
            <w:tcW w:w="990" w:type="dxa"/>
            <w:tcBorders>
              <w:top w:val="nil"/>
              <w:left w:val="nil"/>
              <w:bottom w:val="single" w:sz="4" w:space="0" w:color="auto"/>
              <w:right w:val="single" w:sz="4" w:space="0" w:color="auto"/>
            </w:tcBorders>
            <w:vAlign w:val="bottom"/>
          </w:tcPr>
          <w:p w14:paraId="19C58227" w14:textId="5FDAA541" w:rsidR="004E33CC" w:rsidRDefault="00691E19" w:rsidP="00453F8C">
            <w:pPr>
              <w:widowControl/>
              <w:spacing w:before="0" w:beforeAutospacing="0" w:after="0" w:afterAutospacing="0"/>
              <w:jc w:val="right"/>
              <w:rPr>
                <w:rFonts w:asciiTheme="minorHAnsi" w:hAnsiTheme="minorHAnsi"/>
                <w:snapToGrid/>
                <w:color w:val="000000"/>
                <w:sz w:val="20"/>
              </w:rPr>
            </w:pPr>
            <w:r>
              <w:rPr>
                <w:rFonts w:asciiTheme="minorHAnsi" w:hAnsiTheme="minorHAnsi"/>
                <w:snapToGrid/>
                <w:color w:val="000000"/>
                <w:sz w:val="20"/>
              </w:rPr>
              <w:t>+</w:t>
            </w:r>
            <w:r w:rsidR="00453F8C">
              <w:rPr>
                <w:rFonts w:asciiTheme="minorHAnsi" w:hAnsiTheme="minorHAnsi"/>
                <w:snapToGrid/>
                <w:color w:val="000000"/>
                <w:sz w:val="20"/>
              </w:rPr>
              <w:t>12</w:t>
            </w:r>
          </w:p>
        </w:tc>
        <w:tc>
          <w:tcPr>
            <w:tcW w:w="990" w:type="dxa"/>
            <w:tcBorders>
              <w:top w:val="nil"/>
              <w:left w:val="nil"/>
              <w:bottom w:val="single" w:sz="4" w:space="0" w:color="auto"/>
              <w:right w:val="single" w:sz="4" w:space="0" w:color="auto"/>
            </w:tcBorders>
            <w:vAlign w:val="bottom"/>
          </w:tcPr>
          <w:p w14:paraId="491ED9BA" w14:textId="41DD7B4C" w:rsidR="004E33CC" w:rsidRDefault="009A6598" w:rsidP="00BF5EBD">
            <w:pPr>
              <w:widowControl/>
              <w:spacing w:before="0" w:beforeAutospacing="0" w:after="0" w:afterAutospacing="0"/>
              <w:jc w:val="right"/>
              <w:rPr>
                <w:rFonts w:asciiTheme="minorHAnsi" w:hAnsiTheme="minorHAnsi"/>
                <w:snapToGrid/>
                <w:color w:val="000000"/>
                <w:sz w:val="20"/>
              </w:rPr>
            </w:pPr>
            <w:r>
              <w:rPr>
                <w:rFonts w:asciiTheme="minorHAnsi" w:hAnsiTheme="minorHAnsi"/>
                <w:snapToGrid/>
                <w:color w:val="000000"/>
                <w:sz w:val="20"/>
              </w:rPr>
              <w:t>-</w:t>
            </w:r>
            <w:r w:rsidR="00453F8C">
              <w:rPr>
                <w:rFonts w:asciiTheme="minorHAnsi" w:hAnsiTheme="minorHAnsi"/>
                <w:snapToGrid/>
                <w:color w:val="000000"/>
                <w:sz w:val="20"/>
              </w:rPr>
              <w:t>2</w:t>
            </w:r>
            <w:r w:rsidR="003C706C">
              <w:rPr>
                <w:rFonts w:asciiTheme="minorHAnsi" w:hAnsiTheme="minorHAnsi"/>
                <w:snapToGrid/>
                <w:color w:val="000000"/>
                <w:sz w:val="20"/>
              </w:rPr>
              <w:t>68</w:t>
            </w:r>
            <w:r w:rsidR="00BF5EBD">
              <w:rPr>
                <w:rFonts w:asciiTheme="minorHAnsi" w:hAnsiTheme="minorHAnsi"/>
                <w:snapToGrid/>
                <w:color w:val="000000"/>
                <w:sz w:val="20"/>
              </w:rPr>
              <w:t>2</w:t>
            </w:r>
          </w:p>
        </w:tc>
      </w:tr>
    </w:tbl>
    <w:p w14:paraId="3FDB4416" w14:textId="76F3A308" w:rsidR="00F132D6" w:rsidRPr="005C6DD6" w:rsidRDefault="00F132D6" w:rsidP="00B7681A">
      <w:pPr>
        <w:pStyle w:val="Heading2"/>
        <w:rPr>
          <w:rFonts w:asciiTheme="minorHAnsi" w:hAnsiTheme="minorHAnsi"/>
        </w:rPr>
      </w:pPr>
      <w:r w:rsidRPr="005C6DD6">
        <w:rPr>
          <w:rFonts w:asciiTheme="minorHAnsi" w:hAnsiTheme="minorHAnsi"/>
        </w:rPr>
        <w:lastRenderedPageBreak/>
        <w:t>Data Collection and Publication</w:t>
      </w:r>
      <w:bookmarkEnd w:id="31"/>
    </w:p>
    <w:p w14:paraId="59CFE67E" w14:textId="77777777" w:rsidR="00F132D6" w:rsidRPr="00C8029A" w:rsidRDefault="00F132D6" w:rsidP="00B7681A">
      <w:pPr>
        <w:spacing w:before="120" w:beforeAutospacing="0" w:after="0" w:afterAutospacing="0"/>
        <w:jc w:val="left"/>
        <w:rPr>
          <w:rFonts w:ascii="Calibri" w:hAnsi="Calibri"/>
        </w:rPr>
      </w:pPr>
      <w:r w:rsidRPr="00C8029A">
        <w:rPr>
          <w:rFonts w:ascii="Calibri" w:hAnsi="Calibri"/>
        </w:rPr>
        <w:t>Plans to tabulate and publish data collected by the PSRS survey forms are as follows:</w:t>
      </w:r>
    </w:p>
    <w:p w14:paraId="17CA5C33" w14:textId="77777777" w:rsidR="00F132D6" w:rsidRPr="00C8029A" w:rsidRDefault="00F132D6" w:rsidP="00B7681A">
      <w:pPr>
        <w:spacing w:before="120" w:beforeAutospacing="0" w:after="0" w:afterAutospacing="0"/>
        <w:ind w:left="720" w:hanging="360"/>
        <w:jc w:val="left"/>
        <w:rPr>
          <w:rFonts w:ascii="Calibri" w:hAnsi="Calibri"/>
        </w:rPr>
      </w:pPr>
      <w:r w:rsidRPr="00C8029A">
        <w:rPr>
          <w:rFonts w:ascii="Calibri" w:hAnsi="Calibri"/>
        </w:rPr>
        <w:t>a.</w:t>
      </w:r>
      <w:r w:rsidRPr="00C8029A">
        <w:rPr>
          <w:rFonts w:ascii="Calibri" w:hAnsi="Calibri"/>
        </w:rPr>
        <w:tab/>
      </w:r>
      <w:r w:rsidRPr="00C8029A">
        <w:rPr>
          <w:rFonts w:ascii="Calibri" w:hAnsi="Calibri"/>
          <w:u w:val="single"/>
        </w:rPr>
        <w:t>Forms 800 through 809</w:t>
      </w:r>
    </w:p>
    <w:p w14:paraId="493FBDA2" w14:textId="77777777" w:rsidR="00F132D6" w:rsidRPr="00C8029A" w:rsidRDefault="00F132D6" w:rsidP="00B7681A">
      <w:pPr>
        <w:spacing w:before="120" w:beforeAutospacing="0"/>
        <w:ind w:left="720"/>
        <w:jc w:val="left"/>
        <w:rPr>
          <w:rFonts w:ascii="Calibri" w:hAnsi="Calibri"/>
        </w:rPr>
      </w:pPr>
      <w:r w:rsidRPr="00C8029A">
        <w:rPr>
          <w:rFonts w:ascii="Calibri" w:hAnsi="Calibri"/>
        </w:rPr>
        <w:t xml:space="preserve">The data reported on Forms EIA-800 through 809 are collected, reviewed, tabulated and used by EIA to produce weekly statistics on refinery capacity utilization, refinery inputs of crude oil, and production, stocks, and imports of selected products.  The data are collected by facsimile, Internet using secure file transfer, or PEDRO.  The data are published in the </w:t>
      </w:r>
      <w:r w:rsidR="00140B54">
        <w:rPr>
          <w:rFonts w:ascii="Calibri" w:hAnsi="Calibri"/>
        </w:rPr>
        <w:t>Weekly Petroleum Status Report (</w:t>
      </w:r>
      <w:r w:rsidRPr="00C8029A">
        <w:rPr>
          <w:rFonts w:ascii="Calibri" w:hAnsi="Calibri"/>
        </w:rPr>
        <w:t>WPSR</w:t>
      </w:r>
      <w:r w:rsidR="00140B54">
        <w:rPr>
          <w:rFonts w:ascii="Calibri" w:hAnsi="Calibri"/>
        </w:rPr>
        <w:t>)</w:t>
      </w:r>
      <w:r w:rsidRPr="00C8029A">
        <w:rPr>
          <w:rFonts w:ascii="Calibri" w:hAnsi="Calibri"/>
        </w:rPr>
        <w:t xml:space="preserve"> and the </w:t>
      </w:r>
      <w:r w:rsidR="00140B54">
        <w:rPr>
          <w:rFonts w:ascii="Calibri" w:hAnsi="Calibri"/>
        </w:rPr>
        <w:t>This Week in Petroleum (</w:t>
      </w:r>
      <w:r w:rsidRPr="00C8029A">
        <w:rPr>
          <w:rFonts w:ascii="Calibri" w:hAnsi="Calibri"/>
        </w:rPr>
        <w:t>TWIP</w:t>
      </w:r>
      <w:r w:rsidR="00140B54">
        <w:rPr>
          <w:rFonts w:ascii="Calibri" w:hAnsi="Calibri"/>
        </w:rPr>
        <w:t>)</w:t>
      </w:r>
      <w:r w:rsidRPr="00C8029A">
        <w:rPr>
          <w:rFonts w:ascii="Calibri" w:hAnsi="Calibri"/>
        </w:rPr>
        <w:t xml:space="preserve"> as well as used as preliminary estimates in the </w:t>
      </w:r>
      <w:r w:rsidR="00140B54">
        <w:rPr>
          <w:rFonts w:ascii="Calibri" w:hAnsi="Calibri"/>
        </w:rPr>
        <w:t>Petroleum Supply Monthly (</w:t>
      </w:r>
      <w:r w:rsidRPr="00C8029A">
        <w:rPr>
          <w:rFonts w:ascii="Calibri" w:hAnsi="Calibri"/>
        </w:rPr>
        <w:t>PSM</w:t>
      </w:r>
      <w:r w:rsidR="00140B54">
        <w:rPr>
          <w:rFonts w:ascii="Calibri" w:hAnsi="Calibri"/>
        </w:rPr>
        <w:t>)</w:t>
      </w:r>
      <w:r w:rsidRPr="00C8029A">
        <w:rPr>
          <w:rFonts w:ascii="Calibri" w:hAnsi="Calibri"/>
        </w:rPr>
        <w:t xml:space="preserve"> and </w:t>
      </w:r>
      <w:r w:rsidR="00140B54">
        <w:rPr>
          <w:rFonts w:ascii="Calibri" w:hAnsi="Calibri"/>
        </w:rPr>
        <w:t>Monthly Energy Review (</w:t>
      </w:r>
      <w:r w:rsidRPr="00C8029A">
        <w:rPr>
          <w:rFonts w:ascii="Calibri" w:hAnsi="Calibri"/>
        </w:rPr>
        <w:t>MER</w:t>
      </w:r>
      <w:r w:rsidR="00140B54">
        <w:rPr>
          <w:rFonts w:ascii="Calibri" w:hAnsi="Calibri"/>
        </w:rPr>
        <w:t>)</w:t>
      </w:r>
      <w:r w:rsidRPr="00C8029A">
        <w:rPr>
          <w:rFonts w:ascii="Calibri" w:hAnsi="Calibri"/>
        </w:rPr>
        <w:t>.</w:t>
      </w:r>
    </w:p>
    <w:p w14:paraId="2D5AD707" w14:textId="77777777" w:rsidR="00F132D6" w:rsidRPr="00C8029A" w:rsidRDefault="00F132D6" w:rsidP="00B7681A">
      <w:pPr>
        <w:spacing w:after="0" w:afterAutospacing="0"/>
        <w:ind w:left="720"/>
        <w:jc w:val="left"/>
        <w:rPr>
          <w:rFonts w:ascii="Calibri" w:hAnsi="Calibri"/>
        </w:rPr>
      </w:pPr>
      <w:r w:rsidRPr="00C8029A">
        <w:rPr>
          <w:rFonts w:ascii="Calibri" w:hAnsi="Calibri"/>
        </w:rPr>
        <w:t>The time schedule</w:t>
      </w:r>
      <w:r w:rsidR="00A1059C" w:rsidRPr="00C8029A">
        <w:rPr>
          <w:rFonts w:ascii="Calibri" w:hAnsi="Calibri"/>
        </w:rPr>
        <w:t xml:space="preserve"> for weeks without federal holidays</w:t>
      </w:r>
      <w:r w:rsidRPr="00C8029A">
        <w:rPr>
          <w:rFonts w:ascii="Calibri" w:hAnsi="Calibri"/>
        </w:rPr>
        <w:t xml:space="preserve"> for the collection, processing and submission of the final report for publishing is as follows:</w:t>
      </w:r>
    </w:p>
    <w:p w14:paraId="10F805F5" w14:textId="77777777" w:rsidR="00F132D6" w:rsidRPr="00C8029A" w:rsidRDefault="00F132D6" w:rsidP="00B7681A">
      <w:pPr>
        <w:pStyle w:val="BodyTextIndent"/>
        <w:numPr>
          <w:ilvl w:val="0"/>
          <w:numId w:val="3"/>
        </w:numPr>
        <w:spacing w:before="120" w:beforeAutospacing="0" w:after="0" w:afterAutospacing="0"/>
        <w:ind w:left="1440"/>
        <w:jc w:val="left"/>
        <w:rPr>
          <w:rFonts w:ascii="Calibri" w:hAnsi="Calibri"/>
        </w:rPr>
      </w:pPr>
      <w:r w:rsidRPr="00C8029A">
        <w:rPr>
          <w:rFonts w:ascii="Calibri" w:hAnsi="Calibri"/>
          <w:b/>
        </w:rPr>
        <w:t>Data collection due date</w:t>
      </w:r>
      <w:r w:rsidRPr="00C8029A">
        <w:rPr>
          <w:rFonts w:ascii="Calibri" w:hAnsi="Calibri"/>
        </w:rPr>
        <w:t xml:space="preserve">- reports must be received by 5:00 p.m. </w:t>
      </w:r>
      <w:r w:rsidR="00456483" w:rsidRPr="00C8029A">
        <w:rPr>
          <w:rFonts w:ascii="Calibri" w:hAnsi="Calibri"/>
        </w:rPr>
        <w:t>E</w:t>
      </w:r>
      <w:r w:rsidR="00FD137D" w:rsidRPr="00C8029A">
        <w:rPr>
          <w:rFonts w:ascii="Calibri" w:hAnsi="Calibri"/>
        </w:rPr>
        <w:t xml:space="preserve">astern </w:t>
      </w:r>
      <w:r w:rsidR="00456483" w:rsidRPr="00C8029A">
        <w:rPr>
          <w:rFonts w:ascii="Calibri" w:hAnsi="Calibri"/>
        </w:rPr>
        <w:t>T</w:t>
      </w:r>
      <w:r w:rsidR="00FD137D" w:rsidRPr="00C8029A">
        <w:rPr>
          <w:rFonts w:ascii="Calibri" w:hAnsi="Calibri"/>
        </w:rPr>
        <w:t>ime (</w:t>
      </w:r>
      <w:r w:rsidRPr="00C8029A">
        <w:rPr>
          <w:rFonts w:ascii="Calibri" w:hAnsi="Calibri"/>
        </w:rPr>
        <w:t>ET</w:t>
      </w:r>
      <w:r w:rsidR="00FD137D" w:rsidRPr="00C8029A">
        <w:rPr>
          <w:rFonts w:ascii="Calibri" w:hAnsi="Calibri"/>
        </w:rPr>
        <w:t>)</w:t>
      </w:r>
      <w:r w:rsidRPr="00C8029A">
        <w:rPr>
          <w:rFonts w:ascii="Calibri" w:hAnsi="Calibri"/>
        </w:rPr>
        <w:t xml:space="preserve"> on the Monday following the end of the report period.  The weekly report period begins at 7:01 a.m. ET on Friday and ends at 7:00 a.m. ET on the following Friday.</w:t>
      </w:r>
    </w:p>
    <w:p w14:paraId="16093663" w14:textId="77777777" w:rsidR="00F132D6" w:rsidRPr="00C8029A" w:rsidRDefault="00F132D6" w:rsidP="00B7681A">
      <w:pPr>
        <w:pStyle w:val="BodyTextIndent"/>
        <w:numPr>
          <w:ilvl w:val="0"/>
          <w:numId w:val="3"/>
        </w:numPr>
        <w:spacing w:before="120" w:beforeAutospacing="0" w:after="0" w:afterAutospacing="0"/>
        <w:ind w:left="1440"/>
        <w:jc w:val="left"/>
        <w:rPr>
          <w:rFonts w:ascii="Calibri" w:hAnsi="Calibri"/>
        </w:rPr>
      </w:pPr>
      <w:r w:rsidRPr="00C8029A">
        <w:rPr>
          <w:rFonts w:ascii="Calibri" w:hAnsi="Calibri"/>
          <w:b/>
        </w:rPr>
        <w:t>Closeout-</w:t>
      </w:r>
      <w:r w:rsidRPr="00C8029A">
        <w:rPr>
          <w:rFonts w:ascii="Calibri" w:hAnsi="Calibri"/>
        </w:rPr>
        <w:t xml:space="preserve"> The file is closed to any data additions or corrections on Tuesday</w:t>
      </w:r>
      <w:r w:rsidR="00C8029A">
        <w:rPr>
          <w:rFonts w:ascii="Calibri" w:hAnsi="Calibri"/>
        </w:rPr>
        <w:t xml:space="preserve"> by</w:t>
      </w:r>
      <w:r w:rsidRPr="00C8029A">
        <w:rPr>
          <w:rFonts w:ascii="Calibri" w:hAnsi="Calibri"/>
        </w:rPr>
        <w:t xml:space="preserve"> close of business.</w:t>
      </w:r>
    </w:p>
    <w:p w14:paraId="7A783825" w14:textId="77777777" w:rsidR="00E57780" w:rsidRPr="00C8029A" w:rsidRDefault="00F132D6" w:rsidP="00E57780">
      <w:pPr>
        <w:pStyle w:val="BodyTextIndent"/>
        <w:numPr>
          <w:ilvl w:val="0"/>
          <w:numId w:val="3"/>
        </w:numPr>
        <w:spacing w:before="120" w:beforeAutospacing="0" w:after="0" w:afterAutospacing="0"/>
        <w:ind w:left="1440"/>
        <w:jc w:val="left"/>
        <w:rPr>
          <w:rFonts w:ascii="Calibri" w:hAnsi="Calibri"/>
        </w:rPr>
      </w:pPr>
      <w:r w:rsidRPr="00C8029A">
        <w:rPr>
          <w:rFonts w:ascii="Calibri" w:hAnsi="Calibri"/>
          <w:b/>
        </w:rPr>
        <w:t>Data processing and analysis</w:t>
      </w:r>
      <w:r w:rsidR="00FD137D" w:rsidRPr="00C8029A">
        <w:rPr>
          <w:rFonts w:ascii="Calibri" w:hAnsi="Calibri"/>
        </w:rPr>
        <w:t xml:space="preserve"> - </w:t>
      </w:r>
      <w:r w:rsidRPr="00C8029A">
        <w:rPr>
          <w:rFonts w:ascii="Calibri" w:hAnsi="Calibri"/>
        </w:rPr>
        <w:t>the update</w:t>
      </w:r>
      <w:r w:rsidR="00FD137D" w:rsidRPr="00C8029A">
        <w:rPr>
          <w:rFonts w:ascii="Calibri" w:hAnsi="Calibri"/>
        </w:rPr>
        <w:t xml:space="preserve">s resulting from </w:t>
      </w:r>
      <w:r w:rsidRPr="00C8029A">
        <w:rPr>
          <w:rFonts w:ascii="Calibri" w:hAnsi="Calibri"/>
        </w:rPr>
        <w:t xml:space="preserve">data validation </w:t>
      </w:r>
      <w:r w:rsidR="00456483" w:rsidRPr="00C8029A">
        <w:rPr>
          <w:rFonts w:ascii="Calibri" w:hAnsi="Calibri"/>
        </w:rPr>
        <w:t xml:space="preserve">and editing </w:t>
      </w:r>
      <w:r w:rsidRPr="00C8029A">
        <w:rPr>
          <w:rFonts w:ascii="Calibri" w:hAnsi="Calibri"/>
        </w:rPr>
        <w:t xml:space="preserve">occur on Tuesday, and </w:t>
      </w:r>
      <w:r w:rsidR="00C603C6" w:rsidRPr="00C8029A">
        <w:rPr>
          <w:rFonts w:ascii="Calibri" w:hAnsi="Calibri"/>
        </w:rPr>
        <w:t xml:space="preserve">finalized </w:t>
      </w:r>
      <w:r w:rsidRPr="00C8029A">
        <w:rPr>
          <w:rFonts w:ascii="Calibri" w:hAnsi="Calibri"/>
        </w:rPr>
        <w:t>data are available by the close of business</w:t>
      </w:r>
      <w:r w:rsidR="00456483" w:rsidRPr="00C8029A">
        <w:rPr>
          <w:rFonts w:ascii="Calibri" w:hAnsi="Calibri"/>
        </w:rPr>
        <w:t>,</w:t>
      </w:r>
      <w:r w:rsidRPr="00C8029A">
        <w:rPr>
          <w:rFonts w:ascii="Calibri" w:hAnsi="Calibri"/>
        </w:rPr>
        <w:t xml:space="preserve"> Tuesday.</w:t>
      </w:r>
    </w:p>
    <w:p w14:paraId="710EEEE1" w14:textId="77777777" w:rsidR="00C2320E" w:rsidRPr="00C8029A" w:rsidRDefault="00F132D6" w:rsidP="003C5335">
      <w:pPr>
        <w:pStyle w:val="BodyTextIndent"/>
        <w:widowControl/>
        <w:numPr>
          <w:ilvl w:val="0"/>
          <w:numId w:val="3"/>
        </w:numPr>
        <w:autoSpaceDE w:val="0"/>
        <w:autoSpaceDN w:val="0"/>
        <w:adjustRightInd w:val="0"/>
        <w:spacing w:before="240" w:beforeAutospacing="0" w:after="0" w:afterAutospacing="0"/>
        <w:ind w:left="1440"/>
        <w:jc w:val="left"/>
        <w:rPr>
          <w:rFonts w:ascii="Calibri" w:hAnsi="Calibri"/>
        </w:rPr>
      </w:pPr>
      <w:r w:rsidRPr="00C8029A">
        <w:rPr>
          <w:rFonts w:ascii="Calibri" w:hAnsi="Calibri"/>
          <w:b/>
        </w:rPr>
        <w:t xml:space="preserve">Publication- </w:t>
      </w:r>
      <w:r w:rsidRPr="00C8029A">
        <w:rPr>
          <w:rFonts w:ascii="Calibri" w:hAnsi="Calibri"/>
        </w:rPr>
        <w:t xml:space="preserve">the data are published in the WPSR and the TWIP every Wednesday for the report period ending on the previous Friday. </w:t>
      </w:r>
      <w:r w:rsidR="00EE51CF" w:rsidRPr="00C8029A">
        <w:rPr>
          <w:rFonts w:ascii="Calibri" w:hAnsi="Calibri"/>
          <w:snapToGrid/>
          <w:szCs w:val="24"/>
        </w:rPr>
        <w:t>Tables 1 and 10-20 are released electronically through EIA’s website at 10:30 A.M. on Wednesday. The remainder of the tables in the</w:t>
      </w:r>
      <w:r w:rsidR="001A6D99">
        <w:rPr>
          <w:rFonts w:ascii="Calibri" w:hAnsi="Calibri"/>
          <w:snapToGrid/>
          <w:szCs w:val="24"/>
        </w:rPr>
        <w:t>se</w:t>
      </w:r>
      <w:r w:rsidR="00EE51CF" w:rsidRPr="00C8029A">
        <w:rPr>
          <w:rFonts w:ascii="Calibri" w:hAnsi="Calibri"/>
          <w:snapToGrid/>
          <w:szCs w:val="24"/>
        </w:rPr>
        <w:t xml:space="preserve"> publications are released at 1:00 P.M. on Wednesday. </w:t>
      </w:r>
    </w:p>
    <w:p w14:paraId="64EF2F4A" w14:textId="77777777" w:rsidR="000C651B" w:rsidRPr="00C8029A" w:rsidRDefault="000C651B" w:rsidP="00EE72AF">
      <w:pPr>
        <w:spacing w:before="360" w:beforeAutospacing="0" w:after="0" w:afterAutospacing="0"/>
        <w:ind w:left="720" w:hanging="360"/>
        <w:jc w:val="left"/>
        <w:rPr>
          <w:rFonts w:ascii="Calibri" w:hAnsi="Calibri"/>
        </w:rPr>
      </w:pPr>
      <w:r w:rsidRPr="00C8029A">
        <w:rPr>
          <w:rFonts w:ascii="Calibri" w:hAnsi="Calibri"/>
        </w:rPr>
        <w:t>b.</w:t>
      </w:r>
      <w:r w:rsidRPr="00C8029A">
        <w:rPr>
          <w:rFonts w:ascii="Calibri" w:hAnsi="Calibri"/>
        </w:rPr>
        <w:tab/>
      </w:r>
      <w:r w:rsidRPr="00C8029A">
        <w:rPr>
          <w:rFonts w:ascii="Calibri" w:hAnsi="Calibri"/>
          <w:u w:val="single"/>
        </w:rPr>
        <w:t>Forms EIA-810 through 817</w:t>
      </w:r>
      <w:r w:rsidR="00F0648E" w:rsidRPr="00C8029A">
        <w:rPr>
          <w:rFonts w:ascii="Calibri" w:hAnsi="Calibri"/>
          <w:u w:val="single"/>
        </w:rPr>
        <w:t xml:space="preserve">, </w:t>
      </w:r>
      <w:r w:rsidRPr="00C8029A">
        <w:rPr>
          <w:rFonts w:ascii="Calibri" w:hAnsi="Calibri"/>
          <w:u w:val="single"/>
        </w:rPr>
        <w:t>819</w:t>
      </w:r>
      <w:r w:rsidR="00F0648E" w:rsidRPr="00C8029A">
        <w:rPr>
          <w:rFonts w:ascii="Calibri" w:hAnsi="Calibri"/>
          <w:u w:val="single"/>
        </w:rPr>
        <w:t>, and 22M</w:t>
      </w:r>
    </w:p>
    <w:p w14:paraId="46F605F8" w14:textId="77777777" w:rsidR="000C651B" w:rsidRPr="00C8029A" w:rsidRDefault="000C651B" w:rsidP="00B7681A">
      <w:pPr>
        <w:spacing w:before="120" w:beforeAutospacing="0"/>
        <w:ind w:left="720"/>
        <w:jc w:val="left"/>
        <w:rPr>
          <w:rFonts w:ascii="Calibri" w:hAnsi="Calibri"/>
        </w:rPr>
      </w:pPr>
      <w:r w:rsidRPr="00C8029A">
        <w:rPr>
          <w:rFonts w:ascii="Calibri" w:hAnsi="Calibri"/>
        </w:rPr>
        <w:t xml:space="preserve">The data reported on these EIA survey forms are collected, reviewed, and tabulated and used </w:t>
      </w:r>
      <w:r w:rsidR="001517E0" w:rsidRPr="00C8029A">
        <w:rPr>
          <w:rFonts w:ascii="Calibri" w:hAnsi="Calibri"/>
        </w:rPr>
        <w:t xml:space="preserve">by EIA </w:t>
      </w:r>
      <w:r w:rsidRPr="00C8029A">
        <w:rPr>
          <w:rFonts w:ascii="Calibri" w:hAnsi="Calibri"/>
        </w:rPr>
        <w:t>to provide monthly statistics on stocks, production, inputs, receipts, shipments, and imports of crude oil</w:t>
      </w:r>
      <w:r w:rsidR="00F0648E" w:rsidRPr="00C8029A">
        <w:rPr>
          <w:rFonts w:ascii="Calibri" w:hAnsi="Calibri"/>
        </w:rPr>
        <w:t xml:space="preserve">, </w:t>
      </w:r>
      <w:r w:rsidRPr="00C8029A">
        <w:rPr>
          <w:rFonts w:ascii="Calibri" w:hAnsi="Calibri"/>
        </w:rPr>
        <w:t>petroleum products</w:t>
      </w:r>
      <w:r w:rsidR="00F0648E" w:rsidRPr="00C8029A">
        <w:rPr>
          <w:rFonts w:ascii="Calibri" w:hAnsi="Calibri"/>
        </w:rPr>
        <w:t>, and related biofuels</w:t>
      </w:r>
      <w:r w:rsidRPr="00C8029A">
        <w:rPr>
          <w:rFonts w:ascii="Calibri" w:hAnsi="Calibri"/>
        </w:rPr>
        <w:t xml:space="preserve">.  The data are collected by facsimile, </w:t>
      </w:r>
      <w:r w:rsidR="0009331A" w:rsidRPr="00C8029A">
        <w:rPr>
          <w:rFonts w:ascii="Calibri" w:hAnsi="Calibri"/>
        </w:rPr>
        <w:t>Internet</w:t>
      </w:r>
      <w:r w:rsidRPr="00C8029A">
        <w:rPr>
          <w:rFonts w:ascii="Calibri" w:hAnsi="Calibri"/>
        </w:rPr>
        <w:t xml:space="preserve"> using secure file transfer, or electronic transmission.  The data appear in several agency publications</w:t>
      </w:r>
      <w:r w:rsidR="001517E0" w:rsidRPr="00C8029A">
        <w:rPr>
          <w:rFonts w:ascii="Calibri" w:hAnsi="Calibri"/>
        </w:rPr>
        <w:t>, the</w:t>
      </w:r>
      <w:r w:rsidRPr="00C8029A">
        <w:rPr>
          <w:rFonts w:ascii="Calibri" w:hAnsi="Calibri"/>
        </w:rPr>
        <w:t xml:space="preserve"> most prominent </w:t>
      </w:r>
      <w:r w:rsidR="001517E0" w:rsidRPr="00C8029A">
        <w:rPr>
          <w:rFonts w:ascii="Calibri" w:hAnsi="Calibri"/>
        </w:rPr>
        <w:t xml:space="preserve">of which </w:t>
      </w:r>
      <w:r w:rsidRPr="00C8029A">
        <w:rPr>
          <w:rFonts w:ascii="Calibri" w:hAnsi="Calibri"/>
        </w:rPr>
        <w:t xml:space="preserve">are the </w:t>
      </w:r>
      <w:r w:rsidR="00955453">
        <w:rPr>
          <w:rFonts w:ascii="Calibri" w:hAnsi="Calibri"/>
        </w:rPr>
        <w:lastRenderedPageBreak/>
        <w:t>Monthly Biodiesel Production Report, Petroleum Supply Monthly, Petroleum Supply Annual, Monthly Energy Review,</w:t>
      </w:r>
      <w:r w:rsidRPr="00C8029A">
        <w:rPr>
          <w:rFonts w:ascii="Calibri" w:hAnsi="Calibri"/>
        </w:rPr>
        <w:t xml:space="preserve"> </w:t>
      </w:r>
      <w:r w:rsidR="00955453">
        <w:rPr>
          <w:rFonts w:ascii="Calibri" w:hAnsi="Calibri"/>
        </w:rPr>
        <w:t>and Annual Energy Review</w:t>
      </w:r>
      <w:r w:rsidRPr="00C8029A">
        <w:rPr>
          <w:rFonts w:ascii="Calibri" w:hAnsi="Calibri"/>
        </w:rPr>
        <w:t xml:space="preserve">. </w:t>
      </w:r>
      <w:r w:rsidR="00847830" w:rsidRPr="00C8029A">
        <w:rPr>
          <w:rFonts w:ascii="Calibri" w:hAnsi="Calibri"/>
        </w:rPr>
        <w:t xml:space="preserve"> </w:t>
      </w:r>
      <w:r w:rsidRPr="00C8029A">
        <w:rPr>
          <w:rFonts w:ascii="Calibri" w:hAnsi="Calibri"/>
        </w:rPr>
        <w:t>The</w:t>
      </w:r>
      <w:r w:rsidR="00955453">
        <w:rPr>
          <w:rFonts w:ascii="Calibri" w:hAnsi="Calibri"/>
        </w:rPr>
        <w:t>se</w:t>
      </w:r>
      <w:r w:rsidRPr="00C8029A">
        <w:rPr>
          <w:rFonts w:ascii="Calibri" w:hAnsi="Calibri"/>
        </w:rPr>
        <w:t xml:space="preserve"> data are also used in EIA’s State Energy Data System and for DOE short-term forecast models.</w:t>
      </w:r>
    </w:p>
    <w:p w14:paraId="674FDDFF" w14:textId="77777777" w:rsidR="000C651B" w:rsidRPr="00C8029A" w:rsidRDefault="000C651B" w:rsidP="00B7681A">
      <w:pPr>
        <w:spacing w:after="0" w:afterAutospacing="0"/>
        <w:ind w:left="720"/>
        <w:jc w:val="left"/>
        <w:rPr>
          <w:rFonts w:ascii="Calibri" w:hAnsi="Calibri"/>
        </w:rPr>
      </w:pPr>
      <w:r w:rsidRPr="00C8029A">
        <w:rPr>
          <w:rFonts w:ascii="Calibri" w:hAnsi="Calibri"/>
        </w:rPr>
        <w:t>The time schedule for the collection, processing, and submission of the final report for publication is as follows:</w:t>
      </w:r>
    </w:p>
    <w:p w14:paraId="7E0476D8" w14:textId="77777777" w:rsidR="005B5453" w:rsidRPr="00C8029A" w:rsidRDefault="004A57AA" w:rsidP="00B7681A">
      <w:pPr>
        <w:pStyle w:val="ListParagraph"/>
        <w:numPr>
          <w:ilvl w:val="0"/>
          <w:numId w:val="4"/>
        </w:numPr>
        <w:spacing w:before="120" w:beforeAutospacing="0" w:after="0" w:afterAutospacing="0"/>
        <w:ind w:left="1440"/>
        <w:contextualSpacing w:val="0"/>
        <w:jc w:val="left"/>
        <w:rPr>
          <w:rFonts w:ascii="Calibri" w:hAnsi="Calibri"/>
          <w:sz w:val="24"/>
          <w:szCs w:val="24"/>
        </w:rPr>
      </w:pPr>
      <w:r w:rsidRPr="00C8029A">
        <w:rPr>
          <w:rFonts w:ascii="Calibri" w:hAnsi="Calibri"/>
          <w:b/>
          <w:sz w:val="24"/>
          <w:szCs w:val="24"/>
        </w:rPr>
        <w:t>Data collection due date</w:t>
      </w:r>
      <w:r w:rsidR="00264A20" w:rsidRPr="00C8029A">
        <w:rPr>
          <w:rFonts w:ascii="Calibri" w:hAnsi="Calibri"/>
          <w:sz w:val="24"/>
          <w:szCs w:val="24"/>
        </w:rPr>
        <w:t>:</w:t>
      </w:r>
      <w:r w:rsidR="000C651B" w:rsidRPr="00C8029A">
        <w:rPr>
          <w:rFonts w:ascii="Calibri" w:hAnsi="Calibri"/>
          <w:sz w:val="24"/>
          <w:szCs w:val="24"/>
        </w:rPr>
        <w:t xml:space="preserve"> </w:t>
      </w:r>
      <w:r w:rsidR="00264A20" w:rsidRPr="00C8029A">
        <w:rPr>
          <w:rFonts w:ascii="Calibri" w:hAnsi="Calibri"/>
          <w:sz w:val="24"/>
          <w:szCs w:val="24"/>
        </w:rPr>
        <w:t>R</w:t>
      </w:r>
      <w:r w:rsidR="000C651B" w:rsidRPr="00C8029A">
        <w:rPr>
          <w:rFonts w:ascii="Calibri" w:hAnsi="Calibri"/>
          <w:sz w:val="24"/>
          <w:szCs w:val="24"/>
        </w:rPr>
        <w:t xml:space="preserve">eports must be </w:t>
      </w:r>
      <w:r w:rsidR="00D22F4C" w:rsidRPr="00C8029A">
        <w:rPr>
          <w:rFonts w:ascii="Calibri" w:hAnsi="Calibri"/>
          <w:sz w:val="24"/>
          <w:szCs w:val="24"/>
        </w:rPr>
        <w:t>received</w:t>
      </w:r>
      <w:r w:rsidR="000C651B" w:rsidRPr="00C8029A">
        <w:rPr>
          <w:rFonts w:ascii="Calibri" w:hAnsi="Calibri"/>
          <w:sz w:val="24"/>
          <w:szCs w:val="24"/>
        </w:rPr>
        <w:t xml:space="preserve"> by the 20th calendar day after the end of the report month.</w:t>
      </w:r>
    </w:p>
    <w:p w14:paraId="0C503C4D" w14:textId="77777777" w:rsidR="005B5453" w:rsidRPr="00C8029A" w:rsidRDefault="005B5453" w:rsidP="00B7681A">
      <w:pPr>
        <w:pStyle w:val="ListParagraph"/>
        <w:numPr>
          <w:ilvl w:val="0"/>
          <w:numId w:val="4"/>
        </w:numPr>
        <w:spacing w:before="120" w:beforeAutospacing="0" w:after="0" w:afterAutospacing="0"/>
        <w:ind w:left="1440"/>
        <w:contextualSpacing w:val="0"/>
        <w:jc w:val="left"/>
        <w:rPr>
          <w:rFonts w:ascii="Calibri" w:hAnsi="Calibri"/>
          <w:b/>
          <w:sz w:val="24"/>
          <w:szCs w:val="24"/>
        </w:rPr>
      </w:pPr>
      <w:r w:rsidRPr="00C8029A">
        <w:rPr>
          <w:rFonts w:ascii="Calibri" w:hAnsi="Calibri"/>
          <w:b/>
          <w:sz w:val="24"/>
          <w:szCs w:val="24"/>
        </w:rPr>
        <w:t xml:space="preserve">Data </w:t>
      </w:r>
      <w:r w:rsidR="00050081" w:rsidRPr="00C8029A">
        <w:rPr>
          <w:rFonts w:ascii="Calibri" w:hAnsi="Calibri"/>
          <w:b/>
          <w:sz w:val="24"/>
          <w:szCs w:val="24"/>
        </w:rPr>
        <w:t>Validation/</w:t>
      </w:r>
      <w:r w:rsidRPr="00C8029A">
        <w:rPr>
          <w:rFonts w:ascii="Calibri" w:hAnsi="Calibri"/>
          <w:b/>
          <w:sz w:val="24"/>
          <w:szCs w:val="24"/>
        </w:rPr>
        <w:t>Editing</w:t>
      </w:r>
      <w:r w:rsidR="00264A20" w:rsidRPr="00C8029A">
        <w:rPr>
          <w:rFonts w:ascii="Calibri" w:hAnsi="Calibri"/>
          <w:b/>
          <w:sz w:val="24"/>
          <w:szCs w:val="24"/>
        </w:rPr>
        <w:t xml:space="preserve">: </w:t>
      </w:r>
      <w:r w:rsidRPr="00C8029A">
        <w:rPr>
          <w:rFonts w:ascii="Calibri" w:hAnsi="Calibri"/>
          <w:sz w:val="24"/>
          <w:szCs w:val="24"/>
        </w:rPr>
        <w:t xml:space="preserve">Automated </w:t>
      </w:r>
      <w:r w:rsidR="00050081" w:rsidRPr="00C8029A">
        <w:rPr>
          <w:rFonts w:ascii="Calibri" w:hAnsi="Calibri"/>
          <w:sz w:val="24"/>
          <w:szCs w:val="24"/>
        </w:rPr>
        <w:t>validation rules/</w:t>
      </w:r>
      <w:r w:rsidRPr="00C8029A">
        <w:rPr>
          <w:rFonts w:ascii="Calibri" w:hAnsi="Calibri"/>
          <w:sz w:val="24"/>
          <w:szCs w:val="24"/>
        </w:rPr>
        <w:t>edits are run on monthly survey data according to rules defined in the Standard Energy Processing System (STEPS).  Edit failures help with identification of data items that require further investigation with reporting companies</w:t>
      </w:r>
      <w:r w:rsidR="00477A5B" w:rsidRPr="00C8029A">
        <w:rPr>
          <w:rFonts w:ascii="Calibri" w:hAnsi="Calibri"/>
          <w:sz w:val="24"/>
          <w:szCs w:val="24"/>
        </w:rPr>
        <w:t xml:space="preserve">.  </w:t>
      </w:r>
      <w:r w:rsidRPr="00C8029A">
        <w:rPr>
          <w:rFonts w:ascii="Calibri" w:hAnsi="Calibri"/>
          <w:sz w:val="24"/>
          <w:szCs w:val="24"/>
        </w:rPr>
        <w:t>Depending on the situation, resolution of edit failures may include acceptance of data as reported, contacting reporting companies for further explanation and possibly resubmission of the reported data with corrections, or imputation by EIA.</w:t>
      </w:r>
    </w:p>
    <w:p w14:paraId="7D2604F3" w14:textId="77777777" w:rsidR="000C651B" w:rsidRPr="00C8029A" w:rsidRDefault="004A57AA" w:rsidP="00B7681A">
      <w:pPr>
        <w:pStyle w:val="ListParagraph"/>
        <w:numPr>
          <w:ilvl w:val="0"/>
          <w:numId w:val="4"/>
        </w:numPr>
        <w:spacing w:before="120" w:beforeAutospacing="0" w:after="0" w:afterAutospacing="0"/>
        <w:ind w:left="1440"/>
        <w:contextualSpacing w:val="0"/>
        <w:jc w:val="left"/>
        <w:rPr>
          <w:rFonts w:ascii="Calibri" w:hAnsi="Calibri"/>
          <w:sz w:val="24"/>
          <w:szCs w:val="24"/>
        </w:rPr>
      </w:pPr>
      <w:r w:rsidRPr="00C8029A">
        <w:rPr>
          <w:rFonts w:ascii="Calibri" w:hAnsi="Calibri"/>
          <w:b/>
          <w:sz w:val="24"/>
          <w:szCs w:val="24"/>
        </w:rPr>
        <w:t>Closeout</w:t>
      </w:r>
      <w:r w:rsidR="00264A20" w:rsidRPr="00C8029A">
        <w:rPr>
          <w:rFonts w:ascii="Calibri" w:hAnsi="Calibri"/>
          <w:b/>
          <w:sz w:val="24"/>
          <w:szCs w:val="24"/>
        </w:rPr>
        <w:t>:</w:t>
      </w:r>
      <w:r w:rsidR="00264A20" w:rsidRPr="00C8029A">
        <w:rPr>
          <w:rFonts w:ascii="Calibri" w:hAnsi="Calibri"/>
          <w:sz w:val="24"/>
          <w:szCs w:val="24"/>
        </w:rPr>
        <w:t xml:space="preserve"> T</w:t>
      </w:r>
      <w:r w:rsidR="000C651B" w:rsidRPr="00C8029A">
        <w:rPr>
          <w:rFonts w:ascii="Calibri" w:hAnsi="Calibri"/>
          <w:sz w:val="24"/>
          <w:szCs w:val="24"/>
        </w:rPr>
        <w:t xml:space="preserve">he file is closed to additions and corrections on the </w:t>
      </w:r>
      <w:r w:rsidR="007F116D" w:rsidRPr="00C8029A">
        <w:rPr>
          <w:rFonts w:ascii="Calibri" w:hAnsi="Calibri"/>
          <w:sz w:val="24"/>
          <w:szCs w:val="24"/>
        </w:rPr>
        <w:t>10th</w:t>
      </w:r>
      <w:r w:rsidR="000C651B" w:rsidRPr="00C8029A">
        <w:rPr>
          <w:rFonts w:ascii="Calibri" w:hAnsi="Calibri"/>
          <w:sz w:val="24"/>
          <w:szCs w:val="24"/>
        </w:rPr>
        <w:t xml:space="preserve"> calendar day of the second month following the report month </w:t>
      </w:r>
    </w:p>
    <w:p w14:paraId="3698DA36" w14:textId="77777777" w:rsidR="000C651B" w:rsidRPr="00C8029A" w:rsidRDefault="006B0CFB" w:rsidP="00B7681A">
      <w:pPr>
        <w:pStyle w:val="ListParagraph"/>
        <w:numPr>
          <w:ilvl w:val="0"/>
          <w:numId w:val="4"/>
        </w:numPr>
        <w:spacing w:before="120" w:beforeAutospacing="0" w:after="0" w:afterAutospacing="0"/>
        <w:ind w:left="1440"/>
        <w:contextualSpacing w:val="0"/>
        <w:jc w:val="left"/>
        <w:rPr>
          <w:rFonts w:ascii="Calibri" w:hAnsi="Calibri"/>
          <w:sz w:val="24"/>
          <w:szCs w:val="24"/>
        </w:rPr>
      </w:pPr>
      <w:r w:rsidRPr="00C8029A">
        <w:rPr>
          <w:rFonts w:ascii="Calibri" w:hAnsi="Calibri"/>
          <w:b/>
          <w:sz w:val="24"/>
          <w:szCs w:val="24"/>
        </w:rPr>
        <w:t xml:space="preserve">Data </w:t>
      </w:r>
      <w:r w:rsidR="005B5453" w:rsidRPr="00C8029A">
        <w:rPr>
          <w:rFonts w:ascii="Calibri" w:hAnsi="Calibri"/>
          <w:b/>
          <w:sz w:val="24"/>
          <w:szCs w:val="24"/>
        </w:rPr>
        <w:t>Analysis and Validation</w:t>
      </w:r>
      <w:r w:rsidR="00264A20" w:rsidRPr="00C8029A">
        <w:rPr>
          <w:rFonts w:ascii="Calibri" w:hAnsi="Calibri"/>
          <w:b/>
          <w:sz w:val="24"/>
          <w:szCs w:val="24"/>
        </w:rPr>
        <w:t>:</w:t>
      </w:r>
      <w:r w:rsidR="005B5453" w:rsidRPr="00C8029A">
        <w:rPr>
          <w:rFonts w:ascii="Calibri" w:hAnsi="Calibri"/>
          <w:sz w:val="24"/>
          <w:szCs w:val="24"/>
        </w:rPr>
        <w:t xml:space="preserve"> Data are compiled in a form similar to how they will be published including cr</w:t>
      </w:r>
      <w:r w:rsidR="00477A5B" w:rsidRPr="00C8029A">
        <w:rPr>
          <w:rFonts w:ascii="Calibri" w:hAnsi="Calibri"/>
          <w:sz w:val="24"/>
          <w:szCs w:val="24"/>
        </w:rPr>
        <w:t xml:space="preserve">ude oil production and exports, </w:t>
      </w:r>
      <w:r w:rsidR="00E832FF" w:rsidRPr="00C8029A">
        <w:rPr>
          <w:rFonts w:ascii="Calibri" w:hAnsi="Calibri"/>
          <w:sz w:val="24"/>
          <w:szCs w:val="24"/>
        </w:rPr>
        <w:t xml:space="preserve">which </w:t>
      </w:r>
      <w:r w:rsidR="005B5453" w:rsidRPr="00C8029A">
        <w:rPr>
          <w:rFonts w:ascii="Calibri" w:hAnsi="Calibri"/>
          <w:sz w:val="24"/>
          <w:szCs w:val="24"/>
        </w:rPr>
        <w:t>come from sources outside of the PSRS, a</w:t>
      </w:r>
      <w:r w:rsidR="00463D8B" w:rsidRPr="00C8029A">
        <w:rPr>
          <w:rFonts w:ascii="Calibri" w:hAnsi="Calibri"/>
          <w:sz w:val="24"/>
          <w:szCs w:val="24"/>
        </w:rPr>
        <w:t>s well as</w:t>
      </w:r>
      <w:r w:rsidR="005B5453" w:rsidRPr="00C8029A">
        <w:rPr>
          <w:rFonts w:ascii="Calibri" w:hAnsi="Calibri"/>
          <w:sz w:val="24"/>
          <w:szCs w:val="24"/>
        </w:rPr>
        <w:t xml:space="preserve"> </w:t>
      </w:r>
      <w:r w:rsidR="00463D8B" w:rsidRPr="00C8029A">
        <w:rPr>
          <w:rFonts w:ascii="Calibri" w:hAnsi="Calibri"/>
          <w:sz w:val="24"/>
          <w:szCs w:val="24"/>
        </w:rPr>
        <w:t>derived data.  Derived data include balancing items to account for implied disposition of certain intermediate products (e.g.  fuel ethanol and motor gasoline blending components), implied net receipts to account for unreported movements of fuel ethanol and biodiesel by rail and truck, and estimates of demand for petroleum products measured as product supplied.</w:t>
      </w:r>
      <w:r w:rsidR="005B5453" w:rsidRPr="00C8029A">
        <w:rPr>
          <w:rFonts w:ascii="Calibri" w:hAnsi="Calibri"/>
          <w:sz w:val="24"/>
          <w:szCs w:val="24"/>
        </w:rPr>
        <w:t xml:space="preserve">  </w:t>
      </w:r>
      <w:r w:rsidR="00463D8B" w:rsidRPr="00C8029A">
        <w:rPr>
          <w:rFonts w:ascii="Calibri" w:hAnsi="Calibri"/>
          <w:sz w:val="24"/>
          <w:szCs w:val="24"/>
        </w:rPr>
        <w:t>P</w:t>
      </w:r>
      <w:r w:rsidR="005B5453" w:rsidRPr="00C8029A">
        <w:rPr>
          <w:rFonts w:ascii="Calibri" w:hAnsi="Calibri"/>
          <w:sz w:val="24"/>
          <w:szCs w:val="24"/>
        </w:rPr>
        <w:t xml:space="preserve">reliminary publication values are then </w:t>
      </w:r>
      <w:r w:rsidR="00050081" w:rsidRPr="00C8029A">
        <w:rPr>
          <w:rFonts w:ascii="Calibri" w:hAnsi="Calibri"/>
          <w:sz w:val="24"/>
          <w:szCs w:val="24"/>
        </w:rPr>
        <w:t xml:space="preserve">manually </w:t>
      </w:r>
      <w:r w:rsidR="005B5453" w:rsidRPr="00C8029A">
        <w:rPr>
          <w:rFonts w:ascii="Calibri" w:hAnsi="Calibri"/>
          <w:sz w:val="24"/>
          <w:szCs w:val="24"/>
        </w:rPr>
        <w:t xml:space="preserve">reviewed </w:t>
      </w:r>
      <w:r w:rsidR="00477A5B" w:rsidRPr="00C8029A">
        <w:rPr>
          <w:rFonts w:ascii="Calibri" w:hAnsi="Calibri"/>
          <w:sz w:val="24"/>
          <w:szCs w:val="24"/>
        </w:rPr>
        <w:t>using graphs and data summaries to identify data items that require further investigation.  Data items that require investigation are traced back to their origin in the surveys or external data.  Here again, possible actions include accepting data as reported, contacting the reporting companies or originators of external data for further clarification and possible resubmission, or imputation by EIA.</w:t>
      </w:r>
    </w:p>
    <w:p w14:paraId="20F80DE1" w14:textId="77777777" w:rsidR="000C651B" w:rsidRPr="00C8029A" w:rsidRDefault="004A57AA" w:rsidP="00B7681A">
      <w:pPr>
        <w:pStyle w:val="ListParagraph"/>
        <w:numPr>
          <w:ilvl w:val="0"/>
          <w:numId w:val="4"/>
        </w:numPr>
        <w:spacing w:before="120" w:beforeAutospacing="0" w:after="0" w:afterAutospacing="0"/>
        <w:ind w:left="1440"/>
        <w:contextualSpacing w:val="0"/>
        <w:jc w:val="left"/>
        <w:rPr>
          <w:rFonts w:ascii="Calibri" w:hAnsi="Calibri"/>
          <w:sz w:val="24"/>
          <w:szCs w:val="24"/>
        </w:rPr>
      </w:pPr>
      <w:r w:rsidRPr="00C8029A">
        <w:rPr>
          <w:rFonts w:ascii="Calibri" w:hAnsi="Calibri"/>
          <w:b/>
          <w:sz w:val="24"/>
          <w:szCs w:val="24"/>
        </w:rPr>
        <w:t>Publication</w:t>
      </w:r>
      <w:r w:rsidR="00264A20" w:rsidRPr="00C8029A">
        <w:rPr>
          <w:rFonts w:ascii="Calibri" w:hAnsi="Calibri"/>
          <w:b/>
          <w:sz w:val="24"/>
          <w:szCs w:val="24"/>
        </w:rPr>
        <w:t>:</w:t>
      </w:r>
      <w:r w:rsidR="00264A20" w:rsidRPr="00C8029A">
        <w:rPr>
          <w:rFonts w:ascii="Calibri" w:hAnsi="Calibri"/>
          <w:sz w:val="24"/>
          <w:szCs w:val="24"/>
        </w:rPr>
        <w:t xml:space="preserve"> </w:t>
      </w:r>
      <w:r w:rsidR="000C651B" w:rsidRPr="00C8029A">
        <w:rPr>
          <w:rFonts w:ascii="Calibri" w:hAnsi="Calibri"/>
          <w:sz w:val="24"/>
          <w:szCs w:val="24"/>
        </w:rPr>
        <w:t xml:space="preserve"> </w:t>
      </w:r>
      <w:r w:rsidR="00264A20" w:rsidRPr="00C8029A">
        <w:rPr>
          <w:rFonts w:ascii="Calibri" w:hAnsi="Calibri"/>
          <w:sz w:val="24"/>
          <w:szCs w:val="24"/>
        </w:rPr>
        <w:t>T</w:t>
      </w:r>
      <w:r w:rsidR="000C651B" w:rsidRPr="00C8029A">
        <w:rPr>
          <w:rFonts w:ascii="Calibri" w:hAnsi="Calibri"/>
          <w:sz w:val="24"/>
          <w:szCs w:val="24"/>
        </w:rPr>
        <w:t xml:space="preserve">he PSM is published approximately </w:t>
      </w:r>
      <w:r w:rsidR="00614F04" w:rsidRPr="00C8029A">
        <w:rPr>
          <w:rFonts w:ascii="Calibri" w:hAnsi="Calibri"/>
          <w:sz w:val="24"/>
          <w:szCs w:val="24"/>
        </w:rPr>
        <w:t>60</w:t>
      </w:r>
      <w:r w:rsidR="000C651B" w:rsidRPr="00C8029A">
        <w:rPr>
          <w:rFonts w:ascii="Calibri" w:hAnsi="Calibri"/>
          <w:sz w:val="24"/>
          <w:szCs w:val="24"/>
        </w:rPr>
        <w:t xml:space="preserve"> days after the end of the </w:t>
      </w:r>
      <w:r w:rsidR="00FE5001" w:rsidRPr="00C8029A">
        <w:rPr>
          <w:rFonts w:ascii="Calibri" w:hAnsi="Calibri"/>
          <w:sz w:val="24"/>
          <w:szCs w:val="24"/>
        </w:rPr>
        <w:t xml:space="preserve">data </w:t>
      </w:r>
      <w:r w:rsidR="000C651B" w:rsidRPr="00C8029A">
        <w:rPr>
          <w:rFonts w:ascii="Calibri" w:hAnsi="Calibri"/>
          <w:sz w:val="24"/>
          <w:szCs w:val="24"/>
        </w:rPr>
        <w:t>report</w:t>
      </w:r>
      <w:r w:rsidR="00FE5001" w:rsidRPr="00C8029A">
        <w:rPr>
          <w:rFonts w:ascii="Calibri" w:hAnsi="Calibri"/>
          <w:sz w:val="24"/>
          <w:szCs w:val="24"/>
        </w:rPr>
        <w:t>ing</w:t>
      </w:r>
      <w:r w:rsidR="000C651B" w:rsidRPr="00C8029A">
        <w:rPr>
          <w:rFonts w:ascii="Calibri" w:hAnsi="Calibri"/>
          <w:sz w:val="24"/>
          <w:szCs w:val="24"/>
        </w:rPr>
        <w:t xml:space="preserve"> month.  Tables are released electronically through the </w:t>
      </w:r>
      <w:r w:rsidR="00FE5001" w:rsidRPr="00C8029A">
        <w:rPr>
          <w:rFonts w:ascii="Calibri" w:hAnsi="Calibri"/>
          <w:sz w:val="24"/>
          <w:szCs w:val="24"/>
        </w:rPr>
        <w:t>EIA website</w:t>
      </w:r>
      <w:r w:rsidR="001F07D8" w:rsidRPr="00C8029A">
        <w:rPr>
          <w:rFonts w:ascii="Calibri" w:hAnsi="Calibri"/>
          <w:sz w:val="24"/>
          <w:szCs w:val="24"/>
        </w:rPr>
        <w:t>,</w:t>
      </w:r>
      <w:r w:rsidR="00477A5B" w:rsidRPr="00C8029A">
        <w:rPr>
          <w:rFonts w:ascii="Calibri" w:hAnsi="Calibri"/>
          <w:sz w:val="24"/>
          <w:szCs w:val="24"/>
        </w:rPr>
        <w:t xml:space="preserve"> in most cases on the next to last business day of each month.</w:t>
      </w:r>
    </w:p>
    <w:p w14:paraId="6739366B" w14:textId="77777777" w:rsidR="000C651B" w:rsidRPr="00C8029A" w:rsidRDefault="00F41990" w:rsidP="00EE72AF">
      <w:pPr>
        <w:spacing w:before="360" w:beforeAutospacing="0" w:after="0" w:afterAutospacing="0"/>
        <w:ind w:left="720" w:hanging="360"/>
        <w:jc w:val="left"/>
        <w:rPr>
          <w:rFonts w:ascii="Calibri" w:hAnsi="Calibri"/>
        </w:rPr>
      </w:pPr>
      <w:r w:rsidRPr="00C8029A">
        <w:rPr>
          <w:rFonts w:ascii="Calibri" w:hAnsi="Calibri"/>
        </w:rPr>
        <w:t>c</w:t>
      </w:r>
      <w:r w:rsidR="000C651B" w:rsidRPr="00C8029A">
        <w:rPr>
          <w:rFonts w:ascii="Calibri" w:hAnsi="Calibri"/>
        </w:rPr>
        <w:t>.</w:t>
      </w:r>
      <w:r w:rsidR="000C651B" w:rsidRPr="00C8029A">
        <w:rPr>
          <w:rFonts w:ascii="Calibri" w:hAnsi="Calibri"/>
        </w:rPr>
        <w:tab/>
      </w:r>
      <w:r w:rsidR="000C651B" w:rsidRPr="00C8029A">
        <w:rPr>
          <w:rFonts w:ascii="Calibri" w:hAnsi="Calibri"/>
          <w:u w:val="single"/>
        </w:rPr>
        <w:t>Form EIA-820</w:t>
      </w:r>
    </w:p>
    <w:p w14:paraId="18E9A43B" w14:textId="77777777" w:rsidR="000C651B" w:rsidRPr="00C8029A" w:rsidRDefault="000C651B" w:rsidP="00B7681A">
      <w:pPr>
        <w:spacing w:before="120" w:beforeAutospacing="0"/>
        <w:ind w:left="720"/>
        <w:jc w:val="left"/>
        <w:rPr>
          <w:rFonts w:ascii="Calibri" w:hAnsi="Calibri"/>
          <w:color w:val="000000"/>
        </w:rPr>
      </w:pPr>
      <w:r w:rsidRPr="00C8029A">
        <w:rPr>
          <w:rFonts w:ascii="Calibri" w:hAnsi="Calibri"/>
        </w:rPr>
        <w:lastRenderedPageBreak/>
        <w:t xml:space="preserve">The data reported on this form are collected, reviewed, tabulated and used </w:t>
      </w:r>
      <w:r w:rsidR="002638CF" w:rsidRPr="00C8029A">
        <w:rPr>
          <w:rFonts w:ascii="Calibri" w:hAnsi="Calibri"/>
        </w:rPr>
        <w:t xml:space="preserve">by EIA </w:t>
      </w:r>
      <w:r w:rsidRPr="00C8029A">
        <w:rPr>
          <w:rFonts w:ascii="Calibri" w:hAnsi="Calibri"/>
        </w:rPr>
        <w:t xml:space="preserve">to provide annual statistics on refinery receipts of crude oil by method of transportation during the preceding year; fuels consumed at the refinery during the preceding </w:t>
      </w:r>
      <w:r w:rsidR="00A42A18" w:rsidRPr="00C8029A">
        <w:rPr>
          <w:rFonts w:ascii="Calibri" w:hAnsi="Calibri"/>
        </w:rPr>
        <w:t xml:space="preserve">reporting </w:t>
      </w:r>
      <w:r w:rsidRPr="00C8029A">
        <w:rPr>
          <w:rFonts w:ascii="Calibri" w:hAnsi="Calibri"/>
        </w:rPr>
        <w:t>year; current year</w:t>
      </w:r>
      <w:r w:rsidR="00050081" w:rsidRPr="00C8029A">
        <w:rPr>
          <w:rFonts w:ascii="Calibri" w:hAnsi="Calibri"/>
        </w:rPr>
        <w:t>;</w:t>
      </w:r>
      <w:r w:rsidRPr="00C8029A">
        <w:rPr>
          <w:rFonts w:ascii="Calibri" w:hAnsi="Calibri"/>
        </w:rPr>
        <w:t xml:space="preserve"> and next year projections</w:t>
      </w:r>
      <w:r w:rsidR="00717375" w:rsidRPr="00C8029A">
        <w:rPr>
          <w:rFonts w:ascii="Calibri" w:hAnsi="Calibri"/>
        </w:rPr>
        <w:t>, as of January 1,</w:t>
      </w:r>
      <w:r w:rsidRPr="00C8029A">
        <w:rPr>
          <w:rFonts w:ascii="Calibri" w:hAnsi="Calibri"/>
        </w:rPr>
        <w:t xml:space="preserve"> for operable atmospheric crude oil distillation capacity, downstream charge capacity, </w:t>
      </w:r>
      <w:r w:rsidR="00717375" w:rsidRPr="00C8029A">
        <w:rPr>
          <w:rFonts w:ascii="Calibri" w:hAnsi="Calibri"/>
        </w:rPr>
        <w:t xml:space="preserve">and </w:t>
      </w:r>
      <w:r w:rsidRPr="00C8029A">
        <w:rPr>
          <w:rFonts w:ascii="Calibri" w:hAnsi="Calibri"/>
        </w:rPr>
        <w:t xml:space="preserve">production capacity.  The data are collected by </w:t>
      </w:r>
      <w:r w:rsidR="00F41990" w:rsidRPr="00C8029A">
        <w:rPr>
          <w:rFonts w:ascii="Calibri" w:hAnsi="Calibri"/>
        </w:rPr>
        <w:t>facsimile and</w:t>
      </w:r>
      <w:r w:rsidRPr="00C8029A">
        <w:rPr>
          <w:rFonts w:ascii="Calibri" w:hAnsi="Calibri"/>
        </w:rPr>
        <w:t xml:space="preserve"> </w:t>
      </w:r>
      <w:r w:rsidR="0009331A" w:rsidRPr="00C8029A">
        <w:rPr>
          <w:rFonts w:ascii="Calibri" w:hAnsi="Calibri"/>
        </w:rPr>
        <w:t>Internet</w:t>
      </w:r>
      <w:r w:rsidRPr="00C8029A">
        <w:rPr>
          <w:rFonts w:ascii="Calibri" w:hAnsi="Calibri"/>
        </w:rPr>
        <w:t xml:space="preserve"> using</w:t>
      </w:r>
      <w:r w:rsidR="00F41990" w:rsidRPr="00C8029A">
        <w:rPr>
          <w:rFonts w:ascii="Calibri" w:hAnsi="Calibri"/>
        </w:rPr>
        <w:t xml:space="preserve"> secure file transfer.</w:t>
      </w:r>
      <w:r w:rsidRPr="00C8029A">
        <w:rPr>
          <w:rFonts w:ascii="Calibri" w:hAnsi="Calibri"/>
        </w:rPr>
        <w:t xml:space="preserve">  Data are published in the </w:t>
      </w:r>
      <w:r w:rsidR="004062A4" w:rsidRPr="00C8029A">
        <w:rPr>
          <w:rFonts w:ascii="Calibri" w:hAnsi="Calibri"/>
        </w:rPr>
        <w:t xml:space="preserve">Refinery </w:t>
      </w:r>
      <w:r w:rsidR="004062A4" w:rsidRPr="00C8029A">
        <w:rPr>
          <w:rFonts w:ascii="Calibri" w:hAnsi="Calibri"/>
          <w:color w:val="000000"/>
        </w:rPr>
        <w:t>Capacity Report</w:t>
      </w:r>
      <w:r w:rsidRPr="00C8029A">
        <w:rPr>
          <w:rFonts w:ascii="Calibri" w:hAnsi="Calibri"/>
          <w:color w:val="000000"/>
        </w:rPr>
        <w:t>.</w:t>
      </w:r>
    </w:p>
    <w:p w14:paraId="564E1A7D" w14:textId="77777777" w:rsidR="000C651B" w:rsidRPr="005C6DD6" w:rsidRDefault="00A42A18" w:rsidP="00B7681A">
      <w:pPr>
        <w:ind w:left="720"/>
        <w:jc w:val="left"/>
        <w:rPr>
          <w:rFonts w:asciiTheme="minorHAnsi" w:hAnsiTheme="minorHAnsi"/>
        </w:rPr>
      </w:pPr>
      <w:r w:rsidRPr="005C6DD6">
        <w:rPr>
          <w:rFonts w:asciiTheme="minorHAnsi" w:hAnsiTheme="minorHAnsi"/>
        </w:rPr>
        <w:t>In 201</w:t>
      </w:r>
      <w:r w:rsidR="00B5665A" w:rsidRPr="005C6DD6">
        <w:rPr>
          <w:rFonts w:asciiTheme="minorHAnsi" w:hAnsiTheme="minorHAnsi"/>
        </w:rPr>
        <w:t>6</w:t>
      </w:r>
      <w:r w:rsidRPr="005C6DD6">
        <w:rPr>
          <w:rFonts w:asciiTheme="minorHAnsi" w:hAnsiTheme="minorHAnsi"/>
        </w:rPr>
        <w:t>, the Form EIA-820 will collect actual annual data for the calendar year 201</w:t>
      </w:r>
      <w:r w:rsidR="00B5665A" w:rsidRPr="005C6DD6">
        <w:rPr>
          <w:rFonts w:asciiTheme="minorHAnsi" w:hAnsiTheme="minorHAnsi"/>
        </w:rPr>
        <w:t>5</w:t>
      </w:r>
      <w:r w:rsidRPr="005C6DD6">
        <w:rPr>
          <w:rFonts w:asciiTheme="minorHAnsi" w:hAnsiTheme="minorHAnsi"/>
        </w:rPr>
        <w:t xml:space="preserve">.  </w:t>
      </w:r>
      <w:r w:rsidR="000C651B" w:rsidRPr="005C6DD6">
        <w:rPr>
          <w:rFonts w:asciiTheme="minorHAnsi" w:hAnsiTheme="minorHAnsi"/>
        </w:rPr>
        <w:t>The time schedule for the collection, processing, and submission of the final report for publication is as follows:</w:t>
      </w:r>
    </w:p>
    <w:p w14:paraId="0D5B09F3" w14:textId="77777777" w:rsidR="000C651B" w:rsidRPr="005C6DD6" w:rsidRDefault="000C651B" w:rsidP="00B7681A">
      <w:pPr>
        <w:pStyle w:val="ListParagraph"/>
        <w:numPr>
          <w:ilvl w:val="0"/>
          <w:numId w:val="5"/>
        </w:numPr>
        <w:spacing w:before="120" w:beforeAutospacing="0" w:after="0" w:afterAutospacing="0"/>
        <w:ind w:left="1440"/>
        <w:contextualSpacing w:val="0"/>
        <w:jc w:val="left"/>
        <w:rPr>
          <w:rFonts w:asciiTheme="minorHAnsi" w:hAnsiTheme="minorHAnsi"/>
          <w:sz w:val="24"/>
          <w:szCs w:val="24"/>
        </w:rPr>
      </w:pPr>
      <w:r w:rsidRPr="005C6DD6">
        <w:rPr>
          <w:rFonts w:asciiTheme="minorHAnsi" w:hAnsiTheme="minorHAnsi"/>
          <w:b/>
          <w:sz w:val="24"/>
          <w:szCs w:val="24"/>
        </w:rPr>
        <w:t>Data collection due date</w:t>
      </w:r>
      <w:r w:rsidR="00264A20" w:rsidRPr="005C6DD6">
        <w:rPr>
          <w:rFonts w:asciiTheme="minorHAnsi" w:hAnsiTheme="minorHAnsi"/>
          <w:b/>
          <w:sz w:val="24"/>
          <w:szCs w:val="24"/>
        </w:rPr>
        <w:t xml:space="preserve">: </w:t>
      </w:r>
      <w:r w:rsidR="00264A20" w:rsidRPr="005C6DD6">
        <w:rPr>
          <w:rFonts w:asciiTheme="minorHAnsi" w:hAnsiTheme="minorHAnsi"/>
          <w:sz w:val="24"/>
          <w:szCs w:val="24"/>
        </w:rPr>
        <w:t>Re</w:t>
      </w:r>
      <w:r w:rsidRPr="005C6DD6">
        <w:rPr>
          <w:rFonts w:asciiTheme="minorHAnsi" w:hAnsiTheme="minorHAnsi"/>
          <w:sz w:val="24"/>
          <w:szCs w:val="24"/>
        </w:rPr>
        <w:t xml:space="preserve">ports must be </w:t>
      </w:r>
      <w:r w:rsidR="00D22F4C" w:rsidRPr="005C6DD6">
        <w:rPr>
          <w:rFonts w:asciiTheme="minorHAnsi" w:hAnsiTheme="minorHAnsi"/>
          <w:sz w:val="24"/>
          <w:szCs w:val="24"/>
        </w:rPr>
        <w:t>received</w:t>
      </w:r>
      <w:r w:rsidRPr="005C6DD6">
        <w:rPr>
          <w:rFonts w:asciiTheme="minorHAnsi" w:hAnsiTheme="minorHAnsi"/>
          <w:sz w:val="24"/>
          <w:szCs w:val="24"/>
        </w:rPr>
        <w:t xml:space="preserve"> by February 15th following the report year.</w:t>
      </w:r>
    </w:p>
    <w:p w14:paraId="78996F43" w14:textId="77777777" w:rsidR="0061584D" w:rsidRPr="005C6DD6" w:rsidRDefault="000C651B" w:rsidP="00B7681A">
      <w:pPr>
        <w:pStyle w:val="ListParagraph"/>
        <w:numPr>
          <w:ilvl w:val="0"/>
          <w:numId w:val="5"/>
        </w:numPr>
        <w:spacing w:before="120" w:beforeAutospacing="0" w:after="0" w:afterAutospacing="0"/>
        <w:ind w:left="1440"/>
        <w:contextualSpacing w:val="0"/>
        <w:jc w:val="left"/>
        <w:rPr>
          <w:rFonts w:asciiTheme="minorHAnsi" w:hAnsiTheme="minorHAnsi"/>
          <w:sz w:val="24"/>
          <w:szCs w:val="24"/>
        </w:rPr>
      </w:pPr>
      <w:r w:rsidRPr="005C6DD6">
        <w:rPr>
          <w:rFonts w:asciiTheme="minorHAnsi" w:hAnsiTheme="minorHAnsi"/>
          <w:b/>
          <w:sz w:val="24"/>
          <w:szCs w:val="24"/>
        </w:rPr>
        <w:t>Closeout</w:t>
      </w:r>
      <w:r w:rsidR="00264A20" w:rsidRPr="005C6DD6">
        <w:rPr>
          <w:rFonts w:asciiTheme="minorHAnsi" w:hAnsiTheme="minorHAnsi"/>
          <w:b/>
          <w:sz w:val="24"/>
          <w:szCs w:val="24"/>
        </w:rPr>
        <w:t>:</w:t>
      </w:r>
      <w:r w:rsidR="00264A20" w:rsidRPr="005C6DD6">
        <w:rPr>
          <w:rFonts w:asciiTheme="minorHAnsi" w:hAnsiTheme="minorHAnsi"/>
          <w:sz w:val="24"/>
          <w:szCs w:val="24"/>
        </w:rPr>
        <w:t xml:space="preserve"> T</w:t>
      </w:r>
      <w:r w:rsidRPr="005C6DD6">
        <w:rPr>
          <w:rFonts w:asciiTheme="minorHAnsi" w:hAnsiTheme="minorHAnsi"/>
          <w:sz w:val="24"/>
          <w:szCs w:val="24"/>
        </w:rPr>
        <w:t>he file is closed to additions or corrections approximately the middle of April following the report year.</w:t>
      </w:r>
    </w:p>
    <w:p w14:paraId="314E6230" w14:textId="77777777" w:rsidR="00717375" w:rsidRPr="005C6DD6" w:rsidRDefault="00717375" w:rsidP="00B7681A">
      <w:pPr>
        <w:pStyle w:val="ListParagraph"/>
        <w:numPr>
          <w:ilvl w:val="0"/>
          <w:numId w:val="5"/>
        </w:numPr>
        <w:spacing w:before="120" w:beforeAutospacing="0" w:after="0" w:afterAutospacing="0"/>
        <w:ind w:left="1440"/>
        <w:contextualSpacing w:val="0"/>
        <w:jc w:val="left"/>
        <w:rPr>
          <w:rFonts w:asciiTheme="minorHAnsi" w:hAnsiTheme="minorHAnsi"/>
          <w:sz w:val="24"/>
          <w:szCs w:val="24"/>
        </w:rPr>
      </w:pPr>
      <w:r w:rsidRPr="005C6DD6">
        <w:rPr>
          <w:rFonts w:asciiTheme="minorHAnsi" w:hAnsiTheme="minorHAnsi"/>
          <w:b/>
          <w:sz w:val="24"/>
          <w:szCs w:val="24"/>
        </w:rPr>
        <w:t xml:space="preserve">Data </w:t>
      </w:r>
      <w:r w:rsidR="00050081" w:rsidRPr="005C6DD6">
        <w:rPr>
          <w:rFonts w:asciiTheme="minorHAnsi" w:hAnsiTheme="minorHAnsi"/>
          <w:b/>
          <w:sz w:val="24"/>
          <w:szCs w:val="24"/>
        </w:rPr>
        <w:t>Validation/</w:t>
      </w:r>
      <w:r w:rsidRPr="005C6DD6">
        <w:rPr>
          <w:rFonts w:asciiTheme="minorHAnsi" w:hAnsiTheme="minorHAnsi"/>
          <w:b/>
          <w:sz w:val="24"/>
          <w:szCs w:val="24"/>
        </w:rPr>
        <w:t>Editing</w:t>
      </w:r>
      <w:r w:rsidR="00264A20" w:rsidRPr="005C6DD6">
        <w:rPr>
          <w:rFonts w:asciiTheme="minorHAnsi" w:hAnsiTheme="minorHAnsi"/>
          <w:b/>
          <w:sz w:val="24"/>
          <w:szCs w:val="24"/>
        </w:rPr>
        <w:t>:</w:t>
      </w:r>
      <w:r w:rsidRPr="005C6DD6">
        <w:rPr>
          <w:rFonts w:asciiTheme="minorHAnsi" w:hAnsiTheme="minorHAnsi"/>
          <w:b/>
          <w:sz w:val="24"/>
          <w:szCs w:val="24"/>
        </w:rPr>
        <w:t xml:space="preserve"> </w:t>
      </w:r>
      <w:r w:rsidRPr="005C6DD6">
        <w:rPr>
          <w:rFonts w:asciiTheme="minorHAnsi" w:hAnsiTheme="minorHAnsi"/>
          <w:sz w:val="24"/>
          <w:szCs w:val="24"/>
        </w:rPr>
        <w:t xml:space="preserve">Automated </w:t>
      </w:r>
      <w:r w:rsidR="00050081" w:rsidRPr="005C6DD6">
        <w:rPr>
          <w:rFonts w:asciiTheme="minorHAnsi" w:hAnsiTheme="minorHAnsi"/>
          <w:sz w:val="24"/>
          <w:szCs w:val="24"/>
        </w:rPr>
        <w:t>validation rules/</w:t>
      </w:r>
      <w:r w:rsidRPr="005C6DD6">
        <w:rPr>
          <w:rFonts w:asciiTheme="minorHAnsi" w:hAnsiTheme="minorHAnsi"/>
          <w:sz w:val="24"/>
          <w:szCs w:val="24"/>
        </w:rPr>
        <w:t xml:space="preserve">edits are run on </w:t>
      </w:r>
      <w:r w:rsidR="0087762F" w:rsidRPr="005C6DD6">
        <w:rPr>
          <w:rFonts w:asciiTheme="minorHAnsi" w:hAnsiTheme="minorHAnsi"/>
          <w:sz w:val="24"/>
          <w:szCs w:val="24"/>
        </w:rPr>
        <w:t>Form EIA-820</w:t>
      </w:r>
      <w:r w:rsidRPr="005C6DD6">
        <w:rPr>
          <w:rFonts w:asciiTheme="minorHAnsi" w:hAnsiTheme="minorHAnsi"/>
          <w:sz w:val="24"/>
          <w:szCs w:val="24"/>
        </w:rPr>
        <w:t xml:space="preserve"> data according to rules defined in the Standard Energy Processing System (STEPS).  Edit failures help with identification of data items that require further investigation with reporting companies.  Depending on the situation, resolution of edit failures may include acceptance of data as reported, contacting reporting companies for further explanation and</w:t>
      </w:r>
      <w:r w:rsidR="00050081" w:rsidRPr="005C6DD6">
        <w:rPr>
          <w:rFonts w:asciiTheme="minorHAnsi" w:hAnsiTheme="minorHAnsi"/>
          <w:sz w:val="24"/>
          <w:szCs w:val="24"/>
        </w:rPr>
        <w:t>,</w:t>
      </w:r>
      <w:r w:rsidRPr="005C6DD6">
        <w:rPr>
          <w:rFonts w:asciiTheme="minorHAnsi" w:hAnsiTheme="minorHAnsi"/>
          <w:sz w:val="24"/>
          <w:szCs w:val="24"/>
        </w:rPr>
        <w:t xml:space="preserve"> possibly resubmission of the reported data with corrections, or imputation</w:t>
      </w:r>
      <w:r w:rsidR="00050081" w:rsidRPr="005C6DD6">
        <w:rPr>
          <w:rFonts w:asciiTheme="minorHAnsi" w:hAnsiTheme="minorHAnsi"/>
          <w:sz w:val="24"/>
          <w:szCs w:val="24"/>
        </w:rPr>
        <w:t>,</w:t>
      </w:r>
      <w:r w:rsidRPr="005C6DD6">
        <w:rPr>
          <w:rFonts w:asciiTheme="minorHAnsi" w:hAnsiTheme="minorHAnsi"/>
          <w:sz w:val="24"/>
          <w:szCs w:val="24"/>
        </w:rPr>
        <w:t xml:space="preserve"> by EIA.</w:t>
      </w:r>
    </w:p>
    <w:p w14:paraId="2719A73A" w14:textId="77777777" w:rsidR="000C651B" w:rsidRPr="005C6DD6" w:rsidRDefault="000C651B" w:rsidP="00B7681A">
      <w:pPr>
        <w:pStyle w:val="ListParagraph"/>
        <w:numPr>
          <w:ilvl w:val="0"/>
          <w:numId w:val="5"/>
        </w:numPr>
        <w:spacing w:before="120" w:beforeAutospacing="0" w:after="0" w:afterAutospacing="0"/>
        <w:ind w:left="1440"/>
        <w:contextualSpacing w:val="0"/>
        <w:jc w:val="left"/>
        <w:rPr>
          <w:rFonts w:asciiTheme="minorHAnsi" w:hAnsiTheme="minorHAnsi"/>
          <w:sz w:val="24"/>
          <w:szCs w:val="24"/>
        </w:rPr>
      </w:pPr>
      <w:r w:rsidRPr="005C6DD6">
        <w:rPr>
          <w:rFonts w:asciiTheme="minorHAnsi" w:hAnsiTheme="minorHAnsi"/>
          <w:b/>
          <w:sz w:val="24"/>
          <w:szCs w:val="24"/>
        </w:rPr>
        <w:t>Data processing and analysis</w:t>
      </w:r>
      <w:r w:rsidR="00264A20" w:rsidRPr="005C6DD6">
        <w:rPr>
          <w:rFonts w:asciiTheme="minorHAnsi" w:hAnsiTheme="minorHAnsi"/>
          <w:b/>
          <w:sz w:val="24"/>
          <w:szCs w:val="24"/>
        </w:rPr>
        <w:t>:</w:t>
      </w:r>
      <w:r w:rsidRPr="005C6DD6">
        <w:rPr>
          <w:rFonts w:asciiTheme="minorHAnsi" w:hAnsiTheme="minorHAnsi"/>
          <w:sz w:val="24"/>
          <w:szCs w:val="24"/>
        </w:rPr>
        <w:t xml:space="preserve"> </w:t>
      </w:r>
      <w:r w:rsidR="0087762F" w:rsidRPr="005C6DD6">
        <w:rPr>
          <w:rFonts w:asciiTheme="minorHAnsi" w:hAnsiTheme="minorHAnsi"/>
          <w:sz w:val="24"/>
          <w:szCs w:val="24"/>
        </w:rPr>
        <w:t xml:space="preserve">Most reports from refiners on Form EIA-820 are received on or before the due date of February 15.  Editing begins when forms are received by EIA.  Most edit failures are resolved within one to two weeks with most of the time being used by reporting companies to research questions and possibly send resubmissions.  </w:t>
      </w:r>
      <w:r w:rsidRPr="005C6DD6">
        <w:rPr>
          <w:rFonts w:asciiTheme="minorHAnsi" w:hAnsiTheme="minorHAnsi"/>
          <w:sz w:val="24"/>
          <w:szCs w:val="24"/>
        </w:rPr>
        <w:t xml:space="preserve">Update of final </w:t>
      </w:r>
      <w:r w:rsidR="0087762F" w:rsidRPr="005C6DD6">
        <w:rPr>
          <w:rFonts w:asciiTheme="minorHAnsi" w:hAnsiTheme="minorHAnsi"/>
          <w:sz w:val="24"/>
          <w:szCs w:val="24"/>
        </w:rPr>
        <w:t xml:space="preserve">edits </w:t>
      </w:r>
      <w:r w:rsidRPr="005C6DD6">
        <w:rPr>
          <w:rFonts w:asciiTheme="minorHAnsi" w:hAnsiTheme="minorHAnsi"/>
          <w:sz w:val="24"/>
          <w:szCs w:val="24"/>
        </w:rPr>
        <w:t>occurs during the first week of April.</w:t>
      </w:r>
    </w:p>
    <w:p w14:paraId="1E31231B" w14:textId="77777777" w:rsidR="000C651B" w:rsidRPr="005C6DD6" w:rsidRDefault="004A57AA" w:rsidP="00B7681A">
      <w:pPr>
        <w:pStyle w:val="ListParagraph"/>
        <w:numPr>
          <w:ilvl w:val="0"/>
          <w:numId w:val="5"/>
        </w:numPr>
        <w:spacing w:before="120" w:beforeAutospacing="0" w:after="0" w:afterAutospacing="0"/>
        <w:ind w:left="1440"/>
        <w:contextualSpacing w:val="0"/>
        <w:jc w:val="left"/>
        <w:rPr>
          <w:rFonts w:asciiTheme="minorHAnsi" w:hAnsiTheme="minorHAnsi"/>
          <w:sz w:val="24"/>
          <w:szCs w:val="24"/>
        </w:rPr>
      </w:pPr>
      <w:r w:rsidRPr="005C6DD6">
        <w:rPr>
          <w:rFonts w:asciiTheme="minorHAnsi" w:hAnsiTheme="minorHAnsi"/>
          <w:b/>
          <w:sz w:val="24"/>
          <w:szCs w:val="24"/>
        </w:rPr>
        <w:t>Publication</w:t>
      </w:r>
      <w:r w:rsidR="00264A20" w:rsidRPr="005C6DD6">
        <w:rPr>
          <w:rFonts w:asciiTheme="minorHAnsi" w:hAnsiTheme="minorHAnsi"/>
          <w:b/>
          <w:sz w:val="24"/>
          <w:szCs w:val="24"/>
        </w:rPr>
        <w:t>:</w:t>
      </w:r>
      <w:r w:rsidR="00264A20" w:rsidRPr="005C6DD6">
        <w:rPr>
          <w:rFonts w:asciiTheme="minorHAnsi" w:hAnsiTheme="minorHAnsi"/>
          <w:sz w:val="24"/>
          <w:szCs w:val="24"/>
        </w:rPr>
        <w:t xml:space="preserve"> D</w:t>
      </w:r>
      <w:r w:rsidR="000C651B" w:rsidRPr="005C6DD6">
        <w:rPr>
          <w:rFonts w:asciiTheme="minorHAnsi" w:hAnsiTheme="minorHAnsi"/>
          <w:sz w:val="24"/>
          <w:szCs w:val="24"/>
        </w:rPr>
        <w:t>ata appears in the</w:t>
      </w:r>
      <w:r w:rsidR="00CA02D6" w:rsidRPr="005C6DD6">
        <w:rPr>
          <w:rFonts w:asciiTheme="minorHAnsi" w:hAnsiTheme="minorHAnsi"/>
          <w:sz w:val="24"/>
          <w:szCs w:val="24"/>
        </w:rPr>
        <w:t xml:space="preserve"> Refinery </w:t>
      </w:r>
      <w:r w:rsidR="00CA02D6" w:rsidRPr="005C6DD6">
        <w:rPr>
          <w:rFonts w:asciiTheme="minorHAnsi" w:hAnsiTheme="minorHAnsi"/>
          <w:color w:val="000000"/>
          <w:sz w:val="24"/>
          <w:szCs w:val="24"/>
        </w:rPr>
        <w:t>Capacity Report</w:t>
      </w:r>
      <w:r w:rsidR="00CA02D6" w:rsidRPr="005C6DD6">
        <w:rPr>
          <w:rFonts w:asciiTheme="minorHAnsi" w:hAnsiTheme="minorHAnsi"/>
          <w:sz w:val="24"/>
          <w:szCs w:val="24"/>
        </w:rPr>
        <w:t xml:space="preserve"> </w:t>
      </w:r>
      <w:r w:rsidR="000C651B" w:rsidRPr="005C6DD6">
        <w:rPr>
          <w:rFonts w:asciiTheme="minorHAnsi" w:hAnsiTheme="minorHAnsi"/>
          <w:sz w:val="24"/>
          <w:szCs w:val="24"/>
        </w:rPr>
        <w:t xml:space="preserve">and is released electronically on the </w:t>
      </w:r>
      <w:r w:rsidR="00A36EA8" w:rsidRPr="005C6DD6">
        <w:rPr>
          <w:rFonts w:asciiTheme="minorHAnsi" w:hAnsiTheme="minorHAnsi"/>
          <w:sz w:val="24"/>
          <w:szCs w:val="24"/>
        </w:rPr>
        <w:t>EIA website</w:t>
      </w:r>
      <w:r w:rsidR="000C651B" w:rsidRPr="005C6DD6">
        <w:rPr>
          <w:rFonts w:asciiTheme="minorHAnsi" w:hAnsiTheme="minorHAnsi"/>
          <w:sz w:val="24"/>
          <w:szCs w:val="24"/>
        </w:rPr>
        <w:t xml:space="preserve"> </w:t>
      </w:r>
      <w:r w:rsidR="00CA02D6" w:rsidRPr="005C6DD6">
        <w:rPr>
          <w:rFonts w:asciiTheme="minorHAnsi" w:hAnsiTheme="minorHAnsi"/>
          <w:sz w:val="24"/>
          <w:szCs w:val="24"/>
        </w:rPr>
        <w:t>in June</w:t>
      </w:r>
      <w:r w:rsidR="000C651B" w:rsidRPr="005C6DD6">
        <w:rPr>
          <w:rFonts w:asciiTheme="minorHAnsi" w:hAnsiTheme="minorHAnsi"/>
          <w:sz w:val="24"/>
          <w:szCs w:val="24"/>
        </w:rPr>
        <w:t>.</w:t>
      </w:r>
    </w:p>
    <w:p w14:paraId="5E1C7DC7" w14:textId="77777777" w:rsidR="000C651B" w:rsidRPr="005C6DD6" w:rsidRDefault="000C651B" w:rsidP="00B7681A">
      <w:pPr>
        <w:pStyle w:val="Heading2"/>
        <w:rPr>
          <w:rFonts w:asciiTheme="minorHAnsi" w:hAnsiTheme="minorHAnsi"/>
        </w:rPr>
      </w:pPr>
      <w:bookmarkStart w:id="35" w:name="_Toc442088395"/>
      <w:r w:rsidRPr="005C6DD6">
        <w:rPr>
          <w:rFonts w:asciiTheme="minorHAnsi" w:hAnsiTheme="minorHAnsi"/>
        </w:rPr>
        <w:t>Display of Expiration Date</w:t>
      </w:r>
      <w:r w:rsidR="00567B35" w:rsidRPr="005C6DD6">
        <w:rPr>
          <w:rFonts w:asciiTheme="minorHAnsi" w:hAnsiTheme="minorHAnsi"/>
        </w:rPr>
        <w:t xml:space="preserve"> and OMB Number</w:t>
      </w:r>
      <w:bookmarkEnd w:id="35"/>
    </w:p>
    <w:p w14:paraId="09CC33E8" w14:textId="19B352C0" w:rsidR="00D43D71" w:rsidRPr="00342046" w:rsidRDefault="000C651B" w:rsidP="004A1FD2">
      <w:pPr>
        <w:widowControl/>
        <w:spacing w:before="120" w:beforeAutospacing="0"/>
        <w:jc w:val="left"/>
        <w:rPr>
          <w:sz w:val="18"/>
          <w:szCs w:val="18"/>
        </w:rPr>
      </w:pPr>
      <w:r w:rsidRPr="005C6DD6">
        <w:rPr>
          <w:rFonts w:asciiTheme="minorHAnsi" w:hAnsiTheme="minorHAnsi"/>
        </w:rPr>
        <w:t xml:space="preserve">The </w:t>
      </w:r>
      <w:r w:rsidR="00567B35" w:rsidRPr="005C6DD6">
        <w:rPr>
          <w:rFonts w:asciiTheme="minorHAnsi" w:hAnsiTheme="minorHAnsi"/>
        </w:rPr>
        <w:t xml:space="preserve">OMB Number </w:t>
      </w:r>
      <w:r w:rsidR="00050081" w:rsidRPr="005C6DD6">
        <w:rPr>
          <w:rFonts w:asciiTheme="minorHAnsi" w:hAnsiTheme="minorHAnsi"/>
        </w:rPr>
        <w:t xml:space="preserve">(1905-0165) </w:t>
      </w:r>
      <w:r w:rsidR="00567B35" w:rsidRPr="005C6DD6">
        <w:rPr>
          <w:rFonts w:asciiTheme="minorHAnsi" w:hAnsiTheme="minorHAnsi"/>
        </w:rPr>
        <w:t xml:space="preserve">and </w:t>
      </w:r>
      <w:r w:rsidRPr="005C6DD6">
        <w:rPr>
          <w:rFonts w:asciiTheme="minorHAnsi" w:hAnsiTheme="minorHAnsi"/>
        </w:rPr>
        <w:t xml:space="preserve">expiration date will be displayed on all the </w:t>
      </w:r>
      <w:r w:rsidR="004F5C32" w:rsidRPr="005C6DD6">
        <w:rPr>
          <w:rFonts w:asciiTheme="minorHAnsi" w:hAnsiTheme="minorHAnsi"/>
        </w:rPr>
        <w:t>data collection</w:t>
      </w:r>
      <w:r w:rsidR="008205AD" w:rsidRPr="005C6DD6">
        <w:rPr>
          <w:rFonts w:asciiTheme="minorHAnsi" w:hAnsiTheme="minorHAnsi"/>
        </w:rPr>
        <w:t xml:space="preserve"> </w:t>
      </w:r>
      <w:r w:rsidRPr="005C6DD6">
        <w:rPr>
          <w:rFonts w:asciiTheme="minorHAnsi" w:hAnsiTheme="minorHAnsi"/>
        </w:rPr>
        <w:t>forms</w:t>
      </w:r>
      <w:r w:rsidR="00567B35" w:rsidRPr="005C6DD6">
        <w:rPr>
          <w:rFonts w:asciiTheme="minorHAnsi" w:hAnsiTheme="minorHAnsi"/>
        </w:rPr>
        <w:t xml:space="preserve"> and instructions</w:t>
      </w:r>
      <w:r w:rsidRPr="005C6DD6">
        <w:rPr>
          <w:rFonts w:asciiTheme="minorHAnsi" w:hAnsiTheme="minorHAnsi"/>
        </w:rPr>
        <w:t>.</w:t>
      </w:r>
    </w:p>
    <w:sectPr w:rsidR="00D43D71" w:rsidRPr="00342046" w:rsidSect="00630517">
      <w:headerReference w:type="default" r:id="rId26"/>
      <w:footerReference w:type="default" r:id="rId27"/>
      <w:endnotePr>
        <w:numFmt w:val="decimal"/>
      </w:endnotePr>
      <w:pgSz w:w="12240" w:h="15840"/>
      <w:pgMar w:top="1296" w:right="1440" w:bottom="1296"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CFFF" w14:textId="77777777" w:rsidR="005630EC" w:rsidRDefault="005630EC">
      <w:r>
        <w:separator/>
      </w:r>
    </w:p>
  </w:endnote>
  <w:endnote w:type="continuationSeparator" w:id="0">
    <w:p w14:paraId="7C47D269" w14:textId="77777777" w:rsidR="005630EC" w:rsidRDefault="005630EC">
      <w:r>
        <w:continuationSeparator/>
      </w:r>
    </w:p>
  </w:endnote>
  <w:endnote w:type="continuationNotice" w:id="1">
    <w:p w14:paraId="25C0F480" w14:textId="77777777" w:rsidR="005630EC" w:rsidRDefault="005630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9E2BD" w14:textId="77777777" w:rsidR="005630EC" w:rsidRDefault="005630E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C864B" w14:textId="77777777" w:rsidR="005630EC" w:rsidRDefault="005630EC" w:rsidP="00E24060">
    <w:pPr>
      <w:ind w:right="360"/>
      <w:jc w:val="center"/>
    </w:pPr>
    <w: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14:paraId="0D7652D7" w14:textId="77777777" w:rsidR="005630EC" w:rsidRDefault="005630EC" w:rsidP="00D059F6">
            <w:pPr>
              <w:pStyle w:val="Footer"/>
              <w:tabs>
                <w:tab w:val="clear" w:pos="8640"/>
                <w:tab w:val="right" w:pos="10080"/>
              </w:tabs>
              <w:jc w:val="center"/>
              <w:rPr>
                <w:sz w:val="20"/>
              </w:rPr>
            </w:pPr>
          </w:p>
          <w:p w14:paraId="0F54BAE8" w14:textId="0ADF5D78" w:rsidR="005630EC" w:rsidRPr="00F172C2" w:rsidRDefault="005630EC" w:rsidP="00F172C2">
            <w:pPr>
              <w:pStyle w:val="Footer"/>
              <w:tabs>
                <w:tab w:val="clear" w:pos="8640"/>
                <w:tab w:val="right" w:pos="10080"/>
              </w:tabs>
              <w:jc w:val="right"/>
              <w:rPr>
                <w:sz w:val="20"/>
              </w:rPr>
            </w:pPr>
            <w:r w:rsidRPr="00C84F62">
              <w:rPr>
                <w:sz w:val="20"/>
              </w:rPr>
              <w:t>Petroleum Supply Reporting System Supporting Statement</w:t>
            </w:r>
            <w:r>
              <w:rPr>
                <w:sz w:val="20"/>
              </w:rPr>
              <w:t>, Part A</w:t>
            </w:r>
            <w:r w:rsidRPr="00C84F62">
              <w:rPr>
                <w:sz w:val="20"/>
              </w:rPr>
              <w:tab/>
              <w:t xml:space="preserve">Page </w:t>
            </w:r>
            <w:r w:rsidRPr="00C84F62">
              <w:rPr>
                <w:sz w:val="20"/>
              </w:rPr>
              <w:fldChar w:fldCharType="begin"/>
            </w:r>
            <w:r w:rsidRPr="00C84F62">
              <w:rPr>
                <w:sz w:val="20"/>
              </w:rPr>
              <w:instrText xml:space="preserve"> PAGE </w:instrText>
            </w:r>
            <w:r w:rsidRPr="00C84F62">
              <w:rPr>
                <w:sz w:val="20"/>
              </w:rPr>
              <w:fldChar w:fldCharType="separate"/>
            </w:r>
            <w:r w:rsidR="00413889">
              <w:rPr>
                <w:noProof/>
                <w:sz w:val="20"/>
              </w:rPr>
              <w:t>19</w:t>
            </w:r>
            <w:r w:rsidRPr="00C84F62">
              <w:rPr>
                <w:sz w:val="20"/>
              </w:rPr>
              <w:fldChar w:fldCharType="end"/>
            </w:r>
            <w:r w:rsidRPr="00C84F62">
              <w:rPr>
                <w:sz w:val="20"/>
              </w:rPr>
              <w:t xml:space="preserve"> of </w:t>
            </w:r>
            <w:r>
              <w:rPr>
                <w:sz w:val="20"/>
              </w:rPr>
              <w:t>22</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0A45" w14:textId="77777777" w:rsidR="005630EC" w:rsidRDefault="005630EC">
      <w:r>
        <w:separator/>
      </w:r>
    </w:p>
  </w:footnote>
  <w:footnote w:type="continuationSeparator" w:id="0">
    <w:p w14:paraId="30F7E029" w14:textId="77777777" w:rsidR="005630EC" w:rsidRDefault="005630EC">
      <w:r>
        <w:continuationSeparator/>
      </w:r>
    </w:p>
  </w:footnote>
  <w:footnote w:type="continuationNotice" w:id="1">
    <w:p w14:paraId="1A69CB94" w14:textId="77777777" w:rsidR="005630EC" w:rsidRDefault="005630E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690F" w14:textId="77777777" w:rsidR="005630EC" w:rsidRDefault="005630EC">
    <w:pPr>
      <w:pStyle w:val="Header"/>
    </w:pPr>
    <w:r>
      <w:t>Petroleum Supply Reporting System Supporting Statement, 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3BA7" w14:textId="77777777" w:rsidR="005630EC" w:rsidRDefault="00563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0733"/>
    <w:multiLevelType w:val="hybridMultilevel"/>
    <w:tmpl w:val="02A02AD4"/>
    <w:lvl w:ilvl="0" w:tplc="7D860CAC">
      <w:start w:val="1"/>
      <w:numFmt w:val="decimal"/>
      <w:pStyle w:val="Heading2"/>
      <w:lvlText w:val="%1."/>
      <w:lvlJc w:val="left"/>
      <w:pPr>
        <w:ind w:left="9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7432"/>
    <w:multiLevelType w:val="hybridMultilevel"/>
    <w:tmpl w:val="CD4E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5781"/>
    <w:multiLevelType w:val="hybridMultilevel"/>
    <w:tmpl w:val="88FCC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9A79AF"/>
    <w:multiLevelType w:val="hybridMultilevel"/>
    <w:tmpl w:val="F1724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23B3A"/>
    <w:multiLevelType w:val="hybridMultilevel"/>
    <w:tmpl w:val="2B6A064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1894099"/>
    <w:multiLevelType w:val="hybridMultilevel"/>
    <w:tmpl w:val="C2D87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C2A5C"/>
    <w:multiLevelType w:val="hybridMultilevel"/>
    <w:tmpl w:val="5560C550"/>
    <w:lvl w:ilvl="0" w:tplc="2D7A310E">
      <w:start w:val="3"/>
      <w:numFmt w:val="decimal"/>
      <w:lvlText w:val="%1"/>
      <w:lvlJc w:val="left"/>
      <w:pPr>
        <w:ind w:left="460" w:hanging="360"/>
      </w:pPr>
      <w:rPr>
        <w:rFonts w:hint="default"/>
        <w:sz w:val="13"/>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51C0D"/>
    <w:multiLevelType w:val="hybridMultilevel"/>
    <w:tmpl w:val="6B503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B65AB"/>
    <w:multiLevelType w:val="hybridMultilevel"/>
    <w:tmpl w:val="56CC4B42"/>
    <w:lvl w:ilvl="0" w:tplc="7466D524">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D62140"/>
    <w:multiLevelType w:val="hybridMultilevel"/>
    <w:tmpl w:val="BCB86B6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965057"/>
    <w:multiLevelType w:val="hybridMultilevel"/>
    <w:tmpl w:val="DD2C7D9C"/>
    <w:lvl w:ilvl="0" w:tplc="1272183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D6B6BE0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745204"/>
    <w:multiLevelType w:val="hybridMultilevel"/>
    <w:tmpl w:val="4C246B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C450990"/>
    <w:multiLevelType w:val="hybridMultilevel"/>
    <w:tmpl w:val="125A4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FC169D"/>
    <w:multiLevelType w:val="hybridMultilevel"/>
    <w:tmpl w:val="8A2C5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06F55AE"/>
    <w:multiLevelType w:val="hybridMultilevel"/>
    <w:tmpl w:val="FA226C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D373D5"/>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4049D"/>
    <w:multiLevelType w:val="hybridMultilevel"/>
    <w:tmpl w:val="51267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A40D77"/>
    <w:multiLevelType w:val="hybridMultilevel"/>
    <w:tmpl w:val="D46AA02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6332BA"/>
    <w:multiLevelType w:val="hybridMultilevel"/>
    <w:tmpl w:val="942A8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995072"/>
    <w:multiLevelType w:val="hybridMultilevel"/>
    <w:tmpl w:val="99C46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4"/>
  </w:num>
  <w:num w:numId="4">
    <w:abstractNumId w:val="4"/>
  </w:num>
  <w:num w:numId="5">
    <w:abstractNumId w:val="10"/>
  </w:num>
  <w:num w:numId="6">
    <w:abstractNumId w:val="0"/>
  </w:num>
  <w:num w:numId="7">
    <w:abstractNumId w:val="15"/>
  </w:num>
  <w:num w:numId="8">
    <w:abstractNumId w:val="13"/>
  </w:num>
  <w:num w:numId="9">
    <w:abstractNumId w:val="22"/>
  </w:num>
  <w:num w:numId="10">
    <w:abstractNumId w:val="17"/>
  </w:num>
  <w:num w:numId="11">
    <w:abstractNumId w:val="9"/>
  </w:num>
  <w:num w:numId="12">
    <w:abstractNumId w:val="18"/>
  </w:num>
  <w:num w:numId="13">
    <w:abstractNumId w:val="19"/>
  </w:num>
  <w:num w:numId="14">
    <w:abstractNumId w:val="12"/>
  </w:num>
  <w:num w:numId="15">
    <w:abstractNumId w:val="25"/>
  </w:num>
  <w:num w:numId="16">
    <w:abstractNumId w:val="2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3"/>
  </w:num>
  <w:num w:numId="21">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num>
  <w:num w:numId="26">
    <w:abstractNumId w:val="24"/>
  </w:num>
  <w:num w:numId="27">
    <w:abstractNumId w:val="2"/>
  </w:num>
  <w:num w:numId="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31"/>
    <w:rsid w:val="00000552"/>
    <w:rsid w:val="0000111E"/>
    <w:rsid w:val="00004C4D"/>
    <w:rsid w:val="00011E90"/>
    <w:rsid w:val="000120E1"/>
    <w:rsid w:val="00012725"/>
    <w:rsid w:val="0001365C"/>
    <w:rsid w:val="00015069"/>
    <w:rsid w:val="00020C25"/>
    <w:rsid w:val="0002474E"/>
    <w:rsid w:val="00024C21"/>
    <w:rsid w:val="000265D1"/>
    <w:rsid w:val="0002717B"/>
    <w:rsid w:val="00032378"/>
    <w:rsid w:val="00032B0B"/>
    <w:rsid w:val="000345DB"/>
    <w:rsid w:val="0003551E"/>
    <w:rsid w:val="00040CFB"/>
    <w:rsid w:val="00041E54"/>
    <w:rsid w:val="00042214"/>
    <w:rsid w:val="00042A1A"/>
    <w:rsid w:val="00042AA2"/>
    <w:rsid w:val="000437AE"/>
    <w:rsid w:val="00043F96"/>
    <w:rsid w:val="00044A48"/>
    <w:rsid w:val="00046318"/>
    <w:rsid w:val="00046407"/>
    <w:rsid w:val="00050081"/>
    <w:rsid w:val="00051D08"/>
    <w:rsid w:val="00053DBD"/>
    <w:rsid w:val="00054945"/>
    <w:rsid w:val="00054DB9"/>
    <w:rsid w:val="00055087"/>
    <w:rsid w:val="00055C6E"/>
    <w:rsid w:val="00056DAD"/>
    <w:rsid w:val="00056F38"/>
    <w:rsid w:val="00063F41"/>
    <w:rsid w:val="00064B41"/>
    <w:rsid w:val="0006579A"/>
    <w:rsid w:val="000661F5"/>
    <w:rsid w:val="00067870"/>
    <w:rsid w:val="00070754"/>
    <w:rsid w:val="00073D11"/>
    <w:rsid w:val="00073E19"/>
    <w:rsid w:val="000747AD"/>
    <w:rsid w:val="000775C2"/>
    <w:rsid w:val="00077893"/>
    <w:rsid w:val="000837A0"/>
    <w:rsid w:val="00083F1B"/>
    <w:rsid w:val="00085A59"/>
    <w:rsid w:val="000865D3"/>
    <w:rsid w:val="00090CFE"/>
    <w:rsid w:val="000918BB"/>
    <w:rsid w:val="00091C3E"/>
    <w:rsid w:val="000926CF"/>
    <w:rsid w:val="0009331A"/>
    <w:rsid w:val="00093396"/>
    <w:rsid w:val="000A0BF7"/>
    <w:rsid w:val="000A2C3D"/>
    <w:rsid w:val="000A46BB"/>
    <w:rsid w:val="000A4A67"/>
    <w:rsid w:val="000A4D98"/>
    <w:rsid w:val="000A673F"/>
    <w:rsid w:val="000B1230"/>
    <w:rsid w:val="000B642B"/>
    <w:rsid w:val="000C077E"/>
    <w:rsid w:val="000C46CB"/>
    <w:rsid w:val="000C651B"/>
    <w:rsid w:val="000C7DBF"/>
    <w:rsid w:val="000D0DB7"/>
    <w:rsid w:val="000D208E"/>
    <w:rsid w:val="000D499F"/>
    <w:rsid w:val="000D69D3"/>
    <w:rsid w:val="000D7497"/>
    <w:rsid w:val="000E1C45"/>
    <w:rsid w:val="000E2CC4"/>
    <w:rsid w:val="000E4398"/>
    <w:rsid w:val="000E5E58"/>
    <w:rsid w:val="000E792B"/>
    <w:rsid w:val="000F39B9"/>
    <w:rsid w:val="000F3B53"/>
    <w:rsid w:val="000F5BD2"/>
    <w:rsid w:val="000F5D14"/>
    <w:rsid w:val="001020CF"/>
    <w:rsid w:val="00102CA3"/>
    <w:rsid w:val="00103F81"/>
    <w:rsid w:val="00107365"/>
    <w:rsid w:val="00111583"/>
    <w:rsid w:val="00111BD1"/>
    <w:rsid w:val="001160F8"/>
    <w:rsid w:val="001179E1"/>
    <w:rsid w:val="00120CB5"/>
    <w:rsid w:val="00125B95"/>
    <w:rsid w:val="0012646F"/>
    <w:rsid w:val="0012653B"/>
    <w:rsid w:val="00130778"/>
    <w:rsid w:val="00131E0A"/>
    <w:rsid w:val="001343F2"/>
    <w:rsid w:val="00135104"/>
    <w:rsid w:val="00136679"/>
    <w:rsid w:val="00136D15"/>
    <w:rsid w:val="00137DBF"/>
    <w:rsid w:val="0014045E"/>
    <w:rsid w:val="00140B54"/>
    <w:rsid w:val="00140E5E"/>
    <w:rsid w:val="001418E3"/>
    <w:rsid w:val="00142B35"/>
    <w:rsid w:val="0014392E"/>
    <w:rsid w:val="00143E2F"/>
    <w:rsid w:val="00145EE1"/>
    <w:rsid w:val="00147089"/>
    <w:rsid w:val="001517E0"/>
    <w:rsid w:val="00160989"/>
    <w:rsid w:val="00162737"/>
    <w:rsid w:val="00162934"/>
    <w:rsid w:val="00163E9C"/>
    <w:rsid w:val="00164FE3"/>
    <w:rsid w:val="00173A02"/>
    <w:rsid w:val="001801D9"/>
    <w:rsid w:val="001802BA"/>
    <w:rsid w:val="00181E8A"/>
    <w:rsid w:val="001823DB"/>
    <w:rsid w:val="00184E10"/>
    <w:rsid w:val="00186433"/>
    <w:rsid w:val="00186E52"/>
    <w:rsid w:val="0018745F"/>
    <w:rsid w:val="001905A7"/>
    <w:rsid w:val="00191719"/>
    <w:rsid w:val="0019185C"/>
    <w:rsid w:val="00191C50"/>
    <w:rsid w:val="00194837"/>
    <w:rsid w:val="001966DD"/>
    <w:rsid w:val="0019714A"/>
    <w:rsid w:val="001A3206"/>
    <w:rsid w:val="001A6D99"/>
    <w:rsid w:val="001B0424"/>
    <w:rsid w:val="001B0A1F"/>
    <w:rsid w:val="001B2841"/>
    <w:rsid w:val="001B3261"/>
    <w:rsid w:val="001B55A7"/>
    <w:rsid w:val="001B70D3"/>
    <w:rsid w:val="001B74CF"/>
    <w:rsid w:val="001B7952"/>
    <w:rsid w:val="001C2B9A"/>
    <w:rsid w:val="001C2F7D"/>
    <w:rsid w:val="001C48E1"/>
    <w:rsid w:val="001D0A14"/>
    <w:rsid w:val="001D7665"/>
    <w:rsid w:val="001E0197"/>
    <w:rsid w:val="001E12CE"/>
    <w:rsid w:val="001E4C1F"/>
    <w:rsid w:val="001E5966"/>
    <w:rsid w:val="001E7683"/>
    <w:rsid w:val="001E7C45"/>
    <w:rsid w:val="001F07D8"/>
    <w:rsid w:val="001F1B73"/>
    <w:rsid w:val="00200577"/>
    <w:rsid w:val="00206052"/>
    <w:rsid w:val="00207231"/>
    <w:rsid w:val="00210804"/>
    <w:rsid w:val="00211350"/>
    <w:rsid w:val="0021199F"/>
    <w:rsid w:val="0021267B"/>
    <w:rsid w:val="00212EFE"/>
    <w:rsid w:val="002145F2"/>
    <w:rsid w:val="0021567E"/>
    <w:rsid w:val="002169C4"/>
    <w:rsid w:val="00217DEF"/>
    <w:rsid w:val="0022168E"/>
    <w:rsid w:val="00221D64"/>
    <w:rsid w:val="00222B6C"/>
    <w:rsid w:val="00223457"/>
    <w:rsid w:val="00225FB4"/>
    <w:rsid w:val="00227966"/>
    <w:rsid w:val="00227CD1"/>
    <w:rsid w:val="002353C2"/>
    <w:rsid w:val="00235AAA"/>
    <w:rsid w:val="00237329"/>
    <w:rsid w:val="002374F0"/>
    <w:rsid w:val="00237FD0"/>
    <w:rsid w:val="0024035B"/>
    <w:rsid w:val="00241231"/>
    <w:rsid w:val="00241ED3"/>
    <w:rsid w:val="002431CF"/>
    <w:rsid w:val="002457B9"/>
    <w:rsid w:val="00246FCA"/>
    <w:rsid w:val="00247613"/>
    <w:rsid w:val="00251B52"/>
    <w:rsid w:val="00252845"/>
    <w:rsid w:val="00252930"/>
    <w:rsid w:val="00255DE3"/>
    <w:rsid w:val="00256171"/>
    <w:rsid w:val="002570E1"/>
    <w:rsid w:val="002638CF"/>
    <w:rsid w:val="00264611"/>
    <w:rsid w:val="00264A20"/>
    <w:rsid w:val="00264A21"/>
    <w:rsid w:val="00264F03"/>
    <w:rsid w:val="00266AA0"/>
    <w:rsid w:val="00267CD6"/>
    <w:rsid w:val="00272444"/>
    <w:rsid w:val="00272B40"/>
    <w:rsid w:val="0027303B"/>
    <w:rsid w:val="00275CFB"/>
    <w:rsid w:val="00281C5C"/>
    <w:rsid w:val="00283626"/>
    <w:rsid w:val="00287AF6"/>
    <w:rsid w:val="00291117"/>
    <w:rsid w:val="00292EBB"/>
    <w:rsid w:val="00292F9B"/>
    <w:rsid w:val="0029376E"/>
    <w:rsid w:val="0029383C"/>
    <w:rsid w:val="00293AFC"/>
    <w:rsid w:val="00293B2C"/>
    <w:rsid w:val="00293E1A"/>
    <w:rsid w:val="00295177"/>
    <w:rsid w:val="002A2975"/>
    <w:rsid w:val="002A3AFF"/>
    <w:rsid w:val="002A646C"/>
    <w:rsid w:val="002B0B28"/>
    <w:rsid w:val="002B1C34"/>
    <w:rsid w:val="002B22FF"/>
    <w:rsid w:val="002B64BE"/>
    <w:rsid w:val="002B778D"/>
    <w:rsid w:val="002C0BBD"/>
    <w:rsid w:val="002C24A8"/>
    <w:rsid w:val="002C4CF4"/>
    <w:rsid w:val="002D0B5E"/>
    <w:rsid w:val="002D0E02"/>
    <w:rsid w:val="002D1AFB"/>
    <w:rsid w:val="002D5B73"/>
    <w:rsid w:val="002D5CA3"/>
    <w:rsid w:val="002E098F"/>
    <w:rsid w:val="002E513C"/>
    <w:rsid w:val="002E568A"/>
    <w:rsid w:val="002E6FBD"/>
    <w:rsid w:val="002E747E"/>
    <w:rsid w:val="002F0589"/>
    <w:rsid w:val="002F5C97"/>
    <w:rsid w:val="002F6AC6"/>
    <w:rsid w:val="002F7412"/>
    <w:rsid w:val="00301041"/>
    <w:rsid w:val="003016CD"/>
    <w:rsid w:val="003018C3"/>
    <w:rsid w:val="00304F29"/>
    <w:rsid w:val="0030566A"/>
    <w:rsid w:val="00312DAE"/>
    <w:rsid w:val="00315B6B"/>
    <w:rsid w:val="00317BEB"/>
    <w:rsid w:val="003224D0"/>
    <w:rsid w:val="00322A5E"/>
    <w:rsid w:val="003238D7"/>
    <w:rsid w:val="00324FD9"/>
    <w:rsid w:val="00331E1F"/>
    <w:rsid w:val="00332CF7"/>
    <w:rsid w:val="00333121"/>
    <w:rsid w:val="00340991"/>
    <w:rsid w:val="00341238"/>
    <w:rsid w:val="00342046"/>
    <w:rsid w:val="0034505C"/>
    <w:rsid w:val="003450EC"/>
    <w:rsid w:val="003548C7"/>
    <w:rsid w:val="003553C2"/>
    <w:rsid w:val="003623AD"/>
    <w:rsid w:val="003634CC"/>
    <w:rsid w:val="00366B75"/>
    <w:rsid w:val="00382A3F"/>
    <w:rsid w:val="003839CD"/>
    <w:rsid w:val="003863FF"/>
    <w:rsid w:val="00394988"/>
    <w:rsid w:val="00394C30"/>
    <w:rsid w:val="00394DDD"/>
    <w:rsid w:val="003A0316"/>
    <w:rsid w:val="003A267B"/>
    <w:rsid w:val="003A2F66"/>
    <w:rsid w:val="003A335A"/>
    <w:rsid w:val="003A5E62"/>
    <w:rsid w:val="003A6A01"/>
    <w:rsid w:val="003B59EB"/>
    <w:rsid w:val="003B662B"/>
    <w:rsid w:val="003B6A8F"/>
    <w:rsid w:val="003C161F"/>
    <w:rsid w:val="003C41DE"/>
    <w:rsid w:val="003C484B"/>
    <w:rsid w:val="003C5335"/>
    <w:rsid w:val="003C620B"/>
    <w:rsid w:val="003C706C"/>
    <w:rsid w:val="003D009D"/>
    <w:rsid w:val="003D0FAD"/>
    <w:rsid w:val="003D29D4"/>
    <w:rsid w:val="003D2E66"/>
    <w:rsid w:val="003D4DCB"/>
    <w:rsid w:val="003D691C"/>
    <w:rsid w:val="003E33CC"/>
    <w:rsid w:val="003E35E8"/>
    <w:rsid w:val="003E5F34"/>
    <w:rsid w:val="003F23EC"/>
    <w:rsid w:val="003F4044"/>
    <w:rsid w:val="003F4076"/>
    <w:rsid w:val="003F5E0C"/>
    <w:rsid w:val="00401116"/>
    <w:rsid w:val="0040170F"/>
    <w:rsid w:val="00401EC9"/>
    <w:rsid w:val="004054B6"/>
    <w:rsid w:val="004056AD"/>
    <w:rsid w:val="004062A4"/>
    <w:rsid w:val="00406EE1"/>
    <w:rsid w:val="004071F3"/>
    <w:rsid w:val="0041132F"/>
    <w:rsid w:val="00413889"/>
    <w:rsid w:val="004153C8"/>
    <w:rsid w:val="00415CCB"/>
    <w:rsid w:val="00416391"/>
    <w:rsid w:val="0041775F"/>
    <w:rsid w:val="00421476"/>
    <w:rsid w:val="00422230"/>
    <w:rsid w:val="00422289"/>
    <w:rsid w:val="004229BF"/>
    <w:rsid w:val="00422CA7"/>
    <w:rsid w:val="004248A7"/>
    <w:rsid w:val="00431AEF"/>
    <w:rsid w:val="00431D88"/>
    <w:rsid w:val="004354D8"/>
    <w:rsid w:val="00436D9C"/>
    <w:rsid w:val="004373FA"/>
    <w:rsid w:val="004439A8"/>
    <w:rsid w:val="004452D4"/>
    <w:rsid w:val="0044780D"/>
    <w:rsid w:val="0045364C"/>
    <w:rsid w:val="00453F8C"/>
    <w:rsid w:val="00454988"/>
    <w:rsid w:val="00456483"/>
    <w:rsid w:val="00457A79"/>
    <w:rsid w:val="00457BB1"/>
    <w:rsid w:val="0046015B"/>
    <w:rsid w:val="004619E3"/>
    <w:rsid w:val="00463AD8"/>
    <w:rsid w:val="00463D8B"/>
    <w:rsid w:val="0047089E"/>
    <w:rsid w:val="004717D8"/>
    <w:rsid w:val="00471FEB"/>
    <w:rsid w:val="00472EB6"/>
    <w:rsid w:val="00473ACE"/>
    <w:rsid w:val="00473C85"/>
    <w:rsid w:val="00475A93"/>
    <w:rsid w:val="00475EDB"/>
    <w:rsid w:val="00477A5B"/>
    <w:rsid w:val="00482D20"/>
    <w:rsid w:val="0048340F"/>
    <w:rsid w:val="004834A7"/>
    <w:rsid w:val="00483744"/>
    <w:rsid w:val="00485D02"/>
    <w:rsid w:val="00487F28"/>
    <w:rsid w:val="00487F3E"/>
    <w:rsid w:val="0049314F"/>
    <w:rsid w:val="004953AC"/>
    <w:rsid w:val="004967E9"/>
    <w:rsid w:val="00496D70"/>
    <w:rsid w:val="004A1FD2"/>
    <w:rsid w:val="004A2547"/>
    <w:rsid w:val="004A425E"/>
    <w:rsid w:val="004A57AA"/>
    <w:rsid w:val="004A68DF"/>
    <w:rsid w:val="004B020F"/>
    <w:rsid w:val="004B0548"/>
    <w:rsid w:val="004B113F"/>
    <w:rsid w:val="004B16A2"/>
    <w:rsid w:val="004B19D1"/>
    <w:rsid w:val="004B32C9"/>
    <w:rsid w:val="004B33FD"/>
    <w:rsid w:val="004B5776"/>
    <w:rsid w:val="004B71A5"/>
    <w:rsid w:val="004C0C8E"/>
    <w:rsid w:val="004C31D5"/>
    <w:rsid w:val="004D11DD"/>
    <w:rsid w:val="004D1763"/>
    <w:rsid w:val="004D4442"/>
    <w:rsid w:val="004D4BEC"/>
    <w:rsid w:val="004D4E8B"/>
    <w:rsid w:val="004D6E96"/>
    <w:rsid w:val="004E237C"/>
    <w:rsid w:val="004E277C"/>
    <w:rsid w:val="004E33CC"/>
    <w:rsid w:val="004E3F51"/>
    <w:rsid w:val="004E5937"/>
    <w:rsid w:val="004E660A"/>
    <w:rsid w:val="004F4CAC"/>
    <w:rsid w:val="004F5A4D"/>
    <w:rsid w:val="004F5C32"/>
    <w:rsid w:val="004F63BE"/>
    <w:rsid w:val="004F70F9"/>
    <w:rsid w:val="0050130A"/>
    <w:rsid w:val="00502E1C"/>
    <w:rsid w:val="00503B14"/>
    <w:rsid w:val="00505B73"/>
    <w:rsid w:val="00505CCA"/>
    <w:rsid w:val="005069AE"/>
    <w:rsid w:val="00510A14"/>
    <w:rsid w:val="00511937"/>
    <w:rsid w:val="00512995"/>
    <w:rsid w:val="00514898"/>
    <w:rsid w:val="0051520C"/>
    <w:rsid w:val="005163CA"/>
    <w:rsid w:val="005179EE"/>
    <w:rsid w:val="0052171A"/>
    <w:rsid w:val="005235BE"/>
    <w:rsid w:val="0052373C"/>
    <w:rsid w:val="00526DC6"/>
    <w:rsid w:val="005275FF"/>
    <w:rsid w:val="00527A8A"/>
    <w:rsid w:val="005310BB"/>
    <w:rsid w:val="00531976"/>
    <w:rsid w:val="005445D6"/>
    <w:rsid w:val="00544937"/>
    <w:rsid w:val="00545C21"/>
    <w:rsid w:val="00547F04"/>
    <w:rsid w:val="005534FE"/>
    <w:rsid w:val="00554959"/>
    <w:rsid w:val="00555F3F"/>
    <w:rsid w:val="0055600B"/>
    <w:rsid w:val="0056002D"/>
    <w:rsid w:val="005630EC"/>
    <w:rsid w:val="005655D3"/>
    <w:rsid w:val="00566DEA"/>
    <w:rsid w:val="00567B35"/>
    <w:rsid w:val="00572D66"/>
    <w:rsid w:val="00573EDC"/>
    <w:rsid w:val="00576474"/>
    <w:rsid w:val="005778F8"/>
    <w:rsid w:val="0058087D"/>
    <w:rsid w:val="00580FAC"/>
    <w:rsid w:val="00581169"/>
    <w:rsid w:val="00586D78"/>
    <w:rsid w:val="00590C38"/>
    <w:rsid w:val="00593373"/>
    <w:rsid w:val="00595A29"/>
    <w:rsid w:val="005961B0"/>
    <w:rsid w:val="005A1398"/>
    <w:rsid w:val="005A2E29"/>
    <w:rsid w:val="005A6D09"/>
    <w:rsid w:val="005B160C"/>
    <w:rsid w:val="005B2C8F"/>
    <w:rsid w:val="005B312D"/>
    <w:rsid w:val="005B44CE"/>
    <w:rsid w:val="005B4AE3"/>
    <w:rsid w:val="005B5453"/>
    <w:rsid w:val="005B5901"/>
    <w:rsid w:val="005B7A8E"/>
    <w:rsid w:val="005B7DED"/>
    <w:rsid w:val="005C19AC"/>
    <w:rsid w:val="005C233F"/>
    <w:rsid w:val="005C691E"/>
    <w:rsid w:val="005C6DD6"/>
    <w:rsid w:val="005C716B"/>
    <w:rsid w:val="005D049B"/>
    <w:rsid w:val="005D133D"/>
    <w:rsid w:val="005D137A"/>
    <w:rsid w:val="005D2B7B"/>
    <w:rsid w:val="005D6373"/>
    <w:rsid w:val="005D6B93"/>
    <w:rsid w:val="005D749B"/>
    <w:rsid w:val="005E2F67"/>
    <w:rsid w:val="005E3FB6"/>
    <w:rsid w:val="005E5ADA"/>
    <w:rsid w:val="005E6422"/>
    <w:rsid w:val="005E78CB"/>
    <w:rsid w:val="005F014B"/>
    <w:rsid w:val="005F2149"/>
    <w:rsid w:val="005F253B"/>
    <w:rsid w:val="005F35F3"/>
    <w:rsid w:val="005F4BDD"/>
    <w:rsid w:val="005F5586"/>
    <w:rsid w:val="005F68A9"/>
    <w:rsid w:val="005F7CEC"/>
    <w:rsid w:val="0060121C"/>
    <w:rsid w:val="00602560"/>
    <w:rsid w:val="00605455"/>
    <w:rsid w:val="006054E5"/>
    <w:rsid w:val="006061F9"/>
    <w:rsid w:val="00611164"/>
    <w:rsid w:val="00612C44"/>
    <w:rsid w:val="00614A41"/>
    <w:rsid w:val="00614F04"/>
    <w:rsid w:val="00615325"/>
    <w:rsid w:val="0061584D"/>
    <w:rsid w:val="00620EF5"/>
    <w:rsid w:val="00630517"/>
    <w:rsid w:val="00632CD8"/>
    <w:rsid w:val="00634271"/>
    <w:rsid w:val="0063695E"/>
    <w:rsid w:val="00641EDC"/>
    <w:rsid w:val="00643529"/>
    <w:rsid w:val="00643EB3"/>
    <w:rsid w:val="0064787F"/>
    <w:rsid w:val="0065097A"/>
    <w:rsid w:val="00650E1E"/>
    <w:rsid w:val="0065191A"/>
    <w:rsid w:val="00652A86"/>
    <w:rsid w:val="0065547F"/>
    <w:rsid w:val="006559DF"/>
    <w:rsid w:val="006560E2"/>
    <w:rsid w:val="0065736E"/>
    <w:rsid w:val="006615FB"/>
    <w:rsid w:val="0066284D"/>
    <w:rsid w:val="006702EF"/>
    <w:rsid w:val="00672F2F"/>
    <w:rsid w:val="006737E3"/>
    <w:rsid w:val="00673853"/>
    <w:rsid w:val="006744D8"/>
    <w:rsid w:val="00681F8A"/>
    <w:rsid w:val="006845FF"/>
    <w:rsid w:val="006851DC"/>
    <w:rsid w:val="00686EDD"/>
    <w:rsid w:val="006909DF"/>
    <w:rsid w:val="00690F17"/>
    <w:rsid w:val="00691E19"/>
    <w:rsid w:val="00693536"/>
    <w:rsid w:val="0069491F"/>
    <w:rsid w:val="00697604"/>
    <w:rsid w:val="00697703"/>
    <w:rsid w:val="00697D1B"/>
    <w:rsid w:val="006A0400"/>
    <w:rsid w:val="006A15DC"/>
    <w:rsid w:val="006A3609"/>
    <w:rsid w:val="006A61CE"/>
    <w:rsid w:val="006B01EA"/>
    <w:rsid w:val="006B0CFB"/>
    <w:rsid w:val="006B1057"/>
    <w:rsid w:val="006B292D"/>
    <w:rsid w:val="006B2D8A"/>
    <w:rsid w:val="006B451D"/>
    <w:rsid w:val="006B6872"/>
    <w:rsid w:val="006B6BB9"/>
    <w:rsid w:val="006B70DF"/>
    <w:rsid w:val="006B7791"/>
    <w:rsid w:val="006C1642"/>
    <w:rsid w:val="006C2087"/>
    <w:rsid w:val="006C3F86"/>
    <w:rsid w:val="006C7667"/>
    <w:rsid w:val="006D1640"/>
    <w:rsid w:val="006D3847"/>
    <w:rsid w:val="006D6F0D"/>
    <w:rsid w:val="006D75D4"/>
    <w:rsid w:val="006E12D4"/>
    <w:rsid w:val="006E13F0"/>
    <w:rsid w:val="006E1997"/>
    <w:rsid w:val="006E3090"/>
    <w:rsid w:val="006E3F18"/>
    <w:rsid w:val="006E40BD"/>
    <w:rsid w:val="006E561F"/>
    <w:rsid w:val="006E7D30"/>
    <w:rsid w:val="006F0AB3"/>
    <w:rsid w:val="006F1138"/>
    <w:rsid w:val="006F5ADF"/>
    <w:rsid w:val="006F6B2A"/>
    <w:rsid w:val="0070041A"/>
    <w:rsid w:val="00700EE2"/>
    <w:rsid w:val="00704B41"/>
    <w:rsid w:val="00712C38"/>
    <w:rsid w:val="00713F20"/>
    <w:rsid w:val="00715292"/>
    <w:rsid w:val="00717375"/>
    <w:rsid w:val="0072048E"/>
    <w:rsid w:val="00721EE4"/>
    <w:rsid w:val="00722782"/>
    <w:rsid w:val="0072344C"/>
    <w:rsid w:val="00723FC0"/>
    <w:rsid w:val="0073617E"/>
    <w:rsid w:val="00736BCF"/>
    <w:rsid w:val="0073773D"/>
    <w:rsid w:val="0074000B"/>
    <w:rsid w:val="007405BF"/>
    <w:rsid w:val="007408A7"/>
    <w:rsid w:val="00740C70"/>
    <w:rsid w:val="007416B9"/>
    <w:rsid w:val="00741B7B"/>
    <w:rsid w:val="0074251E"/>
    <w:rsid w:val="0074329D"/>
    <w:rsid w:val="00750ED8"/>
    <w:rsid w:val="007571EC"/>
    <w:rsid w:val="00761D61"/>
    <w:rsid w:val="007653B5"/>
    <w:rsid w:val="007666D2"/>
    <w:rsid w:val="0076701B"/>
    <w:rsid w:val="00770AA5"/>
    <w:rsid w:val="00774C2E"/>
    <w:rsid w:val="007754DA"/>
    <w:rsid w:val="0077557F"/>
    <w:rsid w:val="00780005"/>
    <w:rsid w:val="007808B3"/>
    <w:rsid w:val="00780CB7"/>
    <w:rsid w:val="007834F3"/>
    <w:rsid w:val="00784CA1"/>
    <w:rsid w:val="00785009"/>
    <w:rsid w:val="007858AD"/>
    <w:rsid w:val="00785DCE"/>
    <w:rsid w:val="00792222"/>
    <w:rsid w:val="007923BC"/>
    <w:rsid w:val="00792E32"/>
    <w:rsid w:val="00793B77"/>
    <w:rsid w:val="00796E8B"/>
    <w:rsid w:val="007A4769"/>
    <w:rsid w:val="007A5052"/>
    <w:rsid w:val="007A6BB9"/>
    <w:rsid w:val="007A7028"/>
    <w:rsid w:val="007A7696"/>
    <w:rsid w:val="007B0491"/>
    <w:rsid w:val="007B0DDF"/>
    <w:rsid w:val="007B14A0"/>
    <w:rsid w:val="007B7FB7"/>
    <w:rsid w:val="007C246C"/>
    <w:rsid w:val="007C3610"/>
    <w:rsid w:val="007C4E3C"/>
    <w:rsid w:val="007C62FC"/>
    <w:rsid w:val="007C6D71"/>
    <w:rsid w:val="007C7494"/>
    <w:rsid w:val="007C7F78"/>
    <w:rsid w:val="007D30AC"/>
    <w:rsid w:val="007D365E"/>
    <w:rsid w:val="007D476E"/>
    <w:rsid w:val="007D48C1"/>
    <w:rsid w:val="007E02AC"/>
    <w:rsid w:val="007E0CB7"/>
    <w:rsid w:val="007E5559"/>
    <w:rsid w:val="007E669F"/>
    <w:rsid w:val="007F116D"/>
    <w:rsid w:val="007F3631"/>
    <w:rsid w:val="007F713B"/>
    <w:rsid w:val="007F77F3"/>
    <w:rsid w:val="007F7CF1"/>
    <w:rsid w:val="008010F9"/>
    <w:rsid w:val="008029D9"/>
    <w:rsid w:val="008035A8"/>
    <w:rsid w:val="0080495C"/>
    <w:rsid w:val="00805D24"/>
    <w:rsid w:val="00807A3A"/>
    <w:rsid w:val="008155EE"/>
    <w:rsid w:val="0081573C"/>
    <w:rsid w:val="00816094"/>
    <w:rsid w:val="008205AD"/>
    <w:rsid w:val="00821EA7"/>
    <w:rsid w:val="00822D1B"/>
    <w:rsid w:val="0082375E"/>
    <w:rsid w:val="0082508C"/>
    <w:rsid w:val="008260D9"/>
    <w:rsid w:val="00831819"/>
    <w:rsid w:val="00831BED"/>
    <w:rsid w:val="00833452"/>
    <w:rsid w:val="00833C26"/>
    <w:rsid w:val="0083444F"/>
    <w:rsid w:val="00834E66"/>
    <w:rsid w:val="00841FF0"/>
    <w:rsid w:val="00842EB9"/>
    <w:rsid w:val="00843F04"/>
    <w:rsid w:val="008448DC"/>
    <w:rsid w:val="00844F4F"/>
    <w:rsid w:val="0084616B"/>
    <w:rsid w:val="00847244"/>
    <w:rsid w:val="00847496"/>
    <w:rsid w:val="00847830"/>
    <w:rsid w:val="008503A5"/>
    <w:rsid w:val="00851899"/>
    <w:rsid w:val="00851C9F"/>
    <w:rsid w:val="00852989"/>
    <w:rsid w:val="008534DE"/>
    <w:rsid w:val="008575C1"/>
    <w:rsid w:val="00857B33"/>
    <w:rsid w:val="008613DF"/>
    <w:rsid w:val="00861BD7"/>
    <w:rsid w:val="008710A3"/>
    <w:rsid w:val="00872064"/>
    <w:rsid w:val="008739DA"/>
    <w:rsid w:val="008765B3"/>
    <w:rsid w:val="00876CB7"/>
    <w:rsid w:val="0087762F"/>
    <w:rsid w:val="008816A5"/>
    <w:rsid w:val="0088178E"/>
    <w:rsid w:val="008839BE"/>
    <w:rsid w:val="008844BD"/>
    <w:rsid w:val="008859FF"/>
    <w:rsid w:val="00885AB0"/>
    <w:rsid w:val="00886CC2"/>
    <w:rsid w:val="0088790A"/>
    <w:rsid w:val="00887C3E"/>
    <w:rsid w:val="008932EC"/>
    <w:rsid w:val="00895CA1"/>
    <w:rsid w:val="0089706C"/>
    <w:rsid w:val="00897E4D"/>
    <w:rsid w:val="008A104C"/>
    <w:rsid w:val="008A11D4"/>
    <w:rsid w:val="008A42AC"/>
    <w:rsid w:val="008A64E5"/>
    <w:rsid w:val="008A67D8"/>
    <w:rsid w:val="008A6BD3"/>
    <w:rsid w:val="008A6D33"/>
    <w:rsid w:val="008B005E"/>
    <w:rsid w:val="008B3EAD"/>
    <w:rsid w:val="008B443E"/>
    <w:rsid w:val="008B60B5"/>
    <w:rsid w:val="008B6BA2"/>
    <w:rsid w:val="008C1B3B"/>
    <w:rsid w:val="008C1E3B"/>
    <w:rsid w:val="008C21EA"/>
    <w:rsid w:val="008C6082"/>
    <w:rsid w:val="008C6141"/>
    <w:rsid w:val="008D09C3"/>
    <w:rsid w:val="008D5CA8"/>
    <w:rsid w:val="008E0B3B"/>
    <w:rsid w:val="008E282B"/>
    <w:rsid w:val="008E371D"/>
    <w:rsid w:val="008E5E4D"/>
    <w:rsid w:val="008F2B3E"/>
    <w:rsid w:val="008F59EF"/>
    <w:rsid w:val="0090197E"/>
    <w:rsid w:val="00902C9A"/>
    <w:rsid w:val="00904598"/>
    <w:rsid w:val="00905315"/>
    <w:rsid w:val="00905722"/>
    <w:rsid w:val="00905EDA"/>
    <w:rsid w:val="009113A3"/>
    <w:rsid w:val="009115C6"/>
    <w:rsid w:val="00911C1A"/>
    <w:rsid w:val="009126F1"/>
    <w:rsid w:val="00913A74"/>
    <w:rsid w:val="00913B1A"/>
    <w:rsid w:val="0091536E"/>
    <w:rsid w:val="00915974"/>
    <w:rsid w:val="00920447"/>
    <w:rsid w:val="00920F3B"/>
    <w:rsid w:val="00921AD1"/>
    <w:rsid w:val="00921B4C"/>
    <w:rsid w:val="00921C01"/>
    <w:rsid w:val="00921F80"/>
    <w:rsid w:val="0092252C"/>
    <w:rsid w:val="00924BF4"/>
    <w:rsid w:val="00924CD3"/>
    <w:rsid w:val="00926610"/>
    <w:rsid w:val="00930D07"/>
    <w:rsid w:val="00935AFE"/>
    <w:rsid w:val="00936B6A"/>
    <w:rsid w:val="00940518"/>
    <w:rsid w:val="00940DC6"/>
    <w:rsid w:val="00941055"/>
    <w:rsid w:val="009420E3"/>
    <w:rsid w:val="00943632"/>
    <w:rsid w:val="00943795"/>
    <w:rsid w:val="009448FF"/>
    <w:rsid w:val="00945BFD"/>
    <w:rsid w:val="00953387"/>
    <w:rsid w:val="009534CF"/>
    <w:rsid w:val="00955453"/>
    <w:rsid w:val="00955849"/>
    <w:rsid w:val="00956B3E"/>
    <w:rsid w:val="00962CA1"/>
    <w:rsid w:val="009638AA"/>
    <w:rsid w:val="00964B92"/>
    <w:rsid w:val="0096548C"/>
    <w:rsid w:val="009655F2"/>
    <w:rsid w:val="00967561"/>
    <w:rsid w:val="00973865"/>
    <w:rsid w:val="009828E8"/>
    <w:rsid w:val="00982F0B"/>
    <w:rsid w:val="00983372"/>
    <w:rsid w:val="00984D9A"/>
    <w:rsid w:val="009855E9"/>
    <w:rsid w:val="0099125D"/>
    <w:rsid w:val="0099243E"/>
    <w:rsid w:val="00994063"/>
    <w:rsid w:val="009940E3"/>
    <w:rsid w:val="00994AA7"/>
    <w:rsid w:val="00997840"/>
    <w:rsid w:val="009A00CE"/>
    <w:rsid w:val="009A2741"/>
    <w:rsid w:val="009A38DC"/>
    <w:rsid w:val="009A4ADF"/>
    <w:rsid w:val="009A6598"/>
    <w:rsid w:val="009A7F14"/>
    <w:rsid w:val="009B05C5"/>
    <w:rsid w:val="009B18A5"/>
    <w:rsid w:val="009C070B"/>
    <w:rsid w:val="009C21E8"/>
    <w:rsid w:val="009C3A30"/>
    <w:rsid w:val="009C5409"/>
    <w:rsid w:val="009C54E6"/>
    <w:rsid w:val="009C5A35"/>
    <w:rsid w:val="009C6B72"/>
    <w:rsid w:val="009D07DF"/>
    <w:rsid w:val="009D14FE"/>
    <w:rsid w:val="009D2543"/>
    <w:rsid w:val="009D3B77"/>
    <w:rsid w:val="009D4214"/>
    <w:rsid w:val="009D6A74"/>
    <w:rsid w:val="009E1AFE"/>
    <w:rsid w:val="009E28FA"/>
    <w:rsid w:val="009E2974"/>
    <w:rsid w:val="009E6319"/>
    <w:rsid w:val="009F237F"/>
    <w:rsid w:val="009F2DC7"/>
    <w:rsid w:val="009F305D"/>
    <w:rsid w:val="009F79B5"/>
    <w:rsid w:val="00A00A21"/>
    <w:rsid w:val="00A02C27"/>
    <w:rsid w:val="00A0664C"/>
    <w:rsid w:val="00A1059C"/>
    <w:rsid w:val="00A15086"/>
    <w:rsid w:val="00A15D6A"/>
    <w:rsid w:val="00A16B0A"/>
    <w:rsid w:val="00A17066"/>
    <w:rsid w:val="00A2129A"/>
    <w:rsid w:val="00A21770"/>
    <w:rsid w:val="00A23059"/>
    <w:rsid w:val="00A23C9E"/>
    <w:rsid w:val="00A25777"/>
    <w:rsid w:val="00A27C71"/>
    <w:rsid w:val="00A31208"/>
    <w:rsid w:val="00A32CCA"/>
    <w:rsid w:val="00A32DA4"/>
    <w:rsid w:val="00A3439C"/>
    <w:rsid w:val="00A35D09"/>
    <w:rsid w:val="00A36EA8"/>
    <w:rsid w:val="00A40207"/>
    <w:rsid w:val="00A42A18"/>
    <w:rsid w:val="00A42C14"/>
    <w:rsid w:val="00A54690"/>
    <w:rsid w:val="00A5686B"/>
    <w:rsid w:val="00A61316"/>
    <w:rsid w:val="00A61906"/>
    <w:rsid w:val="00A61F75"/>
    <w:rsid w:val="00A635AD"/>
    <w:rsid w:val="00A6383A"/>
    <w:rsid w:val="00A64B16"/>
    <w:rsid w:val="00A7123D"/>
    <w:rsid w:val="00A719A9"/>
    <w:rsid w:val="00A7504B"/>
    <w:rsid w:val="00A75089"/>
    <w:rsid w:val="00A767E6"/>
    <w:rsid w:val="00A76A54"/>
    <w:rsid w:val="00A76E73"/>
    <w:rsid w:val="00A86DB2"/>
    <w:rsid w:val="00A91FC9"/>
    <w:rsid w:val="00A92B1A"/>
    <w:rsid w:val="00A96D7F"/>
    <w:rsid w:val="00AA1793"/>
    <w:rsid w:val="00AB094A"/>
    <w:rsid w:val="00AB35D3"/>
    <w:rsid w:val="00AB6092"/>
    <w:rsid w:val="00AB65F0"/>
    <w:rsid w:val="00AB69A7"/>
    <w:rsid w:val="00AC2EA5"/>
    <w:rsid w:val="00AC3A81"/>
    <w:rsid w:val="00AC75EE"/>
    <w:rsid w:val="00AD03DD"/>
    <w:rsid w:val="00AD384E"/>
    <w:rsid w:val="00AD7E19"/>
    <w:rsid w:val="00AE09B1"/>
    <w:rsid w:val="00AE10E2"/>
    <w:rsid w:val="00AE35AC"/>
    <w:rsid w:val="00AE46E4"/>
    <w:rsid w:val="00AE47E1"/>
    <w:rsid w:val="00AE5645"/>
    <w:rsid w:val="00AE77A6"/>
    <w:rsid w:val="00AF0253"/>
    <w:rsid w:val="00AF10BE"/>
    <w:rsid w:val="00AF3A52"/>
    <w:rsid w:val="00B023F7"/>
    <w:rsid w:val="00B03109"/>
    <w:rsid w:val="00B0467A"/>
    <w:rsid w:val="00B04D18"/>
    <w:rsid w:val="00B06DBB"/>
    <w:rsid w:val="00B07AB7"/>
    <w:rsid w:val="00B13897"/>
    <w:rsid w:val="00B1558B"/>
    <w:rsid w:val="00B160BD"/>
    <w:rsid w:val="00B243F8"/>
    <w:rsid w:val="00B264DF"/>
    <w:rsid w:val="00B26635"/>
    <w:rsid w:val="00B267A5"/>
    <w:rsid w:val="00B30665"/>
    <w:rsid w:val="00B328D3"/>
    <w:rsid w:val="00B331C0"/>
    <w:rsid w:val="00B34F3A"/>
    <w:rsid w:val="00B364E7"/>
    <w:rsid w:val="00B40029"/>
    <w:rsid w:val="00B410EB"/>
    <w:rsid w:val="00B43C33"/>
    <w:rsid w:val="00B4421E"/>
    <w:rsid w:val="00B51DDD"/>
    <w:rsid w:val="00B5224B"/>
    <w:rsid w:val="00B53484"/>
    <w:rsid w:val="00B5655F"/>
    <w:rsid w:val="00B5665A"/>
    <w:rsid w:val="00B612BD"/>
    <w:rsid w:val="00B614F4"/>
    <w:rsid w:val="00B62C41"/>
    <w:rsid w:val="00B64763"/>
    <w:rsid w:val="00B64AEF"/>
    <w:rsid w:val="00B67A12"/>
    <w:rsid w:val="00B7552F"/>
    <w:rsid w:val="00B7681A"/>
    <w:rsid w:val="00B82D24"/>
    <w:rsid w:val="00B8549C"/>
    <w:rsid w:val="00B87A2D"/>
    <w:rsid w:val="00B902F8"/>
    <w:rsid w:val="00B90C25"/>
    <w:rsid w:val="00B91793"/>
    <w:rsid w:val="00B91E36"/>
    <w:rsid w:val="00B94109"/>
    <w:rsid w:val="00B9503B"/>
    <w:rsid w:val="00B97952"/>
    <w:rsid w:val="00B97EC7"/>
    <w:rsid w:val="00BA3C9C"/>
    <w:rsid w:val="00BA3E21"/>
    <w:rsid w:val="00BA44C3"/>
    <w:rsid w:val="00BA77EA"/>
    <w:rsid w:val="00BB1808"/>
    <w:rsid w:val="00BB25DC"/>
    <w:rsid w:val="00BB5714"/>
    <w:rsid w:val="00BC13DB"/>
    <w:rsid w:val="00BC3875"/>
    <w:rsid w:val="00BD071E"/>
    <w:rsid w:val="00BD6E77"/>
    <w:rsid w:val="00BD70C2"/>
    <w:rsid w:val="00BE47DB"/>
    <w:rsid w:val="00BF25A9"/>
    <w:rsid w:val="00BF356A"/>
    <w:rsid w:val="00BF4359"/>
    <w:rsid w:val="00BF5EBD"/>
    <w:rsid w:val="00BF7B23"/>
    <w:rsid w:val="00C026A7"/>
    <w:rsid w:val="00C039D6"/>
    <w:rsid w:val="00C121F1"/>
    <w:rsid w:val="00C15E03"/>
    <w:rsid w:val="00C15F69"/>
    <w:rsid w:val="00C22399"/>
    <w:rsid w:val="00C2320E"/>
    <w:rsid w:val="00C24055"/>
    <w:rsid w:val="00C2540D"/>
    <w:rsid w:val="00C30815"/>
    <w:rsid w:val="00C31794"/>
    <w:rsid w:val="00C32BA8"/>
    <w:rsid w:val="00C336C8"/>
    <w:rsid w:val="00C35060"/>
    <w:rsid w:val="00C374F5"/>
    <w:rsid w:val="00C411CC"/>
    <w:rsid w:val="00C41479"/>
    <w:rsid w:val="00C41EA5"/>
    <w:rsid w:val="00C43508"/>
    <w:rsid w:val="00C46879"/>
    <w:rsid w:val="00C53908"/>
    <w:rsid w:val="00C5592D"/>
    <w:rsid w:val="00C56E43"/>
    <w:rsid w:val="00C603C6"/>
    <w:rsid w:val="00C60F05"/>
    <w:rsid w:val="00C617C7"/>
    <w:rsid w:val="00C62386"/>
    <w:rsid w:val="00C63430"/>
    <w:rsid w:val="00C656ED"/>
    <w:rsid w:val="00C65EFD"/>
    <w:rsid w:val="00C66314"/>
    <w:rsid w:val="00C66378"/>
    <w:rsid w:val="00C7229B"/>
    <w:rsid w:val="00C7541A"/>
    <w:rsid w:val="00C7663F"/>
    <w:rsid w:val="00C8029A"/>
    <w:rsid w:val="00C8249C"/>
    <w:rsid w:val="00C83CF4"/>
    <w:rsid w:val="00C849BF"/>
    <w:rsid w:val="00C84C48"/>
    <w:rsid w:val="00C84F62"/>
    <w:rsid w:val="00C85631"/>
    <w:rsid w:val="00C931E4"/>
    <w:rsid w:val="00C96622"/>
    <w:rsid w:val="00C975FF"/>
    <w:rsid w:val="00CA02D6"/>
    <w:rsid w:val="00CA0C34"/>
    <w:rsid w:val="00CA0C39"/>
    <w:rsid w:val="00CA5342"/>
    <w:rsid w:val="00CA5E46"/>
    <w:rsid w:val="00CA6295"/>
    <w:rsid w:val="00CA7EF1"/>
    <w:rsid w:val="00CB0726"/>
    <w:rsid w:val="00CB073B"/>
    <w:rsid w:val="00CB0F46"/>
    <w:rsid w:val="00CB468D"/>
    <w:rsid w:val="00CB624D"/>
    <w:rsid w:val="00CC00EC"/>
    <w:rsid w:val="00CC02B2"/>
    <w:rsid w:val="00CC3D83"/>
    <w:rsid w:val="00CC4441"/>
    <w:rsid w:val="00CD1F78"/>
    <w:rsid w:val="00CD685A"/>
    <w:rsid w:val="00CD6A62"/>
    <w:rsid w:val="00CE01BD"/>
    <w:rsid w:val="00CE060B"/>
    <w:rsid w:val="00CE3E6E"/>
    <w:rsid w:val="00CE5B9A"/>
    <w:rsid w:val="00CF6419"/>
    <w:rsid w:val="00CF78B7"/>
    <w:rsid w:val="00D01573"/>
    <w:rsid w:val="00D0199B"/>
    <w:rsid w:val="00D0364C"/>
    <w:rsid w:val="00D059F6"/>
    <w:rsid w:val="00D0669C"/>
    <w:rsid w:val="00D070B0"/>
    <w:rsid w:val="00D158CD"/>
    <w:rsid w:val="00D15D35"/>
    <w:rsid w:val="00D164F1"/>
    <w:rsid w:val="00D17D9F"/>
    <w:rsid w:val="00D21DC0"/>
    <w:rsid w:val="00D22F4C"/>
    <w:rsid w:val="00D24A70"/>
    <w:rsid w:val="00D25FDD"/>
    <w:rsid w:val="00D275F2"/>
    <w:rsid w:val="00D339CA"/>
    <w:rsid w:val="00D36721"/>
    <w:rsid w:val="00D405EC"/>
    <w:rsid w:val="00D42313"/>
    <w:rsid w:val="00D42521"/>
    <w:rsid w:val="00D43A57"/>
    <w:rsid w:val="00D43D71"/>
    <w:rsid w:val="00D443E6"/>
    <w:rsid w:val="00D45AD3"/>
    <w:rsid w:val="00D45FA1"/>
    <w:rsid w:val="00D47242"/>
    <w:rsid w:val="00D47A4B"/>
    <w:rsid w:val="00D54701"/>
    <w:rsid w:val="00D54A30"/>
    <w:rsid w:val="00D54C3B"/>
    <w:rsid w:val="00D55845"/>
    <w:rsid w:val="00D55BBC"/>
    <w:rsid w:val="00D57800"/>
    <w:rsid w:val="00D6220E"/>
    <w:rsid w:val="00D62467"/>
    <w:rsid w:val="00D6368E"/>
    <w:rsid w:val="00D63A46"/>
    <w:rsid w:val="00D72371"/>
    <w:rsid w:val="00D72A3D"/>
    <w:rsid w:val="00D72D87"/>
    <w:rsid w:val="00D733BB"/>
    <w:rsid w:val="00D758F8"/>
    <w:rsid w:val="00D81BA8"/>
    <w:rsid w:val="00D82DBD"/>
    <w:rsid w:val="00D86DA1"/>
    <w:rsid w:val="00D87E8B"/>
    <w:rsid w:val="00D9015D"/>
    <w:rsid w:val="00D913E4"/>
    <w:rsid w:val="00D91936"/>
    <w:rsid w:val="00D92CFF"/>
    <w:rsid w:val="00D95564"/>
    <w:rsid w:val="00D96997"/>
    <w:rsid w:val="00D970DE"/>
    <w:rsid w:val="00DA0342"/>
    <w:rsid w:val="00DA0546"/>
    <w:rsid w:val="00DA3690"/>
    <w:rsid w:val="00DA42B1"/>
    <w:rsid w:val="00DA46A4"/>
    <w:rsid w:val="00DA4E7A"/>
    <w:rsid w:val="00DA5179"/>
    <w:rsid w:val="00DA5820"/>
    <w:rsid w:val="00DA6F7D"/>
    <w:rsid w:val="00DA769A"/>
    <w:rsid w:val="00DB1495"/>
    <w:rsid w:val="00DB1B18"/>
    <w:rsid w:val="00DB27CB"/>
    <w:rsid w:val="00DB619D"/>
    <w:rsid w:val="00DB783F"/>
    <w:rsid w:val="00DC15B2"/>
    <w:rsid w:val="00DC56CA"/>
    <w:rsid w:val="00DD0D8E"/>
    <w:rsid w:val="00DD0FFE"/>
    <w:rsid w:val="00DD6FE2"/>
    <w:rsid w:val="00DE0853"/>
    <w:rsid w:val="00DE1129"/>
    <w:rsid w:val="00DE2F4D"/>
    <w:rsid w:val="00DE3DFD"/>
    <w:rsid w:val="00DE43F2"/>
    <w:rsid w:val="00DE51A7"/>
    <w:rsid w:val="00DE5A79"/>
    <w:rsid w:val="00DF0C8C"/>
    <w:rsid w:val="00DF12E2"/>
    <w:rsid w:val="00DF607E"/>
    <w:rsid w:val="00DF75F3"/>
    <w:rsid w:val="00E04200"/>
    <w:rsid w:val="00E05A4E"/>
    <w:rsid w:val="00E05C80"/>
    <w:rsid w:val="00E07E13"/>
    <w:rsid w:val="00E15709"/>
    <w:rsid w:val="00E15D0F"/>
    <w:rsid w:val="00E170C5"/>
    <w:rsid w:val="00E20192"/>
    <w:rsid w:val="00E20796"/>
    <w:rsid w:val="00E2373A"/>
    <w:rsid w:val="00E24060"/>
    <w:rsid w:val="00E253C5"/>
    <w:rsid w:val="00E257FE"/>
    <w:rsid w:val="00E25DD4"/>
    <w:rsid w:val="00E344B7"/>
    <w:rsid w:val="00E34CFC"/>
    <w:rsid w:val="00E35C6E"/>
    <w:rsid w:val="00E36675"/>
    <w:rsid w:val="00E37190"/>
    <w:rsid w:val="00E41954"/>
    <w:rsid w:val="00E42BCC"/>
    <w:rsid w:val="00E42D01"/>
    <w:rsid w:val="00E432F7"/>
    <w:rsid w:val="00E45336"/>
    <w:rsid w:val="00E52AA9"/>
    <w:rsid w:val="00E552C2"/>
    <w:rsid w:val="00E573C4"/>
    <w:rsid w:val="00E57780"/>
    <w:rsid w:val="00E6173C"/>
    <w:rsid w:val="00E61F05"/>
    <w:rsid w:val="00E62D85"/>
    <w:rsid w:val="00E65160"/>
    <w:rsid w:val="00E6793C"/>
    <w:rsid w:val="00E73B06"/>
    <w:rsid w:val="00E74A77"/>
    <w:rsid w:val="00E75D5F"/>
    <w:rsid w:val="00E82205"/>
    <w:rsid w:val="00E832FF"/>
    <w:rsid w:val="00E8582A"/>
    <w:rsid w:val="00E86240"/>
    <w:rsid w:val="00E90BB8"/>
    <w:rsid w:val="00E91041"/>
    <w:rsid w:val="00E91FDF"/>
    <w:rsid w:val="00EA0307"/>
    <w:rsid w:val="00EA2968"/>
    <w:rsid w:val="00EA35EC"/>
    <w:rsid w:val="00EA423F"/>
    <w:rsid w:val="00EA5771"/>
    <w:rsid w:val="00EA5F5B"/>
    <w:rsid w:val="00EA6C2F"/>
    <w:rsid w:val="00EA72D2"/>
    <w:rsid w:val="00EA732D"/>
    <w:rsid w:val="00EB0275"/>
    <w:rsid w:val="00EB1D5C"/>
    <w:rsid w:val="00EB26C4"/>
    <w:rsid w:val="00EB2B89"/>
    <w:rsid w:val="00EB4343"/>
    <w:rsid w:val="00EB6368"/>
    <w:rsid w:val="00EC03C5"/>
    <w:rsid w:val="00EC068B"/>
    <w:rsid w:val="00EC2F01"/>
    <w:rsid w:val="00EC68BD"/>
    <w:rsid w:val="00EC6BDC"/>
    <w:rsid w:val="00EC6D62"/>
    <w:rsid w:val="00EC79E0"/>
    <w:rsid w:val="00ED437E"/>
    <w:rsid w:val="00ED44A6"/>
    <w:rsid w:val="00ED6722"/>
    <w:rsid w:val="00EE2BA2"/>
    <w:rsid w:val="00EE2D19"/>
    <w:rsid w:val="00EE4111"/>
    <w:rsid w:val="00EE51CF"/>
    <w:rsid w:val="00EE5CFD"/>
    <w:rsid w:val="00EE72AF"/>
    <w:rsid w:val="00EF2D49"/>
    <w:rsid w:val="00EF539F"/>
    <w:rsid w:val="00EF6844"/>
    <w:rsid w:val="00F0020A"/>
    <w:rsid w:val="00F05EF9"/>
    <w:rsid w:val="00F0648E"/>
    <w:rsid w:val="00F06C2A"/>
    <w:rsid w:val="00F06D51"/>
    <w:rsid w:val="00F1227A"/>
    <w:rsid w:val="00F132D6"/>
    <w:rsid w:val="00F1703B"/>
    <w:rsid w:val="00F172C2"/>
    <w:rsid w:val="00F17E73"/>
    <w:rsid w:val="00F2168C"/>
    <w:rsid w:val="00F21E51"/>
    <w:rsid w:val="00F23D87"/>
    <w:rsid w:val="00F26B96"/>
    <w:rsid w:val="00F273AB"/>
    <w:rsid w:val="00F31A0A"/>
    <w:rsid w:val="00F36E0F"/>
    <w:rsid w:val="00F36FA6"/>
    <w:rsid w:val="00F3718E"/>
    <w:rsid w:val="00F374A2"/>
    <w:rsid w:val="00F3787D"/>
    <w:rsid w:val="00F40DC0"/>
    <w:rsid w:val="00F41990"/>
    <w:rsid w:val="00F41B8E"/>
    <w:rsid w:val="00F42DDE"/>
    <w:rsid w:val="00F44A02"/>
    <w:rsid w:val="00F45D68"/>
    <w:rsid w:val="00F51682"/>
    <w:rsid w:val="00F54FD0"/>
    <w:rsid w:val="00F558AE"/>
    <w:rsid w:val="00F61812"/>
    <w:rsid w:val="00F63AB8"/>
    <w:rsid w:val="00F653D1"/>
    <w:rsid w:val="00F65D3F"/>
    <w:rsid w:val="00F709A9"/>
    <w:rsid w:val="00F72E8B"/>
    <w:rsid w:val="00F74F69"/>
    <w:rsid w:val="00F7531E"/>
    <w:rsid w:val="00F76E04"/>
    <w:rsid w:val="00F77056"/>
    <w:rsid w:val="00F77169"/>
    <w:rsid w:val="00F772DA"/>
    <w:rsid w:val="00F84850"/>
    <w:rsid w:val="00F915F6"/>
    <w:rsid w:val="00F9390D"/>
    <w:rsid w:val="00F9417A"/>
    <w:rsid w:val="00F951C7"/>
    <w:rsid w:val="00F95AC9"/>
    <w:rsid w:val="00F96660"/>
    <w:rsid w:val="00FA0DB2"/>
    <w:rsid w:val="00FA1BA8"/>
    <w:rsid w:val="00FA27C4"/>
    <w:rsid w:val="00FA32C7"/>
    <w:rsid w:val="00FA36A5"/>
    <w:rsid w:val="00FA53CB"/>
    <w:rsid w:val="00FA72F8"/>
    <w:rsid w:val="00FB1764"/>
    <w:rsid w:val="00FB206F"/>
    <w:rsid w:val="00FB7139"/>
    <w:rsid w:val="00FC0935"/>
    <w:rsid w:val="00FC4DCF"/>
    <w:rsid w:val="00FC5B16"/>
    <w:rsid w:val="00FC7C38"/>
    <w:rsid w:val="00FD11C8"/>
    <w:rsid w:val="00FD137D"/>
    <w:rsid w:val="00FD19BA"/>
    <w:rsid w:val="00FD44C9"/>
    <w:rsid w:val="00FD5311"/>
    <w:rsid w:val="00FD5D91"/>
    <w:rsid w:val="00FD6119"/>
    <w:rsid w:val="00FD63C2"/>
    <w:rsid w:val="00FD729C"/>
    <w:rsid w:val="00FD7B73"/>
    <w:rsid w:val="00FE3995"/>
    <w:rsid w:val="00FE431E"/>
    <w:rsid w:val="00FE4330"/>
    <w:rsid w:val="00FE5001"/>
    <w:rsid w:val="00FE573D"/>
    <w:rsid w:val="00FF130F"/>
    <w:rsid w:val="00FF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82C30"/>
  <w15:docId w15:val="{2FA23BF8-7452-4C99-A27C-7C5854EC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link w:val="Heading1Char"/>
    <w:uiPriority w:val="9"/>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link w:val="HeaderChar"/>
    <w:uiPriority w:val="99"/>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link w:val="BalloonTextChar"/>
    <w:uiPriority w:val="99"/>
    <w:semiHidden/>
    <w:rsid w:val="003634CC"/>
    <w:rPr>
      <w:rFonts w:ascii="Tahoma" w:hAnsi="Tahoma" w:cs="Tahoma"/>
      <w:sz w:val="16"/>
      <w:szCs w:val="16"/>
    </w:rPr>
  </w:style>
  <w:style w:type="paragraph" w:styleId="Title">
    <w:name w:val="Title"/>
    <w:basedOn w:val="Normal"/>
    <w:link w:val="TitleChar"/>
    <w:uiPriority w:val="10"/>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342046"/>
    <w:pPr>
      <w:tabs>
        <w:tab w:val="right" w:leader="dot" w:pos="9926"/>
      </w:tabs>
      <w:spacing w:line="360" w:lineRule="auto"/>
    </w:pPr>
  </w:style>
  <w:style w:type="paragraph" w:styleId="TOC2">
    <w:name w:val="toc 2"/>
    <w:basedOn w:val="Normal"/>
    <w:next w:val="Normal"/>
    <w:autoRedefine/>
    <w:uiPriority w:val="39"/>
    <w:rsid w:val="00DE1129"/>
    <w:pPr>
      <w:tabs>
        <w:tab w:val="left" w:pos="660"/>
        <w:tab w:val="right" w:leader="dot" w:pos="9350"/>
      </w:tabs>
      <w:spacing w:before="0" w:beforeAutospacing="0" w:after="0" w:afterAutospacing="0" w:line="360" w:lineRule="auto"/>
      <w:ind w:left="245"/>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 w:type="character" w:styleId="Strong">
    <w:name w:val="Strong"/>
    <w:basedOn w:val="DefaultParagraphFont"/>
    <w:uiPriority w:val="22"/>
    <w:qFormat/>
    <w:rsid w:val="0044780D"/>
    <w:rPr>
      <w:b/>
      <w:bCs/>
    </w:rPr>
  </w:style>
  <w:style w:type="character" w:customStyle="1" w:styleId="Heading1Char">
    <w:name w:val="Heading 1 Char"/>
    <w:basedOn w:val="DefaultParagraphFont"/>
    <w:link w:val="Heading1"/>
    <w:uiPriority w:val="9"/>
    <w:rsid w:val="00342046"/>
    <w:rPr>
      <w:b/>
      <w:sz w:val="28"/>
      <w:szCs w:val="28"/>
    </w:rPr>
  </w:style>
  <w:style w:type="character" w:customStyle="1" w:styleId="BalloonTextChar">
    <w:name w:val="Balloon Text Char"/>
    <w:basedOn w:val="DefaultParagraphFont"/>
    <w:link w:val="BalloonText"/>
    <w:uiPriority w:val="99"/>
    <w:semiHidden/>
    <w:rsid w:val="00342046"/>
    <w:rPr>
      <w:rFonts w:ascii="Tahoma" w:hAnsi="Tahoma" w:cs="Tahoma"/>
      <w:snapToGrid w:val="0"/>
      <w:sz w:val="16"/>
      <w:szCs w:val="16"/>
    </w:rPr>
  </w:style>
  <w:style w:type="character" w:customStyle="1" w:styleId="apple-style-span">
    <w:name w:val="apple-style-span"/>
    <w:basedOn w:val="DefaultParagraphFont"/>
    <w:rsid w:val="00342046"/>
  </w:style>
  <w:style w:type="character" w:customStyle="1" w:styleId="HeaderChar">
    <w:name w:val="Header Char"/>
    <w:basedOn w:val="DefaultParagraphFont"/>
    <w:link w:val="Header"/>
    <w:uiPriority w:val="99"/>
    <w:rsid w:val="00342046"/>
    <w:rPr>
      <w:snapToGrid w:val="0"/>
      <w:sz w:val="24"/>
    </w:rPr>
  </w:style>
  <w:style w:type="character" w:customStyle="1" w:styleId="TitleChar">
    <w:name w:val="Title Char"/>
    <w:basedOn w:val="DefaultParagraphFont"/>
    <w:link w:val="Title"/>
    <w:uiPriority w:val="10"/>
    <w:rsid w:val="00342046"/>
    <w:rPr>
      <w:b/>
      <w:snapToGrid w:val="0"/>
      <w:sz w:val="24"/>
    </w:rPr>
  </w:style>
  <w:style w:type="paragraph" w:styleId="Subtitle">
    <w:name w:val="Subtitle"/>
    <w:basedOn w:val="Normal"/>
    <w:next w:val="Normal"/>
    <w:link w:val="SubtitleChar"/>
    <w:uiPriority w:val="11"/>
    <w:qFormat/>
    <w:rsid w:val="00342046"/>
    <w:pPr>
      <w:widowControl/>
      <w:numPr>
        <w:ilvl w:val="1"/>
      </w:numPr>
      <w:spacing w:before="0" w:beforeAutospacing="0" w:after="200" w:afterAutospacing="0" w:line="276" w:lineRule="auto"/>
      <w:jc w:val="left"/>
    </w:pPr>
    <w:rPr>
      <w:rFonts w:asciiTheme="majorHAnsi" w:eastAsiaTheme="majorEastAsia" w:hAnsiTheme="majorHAnsi" w:cstheme="majorBidi"/>
      <w:i/>
      <w:iCs/>
      <w:snapToGrid/>
      <w:color w:val="4F81BD" w:themeColor="accent1"/>
      <w:spacing w:val="15"/>
      <w:szCs w:val="24"/>
      <w:lang w:eastAsia="ja-JP"/>
    </w:rPr>
  </w:style>
  <w:style w:type="character" w:customStyle="1" w:styleId="SubtitleChar">
    <w:name w:val="Subtitle Char"/>
    <w:basedOn w:val="DefaultParagraphFont"/>
    <w:link w:val="Subtitle"/>
    <w:uiPriority w:val="11"/>
    <w:rsid w:val="00342046"/>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8665">
      <w:bodyDiv w:val="1"/>
      <w:marLeft w:val="0"/>
      <w:marRight w:val="0"/>
      <w:marTop w:val="0"/>
      <w:marBottom w:val="0"/>
      <w:divBdr>
        <w:top w:val="none" w:sz="0" w:space="0" w:color="auto"/>
        <w:left w:val="none" w:sz="0" w:space="0" w:color="auto"/>
        <w:bottom w:val="none" w:sz="0" w:space="0" w:color="auto"/>
        <w:right w:val="none" w:sz="0" w:space="0" w:color="auto"/>
      </w:divBdr>
    </w:div>
    <w:div w:id="98185938">
      <w:bodyDiv w:val="1"/>
      <w:marLeft w:val="0"/>
      <w:marRight w:val="0"/>
      <w:marTop w:val="0"/>
      <w:marBottom w:val="0"/>
      <w:divBdr>
        <w:top w:val="none" w:sz="0" w:space="0" w:color="auto"/>
        <w:left w:val="none" w:sz="0" w:space="0" w:color="auto"/>
        <w:bottom w:val="none" w:sz="0" w:space="0" w:color="auto"/>
        <w:right w:val="none" w:sz="0" w:space="0" w:color="auto"/>
      </w:divBdr>
    </w:div>
    <w:div w:id="167910000">
      <w:bodyDiv w:val="1"/>
      <w:marLeft w:val="0"/>
      <w:marRight w:val="0"/>
      <w:marTop w:val="0"/>
      <w:marBottom w:val="0"/>
      <w:divBdr>
        <w:top w:val="none" w:sz="0" w:space="0" w:color="auto"/>
        <w:left w:val="none" w:sz="0" w:space="0" w:color="auto"/>
        <w:bottom w:val="none" w:sz="0" w:space="0" w:color="auto"/>
        <w:right w:val="none" w:sz="0" w:space="0" w:color="auto"/>
      </w:divBdr>
    </w:div>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187079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596981134">
      <w:bodyDiv w:val="1"/>
      <w:marLeft w:val="0"/>
      <w:marRight w:val="0"/>
      <w:marTop w:val="0"/>
      <w:marBottom w:val="0"/>
      <w:divBdr>
        <w:top w:val="none" w:sz="0" w:space="0" w:color="auto"/>
        <w:left w:val="none" w:sz="0" w:space="0" w:color="auto"/>
        <w:bottom w:val="none" w:sz="0" w:space="0" w:color="auto"/>
        <w:right w:val="none" w:sz="0" w:space="0" w:color="auto"/>
      </w:divBdr>
    </w:div>
    <w:div w:id="722142496">
      <w:bodyDiv w:val="1"/>
      <w:marLeft w:val="0"/>
      <w:marRight w:val="0"/>
      <w:marTop w:val="0"/>
      <w:marBottom w:val="0"/>
      <w:divBdr>
        <w:top w:val="none" w:sz="0" w:space="0" w:color="auto"/>
        <w:left w:val="none" w:sz="0" w:space="0" w:color="auto"/>
        <w:bottom w:val="none" w:sz="0" w:space="0" w:color="auto"/>
        <w:right w:val="none" w:sz="0" w:space="0" w:color="auto"/>
      </w:divBdr>
    </w:div>
    <w:div w:id="739791132">
      <w:bodyDiv w:val="1"/>
      <w:marLeft w:val="0"/>
      <w:marRight w:val="0"/>
      <w:marTop w:val="0"/>
      <w:marBottom w:val="0"/>
      <w:divBdr>
        <w:top w:val="none" w:sz="0" w:space="0" w:color="auto"/>
        <w:left w:val="none" w:sz="0" w:space="0" w:color="auto"/>
        <w:bottom w:val="none" w:sz="0" w:space="0" w:color="auto"/>
        <w:right w:val="none" w:sz="0" w:space="0" w:color="auto"/>
      </w:divBdr>
    </w:div>
    <w:div w:id="751705595">
      <w:bodyDiv w:val="1"/>
      <w:marLeft w:val="0"/>
      <w:marRight w:val="0"/>
      <w:marTop w:val="0"/>
      <w:marBottom w:val="0"/>
      <w:divBdr>
        <w:top w:val="none" w:sz="0" w:space="0" w:color="auto"/>
        <w:left w:val="none" w:sz="0" w:space="0" w:color="auto"/>
        <w:bottom w:val="none" w:sz="0" w:space="0" w:color="auto"/>
        <w:right w:val="none" w:sz="0" w:space="0" w:color="auto"/>
      </w:divBdr>
    </w:div>
    <w:div w:id="856385660">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869803808">
      <w:bodyDiv w:val="1"/>
      <w:marLeft w:val="0"/>
      <w:marRight w:val="0"/>
      <w:marTop w:val="0"/>
      <w:marBottom w:val="0"/>
      <w:divBdr>
        <w:top w:val="none" w:sz="0" w:space="0" w:color="auto"/>
        <w:left w:val="none" w:sz="0" w:space="0" w:color="auto"/>
        <w:bottom w:val="none" w:sz="0" w:space="0" w:color="auto"/>
        <w:right w:val="none" w:sz="0" w:space="0" w:color="auto"/>
      </w:divBdr>
    </w:div>
    <w:div w:id="928781025">
      <w:bodyDiv w:val="1"/>
      <w:marLeft w:val="0"/>
      <w:marRight w:val="0"/>
      <w:marTop w:val="0"/>
      <w:marBottom w:val="0"/>
      <w:divBdr>
        <w:top w:val="none" w:sz="0" w:space="0" w:color="auto"/>
        <w:left w:val="none" w:sz="0" w:space="0" w:color="auto"/>
        <w:bottom w:val="none" w:sz="0" w:space="0" w:color="auto"/>
        <w:right w:val="none" w:sz="0" w:space="0" w:color="auto"/>
      </w:divBdr>
    </w:div>
    <w:div w:id="948926194">
      <w:bodyDiv w:val="1"/>
      <w:marLeft w:val="0"/>
      <w:marRight w:val="0"/>
      <w:marTop w:val="0"/>
      <w:marBottom w:val="0"/>
      <w:divBdr>
        <w:top w:val="none" w:sz="0" w:space="0" w:color="auto"/>
        <w:left w:val="none" w:sz="0" w:space="0" w:color="auto"/>
        <w:bottom w:val="none" w:sz="0" w:space="0" w:color="auto"/>
        <w:right w:val="none" w:sz="0" w:space="0" w:color="auto"/>
      </w:divBdr>
    </w:div>
    <w:div w:id="1009716133">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412852576">
      <w:bodyDiv w:val="1"/>
      <w:marLeft w:val="0"/>
      <w:marRight w:val="0"/>
      <w:marTop w:val="0"/>
      <w:marBottom w:val="0"/>
      <w:divBdr>
        <w:top w:val="none" w:sz="0" w:space="0" w:color="auto"/>
        <w:left w:val="none" w:sz="0" w:space="0" w:color="auto"/>
        <w:bottom w:val="none" w:sz="0" w:space="0" w:color="auto"/>
        <w:right w:val="none" w:sz="0" w:space="0" w:color="auto"/>
      </w:divBdr>
    </w:div>
    <w:div w:id="1780292598">
      <w:bodyDiv w:val="1"/>
      <w:marLeft w:val="0"/>
      <w:marRight w:val="0"/>
      <w:marTop w:val="0"/>
      <w:marBottom w:val="0"/>
      <w:divBdr>
        <w:top w:val="none" w:sz="0" w:space="0" w:color="auto"/>
        <w:left w:val="none" w:sz="0" w:space="0" w:color="auto"/>
        <w:bottom w:val="none" w:sz="0" w:space="0" w:color="auto"/>
        <w:right w:val="none" w:sz="0" w:space="0" w:color="auto"/>
      </w:divBdr>
    </w:div>
    <w:div w:id="1806190665">
      <w:bodyDiv w:val="1"/>
      <w:marLeft w:val="0"/>
      <w:marRight w:val="0"/>
      <w:marTop w:val="0"/>
      <w:marBottom w:val="0"/>
      <w:divBdr>
        <w:top w:val="none" w:sz="0" w:space="0" w:color="auto"/>
        <w:left w:val="none" w:sz="0" w:space="0" w:color="auto"/>
        <w:bottom w:val="none" w:sz="0" w:space="0" w:color="auto"/>
        <w:right w:val="none" w:sz="0" w:space="0" w:color="auto"/>
      </w:divBdr>
    </w:div>
    <w:div w:id="1821576420">
      <w:bodyDiv w:val="1"/>
      <w:marLeft w:val="0"/>
      <w:marRight w:val="0"/>
      <w:marTop w:val="0"/>
      <w:marBottom w:val="0"/>
      <w:divBdr>
        <w:top w:val="none" w:sz="0" w:space="0" w:color="auto"/>
        <w:left w:val="none" w:sz="0" w:space="0" w:color="auto"/>
        <w:bottom w:val="none" w:sz="0" w:space="0" w:color="auto"/>
        <w:right w:val="none" w:sz="0" w:space="0" w:color="auto"/>
      </w:divBdr>
    </w:div>
    <w:div w:id="1853255337">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1977830931">
      <w:bodyDiv w:val="1"/>
      <w:marLeft w:val="0"/>
      <w:marRight w:val="0"/>
      <w:marTop w:val="0"/>
      <w:marBottom w:val="0"/>
      <w:divBdr>
        <w:top w:val="none" w:sz="0" w:space="0" w:color="auto"/>
        <w:left w:val="none" w:sz="0" w:space="0" w:color="auto"/>
        <w:bottom w:val="none" w:sz="0" w:space="0" w:color="auto"/>
        <w:right w:val="none" w:sz="0" w:space="0" w:color="auto"/>
      </w:divBdr>
      <w:divsChild>
        <w:div w:id="2023310643">
          <w:marLeft w:val="0"/>
          <w:marRight w:val="0"/>
          <w:marTop w:val="0"/>
          <w:marBottom w:val="0"/>
          <w:divBdr>
            <w:top w:val="none" w:sz="0" w:space="0" w:color="auto"/>
            <w:left w:val="none" w:sz="0" w:space="0" w:color="auto"/>
            <w:bottom w:val="none" w:sz="0" w:space="0" w:color="auto"/>
            <w:right w:val="none" w:sz="0" w:space="0" w:color="auto"/>
          </w:divBdr>
        </w:div>
        <w:div w:id="1635258246">
          <w:marLeft w:val="0"/>
          <w:marRight w:val="0"/>
          <w:marTop w:val="0"/>
          <w:marBottom w:val="0"/>
          <w:divBdr>
            <w:top w:val="none" w:sz="0" w:space="0" w:color="auto"/>
            <w:left w:val="none" w:sz="0" w:space="0" w:color="auto"/>
            <w:bottom w:val="none" w:sz="0" w:space="0" w:color="auto"/>
            <w:right w:val="none" w:sz="0" w:space="0" w:color="auto"/>
          </w:divBdr>
        </w:div>
        <w:div w:id="560214466">
          <w:marLeft w:val="0"/>
          <w:marRight w:val="0"/>
          <w:marTop w:val="0"/>
          <w:marBottom w:val="0"/>
          <w:divBdr>
            <w:top w:val="none" w:sz="0" w:space="0" w:color="auto"/>
            <w:left w:val="none" w:sz="0" w:space="0" w:color="auto"/>
            <w:bottom w:val="none" w:sz="0" w:space="0" w:color="auto"/>
            <w:right w:val="none" w:sz="0" w:space="0" w:color="auto"/>
          </w:divBdr>
        </w:div>
        <w:div w:id="106046947">
          <w:marLeft w:val="0"/>
          <w:marRight w:val="0"/>
          <w:marTop w:val="0"/>
          <w:marBottom w:val="0"/>
          <w:divBdr>
            <w:top w:val="none" w:sz="0" w:space="0" w:color="auto"/>
            <w:left w:val="none" w:sz="0" w:space="0" w:color="auto"/>
            <w:bottom w:val="none" w:sz="0" w:space="0" w:color="auto"/>
            <w:right w:val="none" w:sz="0" w:space="0" w:color="auto"/>
          </w:divBdr>
        </w:div>
        <w:div w:id="100804926">
          <w:marLeft w:val="0"/>
          <w:marRight w:val="0"/>
          <w:marTop w:val="0"/>
          <w:marBottom w:val="0"/>
          <w:divBdr>
            <w:top w:val="none" w:sz="0" w:space="0" w:color="auto"/>
            <w:left w:val="none" w:sz="0" w:space="0" w:color="auto"/>
            <w:bottom w:val="none" w:sz="0" w:space="0" w:color="auto"/>
            <w:right w:val="none" w:sz="0" w:space="0" w:color="auto"/>
          </w:divBdr>
        </w:div>
        <w:div w:id="1356998805">
          <w:marLeft w:val="0"/>
          <w:marRight w:val="0"/>
          <w:marTop w:val="0"/>
          <w:marBottom w:val="0"/>
          <w:divBdr>
            <w:top w:val="none" w:sz="0" w:space="0" w:color="auto"/>
            <w:left w:val="none" w:sz="0" w:space="0" w:color="auto"/>
            <w:bottom w:val="none" w:sz="0" w:space="0" w:color="auto"/>
            <w:right w:val="none" w:sz="0" w:space="0" w:color="auto"/>
          </w:divBdr>
        </w:div>
      </w:divsChild>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61896683">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ia.gov/oil_gas/petroleum/data_publications/weekly_petroleum_status_report/wpsr.html" TargetMode="External"/><Relationship Id="rId18" Type="http://schemas.openxmlformats.org/officeDocument/2006/relationships/hyperlink" Target="http://www.eia.gov/petroleum/supply/annual/volume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eia.gov/forecasts/steo/" TargetMode="External"/><Relationship Id="rId7" Type="http://schemas.openxmlformats.org/officeDocument/2006/relationships/endnotes" Target="endnotes.xml"/><Relationship Id="rId12" Type="http://schemas.openxmlformats.org/officeDocument/2006/relationships/hyperlink" Target="http://www.eia.gov/survey/frn/petroleum/FRN-60-Day-Supply-July-9-2015.pdf" TargetMode="External"/><Relationship Id="rId17" Type="http://schemas.openxmlformats.org/officeDocument/2006/relationships/hyperlink" Target="http://www.eia.gov/petroleum/supply/monthly/" TargetMode="External"/><Relationship Id="rId25" Type="http://schemas.openxmlformats.org/officeDocument/2006/relationships/hyperlink" Target="http://www.eia.gov" TargetMode="External"/><Relationship Id="rId2" Type="http://schemas.openxmlformats.org/officeDocument/2006/relationships/numbering" Target="numbering.xml"/><Relationship Id="rId16" Type="http://schemas.openxmlformats.org/officeDocument/2006/relationships/hyperlink" Target="http://www.eia.gov/totalenergy/data/monthly/" TargetMode="External"/><Relationship Id="rId20" Type="http://schemas.openxmlformats.org/officeDocument/2006/relationships/hyperlink" Target="http://www.eia.gov/totalenergy/data/annu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ia.gov/totalenergy/data/annual/index.cfm" TargetMode="External"/><Relationship Id="rId5" Type="http://schemas.openxmlformats.org/officeDocument/2006/relationships/webSettings" Target="webSettings.xml"/><Relationship Id="rId15" Type="http://schemas.openxmlformats.org/officeDocument/2006/relationships/hyperlink" Target="http://www.eia.gov/oog/info/twip/twip.asp" TargetMode="External"/><Relationship Id="rId23" Type="http://schemas.openxmlformats.org/officeDocument/2006/relationships/hyperlink" Target="http://www.eia.gov/petroleum/refinerycapacity/"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eia.gov/totalenergy/data/monthl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ia.gov/forecasts/steo/" TargetMode="External"/><Relationship Id="rId22" Type="http://schemas.openxmlformats.org/officeDocument/2006/relationships/hyperlink" Target="http://www.eia.gov/forecasts/aeo/"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872F7-B77B-479C-A3F3-2A384ACC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8257</Words>
  <Characters>47068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55215</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Sylvia Norris</dc:creator>
  <dc:description>Final 10/19/2012 Version from and approved by the Program Office.  Updated on 11/20/2012 for Table of Contents and to apply a November date to the cover page to coincide with sending the document to the EIA SDT Forms Clearance Officer.</dc:description>
  <cp:lastModifiedBy>Stroud, Lawrence </cp:lastModifiedBy>
  <cp:revision>6</cp:revision>
  <cp:lastPrinted>2013-01-29T22:54:00Z</cp:lastPrinted>
  <dcterms:created xsi:type="dcterms:W3CDTF">2016-07-29T16:50:00Z</dcterms:created>
  <dcterms:modified xsi:type="dcterms:W3CDTF">2016-08-04T14:15:00Z</dcterms:modified>
</cp:coreProperties>
</file>