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EA1B68" w14:textId="77777777" w:rsidR="00573820" w:rsidRPr="00001EF5" w:rsidRDefault="00573820" w:rsidP="00F67350">
      <w:pPr>
        <w:jc w:val="center"/>
        <w:rPr>
          <w:rFonts w:asciiTheme="minorHAnsi" w:hAnsiTheme="minorHAnsi"/>
        </w:rPr>
      </w:pPr>
      <w:r w:rsidRPr="00001EF5">
        <w:rPr>
          <w:rFonts w:asciiTheme="minorHAnsi" w:hAnsiTheme="minorHAnsi"/>
        </w:rPr>
        <w:t>EXPORT-IMPORT BANK</w:t>
      </w:r>
      <w:r w:rsidR="00F67350" w:rsidRPr="00001EF5">
        <w:rPr>
          <w:rFonts w:asciiTheme="minorHAnsi" w:hAnsiTheme="minorHAnsi"/>
        </w:rPr>
        <w:t xml:space="preserve"> OF THE UNITED STATES</w:t>
      </w:r>
    </w:p>
    <w:p w14:paraId="112A5567" w14:textId="77777777" w:rsidR="00F67350" w:rsidRPr="00001EF5" w:rsidRDefault="00F67350" w:rsidP="00F67350">
      <w:pPr>
        <w:jc w:val="center"/>
        <w:rPr>
          <w:rFonts w:asciiTheme="minorHAnsi" w:hAnsiTheme="minorHAnsi"/>
        </w:rPr>
      </w:pPr>
    </w:p>
    <w:p w14:paraId="201B041F" w14:textId="77777777" w:rsidR="00573820" w:rsidRPr="00001EF5" w:rsidRDefault="00573820">
      <w:pPr>
        <w:rPr>
          <w:rFonts w:asciiTheme="minorHAnsi" w:hAnsiTheme="minorHAnsi"/>
        </w:rPr>
      </w:pPr>
      <w:r w:rsidRPr="00001EF5">
        <w:rPr>
          <w:rFonts w:asciiTheme="minorHAnsi" w:hAnsiTheme="minorHAnsi"/>
        </w:rPr>
        <w:t>Agency Information Collection Activities</w:t>
      </w:r>
    </w:p>
    <w:p w14:paraId="4779D97A" w14:textId="77777777" w:rsidR="00573820" w:rsidRPr="00001EF5" w:rsidRDefault="00573820">
      <w:pPr>
        <w:rPr>
          <w:rFonts w:asciiTheme="minorHAnsi" w:hAnsiTheme="minorHAnsi"/>
        </w:rPr>
      </w:pPr>
      <w:r w:rsidRPr="00001EF5">
        <w:rPr>
          <w:rFonts w:asciiTheme="minorHAnsi" w:hAnsiTheme="minorHAnsi"/>
        </w:rPr>
        <w:t>Submission for OMB Review</w:t>
      </w:r>
    </w:p>
    <w:p w14:paraId="2898EA59" w14:textId="77777777" w:rsidR="00573820" w:rsidRPr="00001EF5" w:rsidRDefault="00573820">
      <w:pPr>
        <w:rPr>
          <w:rFonts w:asciiTheme="minorHAnsi" w:hAnsiTheme="minorHAnsi"/>
        </w:rPr>
      </w:pPr>
    </w:p>
    <w:p w14:paraId="0D6327AF" w14:textId="77777777" w:rsidR="00B37EC9" w:rsidRPr="00B37EC9" w:rsidRDefault="00B37EC9" w:rsidP="00B37EC9">
      <w:pPr>
        <w:autoSpaceDE w:val="0"/>
        <w:autoSpaceDN w:val="0"/>
        <w:adjustRightInd w:val="0"/>
        <w:rPr>
          <w:rFonts w:asciiTheme="minorHAnsi" w:hAnsiTheme="minorHAnsi" w:cstheme="minorHAnsi"/>
          <w:b/>
          <w:bCs/>
        </w:rPr>
      </w:pPr>
      <w:r w:rsidRPr="00B37EC9">
        <w:rPr>
          <w:rFonts w:asciiTheme="minorHAnsi" w:hAnsiTheme="minorHAnsi" w:cstheme="minorHAnsi"/>
          <w:b/>
          <w:bCs/>
        </w:rPr>
        <w:t>B. Collections of Information Employing Statistical Methods</w:t>
      </w:r>
    </w:p>
    <w:p w14:paraId="2FF625C3" w14:textId="77777777" w:rsidR="00B37EC9" w:rsidRPr="00B37EC9" w:rsidRDefault="00B37EC9" w:rsidP="00B37EC9">
      <w:pPr>
        <w:autoSpaceDE w:val="0"/>
        <w:autoSpaceDN w:val="0"/>
        <w:adjustRightInd w:val="0"/>
        <w:rPr>
          <w:rFonts w:asciiTheme="minorHAnsi" w:hAnsiTheme="minorHAnsi" w:cstheme="minorHAnsi"/>
          <w:b/>
          <w:bCs/>
        </w:rPr>
      </w:pPr>
    </w:p>
    <w:p w14:paraId="111384BB" w14:textId="77777777" w:rsidR="005E7176" w:rsidRPr="004A0CFE" w:rsidRDefault="00B37EC9" w:rsidP="005E7176">
      <w:pPr>
        <w:ind w:left="720"/>
        <w:rPr>
          <w:bCs/>
        </w:rPr>
      </w:pPr>
      <w:r w:rsidRPr="00B37EC9">
        <w:rPr>
          <w:rFonts w:cstheme="minorHAnsi"/>
        </w:rPr>
        <w:t>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r w:rsidR="005E7176">
        <w:rPr>
          <w:rFonts w:cstheme="minorHAnsi"/>
        </w:rPr>
        <w:br/>
      </w:r>
      <w:r w:rsidR="005E7176">
        <w:rPr>
          <w:rFonts w:cstheme="minorHAnsi"/>
        </w:rPr>
        <w:br/>
      </w:r>
      <w:r w:rsidR="005E7176" w:rsidRPr="004A0CFE">
        <w:rPr>
          <w:bCs/>
        </w:rPr>
        <w:t>All Ex-</w:t>
      </w:r>
      <w:proofErr w:type="spellStart"/>
      <w:r w:rsidR="005E7176" w:rsidRPr="004A0CFE">
        <w:rPr>
          <w:bCs/>
        </w:rPr>
        <w:t>Im</w:t>
      </w:r>
      <w:proofErr w:type="spellEnd"/>
      <w:r w:rsidR="005E7176" w:rsidRPr="004A0CFE">
        <w:rPr>
          <w:bCs/>
        </w:rPr>
        <w:t xml:space="preserve"> Bank clients (lenders/exporters/bankers) that have complete electronic contact information on file with the Bank </w:t>
      </w:r>
      <w:r w:rsidR="005E7176" w:rsidRPr="004A0CFE">
        <w:rPr>
          <w:bCs/>
          <w:i/>
          <w:iCs/>
        </w:rPr>
        <w:t xml:space="preserve">and </w:t>
      </w:r>
      <w:r w:rsidR="005E7176" w:rsidRPr="004A0CFE">
        <w:rPr>
          <w:bCs/>
        </w:rPr>
        <w:t>used Ex-</w:t>
      </w:r>
      <w:proofErr w:type="spellStart"/>
      <w:r w:rsidR="005E7176" w:rsidRPr="004A0CFE">
        <w:rPr>
          <w:bCs/>
        </w:rPr>
        <w:t>Im</w:t>
      </w:r>
      <w:proofErr w:type="spellEnd"/>
      <w:r w:rsidR="005E7176" w:rsidRPr="004A0CFE">
        <w:rPr>
          <w:bCs/>
        </w:rPr>
        <w:t xml:space="preserve"> financing at least three times in calendar year 2012 will be invited to participate in the survey.</w:t>
      </w:r>
      <w:r w:rsidR="005E7176" w:rsidRPr="004A0CFE">
        <w:rPr>
          <w:highlight w:val="yellow"/>
        </w:rPr>
        <w:t xml:space="preserve"> </w:t>
      </w:r>
    </w:p>
    <w:p w14:paraId="34D7BA13" w14:textId="77777777" w:rsidR="00B37EC9" w:rsidRDefault="00B37EC9" w:rsidP="005E7176">
      <w:pPr>
        <w:pStyle w:val="ListParagraph"/>
        <w:autoSpaceDE w:val="0"/>
        <w:autoSpaceDN w:val="0"/>
        <w:adjustRightInd w:val="0"/>
        <w:spacing w:after="0"/>
        <w:ind w:left="360"/>
        <w:rPr>
          <w:rFonts w:cstheme="minorHAnsi"/>
        </w:rPr>
      </w:pPr>
    </w:p>
    <w:p w14:paraId="530A30F6" w14:textId="77777777" w:rsidR="005E7176" w:rsidRPr="00C97CC2" w:rsidRDefault="005E7176" w:rsidP="005E7176">
      <w:pPr>
        <w:ind w:left="720"/>
      </w:pPr>
      <w:r w:rsidRPr="00C97CC2">
        <w:t>Ex-</w:t>
      </w:r>
      <w:proofErr w:type="spellStart"/>
      <w:r w:rsidRPr="00C97CC2">
        <w:t>Im</w:t>
      </w:r>
      <w:proofErr w:type="spellEnd"/>
      <w:r w:rsidRPr="00C97CC2">
        <w:t xml:space="preserve"> Bank expects that initial response rates and partial interview rates will be roughly the same as experienced in past cycles of the survey. Ex-</w:t>
      </w:r>
      <w:proofErr w:type="spellStart"/>
      <w:r w:rsidRPr="00C97CC2">
        <w:t>Im</w:t>
      </w:r>
      <w:proofErr w:type="spellEnd"/>
      <w:r w:rsidRPr="00C97CC2">
        <w:t xml:space="preserve"> Bank is increasing their non-response follow-up efforts to achieve higher-quality responses with similar response rates.</w:t>
      </w:r>
    </w:p>
    <w:p w14:paraId="490520D6" w14:textId="77777777" w:rsidR="005E7176" w:rsidRDefault="005E7176" w:rsidP="005E7176">
      <w:pPr>
        <w:pStyle w:val="ListParagraph"/>
        <w:autoSpaceDE w:val="0"/>
        <w:autoSpaceDN w:val="0"/>
        <w:adjustRightInd w:val="0"/>
        <w:spacing w:after="0"/>
        <w:ind w:left="360"/>
        <w:rPr>
          <w:rFonts w:cstheme="minorHAnsi"/>
        </w:rPr>
      </w:pPr>
    </w:p>
    <w:p w14:paraId="64C998EB" w14:textId="77777777" w:rsidR="005E7176" w:rsidRPr="008807F6" w:rsidRDefault="005E7176" w:rsidP="005E7176">
      <w:pPr>
        <w:ind w:left="720"/>
      </w:pPr>
      <w:r w:rsidRPr="008807F6">
        <w:t>No systematic analysis of the nonresponding population is planned.</w:t>
      </w:r>
    </w:p>
    <w:p w14:paraId="24FC4DC8" w14:textId="77777777" w:rsidR="005E7176" w:rsidRPr="00B37EC9" w:rsidRDefault="005E7176" w:rsidP="005E7176">
      <w:pPr>
        <w:pStyle w:val="ListParagraph"/>
        <w:autoSpaceDE w:val="0"/>
        <w:autoSpaceDN w:val="0"/>
        <w:adjustRightInd w:val="0"/>
        <w:spacing w:after="0"/>
        <w:ind w:left="360"/>
        <w:rPr>
          <w:rFonts w:cstheme="minorHAnsi"/>
        </w:rPr>
      </w:pPr>
    </w:p>
    <w:p w14:paraId="7E40C666" w14:textId="77777777" w:rsidR="00B37EC9" w:rsidRPr="00B37EC9" w:rsidRDefault="00B37EC9" w:rsidP="00B37EC9">
      <w:pPr>
        <w:autoSpaceDE w:val="0"/>
        <w:autoSpaceDN w:val="0"/>
        <w:adjustRightInd w:val="0"/>
        <w:rPr>
          <w:rFonts w:asciiTheme="minorHAnsi" w:hAnsiTheme="minorHAnsi" w:cstheme="minorHAnsi"/>
        </w:rPr>
      </w:pPr>
    </w:p>
    <w:p w14:paraId="1608219B" w14:textId="77777777" w:rsidR="00B37EC9" w:rsidRPr="00B37EC9" w:rsidRDefault="00B37EC9" w:rsidP="00B37EC9">
      <w:pPr>
        <w:autoSpaceDE w:val="0"/>
        <w:autoSpaceDN w:val="0"/>
        <w:adjustRightInd w:val="0"/>
        <w:rPr>
          <w:rFonts w:asciiTheme="minorHAnsi" w:hAnsiTheme="minorHAnsi" w:cstheme="minorHAnsi"/>
        </w:rPr>
      </w:pPr>
      <w:r w:rsidRPr="00B37EC9">
        <w:rPr>
          <w:rFonts w:asciiTheme="minorHAnsi" w:hAnsiTheme="minorHAnsi" w:cstheme="minorHAnsi"/>
        </w:rPr>
        <w:t xml:space="preserve">The universe includes all lenders, exporters, and brokers that did business with Ex-Im Bank in calendar year 2012. This total universe is 750 as of the end of November 2012. All Ex-Im Bank clients (lenders/exporters/bankers) that have complete electronic contact information on file with the Bank </w:t>
      </w:r>
      <w:r w:rsidRPr="00B37EC9">
        <w:rPr>
          <w:rFonts w:asciiTheme="minorHAnsi" w:hAnsiTheme="minorHAnsi" w:cstheme="minorHAnsi"/>
          <w:i/>
        </w:rPr>
        <w:t>and</w:t>
      </w:r>
      <w:r w:rsidRPr="00B37EC9">
        <w:rPr>
          <w:rFonts w:asciiTheme="minorHAnsi" w:hAnsiTheme="minorHAnsi" w:cstheme="minorHAnsi"/>
        </w:rPr>
        <w:t xml:space="preserve"> used Ex-Im financing at least three times in calendar year 2012 will be invited to participate in the survey.</w:t>
      </w:r>
      <w:r w:rsidRPr="00B37EC9">
        <w:rPr>
          <w:rStyle w:val="FootnoteReference"/>
          <w:rFonts w:asciiTheme="minorHAnsi" w:hAnsiTheme="minorHAnsi" w:cstheme="minorHAnsi"/>
        </w:rPr>
        <w:footnoteReference w:id="1"/>
      </w:r>
      <w:r w:rsidRPr="00B37EC9">
        <w:rPr>
          <w:rFonts w:asciiTheme="minorHAnsi" w:hAnsiTheme="minorHAnsi" w:cstheme="minorHAnsi"/>
        </w:rPr>
        <w:t xml:space="preserve"> These participants are more likely to be experienced and aware of foreign ECA competition and Ex-Im Bank programs. Through this approach, Ex-Im avoids burdening inexperienced users of Ex-Im programs with a survey they are unlikely to be able to answer. As this will result in a purposive sample, no statistical inferences regarding the entire population will be made. Rather the analysis of the collected data will be restricted to only statements regarding the opinions and experiences of respondents.                                                             </w:t>
      </w:r>
    </w:p>
    <w:p w14:paraId="50FDF62C" w14:textId="77777777" w:rsidR="00B37EC9" w:rsidRPr="00B37EC9" w:rsidRDefault="00B37EC9" w:rsidP="00B37EC9">
      <w:pPr>
        <w:autoSpaceDE w:val="0"/>
        <w:autoSpaceDN w:val="0"/>
        <w:adjustRightInd w:val="0"/>
        <w:rPr>
          <w:rFonts w:asciiTheme="minorHAnsi" w:hAnsiTheme="minorHAnsi" w:cstheme="minorHAnsi"/>
        </w:rPr>
      </w:pPr>
    </w:p>
    <w:p w14:paraId="39D9DF09" w14:textId="77777777" w:rsidR="00B37EC9" w:rsidRPr="00B37EC9" w:rsidRDefault="00B37EC9" w:rsidP="00B37EC9">
      <w:pPr>
        <w:autoSpaceDE w:val="0"/>
        <w:autoSpaceDN w:val="0"/>
        <w:adjustRightInd w:val="0"/>
        <w:rPr>
          <w:rFonts w:asciiTheme="minorHAnsi" w:hAnsiTheme="minorHAnsi" w:cstheme="minorHAnsi"/>
        </w:rPr>
      </w:pPr>
      <w:r w:rsidRPr="00B37EC9">
        <w:rPr>
          <w:rFonts w:asciiTheme="minorHAnsi" w:hAnsiTheme="minorHAnsi" w:cstheme="minorHAnsi"/>
        </w:rPr>
        <w:t>Below is a table that outlines the makeup of the 2012 and previous Competitiveness Report Survey population groups including response rates.</w:t>
      </w:r>
    </w:p>
    <w:p w14:paraId="764E2911" w14:textId="77777777" w:rsidR="00B37EC9" w:rsidRDefault="00B37EC9" w:rsidP="00B37EC9">
      <w:pPr>
        <w:autoSpaceDE w:val="0"/>
        <w:autoSpaceDN w:val="0"/>
        <w:adjustRightInd w:val="0"/>
        <w:rPr>
          <w:rFonts w:asciiTheme="minorHAnsi" w:hAnsiTheme="minorHAnsi" w:cstheme="minorHAnsi"/>
        </w:rPr>
      </w:pPr>
    </w:p>
    <w:p w14:paraId="2F8A7859" w14:textId="77777777" w:rsidR="005E7176" w:rsidRDefault="005E7176" w:rsidP="00B37EC9">
      <w:pPr>
        <w:autoSpaceDE w:val="0"/>
        <w:autoSpaceDN w:val="0"/>
        <w:adjustRightInd w:val="0"/>
        <w:rPr>
          <w:rFonts w:asciiTheme="minorHAnsi" w:hAnsiTheme="minorHAnsi" w:cstheme="minorHAnsi"/>
        </w:rPr>
      </w:pPr>
    </w:p>
    <w:p w14:paraId="6E37BBE1" w14:textId="77777777" w:rsidR="005E7176" w:rsidRDefault="005E7176" w:rsidP="00B37EC9">
      <w:pPr>
        <w:autoSpaceDE w:val="0"/>
        <w:autoSpaceDN w:val="0"/>
        <w:adjustRightInd w:val="0"/>
        <w:rPr>
          <w:rFonts w:asciiTheme="minorHAnsi" w:hAnsiTheme="minorHAnsi" w:cstheme="minorHAnsi"/>
        </w:rPr>
      </w:pPr>
    </w:p>
    <w:p w14:paraId="6B2FA6DD" w14:textId="77777777" w:rsidR="005E7176" w:rsidRPr="00B37EC9" w:rsidRDefault="005E7176" w:rsidP="00B37EC9">
      <w:pPr>
        <w:autoSpaceDE w:val="0"/>
        <w:autoSpaceDN w:val="0"/>
        <w:adjustRightInd w:val="0"/>
        <w:rPr>
          <w:rFonts w:asciiTheme="minorHAnsi" w:hAnsiTheme="minorHAnsi" w:cstheme="minorHAnsi"/>
        </w:rPr>
      </w:pPr>
    </w:p>
    <w:p w14:paraId="1E215D81" w14:textId="77777777" w:rsidR="00B37EC9" w:rsidRPr="00B37EC9" w:rsidRDefault="00B37EC9" w:rsidP="00B37EC9">
      <w:pPr>
        <w:autoSpaceDE w:val="0"/>
        <w:autoSpaceDN w:val="0"/>
        <w:adjustRightInd w:val="0"/>
        <w:rPr>
          <w:rFonts w:asciiTheme="minorHAnsi" w:hAnsiTheme="minorHAnsi" w:cstheme="minorHAnsi"/>
          <w:b/>
          <w:u w:val="single"/>
        </w:rPr>
      </w:pPr>
      <w:r w:rsidRPr="00B37EC9">
        <w:rPr>
          <w:rFonts w:asciiTheme="minorHAnsi" w:hAnsiTheme="minorHAnsi" w:cstheme="minorHAnsi"/>
          <w:b/>
          <w:u w:val="single"/>
        </w:rPr>
        <w:lastRenderedPageBreak/>
        <w:t>EXPECTED RESPONSE RATES</w:t>
      </w:r>
    </w:p>
    <w:p w14:paraId="010CE307" w14:textId="77777777" w:rsidR="00B37EC9" w:rsidRPr="00B37EC9" w:rsidRDefault="00B37EC9" w:rsidP="00B37EC9">
      <w:pPr>
        <w:autoSpaceDE w:val="0"/>
        <w:autoSpaceDN w:val="0"/>
        <w:adjustRightInd w:val="0"/>
        <w:rPr>
          <w:rFonts w:asciiTheme="minorHAnsi" w:hAnsiTheme="minorHAnsi" w:cstheme="minorHAnsi"/>
        </w:rPr>
      </w:pPr>
    </w:p>
    <w:p w14:paraId="666E29C1" w14:textId="77777777" w:rsidR="00B37EC9" w:rsidRPr="00B37EC9" w:rsidRDefault="00B37EC9" w:rsidP="00B37EC9">
      <w:pPr>
        <w:keepNext/>
        <w:autoSpaceDE w:val="0"/>
        <w:autoSpaceDN w:val="0"/>
        <w:adjustRightInd w:val="0"/>
        <w:rPr>
          <w:rFonts w:asciiTheme="minorHAnsi" w:hAnsiTheme="minorHAnsi" w:cstheme="minorHAnsi"/>
          <w:b/>
          <w:i/>
        </w:rPr>
      </w:pPr>
      <w:r w:rsidRPr="00B37EC9">
        <w:rPr>
          <w:rFonts w:asciiTheme="minorHAnsi" w:hAnsiTheme="minorHAnsi" w:cstheme="minorHAnsi"/>
          <w:b/>
        </w:rPr>
        <w:t>2012 Competitiveness Report Survey</w:t>
      </w: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20"/>
        <w:gridCol w:w="1676"/>
        <w:gridCol w:w="1744"/>
        <w:gridCol w:w="1620"/>
        <w:gridCol w:w="1440"/>
      </w:tblGrid>
      <w:tr w:rsidR="00B37EC9" w:rsidRPr="00B37EC9" w14:paraId="27AB53DA" w14:textId="77777777" w:rsidTr="00543DF4">
        <w:trPr>
          <w:cantSplit/>
        </w:trPr>
        <w:tc>
          <w:tcPr>
            <w:tcW w:w="2520" w:type="dxa"/>
            <w:tcBorders>
              <w:top w:val="single" w:sz="6" w:space="0" w:color="auto"/>
              <w:left w:val="single" w:sz="6" w:space="0" w:color="auto"/>
              <w:bottom w:val="single" w:sz="6" w:space="0" w:color="auto"/>
              <w:right w:val="single" w:sz="4" w:space="0" w:color="auto"/>
            </w:tcBorders>
            <w:shd w:val="clear" w:color="auto" w:fill="C0C0C0"/>
          </w:tcPr>
          <w:p w14:paraId="2B44C362" w14:textId="77777777" w:rsidR="00B37EC9" w:rsidRPr="00B37EC9" w:rsidRDefault="00B37EC9" w:rsidP="00543DF4">
            <w:pPr>
              <w:keepNext/>
              <w:rPr>
                <w:rFonts w:asciiTheme="minorHAnsi" w:hAnsiTheme="minorHAnsi" w:cstheme="minorHAnsi"/>
                <w:b/>
                <w:bCs/>
              </w:rPr>
            </w:pPr>
          </w:p>
        </w:tc>
        <w:tc>
          <w:tcPr>
            <w:tcW w:w="1676" w:type="dxa"/>
            <w:tcBorders>
              <w:top w:val="single" w:sz="4" w:space="0" w:color="auto"/>
              <w:left w:val="single" w:sz="4" w:space="0" w:color="auto"/>
              <w:bottom w:val="single" w:sz="4" w:space="0" w:color="auto"/>
              <w:right w:val="single" w:sz="6" w:space="0" w:color="auto"/>
            </w:tcBorders>
            <w:shd w:val="clear" w:color="auto" w:fill="C0C0C0"/>
            <w:vAlign w:val="bottom"/>
            <w:hideMark/>
          </w:tcPr>
          <w:p w14:paraId="0808459F" w14:textId="77777777" w:rsidR="00B37EC9" w:rsidRPr="00B37EC9" w:rsidRDefault="00B37EC9" w:rsidP="00543DF4">
            <w:pPr>
              <w:keepNext/>
              <w:jc w:val="right"/>
              <w:rPr>
                <w:rFonts w:asciiTheme="minorHAnsi" w:hAnsiTheme="minorHAnsi" w:cstheme="minorHAnsi"/>
                <w:b/>
                <w:bCs/>
              </w:rPr>
            </w:pPr>
            <w:r w:rsidRPr="00B37EC9">
              <w:rPr>
                <w:rFonts w:asciiTheme="minorHAnsi" w:hAnsiTheme="minorHAnsi" w:cstheme="minorHAnsi"/>
                <w:b/>
                <w:bCs/>
              </w:rPr>
              <w:t>Lenders</w:t>
            </w:r>
            <w:r>
              <w:rPr>
                <w:rFonts w:asciiTheme="minorHAnsi" w:hAnsiTheme="minorHAnsi" w:cstheme="minorHAnsi"/>
                <w:b/>
                <w:bCs/>
              </w:rPr>
              <w:t>*</w:t>
            </w:r>
          </w:p>
        </w:tc>
        <w:tc>
          <w:tcPr>
            <w:tcW w:w="1744" w:type="dxa"/>
            <w:tcBorders>
              <w:top w:val="single" w:sz="4" w:space="0" w:color="auto"/>
              <w:left w:val="nil"/>
              <w:bottom w:val="single" w:sz="4" w:space="0" w:color="auto"/>
              <w:right w:val="single" w:sz="4" w:space="0" w:color="auto"/>
            </w:tcBorders>
            <w:shd w:val="clear" w:color="auto" w:fill="C0C0C0"/>
            <w:vAlign w:val="bottom"/>
            <w:hideMark/>
          </w:tcPr>
          <w:p w14:paraId="40638F06" w14:textId="77777777" w:rsidR="00B37EC9" w:rsidRPr="00B37EC9" w:rsidRDefault="00B37EC9" w:rsidP="00543DF4">
            <w:pPr>
              <w:keepNext/>
              <w:jc w:val="right"/>
              <w:rPr>
                <w:rFonts w:asciiTheme="minorHAnsi" w:hAnsiTheme="minorHAnsi" w:cstheme="minorHAnsi"/>
                <w:b/>
                <w:bCs/>
              </w:rPr>
            </w:pPr>
            <w:r w:rsidRPr="00B37EC9">
              <w:rPr>
                <w:rFonts w:asciiTheme="minorHAnsi" w:hAnsiTheme="minorHAnsi" w:cstheme="minorHAnsi"/>
                <w:b/>
                <w:bCs/>
              </w:rPr>
              <w:t xml:space="preserve">Exporters* </w:t>
            </w:r>
          </w:p>
        </w:tc>
        <w:tc>
          <w:tcPr>
            <w:tcW w:w="1620" w:type="dxa"/>
            <w:tcBorders>
              <w:top w:val="single" w:sz="4" w:space="0" w:color="auto"/>
              <w:left w:val="nil"/>
              <w:bottom w:val="single" w:sz="4" w:space="0" w:color="auto"/>
              <w:right w:val="single" w:sz="4" w:space="0" w:color="auto"/>
            </w:tcBorders>
            <w:shd w:val="clear" w:color="auto" w:fill="C0C0C0"/>
            <w:vAlign w:val="bottom"/>
          </w:tcPr>
          <w:p w14:paraId="46729DBD" w14:textId="77777777" w:rsidR="00B37EC9" w:rsidRPr="00B37EC9" w:rsidRDefault="00B37EC9" w:rsidP="00543DF4">
            <w:pPr>
              <w:keepNext/>
              <w:jc w:val="right"/>
              <w:rPr>
                <w:rFonts w:asciiTheme="minorHAnsi" w:hAnsiTheme="minorHAnsi" w:cstheme="minorHAnsi"/>
                <w:b/>
                <w:bCs/>
              </w:rPr>
            </w:pPr>
            <w:r w:rsidRPr="00B37EC9">
              <w:rPr>
                <w:rFonts w:asciiTheme="minorHAnsi" w:hAnsiTheme="minorHAnsi" w:cstheme="minorHAnsi"/>
                <w:b/>
                <w:bCs/>
              </w:rPr>
              <w:t>Brokers**</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361A3D38" w14:textId="77777777" w:rsidR="00B37EC9" w:rsidRPr="00B37EC9" w:rsidRDefault="00B37EC9" w:rsidP="00543DF4">
            <w:pPr>
              <w:keepNext/>
              <w:jc w:val="right"/>
              <w:rPr>
                <w:rFonts w:asciiTheme="minorHAnsi" w:hAnsiTheme="minorHAnsi" w:cstheme="minorHAnsi"/>
                <w:b/>
                <w:bCs/>
              </w:rPr>
            </w:pPr>
            <w:r w:rsidRPr="00B37EC9">
              <w:rPr>
                <w:rFonts w:asciiTheme="minorHAnsi" w:hAnsiTheme="minorHAnsi" w:cstheme="minorHAnsi"/>
                <w:b/>
                <w:bCs/>
              </w:rPr>
              <w:t>Total</w:t>
            </w:r>
          </w:p>
        </w:tc>
      </w:tr>
      <w:tr w:rsidR="00B37EC9" w:rsidRPr="00B37EC9" w14:paraId="5739B3EE" w14:textId="77777777" w:rsidTr="00543DF4">
        <w:tc>
          <w:tcPr>
            <w:tcW w:w="2520" w:type="dxa"/>
            <w:tcBorders>
              <w:top w:val="single" w:sz="6" w:space="0" w:color="auto"/>
              <w:left w:val="single" w:sz="6" w:space="0" w:color="auto"/>
              <w:bottom w:val="single" w:sz="6" w:space="0" w:color="auto"/>
              <w:right w:val="single" w:sz="6" w:space="0" w:color="auto"/>
            </w:tcBorders>
            <w:shd w:val="clear" w:color="auto" w:fill="C0C0C0"/>
            <w:hideMark/>
          </w:tcPr>
          <w:p w14:paraId="72BCA91C" w14:textId="77777777" w:rsidR="00B37EC9" w:rsidRPr="00B37EC9" w:rsidRDefault="00B37EC9" w:rsidP="00543DF4">
            <w:pPr>
              <w:keepNext/>
              <w:rPr>
                <w:rFonts w:asciiTheme="minorHAnsi" w:hAnsiTheme="minorHAnsi" w:cstheme="minorHAnsi"/>
                <w:b/>
                <w:bCs/>
              </w:rPr>
            </w:pPr>
            <w:r w:rsidRPr="00B37EC9">
              <w:rPr>
                <w:rFonts w:asciiTheme="minorHAnsi" w:hAnsiTheme="minorHAnsi" w:cstheme="minorHAnsi"/>
                <w:b/>
                <w:bCs/>
              </w:rPr>
              <w:t>Population</w:t>
            </w:r>
          </w:p>
        </w:tc>
        <w:tc>
          <w:tcPr>
            <w:tcW w:w="1676" w:type="dxa"/>
            <w:tcBorders>
              <w:top w:val="single" w:sz="4" w:space="0" w:color="auto"/>
              <w:left w:val="single" w:sz="6" w:space="0" w:color="auto"/>
              <w:bottom w:val="single" w:sz="6" w:space="0" w:color="auto"/>
              <w:right w:val="single" w:sz="6" w:space="0" w:color="auto"/>
            </w:tcBorders>
            <w:vAlign w:val="bottom"/>
            <w:hideMark/>
          </w:tcPr>
          <w:p w14:paraId="4AB08BFC" w14:textId="77777777" w:rsidR="00B37EC9" w:rsidRPr="00B37EC9" w:rsidRDefault="00B37EC9" w:rsidP="00543DF4">
            <w:pPr>
              <w:keepNext/>
              <w:jc w:val="right"/>
              <w:rPr>
                <w:rFonts w:asciiTheme="minorHAnsi" w:hAnsiTheme="minorHAnsi" w:cstheme="minorHAnsi"/>
              </w:rPr>
            </w:pPr>
            <w:r w:rsidRPr="00B37EC9">
              <w:rPr>
                <w:rFonts w:asciiTheme="minorHAnsi" w:hAnsiTheme="minorHAnsi" w:cstheme="minorHAnsi"/>
              </w:rPr>
              <w:t>245</w:t>
            </w:r>
          </w:p>
        </w:tc>
        <w:tc>
          <w:tcPr>
            <w:tcW w:w="1744" w:type="dxa"/>
            <w:tcBorders>
              <w:top w:val="single" w:sz="4" w:space="0" w:color="auto"/>
              <w:left w:val="single" w:sz="6" w:space="0" w:color="auto"/>
              <w:bottom w:val="single" w:sz="6" w:space="0" w:color="auto"/>
              <w:right w:val="single" w:sz="6" w:space="0" w:color="auto"/>
            </w:tcBorders>
            <w:vAlign w:val="bottom"/>
            <w:hideMark/>
          </w:tcPr>
          <w:p w14:paraId="71F72347" w14:textId="77777777" w:rsidR="00B37EC9" w:rsidRPr="00B37EC9" w:rsidRDefault="00B37EC9" w:rsidP="00543DF4">
            <w:pPr>
              <w:keepNext/>
              <w:jc w:val="right"/>
              <w:rPr>
                <w:rFonts w:asciiTheme="minorHAnsi" w:hAnsiTheme="minorHAnsi" w:cstheme="minorHAnsi"/>
              </w:rPr>
            </w:pPr>
            <w:r w:rsidRPr="00B37EC9">
              <w:rPr>
                <w:rFonts w:asciiTheme="minorHAnsi" w:hAnsiTheme="minorHAnsi" w:cstheme="minorHAnsi"/>
              </w:rPr>
              <w:t>416</w:t>
            </w:r>
          </w:p>
        </w:tc>
        <w:tc>
          <w:tcPr>
            <w:tcW w:w="1620" w:type="dxa"/>
            <w:tcBorders>
              <w:top w:val="single" w:sz="4" w:space="0" w:color="auto"/>
              <w:left w:val="single" w:sz="6" w:space="0" w:color="auto"/>
              <w:bottom w:val="single" w:sz="6" w:space="0" w:color="auto"/>
              <w:right w:val="single" w:sz="6" w:space="0" w:color="auto"/>
            </w:tcBorders>
            <w:vAlign w:val="bottom"/>
          </w:tcPr>
          <w:p w14:paraId="311147BD" w14:textId="77777777" w:rsidR="00B37EC9" w:rsidRPr="00B37EC9" w:rsidRDefault="00B37EC9" w:rsidP="00543DF4">
            <w:pPr>
              <w:keepNext/>
              <w:jc w:val="right"/>
              <w:rPr>
                <w:rFonts w:asciiTheme="minorHAnsi" w:hAnsiTheme="minorHAnsi" w:cstheme="minorHAnsi"/>
              </w:rPr>
            </w:pPr>
            <w:r w:rsidRPr="00B37EC9">
              <w:rPr>
                <w:rFonts w:asciiTheme="minorHAnsi" w:hAnsiTheme="minorHAnsi" w:cstheme="minorHAnsi"/>
              </w:rPr>
              <w:t>70</w:t>
            </w:r>
          </w:p>
        </w:tc>
        <w:tc>
          <w:tcPr>
            <w:tcW w:w="1440" w:type="dxa"/>
            <w:tcBorders>
              <w:top w:val="single" w:sz="4" w:space="0" w:color="auto"/>
              <w:left w:val="single" w:sz="6" w:space="0" w:color="auto"/>
              <w:bottom w:val="single" w:sz="6" w:space="0" w:color="auto"/>
              <w:right w:val="single" w:sz="6" w:space="0" w:color="auto"/>
            </w:tcBorders>
            <w:vAlign w:val="bottom"/>
          </w:tcPr>
          <w:p w14:paraId="7EF9FBB1" w14:textId="77777777" w:rsidR="00B37EC9" w:rsidRPr="00B37EC9" w:rsidRDefault="00B37EC9" w:rsidP="00543DF4">
            <w:pPr>
              <w:keepNext/>
              <w:jc w:val="right"/>
              <w:rPr>
                <w:rFonts w:asciiTheme="minorHAnsi" w:hAnsiTheme="minorHAnsi" w:cstheme="minorHAnsi"/>
              </w:rPr>
            </w:pPr>
            <w:r w:rsidRPr="00B37EC9">
              <w:rPr>
                <w:rFonts w:asciiTheme="minorHAnsi" w:hAnsiTheme="minorHAnsi" w:cstheme="minorHAnsi"/>
              </w:rPr>
              <w:t>731</w:t>
            </w:r>
          </w:p>
        </w:tc>
      </w:tr>
      <w:tr w:rsidR="00B37EC9" w:rsidRPr="00B37EC9" w14:paraId="240C546A" w14:textId="77777777" w:rsidTr="00543DF4">
        <w:tc>
          <w:tcPr>
            <w:tcW w:w="2520" w:type="dxa"/>
            <w:tcBorders>
              <w:top w:val="single" w:sz="6" w:space="0" w:color="auto"/>
              <w:left w:val="single" w:sz="6" w:space="0" w:color="auto"/>
              <w:bottom w:val="single" w:sz="6" w:space="0" w:color="auto"/>
              <w:right w:val="single" w:sz="6" w:space="0" w:color="auto"/>
            </w:tcBorders>
            <w:shd w:val="clear" w:color="auto" w:fill="C0C0C0"/>
            <w:hideMark/>
          </w:tcPr>
          <w:p w14:paraId="5BB88A66" w14:textId="77777777" w:rsidR="00B37EC9" w:rsidRPr="00B37EC9" w:rsidRDefault="00B37EC9" w:rsidP="00543DF4">
            <w:pPr>
              <w:keepNext/>
              <w:rPr>
                <w:rFonts w:asciiTheme="minorHAnsi" w:hAnsiTheme="minorHAnsi" w:cstheme="minorHAnsi"/>
                <w:b/>
                <w:bCs/>
              </w:rPr>
            </w:pPr>
            <w:r w:rsidRPr="00B37EC9">
              <w:rPr>
                <w:rFonts w:asciiTheme="minorHAnsi" w:hAnsiTheme="minorHAnsi" w:cstheme="minorHAnsi"/>
                <w:b/>
                <w:bCs/>
              </w:rPr>
              <w:t>Selected</w:t>
            </w:r>
          </w:p>
        </w:tc>
        <w:tc>
          <w:tcPr>
            <w:tcW w:w="1676" w:type="dxa"/>
            <w:tcBorders>
              <w:top w:val="single" w:sz="6" w:space="0" w:color="auto"/>
              <w:left w:val="single" w:sz="6" w:space="0" w:color="auto"/>
              <w:bottom w:val="single" w:sz="6" w:space="0" w:color="auto"/>
              <w:right w:val="single" w:sz="6" w:space="0" w:color="auto"/>
            </w:tcBorders>
            <w:vAlign w:val="bottom"/>
            <w:hideMark/>
          </w:tcPr>
          <w:p w14:paraId="51A25C32" w14:textId="77777777" w:rsidR="00B37EC9" w:rsidRPr="00B37EC9" w:rsidRDefault="00B37EC9" w:rsidP="00543DF4">
            <w:pPr>
              <w:keepNext/>
              <w:jc w:val="right"/>
              <w:rPr>
                <w:rFonts w:asciiTheme="minorHAnsi" w:hAnsiTheme="minorHAnsi" w:cstheme="minorHAnsi"/>
              </w:rPr>
            </w:pPr>
            <w:r w:rsidRPr="00B37EC9">
              <w:rPr>
                <w:rFonts w:asciiTheme="minorHAnsi" w:hAnsiTheme="minorHAnsi" w:cstheme="minorHAnsi"/>
              </w:rPr>
              <w:t>92</w:t>
            </w:r>
          </w:p>
        </w:tc>
        <w:tc>
          <w:tcPr>
            <w:tcW w:w="1744" w:type="dxa"/>
            <w:tcBorders>
              <w:top w:val="single" w:sz="6" w:space="0" w:color="auto"/>
              <w:left w:val="single" w:sz="6" w:space="0" w:color="auto"/>
              <w:bottom w:val="single" w:sz="6" w:space="0" w:color="auto"/>
              <w:right w:val="single" w:sz="6" w:space="0" w:color="auto"/>
            </w:tcBorders>
            <w:vAlign w:val="bottom"/>
            <w:hideMark/>
          </w:tcPr>
          <w:p w14:paraId="5CB7CEA4" w14:textId="77777777" w:rsidR="00B37EC9" w:rsidRPr="00B37EC9" w:rsidRDefault="00B37EC9" w:rsidP="00543DF4">
            <w:pPr>
              <w:keepNext/>
              <w:jc w:val="right"/>
              <w:rPr>
                <w:rFonts w:asciiTheme="minorHAnsi" w:hAnsiTheme="minorHAnsi" w:cstheme="minorHAnsi"/>
              </w:rPr>
            </w:pPr>
            <w:r w:rsidRPr="00B37EC9">
              <w:rPr>
                <w:rFonts w:asciiTheme="minorHAnsi" w:hAnsiTheme="minorHAnsi" w:cstheme="minorHAnsi"/>
              </w:rPr>
              <w:t>155</w:t>
            </w:r>
          </w:p>
        </w:tc>
        <w:tc>
          <w:tcPr>
            <w:tcW w:w="1620" w:type="dxa"/>
            <w:tcBorders>
              <w:top w:val="single" w:sz="6" w:space="0" w:color="auto"/>
              <w:left w:val="single" w:sz="6" w:space="0" w:color="auto"/>
              <w:bottom w:val="single" w:sz="6" w:space="0" w:color="auto"/>
              <w:right w:val="single" w:sz="6" w:space="0" w:color="auto"/>
            </w:tcBorders>
            <w:vAlign w:val="bottom"/>
          </w:tcPr>
          <w:p w14:paraId="127F59AD" w14:textId="77777777" w:rsidR="00B37EC9" w:rsidRPr="00B37EC9" w:rsidRDefault="00B37EC9" w:rsidP="00543DF4">
            <w:pPr>
              <w:keepNext/>
              <w:jc w:val="right"/>
              <w:rPr>
                <w:rFonts w:asciiTheme="minorHAnsi" w:hAnsiTheme="minorHAnsi" w:cstheme="minorHAnsi"/>
              </w:rPr>
            </w:pPr>
            <w:r w:rsidRPr="00B37EC9">
              <w:rPr>
                <w:rFonts w:asciiTheme="minorHAnsi" w:hAnsiTheme="minorHAnsi" w:cstheme="minorHAnsi"/>
              </w:rPr>
              <w:t>53</w:t>
            </w:r>
          </w:p>
        </w:tc>
        <w:tc>
          <w:tcPr>
            <w:tcW w:w="1440" w:type="dxa"/>
            <w:tcBorders>
              <w:top w:val="single" w:sz="6" w:space="0" w:color="auto"/>
              <w:left w:val="single" w:sz="6" w:space="0" w:color="auto"/>
              <w:bottom w:val="single" w:sz="6" w:space="0" w:color="auto"/>
              <w:right w:val="single" w:sz="6" w:space="0" w:color="auto"/>
            </w:tcBorders>
            <w:vAlign w:val="bottom"/>
          </w:tcPr>
          <w:p w14:paraId="3A9FEB22" w14:textId="77777777" w:rsidR="00B37EC9" w:rsidRPr="00B37EC9" w:rsidRDefault="00B37EC9" w:rsidP="00543DF4">
            <w:pPr>
              <w:keepNext/>
              <w:jc w:val="right"/>
              <w:rPr>
                <w:rFonts w:asciiTheme="minorHAnsi" w:hAnsiTheme="minorHAnsi" w:cstheme="minorHAnsi"/>
              </w:rPr>
            </w:pPr>
            <w:r w:rsidRPr="00B37EC9">
              <w:rPr>
                <w:rFonts w:asciiTheme="minorHAnsi" w:hAnsiTheme="minorHAnsi" w:cstheme="minorHAnsi"/>
              </w:rPr>
              <w:t>300</w:t>
            </w:r>
          </w:p>
        </w:tc>
      </w:tr>
      <w:tr w:rsidR="00B37EC9" w:rsidRPr="00B37EC9" w14:paraId="19F5CC7E" w14:textId="77777777" w:rsidTr="00543DF4">
        <w:tc>
          <w:tcPr>
            <w:tcW w:w="2520" w:type="dxa"/>
            <w:tcBorders>
              <w:top w:val="single" w:sz="6" w:space="0" w:color="auto"/>
              <w:left w:val="single" w:sz="6" w:space="0" w:color="auto"/>
              <w:bottom w:val="single" w:sz="6" w:space="0" w:color="auto"/>
              <w:right w:val="single" w:sz="6" w:space="0" w:color="auto"/>
            </w:tcBorders>
            <w:shd w:val="clear" w:color="auto" w:fill="C0C0C0"/>
            <w:hideMark/>
          </w:tcPr>
          <w:p w14:paraId="080F30EA" w14:textId="77777777" w:rsidR="00B37EC9" w:rsidRPr="00B37EC9" w:rsidRDefault="00B37EC9" w:rsidP="00543DF4">
            <w:pPr>
              <w:keepNext/>
              <w:rPr>
                <w:rFonts w:asciiTheme="minorHAnsi" w:hAnsiTheme="minorHAnsi" w:cstheme="minorHAnsi"/>
                <w:b/>
                <w:bCs/>
              </w:rPr>
            </w:pPr>
            <w:r w:rsidRPr="00B37EC9">
              <w:rPr>
                <w:rFonts w:asciiTheme="minorHAnsi" w:hAnsiTheme="minorHAnsi" w:cstheme="minorHAnsi"/>
                <w:b/>
                <w:bCs/>
              </w:rPr>
              <w:t>Expected responses</w:t>
            </w:r>
          </w:p>
        </w:tc>
        <w:tc>
          <w:tcPr>
            <w:tcW w:w="1676" w:type="dxa"/>
            <w:tcBorders>
              <w:top w:val="single" w:sz="6" w:space="0" w:color="auto"/>
              <w:left w:val="single" w:sz="6" w:space="0" w:color="auto"/>
              <w:bottom w:val="single" w:sz="6" w:space="0" w:color="auto"/>
              <w:right w:val="single" w:sz="6" w:space="0" w:color="auto"/>
            </w:tcBorders>
            <w:vAlign w:val="bottom"/>
            <w:hideMark/>
          </w:tcPr>
          <w:p w14:paraId="49D442A5" w14:textId="77777777" w:rsidR="00B37EC9" w:rsidRPr="00B37EC9" w:rsidRDefault="00B37EC9" w:rsidP="00543DF4">
            <w:pPr>
              <w:keepNext/>
              <w:jc w:val="right"/>
              <w:rPr>
                <w:rFonts w:asciiTheme="minorHAnsi" w:hAnsiTheme="minorHAnsi" w:cstheme="minorHAnsi"/>
              </w:rPr>
            </w:pPr>
            <w:r w:rsidRPr="00B37EC9">
              <w:rPr>
                <w:rFonts w:asciiTheme="minorHAnsi" w:hAnsiTheme="minorHAnsi" w:cstheme="minorHAnsi"/>
              </w:rPr>
              <w:t>54</w:t>
            </w:r>
          </w:p>
        </w:tc>
        <w:tc>
          <w:tcPr>
            <w:tcW w:w="1744" w:type="dxa"/>
            <w:tcBorders>
              <w:top w:val="single" w:sz="6" w:space="0" w:color="auto"/>
              <w:left w:val="single" w:sz="6" w:space="0" w:color="auto"/>
              <w:bottom w:val="single" w:sz="6" w:space="0" w:color="auto"/>
              <w:right w:val="single" w:sz="6" w:space="0" w:color="auto"/>
            </w:tcBorders>
            <w:vAlign w:val="bottom"/>
            <w:hideMark/>
          </w:tcPr>
          <w:p w14:paraId="6F0D9246" w14:textId="77777777" w:rsidR="00B37EC9" w:rsidRPr="00B37EC9" w:rsidRDefault="00B37EC9" w:rsidP="00543DF4">
            <w:pPr>
              <w:keepNext/>
              <w:jc w:val="right"/>
              <w:rPr>
                <w:rFonts w:asciiTheme="minorHAnsi" w:hAnsiTheme="minorHAnsi" w:cstheme="minorHAnsi"/>
              </w:rPr>
            </w:pPr>
            <w:r w:rsidRPr="00B37EC9">
              <w:rPr>
                <w:rFonts w:asciiTheme="minorHAnsi" w:hAnsiTheme="minorHAnsi" w:cstheme="minorHAnsi"/>
              </w:rPr>
              <w:t>70</w:t>
            </w:r>
          </w:p>
        </w:tc>
        <w:tc>
          <w:tcPr>
            <w:tcW w:w="1620" w:type="dxa"/>
            <w:tcBorders>
              <w:top w:val="single" w:sz="6" w:space="0" w:color="auto"/>
              <w:left w:val="single" w:sz="6" w:space="0" w:color="auto"/>
              <w:bottom w:val="single" w:sz="6" w:space="0" w:color="auto"/>
              <w:right w:val="single" w:sz="6" w:space="0" w:color="auto"/>
            </w:tcBorders>
            <w:vAlign w:val="bottom"/>
          </w:tcPr>
          <w:p w14:paraId="76B17B91" w14:textId="77777777" w:rsidR="00B37EC9" w:rsidRPr="00B37EC9" w:rsidRDefault="00B37EC9" w:rsidP="00543DF4">
            <w:pPr>
              <w:keepNext/>
              <w:jc w:val="right"/>
              <w:rPr>
                <w:rFonts w:asciiTheme="minorHAnsi" w:hAnsiTheme="minorHAnsi" w:cstheme="minorHAnsi"/>
              </w:rPr>
            </w:pPr>
            <w:r w:rsidRPr="00B37EC9">
              <w:rPr>
                <w:rFonts w:asciiTheme="minorHAnsi" w:hAnsiTheme="minorHAnsi" w:cstheme="minorHAnsi"/>
              </w:rPr>
              <w:t>26</w:t>
            </w:r>
          </w:p>
        </w:tc>
        <w:tc>
          <w:tcPr>
            <w:tcW w:w="1440" w:type="dxa"/>
            <w:tcBorders>
              <w:top w:val="single" w:sz="6" w:space="0" w:color="auto"/>
              <w:left w:val="single" w:sz="6" w:space="0" w:color="auto"/>
              <w:bottom w:val="single" w:sz="6" w:space="0" w:color="auto"/>
              <w:right w:val="single" w:sz="6" w:space="0" w:color="auto"/>
            </w:tcBorders>
            <w:vAlign w:val="bottom"/>
          </w:tcPr>
          <w:p w14:paraId="11DE587F" w14:textId="77777777" w:rsidR="00B37EC9" w:rsidRPr="00B37EC9" w:rsidRDefault="00B37EC9" w:rsidP="00543DF4">
            <w:pPr>
              <w:keepNext/>
              <w:jc w:val="right"/>
              <w:rPr>
                <w:rFonts w:asciiTheme="minorHAnsi" w:hAnsiTheme="minorHAnsi" w:cstheme="minorHAnsi"/>
              </w:rPr>
            </w:pPr>
            <w:r w:rsidRPr="00B37EC9">
              <w:rPr>
                <w:rFonts w:asciiTheme="minorHAnsi" w:hAnsiTheme="minorHAnsi" w:cstheme="minorHAnsi"/>
              </w:rPr>
              <w:t>150</w:t>
            </w:r>
          </w:p>
        </w:tc>
      </w:tr>
      <w:tr w:rsidR="00B37EC9" w:rsidRPr="00B37EC9" w14:paraId="623E35BA" w14:textId="77777777" w:rsidTr="00543DF4">
        <w:tc>
          <w:tcPr>
            <w:tcW w:w="2520" w:type="dxa"/>
            <w:tcBorders>
              <w:top w:val="single" w:sz="6" w:space="0" w:color="auto"/>
              <w:left w:val="single" w:sz="6" w:space="0" w:color="auto"/>
              <w:bottom w:val="single" w:sz="6" w:space="0" w:color="auto"/>
              <w:right w:val="single" w:sz="6" w:space="0" w:color="auto"/>
            </w:tcBorders>
            <w:shd w:val="clear" w:color="auto" w:fill="C0C0C0"/>
            <w:hideMark/>
          </w:tcPr>
          <w:p w14:paraId="05B2B4C6" w14:textId="77777777" w:rsidR="00B37EC9" w:rsidRPr="00B37EC9" w:rsidRDefault="00B37EC9" w:rsidP="00543DF4">
            <w:pPr>
              <w:keepNext/>
              <w:rPr>
                <w:rFonts w:asciiTheme="minorHAnsi" w:hAnsiTheme="minorHAnsi" w:cstheme="minorHAnsi"/>
                <w:b/>
                <w:bCs/>
              </w:rPr>
            </w:pPr>
            <w:r w:rsidRPr="00B37EC9">
              <w:rPr>
                <w:rFonts w:asciiTheme="minorHAnsi" w:hAnsiTheme="minorHAnsi" w:cstheme="minorHAnsi"/>
                <w:b/>
                <w:bCs/>
              </w:rPr>
              <w:t>Expected response rate</w:t>
            </w:r>
          </w:p>
        </w:tc>
        <w:tc>
          <w:tcPr>
            <w:tcW w:w="1676" w:type="dxa"/>
            <w:tcBorders>
              <w:top w:val="single" w:sz="6" w:space="0" w:color="auto"/>
              <w:left w:val="single" w:sz="6" w:space="0" w:color="auto"/>
              <w:bottom w:val="single" w:sz="6" w:space="0" w:color="auto"/>
              <w:right w:val="single" w:sz="6" w:space="0" w:color="auto"/>
            </w:tcBorders>
            <w:vAlign w:val="bottom"/>
            <w:hideMark/>
          </w:tcPr>
          <w:p w14:paraId="33CDCFD8" w14:textId="77777777" w:rsidR="00B37EC9" w:rsidRPr="00B37EC9" w:rsidRDefault="00B37EC9" w:rsidP="00543DF4">
            <w:pPr>
              <w:keepNext/>
              <w:jc w:val="right"/>
              <w:rPr>
                <w:rFonts w:asciiTheme="minorHAnsi" w:hAnsiTheme="minorHAnsi" w:cstheme="minorHAnsi"/>
              </w:rPr>
            </w:pPr>
            <w:r w:rsidRPr="00B37EC9">
              <w:rPr>
                <w:rFonts w:asciiTheme="minorHAnsi" w:hAnsiTheme="minorHAnsi" w:cstheme="minorHAnsi"/>
              </w:rPr>
              <w:t>59%</w:t>
            </w:r>
          </w:p>
        </w:tc>
        <w:tc>
          <w:tcPr>
            <w:tcW w:w="1744" w:type="dxa"/>
            <w:tcBorders>
              <w:top w:val="single" w:sz="6" w:space="0" w:color="auto"/>
              <w:left w:val="single" w:sz="6" w:space="0" w:color="auto"/>
              <w:bottom w:val="single" w:sz="6" w:space="0" w:color="auto"/>
              <w:right w:val="single" w:sz="6" w:space="0" w:color="auto"/>
            </w:tcBorders>
            <w:vAlign w:val="bottom"/>
            <w:hideMark/>
          </w:tcPr>
          <w:p w14:paraId="79AB68FB" w14:textId="77777777" w:rsidR="00B37EC9" w:rsidRPr="00B37EC9" w:rsidRDefault="00B37EC9" w:rsidP="00543DF4">
            <w:pPr>
              <w:keepNext/>
              <w:jc w:val="right"/>
              <w:rPr>
                <w:rFonts w:asciiTheme="minorHAnsi" w:hAnsiTheme="minorHAnsi" w:cstheme="minorHAnsi"/>
              </w:rPr>
            </w:pPr>
            <w:r w:rsidRPr="00B37EC9">
              <w:rPr>
                <w:rFonts w:asciiTheme="minorHAnsi" w:hAnsiTheme="minorHAnsi" w:cstheme="minorHAnsi"/>
              </w:rPr>
              <w:t>45%</w:t>
            </w:r>
          </w:p>
        </w:tc>
        <w:tc>
          <w:tcPr>
            <w:tcW w:w="1620" w:type="dxa"/>
            <w:tcBorders>
              <w:top w:val="single" w:sz="6" w:space="0" w:color="auto"/>
              <w:left w:val="single" w:sz="6" w:space="0" w:color="auto"/>
              <w:bottom w:val="single" w:sz="6" w:space="0" w:color="auto"/>
              <w:right w:val="single" w:sz="6" w:space="0" w:color="auto"/>
            </w:tcBorders>
            <w:vAlign w:val="bottom"/>
          </w:tcPr>
          <w:p w14:paraId="3FE76B61" w14:textId="77777777" w:rsidR="00B37EC9" w:rsidRPr="00B37EC9" w:rsidRDefault="00B37EC9" w:rsidP="00543DF4">
            <w:pPr>
              <w:keepNext/>
              <w:jc w:val="right"/>
              <w:rPr>
                <w:rFonts w:asciiTheme="minorHAnsi" w:hAnsiTheme="minorHAnsi" w:cstheme="minorHAnsi"/>
              </w:rPr>
            </w:pPr>
            <w:r w:rsidRPr="00B37EC9">
              <w:rPr>
                <w:rFonts w:asciiTheme="minorHAnsi" w:hAnsiTheme="minorHAnsi" w:cstheme="minorHAnsi"/>
              </w:rPr>
              <w:t>50%</w:t>
            </w:r>
          </w:p>
        </w:tc>
        <w:tc>
          <w:tcPr>
            <w:tcW w:w="1440" w:type="dxa"/>
            <w:tcBorders>
              <w:top w:val="single" w:sz="6" w:space="0" w:color="auto"/>
              <w:left w:val="single" w:sz="6" w:space="0" w:color="auto"/>
              <w:bottom w:val="single" w:sz="6" w:space="0" w:color="auto"/>
              <w:right w:val="single" w:sz="6" w:space="0" w:color="auto"/>
            </w:tcBorders>
            <w:vAlign w:val="bottom"/>
          </w:tcPr>
          <w:p w14:paraId="2C0F4E5E" w14:textId="77777777" w:rsidR="00B37EC9" w:rsidRPr="00B37EC9" w:rsidRDefault="00B37EC9" w:rsidP="00543DF4">
            <w:pPr>
              <w:keepNext/>
              <w:jc w:val="right"/>
              <w:rPr>
                <w:rFonts w:asciiTheme="minorHAnsi" w:hAnsiTheme="minorHAnsi" w:cstheme="minorHAnsi"/>
              </w:rPr>
            </w:pPr>
            <w:r w:rsidRPr="00B37EC9">
              <w:rPr>
                <w:rFonts w:asciiTheme="minorHAnsi" w:hAnsiTheme="minorHAnsi" w:cstheme="minorHAnsi"/>
              </w:rPr>
              <w:t>50%</w:t>
            </w:r>
          </w:p>
        </w:tc>
      </w:tr>
    </w:tbl>
    <w:p w14:paraId="07A008A6" w14:textId="77777777" w:rsidR="00B37EC9" w:rsidRPr="00B37EC9" w:rsidRDefault="00B37EC9" w:rsidP="00B37EC9">
      <w:pPr>
        <w:keepNext/>
        <w:autoSpaceDE w:val="0"/>
        <w:autoSpaceDN w:val="0"/>
        <w:adjustRightInd w:val="0"/>
        <w:rPr>
          <w:rFonts w:asciiTheme="minorHAnsi" w:hAnsiTheme="minorHAnsi" w:cstheme="minorHAnsi"/>
        </w:rPr>
      </w:pPr>
      <w:r w:rsidRPr="00B37EC9">
        <w:rPr>
          <w:rFonts w:asciiTheme="minorHAnsi" w:hAnsiTheme="minorHAnsi" w:cstheme="minorHAnsi"/>
        </w:rPr>
        <w:t>*Exporters</w:t>
      </w:r>
      <w:r>
        <w:rPr>
          <w:rFonts w:asciiTheme="minorHAnsi" w:hAnsiTheme="minorHAnsi" w:cstheme="minorHAnsi"/>
        </w:rPr>
        <w:t xml:space="preserve"> and lenders</w:t>
      </w:r>
      <w:r w:rsidRPr="00B37EC9">
        <w:rPr>
          <w:rFonts w:asciiTheme="minorHAnsi" w:hAnsiTheme="minorHAnsi" w:cstheme="minorHAnsi"/>
        </w:rPr>
        <w:t xml:space="preserve"> expanded to include Short Term </w:t>
      </w:r>
      <w:r>
        <w:rPr>
          <w:rFonts w:asciiTheme="minorHAnsi" w:hAnsiTheme="minorHAnsi" w:cstheme="minorHAnsi"/>
        </w:rPr>
        <w:t>participants</w:t>
      </w:r>
      <w:r w:rsidRPr="00B37EC9">
        <w:rPr>
          <w:rFonts w:asciiTheme="minorHAnsi" w:hAnsiTheme="minorHAnsi" w:cstheme="minorHAnsi"/>
        </w:rPr>
        <w:t>; previous years only surveyed MLT program users</w:t>
      </w:r>
    </w:p>
    <w:p w14:paraId="2178873F" w14:textId="77777777" w:rsidR="00B37EC9" w:rsidRPr="00B37EC9" w:rsidRDefault="00B37EC9" w:rsidP="00B37EC9">
      <w:pPr>
        <w:keepNext/>
        <w:autoSpaceDE w:val="0"/>
        <w:autoSpaceDN w:val="0"/>
        <w:adjustRightInd w:val="0"/>
        <w:rPr>
          <w:rFonts w:asciiTheme="minorHAnsi" w:hAnsiTheme="minorHAnsi" w:cstheme="minorHAnsi"/>
        </w:rPr>
      </w:pPr>
      <w:r w:rsidRPr="00B37EC9">
        <w:rPr>
          <w:rFonts w:asciiTheme="minorHAnsi" w:hAnsiTheme="minorHAnsi" w:cstheme="minorHAnsi"/>
        </w:rPr>
        <w:t>**Brokers not previously included in Competitiveness Report Survey</w:t>
      </w:r>
    </w:p>
    <w:p w14:paraId="27E9458B" w14:textId="77777777" w:rsidR="00B37EC9" w:rsidRPr="00B37EC9" w:rsidRDefault="00B37EC9" w:rsidP="00B37EC9">
      <w:pPr>
        <w:autoSpaceDE w:val="0"/>
        <w:autoSpaceDN w:val="0"/>
        <w:adjustRightInd w:val="0"/>
        <w:rPr>
          <w:rFonts w:asciiTheme="minorHAnsi" w:hAnsiTheme="minorHAnsi" w:cstheme="minorHAnsi"/>
        </w:rPr>
      </w:pPr>
    </w:p>
    <w:p w14:paraId="3B1DAE2D" w14:textId="77777777" w:rsidR="00B37EC9" w:rsidRPr="00B37EC9" w:rsidRDefault="00B37EC9" w:rsidP="00B37EC9">
      <w:pPr>
        <w:autoSpaceDE w:val="0"/>
        <w:autoSpaceDN w:val="0"/>
        <w:adjustRightInd w:val="0"/>
        <w:rPr>
          <w:rFonts w:asciiTheme="minorHAnsi" w:hAnsiTheme="minorHAnsi" w:cstheme="minorHAnsi"/>
          <w:b/>
          <w:u w:val="single"/>
        </w:rPr>
      </w:pPr>
      <w:r w:rsidRPr="00B37EC9">
        <w:rPr>
          <w:rFonts w:asciiTheme="minorHAnsi" w:hAnsiTheme="minorHAnsi" w:cstheme="minorHAnsi"/>
          <w:b/>
          <w:u w:val="single"/>
        </w:rPr>
        <w:br w:type="column"/>
      </w:r>
      <w:r w:rsidRPr="00B37EC9">
        <w:rPr>
          <w:rFonts w:asciiTheme="minorHAnsi" w:hAnsiTheme="minorHAnsi" w:cstheme="minorHAnsi"/>
          <w:b/>
          <w:u w:val="single"/>
        </w:rPr>
        <w:lastRenderedPageBreak/>
        <w:t>PAST RESPONSE RATES</w:t>
      </w:r>
    </w:p>
    <w:p w14:paraId="7CAFD587" w14:textId="77777777" w:rsidR="00B37EC9" w:rsidRPr="00B37EC9" w:rsidRDefault="00B37EC9" w:rsidP="00B37EC9">
      <w:pPr>
        <w:autoSpaceDE w:val="0"/>
        <w:autoSpaceDN w:val="0"/>
        <w:adjustRightInd w:val="0"/>
        <w:rPr>
          <w:rFonts w:asciiTheme="minorHAnsi" w:hAnsiTheme="minorHAnsi" w:cstheme="minorHAnsi"/>
        </w:rPr>
      </w:pPr>
    </w:p>
    <w:p w14:paraId="009F8C71" w14:textId="77777777" w:rsidR="00B37EC9" w:rsidRPr="00B37EC9" w:rsidRDefault="00B37EC9" w:rsidP="00B37EC9">
      <w:pPr>
        <w:keepNext/>
        <w:rPr>
          <w:rFonts w:asciiTheme="minorHAnsi" w:hAnsiTheme="minorHAnsi" w:cstheme="minorHAnsi"/>
          <w:b/>
          <w:bCs/>
        </w:rPr>
      </w:pPr>
      <w:r w:rsidRPr="00B37EC9">
        <w:rPr>
          <w:rFonts w:asciiTheme="minorHAnsi" w:hAnsiTheme="minorHAnsi" w:cstheme="minorHAnsi"/>
          <w:b/>
          <w:bCs/>
        </w:rPr>
        <w:t>2011 Competitiveness Report</w:t>
      </w:r>
      <w:r w:rsidRPr="00B37EC9">
        <w:rPr>
          <w:rFonts w:asciiTheme="minorHAnsi" w:hAnsiTheme="minorHAnsi" w:cstheme="minorHAnsi"/>
          <w:b/>
        </w:rPr>
        <w:t xml:space="preserve"> Survey</w:t>
      </w:r>
    </w:p>
    <w:tbl>
      <w:tblPr>
        <w:tblW w:w="82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72"/>
        <w:gridCol w:w="1758"/>
        <w:gridCol w:w="1890"/>
        <w:gridCol w:w="2160"/>
      </w:tblGrid>
      <w:tr w:rsidR="00B37EC9" w:rsidRPr="00B37EC9" w14:paraId="45BAFFA9" w14:textId="77777777" w:rsidTr="00543DF4">
        <w:trPr>
          <w:cantSplit/>
        </w:trPr>
        <w:tc>
          <w:tcPr>
            <w:tcW w:w="2472" w:type="dxa"/>
            <w:tcBorders>
              <w:top w:val="single" w:sz="6" w:space="0" w:color="auto"/>
              <w:left w:val="single" w:sz="6" w:space="0" w:color="auto"/>
              <w:bottom w:val="single" w:sz="6" w:space="0" w:color="auto"/>
              <w:right w:val="single" w:sz="4" w:space="0" w:color="auto"/>
            </w:tcBorders>
            <w:shd w:val="clear" w:color="auto" w:fill="C0C0C0"/>
          </w:tcPr>
          <w:p w14:paraId="03DB69DA" w14:textId="77777777" w:rsidR="00B37EC9" w:rsidRPr="00B37EC9" w:rsidRDefault="00B37EC9" w:rsidP="00543DF4">
            <w:pPr>
              <w:keepNext/>
              <w:rPr>
                <w:rFonts w:asciiTheme="minorHAnsi" w:hAnsiTheme="minorHAnsi" w:cstheme="minorHAnsi"/>
                <w:b/>
                <w:bCs/>
              </w:rPr>
            </w:pPr>
          </w:p>
        </w:tc>
        <w:tc>
          <w:tcPr>
            <w:tcW w:w="1758" w:type="dxa"/>
            <w:tcBorders>
              <w:top w:val="single" w:sz="4" w:space="0" w:color="auto"/>
              <w:left w:val="single" w:sz="4" w:space="0" w:color="auto"/>
              <w:bottom w:val="single" w:sz="4" w:space="0" w:color="auto"/>
              <w:right w:val="single" w:sz="6" w:space="0" w:color="auto"/>
            </w:tcBorders>
            <w:shd w:val="clear" w:color="auto" w:fill="C0C0C0"/>
            <w:vAlign w:val="bottom"/>
            <w:hideMark/>
          </w:tcPr>
          <w:p w14:paraId="1378766A" w14:textId="77777777" w:rsidR="00B37EC9" w:rsidRPr="00B37EC9" w:rsidRDefault="00B37EC9" w:rsidP="00543DF4">
            <w:pPr>
              <w:keepNext/>
              <w:jc w:val="right"/>
              <w:rPr>
                <w:rFonts w:asciiTheme="minorHAnsi" w:hAnsiTheme="minorHAnsi" w:cstheme="minorHAnsi"/>
                <w:b/>
                <w:bCs/>
              </w:rPr>
            </w:pPr>
            <w:r w:rsidRPr="00B37EC9">
              <w:rPr>
                <w:rFonts w:asciiTheme="minorHAnsi" w:hAnsiTheme="minorHAnsi" w:cstheme="minorHAnsi"/>
                <w:b/>
                <w:bCs/>
              </w:rPr>
              <w:t>Lenders</w:t>
            </w:r>
          </w:p>
        </w:tc>
        <w:tc>
          <w:tcPr>
            <w:tcW w:w="1890" w:type="dxa"/>
            <w:tcBorders>
              <w:top w:val="single" w:sz="4" w:space="0" w:color="auto"/>
              <w:left w:val="nil"/>
              <w:bottom w:val="single" w:sz="4" w:space="0" w:color="auto"/>
              <w:right w:val="single" w:sz="4" w:space="0" w:color="auto"/>
            </w:tcBorders>
            <w:shd w:val="clear" w:color="auto" w:fill="C0C0C0"/>
            <w:vAlign w:val="bottom"/>
            <w:hideMark/>
          </w:tcPr>
          <w:p w14:paraId="0F63718C" w14:textId="77777777" w:rsidR="00B37EC9" w:rsidRPr="00B37EC9" w:rsidRDefault="00B37EC9" w:rsidP="00543DF4">
            <w:pPr>
              <w:keepNext/>
              <w:jc w:val="right"/>
              <w:rPr>
                <w:rFonts w:asciiTheme="minorHAnsi" w:hAnsiTheme="minorHAnsi" w:cstheme="minorHAnsi"/>
                <w:b/>
                <w:bCs/>
              </w:rPr>
            </w:pPr>
            <w:r w:rsidRPr="00B37EC9">
              <w:rPr>
                <w:rFonts w:asciiTheme="minorHAnsi" w:hAnsiTheme="minorHAnsi" w:cstheme="minorHAnsi"/>
                <w:b/>
                <w:bCs/>
              </w:rPr>
              <w:t>Exporters</w:t>
            </w:r>
          </w:p>
        </w:tc>
        <w:tc>
          <w:tcPr>
            <w:tcW w:w="2160" w:type="dxa"/>
            <w:tcBorders>
              <w:top w:val="single" w:sz="4" w:space="0" w:color="auto"/>
              <w:left w:val="nil"/>
              <w:bottom w:val="single" w:sz="4" w:space="0" w:color="auto"/>
              <w:right w:val="single" w:sz="4" w:space="0" w:color="auto"/>
            </w:tcBorders>
            <w:shd w:val="clear" w:color="auto" w:fill="C0C0C0"/>
            <w:vAlign w:val="center"/>
            <w:hideMark/>
          </w:tcPr>
          <w:p w14:paraId="7507C26F" w14:textId="77777777" w:rsidR="00B37EC9" w:rsidRPr="00B37EC9" w:rsidRDefault="00B37EC9" w:rsidP="00543DF4">
            <w:pPr>
              <w:keepNext/>
              <w:jc w:val="right"/>
              <w:rPr>
                <w:rFonts w:asciiTheme="minorHAnsi" w:hAnsiTheme="minorHAnsi" w:cstheme="minorHAnsi"/>
                <w:b/>
                <w:bCs/>
              </w:rPr>
            </w:pPr>
            <w:r w:rsidRPr="00B37EC9">
              <w:rPr>
                <w:rFonts w:asciiTheme="minorHAnsi" w:hAnsiTheme="minorHAnsi" w:cstheme="minorHAnsi"/>
                <w:b/>
                <w:bCs/>
              </w:rPr>
              <w:t>Total</w:t>
            </w:r>
          </w:p>
        </w:tc>
      </w:tr>
      <w:tr w:rsidR="00B37EC9" w:rsidRPr="00B37EC9" w14:paraId="13AF5F7E" w14:textId="77777777" w:rsidTr="00543DF4">
        <w:tc>
          <w:tcPr>
            <w:tcW w:w="2472" w:type="dxa"/>
            <w:tcBorders>
              <w:top w:val="single" w:sz="6" w:space="0" w:color="auto"/>
              <w:left w:val="single" w:sz="6" w:space="0" w:color="auto"/>
              <w:bottom w:val="single" w:sz="6" w:space="0" w:color="auto"/>
              <w:right w:val="single" w:sz="6" w:space="0" w:color="auto"/>
            </w:tcBorders>
            <w:shd w:val="clear" w:color="auto" w:fill="C0C0C0"/>
            <w:hideMark/>
          </w:tcPr>
          <w:p w14:paraId="31EED2A2" w14:textId="77777777" w:rsidR="00B37EC9" w:rsidRPr="00B37EC9" w:rsidRDefault="00B37EC9" w:rsidP="00543DF4">
            <w:pPr>
              <w:keepNext/>
              <w:rPr>
                <w:rFonts w:asciiTheme="minorHAnsi" w:hAnsiTheme="minorHAnsi" w:cstheme="minorHAnsi"/>
                <w:b/>
                <w:bCs/>
              </w:rPr>
            </w:pPr>
            <w:r w:rsidRPr="00B37EC9">
              <w:rPr>
                <w:rFonts w:asciiTheme="minorHAnsi" w:hAnsiTheme="minorHAnsi" w:cstheme="minorHAnsi"/>
                <w:b/>
                <w:bCs/>
              </w:rPr>
              <w:t>Surveyed</w:t>
            </w:r>
          </w:p>
        </w:tc>
        <w:tc>
          <w:tcPr>
            <w:tcW w:w="1758" w:type="dxa"/>
            <w:tcBorders>
              <w:top w:val="single" w:sz="4" w:space="0" w:color="auto"/>
              <w:left w:val="single" w:sz="6" w:space="0" w:color="auto"/>
              <w:bottom w:val="single" w:sz="6" w:space="0" w:color="auto"/>
              <w:right w:val="single" w:sz="6" w:space="0" w:color="auto"/>
            </w:tcBorders>
            <w:vAlign w:val="bottom"/>
            <w:hideMark/>
          </w:tcPr>
          <w:p w14:paraId="32135B55" w14:textId="77777777" w:rsidR="00B37EC9" w:rsidRPr="00B37EC9" w:rsidRDefault="00B37EC9" w:rsidP="00543DF4">
            <w:pPr>
              <w:keepNext/>
              <w:jc w:val="right"/>
              <w:rPr>
                <w:rFonts w:asciiTheme="minorHAnsi" w:hAnsiTheme="minorHAnsi" w:cstheme="minorHAnsi"/>
              </w:rPr>
            </w:pPr>
            <w:r w:rsidRPr="00B37EC9">
              <w:rPr>
                <w:rFonts w:asciiTheme="minorHAnsi" w:hAnsiTheme="minorHAnsi" w:cstheme="minorHAnsi"/>
              </w:rPr>
              <w:t>38</w:t>
            </w:r>
          </w:p>
        </w:tc>
        <w:tc>
          <w:tcPr>
            <w:tcW w:w="1890" w:type="dxa"/>
            <w:tcBorders>
              <w:top w:val="single" w:sz="4" w:space="0" w:color="auto"/>
              <w:left w:val="single" w:sz="6" w:space="0" w:color="auto"/>
              <w:bottom w:val="single" w:sz="6" w:space="0" w:color="auto"/>
              <w:right w:val="single" w:sz="6" w:space="0" w:color="auto"/>
            </w:tcBorders>
            <w:vAlign w:val="bottom"/>
            <w:hideMark/>
          </w:tcPr>
          <w:p w14:paraId="2BA3947C" w14:textId="77777777" w:rsidR="00B37EC9" w:rsidRPr="00B37EC9" w:rsidRDefault="00B37EC9" w:rsidP="00543DF4">
            <w:pPr>
              <w:keepNext/>
              <w:jc w:val="right"/>
              <w:rPr>
                <w:rFonts w:asciiTheme="minorHAnsi" w:hAnsiTheme="minorHAnsi" w:cstheme="minorHAnsi"/>
              </w:rPr>
            </w:pPr>
            <w:r w:rsidRPr="00B37EC9">
              <w:rPr>
                <w:rFonts w:asciiTheme="minorHAnsi" w:hAnsiTheme="minorHAnsi" w:cstheme="minorHAnsi"/>
              </w:rPr>
              <w:t>58</w:t>
            </w:r>
          </w:p>
        </w:tc>
        <w:tc>
          <w:tcPr>
            <w:tcW w:w="2160" w:type="dxa"/>
            <w:tcBorders>
              <w:top w:val="single" w:sz="4" w:space="0" w:color="auto"/>
              <w:left w:val="single" w:sz="6" w:space="0" w:color="auto"/>
              <w:bottom w:val="single" w:sz="6" w:space="0" w:color="auto"/>
              <w:right w:val="single" w:sz="6" w:space="0" w:color="auto"/>
            </w:tcBorders>
            <w:hideMark/>
          </w:tcPr>
          <w:p w14:paraId="3D843343" w14:textId="77777777" w:rsidR="00B37EC9" w:rsidRPr="00B37EC9" w:rsidRDefault="00B37EC9" w:rsidP="00543DF4">
            <w:pPr>
              <w:keepNext/>
              <w:jc w:val="right"/>
              <w:rPr>
                <w:rFonts w:asciiTheme="minorHAnsi" w:hAnsiTheme="minorHAnsi" w:cstheme="minorHAnsi"/>
              </w:rPr>
            </w:pPr>
            <w:r w:rsidRPr="00B37EC9">
              <w:rPr>
                <w:rFonts w:asciiTheme="minorHAnsi" w:hAnsiTheme="minorHAnsi" w:cstheme="minorHAnsi"/>
              </w:rPr>
              <w:t>96</w:t>
            </w:r>
          </w:p>
        </w:tc>
      </w:tr>
      <w:tr w:rsidR="00B37EC9" w:rsidRPr="00B37EC9" w14:paraId="526B312F" w14:textId="77777777" w:rsidTr="00543DF4">
        <w:tc>
          <w:tcPr>
            <w:tcW w:w="2472" w:type="dxa"/>
            <w:tcBorders>
              <w:top w:val="single" w:sz="6" w:space="0" w:color="auto"/>
              <w:left w:val="single" w:sz="6" w:space="0" w:color="auto"/>
              <w:bottom w:val="single" w:sz="6" w:space="0" w:color="auto"/>
              <w:right w:val="single" w:sz="6" w:space="0" w:color="auto"/>
            </w:tcBorders>
            <w:shd w:val="clear" w:color="auto" w:fill="C0C0C0"/>
            <w:hideMark/>
          </w:tcPr>
          <w:p w14:paraId="49EF298F" w14:textId="77777777" w:rsidR="00B37EC9" w:rsidRPr="00B37EC9" w:rsidRDefault="00B37EC9" w:rsidP="00543DF4">
            <w:pPr>
              <w:keepNext/>
              <w:rPr>
                <w:rFonts w:asciiTheme="minorHAnsi" w:hAnsiTheme="minorHAnsi" w:cstheme="minorHAnsi"/>
                <w:b/>
                <w:bCs/>
              </w:rPr>
            </w:pPr>
            <w:r w:rsidRPr="00B37EC9">
              <w:rPr>
                <w:rFonts w:asciiTheme="minorHAnsi" w:hAnsiTheme="minorHAnsi" w:cstheme="minorHAnsi"/>
                <w:b/>
                <w:bCs/>
              </w:rPr>
              <w:t>Responded</w:t>
            </w:r>
          </w:p>
        </w:tc>
        <w:tc>
          <w:tcPr>
            <w:tcW w:w="1758" w:type="dxa"/>
            <w:tcBorders>
              <w:top w:val="single" w:sz="6" w:space="0" w:color="auto"/>
              <w:left w:val="single" w:sz="6" w:space="0" w:color="auto"/>
              <w:bottom w:val="single" w:sz="6" w:space="0" w:color="auto"/>
              <w:right w:val="single" w:sz="6" w:space="0" w:color="auto"/>
            </w:tcBorders>
            <w:vAlign w:val="bottom"/>
            <w:hideMark/>
          </w:tcPr>
          <w:p w14:paraId="771A230B" w14:textId="77777777" w:rsidR="00B37EC9" w:rsidRPr="00B37EC9" w:rsidRDefault="00B37EC9" w:rsidP="00543DF4">
            <w:pPr>
              <w:keepNext/>
              <w:jc w:val="right"/>
              <w:rPr>
                <w:rFonts w:asciiTheme="minorHAnsi" w:hAnsiTheme="minorHAnsi" w:cstheme="minorHAnsi"/>
              </w:rPr>
            </w:pPr>
            <w:r w:rsidRPr="00B37EC9">
              <w:rPr>
                <w:rFonts w:asciiTheme="minorHAnsi" w:hAnsiTheme="minorHAnsi" w:cstheme="minorHAnsi"/>
              </w:rPr>
              <w:t>24</w:t>
            </w:r>
          </w:p>
        </w:tc>
        <w:tc>
          <w:tcPr>
            <w:tcW w:w="1890" w:type="dxa"/>
            <w:tcBorders>
              <w:top w:val="single" w:sz="6" w:space="0" w:color="auto"/>
              <w:left w:val="single" w:sz="6" w:space="0" w:color="auto"/>
              <w:bottom w:val="single" w:sz="6" w:space="0" w:color="auto"/>
              <w:right w:val="single" w:sz="6" w:space="0" w:color="auto"/>
            </w:tcBorders>
            <w:vAlign w:val="bottom"/>
            <w:hideMark/>
          </w:tcPr>
          <w:p w14:paraId="40BF63DE" w14:textId="77777777" w:rsidR="00B37EC9" w:rsidRPr="00B37EC9" w:rsidRDefault="00B37EC9" w:rsidP="00543DF4">
            <w:pPr>
              <w:keepNext/>
              <w:jc w:val="right"/>
              <w:rPr>
                <w:rFonts w:asciiTheme="minorHAnsi" w:hAnsiTheme="minorHAnsi" w:cstheme="minorHAnsi"/>
              </w:rPr>
            </w:pPr>
            <w:r w:rsidRPr="00B37EC9">
              <w:rPr>
                <w:rFonts w:asciiTheme="minorHAnsi" w:hAnsiTheme="minorHAnsi" w:cstheme="minorHAnsi"/>
              </w:rPr>
              <w:t>24</w:t>
            </w:r>
          </w:p>
        </w:tc>
        <w:tc>
          <w:tcPr>
            <w:tcW w:w="2160" w:type="dxa"/>
            <w:tcBorders>
              <w:top w:val="single" w:sz="6" w:space="0" w:color="auto"/>
              <w:left w:val="single" w:sz="6" w:space="0" w:color="auto"/>
              <w:bottom w:val="single" w:sz="6" w:space="0" w:color="auto"/>
              <w:right w:val="single" w:sz="6" w:space="0" w:color="auto"/>
            </w:tcBorders>
            <w:hideMark/>
          </w:tcPr>
          <w:p w14:paraId="096713B1" w14:textId="77777777" w:rsidR="00B37EC9" w:rsidRPr="00B37EC9" w:rsidRDefault="00B37EC9" w:rsidP="00543DF4">
            <w:pPr>
              <w:keepNext/>
              <w:jc w:val="right"/>
              <w:rPr>
                <w:rFonts w:asciiTheme="minorHAnsi" w:hAnsiTheme="minorHAnsi" w:cstheme="minorHAnsi"/>
              </w:rPr>
            </w:pPr>
            <w:r w:rsidRPr="00B37EC9">
              <w:rPr>
                <w:rFonts w:asciiTheme="minorHAnsi" w:hAnsiTheme="minorHAnsi" w:cstheme="minorHAnsi"/>
              </w:rPr>
              <w:t>48</w:t>
            </w:r>
          </w:p>
        </w:tc>
      </w:tr>
      <w:tr w:rsidR="00B37EC9" w:rsidRPr="00B37EC9" w14:paraId="1458ADC0" w14:textId="77777777" w:rsidTr="00543DF4">
        <w:tc>
          <w:tcPr>
            <w:tcW w:w="2472" w:type="dxa"/>
            <w:tcBorders>
              <w:top w:val="single" w:sz="6" w:space="0" w:color="auto"/>
              <w:left w:val="single" w:sz="6" w:space="0" w:color="auto"/>
              <w:bottom w:val="single" w:sz="6" w:space="0" w:color="auto"/>
              <w:right w:val="single" w:sz="6" w:space="0" w:color="auto"/>
            </w:tcBorders>
            <w:shd w:val="clear" w:color="auto" w:fill="C0C0C0"/>
            <w:hideMark/>
          </w:tcPr>
          <w:p w14:paraId="754AC7A4" w14:textId="77777777" w:rsidR="00B37EC9" w:rsidRPr="00B37EC9" w:rsidRDefault="00B37EC9" w:rsidP="00543DF4">
            <w:pPr>
              <w:keepNext/>
              <w:rPr>
                <w:rFonts w:asciiTheme="minorHAnsi" w:hAnsiTheme="minorHAnsi" w:cstheme="minorHAnsi"/>
                <w:b/>
                <w:bCs/>
              </w:rPr>
            </w:pPr>
            <w:r w:rsidRPr="00B37EC9">
              <w:rPr>
                <w:rFonts w:asciiTheme="minorHAnsi" w:hAnsiTheme="minorHAnsi" w:cstheme="minorHAnsi"/>
                <w:b/>
                <w:bCs/>
              </w:rPr>
              <w:t>Response rate</w:t>
            </w:r>
          </w:p>
        </w:tc>
        <w:tc>
          <w:tcPr>
            <w:tcW w:w="1758" w:type="dxa"/>
            <w:tcBorders>
              <w:top w:val="single" w:sz="6" w:space="0" w:color="auto"/>
              <w:left w:val="single" w:sz="6" w:space="0" w:color="auto"/>
              <w:bottom w:val="single" w:sz="6" w:space="0" w:color="auto"/>
              <w:right w:val="single" w:sz="6" w:space="0" w:color="auto"/>
            </w:tcBorders>
            <w:vAlign w:val="bottom"/>
            <w:hideMark/>
          </w:tcPr>
          <w:p w14:paraId="50D9CA2D" w14:textId="77777777" w:rsidR="00B37EC9" w:rsidRPr="00B37EC9" w:rsidRDefault="00B37EC9" w:rsidP="00543DF4">
            <w:pPr>
              <w:keepNext/>
              <w:jc w:val="right"/>
              <w:rPr>
                <w:rFonts w:asciiTheme="minorHAnsi" w:hAnsiTheme="minorHAnsi" w:cstheme="minorHAnsi"/>
              </w:rPr>
            </w:pPr>
            <w:r w:rsidRPr="00B37EC9">
              <w:rPr>
                <w:rFonts w:asciiTheme="minorHAnsi" w:hAnsiTheme="minorHAnsi" w:cstheme="minorHAnsi"/>
              </w:rPr>
              <w:t>63%</w:t>
            </w:r>
          </w:p>
        </w:tc>
        <w:tc>
          <w:tcPr>
            <w:tcW w:w="1890" w:type="dxa"/>
            <w:tcBorders>
              <w:top w:val="single" w:sz="6" w:space="0" w:color="auto"/>
              <w:left w:val="single" w:sz="6" w:space="0" w:color="auto"/>
              <w:bottom w:val="single" w:sz="6" w:space="0" w:color="auto"/>
              <w:right w:val="single" w:sz="6" w:space="0" w:color="auto"/>
            </w:tcBorders>
            <w:vAlign w:val="bottom"/>
            <w:hideMark/>
          </w:tcPr>
          <w:p w14:paraId="4E2DF3E4" w14:textId="77777777" w:rsidR="00B37EC9" w:rsidRPr="00B37EC9" w:rsidRDefault="00B37EC9" w:rsidP="00543DF4">
            <w:pPr>
              <w:keepNext/>
              <w:jc w:val="right"/>
              <w:rPr>
                <w:rFonts w:asciiTheme="minorHAnsi" w:hAnsiTheme="minorHAnsi" w:cstheme="minorHAnsi"/>
              </w:rPr>
            </w:pPr>
            <w:r w:rsidRPr="00B37EC9">
              <w:rPr>
                <w:rFonts w:asciiTheme="minorHAnsi" w:hAnsiTheme="minorHAnsi" w:cstheme="minorHAnsi"/>
              </w:rPr>
              <w:t>41%</w:t>
            </w:r>
          </w:p>
        </w:tc>
        <w:tc>
          <w:tcPr>
            <w:tcW w:w="2160" w:type="dxa"/>
            <w:tcBorders>
              <w:top w:val="single" w:sz="6" w:space="0" w:color="auto"/>
              <w:left w:val="single" w:sz="6" w:space="0" w:color="auto"/>
              <w:bottom w:val="single" w:sz="6" w:space="0" w:color="auto"/>
              <w:right w:val="single" w:sz="6" w:space="0" w:color="auto"/>
            </w:tcBorders>
            <w:hideMark/>
          </w:tcPr>
          <w:p w14:paraId="53F25FF9" w14:textId="77777777" w:rsidR="00B37EC9" w:rsidRPr="00B37EC9" w:rsidRDefault="00B37EC9" w:rsidP="00543DF4">
            <w:pPr>
              <w:keepNext/>
              <w:jc w:val="right"/>
              <w:rPr>
                <w:rFonts w:asciiTheme="minorHAnsi" w:hAnsiTheme="minorHAnsi" w:cstheme="minorHAnsi"/>
              </w:rPr>
            </w:pPr>
            <w:r w:rsidRPr="00B37EC9">
              <w:rPr>
                <w:rFonts w:asciiTheme="minorHAnsi" w:hAnsiTheme="minorHAnsi" w:cstheme="minorHAnsi"/>
              </w:rPr>
              <w:t>50%</w:t>
            </w:r>
          </w:p>
        </w:tc>
      </w:tr>
    </w:tbl>
    <w:p w14:paraId="290E4D82" w14:textId="77777777" w:rsidR="00B37EC9" w:rsidRPr="00B37EC9" w:rsidRDefault="00B37EC9" w:rsidP="00B37EC9">
      <w:pPr>
        <w:autoSpaceDE w:val="0"/>
        <w:autoSpaceDN w:val="0"/>
        <w:adjustRightInd w:val="0"/>
        <w:rPr>
          <w:rFonts w:asciiTheme="minorHAnsi" w:hAnsiTheme="minorHAnsi" w:cstheme="minorHAnsi"/>
        </w:rPr>
      </w:pPr>
    </w:p>
    <w:p w14:paraId="24C034E4" w14:textId="77777777" w:rsidR="00B37EC9" w:rsidRPr="00B37EC9" w:rsidRDefault="00B37EC9" w:rsidP="00B37EC9">
      <w:pPr>
        <w:keepNext/>
        <w:rPr>
          <w:rFonts w:asciiTheme="minorHAnsi" w:hAnsiTheme="minorHAnsi" w:cstheme="minorHAnsi"/>
        </w:rPr>
      </w:pPr>
      <w:r w:rsidRPr="00B37EC9">
        <w:rPr>
          <w:rFonts w:asciiTheme="minorHAnsi" w:hAnsiTheme="minorHAnsi" w:cstheme="minorHAnsi"/>
          <w:b/>
          <w:bCs/>
        </w:rPr>
        <w:t>2010 Competitiveness Report</w:t>
      </w:r>
      <w:r w:rsidRPr="00B37EC9">
        <w:rPr>
          <w:rFonts w:asciiTheme="minorHAnsi" w:hAnsiTheme="minorHAnsi" w:cstheme="minorHAnsi"/>
          <w:b/>
        </w:rPr>
        <w:t xml:space="preserve"> Survey</w:t>
      </w:r>
    </w:p>
    <w:tbl>
      <w:tblPr>
        <w:tblW w:w="82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72"/>
        <w:gridCol w:w="1758"/>
        <w:gridCol w:w="1890"/>
        <w:gridCol w:w="2160"/>
      </w:tblGrid>
      <w:tr w:rsidR="00B37EC9" w:rsidRPr="00B37EC9" w14:paraId="65556712" w14:textId="77777777" w:rsidTr="00543DF4">
        <w:trPr>
          <w:cantSplit/>
        </w:trPr>
        <w:tc>
          <w:tcPr>
            <w:tcW w:w="2472" w:type="dxa"/>
            <w:tcBorders>
              <w:top w:val="single" w:sz="6" w:space="0" w:color="auto"/>
              <w:left w:val="single" w:sz="6" w:space="0" w:color="auto"/>
              <w:bottom w:val="single" w:sz="6" w:space="0" w:color="auto"/>
              <w:right w:val="single" w:sz="4" w:space="0" w:color="auto"/>
            </w:tcBorders>
            <w:shd w:val="clear" w:color="auto" w:fill="C0C0C0"/>
          </w:tcPr>
          <w:p w14:paraId="7CB9DF4C" w14:textId="77777777" w:rsidR="00B37EC9" w:rsidRPr="00B37EC9" w:rsidRDefault="00B37EC9" w:rsidP="00543DF4">
            <w:pPr>
              <w:keepNext/>
              <w:rPr>
                <w:rFonts w:asciiTheme="minorHAnsi" w:hAnsiTheme="minorHAnsi" w:cstheme="minorHAnsi"/>
                <w:b/>
                <w:bCs/>
              </w:rPr>
            </w:pPr>
          </w:p>
        </w:tc>
        <w:tc>
          <w:tcPr>
            <w:tcW w:w="1758" w:type="dxa"/>
            <w:tcBorders>
              <w:top w:val="single" w:sz="4" w:space="0" w:color="auto"/>
              <w:left w:val="single" w:sz="4" w:space="0" w:color="auto"/>
              <w:bottom w:val="single" w:sz="4" w:space="0" w:color="auto"/>
              <w:right w:val="single" w:sz="6" w:space="0" w:color="auto"/>
            </w:tcBorders>
            <w:shd w:val="clear" w:color="auto" w:fill="C0C0C0"/>
            <w:vAlign w:val="bottom"/>
            <w:hideMark/>
          </w:tcPr>
          <w:p w14:paraId="01B869F6" w14:textId="77777777" w:rsidR="00B37EC9" w:rsidRPr="00B37EC9" w:rsidRDefault="00B37EC9" w:rsidP="00543DF4">
            <w:pPr>
              <w:keepNext/>
              <w:jc w:val="right"/>
              <w:rPr>
                <w:rFonts w:asciiTheme="minorHAnsi" w:hAnsiTheme="minorHAnsi" w:cstheme="minorHAnsi"/>
                <w:b/>
                <w:bCs/>
              </w:rPr>
            </w:pPr>
            <w:r w:rsidRPr="00B37EC9">
              <w:rPr>
                <w:rFonts w:asciiTheme="minorHAnsi" w:hAnsiTheme="minorHAnsi" w:cstheme="minorHAnsi"/>
                <w:b/>
                <w:bCs/>
              </w:rPr>
              <w:t>Lenders</w:t>
            </w:r>
          </w:p>
        </w:tc>
        <w:tc>
          <w:tcPr>
            <w:tcW w:w="1890" w:type="dxa"/>
            <w:tcBorders>
              <w:top w:val="single" w:sz="4" w:space="0" w:color="auto"/>
              <w:left w:val="nil"/>
              <w:bottom w:val="single" w:sz="4" w:space="0" w:color="auto"/>
              <w:right w:val="single" w:sz="4" w:space="0" w:color="auto"/>
            </w:tcBorders>
            <w:shd w:val="clear" w:color="auto" w:fill="C0C0C0"/>
            <w:vAlign w:val="bottom"/>
            <w:hideMark/>
          </w:tcPr>
          <w:p w14:paraId="1AC5C5E1" w14:textId="77777777" w:rsidR="00B37EC9" w:rsidRPr="00B37EC9" w:rsidRDefault="00B37EC9" w:rsidP="00543DF4">
            <w:pPr>
              <w:keepNext/>
              <w:jc w:val="right"/>
              <w:rPr>
                <w:rFonts w:asciiTheme="minorHAnsi" w:hAnsiTheme="minorHAnsi" w:cstheme="minorHAnsi"/>
                <w:b/>
                <w:bCs/>
              </w:rPr>
            </w:pPr>
            <w:r w:rsidRPr="00B37EC9">
              <w:rPr>
                <w:rFonts w:asciiTheme="minorHAnsi" w:hAnsiTheme="minorHAnsi" w:cstheme="minorHAnsi"/>
                <w:b/>
                <w:bCs/>
              </w:rPr>
              <w:t>Exporters</w:t>
            </w:r>
          </w:p>
        </w:tc>
        <w:tc>
          <w:tcPr>
            <w:tcW w:w="2160" w:type="dxa"/>
            <w:tcBorders>
              <w:top w:val="single" w:sz="4" w:space="0" w:color="auto"/>
              <w:left w:val="nil"/>
              <w:bottom w:val="single" w:sz="4" w:space="0" w:color="auto"/>
              <w:right w:val="single" w:sz="4" w:space="0" w:color="auto"/>
            </w:tcBorders>
            <w:shd w:val="clear" w:color="auto" w:fill="C0C0C0"/>
            <w:hideMark/>
          </w:tcPr>
          <w:p w14:paraId="30451578" w14:textId="77777777" w:rsidR="00B37EC9" w:rsidRPr="00B37EC9" w:rsidRDefault="00B37EC9" w:rsidP="00543DF4">
            <w:pPr>
              <w:keepNext/>
              <w:jc w:val="right"/>
              <w:rPr>
                <w:rFonts w:asciiTheme="minorHAnsi" w:hAnsiTheme="minorHAnsi" w:cstheme="minorHAnsi"/>
                <w:b/>
                <w:bCs/>
              </w:rPr>
            </w:pPr>
            <w:r w:rsidRPr="00B37EC9">
              <w:rPr>
                <w:rFonts w:asciiTheme="minorHAnsi" w:hAnsiTheme="minorHAnsi" w:cstheme="minorHAnsi"/>
                <w:b/>
                <w:bCs/>
              </w:rPr>
              <w:t>Total</w:t>
            </w:r>
          </w:p>
        </w:tc>
      </w:tr>
      <w:tr w:rsidR="00B37EC9" w:rsidRPr="00B37EC9" w14:paraId="250289F3" w14:textId="77777777" w:rsidTr="00543DF4">
        <w:tc>
          <w:tcPr>
            <w:tcW w:w="2472" w:type="dxa"/>
            <w:tcBorders>
              <w:top w:val="single" w:sz="6" w:space="0" w:color="auto"/>
              <w:left w:val="single" w:sz="6" w:space="0" w:color="auto"/>
              <w:bottom w:val="single" w:sz="6" w:space="0" w:color="auto"/>
              <w:right w:val="single" w:sz="6" w:space="0" w:color="auto"/>
            </w:tcBorders>
            <w:shd w:val="clear" w:color="auto" w:fill="C0C0C0"/>
            <w:hideMark/>
          </w:tcPr>
          <w:p w14:paraId="18600C83" w14:textId="77777777" w:rsidR="00B37EC9" w:rsidRPr="00B37EC9" w:rsidRDefault="00B37EC9" w:rsidP="00543DF4">
            <w:pPr>
              <w:keepNext/>
              <w:rPr>
                <w:rFonts w:asciiTheme="minorHAnsi" w:hAnsiTheme="minorHAnsi" w:cstheme="minorHAnsi"/>
                <w:b/>
                <w:bCs/>
              </w:rPr>
            </w:pPr>
            <w:r w:rsidRPr="00B37EC9">
              <w:rPr>
                <w:rFonts w:asciiTheme="minorHAnsi" w:hAnsiTheme="minorHAnsi" w:cstheme="minorHAnsi"/>
                <w:b/>
                <w:bCs/>
              </w:rPr>
              <w:t>Surveyed</w:t>
            </w:r>
          </w:p>
        </w:tc>
        <w:tc>
          <w:tcPr>
            <w:tcW w:w="1758" w:type="dxa"/>
            <w:tcBorders>
              <w:top w:val="single" w:sz="4" w:space="0" w:color="auto"/>
              <w:left w:val="single" w:sz="6" w:space="0" w:color="auto"/>
              <w:bottom w:val="single" w:sz="6" w:space="0" w:color="auto"/>
              <w:right w:val="single" w:sz="6" w:space="0" w:color="auto"/>
            </w:tcBorders>
            <w:vAlign w:val="bottom"/>
            <w:hideMark/>
          </w:tcPr>
          <w:p w14:paraId="37CCB171" w14:textId="77777777" w:rsidR="00B37EC9" w:rsidRPr="00B37EC9" w:rsidRDefault="00B37EC9" w:rsidP="00543DF4">
            <w:pPr>
              <w:keepNext/>
              <w:jc w:val="right"/>
              <w:rPr>
                <w:rFonts w:asciiTheme="minorHAnsi" w:hAnsiTheme="minorHAnsi" w:cstheme="minorHAnsi"/>
              </w:rPr>
            </w:pPr>
            <w:r w:rsidRPr="00B37EC9">
              <w:rPr>
                <w:rFonts w:asciiTheme="minorHAnsi" w:hAnsiTheme="minorHAnsi" w:cstheme="minorHAnsi"/>
              </w:rPr>
              <w:t>39</w:t>
            </w:r>
          </w:p>
        </w:tc>
        <w:tc>
          <w:tcPr>
            <w:tcW w:w="1890" w:type="dxa"/>
            <w:tcBorders>
              <w:top w:val="single" w:sz="4" w:space="0" w:color="auto"/>
              <w:left w:val="single" w:sz="6" w:space="0" w:color="auto"/>
              <w:bottom w:val="single" w:sz="6" w:space="0" w:color="auto"/>
              <w:right w:val="single" w:sz="6" w:space="0" w:color="auto"/>
            </w:tcBorders>
            <w:vAlign w:val="bottom"/>
            <w:hideMark/>
          </w:tcPr>
          <w:p w14:paraId="42C00A33" w14:textId="77777777" w:rsidR="00B37EC9" w:rsidRPr="00B37EC9" w:rsidRDefault="00B37EC9" w:rsidP="00543DF4">
            <w:pPr>
              <w:keepNext/>
              <w:jc w:val="right"/>
              <w:rPr>
                <w:rFonts w:asciiTheme="minorHAnsi" w:hAnsiTheme="minorHAnsi" w:cstheme="minorHAnsi"/>
              </w:rPr>
            </w:pPr>
            <w:r w:rsidRPr="00B37EC9">
              <w:rPr>
                <w:rFonts w:asciiTheme="minorHAnsi" w:hAnsiTheme="minorHAnsi" w:cstheme="minorHAnsi"/>
              </w:rPr>
              <w:t>49</w:t>
            </w:r>
          </w:p>
        </w:tc>
        <w:tc>
          <w:tcPr>
            <w:tcW w:w="2160" w:type="dxa"/>
            <w:tcBorders>
              <w:top w:val="single" w:sz="4" w:space="0" w:color="auto"/>
              <w:left w:val="single" w:sz="6" w:space="0" w:color="auto"/>
              <w:bottom w:val="single" w:sz="6" w:space="0" w:color="auto"/>
              <w:right w:val="single" w:sz="6" w:space="0" w:color="auto"/>
            </w:tcBorders>
            <w:hideMark/>
          </w:tcPr>
          <w:p w14:paraId="5C5431AC" w14:textId="77777777" w:rsidR="00B37EC9" w:rsidRPr="00B37EC9" w:rsidRDefault="00B37EC9" w:rsidP="00543DF4">
            <w:pPr>
              <w:keepNext/>
              <w:jc w:val="right"/>
              <w:rPr>
                <w:rFonts w:asciiTheme="minorHAnsi" w:hAnsiTheme="minorHAnsi" w:cstheme="minorHAnsi"/>
              </w:rPr>
            </w:pPr>
            <w:r w:rsidRPr="00B37EC9">
              <w:rPr>
                <w:rFonts w:asciiTheme="minorHAnsi" w:hAnsiTheme="minorHAnsi" w:cstheme="minorHAnsi"/>
              </w:rPr>
              <w:t>88</w:t>
            </w:r>
          </w:p>
        </w:tc>
      </w:tr>
      <w:tr w:rsidR="00B37EC9" w:rsidRPr="00B37EC9" w14:paraId="412F3EDE" w14:textId="77777777" w:rsidTr="00543DF4">
        <w:tc>
          <w:tcPr>
            <w:tcW w:w="2472" w:type="dxa"/>
            <w:tcBorders>
              <w:top w:val="single" w:sz="6" w:space="0" w:color="auto"/>
              <w:left w:val="single" w:sz="6" w:space="0" w:color="auto"/>
              <w:bottom w:val="single" w:sz="6" w:space="0" w:color="auto"/>
              <w:right w:val="single" w:sz="6" w:space="0" w:color="auto"/>
            </w:tcBorders>
            <w:shd w:val="clear" w:color="auto" w:fill="C0C0C0"/>
            <w:hideMark/>
          </w:tcPr>
          <w:p w14:paraId="6D72E96B" w14:textId="77777777" w:rsidR="00B37EC9" w:rsidRPr="00B37EC9" w:rsidRDefault="00B37EC9" w:rsidP="00543DF4">
            <w:pPr>
              <w:keepNext/>
              <w:rPr>
                <w:rFonts w:asciiTheme="minorHAnsi" w:hAnsiTheme="minorHAnsi" w:cstheme="minorHAnsi"/>
                <w:b/>
                <w:bCs/>
              </w:rPr>
            </w:pPr>
            <w:r w:rsidRPr="00B37EC9">
              <w:rPr>
                <w:rFonts w:asciiTheme="minorHAnsi" w:hAnsiTheme="minorHAnsi" w:cstheme="minorHAnsi"/>
                <w:b/>
                <w:bCs/>
              </w:rPr>
              <w:t>Responded</w:t>
            </w:r>
          </w:p>
        </w:tc>
        <w:tc>
          <w:tcPr>
            <w:tcW w:w="1758" w:type="dxa"/>
            <w:tcBorders>
              <w:top w:val="single" w:sz="6" w:space="0" w:color="auto"/>
              <w:left w:val="single" w:sz="6" w:space="0" w:color="auto"/>
              <w:bottom w:val="single" w:sz="6" w:space="0" w:color="auto"/>
              <w:right w:val="single" w:sz="6" w:space="0" w:color="auto"/>
            </w:tcBorders>
            <w:vAlign w:val="bottom"/>
            <w:hideMark/>
          </w:tcPr>
          <w:p w14:paraId="6C71AC46" w14:textId="77777777" w:rsidR="00B37EC9" w:rsidRPr="00B37EC9" w:rsidRDefault="00B37EC9" w:rsidP="00543DF4">
            <w:pPr>
              <w:keepNext/>
              <w:jc w:val="right"/>
              <w:rPr>
                <w:rFonts w:asciiTheme="minorHAnsi" w:hAnsiTheme="minorHAnsi" w:cstheme="minorHAnsi"/>
              </w:rPr>
            </w:pPr>
            <w:r w:rsidRPr="00B37EC9">
              <w:rPr>
                <w:rFonts w:asciiTheme="minorHAnsi" w:hAnsiTheme="minorHAnsi" w:cstheme="minorHAnsi"/>
              </w:rPr>
              <w:t>26</w:t>
            </w:r>
          </w:p>
        </w:tc>
        <w:tc>
          <w:tcPr>
            <w:tcW w:w="1890" w:type="dxa"/>
            <w:tcBorders>
              <w:top w:val="single" w:sz="6" w:space="0" w:color="auto"/>
              <w:left w:val="single" w:sz="6" w:space="0" w:color="auto"/>
              <w:bottom w:val="single" w:sz="6" w:space="0" w:color="auto"/>
              <w:right w:val="single" w:sz="6" w:space="0" w:color="auto"/>
            </w:tcBorders>
            <w:vAlign w:val="bottom"/>
            <w:hideMark/>
          </w:tcPr>
          <w:p w14:paraId="5FEAE3C0" w14:textId="77777777" w:rsidR="00B37EC9" w:rsidRPr="00B37EC9" w:rsidRDefault="00B37EC9" w:rsidP="00543DF4">
            <w:pPr>
              <w:keepNext/>
              <w:jc w:val="right"/>
              <w:rPr>
                <w:rFonts w:asciiTheme="minorHAnsi" w:hAnsiTheme="minorHAnsi" w:cstheme="minorHAnsi"/>
              </w:rPr>
            </w:pPr>
            <w:r w:rsidRPr="00B37EC9">
              <w:rPr>
                <w:rFonts w:asciiTheme="minorHAnsi" w:hAnsiTheme="minorHAnsi" w:cstheme="minorHAnsi"/>
              </w:rPr>
              <w:t>20</w:t>
            </w:r>
          </w:p>
        </w:tc>
        <w:tc>
          <w:tcPr>
            <w:tcW w:w="2160" w:type="dxa"/>
            <w:tcBorders>
              <w:top w:val="single" w:sz="6" w:space="0" w:color="auto"/>
              <w:left w:val="single" w:sz="6" w:space="0" w:color="auto"/>
              <w:bottom w:val="single" w:sz="6" w:space="0" w:color="auto"/>
              <w:right w:val="single" w:sz="6" w:space="0" w:color="auto"/>
            </w:tcBorders>
            <w:hideMark/>
          </w:tcPr>
          <w:p w14:paraId="5130335C" w14:textId="77777777" w:rsidR="00B37EC9" w:rsidRPr="00B37EC9" w:rsidRDefault="00B37EC9" w:rsidP="00543DF4">
            <w:pPr>
              <w:keepNext/>
              <w:jc w:val="right"/>
              <w:rPr>
                <w:rFonts w:asciiTheme="minorHAnsi" w:hAnsiTheme="minorHAnsi" w:cstheme="minorHAnsi"/>
              </w:rPr>
            </w:pPr>
            <w:r w:rsidRPr="00B37EC9">
              <w:rPr>
                <w:rFonts w:asciiTheme="minorHAnsi" w:hAnsiTheme="minorHAnsi" w:cstheme="minorHAnsi"/>
              </w:rPr>
              <w:t>46</w:t>
            </w:r>
          </w:p>
        </w:tc>
      </w:tr>
      <w:tr w:rsidR="00B37EC9" w:rsidRPr="00B37EC9" w14:paraId="5B732874" w14:textId="77777777" w:rsidTr="00543DF4">
        <w:tc>
          <w:tcPr>
            <w:tcW w:w="2472" w:type="dxa"/>
            <w:tcBorders>
              <w:top w:val="single" w:sz="6" w:space="0" w:color="auto"/>
              <w:left w:val="single" w:sz="6" w:space="0" w:color="auto"/>
              <w:bottom w:val="single" w:sz="6" w:space="0" w:color="auto"/>
              <w:right w:val="single" w:sz="6" w:space="0" w:color="auto"/>
            </w:tcBorders>
            <w:shd w:val="clear" w:color="auto" w:fill="C0C0C0"/>
            <w:hideMark/>
          </w:tcPr>
          <w:p w14:paraId="4C8B9A72" w14:textId="77777777" w:rsidR="00B37EC9" w:rsidRPr="00B37EC9" w:rsidRDefault="00B37EC9" w:rsidP="00543DF4">
            <w:pPr>
              <w:keepNext/>
              <w:rPr>
                <w:rFonts w:asciiTheme="minorHAnsi" w:hAnsiTheme="minorHAnsi" w:cstheme="minorHAnsi"/>
                <w:b/>
                <w:bCs/>
              </w:rPr>
            </w:pPr>
            <w:r w:rsidRPr="00B37EC9">
              <w:rPr>
                <w:rFonts w:asciiTheme="minorHAnsi" w:hAnsiTheme="minorHAnsi" w:cstheme="minorHAnsi"/>
                <w:b/>
                <w:bCs/>
              </w:rPr>
              <w:t>Response rate</w:t>
            </w:r>
          </w:p>
        </w:tc>
        <w:tc>
          <w:tcPr>
            <w:tcW w:w="1758" w:type="dxa"/>
            <w:tcBorders>
              <w:top w:val="single" w:sz="6" w:space="0" w:color="auto"/>
              <w:left w:val="single" w:sz="6" w:space="0" w:color="auto"/>
              <w:bottom w:val="single" w:sz="6" w:space="0" w:color="auto"/>
              <w:right w:val="single" w:sz="6" w:space="0" w:color="auto"/>
            </w:tcBorders>
            <w:vAlign w:val="bottom"/>
            <w:hideMark/>
          </w:tcPr>
          <w:p w14:paraId="22B0F26A" w14:textId="77777777" w:rsidR="00B37EC9" w:rsidRPr="00B37EC9" w:rsidRDefault="00B37EC9" w:rsidP="00543DF4">
            <w:pPr>
              <w:keepNext/>
              <w:jc w:val="right"/>
              <w:rPr>
                <w:rFonts w:asciiTheme="minorHAnsi" w:hAnsiTheme="minorHAnsi" w:cstheme="minorHAnsi"/>
              </w:rPr>
            </w:pPr>
            <w:r w:rsidRPr="00B37EC9">
              <w:rPr>
                <w:rFonts w:asciiTheme="minorHAnsi" w:hAnsiTheme="minorHAnsi" w:cstheme="minorHAnsi"/>
              </w:rPr>
              <w:t>67%</w:t>
            </w:r>
          </w:p>
        </w:tc>
        <w:tc>
          <w:tcPr>
            <w:tcW w:w="1890" w:type="dxa"/>
            <w:tcBorders>
              <w:top w:val="single" w:sz="6" w:space="0" w:color="auto"/>
              <w:left w:val="single" w:sz="6" w:space="0" w:color="auto"/>
              <w:bottom w:val="single" w:sz="6" w:space="0" w:color="auto"/>
              <w:right w:val="single" w:sz="6" w:space="0" w:color="auto"/>
            </w:tcBorders>
            <w:vAlign w:val="bottom"/>
            <w:hideMark/>
          </w:tcPr>
          <w:p w14:paraId="79508EAB" w14:textId="77777777" w:rsidR="00B37EC9" w:rsidRPr="00B37EC9" w:rsidRDefault="00B37EC9" w:rsidP="00543DF4">
            <w:pPr>
              <w:keepNext/>
              <w:jc w:val="right"/>
              <w:rPr>
                <w:rFonts w:asciiTheme="minorHAnsi" w:hAnsiTheme="minorHAnsi" w:cstheme="minorHAnsi"/>
              </w:rPr>
            </w:pPr>
            <w:r w:rsidRPr="00B37EC9">
              <w:rPr>
                <w:rFonts w:asciiTheme="minorHAnsi" w:hAnsiTheme="minorHAnsi" w:cstheme="minorHAnsi"/>
              </w:rPr>
              <w:t>41%</w:t>
            </w:r>
          </w:p>
        </w:tc>
        <w:tc>
          <w:tcPr>
            <w:tcW w:w="2160" w:type="dxa"/>
            <w:tcBorders>
              <w:top w:val="single" w:sz="6" w:space="0" w:color="auto"/>
              <w:left w:val="single" w:sz="6" w:space="0" w:color="auto"/>
              <w:bottom w:val="single" w:sz="6" w:space="0" w:color="auto"/>
              <w:right w:val="single" w:sz="6" w:space="0" w:color="auto"/>
            </w:tcBorders>
            <w:hideMark/>
          </w:tcPr>
          <w:p w14:paraId="227E1EDF" w14:textId="77777777" w:rsidR="00B37EC9" w:rsidRPr="00B37EC9" w:rsidRDefault="00B37EC9" w:rsidP="00543DF4">
            <w:pPr>
              <w:keepNext/>
              <w:jc w:val="right"/>
              <w:rPr>
                <w:rFonts w:asciiTheme="minorHAnsi" w:hAnsiTheme="minorHAnsi" w:cstheme="minorHAnsi"/>
              </w:rPr>
            </w:pPr>
            <w:r w:rsidRPr="00B37EC9">
              <w:rPr>
                <w:rFonts w:asciiTheme="minorHAnsi" w:hAnsiTheme="minorHAnsi" w:cstheme="minorHAnsi"/>
              </w:rPr>
              <w:t>52%</w:t>
            </w:r>
          </w:p>
        </w:tc>
      </w:tr>
    </w:tbl>
    <w:p w14:paraId="6BE3C301" w14:textId="77777777" w:rsidR="00B37EC9" w:rsidRPr="00B37EC9" w:rsidRDefault="00B37EC9" w:rsidP="00B37EC9">
      <w:pPr>
        <w:rPr>
          <w:rFonts w:asciiTheme="minorHAnsi" w:hAnsiTheme="minorHAnsi" w:cstheme="minorHAnsi"/>
          <w:b/>
          <w:bCs/>
          <w:color w:val="000000"/>
        </w:rPr>
      </w:pPr>
    </w:p>
    <w:p w14:paraId="1BBCE78A" w14:textId="77777777" w:rsidR="00B37EC9" w:rsidRPr="00B37EC9" w:rsidRDefault="00B37EC9" w:rsidP="00B37EC9">
      <w:pPr>
        <w:keepNext/>
        <w:rPr>
          <w:rFonts w:asciiTheme="minorHAnsi" w:hAnsiTheme="minorHAnsi" w:cstheme="minorHAnsi"/>
          <w:b/>
          <w:bCs/>
          <w:color w:val="000000"/>
        </w:rPr>
      </w:pPr>
      <w:r w:rsidRPr="00B37EC9">
        <w:rPr>
          <w:rFonts w:asciiTheme="minorHAnsi" w:hAnsiTheme="minorHAnsi" w:cstheme="minorHAnsi"/>
          <w:b/>
          <w:bCs/>
          <w:color w:val="000000"/>
        </w:rPr>
        <w:t>2009 Competitiveness Report</w:t>
      </w:r>
      <w:r w:rsidRPr="00B37EC9">
        <w:rPr>
          <w:rFonts w:asciiTheme="minorHAnsi" w:hAnsiTheme="minorHAnsi" w:cstheme="minorHAnsi"/>
          <w:b/>
        </w:rPr>
        <w:t xml:space="preserve"> Survey</w:t>
      </w:r>
    </w:p>
    <w:tbl>
      <w:tblPr>
        <w:tblW w:w="8370" w:type="dxa"/>
        <w:tblInd w:w="108" w:type="dxa"/>
        <w:tblLayout w:type="fixed"/>
        <w:tblLook w:val="00A0" w:firstRow="1" w:lastRow="0" w:firstColumn="1" w:lastColumn="0" w:noHBand="0" w:noVBand="0"/>
      </w:tblPr>
      <w:tblGrid>
        <w:gridCol w:w="2472"/>
        <w:gridCol w:w="1758"/>
        <w:gridCol w:w="1890"/>
        <w:gridCol w:w="2250"/>
      </w:tblGrid>
      <w:tr w:rsidR="00B37EC9" w:rsidRPr="00B37EC9" w14:paraId="60473144" w14:textId="77777777" w:rsidTr="00543DF4">
        <w:tc>
          <w:tcPr>
            <w:tcW w:w="2472" w:type="dxa"/>
            <w:tcBorders>
              <w:top w:val="single" w:sz="6" w:space="0" w:color="000000"/>
              <w:left w:val="single" w:sz="6" w:space="0" w:color="000000"/>
              <w:bottom w:val="single" w:sz="6" w:space="0" w:color="000000"/>
              <w:right w:val="single" w:sz="6" w:space="0" w:color="000000"/>
            </w:tcBorders>
            <w:shd w:val="clear" w:color="auto" w:fill="C0C0C0"/>
          </w:tcPr>
          <w:p w14:paraId="390B5B72" w14:textId="77777777" w:rsidR="00B37EC9" w:rsidRPr="00B37EC9" w:rsidRDefault="00B37EC9" w:rsidP="00543DF4">
            <w:pPr>
              <w:keepNext/>
              <w:rPr>
                <w:rFonts w:asciiTheme="minorHAnsi" w:hAnsiTheme="minorHAnsi" w:cstheme="minorHAnsi"/>
                <w:b/>
                <w:bCs/>
                <w:color w:val="000000"/>
              </w:rPr>
            </w:pPr>
          </w:p>
        </w:tc>
        <w:tc>
          <w:tcPr>
            <w:tcW w:w="1758" w:type="dxa"/>
            <w:tcBorders>
              <w:top w:val="single" w:sz="6" w:space="0" w:color="000000"/>
              <w:left w:val="single" w:sz="6" w:space="0" w:color="000000"/>
              <w:bottom w:val="single" w:sz="6" w:space="0" w:color="000000"/>
              <w:right w:val="single" w:sz="6" w:space="0" w:color="000000"/>
            </w:tcBorders>
            <w:shd w:val="clear" w:color="auto" w:fill="C0C0C0"/>
            <w:vAlign w:val="bottom"/>
            <w:hideMark/>
          </w:tcPr>
          <w:p w14:paraId="03BFF4BE" w14:textId="77777777" w:rsidR="00B37EC9" w:rsidRPr="00B37EC9" w:rsidRDefault="00B37EC9" w:rsidP="00543DF4">
            <w:pPr>
              <w:keepNext/>
              <w:jc w:val="right"/>
              <w:rPr>
                <w:rFonts w:asciiTheme="minorHAnsi" w:hAnsiTheme="minorHAnsi" w:cstheme="minorHAnsi"/>
                <w:b/>
                <w:bCs/>
                <w:color w:val="000000"/>
              </w:rPr>
            </w:pPr>
            <w:r w:rsidRPr="00B37EC9">
              <w:rPr>
                <w:rFonts w:asciiTheme="minorHAnsi" w:hAnsiTheme="minorHAnsi" w:cstheme="minorHAnsi"/>
                <w:b/>
                <w:bCs/>
                <w:color w:val="000000"/>
              </w:rPr>
              <w:t>Lenders</w:t>
            </w:r>
          </w:p>
        </w:tc>
        <w:tc>
          <w:tcPr>
            <w:tcW w:w="1890" w:type="dxa"/>
            <w:tcBorders>
              <w:top w:val="single" w:sz="6" w:space="0" w:color="000000"/>
              <w:left w:val="single" w:sz="6" w:space="0" w:color="000000"/>
              <w:bottom w:val="single" w:sz="6" w:space="0" w:color="000000"/>
              <w:right w:val="single" w:sz="6" w:space="0" w:color="000000"/>
            </w:tcBorders>
            <w:shd w:val="clear" w:color="auto" w:fill="C0C0C0"/>
            <w:vAlign w:val="bottom"/>
            <w:hideMark/>
          </w:tcPr>
          <w:p w14:paraId="761CC5B5" w14:textId="77777777" w:rsidR="00B37EC9" w:rsidRPr="00B37EC9" w:rsidRDefault="00B37EC9" w:rsidP="00543DF4">
            <w:pPr>
              <w:keepNext/>
              <w:jc w:val="right"/>
              <w:rPr>
                <w:rFonts w:asciiTheme="minorHAnsi" w:hAnsiTheme="minorHAnsi" w:cstheme="minorHAnsi"/>
                <w:b/>
                <w:bCs/>
                <w:color w:val="000000"/>
              </w:rPr>
            </w:pPr>
            <w:r w:rsidRPr="00B37EC9">
              <w:rPr>
                <w:rFonts w:asciiTheme="minorHAnsi" w:hAnsiTheme="minorHAnsi" w:cstheme="minorHAnsi"/>
                <w:b/>
                <w:bCs/>
                <w:color w:val="000000"/>
              </w:rPr>
              <w:t>Exporters</w:t>
            </w:r>
          </w:p>
        </w:tc>
        <w:tc>
          <w:tcPr>
            <w:tcW w:w="2250" w:type="dxa"/>
            <w:tcBorders>
              <w:top w:val="single" w:sz="6" w:space="0" w:color="000000"/>
              <w:left w:val="single" w:sz="6" w:space="0" w:color="000000"/>
              <w:bottom w:val="single" w:sz="6" w:space="0" w:color="000000"/>
              <w:right w:val="single" w:sz="6" w:space="0" w:color="000000"/>
            </w:tcBorders>
            <w:shd w:val="clear" w:color="auto" w:fill="C0C0C0"/>
            <w:hideMark/>
          </w:tcPr>
          <w:p w14:paraId="48D9A2CB" w14:textId="77777777" w:rsidR="00B37EC9" w:rsidRPr="00B37EC9" w:rsidRDefault="00B37EC9" w:rsidP="00543DF4">
            <w:pPr>
              <w:keepNext/>
              <w:jc w:val="right"/>
              <w:rPr>
                <w:rFonts w:asciiTheme="minorHAnsi" w:hAnsiTheme="minorHAnsi" w:cstheme="minorHAnsi"/>
                <w:b/>
                <w:bCs/>
                <w:color w:val="000000"/>
              </w:rPr>
            </w:pPr>
            <w:r w:rsidRPr="00B37EC9">
              <w:rPr>
                <w:rFonts w:asciiTheme="minorHAnsi" w:hAnsiTheme="minorHAnsi" w:cstheme="minorHAnsi"/>
                <w:b/>
                <w:bCs/>
                <w:color w:val="000000"/>
              </w:rPr>
              <w:t>Total</w:t>
            </w:r>
          </w:p>
        </w:tc>
      </w:tr>
      <w:tr w:rsidR="00B37EC9" w:rsidRPr="00B37EC9" w14:paraId="06A008CC" w14:textId="77777777" w:rsidTr="00543DF4">
        <w:tc>
          <w:tcPr>
            <w:tcW w:w="2472" w:type="dxa"/>
            <w:tcBorders>
              <w:top w:val="single" w:sz="6" w:space="0" w:color="000000"/>
              <w:left w:val="single" w:sz="6" w:space="0" w:color="000000"/>
              <w:bottom w:val="single" w:sz="6" w:space="0" w:color="000000"/>
              <w:right w:val="single" w:sz="6" w:space="0" w:color="000000"/>
            </w:tcBorders>
            <w:shd w:val="clear" w:color="auto" w:fill="C0C0C0"/>
            <w:hideMark/>
          </w:tcPr>
          <w:p w14:paraId="2639F0A5" w14:textId="77777777" w:rsidR="00B37EC9" w:rsidRPr="00B37EC9" w:rsidRDefault="00B37EC9" w:rsidP="00543DF4">
            <w:pPr>
              <w:keepNext/>
              <w:rPr>
                <w:rFonts w:asciiTheme="minorHAnsi" w:hAnsiTheme="minorHAnsi" w:cstheme="minorHAnsi"/>
                <w:b/>
                <w:bCs/>
                <w:color w:val="000000"/>
              </w:rPr>
            </w:pPr>
            <w:r w:rsidRPr="00B37EC9">
              <w:rPr>
                <w:rFonts w:asciiTheme="minorHAnsi" w:hAnsiTheme="minorHAnsi" w:cstheme="minorHAnsi"/>
                <w:b/>
                <w:bCs/>
                <w:color w:val="000000"/>
              </w:rPr>
              <w:t>Surveyed</w:t>
            </w:r>
          </w:p>
        </w:tc>
        <w:tc>
          <w:tcPr>
            <w:tcW w:w="1758" w:type="dxa"/>
            <w:tcBorders>
              <w:top w:val="single" w:sz="6" w:space="0" w:color="000000"/>
              <w:left w:val="single" w:sz="6" w:space="0" w:color="000000"/>
              <w:bottom w:val="single" w:sz="6" w:space="0" w:color="000000"/>
              <w:right w:val="single" w:sz="6" w:space="0" w:color="000000"/>
            </w:tcBorders>
            <w:vAlign w:val="bottom"/>
            <w:hideMark/>
          </w:tcPr>
          <w:p w14:paraId="17D1B5D9" w14:textId="77777777" w:rsidR="00B37EC9" w:rsidRPr="00B37EC9" w:rsidRDefault="00B37EC9" w:rsidP="00543DF4">
            <w:pPr>
              <w:keepNext/>
              <w:jc w:val="right"/>
              <w:rPr>
                <w:rFonts w:asciiTheme="minorHAnsi" w:hAnsiTheme="minorHAnsi" w:cstheme="minorHAnsi"/>
                <w:color w:val="000000"/>
              </w:rPr>
            </w:pPr>
            <w:r w:rsidRPr="00B37EC9">
              <w:rPr>
                <w:rFonts w:asciiTheme="minorHAnsi" w:hAnsiTheme="minorHAnsi" w:cstheme="minorHAnsi"/>
                <w:color w:val="000000"/>
              </w:rPr>
              <w:t>38</w:t>
            </w:r>
          </w:p>
        </w:tc>
        <w:tc>
          <w:tcPr>
            <w:tcW w:w="1890" w:type="dxa"/>
            <w:tcBorders>
              <w:top w:val="single" w:sz="6" w:space="0" w:color="000000"/>
              <w:left w:val="single" w:sz="6" w:space="0" w:color="000000"/>
              <w:bottom w:val="single" w:sz="6" w:space="0" w:color="000000"/>
              <w:right w:val="single" w:sz="6" w:space="0" w:color="000000"/>
            </w:tcBorders>
            <w:vAlign w:val="bottom"/>
            <w:hideMark/>
          </w:tcPr>
          <w:p w14:paraId="6339F962" w14:textId="77777777" w:rsidR="00B37EC9" w:rsidRPr="00B37EC9" w:rsidRDefault="00B37EC9" w:rsidP="00543DF4">
            <w:pPr>
              <w:keepNext/>
              <w:jc w:val="right"/>
              <w:rPr>
                <w:rFonts w:asciiTheme="minorHAnsi" w:hAnsiTheme="minorHAnsi" w:cstheme="minorHAnsi"/>
                <w:color w:val="000000"/>
              </w:rPr>
            </w:pPr>
            <w:bookmarkStart w:id="0" w:name="_GoBack"/>
            <w:bookmarkEnd w:id="0"/>
            <w:r w:rsidRPr="00B37EC9">
              <w:rPr>
                <w:rFonts w:asciiTheme="minorHAnsi" w:hAnsiTheme="minorHAnsi" w:cstheme="minorHAnsi"/>
                <w:color w:val="000000"/>
              </w:rPr>
              <w:t>62</w:t>
            </w:r>
          </w:p>
        </w:tc>
        <w:tc>
          <w:tcPr>
            <w:tcW w:w="2250" w:type="dxa"/>
            <w:tcBorders>
              <w:top w:val="single" w:sz="6" w:space="0" w:color="000000"/>
              <w:left w:val="single" w:sz="6" w:space="0" w:color="000000"/>
              <w:bottom w:val="single" w:sz="6" w:space="0" w:color="000000"/>
              <w:right w:val="single" w:sz="6" w:space="0" w:color="000000"/>
            </w:tcBorders>
            <w:hideMark/>
          </w:tcPr>
          <w:p w14:paraId="4220FD3E" w14:textId="77777777" w:rsidR="00B37EC9" w:rsidRPr="00B37EC9" w:rsidRDefault="00B37EC9" w:rsidP="00543DF4">
            <w:pPr>
              <w:keepNext/>
              <w:jc w:val="right"/>
              <w:rPr>
                <w:rFonts w:asciiTheme="minorHAnsi" w:hAnsiTheme="minorHAnsi" w:cstheme="minorHAnsi"/>
                <w:color w:val="000000"/>
              </w:rPr>
            </w:pPr>
            <w:r w:rsidRPr="00B37EC9">
              <w:rPr>
                <w:rFonts w:asciiTheme="minorHAnsi" w:hAnsiTheme="minorHAnsi" w:cstheme="minorHAnsi"/>
                <w:color w:val="000000"/>
              </w:rPr>
              <w:t>100</w:t>
            </w:r>
          </w:p>
        </w:tc>
      </w:tr>
      <w:tr w:rsidR="00B37EC9" w:rsidRPr="00B37EC9" w14:paraId="7B30AECE" w14:textId="77777777" w:rsidTr="00543DF4">
        <w:tc>
          <w:tcPr>
            <w:tcW w:w="2472" w:type="dxa"/>
            <w:tcBorders>
              <w:top w:val="single" w:sz="6" w:space="0" w:color="000000"/>
              <w:left w:val="single" w:sz="6" w:space="0" w:color="000000"/>
              <w:bottom w:val="single" w:sz="6" w:space="0" w:color="000000"/>
              <w:right w:val="single" w:sz="6" w:space="0" w:color="000000"/>
            </w:tcBorders>
            <w:shd w:val="clear" w:color="auto" w:fill="C0C0C0"/>
            <w:hideMark/>
          </w:tcPr>
          <w:p w14:paraId="447E2259" w14:textId="77777777" w:rsidR="00B37EC9" w:rsidRPr="00B37EC9" w:rsidRDefault="00B37EC9" w:rsidP="00543DF4">
            <w:pPr>
              <w:keepNext/>
              <w:rPr>
                <w:rFonts w:asciiTheme="minorHAnsi" w:hAnsiTheme="minorHAnsi" w:cstheme="minorHAnsi"/>
                <w:b/>
                <w:bCs/>
                <w:color w:val="000000"/>
              </w:rPr>
            </w:pPr>
            <w:r w:rsidRPr="00B37EC9">
              <w:rPr>
                <w:rFonts w:asciiTheme="minorHAnsi" w:hAnsiTheme="minorHAnsi" w:cstheme="minorHAnsi"/>
                <w:b/>
                <w:bCs/>
                <w:color w:val="000000"/>
              </w:rPr>
              <w:t>Responded</w:t>
            </w:r>
          </w:p>
        </w:tc>
        <w:tc>
          <w:tcPr>
            <w:tcW w:w="1758" w:type="dxa"/>
            <w:tcBorders>
              <w:top w:val="single" w:sz="6" w:space="0" w:color="000000"/>
              <w:left w:val="single" w:sz="6" w:space="0" w:color="000000"/>
              <w:bottom w:val="single" w:sz="6" w:space="0" w:color="000000"/>
              <w:right w:val="single" w:sz="6" w:space="0" w:color="000000"/>
            </w:tcBorders>
            <w:vAlign w:val="bottom"/>
            <w:hideMark/>
          </w:tcPr>
          <w:p w14:paraId="35F87890" w14:textId="77777777" w:rsidR="00B37EC9" w:rsidRPr="00B37EC9" w:rsidRDefault="00B37EC9" w:rsidP="00543DF4">
            <w:pPr>
              <w:keepNext/>
              <w:jc w:val="right"/>
              <w:rPr>
                <w:rFonts w:asciiTheme="minorHAnsi" w:hAnsiTheme="minorHAnsi" w:cstheme="minorHAnsi"/>
                <w:color w:val="000000"/>
              </w:rPr>
            </w:pPr>
            <w:r w:rsidRPr="00B37EC9">
              <w:rPr>
                <w:rFonts w:asciiTheme="minorHAnsi" w:hAnsiTheme="minorHAnsi" w:cstheme="minorHAnsi"/>
                <w:color w:val="000000"/>
              </w:rPr>
              <w:t>19</w:t>
            </w:r>
          </w:p>
        </w:tc>
        <w:tc>
          <w:tcPr>
            <w:tcW w:w="1890" w:type="dxa"/>
            <w:tcBorders>
              <w:top w:val="single" w:sz="6" w:space="0" w:color="000000"/>
              <w:left w:val="single" w:sz="6" w:space="0" w:color="000000"/>
              <w:bottom w:val="single" w:sz="6" w:space="0" w:color="000000"/>
              <w:right w:val="single" w:sz="6" w:space="0" w:color="000000"/>
            </w:tcBorders>
            <w:vAlign w:val="bottom"/>
            <w:hideMark/>
          </w:tcPr>
          <w:p w14:paraId="18360A0D" w14:textId="77777777" w:rsidR="00B37EC9" w:rsidRPr="00B37EC9" w:rsidRDefault="00B37EC9" w:rsidP="00543DF4">
            <w:pPr>
              <w:keepNext/>
              <w:jc w:val="right"/>
              <w:rPr>
                <w:rFonts w:asciiTheme="minorHAnsi" w:hAnsiTheme="minorHAnsi" w:cstheme="minorHAnsi"/>
                <w:color w:val="000000"/>
              </w:rPr>
            </w:pPr>
            <w:r w:rsidRPr="00B37EC9">
              <w:rPr>
                <w:rFonts w:asciiTheme="minorHAnsi" w:hAnsiTheme="minorHAnsi" w:cstheme="minorHAnsi"/>
                <w:color w:val="000000"/>
              </w:rPr>
              <w:t>13</w:t>
            </w:r>
          </w:p>
        </w:tc>
        <w:tc>
          <w:tcPr>
            <w:tcW w:w="2250" w:type="dxa"/>
            <w:tcBorders>
              <w:top w:val="single" w:sz="6" w:space="0" w:color="000000"/>
              <w:left w:val="single" w:sz="6" w:space="0" w:color="000000"/>
              <w:bottom w:val="single" w:sz="6" w:space="0" w:color="000000"/>
              <w:right w:val="single" w:sz="6" w:space="0" w:color="000000"/>
            </w:tcBorders>
            <w:hideMark/>
          </w:tcPr>
          <w:p w14:paraId="6C2C511D" w14:textId="77777777" w:rsidR="00B37EC9" w:rsidRPr="00B37EC9" w:rsidRDefault="00B37EC9" w:rsidP="00543DF4">
            <w:pPr>
              <w:keepNext/>
              <w:jc w:val="right"/>
              <w:rPr>
                <w:rFonts w:asciiTheme="minorHAnsi" w:hAnsiTheme="minorHAnsi" w:cstheme="minorHAnsi"/>
                <w:bCs/>
              </w:rPr>
            </w:pPr>
            <w:r w:rsidRPr="00B37EC9">
              <w:rPr>
                <w:rFonts w:asciiTheme="minorHAnsi" w:hAnsiTheme="minorHAnsi" w:cstheme="minorHAnsi"/>
                <w:bCs/>
              </w:rPr>
              <w:t>32</w:t>
            </w:r>
          </w:p>
        </w:tc>
      </w:tr>
      <w:tr w:rsidR="00B37EC9" w:rsidRPr="00B37EC9" w14:paraId="1DE0FF2E" w14:textId="77777777" w:rsidTr="00543DF4">
        <w:tc>
          <w:tcPr>
            <w:tcW w:w="2472" w:type="dxa"/>
            <w:tcBorders>
              <w:top w:val="single" w:sz="6" w:space="0" w:color="000000"/>
              <w:left w:val="single" w:sz="6" w:space="0" w:color="000000"/>
              <w:bottom w:val="single" w:sz="6" w:space="0" w:color="000000"/>
              <w:right w:val="single" w:sz="6" w:space="0" w:color="000000"/>
            </w:tcBorders>
            <w:shd w:val="clear" w:color="auto" w:fill="C0C0C0"/>
            <w:hideMark/>
          </w:tcPr>
          <w:p w14:paraId="15AF1CFC" w14:textId="77777777" w:rsidR="00B37EC9" w:rsidRPr="00B37EC9" w:rsidRDefault="00B37EC9" w:rsidP="00543DF4">
            <w:pPr>
              <w:keepNext/>
              <w:rPr>
                <w:rFonts w:asciiTheme="minorHAnsi" w:hAnsiTheme="minorHAnsi" w:cstheme="minorHAnsi"/>
                <w:b/>
                <w:bCs/>
                <w:color w:val="000000"/>
              </w:rPr>
            </w:pPr>
            <w:r w:rsidRPr="00B37EC9">
              <w:rPr>
                <w:rFonts w:asciiTheme="minorHAnsi" w:hAnsiTheme="minorHAnsi" w:cstheme="minorHAnsi"/>
                <w:b/>
                <w:bCs/>
                <w:color w:val="000000"/>
              </w:rPr>
              <w:t>Response rate</w:t>
            </w:r>
          </w:p>
        </w:tc>
        <w:tc>
          <w:tcPr>
            <w:tcW w:w="1758" w:type="dxa"/>
            <w:tcBorders>
              <w:top w:val="single" w:sz="6" w:space="0" w:color="000000"/>
              <w:left w:val="single" w:sz="6" w:space="0" w:color="000000"/>
              <w:bottom w:val="single" w:sz="6" w:space="0" w:color="000000"/>
              <w:right w:val="single" w:sz="6" w:space="0" w:color="000000"/>
            </w:tcBorders>
            <w:vAlign w:val="bottom"/>
            <w:hideMark/>
          </w:tcPr>
          <w:p w14:paraId="79F7A4AB" w14:textId="77777777" w:rsidR="00B37EC9" w:rsidRPr="00B37EC9" w:rsidRDefault="00B37EC9" w:rsidP="00543DF4">
            <w:pPr>
              <w:keepNext/>
              <w:jc w:val="right"/>
              <w:rPr>
                <w:rFonts w:asciiTheme="minorHAnsi" w:hAnsiTheme="minorHAnsi" w:cstheme="minorHAnsi"/>
                <w:color w:val="000000"/>
              </w:rPr>
            </w:pPr>
            <w:r w:rsidRPr="00B37EC9">
              <w:rPr>
                <w:rFonts w:asciiTheme="minorHAnsi" w:hAnsiTheme="minorHAnsi" w:cstheme="minorHAnsi"/>
                <w:color w:val="000000"/>
              </w:rPr>
              <w:t>50%</w:t>
            </w:r>
          </w:p>
        </w:tc>
        <w:tc>
          <w:tcPr>
            <w:tcW w:w="1890" w:type="dxa"/>
            <w:tcBorders>
              <w:top w:val="single" w:sz="6" w:space="0" w:color="000000"/>
              <w:left w:val="single" w:sz="6" w:space="0" w:color="000000"/>
              <w:bottom w:val="single" w:sz="6" w:space="0" w:color="000000"/>
              <w:right w:val="single" w:sz="6" w:space="0" w:color="000000"/>
            </w:tcBorders>
            <w:vAlign w:val="bottom"/>
            <w:hideMark/>
          </w:tcPr>
          <w:p w14:paraId="2C752C02" w14:textId="77777777" w:rsidR="00B37EC9" w:rsidRPr="00B37EC9" w:rsidRDefault="00B37EC9" w:rsidP="00543DF4">
            <w:pPr>
              <w:keepNext/>
              <w:jc w:val="right"/>
              <w:rPr>
                <w:rFonts w:asciiTheme="minorHAnsi" w:hAnsiTheme="minorHAnsi" w:cstheme="minorHAnsi"/>
                <w:color w:val="000000"/>
              </w:rPr>
            </w:pPr>
            <w:r w:rsidRPr="00B37EC9">
              <w:rPr>
                <w:rFonts w:asciiTheme="minorHAnsi" w:hAnsiTheme="minorHAnsi" w:cstheme="minorHAnsi"/>
                <w:color w:val="000000"/>
              </w:rPr>
              <w:t>21%</w:t>
            </w:r>
          </w:p>
        </w:tc>
        <w:tc>
          <w:tcPr>
            <w:tcW w:w="2250" w:type="dxa"/>
            <w:tcBorders>
              <w:top w:val="single" w:sz="6" w:space="0" w:color="000000"/>
              <w:left w:val="single" w:sz="6" w:space="0" w:color="000000"/>
              <w:bottom w:val="single" w:sz="6" w:space="0" w:color="000000"/>
              <w:right w:val="single" w:sz="6" w:space="0" w:color="000000"/>
            </w:tcBorders>
            <w:hideMark/>
          </w:tcPr>
          <w:p w14:paraId="2626142E" w14:textId="77777777" w:rsidR="00B37EC9" w:rsidRPr="00B37EC9" w:rsidRDefault="00B37EC9" w:rsidP="00543DF4">
            <w:pPr>
              <w:keepNext/>
              <w:jc w:val="right"/>
              <w:rPr>
                <w:rFonts w:asciiTheme="minorHAnsi" w:hAnsiTheme="minorHAnsi" w:cstheme="minorHAnsi"/>
                <w:bCs/>
              </w:rPr>
            </w:pPr>
            <w:r w:rsidRPr="00B37EC9">
              <w:rPr>
                <w:rFonts w:asciiTheme="minorHAnsi" w:hAnsiTheme="minorHAnsi" w:cstheme="minorHAnsi"/>
                <w:bCs/>
              </w:rPr>
              <w:t>32%</w:t>
            </w:r>
          </w:p>
        </w:tc>
      </w:tr>
    </w:tbl>
    <w:p w14:paraId="5BAA52B6" w14:textId="77777777" w:rsidR="00B37EC9" w:rsidRPr="00B37EC9" w:rsidRDefault="00B37EC9" w:rsidP="00B37EC9">
      <w:pPr>
        <w:autoSpaceDE w:val="0"/>
        <w:autoSpaceDN w:val="0"/>
        <w:adjustRightInd w:val="0"/>
        <w:rPr>
          <w:rFonts w:asciiTheme="minorHAnsi" w:hAnsiTheme="minorHAnsi" w:cstheme="minorHAnsi"/>
        </w:rPr>
      </w:pPr>
    </w:p>
    <w:p w14:paraId="30340981" w14:textId="77777777" w:rsidR="00B37EC9" w:rsidRPr="00B37EC9" w:rsidRDefault="00B37EC9" w:rsidP="00B37EC9">
      <w:pPr>
        <w:autoSpaceDE w:val="0"/>
        <w:autoSpaceDN w:val="0"/>
        <w:adjustRightInd w:val="0"/>
        <w:rPr>
          <w:rFonts w:asciiTheme="minorHAnsi" w:hAnsiTheme="minorHAnsi" w:cstheme="minorHAnsi"/>
        </w:rPr>
      </w:pPr>
    </w:p>
    <w:p w14:paraId="575D573A" w14:textId="77777777" w:rsidR="00B37EC9" w:rsidRPr="00B37EC9" w:rsidRDefault="00B37EC9" w:rsidP="00B37EC9">
      <w:pPr>
        <w:pStyle w:val="ListParagraph"/>
        <w:numPr>
          <w:ilvl w:val="0"/>
          <w:numId w:val="7"/>
        </w:numPr>
        <w:autoSpaceDE w:val="0"/>
        <w:autoSpaceDN w:val="0"/>
        <w:adjustRightInd w:val="0"/>
        <w:spacing w:after="0"/>
        <w:ind w:left="360"/>
        <w:rPr>
          <w:rFonts w:cstheme="minorHAnsi"/>
        </w:rPr>
      </w:pPr>
      <w:r w:rsidRPr="00B37EC9">
        <w:rPr>
          <w:rFonts w:cstheme="minorHAnsi"/>
        </w:rPr>
        <w:t>Describe the procedures for the collection of information including:</w:t>
      </w:r>
    </w:p>
    <w:p w14:paraId="32E84335" w14:textId="77777777" w:rsidR="00B37EC9" w:rsidRPr="00B37EC9" w:rsidRDefault="00B37EC9" w:rsidP="00B37EC9">
      <w:pPr>
        <w:pStyle w:val="ListParagraph"/>
        <w:numPr>
          <w:ilvl w:val="0"/>
          <w:numId w:val="6"/>
        </w:numPr>
        <w:autoSpaceDE w:val="0"/>
        <w:autoSpaceDN w:val="0"/>
        <w:adjustRightInd w:val="0"/>
        <w:spacing w:after="0"/>
        <w:rPr>
          <w:rFonts w:cstheme="minorHAnsi"/>
        </w:rPr>
      </w:pPr>
      <w:r w:rsidRPr="00B37EC9">
        <w:rPr>
          <w:rFonts w:cstheme="minorHAnsi"/>
        </w:rPr>
        <w:t>Statistical methodology for stratification and sample selection,</w:t>
      </w:r>
    </w:p>
    <w:p w14:paraId="13671AC1" w14:textId="77777777" w:rsidR="00B37EC9" w:rsidRPr="00B37EC9" w:rsidRDefault="00B37EC9" w:rsidP="00B37EC9">
      <w:pPr>
        <w:pStyle w:val="ListParagraph"/>
        <w:numPr>
          <w:ilvl w:val="0"/>
          <w:numId w:val="6"/>
        </w:numPr>
        <w:autoSpaceDE w:val="0"/>
        <w:autoSpaceDN w:val="0"/>
        <w:adjustRightInd w:val="0"/>
        <w:spacing w:after="0"/>
        <w:rPr>
          <w:rFonts w:cstheme="minorHAnsi"/>
        </w:rPr>
      </w:pPr>
      <w:r w:rsidRPr="00B37EC9">
        <w:rPr>
          <w:rFonts w:cstheme="minorHAnsi"/>
        </w:rPr>
        <w:t>Estimation procedure,</w:t>
      </w:r>
    </w:p>
    <w:p w14:paraId="757A1110" w14:textId="77777777" w:rsidR="00B37EC9" w:rsidRPr="00B37EC9" w:rsidRDefault="00B37EC9" w:rsidP="00B37EC9">
      <w:pPr>
        <w:pStyle w:val="ListParagraph"/>
        <w:numPr>
          <w:ilvl w:val="0"/>
          <w:numId w:val="6"/>
        </w:numPr>
        <w:autoSpaceDE w:val="0"/>
        <w:autoSpaceDN w:val="0"/>
        <w:adjustRightInd w:val="0"/>
        <w:spacing w:after="0"/>
        <w:rPr>
          <w:rFonts w:cstheme="minorHAnsi"/>
        </w:rPr>
      </w:pPr>
      <w:r w:rsidRPr="00B37EC9">
        <w:rPr>
          <w:rFonts w:cstheme="minorHAnsi"/>
        </w:rPr>
        <w:t>Degree of accuracy needed for the purpose described in the justification,</w:t>
      </w:r>
    </w:p>
    <w:p w14:paraId="66ED806E" w14:textId="77777777" w:rsidR="00B37EC9" w:rsidRPr="00B37EC9" w:rsidRDefault="00B37EC9" w:rsidP="00B37EC9">
      <w:pPr>
        <w:pStyle w:val="ListParagraph"/>
        <w:numPr>
          <w:ilvl w:val="0"/>
          <w:numId w:val="6"/>
        </w:numPr>
        <w:autoSpaceDE w:val="0"/>
        <w:autoSpaceDN w:val="0"/>
        <w:adjustRightInd w:val="0"/>
        <w:spacing w:after="0"/>
        <w:rPr>
          <w:rFonts w:cstheme="minorHAnsi"/>
        </w:rPr>
      </w:pPr>
      <w:r w:rsidRPr="00B37EC9">
        <w:rPr>
          <w:rFonts w:cstheme="minorHAnsi"/>
        </w:rPr>
        <w:t>Unusual problems requiring specialized sampling procedures, and</w:t>
      </w:r>
    </w:p>
    <w:p w14:paraId="4064F246" w14:textId="77777777" w:rsidR="00B37EC9" w:rsidRPr="00B37EC9" w:rsidRDefault="00B37EC9" w:rsidP="00B37EC9">
      <w:pPr>
        <w:pStyle w:val="ListParagraph"/>
        <w:numPr>
          <w:ilvl w:val="0"/>
          <w:numId w:val="6"/>
        </w:numPr>
        <w:autoSpaceDE w:val="0"/>
        <w:autoSpaceDN w:val="0"/>
        <w:adjustRightInd w:val="0"/>
        <w:spacing w:after="0"/>
        <w:rPr>
          <w:rFonts w:cstheme="minorHAnsi"/>
        </w:rPr>
      </w:pPr>
      <w:r w:rsidRPr="00B37EC9">
        <w:rPr>
          <w:rFonts w:cstheme="minorHAnsi"/>
        </w:rPr>
        <w:t>Any use of periodic (less frequent than annual) data collection cycles to reduce burden.</w:t>
      </w:r>
      <w:r w:rsidRPr="00B37EC9">
        <w:rPr>
          <w:rFonts w:cstheme="minorHAnsi"/>
        </w:rPr>
        <w:br/>
      </w:r>
    </w:p>
    <w:p w14:paraId="7BAF39FF" w14:textId="77777777" w:rsidR="00B37EC9" w:rsidRPr="00B37EC9" w:rsidRDefault="00B37EC9" w:rsidP="00B37EC9">
      <w:pPr>
        <w:autoSpaceDE w:val="0"/>
        <w:autoSpaceDN w:val="0"/>
        <w:adjustRightInd w:val="0"/>
        <w:rPr>
          <w:rFonts w:asciiTheme="minorHAnsi" w:hAnsiTheme="minorHAnsi" w:cstheme="minorHAnsi"/>
        </w:rPr>
      </w:pPr>
      <w:r w:rsidRPr="00B37EC9">
        <w:rPr>
          <w:rFonts w:asciiTheme="minorHAnsi" w:hAnsiTheme="minorHAnsi" w:cstheme="minorHAnsi"/>
        </w:rPr>
        <w:t xml:space="preserve">The survey will be sent to the lenders, exporters, and brokers that directly used Ex-Im Bank’s short-, medium-, and long-term programs with at least three authorizations during calendar year 2012. The results will not be generalized to any population. </w:t>
      </w:r>
      <w:r w:rsidRPr="00F446E1">
        <w:rPr>
          <w:rFonts w:asciiTheme="minorHAnsi" w:hAnsiTheme="minorHAnsi" w:cstheme="minorHAnsi"/>
        </w:rPr>
        <w:t>Only statements regarding the collected responses will be made</w:t>
      </w:r>
      <w:r w:rsidRPr="00B37EC9">
        <w:rPr>
          <w:rFonts w:asciiTheme="minorHAnsi" w:hAnsiTheme="minorHAnsi" w:cstheme="minorHAnsi"/>
        </w:rPr>
        <w:t>. No estimation procedures or statistical accuracy will be required for the analysis.</w:t>
      </w:r>
    </w:p>
    <w:p w14:paraId="0C50F249" w14:textId="77777777" w:rsidR="00B37EC9" w:rsidRPr="00B37EC9" w:rsidRDefault="00B37EC9" w:rsidP="00B37EC9">
      <w:pPr>
        <w:autoSpaceDE w:val="0"/>
        <w:autoSpaceDN w:val="0"/>
        <w:adjustRightInd w:val="0"/>
        <w:rPr>
          <w:rFonts w:asciiTheme="minorHAnsi" w:hAnsiTheme="minorHAnsi" w:cstheme="minorHAnsi"/>
        </w:rPr>
      </w:pPr>
    </w:p>
    <w:p w14:paraId="186B9DBC" w14:textId="77777777" w:rsidR="00B37EC9" w:rsidRPr="00B37EC9" w:rsidRDefault="00B37EC9" w:rsidP="00B37EC9">
      <w:pPr>
        <w:autoSpaceDE w:val="0"/>
        <w:autoSpaceDN w:val="0"/>
        <w:adjustRightInd w:val="0"/>
        <w:rPr>
          <w:rFonts w:asciiTheme="minorHAnsi" w:hAnsiTheme="minorHAnsi" w:cstheme="minorHAnsi"/>
        </w:rPr>
      </w:pPr>
      <w:r w:rsidRPr="00B37EC9">
        <w:rPr>
          <w:rFonts w:asciiTheme="minorHAnsi" w:hAnsiTheme="minorHAnsi" w:cstheme="minorHAnsi"/>
        </w:rPr>
        <w:t>The Competitiveness Report is mandated by Congress to be an annual report, thus these data are required to be collected on an annual basis.</w:t>
      </w:r>
    </w:p>
    <w:p w14:paraId="738EE626" w14:textId="77777777" w:rsidR="00B37EC9" w:rsidRPr="00B37EC9" w:rsidRDefault="00B37EC9" w:rsidP="00B37EC9">
      <w:pPr>
        <w:autoSpaceDE w:val="0"/>
        <w:autoSpaceDN w:val="0"/>
        <w:adjustRightInd w:val="0"/>
        <w:rPr>
          <w:rFonts w:asciiTheme="minorHAnsi" w:hAnsiTheme="minorHAnsi" w:cstheme="minorHAnsi"/>
        </w:rPr>
      </w:pPr>
    </w:p>
    <w:p w14:paraId="4C202A21" w14:textId="77777777" w:rsidR="00B37EC9" w:rsidRPr="00B37EC9" w:rsidRDefault="00B37EC9" w:rsidP="00B37EC9">
      <w:pPr>
        <w:autoSpaceDE w:val="0"/>
        <w:autoSpaceDN w:val="0"/>
        <w:adjustRightInd w:val="0"/>
        <w:rPr>
          <w:rFonts w:asciiTheme="minorHAnsi" w:hAnsiTheme="minorHAnsi" w:cstheme="minorHAnsi"/>
        </w:rPr>
      </w:pPr>
    </w:p>
    <w:p w14:paraId="4FD3DCF6" w14:textId="77777777" w:rsidR="00EC22A7" w:rsidRDefault="00B37EC9" w:rsidP="00B37EC9">
      <w:pPr>
        <w:pStyle w:val="ListParagraph"/>
        <w:numPr>
          <w:ilvl w:val="0"/>
          <w:numId w:val="7"/>
        </w:numPr>
        <w:autoSpaceDE w:val="0"/>
        <w:autoSpaceDN w:val="0"/>
        <w:adjustRightInd w:val="0"/>
        <w:spacing w:after="0"/>
        <w:ind w:left="360"/>
        <w:rPr>
          <w:rFonts w:cstheme="minorHAnsi"/>
        </w:rPr>
      </w:pPr>
      <w:r w:rsidRPr="00B37EC9">
        <w:rPr>
          <w:rFonts w:cstheme="minorHAnsi"/>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14:paraId="1731C404" w14:textId="77777777" w:rsidR="00EC22A7" w:rsidRDefault="00EC22A7" w:rsidP="00D32956">
      <w:pPr>
        <w:pStyle w:val="ListParagraph"/>
        <w:autoSpaceDE w:val="0"/>
        <w:autoSpaceDN w:val="0"/>
        <w:adjustRightInd w:val="0"/>
        <w:spacing w:after="0"/>
        <w:ind w:left="360"/>
        <w:rPr>
          <w:rFonts w:cstheme="minorHAnsi"/>
        </w:rPr>
      </w:pPr>
    </w:p>
    <w:p w14:paraId="6D98603D" w14:textId="3F58EF05" w:rsidR="005E7176" w:rsidRPr="00C97CC2" w:rsidRDefault="00EC22A7" w:rsidP="00D32956">
      <w:pPr>
        <w:pStyle w:val="ListParagraph"/>
        <w:autoSpaceDE w:val="0"/>
        <w:autoSpaceDN w:val="0"/>
        <w:adjustRightInd w:val="0"/>
        <w:spacing w:after="0"/>
        <w:ind w:left="360"/>
      </w:pPr>
      <w:r>
        <w:rPr>
          <w:rFonts w:cstheme="minorHAnsi"/>
        </w:rPr>
        <w:t xml:space="preserve">Each year the EXIM Chairman sends an email to potential survey recipients. It informs the recipient of the upcoming survey and asks them to confirm the correct person to receive the survey. </w:t>
      </w:r>
      <w:r w:rsidR="005E7176" w:rsidRPr="00CD0E52">
        <w:t>Ex-</w:t>
      </w:r>
      <w:proofErr w:type="spellStart"/>
      <w:r w:rsidR="005E7176" w:rsidRPr="00CD0E52">
        <w:t>Im</w:t>
      </w:r>
      <w:proofErr w:type="spellEnd"/>
      <w:r w:rsidR="005E7176" w:rsidRPr="00CD0E52">
        <w:t xml:space="preserve"> plans to distribute the survey invitations at the </w:t>
      </w:r>
      <w:r>
        <w:t>beginning of February</w:t>
      </w:r>
      <w:r w:rsidR="005E7176" w:rsidRPr="00CD0E52">
        <w:t xml:space="preserve"> and keep the survey open for </w:t>
      </w:r>
      <w:r>
        <w:t>three</w:t>
      </w:r>
      <w:r w:rsidR="005E7176" w:rsidRPr="00CD0E52">
        <w:t xml:space="preserve"> weeks. </w:t>
      </w:r>
      <w:r>
        <w:t xml:space="preserve">[In future years, EXIM will send the survey out in January and keep it open for four weeks.] </w:t>
      </w:r>
      <w:r w:rsidR="005E7176" w:rsidRPr="00CD0E52">
        <w:t xml:space="preserve">During this four week period, phone nonresponse follow up will occur. With this timeline, the survey data collection will </w:t>
      </w:r>
      <w:r w:rsidR="005E7176" w:rsidRPr="00CD0E52">
        <w:lastRenderedPageBreak/>
        <w:t>wrap up around the end of February, allowing ample time to compile the necessary results ahead of the publication deadline.</w:t>
      </w:r>
      <w:r>
        <w:t xml:space="preserve"> </w:t>
      </w:r>
    </w:p>
    <w:p w14:paraId="09B0FA53" w14:textId="77777777" w:rsidR="00B37EC9" w:rsidRPr="00B37EC9" w:rsidRDefault="00B37EC9" w:rsidP="00B37EC9">
      <w:pPr>
        <w:autoSpaceDE w:val="0"/>
        <w:autoSpaceDN w:val="0"/>
        <w:adjustRightInd w:val="0"/>
        <w:rPr>
          <w:rFonts w:asciiTheme="minorHAnsi" w:hAnsiTheme="minorHAnsi" w:cstheme="minorHAnsi"/>
        </w:rPr>
      </w:pPr>
    </w:p>
    <w:p w14:paraId="658006DC" w14:textId="77777777" w:rsidR="00B37EC9" w:rsidRPr="00B37EC9" w:rsidRDefault="00B37EC9" w:rsidP="00B37EC9">
      <w:pPr>
        <w:autoSpaceDE w:val="0"/>
        <w:autoSpaceDN w:val="0"/>
        <w:adjustRightInd w:val="0"/>
        <w:rPr>
          <w:rFonts w:asciiTheme="minorHAnsi" w:hAnsiTheme="minorHAnsi" w:cstheme="minorHAnsi"/>
        </w:rPr>
      </w:pPr>
      <w:r w:rsidRPr="00B37EC9">
        <w:rPr>
          <w:rFonts w:asciiTheme="minorHAnsi" w:hAnsiTheme="minorHAnsi" w:cstheme="minorHAnsi"/>
        </w:rPr>
        <w:t>Email reminders will be sent to all non-respondents at weekly intervals for the length of the data collection period. Additionally, after the data collection period has ended, staff will follow up with remaining non-respondents by phone for an additional four weeks to ensure maximum response rates.</w:t>
      </w:r>
    </w:p>
    <w:p w14:paraId="7B941569" w14:textId="77777777" w:rsidR="00B37EC9" w:rsidRPr="00B37EC9" w:rsidRDefault="00B37EC9" w:rsidP="00B37EC9">
      <w:pPr>
        <w:autoSpaceDE w:val="0"/>
        <w:autoSpaceDN w:val="0"/>
        <w:adjustRightInd w:val="0"/>
        <w:rPr>
          <w:rFonts w:asciiTheme="minorHAnsi" w:hAnsiTheme="minorHAnsi" w:cstheme="minorHAnsi"/>
        </w:rPr>
      </w:pPr>
    </w:p>
    <w:p w14:paraId="7B066822" w14:textId="77777777" w:rsidR="00B37EC9" w:rsidRPr="00B37EC9" w:rsidRDefault="00B37EC9" w:rsidP="00B37EC9">
      <w:pPr>
        <w:autoSpaceDE w:val="0"/>
        <w:autoSpaceDN w:val="0"/>
        <w:adjustRightInd w:val="0"/>
        <w:rPr>
          <w:rFonts w:asciiTheme="minorHAnsi" w:hAnsiTheme="minorHAnsi" w:cstheme="minorHAnsi"/>
        </w:rPr>
      </w:pPr>
    </w:p>
    <w:p w14:paraId="3FD5DE75" w14:textId="77777777" w:rsidR="00B37EC9" w:rsidRPr="00B37EC9" w:rsidRDefault="00B37EC9" w:rsidP="00B37EC9">
      <w:pPr>
        <w:pStyle w:val="ListParagraph"/>
        <w:numPr>
          <w:ilvl w:val="0"/>
          <w:numId w:val="7"/>
        </w:numPr>
        <w:autoSpaceDE w:val="0"/>
        <w:autoSpaceDN w:val="0"/>
        <w:adjustRightInd w:val="0"/>
        <w:spacing w:after="0"/>
        <w:ind w:left="360"/>
        <w:rPr>
          <w:rFonts w:cstheme="minorHAnsi"/>
        </w:rPr>
      </w:pPr>
      <w:r w:rsidRPr="00B37EC9">
        <w:rPr>
          <w:rFonts w:cstheme="minorHAnsi"/>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14:paraId="0AC3FCF5" w14:textId="77777777" w:rsidR="00B37EC9" w:rsidRPr="00B37EC9" w:rsidRDefault="00B37EC9" w:rsidP="00B37EC9">
      <w:pPr>
        <w:autoSpaceDE w:val="0"/>
        <w:autoSpaceDN w:val="0"/>
        <w:adjustRightInd w:val="0"/>
        <w:rPr>
          <w:rFonts w:asciiTheme="minorHAnsi" w:hAnsiTheme="minorHAnsi" w:cstheme="minorHAnsi"/>
        </w:rPr>
      </w:pPr>
    </w:p>
    <w:p w14:paraId="1BCBFD4D" w14:textId="77777777" w:rsidR="005E7176" w:rsidRDefault="00B37EC9" w:rsidP="005E7176">
      <w:pPr>
        <w:ind w:left="720"/>
      </w:pPr>
      <w:r w:rsidRPr="00B37EC9">
        <w:rPr>
          <w:rFonts w:asciiTheme="minorHAnsi" w:hAnsiTheme="minorHAnsi" w:cstheme="minorHAnsi"/>
        </w:rPr>
        <w:t xml:space="preserve">Extensive internal testing with EX-Im Bank staff will occur over a period of four weeks to ensure that all bugs are worked out and the questionnaire flows smoothly. </w:t>
      </w:r>
      <w:r w:rsidR="005E7176">
        <w:rPr>
          <w:rFonts w:asciiTheme="minorHAnsi" w:hAnsiTheme="minorHAnsi" w:cstheme="minorHAnsi"/>
        </w:rPr>
        <w:br/>
      </w:r>
      <w:r w:rsidR="005E7176">
        <w:rPr>
          <w:rFonts w:asciiTheme="minorHAnsi" w:hAnsiTheme="minorHAnsi" w:cstheme="minorHAnsi"/>
        </w:rPr>
        <w:br/>
      </w:r>
      <w:r w:rsidR="005E7176">
        <w:t xml:space="preserve">Given time constraints, the pilot testing has been replaced with internal testing. </w:t>
      </w:r>
    </w:p>
    <w:p w14:paraId="7BC13295" w14:textId="77777777" w:rsidR="005E7176" w:rsidRDefault="005E7176" w:rsidP="005E7176">
      <w:pPr>
        <w:ind w:left="720"/>
      </w:pPr>
    </w:p>
    <w:p w14:paraId="3DBE8680" w14:textId="77777777" w:rsidR="005E7176" w:rsidRPr="008807F6" w:rsidRDefault="005E7176" w:rsidP="005E7176">
      <w:pPr>
        <w:ind w:left="720"/>
        <w:rPr>
          <w:color w:val="000000"/>
        </w:rPr>
      </w:pPr>
      <w:r>
        <w:t>Respondents from previous cycles of the survey are eligible for inclusion in the current cycle. Frequent users of the Bank have the most detailed and helpful information to provide on the Bank’s competitiveness, so overlap between cycles is required. If current cycle respondents indicate that the survey burden is problematic, Ex-</w:t>
      </w:r>
      <w:proofErr w:type="spellStart"/>
      <w:r>
        <w:t>Im</w:t>
      </w:r>
      <w:proofErr w:type="spellEnd"/>
      <w:r>
        <w:t xml:space="preserve"> Bank will respond to this feedback and reduce the questionnaire length in the following, as per the OMB procedure for amending surveys.</w:t>
      </w:r>
    </w:p>
    <w:p w14:paraId="513AA674" w14:textId="77777777" w:rsidR="00B37EC9" w:rsidRPr="00B37EC9" w:rsidRDefault="00B37EC9" w:rsidP="00B37EC9">
      <w:pPr>
        <w:autoSpaceDE w:val="0"/>
        <w:autoSpaceDN w:val="0"/>
        <w:adjustRightInd w:val="0"/>
        <w:rPr>
          <w:rFonts w:asciiTheme="minorHAnsi" w:hAnsiTheme="minorHAnsi" w:cstheme="minorHAnsi"/>
        </w:rPr>
      </w:pPr>
    </w:p>
    <w:p w14:paraId="521094B2" w14:textId="77777777" w:rsidR="00B37EC9" w:rsidRPr="00B37EC9" w:rsidRDefault="00B37EC9" w:rsidP="00B37EC9">
      <w:pPr>
        <w:autoSpaceDE w:val="0"/>
        <w:autoSpaceDN w:val="0"/>
        <w:adjustRightInd w:val="0"/>
        <w:rPr>
          <w:rFonts w:asciiTheme="minorHAnsi" w:hAnsiTheme="minorHAnsi" w:cstheme="minorHAnsi"/>
        </w:rPr>
      </w:pPr>
    </w:p>
    <w:p w14:paraId="6125415C" w14:textId="77777777" w:rsidR="00B37EC9" w:rsidRPr="00B37EC9" w:rsidRDefault="00B37EC9" w:rsidP="00B37EC9">
      <w:pPr>
        <w:pStyle w:val="ListParagraph"/>
        <w:numPr>
          <w:ilvl w:val="0"/>
          <w:numId w:val="7"/>
        </w:numPr>
        <w:autoSpaceDE w:val="0"/>
        <w:autoSpaceDN w:val="0"/>
        <w:adjustRightInd w:val="0"/>
        <w:spacing w:after="0"/>
        <w:ind w:left="360"/>
        <w:rPr>
          <w:rFonts w:cstheme="minorHAnsi"/>
        </w:rPr>
      </w:pPr>
      <w:r w:rsidRPr="00B37EC9">
        <w:rPr>
          <w:rFonts w:cstheme="minorHAnsi"/>
        </w:rPr>
        <w:t>Provide the name and telephone number of individuals consulted on statistical aspects of the design and the name of the agency unit, contractor(s), grantee(s), or other person(s) who will actually collect and/or analyze the information for the agency.</w:t>
      </w:r>
    </w:p>
    <w:p w14:paraId="6D49584F" w14:textId="77777777" w:rsidR="00B37EC9" w:rsidRPr="00B37EC9" w:rsidRDefault="00B37EC9" w:rsidP="00B37EC9">
      <w:pPr>
        <w:rPr>
          <w:rFonts w:asciiTheme="minorHAnsi" w:hAnsiTheme="minorHAnsi" w:cstheme="minorHAnsi"/>
        </w:rPr>
      </w:pPr>
    </w:p>
    <w:p w14:paraId="31CDD280" w14:textId="108011C3" w:rsidR="00B37EC9" w:rsidRPr="00B37EC9" w:rsidRDefault="00B37EC9" w:rsidP="00B37EC9">
      <w:pPr>
        <w:rPr>
          <w:rFonts w:asciiTheme="minorHAnsi" w:hAnsiTheme="minorHAnsi" w:cstheme="minorHAnsi"/>
        </w:rPr>
      </w:pPr>
      <w:r w:rsidRPr="00B37EC9">
        <w:rPr>
          <w:rFonts w:asciiTheme="minorHAnsi" w:hAnsiTheme="minorHAnsi" w:cstheme="minorHAnsi"/>
        </w:rPr>
        <w:t>Nicole Hutsell</w:t>
      </w:r>
    </w:p>
    <w:p w14:paraId="40113F75" w14:textId="77777777" w:rsidR="00B37EC9" w:rsidRPr="00B37EC9" w:rsidRDefault="00B37EC9" w:rsidP="00B37EC9">
      <w:pPr>
        <w:rPr>
          <w:rFonts w:asciiTheme="minorHAnsi" w:hAnsiTheme="minorHAnsi" w:cstheme="minorHAnsi"/>
        </w:rPr>
      </w:pPr>
      <w:r w:rsidRPr="00B37EC9">
        <w:rPr>
          <w:rFonts w:asciiTheme="minorHAnsi" w:hAnsiTheme="minorHAnsi" w:cstheme="minorHAnsi"/>
        </w:rPr>
        <w:t>Policy Analyst – International Relations Division</w:t>
      </w:r>
    </w:p>
    <w:p w14:paraId="70BC45DD" w14:textId="77777777" w:rsidR="00B37EC9" w:rsidRPr="00B37EC9" w:rsidRDefault="00B37EC9" w:rsidP="00B37EC9">
      <w:pPr>
        <w:rPr>
          <w:rFonts w:asciiTheme="minorHAnsi" w:hAnsiTheme="minorHAnsi" w:cstheme="minorHAnsi"/>
        </w:rPr>
      </w:pPr>
      <w:r w:rsidRPr="00B37EC9">
        <w:rPr>
          <w:rFonts w:asciiTheme="minorHAnsi" w:hAnsiTheme="minorHAnsi" w:cstheme="minorHAnsi"/>
        </w:rPr>
        <w:t>Export-Import Bank of the U.S.</w:t>
      </w:r>
    </w:p>
    <w:p w14:paraId="01D131BD" w14:textId="77777777" w:rsidR="00B37EC9" w:rsidRPr="00B37EC9" w:rsidRDefault="00B37EC9" w:rsidP="00B37EC9">
      <w:pPr>
        <w:rPr>
          <w:rFonts w:asciiTheme="minorHAnsi" w:hAnsiTheme="minorHAnsi" w:cstheme="minorHAnsi"/>
        </w:rPr>
      </w:pPr>
      <w:r w:rsidRPr="00B37EC9">
        <w:rPr>
          <w:rFonts w:asciiTheme="minorHAnsi" w:hAnsiTheme="minorHAnsi" w:cstheme="minorHAnsi"/>
        </w:rPr>
        <w:t>202-565-3765</w:t>
      </w:r>
    </w:p>
    <w:p w14:paraId="516DDC47" w14:textId="77777777" w:rsidR="00B37EC9" w:rsidRPr="00B37EC9" w:rsidRDefault="00B37EC9" w:rsidP="00B37EC9">
      <w:pPr>
        <w:rPr>
          <w:rFonts w:asciiTheme="minorHAnsi" w:hAnsiTheme="minorHAnsi" w:cstheme="minorHAnsi"/>
        </w:rPr>
      </w:pPr>
      <w:r w:rsidRPr="00B37EC9">
        <w:rPr>
          <w:rFonts w:asciiTheme="minorHAnsi" w:hAnsiTheme="minorHAnsi" w:cstheme="minorHAnsi"/>
        </w:rPr>
        <w:t>Nicole.Hutsell@exim.gov</w:t>
      </w:r>
    </w:p>
    <w:p w14:paraId="7EA8679C" w14:textId="77777777" w:rsidR="00FE37E3" w:rsidRPr="00B37EC9" w:rsidRDefault="00FE37E3" w:rsidP="000C17B7">
      <w:pPr>
        <w:autoSpaceDE w:val="0"/>
        <w:autoSpaceDN w:val="0"/>
        <w:adjustRightInd w:val="0"/>
        <w:spacing w:line="240" w:lineRule="atLeast"/>
        <w:rPr>
          <w:rFonts w:asciiTheme="minorHAnsi" w:hAnsiTheme="minorHAnsi" w:cstheme="minorHAnsi"/>
        </w:rPr>
      </w:pPr>
    </w:p>
    <w:sectPr w:rsidR="00FE37E3" w:rsidRPr="00B37EC9" w:rsidSect="006C4EBE">
      <w:pgSz w:w="12240" w:h="15840"/>
      <w:pgMar w:top="1080" w:right="1080" w:bottom="1080" w:left="108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EF647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66F14B" w14:textId="77777777" w:rsidR="00395BAB" w:rsidRDefault="00395BAB">
      <w:r>
        <w:separator/>
      </w:r>
    </w:p>
  </w:endnote>
  <w:endnote w:type="continuationSeparator" w:id="0">
    <w:p w14:paraId="67AAB7D0" w14:textId="77777777" w:rsidR="00395BAB" w:rsidRDefault="00395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F9EC8" w14:textId="77777777" w:rsidR="00395BAB" w:rsidRDefault="00395BAB">
      <w:r>
        <w:separator/>
      </w:r>
    </w:p>
  </w:footnote>
  <w:footnote w:type="continuationSeparator" w:id="0">
    <w:p w14:paraId="5230BDEA" w14:textId="77777777" w:rsidR="00395BAB" w:rsidRDefault="00395BAB">
      <w:r>
        <w:continuationSeparator/>
      </w:r>
    </w:p>
  </w:footnote>
  <w:footnote w:id="1">
    <w:p w14:paraId="5D916981" w14:textId="77777777" w:rsidR="00B37EC9" w:rsidRPr="00B37EC9" w:rsidRDefault="00B37EC9" w:rsidP="00B37EC9">
      <w:pPr>
        <w:pStyle w:val="FootnoteText"/>
        <w:rPr>
          <w:rFonts w:asciiTheme="minorHAnsi" w:hAnsiTheme="minorHAnsi" w:cstheme="minorHAnsi"/>
        </w:rPr>
      </w:pPr>
      <w:r w:rsidRPr="00B37EC9">
        <w:rPr>
          <w:rStyle w:val="FootnoteReference"/>
          <w:rFonts w:asciiTheme="minorHAnsi" w:hAnsiTheme="minorHAnsi" w:cstheme="minorHAnsi"/>
        </w:rPr>
        <w:footnoteRef/>
      </w:r>
      <w:r w:rsidRPr="00B37EC9">
        <w:rPr>
          <w:rFonts w:asciiTheme="minorHAnsi" w:hAnsiTheme="minorHAnsi" w:cstheme="minorHAnsi"/>
        </w:rPr>
        <w:t xml:space="preserve"> The management information system to which the survey group has access does not contain complete contact information for all Ex-Im Bank clients. It would be time and cost prohibitive for the government to obtain the contact information for all Ex-Im Bank clients; as such, Ex-Im staff will focus their efforts on obtaining contact information for exporters, lenders, and brokers that have used Ex-Im financing in three or more transactions during the calendar year.)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2046A"/>
    <w:multiLevelType w:val="hybridMultilevel"/>
    <w:tmpl w:val="1D0EEB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83813BF"/>
    <w:multiLevelType w:val="hybridMultilevel"/>
    <w:tmpl w:val="FBC08844"/>
    <w:lvl w:ilvl="0" w:tplc="42BA34B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FC43A81"/>
    <w:multiLevelType w:val="hybridMultilevel"/>
    <w:tmpl w:val="441AF4EA"/>
    <w:lvl w:ilvl="0" w:tplc="344CAC42">
      <w:start w:val="1"/>
      <w:numFmt w:val="decimal"/>
      <w:lvlText w:val="%1)"/>
      <w:lvlJc w:val="left"/>
      <w:pPr>
        <w:ind w:left="720" w:hanging="360"/>
      </w:pPr>
      <w:rPr>
        <w:rFonts w:hint="default"/>
        <w:b w:val="0"/>
        <w:color w:val="auto"/>
      </w:rPr>
    </w:lvl>
    <w:lvl w:ilvl="1" w:tplc="6DB2D5E6">
      <w:start w:val="1"/>
      <w:numFmt w:val="bullet"/>
      <w:lvlText w:val=""/>
      <w:lvlJc w:val="left"/>
      <w:pPr>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8F49EC"/>
    <w:multiLevelType w:val="hybridMultilevel"/>
    <w:tmpl w:val="6BF073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88D660C"/>
    <w:multiLevelType w:val="hybridMultilevel"/>
    <w:tmpl w:val="8212646E"/>
    <w:lvl w:ilvl="0" w:tplc="344CAC42">
      <w:start w:val="1"/>
      <w:numFmt w:val="decimal"/>
      <w:lvlText w:val="%1)"/>
      <w:lvlJc w:val="left"/>
      <w:pPr>
        <w:ind w:left="720" w:hanging="360"/>
      </w:pPr>
      <w:rPr>
        <w:rFonts w:hint="default"/>
        <w:b w:val="0"/>
        <w:color w:val="auto"/>
      </w:rPr>
    </w:lvl>
    <w:lvl w:ilvl="1" w:tplc="6DB2D5E6">
      <w:start w:val="1"/>
      <w:numFmt w:val="bullet"/>
      <w:lvlText w:val=""/>
      <w:lvlJc w:val="left"/>
      <w:pPr>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1268AC"/>
    <w:multiLevelType w:val="hybridMultilevel"/>
    <w:tmpl w:val="DCD8C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B17173"/>
    <w:multiLevelType w:val="hybridMultilevel"/>
    <w:tmpl w:val="CDD05E90"/>
    <w:lvl w:ilvl="0" w:tplc="344CAC42">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872"/>
    <w:rsid w:val="00001EF5"/>
    <w:rsid w:val="000171BC"/>
    <w:rsid w:val="00043102"/>
    <w:rsid w:val="00071F40"/>
    <w:rsid w:val="00080330"/>
    <w:rsid w:val="000C17B7"/>
    <w:rsid w:val="00175A12"/>
    <w:rsid w:val="001A583D"/>
    <w:rsid w:val="001C3ABC"/>
    <w:rsid w:val="00224BEB"/>
    <w:rsid w:val="00267DBD"/>
    <w:rsid w:val="003238E8"/>
    <w:rsid w:val="003902E5"/>
    <w:rsid w:val="00395BAB"/>
    <w:rsid w:val="003A1437"/>
    <w:rsid w:val="004376A8"/>
    <w:rsid w:val="00461CC3"/>
    <w:rsid w:val="00573820"/>
    <w:rsid w:val="00574D7C"/>
    <w:rsid w:val="00591B54"/>
    <w:rsid w:val="005B7872"/>
    <w:rsid w:val="005D1067"/>
    <w:rsid w:val="005E7176"/>
    <w:rsid w:val="006A6326"/>
    <w:rsid w:val="006C4EBE"/>
    <w:rsid w:val="006C6832"/>
    <w:rsid w:val="006C780F"/>
    <w:rsid w:val="006D315F"/>
    <w:rsid w:val="00714F2C"/>
    <w:rsid w:val="00721EC9"/>
    <w:rsid w:val="00751CD1"/>
    <w:rsid w:val="007555B2"/>
    <w:rsid w:val="007600FE"/>
    <w:rsid w:val="00763800"/>
    <w:rsid w:val="0082307F"/>
    <w:rsid w:val="00873AC5"/>
    <w:rsid w:val="00877228"/>
    <w:rsid w:val="00896F01"/>
    <w:rsid w:val="008A36B3"/>
    <w:rsid w:val="00A02AA6"/>
    <w:rsid w:val="00A04606"/>
    <w:rsid w:val="00A23632"/>
    <w:rsid w:val="00A458C0"/>
    <w:rsid w:val="00A4722D"/>
    <w:rsid w:val="00A9664C"/>
    <w:rsid w:val="00B37EC9"/>
    <w:rsid w:val="00BB3874"/>
    <w:rsid w:val="00BB4E10"/>
    <w:rsid w:val="00C16552"/>
    <w:rsid w:val="00CA1E1D"/>
    <w:rsid w:val="00CC64BB"/>
    <w:rsid w:val="00CE32B8"/>
    <w:rsid w:val="00CE5762"/>
    <w:rsid w:val="00D32956"/>
    <w:rsid w:val="00D34C75"/>
    <w:rsid w:val="00D37283"/>
    <w:rsid w:val="00D9284B"/>
    <w:rsid w:val="00D93C98"/>
    <w:rsid w:val="00DC4262"/>
    <w:rsid w:val="00E14F9A"/>
    <w:rsid w:val="00E40BDF"/>
    <w:rsid w:val="00E82551"/>
    <w:rsid w:val="00E852AB"/>
    <w:rsid w:val="00EC22A7"/>
    <w:rsid w:val="00EF7F68"/>
    <w:rsid w:val="00F00007"/>
    <w:rsid w:val="00F37C5E"/>
    <w:rsid w:val="00F446E1"/>
    <w:rsid w:val="00F501DE"/>
    <w:rsid w:val="00F67350"/>
    <w:rsid w:val="00F91BDC"/>
    <w:rsid w:val="00FE37E3"/>
    <w:rsid w:val="00FE707F"/>
    <w:rsid w:val="00FE74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4EB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5B7872"/>
    <w:rPr>
      <w:sz w:val="20"/>
      <w:szCs w:val="20"/>
    </w:rPr>
  </w:style>
  <w:style w:type="character" w:styleId="FootnoteReference">
    <w:name w:val="footnote reference"/>
    <w:uiPriority w:val="99"/>
    <w:semiHidden/>
    <w:rsid w:val="005B7872"/>
    <w:rPr>
      <w:vertAlign w:val="superscript"/>
    </w:rPr>
  </w:style>
  <w:style w:type="paragraph" w:styleId="NormalWeb">
    <w:name w:val="Normal (Web)"/>
    <w:basedOn w:val="Normal"/>
    <w:rsid w:val="005B7872"/>
    <w:pPr>
      <w:spacing w:before="100" w:beforeAutospacing="1" w:after="100" w:afterAutospacing="1"/>
    </w:pPr>
    <w:rPr>
      <w:rFonts w:ascii="Arial" w:hAnsi="Arial" w:cs="Arial"/>
      <w:color w:val="000000"/>
      <w:sz w:val="18"/>
      <w:szCs w:val="18"/>
    </w:rPr>
  </w:style>
  <w:style w:type="character" w:styleId="Emphasis">
    <w:name w:val="Emphasis"/>
    <w:qFormat/>
    <w:rsid w:val="005B7872"/>
    <w:rPr>
      <w:i/>
      <w:iCs/>
    </w:rPr>
  </w:style>
  <w:style w:type="paragraph" w:customStyle="1" w:styleId="pagehdr">
    <w:name w:val="pagehdr"/>
    <w:basedOn w:val="Normal"/>
    <w:rsid w:val="005B7872"/>
    <w:pPr>
      <w:spacing w:before="100" w:beforeAutospacing="1" w:after="100" w:afterAutospacing="1"/>
    </w:pPr>
    <w:rPr>
      <w:rFonts w:ascii="Arial" w:hAnsi="Arial" w:cs="Arial"/>
      <w:b/>
      <w:bCs/>
      <w:color w:val="456994"/>
    </w:rPr>
  </w:style>
  <w:style w:type="character" w:styleId="Strong">
    <w:name w:val="Strong"/>
    <w:qFormat/>
    <w:rsid w:val="005B7872"/>
    <w:rPr>
      <w:b/>
      <w:bCs/>
    </w:rPr>
  </w:style>
  <w:style w:type="character" w:styleId="CommentReference">
    <w:name w:val="annotation reference"/>
    <w:semiHidden/>
    <w:rsid w:val="00FE37E3"/>
    <w:rPr>
      <w:sz w:val="16"/>
      <w:szCs w:val="16"/>
    </w:rPr>
  </w:style>
  <w:style w:type="paragraph" w:styleId="CommentText">
    <w:name w:val="annotation text"/>
    <w:basedOn w:val="Normal"/>
    <w:semiHidden/>
    <w:rsid w:val="00FE37E3"/>
    <w:rPr>
      <w:sz w:val="20"/>
      <w:szCs w:val="20"/>
    </w:rPr>
  </w:style>
  <w:style w:type="paragraph" w:styleId="CommentSubject">
    <w:name w:val="annotation subject"/>
    <w:basedOn w:val="CommentText"/>
    <w:next w:val="CommentText"/>
    <w:semiHidden/>
    <w:rsid w:val="00FE37E3"/>
    <w:rPr>
      <w:b/>
      <w:bCs/>
    </w:rPr>
  </w:style>
  <w:style w:type="paragraph" w:styleId="BalloonText">
    <w:name w:val="Balloon Text"/>
    <w:basedOn w:val="Normal"/>
    <w:semiHidden/>
    <w:rsid w:val="00FE37E3"/>
    <w:rPr>
      <w:rFonts w:ascii="Tahoma" w:hAnsi="Tahoma" w:cs="Tahoma"/>
      <w:sz w:val="16"/>
      <w:szCs w:val="16"/>
    </w:rPr>
  </w:style>
  <w:style w:type="paragraph" w:styleId="Header">
    <w:name w:val="header"/>
    <w:basedOn w:val="Normal"/>
    <w:rsid w:val="00F67350"/>
    <w:pPr>
      <w:tabs>
        <w:tab w:val="center" w:pos="4320"/>
        <w:tab w:val="right" w:pos="8640"/>
      </w:tabs>
    </w:pPr>
  </w:style>
  <w:style w:type="paragraph" w:styleId="Footer">
    <w:name w:val="footer"/>
    <w:basedOn w:val="Normal"/>
    <w:rsid w:val="00F67350"/>
    <w:pPr>
      <w:tabs>
        <w:tab w:val="center" w:pos="4320"/>
        <w:tab w:val="right" w:pos="8640"/>
      </w:tabs>
    </w:pPr>
  </w:style>
  <w:style w:type="character" w:styleId="Hyperlink">
    <w:name w:val="Hyperlink"/>
    <w:basedOn w:val="DefaultParagraphFont"/>
    <w:rsid w:val="003902E5"/>
    <w:rPr>
      <w:color w:val="0000FF"/>
      <w:u w:val="single"/>
    </w:rPr>
  </w:style>
  <w:style w:type="paragraph" w:styleId="ListParagraph">
    <w:name w:val="List Paragraph"/>
    <w:basedOn w:val="Normal"/>
    <w:uiPriority w:val="34"/>
    <w:qFormat/>
    <w:rsid w:val="00B37EC9"/>
    <w:pPr>
      <w:spacing w:after="200"/>
      <w:ind w:left="720"/>
      <w:contextualSpacing/>
    </w:pPr>
    <w:rPr>
      <w:rFonts w:asciiTheme="minorHAnsi" w:eastAsiaTheme="minorHAnsi" w:hAnsiTheme="minorHAnsi" w:cstheme="minorBidi"/>
      <w:sz w:val="22"/>
      <w:szCs w:val="22"/>
    </w:rPr>
  </w:style>
  <w:style w:type="character" w:customStyle="1" w:styleId="FootnoteTextChar">
    <w:name w:val="Footnote Text Char"/>
    <w:basedOn w:val="DefaultParagraphFont"/>
    <w:link w:val="FootnoteText"/>
    <w:uiPriority w:val="99"/>
    <w:semiHidden/>
    <w:rsid w:val="00B37E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5B7872"/>
    <w:rPr>
      <w:sz w:val="20"/>
      <w:szCs w:val="20"/>
    </w:rPr>
  </w:style>
  <w:style w:type="character" w:styleId="FootnoteReference">
    <w:name w:val="footnote reference"/>
    <w:uiPriority w:val="99"/>
    <w:semiHidden/>
    <w:rsid w:val="005B7872"/>
    <w:rPr>
      <w:vertAlign w:val="superscript"/>
    </w:rPr>
  </w:style>
  <w:style w:type="paragraph" w:styleId="NormalWeb">
    <w:name w:val="Normal (Web)"/>
    <w:basedOn w:val="Normal"/>
    <w:rsid w:val="005B7872"/>
    <w:pPr>
      <w:spacing w:before="100" w:beforeAutospacing="1" w:after="100" w:afterAutospacing="1"/>
    </w:pPr>
    <w:rPr>
      <w:rFonts w:ascii="Arial" w:hAnsi="Arial" w:cs="Arial"/>
      <w:color w:val="000000"/>
      <w:sz w:val="18"/>
      <w:szCs w:val="18"/>
    </w:rPr>
  </w:style>
  <w:style w:type="character" w:styleId="Emphasis">
    <w:name w:val="Emphasis"/>
    <w:qFormat/>
    <w:rsid w:val="005B7872"/>
    <w:rPr>
      <w:i/>
      <w:iCs/>
    </w:rPr>
  </w:style>
  <w:style w:type="paragraph" w:customStyle="1" w:styleId="pagehdr">
    <w:name w:val="pagehdr"/>
    <w:basedOn w:val="Normal"/>
    <w:rsid w:val="005B7872"/>
    <w:pPr>
      <w:spacing w:before="100" w:beforeAutospacing="1" w:after="100" w:afterAutospacing="1"/>
    </w:pPr>
    <w:rPr>
      <w:rFonts w:ascii="Arial" w:hAnsi="Arial" w:cs="Arial"/>
      <w:b/>
      <w:bCs/>
      <w:color w:val="456994"/>
    </w:rPr>
  </w:style>
  <w:style w:type="character" w:styleId="Strong">
    <w:name w:val="Strong"/>
    <w:qFormat/>
    <w:rsid w:val="005B7872"/>
    <w:rPr>
      <w:b/>
      <w:bCs/>
    </w:rPr>
  </w:style>
  <w:style w:type="character" w:styleId="CommentReference">
    <w:name w:val="annotation reference"/>
    <w:semiHidden/>
    <w:rsid w:val="00FE37E3"/>
    <w:rPr>
      <w:sz w:val="16"/>
      <w:szCs w:val="16"/>
    </w:rPr>
  </w:style>
  <w:style w:type="paragraph" w:styleId="CommentText">
    <w:name w:val="annotation text"/>
    <w:basedOn w:val="Normal"/>
    <w:semiHidden/>
    <w:rsid w:val="00FE37E3"/>
    <w:rPr>
      <w:sz w:val="20"/>
      <w:szCs w:val="20"/>
    </w:rPr>
  </w:style>
  <w:style w:type="paragraph" w:styleId="CommentSubject">
    <w:name w:val="annotation subject"/>
    <w:basedOn w:val="CommentText"/>
    <w:next w:val="CommentText"/>
    <w:semiHidden/>
    <w:rsid w:val="00FE37E3"/>
    <w:rPr>
      <w:b/>
      <w:bCs/>
    </w:rPr>
  </w:style>
  <w:style w:type="paragraph" w:styleId="BalloonText">
    <w:name w:val="Balloon Text"/>
    <w:basedOn w:val="Normal"/>
    <w:semiHidden/>
    <w:rsid w:val="00FE37E3"/>
    <w:rPr>
      <w:rFonts w:ascii="Tahoma" w:hAnsi="Tahoma" w:cs="Tahoma"/>
      <w:sz w:val="16"/>
      <w:szCs w:val="16"/>
    </w:rPr>
  </w:style>
  <w:style w:type="paragraph" w:styleId="Header">
    <w:name w:val="header"/>
    <w:basedOn w:val="Normal"/>
    <w:rsid w:val="00F67350"/>
    <w:pPr>
      <w:tabs>
        <w:tab w:val="center" w:pos="4320"/>
        <w:tab w:val="right" w:pos="8640"/>
      </w:tabs>
    </w:pPr>
  </w:style>
  <w:style w:type="paragraph" w:styleId="Footer">
    <w:name w:val="footer"/>
    <w:basedOn w:val="Normal"/>
    <w:rsid w:val="00F67350"/>
    <w:pPr>
      <w:tabs>
        <w:tab w:val="center" w:pos="4320"/>
        <w:tab w:val="right" w:pos="8640"/>
      </w:tabs>
    </w:pPr>
  </w:style>
  <w:style w:type="character" w:styleId="Hyperlink">
    <w:name w:val="Hyperlink"/>
    <w:basedOn w:val="DefaultParagraphFont"/>
    <w:rsid w:val="003902E5"/>
    <w:rPr>
      <w:color w:val="0000FF"/>
      <w:u w:val="single"/>
    </w:rPr>
  </w:style>
  <w:style w:type="paragraph" w:styleId="ListParagraph">
    <w:name w:val="List Paragraph"/>
    <w:basedOn w:val="Normal"/>
    <w:uiPriority w:val="34"/>
    <w:qFormat/>
    <w:rsid w:val="00B37EC9"/>
    <w:pPr>
      <w:spacing w:after="200"/>
      <w:ind w:left="720"/>
      <w:contextualSpacing/>
    </w:pPr>
    <w:rPr>
      <w:rFonts w:asciiTheme="minorHAnsi" w:eastAsiaTheme="minorHAnsi" w:hAnsiTheme="minorHAnsi" w:cstheme="minorBidi"/>
      <w:sz w:val="22"/>
      <w:szCs w:val="22"/>
    </w:rPr>
  </w:style>
  <w:style w:type="character" w:customStyle="1" w:styleId="FootnoteTextChar">
    <w:name w:val="Footnote Text Char"/>
    <w:basedOn w:val="DefaultParagraphFont"/>
    <w:link w:val="FootnoteText"/>
    <w:uiPriority w:val="99"/>
    <w:semiHidden/>
    <w:rsid w:val="00B37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1CAEC3-E282-4F6A-9E6A-32D04A707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1058</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7077</CharactersWithSpaces>
  <SharedDoc>false</SharedDoc>
  <HLinks>
    <vt:vector size="12" baseType="variant">
      <vt:variant>
        <vt:i4>2818167</vt:i4>
      </vt:variant>
      <vt:variant>
        <vt:i4>3</vt:i4>
      </vt:variant>
      <vt:variant>
        <vt:i4>0</vt:i4>
      </vt:variant>
      <vt:variant>
        <vt:i4>5</vt:i4>
      </vt:variant>
      <vt:variant>
        <vt:lpwstr>http://www.novisystems.com/</vt:lpwstr>
      </vt:variant>
      <vt:variant>
        <vt:lpwstr/>
      </vt:variant>
      <vt:variant>
        <vt:i4>4653135</vt:i4>
      </vt:variant>
      <vt:variant>
        <vt:i4>0</vt:i4>
      </vt:variant>
      <vt:variant>
        <vt:i4>0</vt:i4>
      </vt:variant>
      <vt:variant>
        <vt:i4>5</vt:i4>
      </vt:variant>
      <vt:variant>
        <vt:lpwstr>http://www.checkbox.com/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2016-02-10T19:43:00Z</dcterms:created>
  <dcterms:modified xsi:type="dcterms:W3CDTF">2016-02-12T23:30:00Z</dcterms:modified>
</cp:coreProperties>
</file>