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757" w:rsidRDefault="00503E4E">
      <w:pPr>
        <w:widowControl/>
        <w:tabs>
          <w:tab w:val="center" w:pos="4680"/>
        </w:tabs>
        <w:jc w:val="center"/>
        <w:rPr>
          <w:rFonts w:ascii="Times New Roman" w:hAnsi="Times New Roman"/>
          <w:color w:val="000000"/>
        </w:rPr>
      </w:pPr>
      <w:r>
        <w:rPr>
          <w:rFonts w:ascii="Times New Roman" w:hAnsi="Times New Roman"/>
          <w:color w:val="000000"/>
        </w:rPr>
        <w:t>SUPPORTING STATEMENT</w:t>
      </w:r>
    </w:p>
    <w:p w:rsidR="005B6757" w:rsidRDefault="00503E4E">
      <w:pPr>
        <w:widowControl/>
        <w:tabs>
          <w:tab w:val="center" w:pos="4680"/>
        </w:tabs>
        <w:jc w:val="center"/>
        <w:rPr>
          <w:rFonts w:ascii="Times New Roman" w:hAnsi="Times New Roman"/>
          <w:color w:val="000000"/>
        </w:rPr>
      </w:pPr>
      <w:r>
        <w:rPr>
          <w:rFonts w:ascii="Times New Roman" w:hAnsi="Times New Roman"/>
          <w:color w:val="000000"/>
        </w:rPr>
        <w:t>Funding and Liquidity Risk Management</w:t>
      </w:r>
    </w:p>
    <w:p w:rsidR="005B6757" w:rsidRDefault="00503E4E">
      <w:pPr>
        <w:widowControl/>
        <w:tabs>
          <w:tab w:val="center" w:pos="4680"/>
        </w:tabs>
        <w:jc w:val="center"/>
        <w:rPr>
          <w:rFonts w:ascii="Times New Roman" w:hAnsi="Times New Roman"/>
          <w:color w:val="000000"/>
        </w:rPr>
      </w:pPr>
      <w:r>
        <w:rPr>
          <w:rFonts w:ascii="Times New Roman" w:hAnsi="Times New Roman"/>
          <w:color w:val="000000"/>
        </w:rPr>
        <w:t>(</w:t>
      </w:r>
      <w:r w:rsidR="00AD6C32">
        <w:rPr>
          <w:rFonts w:ascii="Times New Roman" w:hAnsi="Times New Roman"/>
          <w:color w:val="000000"/>
        </w:rPr>
        <w:t>3064-0174</w:t>
      </w:r>
      <w:r>
        <w:rPr>
          <w:rFonts w:ascii="Times New Roman" w:hAnsi="Times New Roman"/>
          <w:color w:val="000000"/>
        </w:rPr>
        <w:t>)</w:t>
      </w:r>
    </w:p>
    <w:p w:rsidR="005B6757" w:rsidRDefault="005B6757">
      <w:pPr>
        <w:widowControl/>
        <w:rPr>
          <w:rFonts w:ascii="Times New Roman" w:hAnsi="Times New Roman"/>
          <w:color w:val="000000"/>
        </w:rPr>
      </w:pPr>
    </w:p>
    <w:p w:rsidR="005B6757" w:rsidRDefault="005B6757">
      <w:pPr>
        <w:widowControl/>
        <w:rPr>
          <w:rFonts w:ascii="Times New Roman" w:hAnsi="Times New Roman"/>
          <w:color w:val="000000"/>
        </w:rPr>
      </w:pPr>
    </w:p>
    <w:p w:rsidR="005B6757" w:rsidRDefault="00503E4E">
      <w:pPr>
        <w:widowControl/>
        <w:rPr>
          <w:rFonts w:ascii="Times New Roman" w:hAnsi="Times New Roman"/>
          <w:color w:val="000000"/>
        </w:rPr>
      </w:pPr>
      <w:r>
        <w:rPr>
          <w:rFonts w:ascii="Times New Roman" w:hAnsi="Times New Roman"/>
          <w:color w:val="000000"/>
        </w:rPr>
        <w:t xml:space="preserve">The Federal Deposit Insurance Corporation (“FDIC”) is requesting approval from the Office of Management and Budget (“OMB”) to </w:t>
      </w:r>
      <w:r w:rsidR="00D115D6">
        <w:rPr>
          <w:rFonts w:ascii="Times New Roman" w:hAnsi="Times New Roman"/>
          <w:color w:val="000000"/>
        </w:rPr>
        <w:t>renew a</w:t>
      </w:r>
      <w:r>
        <w:rPr>
          <w:rFonts w:ascii="Times New Roman" w:hAnsi="Times New Roman"/>
          <w:color w:val="000000"/>
        </w:rPr>
        <w:t xml:space="preserve"> collection of information associated with </w:t>
      </w:r>
      <w:r>
        <w:rPr>
          <w:rFonts w:ascii="Times New Roman" w:hAnsi="Times New Roman"/>
          <w:i/>
          <w:color w:val="000000"/>
        </w:rPr>
        <w:t xml:space="preserve">Interagency Guidance </w:t>
      </w:r>
      <w:r>
        <w:rPr>
          <w:rFonts w:ascii="Times New Roman" w:hAnsi="Times New Roman"/>
          <w:color w:val="000000"/>
        </w:rPr>
        <w:t xml:space="preserve">on </w:t>
      </w:r>
      <w:r>
        <w:rPr>
          <w:rFonts w:ascii="Times New Roman" w:hAnsi="Times New Roman"/>
          <w:i/>
          <w:color w:val="000000"/>
        </w:rPr>
        <w:t>Funding and Liquidity Risk Management</w:t>
      </w:r>
      <w:r>
        <w:rPr>
          <w:rFonts w:ascii="Times New Roman" w:hAnsi="Times New Roman"/>
          <w:color w:val="000000"/>
        </w:rPr>
        <w:t>.  The information collection includes reporting and recordkeeping requirements related to sound risk management principles applicable to insured depository institutions.</w:t>
      </w:r>
    </w:p>
    <w:p w:rsidR="005B6757" w:rsidRDefault="00503E4E">
      <w:pPr>
        <w:widowControl/>
        <w:rPr>
          <w:rFonts w:ascii="Times New Roman" w:hAnsi="Times New Roman"/>
          <w:color w:val="000000"/>
        </w:rPr>
      </w:pPr>
      <w:r>
        <w:rPr>
          <w:rFonts w:ascii="Times New Roman" w:hAnsi="Times New Roman"/>
          <w:color w:val="000000"/>
        </w:rPr>
        <w:t xml:space="preserve"> </w:t>
      </w:r>
    </w:p>
    <w:p w:rsidR="005B6757" w:rsidRDefault="00503E4E">
      <w:pPr>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A.</w:t>
      </w:r>
      <w:r>
        <w:rPr>
          <w:rFonts w:ascii="Times New Roman" w:hAnsi="Times New Roman"/>
          <w:color w:val="000000"/>
        </w:rPr>
        <w:tab/>
      </w:r>
      <w:r>
        <w:rPr>
          <w:rFonts w:ascii="Times New Roman" w:hAnsi="Times New Roman"/>
          <w:color w:val="000000"/>
          <w:u w:val="single"/>
        </w:rPr>
        <w:t>JUSTIFICATION</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numPr>
          <w:ilvl w:val="0"/>
          <w:numId w:val="7"/>
        </w:numPr>
        <w:tabs>
          <w:tab w:val="left" w:pos="432"/>
          <w:tab w:val="left" w:pos="1728"/>
          <w:tab w:val="left" w:pos="4176"/>
        </w:tabs>
        <w:rPr>
          <w:rFonts w:ascii="Times New Roman" w:hAnsi="Times New Roman"/>
          <w:color w:val="000000"/>
          <w:u w:val="single"/>
        </w:rPr>
      </w:pPr>
      <w:r>
        <w:rPr>
          <w:rFonts w:ascii="Times New Roman" w:hAnsi="Times New Roman"/>
          <w:color w:val="000000"/>
          <w:u w:val="single"/>
        </w:rPr>
        <w:t>Circumstances and Need</w:t>
      </w:r>
    </w:p>
    <w:p w:rsidR="005B6757" w:rsidRDefault="005B6757">
      <w:pPr>
        <w:widowControl/>
        <w:tabs>
          <w:tab w:val="left" w:pos="432"/>
          <w:tab w:val="left" w:pos="1296"/>
          <w:tab w:val="left" w:pos="1728"/>
          <w:tab w:val="left" w:pos="4176"/>
        </w:tabs>
        <w:ind w:left="1287"/>
        <w:rPr>
          <w:rFonts w:ascii="Times New Roman" w:hAnsi="Times New Roman"/>
          <w:color w:val="000000"/>
          <w:szCs w:val="24"/>
        </w:rPr>
      </w:pPr>
    </w:p>
    <w:p w:rsidR="005B6757" w:rsidRDefault="00A245A5">
      <w:pPr>
        <w:ind w:left="1282"/>
        <w:rPr>
          <w:rFonts w:ascii="Times New Roman" w:hAnsi="Times New Roman"/>
          <w:color w:val="000000"/>
        </w:rPr>
      </w:pPr>
      <w:r>
        <w:rPr>
          <w:rFonts w:ascii="Times New Roman" w:hAnsi="Times New Roman"/>
        </w:rPr>
        <w:t>T</w:t>
      </w:r>
      <w:r w:rsidR="00503E4E">
        <w:rPr>
          <w:rFonts w:ascii="Times New Roman" w:hAnsi="Times New Roman"/>
        </w:rPr>
        <w:t xml:space="preserve">urmoil in the financial markets has resulted in increased focus on the liquidity risk management practices of financial institutions.  Various supervisory groups at both national and international levels, including the Basel Committee on Banking Supervision (“Basel Committee”), the Senior Supervisors Group, and the Financial Stability Board, have worked to assess the impact of current market conditions on an institution’s assessment of its funding liquidity risk and the supervisor’s approach to liquidity risk supervision.  These assessments have highlighted deficiencies in a number of areas, including insufficient holdings of liquid assets, funding risk or illiquid asset portfolios with potentially volatile short-term liabilities, and a lack of meaningful cash flow projections and liquidity contingency plans, and resulted in the issuance of guidance by a number of entities on sound liquidity risk management practices.  Such guidance includes the Basel Committee’s </w:t>
      </w:r>
      <w:r w:rsidR="00503E4E">
        <w:rPr>
          <w:rFonts w:ascii="Times New Roman" w:hAnsi="Times New Roman"/>
          <w:i/>
        </w:rPr>
        <w:t>Principles for Sound Liquidity Risk Management and Supervision</w:t>
      </w:r>
      <w:r w:rsidR="00503E4E">
        <w:rPr>
          <w:rFonts w:ascii="Times New Roman" w:hAnsi="Times New Roman"/>
        </w:rPr>
        <w:t xml:space="preserve">, issued in September 2008, and the </w:t>
      </w:r>
      <w:smartTag w:uri="urn:schemas-microsoft-com:office:smarttags" w:element="place">
        <w:smartTag w:uri="urn:schemas-microsoft-com:office:smarttags" w:element="PlaceType">
          <w:r w:rsidR="00503E4E">
            <w:rPr>
              <w:rFonts w:ascii="Times New Roman" w:hAnsi="Times New Roman"/>
            </w:rPr>
            <w:t>Institute</w:t>
          </w:r>
        </w:smartTag>
        <w:r w:rsidR="00503E4E">
          <w:rPr>
            <w:rFonts w:ascii="Times New Roman" w:hAnsi="Times New Roman"/>
          </w:rPr>
          <w:t xml:space="preserve"> of </w:t>
        </w:r>
        <w:smartTag w:uri="urn:schemas-microsoft-com:office:smarttags" w:element="PlaceName">
          <w:r w:rsidR="00503E4E">
            <w:rPr>
              <w:rFonts w:ascii="Times New Roman" w:hAnsi="Times New Roman"/>
            </w:rPr>
            <w:t>International Finance</w:t>
          </w:r>
        </w:smartTag>
      </w:smartTag>
      <w:r w:rsidR="00503E4E">
        <w:rPr>
          <w:rFonts w:ascii="Times New Roman" w:hAnsi="Times New Roman"/>
        </w:rPr>
        <w:t xml:space="preserve">’s </w:t>
      </w:r>
      <w:r w:rsidR="00503E4E">
        <w:rPr>
          <w:rFonts w:ascii="Times New Roman" w:hAnsi="Times New Roman"/>
          <w:i/>
        </w:rPr>
        <w:t>Final Report of the IIF Committee on Market Best Practices: Principles of Conduct and Best Practices Recommendations</w:t>
      </w:r>
      <w:r w:rsidR="00503E4E">
        <w:rPr>
          <w:rFonts w:ascii="Times New Roman" w:hAnsi="Times New Roman"/>
        </w:rPr>
        <w:t xml:space="preserve">, issued in July 2008.  In a similar vein, the </w:t>
      </w:r>
      <w:r w:rsidR="0055516F">
        <w:rPr>
          <w:rFonts w:ascii="Times New Roman" w:hAnsi="Times New Roman"/>
        </w:rPr>
        <w:t xml:space="preserve">federal banking supervisory </w:t>
      </w:r>
      <w:r w:rsidR="00503E4E">
        <w:rPr>
          <w:rFonts w:ascii="Times New Roman" w:hAnsi="Times New Roman"/>
        </w:rPr>
        <w:t xml:space="preserve">agencies </w:t>
      </w:r>
      <w:r w:rsidR="0055516F">
        <w:rPr>
          <w:rFonts w:ascii="Times New Roman" w:hAnsi="Times New Roman"/>
        </w:rPr>
        <w:t xml:space="preserve">have </w:t>
      </w:r>
      <w:r w:rsidR="00503E4E">
        <w:rPr>
          <w:rFonts w:ascii="Times New Roman" w:hAnsi="Times New Roman"/>
        </w:rPr>
        <w:t>issued</w:t>
      </w:r>
      <w:r>
        <w:rPr>
          <w:rFonts w:ascii="Times New Roman" w:hAnsi="Times New Roman"/>
        </w:rPr>
        <w:t xml:space="preserve"> </w:t>
      </w:r>
      <w:r w:rsidR="00503E4E">
        <w:rPr>
          <w:rFonts w:ascii="Times New Roman" w:hAnsi="Times New Roman"/>
          <w:i/>
        </w:rPr>
        <w:t>Interagency Guidance – Funding and Liquidity Risk Management.</w:t>
      </w:r>
      <w:r w:rsidR="00503E4E">
        <w:rPr>
          <w:rFonts w:ascii="Times New Roman" w:hAnsi="Times New Roman"/>
        </w:rPr>
        <w:t xml:space="preserve">  </w:t>
      </w:r>
      <w:r>
        <w:rPr>
          <w:rFonts w:ascii="Times New Roman" w:hAnsi="Times New Roman"/>
        </w:rPr>
        <w:t>The guidance</w:t>
      </w:r>
      <w:r w:rsidR="00503E4E">
        <w:rPr>
          <w:rFonts w:ascii="Times New Roman" w:hAnsi="Times New Roman"/>
        </w:rPr>
        <w:t xml:space="preserve"> summarizes the principles of sound liquidity risk management that the agencies have issued in the past and, where appropriate, brings them into conformance with the Basel Committee’s </w:t>
      </w:r>
      <w:r w:rsidR="00503E4E">
        <w:rPr>
          <w:rFonts w:ascii="Times New Roman" w:hAnsi="Times New Roman"/>
          <w:i/>
        </w:rPr>
        <w:t>Principles for Sound Liquidity Risk Management and Supervision</w:t>
      </w:r>
      <w:r w:rsidR="00503E4E">
        <w:rPr>
          <w:rFonts w:ascii="Times New Roman" w:hAnsi="Times New Roman"/>
        </w:rPr>
        <w:t xml:space="preserve">.  While the Basel Committee’s liquidity document primarily focuses on large internationally active financial institutions, the agencies’ guidance emphasizes supervisory expectations for all domestic financial institutions including banks, thrifts and credit unions.  </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firstLine="432"/>
        <w:rPr>
          <w:rFonts w:ascii="Times New Roman" w:hAnsi="Times New Roman"/>
          <w:color w:val="000000"/>
          <w:u w:val="single"/>
        </w:rPr>
      </w:pPr>
      <w:r>
        <w:rPr>
          <w:rFonts w:ascii="Times New Roman" w:hAnsi="Times New Roman"/>
          <w:color w:val="000000"/>
        </w:rPr>
        <w:t>2.</w:t>
      </w:r>
      <w:r>
        <w:rPr>
          <w:rFonts w:ascii="Times New Roman" w:hAnsi="Times New Roman"/>
          <w:color w:val="000000"/>
        </w:rPr>
        <w:tab/>
      </w:r>
      <w:r>
        <w:rPr>
          <w:rFonts w:ascii="Times New Roman" w:hAnsi="Times New Roman"/>
          <w:color w:val="000000"/>
          <w:u w:val="single"/>
        </w:rPr>
        <w:t>Use of Information Collected</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left="1296"/>
        <w:rPr>
          <w:rFonts w:ascii="Times New Roman" w:hAnsi="Times New Roman"/>
        </w:rPr>
      </w:pPr>
      <w:r>
        <w:rPr>
          <w:rFonts w:ascii="Times New Roman" w:hAnsi="Times New Roman"/>
          <w:color w:val="000000"/>
          <w:szCs w:val="24"/>
        </w:rPr>
        <w:t xml:space="preserve">Documented policies and procedures that consider liquidity costs, benefits, and risks in strategic planning enable an institution and its supervisor to properly evaluate the liquidity risk exposure of an institution’s individual business lines and for the institution as a whole.  In addition, liquidity risk reports that provide </w:t>
      </w:r>
      <w:r>
        <w:rPr>
          <w:rFonts w:ascii="Times New Roman" w:hAnsi="Times New Roman"/>
          <w:color w:val="000000"/>
          <w:szCs w:val="24"/>
        </w:rPr>
        <w:lastRenderedPageBreak/>
        <w:t xml:space="preserve">detailed and aggregate information on items such as cash flow gaps, cash flow projections, assumptions used in cash flow projections, asset and funding concentrations, funding availability, and early warning or risk indicators enable management to assess an institution’s sensitivity to changes in market conditions, the institution’s financial performance, and other important risk factors.                                                                                                                                                                                                                                                                                                                              </w:t>
      </w:r>
      <w:r>
        <w:rPr>
          <w:rFonts w:ascii="Times New Roman" w:hAnsi="Times New Roman"/>
        </w:rPr>
        <w:t xml:space="preserve"> </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3.</w:t>
      </w:r>
      <w:r>
        <w:rPr>
          <w:rFonts w:ascii="Times New Roman" w:hAnsi="Times New Roman"/>
          <w:color w:val="000000"/>
        </w:rPr>
        <w:tab/>
      </w:r>
      <w:r>
        <w:rPr>
          <w:rFonts w:ascii="Times New Roman" w:hAnsi="Times New Roman"/>
          <w:color w:val="000000"/>
          <w:u w:val="single"/>
        </w:rPr>
        <w:t xml:space="preserve">Use of Technology to Reduce Burden </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rPr>
      </w:pPr>
      <w:r>
        <w:rPr>
          <w:rFonts w:ascii="Times New Roman" w:hAnsi="Times New Roman"/>
        </w:rPr>
        <w:t>Financial institutions may use information technology to the extent they consider appropriate and feasible to document policies and procedures and generate required risk management reports.</w:t>
      </w:r>
    </w:p>
    <w:p w:rsidR="005B6757" w:rsidRDefault="005B6757">
      <w:pPr>
        <w:widowControl/>
        <w:tabs>
          <w:tab w:val="left" w:pos="432"/>
          <w:tab w:val="left" w:pos="1296"/>
          <w:tab w:val="left" w:pos="1728"/>
          <w:tab w:val="left" w:pos="4176"/>
        </w:tabs>
        <w:ind w:left="1296"/>
        <w:rPr>
          <w:rFonts w:ascii="Times New Roman" w:hAnsi="Times New Roman"/>
          <w:color w:val="000000"/>
          <w:szCs w:val="24"/>
        </w:rPr>
      </w:pPr>
    </w:p>
    <w:p w:rsidR="005B6757" w:rsidRDefault="00503E4E">
      <w:pPr>
        <w:widowControl/>
        <w:numPr>
          <w:ilvl w:val="0"/>
          <w:numId w:val="8"/>
        </w:numPr>
        <w:tabs>
          <w:tab w:val="left" w:pos="432"/>
          <w:tab w:val="left" w:pos="1728"/>
          <w:tab w:val="left" w:pos="4176"/>
        </w:tabs>
        <w:rPr>
          <w:rFonts w:ascii="Times New Roman" w:hAnsi="Times New Roman"/>
          <w:color w:val="000000"/>
          <w:u w:val="single"/>
        </w:rPr>
      </w:pPr>
      <w:r>
        <w:rPr>
          <w:rFonts w:ascii="Times New Roman" w:hAnsi="Times New Roman"/>
          <w:color w:val="000000"/>
          <w:u w:val="single"/>
        </w:rPr>
        <w:t xml:space="preserve">Efforts to Identify Duplication </w:t>
      </w:r>
    </w:p>
    <w:p w:rsidR="005B6757" w:rsidRDefault="005B6757">
      <w:pPr>
        <w:widowControl/>
        <w:tabs>
          <w:tab w:val="left" w:pos="432"/>
          <w:tab w:val="left" w:pos="1728"/>
          <w:tab w:val="left" w:pos="4176"/>
        </w:tabs>
        <w:ind w:left="432"/>
        <w:rPr>
          <w:rFonts w:ascii="Times New Roman" w:hAnsi="Times New Roman"/>
          <w:color w:val="000000"/>
          <w:szCs w:val="24"/>
        </w:rPr>
      </w:pPr>
    </w:p>
    <w:p w:rsidR="005B6757" w:rsidRDefault="00503E4E">
      <w:pPr>
        <w:widowControl/>
        <w:tabs>
          <w:tab w:val="left" w:pos="432"/>
          <w:tab w:val="left" w:pos="1728"/>
          <w:tab w:val="left" w:pos="4176"/>
        </w:tabs>
        <w:ind w:left="1287"/>
        <w:rPr>
          <w:rFonts w:ascii="Times New Roman" w:hAnsi="Times New Roman"/>
          <w:color w:val="000000"/>
          <w:szCs w:val="24"/>
          <w:u w:val="single"/>
        </w:rPr>
      </w:pPr>
      <w:r>
        <w:rPr>
          <w:rFonts w:ascii="Times New Roman" w:hAnsi="Times New Roman"/>
          <w:color w:val="000000"/>
          <w:szCs w:val="24"/>
        </w:rPr>
        <w:t xml:space="preserve">The recordkeeping and reporting requirements contained in the guidance are informed by the magnitude and scope of recent, unanticipated funding liquidity issues for financial institutions and are not duplicated elsewhere.    </w:t>
      </w:r>
    </w:p>
    <w:p w:rsidR="005B6757" w:rsidRDefault="005B6757">
      <w:pPr>
        <w:widowControl/>
        <w:tabs>
          <w:tab w:val="left" w:pos="432"/>
          <w:tab w:val="left" w:pos="1296"/>
          <w:tab w:val="left" w:pos="1728"/>
          <w:tab w:val="left" w:pos="4176"/>
        </w:tabs>
        <w:rPr>
          <w:rFonts w:ascii="Times New Roman" w:hAnsi="Times New Roman"/>
          <w:color w:val="000000"/>
          <w:szCs w:val="24"/>
        </w:rPr>
      </w:pPr>
    </w:p>
    <w:p w:rsidR="005B6757" w:rsidRDefault="00503E4E">
      <w:pPr>
        <w:keepNext/>
        <w:widowControl/>
        <w:numPr>
          <w:ilvl w:val="0"/>
          <w:numId w:val="1"/>
        </w:numPr>
        <w:tabs>
          <w:tab w:val="left" w:pos="432"/>
          <w:tab w:val="left" w:pos="1728"/>
          <w:tab w:val="left" w:pos="4176"/>
        </w:tabs>
        <w:ind w:left="1282"/>
        <w:rPr>
          <w:rFonts w:ascii="Times New Roman" w:hAnsi="Times New Roman"/>
          <w:color w:val="000000"/>
          <w:u w:val="single"/>
        </w:rPr>
      </w:pPr>
      <w:r>
        <w:rPr>
          <w:rFonts w:ascii="Times New Roman" w:hAnsi="Times New Roman"/>
          <w:color w:val="000000"/>
          <w:u w:val="single"/>
        </w:rPr>
        <w:t>Minimizing the Burden on Small Entities</w:t>
      </w:r>
    </w:p>
    <w:p w:rsidR="005B6757" w:rsidRDefault="005B6757">
      <w:pPr>
        <w:keepNext/>
        <w:widowControl/>
        <w:tabs>
          <w:tab w:val="left" w:pos="432"/>
          <w:tab w:val="left" w:pos="1296"/>
          <w:tab w:val="left" w:pos="1728"/>
          <w:tab w:val="left" w:pos="4176"/>
        </w:tabs>
        <w:ind w:left="1282"/>
        <w:rPr>
          <w:rFonts w:ascii="Times New Roman" w:hAnsi="Times New Roman"/>
          <w:color w:val="000000"/>
        </w:rPr>
      </w:pPr>
    </w:p>
    <w:p w:rsidR="005B6757" w:rsidRDefault="00503E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rPr>
      </w:pPr>
      <w:r>
        <w:rPr>
          <w:rFonts w:ascii="Times New Roman" w:hAnsi="Times New Roman"/>
        </w:rPr>
        <w:t>The burden imposed by the reporting and recordkeeping requirements in the guidance var</w:t>
      </w:r>
      <w:r w:rsidR="00D115D6">
        <w:rPr>
          <w:rFonts w:ascii="Times New Roman" w:hAnsi="Times New Roman"/>
        </w:rPr>
        <w:t>ies</w:t>
      </w:r>
      <w:r>
        <w:rPr>
          <w:rFonts w:ascii="Times New Roman" w:hAnsi="Times New Roman"/>
        </w:rPr>
        <w:t xml:space="preserve"> according to the complexity of an institution’s operations and risk profile.  The burden for small, less complex financial institutions </w:t>
      </w:r>
      <w:r w:rsidR="00D115D6">
        <w:rPr>
          <w:rFonts w:ascii="Times New Roman" w:hAnsi="Times New Roman"/>
        </w:rPr>
        <w:t>is</w:t>
      </w:r>
      <w:r>
        <w:rPr>
          <w:rFonts w:ascii="Times New Roman" w:hAnsi="Times New Roman"/>
        </w:rPr>
        <w:t>, in general</w:t>
      </w:r>
      <w:r w:rsidR="00A245A5">
        <w:rPr>
          <w:rFonts w:ascii="Times New Roman" w:hAnsi="Times New Roman"/>
        </w:rPr>
        <w:t>, significantly</w:t>
      </w:r>
      <w:r>
        <w:rPr>
          <w:rFonts w:ascii="Times New Roman" w:hAnsi="Times New Roman"/>
        </w:rPr>
        <w:t xml:space="preserve"> less than that for large, more complex financial institutions.</w:t>
      </w:r>
    </w:p>
    <w:p w:rsidR="005B6757" w:rsidRDefault="005B67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rPr>
      </w:pPr>
    </w:p>
    <w:p w:rsidR="005B6757" w:rsidRDefault="00503E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82" w:hanging="850"/>
        <w:rPr>
          <w:rFonts w:ascii="Times New Roman" w:hAnsi="Times New Roman"/>
          <w:color w:val="000000"/>
          <w:u w:val="single"/>
        </w:rPr>
      </w:pPr>
      <w:r>
        <w:rPr>
          <w:rFonts w:ascii="Times New Roman" w:hAnsi="Times New Roman"/>
          <w:color w:val="000000"/>
        </w:rPr>
        <w:t xml:space="preserve">6.  </w:t>
      </w:r>
      <w:r>
        <w:rPr>
          <w:rFonts w:ascii="Times New Roman" w:hAnsi="Times New Roman"/>
          <w:color w:val="000000"/>
        </w:rPr>
        <w:tab/>
      </w:r>
      <w:r>
        <w:rPr>
          <w:rFonts w:ascii="Times New Roman" w:hAnsi="Times New Roman"/>
          <w:color w:val="000000"/>
          <w:u w:val="single"/>
        </w:rPr>
        <w:t>Consequences of Less Frequent Collection</w:t>
      </w:r>
    </w:p>
    <w:p w:rsidR="005B6757" w:rsidRDefault="005B67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82" w:hanging="850"/>
        <w:rPr>
          <w:rFonts w:ascii="Times New Roman" w:hAnsi="Times New Roman"/>
        </w:rPr>
      </w:pPr>
    </w:p>
    <w:p w:rsidR="005B6757" w:rsidRDefault="00503E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rPr>
      </w:pPr>
      <w:r>
        <w:rPr>
          <w:rFonts w:ascii="Times New Roman" w:hAnsi="Times New Roman"/>
        </w:rPr>
        <w:t xml:space="preserve">As a sound practice, an institution’s board of directors should update its documented liquidity risk procedures, at least annually, to incorporate procedural changes and to ensure the program’s effectiveness.  The timing of liquidity risk management reports will vary according to the complexity of an institution’s operations and risk profile. </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7.</w:t>
      </w:r>
      <w:r>
        <w:rPr>
          <w:rFonts w:ascii="Times New Roman" w:hAnsi="Times New Roman"/>
          <w:color w:val="000000"/>
        </w:rPr>
        <w:tab/>
      </w:r>
      <w:r>
        <w:rPr>
          <w:rFonts w:ascii="Times New Roman" w:hAnsi="Times New Roman"/>
          <w:color w:val="000000"/>
          <w:u w:val="single"/>
        </w:rPr>
        <w:t>Special Circumstances</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Although the timing of management risk reports will vary from institution to institution based on the institution’s business model and market exposure, the agencies anticipate that on average such reports will be prepared on a monthly basis.   </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8.</w:t>
      </w:r>
      <w:r>
        <w:rPr>
          <w:rFonts w:ascii="Times New Roman" w:hAnsi="Times New Roman"/>
          <w:color w:val="000000"/>
        </w:rPr>
        <w:tab/>
      </w:r>
      <w:r>
        <w:rPr>
          <w:rFonts w:ascii="Times New Roman" w:hAnsi="Times New Roman"/>
          <w:color w:val="000000"/>
          <w:u w:val="single"/>
        </w:rPr>
        <w:t xml:space="preserve">Consultation with Persons </w:t>
      </w:r>
      <w:proofErr w:type="gramStart"/>
      <w:r>
        <w:rPr>
          <w:rFonts w:ascii="Times New Roman" w:hAnsi="Times New Roman"/>
          <w:color w:val="000000"/>
          <w:u w:val="single"/>
        </w:rPr>
        <w:t>Outside</w:t>
      </w:r>
      <w:proofErr w:type="gramEnd"/>
      <w:r>
        <w:rPr>
          <w:rFonts w:ascii="Times New Roman" w:hAnsi="Times New Roman"/>
          <w:color w:val="000000"/>
          <w:u w:val="single"/>
        </w:rPr>
        <w:t xml:space="preserve"> the FDIC</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AD6C32" w:rsidP="00A245A5">
      <w:pPr>
        <w:widowControl/>
        <w:autoSpaceDE w:val="0"/>
        <w:autoSpaceDN w:val="0"/>
        <w:adjustRightInd w:val="0"/>
        <w:ind w:left="1290"/>
        <w:rPr>
          <w:rFonts w:ascii="Times New Roman" w:hAnsi="Times New Roman"/>
          <w:color w:val="000000"/>
        </w:rPr>
      </w:pPr>
      <w:r w:rsidRPr="00AD6C32">
        <w:rPr>
          <w:rFonts w:ascii="Times New Roman" w:eastAsiaTheme="minorHAnsi" w:hAnsi="Times New Roman"/>
          <w:snapToGrid/>
          <w:szCs w:val="24"/>
        </w:rPr>
        <w:t xml:space="preserve">On </w:t>
      </w:r>
      <w:r w:rsidR="001F0BAA">
        <w:rPr>
          <w:rFonts w:ascii="Times New Roman" w:eastAsiaTheme="minorHAnsi" w:hAnsi="Times New Roman"/>
          <w:snapToGrid/>
          <w:szCs w:val="24"/>
        </w:rPr>
        <w:t>April 6, 2016</w:t>
      </w:r>
      <w:r w:rsidRPr="00AD6C32">
        <w:rPr>
          <w:rFonts w:ascii="Times New Roman" w:eastAsiaTheme="minorHAnsi" w:hAnsi="Times New Roman"/>
          <w:snapToGrid/>
          <w:szCs w:val="24"/>
        </w:rPr>
        <w:t xml:space="preserve"> (</w:t>
      </w:r>
      <w:r w:rsidR="001F0BAA">
        <w:rPr>
          <w:rFonts w:ascii="Times New Roman" w:eastAsiaTheme="minorHAnsi" w:hAnsi="Times New Roman"/>
          <w:snapToGrid/>
          <w:szCs w:val="24"/>
        </w:rPr>
        <w:t>81</w:t>
      </w:r>
      <w:r w:rsidR="001F0BAA" w:rsidRPr="00AD6C32">
        <w:rPr>
          <w:rFonts w:ascii="Times New Roman" w:eastAsiaTheme="minorHAnsi" w:hAnsi="Times New Roman"/>
          <w:snapToGrid/>
          <w:szCs w:val="24"/>
        </w:rPr>
        <w:t xml:space="preserve"> </w:t>
      </w:r>
      <w:r w:rsidRPr="00AD6C32">
        <w:rPr>
          <w:rFonts w:ascii="Times New Roman" w:eastAsiaTheme="minorHAnsi" w:hAnsi="Times New Roman"/>
          <w:snapToGrid/>
          <w:szCs w:val="24"/>
        </w:rPr>
        <w:t xml:space="preserve">FR </w:t>
      </w:r>
      <w:r w:rsidR="001F0BAA">
        <w:rPr>
          <w:rFonts w:ascii="Times New Roman" w:eastAsiaTheme="minorHAnsi" w:hAnsi="Times New Roman"/>
          <w:snapToGrid/>
          <w:szCs w:val="24"/>
        </w:rPr>
        <w:t>19971</w:t>
      </w:r>
      <w:r w:rsidRPr="00AD6C32">
        <w:rPr>
          <w:rFonts w:ascii="Times New Roman" w:eastAsiaTheme="minorHAnsi" w:hAnsi="Times New Roman"/>
          <w:snapToGrid/>
          <w:szCs w:val="24"/>
        </w:rPr>
        <w:t>), the FDIC solicited public comment for a 60-day period on renewal without change of its ‘‘Interagency Policy Statement on Funding and Liquidity Risk</w:t>
      </w:r>
      <w:r>
        <w:rPr>
          <w:rFonts w:ascii="Times New Roman" w:eastAsiaTheme="minorHAnsi" w:hAnsi="Times New Roman"/>
          <w:snapToGrid/>
          <w:szCs w:val="24"/>
        </w:rPr>
        <w:t xml:space="preserve"> </w:t>
      </w:r>
      <w:r w:rsidR="00E91D9D">
        <w:rPr>
          <w:rFonts w:ascii="Times New Roman" w:eastAsiaTheme="minorHAnsi" w:hAnsi="Times New Roman"/>
          <w:snapToGrid/>
          <w:szCs w:val="24"/>
        </w:rPr>
        <w:t xml:space="preserve">Management” </w:t>
      </w:r>
      <w:r w:rsidRPr="00AD6C32">
        <w:rPr>
          <w:rFonts w:ascii="Times New Roman" w:eastAsiaTheme="minorHAnsi" w:hAnsi="Times New Roman"/>
          <w:snapToGrid/>
          <w:szCs w:val="24"/>
        </w:rPr>
        <w:t>(OMB No. 3064–01</w:t>
      </w:r>
      <w:r>
        <w:rPr>
          <w:rFonts w:ascii="Times New Roman" w:eastAsiaTheme="minorHAnsi" w:hAnsi="Times New Roman"/>
          <w:snapToGrid/>
          <w:szCs w:val="24"/>
        </w:rPr>
        <w:t>74</w:t>
      </w:r>
      <w:r w:rsidRPr="00AD6C32">
        <w:rPr>
          <w:rFonts w:ascii="Times New Roman" w:eastAsiaTheme="minorHAnsi" w:hAnsi="Times New Roman"/>
          <w:snapToGrid/>
          <w:szCs w:val="24"/>
        </w:rPr>
        <w:t>).  No comments were received.</w:t>
      </w:r>
    </w:p>
    <w:p w:rsidR="005B6757" w:rsidRDefault="005B6757">
      <w:pPr>
        <w:widowControl/>
        <w:tabs>
          <w:tab w:val="left" w:pos="432"/>
          <w:tab w:val="left" w:pos="1296"/>
          <w:tab w:val="left" w:pos="1728"/>
          <w:tab w:val="left" w:pos="4176"/>
        </w:tabs>
        <w:ind w:left="1290"/>
        <w:rPr>
          <w:rFonts w:ascii="Times New Roman" w:hAnsi="Times New Roman"/>
          <w:color w:val="000000"/>
        </w:rPr>
      </w:pPr>
    </w:p>
    <w:p w:rsidR="005B6757" w:rsidRDefault="00503E4E">
      <w:pPr>
        <w:widowControl/>
        <w:numPr>
          <w:ilvl w:val="0"/>
          <w:numId w:val="2"/>
        </w:numPr>
        <w:tabs>
          <w:tab w:val="left" w:pos="432"/>
          <w:tab w:val="left" w:pos="1728"/>
          <w:tab w:val="left" w:pos="4176"/>
        </w:tabs>
        <w:rPr>
          <w:rFonts w:ascii="Times New Roman" w:hAnsi="Times New Roman"/>
          <w:color w:val="000000"/>
        </w:rPr>
      </w:pPr>
      <w:r>
        <w:rPr>
          <w:rFonts w:ascii="Times New Roman" w:hAnsi="Times New Roman"/>
          <w:color w:val="000000"/>
          <w:u w:val="single"/>
        </w:rPr>
        <w:t>Pay</w:t>
      </w:r>
      <w:smartTag w:uri="urn:schemas-microsoft-com:office:smarttags" w:element="PersonName">
        <w:r>
          <w:rPr>
            <w:rFonts w:ascii="Times New Roman" w:hAnsi="Times New Roman"/>
            <w:color w:val="000000"/>
            <w:u w:val="single"/>
          </w:rPr>
          <w:t>me</w:t>
        </w:r>
      </w:smartTag>
      <w:r>
        <w:rPr>
          <w:rFonts w:ascii="Times New Roman" w:hAnsi="Times New Roman"/>
          <w:color w:val="000000"/>
          <w:u w:val="single"/>
        </w:rPr>
        <w:t>nt or Gift to Respondents</w:t>
      </w:r>
    </w:p>
    <w:p w:rsidR="005B6757" w:rsidRDefault="005B6757">
      <w:pPr>
        <w:widowControl/>
        <w:tabs>
          <w:tab w:val="left" w:pos="432"/>
          <w:tab w:val="left" w:pos="1296"/>
          <w:tab w:val="left" w:pos="1728"/>
          <w:tab w:val="left" w:pos="4176"/>
        </w:tabs>
        <w:ind w:left="1290"/>
        <w:rPr>
          <w:rFonts w:ascii="Times New Roman" w:hAnsi="Times New Roman"/>
          <w:color w:val="000000"/>
        </w:rPr>
      </w:pPr>
    </w:p>
    <w:p w:rsidR="005B6757" w:rsidRDefault="00503E4E">
      <w:pPr>
        <w:widowControl/>
        <w:tabs>
          <w:tab w:val="left" w:pos="432"/>
          <w:tab w:val="left" w:pos="1296"/>
          <w:tab w:val="left" w:pos="1728"/>
          <w:tab w:val="left" w:pos="4176"/>
        </w:tabs>
        <w:ind w:left="1290"/>
        <w:rPr>
          <w:rFonts w:ascii="Times New Roman" w:hAnsi="Times New Roman"/>
          <w:color w:val="000000"/>
        </w:rPr>
      </w:pPr>
      <w:r>
        <w:rPr>
          <w:rFonts w:ascii="Times New Roman" w:hAnsi="Times New Roman"/>
          <w:color w:val="000000"/>
        </w:rPr>
        <w:t xml:space="preserve">No </w:t>
      </w:r>
      <w:r w:rsidR="001F0BAA">
        <w:rPr>
          <w:rFonts w:ascii="Times New Roman" w:hAnsi="Times New Roman"/>
          <w:color w:val="000000"/>
        </w:rPr>
        <w:t xml:space="preserve">payments will be made or </w:t>
      </w:r>
      <w:r>
        <w:rPr>
          <w:rFonts w:ascii="Times New Roman" w:hAnsi="Times New Roman"/>
          <w:color w:val="000000"/>
        </w:rPr>
        <w:t xml:space="preserve">gifts given to respondents.  </w:t>
      </w:r>
    </w:p>
    <w:p w:rsidR="005B6757" w:rsidRDefault="005B6757">
      <w:pPr>
        <w:widowControl/>
        <w:tabs>
          <w:tab w:val="left" w:pos="432"/>
          <w:tab w:val="left" w:pos="1296"/>
          <w:tab w:val="left" w:pos="1728"/>
          <w:tab w:val="left" w:pos="4176"/>
        </w:tabs>
        <w:ind w:left="1290"/>
        <w:rPr>
          <w:rFonts w:ascii="Times New Roman" w:hAnsi="Times New Roman"/>
          <w:color w:val="000000"/>
        </w:rPr>
      </w:pPr>
    </w:p>
    <w:p w:rsidR="005B6757" w:rsidRDefault="00503E4E">
      <w:pPr>
        <w:widowControl/>
        <w:tabs>
          <w:tab w:val="left" w:pos="432"/>
          <w:tab w:val="left" w:pos="1296"/>
          <w:tab w:val="left" w:pos="1728"/>
          <w:tab w:val="left" w:pos="4176"/>
        </w:tabs>
        <w:ind w:left="432"/>
        <w:rPr>
          <w:rFonts w:ascii="Times New Roman" w:hAnsi="Times New Roman"/>
          <w:color w:val="000000"/>
        </w:rPr>
      </w:pPr>
      <w:r>
        <w:rPr>
          <w:rFonts w:ascii="Times New Roman" w:hAnsi="Times New Roman"/>
          <w:color w:val="000000"/>
        </w:rPr>
        <w:t>10.</w:t>
      </w:r>
      <w:r>
        <w:rPr>
          <w:rFonts w:ascii="Times New Roman" w:hAnsi="Times New Roman"/>
          <w:color w:val="000000"/>
        </w:rPr>
        <w:tab/>
      </w:r>
      <w:r>
        <w:rPr>
          <w:rFonts w:ascii="Times New Roman" w:hAnsi="Times New Roman"/>
          <w:color w:val="000000"/>
          <w:u w:val="single"/>
        </w:rPr>
        <w:t>Confidentiality</w:t>
      </w:r>
    </w:p>
    <w:p w:rsidR="005B6757" w:rsidRDefault="00503E4E">
      <w:pPr>
        <w:rPr>
          <w:rFonts w:ascii="Times New Roman" w:hAnsi="Times New Roman"/>
        </w:rPr>
      </w:pPr>
      <w:r>
        <w:rPr>
          <w:rFonts w:ascii="Times New Roman" w:hAnsi="Times New Roman"/>
        </w:rPr>
        <w:t xml:space="preserve"> </w:t>
      </w:r>
    </w:p>
    <w:p w:rsidR="005B6757" w:rsidRDefault="00503E4E">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rPr>
        <w:t>All documentation required under this supervisory guidance would be maintained by the bank and would not be shared publicly.</w:t>
      </w:r>
      <w:r>
        <w:rPr>
          <w:rFonts w:ascii="Times New Roman" w:hAnsi="Times New Roman"/>
          <w:color w:val="000000"/>
        </w:rPr>
        <w:t xml:space="preserve"> </w:t>
      </w:r>
      <w:r w:rsidR="001F0BAA">
        <w:rPr>
          <w:rFonts w:ascii="Times New Roman" w:hAnsi="Times New Roman"/>
          <w:color w:val="000000"/>
        </w:rPr>
        <w:t xml:space="preserve"> </w:t>
      </w:r>
      <w:r w:rsidR="001F0BAA" w:rsidRPr="00EA4003">
        <w:rPr>
          <w:rFonts w:ascii="Times New Roman" w:hAnsi="Times New Roman"/>
        </w:rPr>
        <w:t>Information will be kept private to the extent allowed by law.</w:t>
      </w:r>
    </w:p>
    <w:p w:rsidR="005B6757" w:rsidRDefault="005B6757">
      <w:pPr>
        <w:widowControl/>
        <w:tabs>
          <w:tab w:val="left" w:pos="432"/>
          <w:tab w:val="left" w:pos="1296"/>
          <w:tab w:val="left" w:pos="1728"/>
          <w:tab w:val="left" w:pos="4176"/>
        </w:tabs>
        <w:ind w:left="1296"/>
        <w:rPr>
          <w:rFonts w:ascii="Times New Roman" w:hAnsi="Times New Roman"/>
          <w:color w:val="000000"/>
        </w:rPr>
      </w:pPr>
    </w:p>
    <w:p w:rsidR="005B6757" w:rsidRDefault="00503E4E">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11.</w:t>
      </w:r>
      <w:r>
        <w:rPr>
          <w:rFonts w:ascii="Times New Roman" w:hAnsi="Times New Roman"/>
          <w:color w:val="000000"/>
        </w:rPr>
        <w:tab/>
      </w:r>
      <w:r>
        <w:rPr>
          <w:rFonts w:ascii="Times New Roman" w:hAnsi="Times New Roman"/>
          <w:color w:val="000000"/>
          <w:u w:val="single"/>
        </w:rPr>
        <w:t>Information of a Sensitive Nature</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No information of a sensitive nature is requested. </w:t>
      </w:r>
    </w:p>
    <w:p w:rsidR="005B6757" w:rsidRDefault="005B6757">
      <w:pPr>
        <w:widowControl/>
        <w:tabs>
          <w:tab w:val="left" w:pos="432"/>
          <w:tab w:val="left" w:pos="1296"/>
          <w:tab w:val="left" w:pos="1728"/>
          <w:tab w:val="left" w:pos="4176"/>
        </w:tabs>
        <w:ind w:left="1296"/>
        <w:rPr>
          <w:rFonts w:ascii="Times New Roman" w:hAnsi="Times New Roman"/>
          <w:color w:val="000000"/>
        </w:rPr>
      </w:pPr>
    </w:p>
    <w:p w:rsidR="005B6757" w:rsidRDefault="00503E4E">
      <w:pPr>
        <w:keepLines/>
        <w:widowControl/>
        <w:numPr>
          <w:ilvl w:val="0"/>
          <w:numId w:val="11"/>
        </w:numPr>
        <w:tabs>
          <w:tab w:val="left" w:pos="432"/>
          <w:tab w:val="left" w:pos="1728"/>
          <w:tab w:val="left" w:pos="4176"/>
        </w:tabs>
        <w:rPr>
          <w:rFonts w:ascii="Times New Roman" w:hAnsi="Times New Roman"/>
          <w:color w:val="000000"/>
          <w:u w:val="single"/>
        </w:rPr>
      </w:pPr>
      <w:r>
        <w:rPr>
          <w:rFonts w:ascii="Times New Roman" w:hAnsi="Times New Roman"/>
          <w:color w:val="000000"/>
          <w:u w:val="single"/>
        </w:rPr>
        <w:t>Estimate of Annual Burden</w:t>
      </w:r>
    </w:p>
    <w:p w:rsidR="005B6757" w:rsidRDefault="005B6757">
      <w:pPr>
        <w:keepLines/>
        <w:widowControl/>
        <w:tabs>
          <w:tab w:val="left" w:pos="432"/>
          <w:tab w:val="left" w:pos="1296"/>
          <w:tab w:val="left" w:pos="1728"/>
          <w:tab w:val="left" w:pos="4176"/>
        </w:tabs>
        <w:rPr>
          <w:rFonts w:ascii="Times New Roman" w:hAnsi="Times New Roman"/>
          <w:color w:val="000000"/>
          <w:u w:val="single"/>
        </w:rPr>
      </w:pPr>
    </w:p>
    <w:p w:rsidR="005B6757" w:rsidRDefault="00503E4E">
      <w:pPr>
        <w:keepLines/>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The burden estimates are as follows:</w:t>
      </w:r>
    </w:p>
    <w:p w:rsidR="005B6757" w:rsidRDefault="005B6757">
      <w:pPr>
        <w:keepLines/>
        <w:widowControl/>
        <w:tabs>
          <w:tab w:val="left" w:pos="432"/>
          <w:tab w:val="left" w:pos="1296"/>
          <w:tab w:val="left" w:pos="1728"/>
          <w:tab w:val="left" w:pos="4176"/>
        </w:tabs>
        <w:rPr>
          <w:rFonts w:ascii="Times New Roman" w:hAnsi="Times New Roman"/>
          <w:color w:val="000000"/>
        </w:rPr>
      </w:pPr>
    </w:p>
    <w:p w:rsidR="001F0BAA" w:rsidRDefault="001F0BAA" w:rsidP="00A245A5">
      <w:pPr>
        <w:widowControl/>
        <w:tabs>
          <w:tab w:val="left" w:pos="432"/>
          <w:tab w:val="left" w:pos="1296"/>
          <w:tab w:val="left" w:pos="1728"/>
          <w:tab w:val="left" w:pos="4176"/>
        </w:tabs>
        <w:ind w:left="1296" w:hanging="864"/>
        <w:rPr>
          <w:rFonts w:ascii="Times New Roman" w:hAnsi="Times New Roman"/>
          <w:color w:val="000000"/>
        </w:rPr>
      </w:pPr>
    </w:p>
    <w:tbl>
      <w:tblPr>
        <w:tblW w:w="8400" w:type="dxa"/>
        <w:tblInd w:w="720" w:type="dxa"/>
        <w:tblCellMar>
          <w:left w:w="0" w:type="dxa"/>
          <w:right w:w="0" w:type="dxa"/>
        </w:tblCellMar>
        <w:tblLook w:val="04A0" w:firstRow="1" w:lastRow="0" w:firstColumn="1" w:lastColumn="0" w:noHBand="0" w:noVBand="1"/>
      </w:tblPr>
      <w:tblGrid>
        <w:gridCol w:w="3507"/>
        <w:gridCol w:w="1401"/>
        <w:gridCol w:w="1332"/>
        <w:gridCol w:w="1176"/>
        <w:gridCol w:w="984"/>
      </w:tblGrid>
      <w:tr w:rsidR="00E91D9D" w:rsidRPr="00E91D9D" w:rsidTr="001F0BAA">
        <w:trPr>
          <w:trHeight w:hRule="exact" w:val="738"/>
        </w:trPr>
        <w:tc>
          <w:tcPr>
            <w:tcW w:w="3510" w:type="dxa"/>
            <w:tcMar>
              <w:top w:w="0" w:type="dxa"/>
              <w:left w:w="108" w:type="dxa"/>
              <w:bottom w:w="0" w:type="dxa"/>
              <w:right w:w="108" w:type="dxa"/>
            </w:tcMar>
            <w:vAlign w:val="bottom"/>
          </w:tcPr>
          <w:p w:rsidR="001F0BAA" w:rsidRPr="00E91D9D" w:rsidRDefault="001F0BAA" w:rsidP="001F0BAA">
            <w:pPr>
              <w:widowControl/>
              <w:rPr>
                <w:rFonts w:ascii="Calibri" w:eastAsia="Calibri" w:hAnsi="Calibri" w:cs="Calibri"/>
                <w:snapToGrid/>
                <w:sz w:val="22"/>
                <w:szCs w:val="22"/>
              </w:rPr>
            </w:pPr>
          </w:p>
        </w:tc>
        <w:tc>
          <w:tcPr>
            <w:tcW w:w="1401" w:type="dxa"/>
            <w:tcMar>
              <w:top w:w="0" w:type="dxa"/>
              <w:left w:w="108" w:type="dxa"/>
              <w:bottom w:w="0" w:type="dxa"/>
              <w:right w:w="108" w:type="dxa"/>
            </w:tcMar>
            <w:vAlign w:val="bottom"/>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No. of</w:t>
            </w:r>
            <w:r w:rsidRPr="00E91D9D">
              <w:rPr>
                <w:rFonts w:ascii="Calibri" w:eastAsia="Calibri" w:hAnsi="Calibri" w:cs="Calibri"/>
                <w:i/>
                <w:iCs/>
                <w:snapToGrid/>
                <w:sz w:val="22"/>
                <w:szCs w:val="22"/>
              </w:rPr>
              <w:br/>
              <w:t>Respondents</w:t>
            </w:r>
          </w:p>
        </w:tc>
        <w:tc>
          <w:tcPr>
            <w:tcW w:w="1332" w:type="dxa"/>
            <w:tcMar>
              <w:top w:w="0" w:type="dxa"/>
              <w:left w:w="108" w:type="dxa"/>
              <w:bottom w:w="0" w:type="dxa"/>
              <w:right w:w="108" w:type="dxa"/>
            </w:tcMar>
            <w:vAlign w:val="bottom"/>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Average</w:t>
            </w:r>
            <w:r w:rsidRPr="00E91D9D">
              <w:rPr>
                <w:rFonts w:ascii="Calibri" w:eastAsia="Calibri" w:hAnsi="Calibri" w:cs="Calibri"/>
                <w:i/>
                <w:iCs/>
                <w:snapToGrid/>
                <w:sz w:val="22"/>
                <w:szCs w:val="22"/>
              </w:rPr>
              <w:br/>
              <w:t>Hours per</w:t>
            </w:r>
            <w:r w:rsidRPr="00E91D9D">
              <w:rPr>
                <w:rFonts w:ascii="Calibri" w:eastAsia="Calibri" w:hAnsi="Calibri" w:cs="Calibri"/>
                <w:i/>
                <w:iCs/>
                <w:snapToGrid/>
                <w:sz w:val="22"/>
                <w:szCs w:val="22"/>
              </w:rPr>
              <w:br/>
              <w:t>Response</w:t>
            </w:r>
          </w:p>
        </w:tc>
        <w:tc>
          <w:tcPr>
            <w:tcW w:w="1176" w:type="dxa"/>
            <w:tcMar>
              <w:top w:w="0" w:type="dxa"/>
              <w:left w:w="108" w:type="dxa"/>
              <w:bottom w:w="0" w:type="dxa"/>
              <w:right w:w="108" w:type="dxa"/>
            </w:tcMar>
            <w:vAlign w:val="bottom"/>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Responses</w:t>
            </w:r>
            <w:r w:rsidRPr="00E91D9D">
              <w:rPr>
                <w:rFonts w:ascii="Calibri" w:eastAsia="Calibri" w:hAnsi="Calibri" w:cs="Calibri"/>
                <w:i/>
                <w:iCs/>
                <w:snapToGrid/>
                <w:sz w:val="22"/>
                <w:szCs w:val="22"/>
              </w:rPr>
              <w:br/>
              <w:t>Per Year</w:t>
            </w:r>
          </w:p>
        </w:tc>
        <w:tc>
          <w:tcPr>
            <w:tcW w:w="984" w:type="dxa"/>
            <w:tcMar>
              <w:top w:w="0" w:type="dxa"/>
              <w:left w:w="108" w:type="dxa"/>
              <w:bottom w:w="0" w:type="dxa"/>
              <w:right w:w="108" w:type="dxa"/>
            </w:tcMar>
            <w:vAlign w:val="bottom"/>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Total</w:t>
            </w:r>
            <w:r w:rsidRPr="00E91D9D">
              <w:rPr>
                <w:rFonts w:ascii="Calibri" w:eastAsia="Calibri" w:hAnsi="Calibri" w:cs="Calibri"/>
                <w:i/>
                <w:iCs/>
                <w:snapToGrid/>
                <w:sz w:val="22"/>
                <w:szCs w:val="22"/>
              </w:rPr>
              <w:br/>
              <w:t>Hours</w:t>
            </w:r>
          </w:p>
        </w:tc>
      </w:tr>
      <w:tr w:rsidR="00E91D9D" w:rsidRPr="00E91D9D" w:rsidTr="001F0BAA">
        <w:trPr>
          <w:trHeight w:hRule="exact" w:val="307"/>
        </w:trPr>
        <w:tc>
          <w:tcPr>
            <w:tcW w:w="3510" w:type="dxa"/>
            <w:tcMar>
              <w:top w:w="0" w:type="dxa"/>
              <w:left w:w="108" w:type="dxa"/>
              <w:bottom w:w="0" w:type="dxa"/>
              <w:right w:w="108" w:type="dxa"/>
            </w:tcMar>
            <w:hideMark/>
          </w:tcPr>
          <w:p w:rsidR="001F0BAA" w:rsidRPr="00E91D9D" w:rsidRDefault="001F0BAA" w:rsidP="00E91D9D">
            <w:pPr>
              <w:widowControl/>
              <w:rPr>
                <w:rFonts w:ascii="Calibri" w:eastAsia="Calibri" w:hAnsi="Calibri" w:cs="Calibri"/>
                <w:i/>
                <w:iCs/>
                <w:snapToGrid/>
                <w:sz w:val="22"/>
                <w:szCs w:val="22"/>
              </w:rPr>
            </w:pPr>
            <w:r w:rsidRPr="00E91D9D">
              <w:rPr>
                <w:rFonts w:ascii="Calibri" w:eastAsia="Calibri" w:hAnsi="Calibri" w:cs="Calibri"/>
                <w:b/>
                <w:bCs/>
                <w:i/>
                <w:iCs/>
                <w:snapToGrid/>
                <w:sz w:val="22"/>
                <w:szCs w:val="22"/>
              </w:rPr>
              <w:t>Paragraph 14</w:t>
            </w:r>
            <w:r w:rsidRPr="00E91D9D">
              <w:rPr>
                <w:rFonts w:ascii="Calibri" w:eastAsia="Calibri" w:hAnsi="Calibri" w:cs="Calibri"/>
                <w:i/>
                <w:iCs/>
                <w:snapToGrid/>
                <w:sz w:val="22"/>
                <w:szCs w:val="22"/>
              </w:rPr>
              <w:t xml:space="preserve"> (Record Keeping)</w:t>
            </w:r>
          </w:p>
        </w:tc>
        <w:tc>
          <w:tcPr>
            <w:tcW w:w="1401" w:type="dxa"/>
            <w:tcMar>
              <w:top w:w="0" w:type="dxa"/>
              <w:left w:w="108" w:type="dxa"/>
              <w:bottom w:w="0" w:type="dxa"/>
              <w:right w:w="108" w:type="dxa"/>
            </w:tcMar>
          </w:tcPr>
          <w:p w:rsidR="001F0BAA" w:rsidRPr="00E91D9D" w:rsidRDefault="001F0BAA" w:rsidP="001F0BAA">
            <w:pPr>
              <w:widowControl/>
              <w:rPr>
                <w:rFonts w:ascii="Calibri" w:eastAsia="Calibri" w:hAnsi="Calibri" w:cs="Calibri"/>
                <w:snapToGrid/>
                <w:sz w:val="22"/>
                <w:szCs w:val="22"/>
              </w:rPr>
            </w:pPr>
          </w:p>
        </w:tc>
        <w:tc>
          <w:tcPr>
            <w:tcW w:w="1332" w:type="dxa"/>
            <w:tcMar>
              <w:top w:w="0" w:type="dxa"/>
              <w:left w:w="108" w:type="dxa"/>
              <w:bottom w:w="0" w:type="dxa"/>
              <w:right w:w="108" w:type="dxa"/>
            </w:tcMar>
          </w:tcPr>
          <w:p w:rsidR="001F0BAA" w:rsidRPr="00E91D9D" w:rsidRDefault="001F0BAA" w:rsidP="001F0BAA">
            <w:pPr>
              <w:widowControl/>
              <w:rPr>
                <w:rFonts w:ascii="Calibri" w:eastAsia="Calibri" w:hAnsi="Calibri" w:cs="Calibri"/>
                <w:snapToGrid/>
                <w:sz w:val="22"/>
                <w:szCs w:val="22"/>
              </w:rPr>
            </w:pPr>
          </w:p>
        </w:tc>
        <w:tc>
          <w:tcPr>
            <w:tcW w:w="1176" w:type="dxa"/>
            <w:tcMar>
              <w:top w:w="0" w:type="dxa"/>
              <w:left w:w="108" w:type="dxa"/>
              <w:bottom w:w="0" w:type="dxa"/>
              <w:right w:w="108" w:type="dxa"/>
            </w:tcMar>
          </w:tcPr>
          <w:p w:rsidR="001F0BAA" w:rsidRPr="00E91D9D" w:rsidRDefault="001F0BAA" w:rsidP="001F0BAA">
            <w:pPr>
              <w:widowControl/>
              <w:rPr>
                <w:rFonts w:ascii="Calibri" w:eastAsia="Calibri" w:hAnsi="Calibri" w:cs="Calibri"/>
                <w:snapToGrid/>
                <w:sz w:val="22"/>
                <w:szCs w:val="22"/>
              </w:rPr>
            </w:pPr>
          </w:p>
        </w:tc>
        <w:tc>
          <w:tcPr>
            <w:tcW w:w="984" w:type="dxa"/>
            <w:tcMar>
              <w:top w:w="0" w:type="dxa"/>
              <w:left w:w="108" w:type="dxa"/>
              <w:bottom w:w="0" w:type="dxa"/>
              <w:right w:w="108" w:type="dxa"/>
            </w:tcMar>
          </w:tcPr>
          <w:p w:rsidR="001F0BAA" w:rsidRPr="00E91D9D" w:rsidRDefault="001F0BAA" w:rsidP="001F0BAA">
            <w:pPr>
              <w:widowControl/>
              <w:rPr>
                <w:rFonts w:ascii="Calibri" w:eastAsia="Calibri" w:hAnsi="Calibri" w:cs="Calibri"/>
                <w:snapToGrid/>
                <w:sz w:val="22"/>
                <w:szCs w:val="22"/>
              </w:rPr>
            </w:pPr>
          </w:p>
        </w:tc>
      </w:tr>
      <w:tr w:rsidR="00E91D9D" w:rsidRPr="00E91D9D" w:rsidTr="001F0BAA">
        <w:trPr>
          <w:trHeight w:hRule="exact" w:val="495"/>
        </w:trPr>
        <w:tc>
          <w:tcPr>
            <w:tcW w:w="3510" w:type="dxa"/>
            <w:tcMar>
              <w:top w:w="0" w:type="dxa"/>
              <w:left w:w="108" w:type="dxa"/>
              <w:bottom w:w="0" w:type="dxa"/>
              <w:right w:w="108" w:type="dxa"/>
            </w:tcMa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Large Institutions</w:t>
            </w:r>
            <w:r w:rsidRPr="00E91D9D">
              <w:rPr>
                <w:rFonts w:ascii="Calibri" w:eastAsia="Calibri" w:hAnsi="Calibri" w:cs="Calibri"/>
                <w:i/>
                <w:iCs/>
                <w:snapToGrid/>
                <w:sz w:val="22"/>
                <w:szCs w:val="22"/>
              </w:rPr>
              <w:br/>
            </w:r>
            <w:r w:rsidRPr="00E91D9D">
              <w:rPr>
                <w:rFonts w:ascii="Calibri" w:eastAsia="Calibri" w:hAnsi="Calibri" w:cs="Calibri"/>
                <w:i/>
                <w:iCs/>
                <w:snapToGrid/>
                <w:sz w:val="18"/>
                <w:szCs w:val="18"/>
              </w:rPr>
              <w:t>(over $20 billion in assets)</w:t>
            </w:r>
          </w:p>
        </w:tc>
        <w:tc>
          <w:tcPr>
            <w:tcW w:w="1401"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19</w:t>
            </w:r>
          </w:p>
        </w:tc>
        <w:tc>
          <w:tcPr>
            <w:tcW w:w="1332"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720</w:t>
            </w:r>
          </w:p>
        </w:tc>
        <w:tc>
          <w:tcPr>
            <w:tcW w:w="1176"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1</w:t>
            </w:r>
          </w:p>
        </w:tc>
        <w:tc>
          <w:tcPr>
            <w:tcW w:w="984"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13,680</w:t>
            </w:r>
          </w:p>
        </w:tc>
      </w:tr>
      <w:tr w:rsidR="00E91D9D" w:rsidRPr="00E91D9D" w:rsidTr="001F0BAA">
        <w:trPr>
          <w:trHeight w:hRule="exact" w:val="451"/>
        </w:trPr>
        <w:tc>
          <w:tcPr>
            <w:tcW w:w="3510" w:type="dxa"/>
            <w:tcMar>
              <w:top w:w="0" w:type="dxa"/>
              <w:left w:w="108" w:type="dxa"/>
              <w:bottom w:w="0" w:type="dxa"/>
              <w:right w:w="108" w:type="dxa"/>
            </w:tcMa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Mid-size Institutions</w:t>
            </w:r>
            <w:r w:rsidRPr="00E91D9D">
              <w:rPr>
                <w:rFonts w:ascii="Calibri" w:eastAsia="Calibri" w:hAnsi="Calibri" w:cs="Calibri"/>
                <w:i/>
                <w:iCs/>
                <w:snapToGrid/>
                <w:sz w:val="22"/>
                <w:szCs w:val="22"/>
              </w:rPr>
              <w:br/>
            </w:r>
            <w:r w:rsidRPr="00E91D9D">
              <w:rPr>
                <w:rFonts w:ascii="Calibri" w:eastAsia="Calibri" w:hAnsi="Calibri" w:cs="Calibri"/>
                <w:i/>
                <w:iCs/>
                <w:snapToGrid/>
                <w:sz w:val="18"/>
                <w:szCs w:val="18"/>
              </w:rPr>
              <w:t>($1 to $20 billion in assets)</w:t>
            </w:r>
          </w:p>
        </w:tc>
        <w:tc>
          <w:tcPr>
            <w:tcW w:w="1401"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329</w:t>
            </w:r>
          </w:p>
        </w:tc>
        <w:tc>
          <w:tcPr>
            <w:tcW w:w="1332"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240</w:t>
            </w:r>
          </w:p>
        </w:tc>
        <w:tc>
          <w:tcPr>
            <w:tcW w:w="1176"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1</w:t>
            </w:r>
          </w:p>
        </w:tc>
        <w:tc>
          <w:tcPr>
            <w:tcW w:w="984"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78,960</w:t>
            </w:r>
          </w:p>
        </w:tc>
      </w:tr>
      <w:tr w:rsidR="00E91D9D" w:rsidRPr="00E91D9D" w:rsidTr="001F0BAA">
        <w:trPr>
          <w:trHeight w:hRule="exact" w:val="549"/>
        </w:trPr>
        <w:tc>
          <w:tcPr>
            <w:tcW w:w="3510" w:type="dxa"/>
            <w:tcMar>
              <w:top w:w="0" w:type="dxa"/>
              <w:left w:w="108" w:type="dxa"/>
              <w:bottom w:w="0" w:type="dxa"/>
              <w:right w:w="108" w:type="dxa"/>
            </w:tcMa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Small Institutions</w:t>
            </w:r>
            <w:r w:rsidRPr="00E91D9D">
              <w:rPr>
                <w:rFonts w:ascii="Calibri" w:eastAsia="Calibri" w:hAnsi="Calibri" w:cs="Calibri"/>
                <w:i/>
                <w:iCs/>
                <w:snapToGrid/>
                <w:sz w:val="22"/>
                <w:szCs w:val="22"/>
              </w:rPr>
              <w:br/>
            </w:r>
            <w:r w:rsidRPr="00E91D9D">
              <w:rPr>
                <w:rFonts w:ascii="Calibri" w:eastAsia="Calibri" w:hAnsi="Calibri" w:cs="Calibri"/>
                <w:i/>
                <w:iCs/>
                <w:snapToGrid/>
                <w:sz w:val="18"/>
                <w:szCs w:val="18"/>
              </w:rPr>
              <w:t>(less than $1 billion in assets)</w:t>
            </w:r>
          </w:p>
        </w:tc>
        <w:tc>
          <w:tcPr>
            <w:tcW w:w="1401"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3,599</w:t>
            </w:r>
          </w:p>
        </w:tc>
        <w:tc>
          <w:tcPr>
            <w:tcW w:w="1332"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80</w:t>
            </w:r>
          </w:p>
        </w:tc>
        <w:tc>
          <w:tcPr>
            <w:tcW w:w="1176"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1</w:t>
            </w:r>
          </w:p>
        </w:tc>
        <w:tc>
          <w:tcPr>
            <w:tcW w:w="984"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287,920</w:t>
            </w:r>
          </w:p>
        </w:tc>
      </w:tr>
      <w:tr w:rsidR="00E91D9D" w:rsidRPr="00E91D9D" w:rsidTr="001F0BAA">
        <w:trPr>
          <w:trHeight w:hRule="exact" w:val="441"/>
        </w:trPr>
        <w:tc>
          <w:tcPr>
            <w:tcW w:w="3510" w:type="dxa"/>
            <w:tcMar>
              <w:top w:w="0" w:type="dxa"/>
              <w:left w:w="108" w:type="dxa"/>
              <w:bottom w:w="0" w:type="dxa"/>
              <w:right w:w="108" w:type="dxa"/>
            </w:tcMa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b/>
                <w:bCs/>
                <w:i/>
                <w:iCs/>
                <w:snapToGrid/>
                <w:sz w:val="22"/>
                <w:szCs w:val="22"/>
              </w:rPr>
              <w:t>Paragraph 14 Subtotal</w:t>
            </w:r>
          </w:p>
        </w:tc>
        <w:tc>
          <w:tcPr>
            <w:tcW w:w="1401"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3,947</w:t>
            </w:r>
          </w:p>
        </w:tc>
        <w:tc>
          <w:tcPr>
            <w:tcW w:w="1332" w:type="dxa"/>
            <w:tcMar>
              <w:top w:w="0" w:type="dxa"/>
              <w:left w:w="108" w:type="dxa"/>
              <w:bottom w:w="0" w:type="dxa"/>
              <w:right w:w="108" w:type="dxa"/>
            </w:tcMar>
          </w:tcPr>
          <w:p w:rsidR="001F0BAA" w:rsidRPr="00E91D9D" w:rsidRDefault="001F0BAA" w:rsidP="001F0BAA">
            <w:pPr>
              <w:widowControl/>
              <w:rPr>
                <w:rFonts w:ascii="Calibri" w:eastAsia="Calibri" w:hAnsi="Calibri" w:cs="Calibri"/>
                <w:snapToGrid/>
                <w:sz w:val="22"/>
                <w:szCs w:val="22"/>
              </w:rPr>
            </w:pPr>
          </w:p>
        </w:tc>
        <w:tc>
          <w:tcPr>
            <w:tcW w:w="1176" w:type="dxa"/>
            <w:tcMar>
              <w:top w:w="0" w:type="dxa"/>
              <w:left w:w="108" w:type="dxa"/>
              <w:bottom w:w="0" w:type="dxa"/>
              <w:right w:w="108" w:type="dxa"/>
            </w:tcMar>
          </w:tcPr>
          <w:p w:rsidR="001F0BAA" w:rsidRPr="00E91D9D" w:rsidRDefault="001F0BAA" w:rsidP="001F0BAA">
            <w:pPr>
              <w:widowControl/>
              <w:rPr>
                <w:rFonts w:ascii="Calibri" w:eastAsia="Calibri" w:hAnsi="Calibri" w:cs="Calibri"/>
                <w:snapToGrid/>
                <w:sz w:val="22"/>
                <w:szCs w:val="22"/>
              </w:rPr>
            </w:pPr>
          </w:p>
        </w:tc>
        <w:tc>
          <w:tcPr>
            <w:tcW w:w="984"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380,560</w:t>
            </w:r>
          </w:p>
        </w:tc>
      </w:tr>
      <w:tr w:rsidR="00E91D9D" w:rsidRPr="00E91D9D" w:rsidTr="001F0BAA">
        <w:trPr>
          <w:trHeight w:hRule="exact" w:val="270"/>
        </w:trPr>
        <w:tc>
          <w:tcPr>
            <w:tcW w:w="3510" w:type="dxa"/>
            <w:tcMar>
              <w:top w:w="0" w:type="dxa"/>
              <w:left w:w="108" w:type="dxa"/>
              <w:bottom w:w="0" w:type="dxa"/>
              <w:right w:w="108" w:type="dxa"/>
            </w:tcMar>
            <w:vAlign w:val="bottom"/>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b/>
                <w:bCs/>
                <w:i/>
                <w:iCs/>
                <w:snapToGrid/>
                <w:sz w:val="22"/>
                <w:szCs w:val="22"/>
              </w:rPr>
              <w:t>Paragraph 20</w:t>
            </w:r>
            <w:r w:rsidRPr="00E91D9D">
              <w:rPr>
                <w:rFonts w:ascii="Calibri" w:eastAsia="Calibri" w:hAnsi="Calibri" w:cs="Calibri"/>
                <w:i/>
                <w:iCs/>
                <w:snapToGrid/>
                <w:sz w:val="22"/>
                <w:szCs w:val="22"/>
              </w:rPr>
              <w:t xml:space="preserve"> (Reporting)</w:t>
            </w:r>
          </w:p>
        </w:tc>
        <w:tc>
          <w:tcPr>
            <w:tcW w:w="1401" w:type="dxa"/>
            <w:tcMar>
              <w:top w:w="0" w:type="dxa"/>
              <w:left w:w="108" w:type="dxa"/>
              <w:bottom w:w="0" w:type="dxa"/>
              <w:right w:w="108" w:type="dxa"/>
            </w:tcMar>
          </w:tcPr>
          <w:p w:rsidR="001F0BAA" w:rsidRPr="00E91D9D" w:rsidRDefault="001F0BAA" w:rsidP="001F0BAA">
            <w:pPr>
              <w:widowControl/>
              <w:rPr>
                <w:rFonts w:ascii="Calibri" w:eastAsia="Calibri" w:hAnsi="Calibri" w:cs="Calibri"/>
                <w:snapToGrid/>
                <w:sz w:val="22"/>
                <w:szCs w:val="22"/>
              </w:rPr>
            </w:pPr>
          </w:p>
        </w:tc>
        <w:tc>
          <w:tcPr>
            <w:tcW w:w="1332" w:type="dxa"/>
            <w:tcMar>
              <w:top w:w="0" w:type="dxa"/>
              <w:left w:w="108" w:type="dxa"/>
              <w:bottom w:w="0" w:type="dxa"/>
              <w:right w:w="108" w:type="dxa"/>
            </w:tcMar>
          </w:tcPr>
          <w:p w:rsidR="001F0BAA" w:rsidRPr="00E91D9D" w:rsidRDefault="001F0BAA" w:rsidP="001F0BAA">
            <w:pPr>
              <w:widowControl/>
              <w:rPr>
                <w:rFonts w:ascii="Calibri" w:eastAsia="Calibri" w:hAnsi="Calibri" w:cs="Calibri"/>
                <w:snapToGrid/>
                <w:sz w:val="22"/>
                <w:szCs w:val="22"/>
              </w:rPr>
            </w:pPr>
          </w:p>
        </w:tc>
        <w:tc>
          <w:tcPr>
            <w:tcW w:w="1176" w:type="dxa"/>
            <w:tcMar>
              <w:top w:w="0" w:type="dxa"/>
              <w:left w:w="108" w:type="dxa"/>
              <w:bottom w:w="0" w:type="dxa"/>
              <w:right w:w="108" w:type="dxa"/>
            </w:tcMar>
          </w:tcPr>
          <w:p w:rsidR="001F0BAA" w:rsidRPr="00E91D9D" w:rsidRDefault="001F0BAA" w:rsidP="001F0BAA">
            <w:pPr>
              <w:widowControl/>
              <w:rPr>
                <w:rFonts w:ascii="Calibri" w:eastAsia="Calibri" w:hAnsi="Calibri" w:cs="Calibri"/>
                <w:snapToGrid/>
                <w:sz w:val="22"/>
                <w:szCs w:val="22"/>
              </w:rPr>
            </w:pPr>
          </w:p>
        </w:tc>
        <w:tc>
          <w:tcPr>
            <w:tcW w:w="984" w:type="dxa"/>
            <w:tcMar>
              <w:top w:w="0" w:type="dxa"/>
              <w:left w:w="108" w:type="dxa"/>
              <w:bottom w:w="0" w:type="dxa"/>
              <w:right w:w="108" w:type="dxa"/>
            </w:tcMar>
          </w:tcPr>
          <w:p w:rsidR="001F0BAA" w:rsidRPr="00E91D9D" w:rsidRDefault="001F0BAA" w:rsidP="001F0BAA">
            <w:pPr>
              <w:widowControl/>
              <w:rPr>
                <w:rFonts w:ascii="Calibri" w:eastAsia="Calibri" w:hAnsi="Calibri" w:cs="Calibri"/>
                <w:snapToGrid/>
                <w:sz w:val="22"/>
                <w:szCs w:val="22"/>
              </w:rPr>
            </w:pPr>
          </w:p>
        </w:tc>
      </w:tr>
      <w:tr w:rsidR="00E91D9D" w:rsidRPr="00E91D9D" w:rsidTr="001F0BAA">
        <w:trPr>
          <w:trHeight w:hRule="exact" w:val="360"/>
        </w:trPr>
        <w:tc>
          <w:tcPr>
            <w:tcW w:w="3510"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All supervised institutions</w:t>
            </w:r>
          </w:p>
        </w:tc>
        <w:tc>
          <w:tcPr>
            <w:tcW w:w="1401"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3,947</w:t>
            </w:r>
          </w:p>
        </w:tc>
        <w:tc>
          <w:tcPr>
            <w:tcW w:w="1332"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4</w:t>
            </w:r>
          </w:p>
        </w:tc>
        <w:tc>
          <w:tcPr>
            <w:tcW w:w="1176"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12</w:t>
            </w:r>
          </w:p>
        </w:tc>
        <w:tc>
          <w:tcPr>
            <w:tcW w:w="984"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i/>
                <w:iCs/>
                <w:snapToGrid/>
                <w:sz w:val="22"/>
                <w:szCs w:val="22"/>
              </w:rPr>
            </w:pPr>
            <w:r w:rsidRPr="00E91D9D">
              <w:rPr>
                <w:rFonts w:ascii="Calibri" w:eastAsia="Calibri" w:hAnsi="Calibri" w:cs="Calibri"/>
                <w:i/>
                <w:iCs/>
                <w:snapToGrid/>
                <w:sz w:val="22"/>
                <w:szCs w:val="22"/>
              </w:rPr>
              <w:t>189,456</w:t>
            </w:r>
          </w:p>
        </w:tc>
      </w:tr>
      <w:tr w:rsidR="00E91D9D" w:rsidRPr="00E91D9D" w:rsidTr="001F0BAA">
        <w:trPr>
          <w:trHeight w:hRule="exact" w:val="451"/>
        </w:trPr>
        <w:tc>
          <w:tcPr>
            <w:tcW w:w="3510"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snapToGrid/>
                <w:sz w:val="22"/>
                <w:szCs w:val="22"/>
              </w:rPr>
            </w:pPr>
            <w:r w:rsidRPr="00E91D9D">
              <w:rPr>
                <w:rFonts w:ascii="Calibri" w:eastAsia="Calibri" w:hAnsi="Calibri" w:cs="Calibri"/>
                <w:b/>
                <w:bCs/>
                <w:i/>
                <w:iCs/>
                <w:snapToGrid/>
                <w:sz w:val="22"/>
                <w:szCs w:val="22"/>
              </w:rPr>
              <w:t>Total Burden Hours</w:t>
            </w:r>
          </w:p>
        </w:tc>
        <w:tc>
          <w:tcPr>
            <w:tcW w:w="1401" w:type="dxa"/>
            <w:tcMar>
              <w:top w:w="0" w:type="dxa"/>
              <w:left w:w="108" w:type="dxa"/>
              <w:bottom w:w="0" w:type="dxa"/>
              <w:right w:w="108" w:type="dxa"/>
            </w:tcMar>
            <w:vAlign w:val="center"/>
          </w:tcPr>
          <w:p w:rsidR="001F0BAA" w:rsidRPr="00E91D9D" w:rsidRDefault="001F0BAA" w:rsidP="001F0BAA">
            <w:pPr>
              <w:widowControl/>
              <w:rPr>
                <w:rFonts w:ascii="Calibri" w:eastAsia="Calibri" w:hAnsi="Calibri" w:cs="Calibri"/>
                <w:snapToGrid/>
                <w:sz w:val="22"/>
                <w:szCs w:val="22"/>
              </w:rPr>
            </w:pPr>
          </w:p>
        </w:tc>
        <w:tc>
          <w:tcPr>
            <w:tcW w:w="1332" w:type="dxa"/>
            <w:tcMar>
              <w:top w:w="0" w:type="dxa"/>
              <w:left w:w="108" w:type="dxa"/>
              <w:bottom w:w="0" w:type="dxa"/>
              <w:right w:w="108" w:type="dxa"/>
            </w:tcMar>
            <w:vAlign w:val="center"/>
          </w:tcPr>
          <w:p w:rsidR="001F0BAA" w:rsidRPr="00E91D9D" w:rsidRDefault="001F0BAA" w:rsidP="001F0BAA">
            <w:pPr>
              <w:widowControl/>
              <w:rPr>
                <w:rFonts w:ascii="Calibri" w:eastAsia="Calibri" w:hAnsi="Calibri" w:cs="Calibri"/>
                <w:snapToGrid/>
                <w:sz w:val="22"/>
                <w:szCs w:val="22"/>
              </w:rPr>
            </w:pPr>
          </w:p>
        </w:tc>
        <w:tc>
          <w:tcPr>
            <w:tcW w:w="1176" w:type="dxa"/>
            <w:tcMar>
              <w:top w:w="0" w:type="dxa"/>
              <w:left w:w="108" w:type="dxa"/>
              <w:bottom w:w="0" w:type="dxa"/>
              <w:right w:w="108" w:type="dxa"/>
            </w:tcMar>
            <w:vAlign w:val="center"/>
          </w:tcPr>
          <w:p w:rsidR="001F0BAA" w:rsidRPr="00E91D9D" w:rsidRDefault="001F0BAA" w:rsidP="001F0BAA">
            <w:pPr>
              <w:widowControl/>
              <w:rPr>
                <w:rFonts w:ascii="Calibri" w:eastAsia="Calibri" w:hAnsi="Calibri" w:cs="Calibri"/>
                <w:snapToGrid/>
                <w:sz w:val="22"/>
                <w:szCs w:val="22"/>
              </w:rPr>
            </w:pPr>
          </w:p>
        </w:tc>
        <w:tc>
          <w:tcPr>
            <w:tcW w:w="984" w:type="dxa"/>
            <w:tcMar>
              <w:top w:w="0" w:type="dxa"/>
              <w:left w:w="108" w:type="dxa"/>
              <w:bottom w:w="0" w:type="dxa"/>
              <w:right w:w="108" w:type="dxa"/>
            </w:tcMar>
            <w:vAlign w:val="center"/>
            <w:hideMark/>
          </w:tcPr>
          <w:p w:rsidR="001F0BAA" w:rsidRPr="00E91D9D" w:rsidRDefault="001F0BAA" w:rsidP="001F0BAA">
            <w:pPr>
              <w:widowControl/>
              <w:rPr>
                <w:rFonts w:ascii="Calibri" w:eastAsia="Calibri" w:hAnsi="Calibri" w:cs="Calibri"/>
                <w:b/>
                <w:bCs/>
                <w:i/>
                <w:iCs/>
                <w:snapToGrid/>
                <w:sz w:val="22"/>
                <w:szCs w:val="22"/>
              </w:rPr>
            </w:pPr>
            <w:r w:rsidRPr="00E91D9D">
              <w:rPr>
                <w:rFonts w:ascii="Calibri" w:eastAsia="Calibri" w:hAnsi="Calibri" w:cs="Calibri"/>
                <w:b/>
                <w:bCs/>
                <w:i/>
                <w:iCs/>
                <w:snapToGrid/>
                <w:sz w:val="22"/>
                <w:szCs w:val="22"/>
              </w:rPr>
              <w:t>570,016</w:t>
            </w:r>
          </w:p>
        </w:tc>
      </w:tr>
    </w:tbl>
    <w:p w:rsidR="005B6757" w:rsidRDefault="005B6757">
      <w:pPr>
        <w:widowControl/>
        <w:tabs>
          <w:tab w:val="left" w:pos="432"/>
          <w:tab w:val="left" w:pos="1296"/>
          <w:tab w:val="left" w:pos="1728"/>
          <w:tab w:val="left" w:pos="4176"/>
        </w:tabs>
        <w:ind w:left="1296" w:hanging="864"/>
        <w:rPr>
          <w:rFonts w:ascii="Times New Roman" w:hAnsi="Times New Roman"/>
          <w:color w:val="000000"/>
        </w:rPr>
      </w:pPr>
    </w:p>
    <w:p w:rsidR="005B6757" w:rsidRDefault="005B6757">
      <w:pPr>
        <w:widowControl/>
        <w:tabs>
          <w:tab w:val="left" w:pos="432"/>
          <w:tab w:val="left" w:pos="1296"/>
          <w:tab w:val="left" w:pos="1728"/>
          <w:tab w:val="left" w:pos="4176"/>
        </w:tabs>
        <w:ind w:left="1296" w:hanging="864"/>
        <w:rPr>
          <w:rFonts w:ascii="Times New Roman" w:hAnsi="Times New Roman"/>
          <w:color w:val="000000"/>
        </w:rPr>
      </w:pPr>
    </w:p>
    <w:p w:rsidR="005B6757" w:rsidRDefault="00503E4E">
      <w:pPr>
        <w:widowControl/>
        <w:tabs>
          <w:tab w:val="left" w:pos="432"/>
          <w:tab w:val="left" w:pos="1296"/>
          <w:tab w:val="left" w:pos="1728"/>
          <w:tab w:val="left" w:pos="4176"/>
        </w:tabs>
        <w:ind w:left="1296" w:hanging="864"/>
        <w:rPr>
          <w:rFonts w:ascii="Times New Roman" w:hAnsi="Times New Roman"/>
          <w:color w:val="000000"/>
        </w:rPr>
      </w:pPr>
      <w:r>
        <w:rPr>
          <w:rFonts w:ascii="Times New Roman" w:hAnsi="Times New Roman"/>
          <w:color w:val="000000"/>
        </w:rPr>
        <w:t>13.</w:t>
      </w:r>
      <w:r>
        <w:rPr>
          <w:rFonts w:ascii="Times New Roman" w:hAnsi="Times New Roman"/>
          <w:color w:val="000000"/>
        </w:rPr>
        <w:tab/>
      </w:r>
      <w:r>
        <w:rPr>
          <w:rFonts w:ascii="Times New Roman" w:hAnsi="Times New Roman"/>
          <w:color w:val="000000"/>
          <w:u w:val="single"/>
        </w:rPr>
        <w:t>Capital, Start-up, and Operating Costs</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left="1296"/>
        <w:rPr>
          <w:rFonts w:ascii="Times New Roman" w:hAnsi="Times New Roman"/>
          <w:color w:val="000000"/>
        </w:rPr>
      </w:pPr>
      <w:r>
        <w:rPr>
          <w:rStyle w:val="BodyTextChar"/>
          <w:rFonts w:ascii="Times New Roman" w:hAnsi="Times New Roman"/>
          <w:szCs w:val="24"/>
        </w:rPr>
        <w:t>Capital and operating costs will vary from bank to bank depending upon a bank’s individual</w:t>
      </w:r>
      <w:r>
        <w:rPr>
          <w:rFonts w:ascii="Times New Roman" w:hAnsi="Times New Roman"/>
          <w:szCs w:val="24"/>
        </w:rPr>
        <w:t xml:space="preserve"> circumstances, including the complexity of its operations and risk profile.  Thus, an estimate of this cost component cannot be determined at this time.</w:t>
      </w:r>
    </w:p>
    <w:p w:rsidR="005B6757" w:rsidRDefault="005B6757">
      <w:pPr>
        <w:widowControl/>
        <w:tabs>
          <w:tab w:val="left" w:pos="432"/>
          <w:tab w:val="left" w:pos="1296"/>
          <w:tab w:val="left" w:pos="1728"/>
          <w:tab w:val="left" w:pos="4176"/>
        </w:tabs>
        <w:ind w:left="1296"/>
        <w:rPr>
          <w:rFonts w:ascii="Times New Roman" w:hAnsi="Times New Roman"/>
          <w:color w:val="000000"/>
        </w:rPr>
      </w:pPr>
    </w:p>
    <w:p w:rsidR="005B6757" w:rsidRDefault="00503E4E">
      <w:pPr>
        <w:widowControl/>
        <w:numPr>
          <w:ilvl w:val="0"/>
          <w:numId w:val="3"/>
        </w:numPr>
        <w:tabs>
          <w:tab w:val="left" w:pos="432"/>
          <w:tab w:val="left" w:pos="1728"/>
          <w:tab w:val="left" w:pos="4176"/>
        </w:tabs>
        <w:rPr>
          <w:rFonts w:ascii="Times New Roman" w:hAnsi="Times New Roman"/>
          <w:color w:val="000000"/>
        </w:rPr>
      </w:pPr>
      <w:r>
        <w:rPr>
          <w:rFonts w:ascii="Times New Roman" w:hAnsi="Times New Roman"/>
          <w:color w:val="000000"/>
          <w:u w:val="single"/>
        </w:rPr>
        <w:t>Estimates of Annualized Cost to the Federal Govern</w:t>
      </w:r>
      <w:smartTag w:uri="urn:schemas-microsoft-com:office:smarttags" w:element="PersonName">
        <w:r>
          <w:rPr>
            <w:rFonts w:ascii="Times New Roman" w:hAnsi="Times New Roman"/>
            <w:color w:val="000000"/>
            <w:u w:val="single"/>
          </w:rPr>
          <w:t>me</w:t>
        </w:r>
      </w:smartTag>
      <w:r>
        <w:rPr>
          <w:rFonts w:ascii="Times New Roman" w:hAnsi="Times New Roman"/>
          <w:color w:val="000000"/>
          <w:u w:val="single"/>
        </w:rPr>
        <w:t>nt</w:t>
      </w:r>
    </w:p>
    <w:p w:rsidR="005B6757" w:rsidRDefault="005B6757">
      <w:pPr>
        <w:widowControl/>
        <w:tabs>
          <w:tab w:val="left" w:pos="432"/>
          <w:tab w:val="left" w:pos="1296"/>
          <w:tab w:val="left" w:pos="1728"/>
          <w:tab w:val="left" w:pos="4176"/>
        </w:tabs>
        <w:ind w:left="435"/>
        <w:rPr>
          <w:rFonts w:ascii="Times New Roman" w:hAnsi="Times New Roman"/>
          <w:color w:val="000000"/>
        </w:rPr>
      </w:pPr>
    </w:p>
    <w:p w:rsidR="005B6757" w:rsidRDefault="00C06A8C">
      <w:pPr>
        <w:widowControl/>
        <w:tabs>
          <w:tab w:val="left" w:pos="432"/>
          <w:tab w:val="left" w:pos="1296"/>
          <w:tab w:val="left" w:pos="1728"/>
          <w:tab w:val="left" w:pos="4176"/>
        </w:tabs>
        <w:ind w:left="1290"/>
        <w:rPr>
          <w:rFonts w:ascii="Times New Roman" w:hAnsi="Times New Roman"/>
          <w:color w:val="000000"/>
        </w:rPr>
      </w:pPr>
      <w:r>
        <w:rPr>
          <w:rFonts w:ascii="Times New Roman" w:hAnsi="Times New Roman"/>
          <w:color w:val="000000"/>
        </w:rPr>
        <w:t>None</w:t>
      </w:r>
    </w:p>
    <w:p w:rsidR="005B6757" w:rsidRDefault="005B6757">
      <w:pPr>
        <w:widowControl/>
        <w:tabs>
          <w:tab w:val="left" w:pos="432"/>
          <w:tab w:val="left" w:pos="1296"/>
          <w:tab w:val="left" w:pos="1728"/>
          <w:tab w:val="left" w:pos="4176"/>
        </w:tabs>
        <w:ind w:left="1290"/>
        <w:rPr>
          <w:rFonts w:ascii="Times New Roman" w:hAnsi="Times New Roman"/>
          <w:color w:val="000000"/>
        </w:rPr>
      </w:pPr>
    </w:p>
    <w:p w:rsidR="005B6757" w:rsidRDefault="00503E4E">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15.</w:t>
      </w:r>
      <w:r>
        <w:rPr>
          <w:rFonts w:ascii="Times New Roman" w:hAnsi="Times New Roman"/>
          <w:color w:val="000000"/>
        </w:rPr>
        <w:tab/>
      </w:r>
      <w:r>
        <w:rPr>
          <w:rFonts w:ascii="Times New Roman" w:hAnsi="Times New Roman"/>
          <w:color w:val="000000"/>
          <w:u w:val="single"/>
        </w:rPr>
        <w:t>Reason for Change in Burden</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8719EB">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The change in burden is due to a reduction in the number </w:t>
      </w:r>
      <w:r w:rsidR="002B30EC">
        <w:rPr>
          <w:rFonts w:ascii="Times New Roman" w:hAnsi="Times New Roman"/>
          <w:color w:val="000000"/>
        </w:rPr>
        <w:t xml:space="preserve">and a redistribution of respondents among three asset size categories of </w:t>
      </w:r>
      <w:r>
        <w:rPr>
          <w:rFonts w:ascii="Times New Roman" w:hAnsi="Times New Roman"/>
          <w:color w:val="000000"/>
        </w:rPr>
        <w:t>institutions supervised by the FDIC that would be responding to this information collection.</w:t>
      </w:r>
      <w:bookmarkStart w:id="0" w:name="_GoBack"/>
      <w:bookmarkEnd w:id="0"/>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16.</w:t>
      </w:r>
      <w:r>
        <w:rPr>
          <w:rFonts w:ascii="Times New Roman" w:hAnsi="Times New Roman"/>
          <w:color w:val="000000"/>
        </w:rPr>
        <w:tab/>
      </w:r>
      <w:r>
        <w:rPr>
          <w:rFonts w:ascii="Times New Roman" w:hAnsi="Times New Roman"/>
          <w:color w:val="000000"/>
          <w:u w:val="single"/>
        </w:rPr>
        <w:t>Publication</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The documented strategies for considering liquidity costs, benefits, and risks in strategic planning and budgeting processes, and liquidity risk reports will be used internally by financial institutions in support of liquidity risk management activities and by supervisory agencies to monitor and assess the adequacy of such activities.  The </w:t>
      </w:r>
      <w:r w:rsidR="008719EB">
        <w:rPr>
          <w:rFonts w:ascii="Times New Roman" w:hAnsi="Times New Roman"/>
          <w:color w:val="000000"/>
        </w:rPr>
        <w:t>FDIC has</w:t>
      </w:r>
      <w:r>
        <w:rPr>
          <w:rFonts w:ascii="Times New Roman" w:hAnsi="Times New Roman"/>
          <w:color w:val="000000"/>
        </w:rPr>
        <w:t xml:space="preserve"> no plans to publish the information.</w:t>
      </w:r>
    </w:p>
    <w:p w:rsidR="005B6757" w:rsidRDefault="005B6757">
      <w:pPr>
        <w:widowControl/>
        <w:tabs>
          <w:tab w:val="left" w:pos="432"/>
          <w:tab w:val="left" w:pos="1296"/>
          <w:tab w:val="left" w:pos="1728"/>
          <w:tab w:val="left" w:pos="4176"/>
        </w:tabs>
        <w:ind w:left="1296" w:hanging="864"/>
        <w:rPr>
          <w:rFonts w:ascii="Times New Roman" w:hAnsi="Times New Roman"/>
          <w:color w:val="000000"/>
        </w:rPr>
      </w:pPr>
    </w:p>
    <w:p w:rsidR="005B6757" w:rsidRDefault="00503E4E">
      <w:pPr>
        <w:widowControl/>
        <w:tabs>
          <w:tab w:val="left" w:pos="432"/>
          <w:tab w:val="left" w:pos="1296"/>
          <w:tab w:val="left" w:pos="1728"/>
          <w:tab w:val="left" w:pos="4176"/>
        </w:tabs>
        <w:ind w:left="1296" w:hanging="864"/>
        <w:rPr>
          <w:rFonts w:ascii="Times New Roman" w:hAnsi="Times New Roman"/>
          <w:color w:val="000000"/>
        </w:rPr>
      </w:pPr>
      <w:r>
        <w:rPr>
          <w:rFonts w:ascii="Times New Roman" w:hAnsi="Times New Roman"/>
          <w:color w:val="000000"/>
        </w:rPr>
        <w:t>17.</w:t>
      </w:r>
      <w:r>
        <w:rPr>
          <w:rFonts w:ascii="Times New Roman" w:hAnsi="Times New Roman"/>
          <w:color w:val="000000"/>
        </w:rPr>
        <w:tab/>
      </w:r>
      <w:r>
        <w:rPr>
          <w:rFonts w:ascii="Times New Roman" w:hAnsi="Times New Roman"/>
          <w:color w:val="000000"/>
          <w:u w:val="single"/>
        </w:rPr>
        <w:t>Exceptions to Expiration Date Display</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keepNext/>
        <w:widowControl/>
        <w:tabs>
          <w:tab w:val="left" w:pos="432"/>
          <w:tab w:val="left" w:pos="1296"/>
          <w:tab w:val="left" w:pos="1728"/>
          <w:tab w:val="left" w:pos="4176"/>
        </w:tabs>
        <w:ind w:left="1296"/>
        <w:rPr>
          <w:rFonts w:ascii="Times New Roman" w:hAnsi="Times New Roman"/>
          <w:color w:val="000000"/>
        </w:rPr>
      </w:pPr>
      <w:proofErr w:type="gramStart"/>
      <w:r>
        <w:rPr>
          <w:rFonts w:ascii="Times New Roman" w:hAnsi="Times New Roman"/>
          <w:color w:val="000000"/>
        </w:rPr>
        <w:t>None.</w:t>
      </w:r>
      <w:proofErr w:type="gramEnd"/>
    </w:p>
    <w:p w:rsidR="005B6757" w:rsidRDefault="005B6757">
      <w:pPr>
        <w:keepNext/>
        <w:widowControl/>
        <w:tabs>
          <w:tab w:val="left" w:pos="432"/>
          <w:tab w:val="left" w:pos="1296"/>
          <w:tab w:val="left" w:pos="1728"/>
          <w:tab w:val="left" w:pos="4176"/>
        </w:tabs>
        <w:ind w:left="1296"/>
        <w:rPr>
          <w:rFonts w:ascii="Times New Roman" w:hAnsi="Times New Roman"/>
          <w:color w:val="000000"/>
        </w:rPr>
      </w:pPr>
    </w:p>
    <w:p w:rsidR="005B6757" w:rsidRDefault="00503E4E">
      <w:pPr>
        <w:keepNext/>
        <w:widowControl/>
        <w:numPr>
          <w:ilvl w:val="0"/>
          <w:numId w:val="4"/>
        </w:numPr>
        <w:tabs>
          <w:tab w:val="left" w:pos="432"/>
          <w:tab w:val="left" w:pos="1728"/>
          <w:tab w:val="left" w:pos="4176"/>
        </w:tabs>
        <w:rPr>
          <w:rFonts w:ascii="Times New Roman" w:hAnsi="Times New Roman"/>
          <w:color w:val="000000"/>
        </w:rPr>
      </w:pPr>
      <w:r>
        <w:rPr>
          <w:rFonts w:ascii="Times New Roman" w:hAnsi="Times New Roman"/>
          <w:color w:val="000000"/>
          <w:u w:val="single"/>
        </w:rPr>
        <w:t>Exceptions to Certification</w:t>
      </w:r>
    </w:p>
    <w:p w:rsidR="005B6757" w:rsidRDefault="005B6757">
      <w:pPr>
        <w:keepNext/>
        <w:widowControl/>
        <w:tabs>
          <w:tab w:val="left" w:pos="432"/>
          <w:tab w:val="left" w:pos="1296"/>
          <w:tab w:val="left" w:pos="1728"/>
          <w:tab w:val="left" w:pos="4176"/>
        </w:tabs>
        <w:ind w:left="435"/>
        <w:rPr>
          <w:rFonts w:ascii="Times New Roman" w:hAnsi="Times New Roman"/>
          <w:color w:val="000000"/>
        </w:rPr>
      </w:pPr>
    </w:p>
    <w:p w:rsidR="005B6757" w:rsidRDefault="00503E4E">
      <w:pPr>
        <w:keepNext/>
        <w:widowControl/>
        <w:tabs>
          <w:tab w:val="left" w:pos="432"/>
          <w:tab w:val="left" w:pos="1296"/>
          <w:tab w:val="left" w:pos="1728"/>
          <w:tab w:val="left" w:pos="4176"/>
        </w:tabs>
        <w:ind w:left="435"/>
        <w:rPr>
          <w:rFonts w:ascii="Times New Roman" w:hAnsi="Times New Roman"/>
          <w:color w:val="000000"/>
        </w:rPr>
      </w:pPr>
      <w:r>
        <w:rPr>
          <w:rFonts w:ascii="Times New Roman" w:hAnsi="Times New Roman"/>
          <w:color w:val="000000"/>
        </w:rPr>
        <w:tab/>
      </w:r>
      <w:proofErr w:type="gramStart"/>
      <w:r>
        <w:rPr>
          <w:rFonts w:ascii="Times New Roman" w:hAnsi="Times New Roman"/>
          <w:color w:val="000000"/>
        </w:rPr>
        <w:t>None.</w:t>
      </w:r>
      <w:proofErr w:type="gramEnd"/>
    </w:p>
    <w:p w:rsidR="00C06A8C" w:rsidRDefault="00C06A8C">
      <w:pPr>
        <w:keepNext/>
        <w:widowControl/>
        <w:tabs>
          <w:tab w:val="left" w:pos="432"/>
          <w:tab w:val="left" w:pos="1296"/>
          <w:tab w:val="left" w:pos="1728"/>
          <w:tab w:val="left" w:pos="4176"/>
        </w:tabs>
        <w:ind w:left="435"/>
        <w:rPr>
          <w:rFonts w:ascii="Times New Roman" w:hAnsi="Times New Roman"/>
          <w:color w:val="000000"/>
        </w:rPr>
      </w:pPr>
    </w:p>
    <w:p w:rsidR="00C06A8C" w:rsidRPr="00EA4003" w:rsidRDefault="00C06A8C" w:rsidP="00C06A8C">
      <w:pPr>
        <w:spacing w:after="120"/>
        <w:rPr>
          <w:rFonts w:ascii="Times New Roman" w:hAnsi="Times New Roman"/>
        </w:rPr>
      </w:pPr>
      <w:r w:rsidRPr="00EA4003">
        <w:rPr>
          <w:rFonts w:ascii="Times New Roman" w:hAnsi="Times New Roman"/>
        </w:rPr>
        <w:t>B.</w:t>
      </w:r>
      <w:r w:rsidRPr="00EA4003">
        <w:rPr>
          <w:rFonts w:ascii="Times New Roman" w:hAnsi="Times New Roman"/>
        </w:rPr>
        <w:tab/>
      </w:r>
      <w:r w:rsidRPr="00EA4003">
        <w:rPr>
          <w:rFonts w:ascii="Times New Roman" w:hAnsi="Times New Roman"/>
          <w:u w:val="single"/>
        </w:rPr>
        <w:t>STATISTICAL METHODS</w:t>
      </w:r>
    </w:p>
    <w:p w:rsidR="00C06A8C" w:rsidRPr="00EA4003" w:rsidRDefault="00C06A8C" w:rsidP="00C06A8C">
      <w:pPr>
        <w:spacing w:after="240"/>
        <w:ind w:left="720"/>
        <w:rPr>
          <w:rFonts w:ascii="Times New Roman" w:hAnsi="Times New Roman"/>
        </w:rPr>
      </w:pPr>
      <w:r w:rsidRPr="00EA4003">
        <w:rPr>
          <w:rFonts w:ascii="Times New Roman" w:hAnsi="Times New Roman"/>
        </w:rPr>
        <w:t>Not applicable.</w:t>
      </w:r>
    </w:p>
    <w:p w:rsidR="00C06A8C" w:rsidRDefault="00C06A8C" w:rsidP="007443D4">
      <w:pPr>
        <w:keepNext/>
        <w:widowControl/>
        <w:tabs>
          <w:tab w:val="left" w:pos="432"/>
          <w:tab w:val="left" w:pos="1296"/>
          <w:tab w:val="left" w:pos="1728"/>
          <w:tab w:val="left" w:pos="4176"/>
        </w:tabs>
        <w:rPr>
          <w:rFonts w:ascii="Times New Roman" w:hAnsi="Times New Roman"/>
          <w:color w:val="000000"/>
          <w:szCs w:val="24"/>
        </w:rPr>
      </w:pPr>
    </w:p>
    <w:p w:rsidR="005B6757" w:rsidRDefault="005B6757">
      <w:pPr>
        <w:widowControl/>
        <w:tabs>
          <w:tab w:val="left" w:pos="432"/>
          <w:tab w:val="left" w:pos="1296"/>
          <w:tab w:val="left" w:pos="1728"/>
          <w:tab w:val="left" w:pos="4176"/>
        </w:tabs>
        <w:rPr>
          <w:rFonts w:ascii="Times New Roman" w:hAnsi="Times New Roman"/>
          <w:color w:val="000000"/>
          <w:szCs w:val="24"/>
        </w:rPr>
      </w:pPr>
    </w:p>
    <w:p w:rsidR="005B6757" w:rsidRDefault="005B67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B6757" w:rsidRDefault="005B67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p>
    <w:p w:rsidR="005B6757" w:rsidRDefault="005B6757">
      <w:pPr>
        <w:widowControl/>
        <w:tabs>
          <w:tab w:val="left" w:pos="432"/>
          <w:tab w:val="left" w:pos="1296"/>
          <w:tab w:val="left" w:pos="1728"/>
          <w:tab w:val="left" w:pos="4176"/>
        </w:tabs>
        <w:rPr>
          <w:rFonts w:ascii="Times New Roman" w:hAnsi="Times New Roman"/>
          <w:color w:val="000000"/>
          <w:szCs w:val="24"/>
        </w:rPr>
      </w:pPr>
    </w:p>
    <w:sectPr w:rsidR="005B675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757" w:rsidRDefault="00503E4E">
      <w:r>
        <w:separator/>
      </w:r>
    </w:p>
  </w:endnote>
  <w:endnote w:type="continuationSeparator" w:id="0">
    <w:p w:rsidR="005B6757" w:rsidRDefault="0050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57" w:rsidRDefault="00503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6757" w:rsidRDefault="005B6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57" w:rsidRDefault="00503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30EC">
      <w:rPr>
        <w:rStyle w:val="PageNumber"/>
        <w:noProof/>
      </w:rPr>
      <w:t>3</w:t>
    </w:r>
    <w:r>
      <w:rPr>
        <w:rStyle w:val="PageNumber"/>
      </w:rPr>
      <w:fldChar w:fldCharType="end"/>
    </w:r>
  </w:p>
  <w:p w:rsidR="005B6757" w:rsidRDefault="005B67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410" w:rsidRDefault="00F73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757" w:rsidRDefault="00503E4E">
      <w:r>
        <w:separator/>
      </w:r>
    </w:p>
  </w:footnote>
  <w:footnote w:type="continuationSeparator" w:id="0">
    <w:p w:rsidR="005B6757" w:rsidRDefault="00503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410" w:rsidRDefault="00F734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410" w:rsidRDefault="00F734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410" w:rsidRDefault="00F734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2">
    <w:nsid w:val="27BD2C1B"/>
    <w:multiLevelType w:val="singleLevel"/>
    <w:tmpl w:val="7A044780"/>
    <w:lvl w:ilvl="0">
      <w:start w:val="9"/>
      <w:numFmt w:val="decimal"/>
      <w:lvlText w:val="%1."/>
      <w:lvlJc w:val="left"/>
      <w:pPr>
        <w:tabs>
          <w:tab w:val="num" w:pos="1290"/>
        </w:tabs>
        <w:ind w:left="1290" w:hanging="855"/>
      </w:pPr>
      <w:rPr>
        <w:rFonts w:hint="default"/>
      </w:rPr>
    </w:lvl>
  </w:abstractNum>
  <w:abstractNum w:abstractNumId="3">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4">
    <w:nsid w:val="30503B3C"/>
    <w:multiLevelType w:val="hybridMultilevel"/>
    <w:tmpl w:val="1EA89792"/>
    <w:lvl w:ilvl="0" w:tplc="49F221A6">
      <w:start w:val="12"/>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6">
    <w:nsid w:val="352621A9"/>
    <w:multiLevelType w:val="singleLevel"/>
    <w:tmpl w:val="F1EA4D98"/>
    <w:lvl w:ilvl="0">
      <w:start w:val="5"/>
      <w:numFmt w:val="decimal"/>
      <w:lvlText w:val="%1."/>
      <w:lvlJc w:val="left"/>
      <w:pPr>
        <w:tabs>
          <w:tab w:val="num" w:pos="1287"/>
        </w:tabs>
        <w:ind w:left="1287" w:hanging="855"/>
      </w:pPr>
      <w:rPr>
        <w:rFonts w:hint="default"/>
        <w:u w:val="none"/>
      </w:rPr>
    </w:lvl>
  </w:abstractNum>
  <w:abstractNum w:abstractNumId="7">
    <w:nsid w:val="401E6FA6"/>
    <w:multiLevelType w:val="hybridMultilevel"/>
    <w:tmpl w:val="BE4E676C"/>
    <w:lvl w:ilvl="0" w:tplc="9F90DD5C">
      <w:start w:val="4"/>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8">
    <w:nsid w:val="75E65642"/>
    <w:multiLevelType w:val="hybridMultilevel"/>
    <w:tmpl w:val="F9FAAE1A"/>
    <w:lvl w:ilvl="0" w:tplc="04090017">
      <w:start w:val="1"/>
      <w:numFmt w:val="lowerLetter"/>
      <w:lvlText w:val="%1)"/>
      <w:lvlJc w:val="left"/>
      <w:pPr>
        <w:tabs>
          <w:tab w:val="num" w:pos="1152"/>
        </w:tabs>
        <w:ind w:left="1152" w:hanging="360"/>
      </w:p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9">
    <w:nsid w:val="78442D35"/>
    <w:multiLevelType w:val="hybridMultilevel"/>
    <w:tmpl w:val="05307BF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6"/>
  </w:num>
  <w:num w:numId="2">
    <w:abstractNumId w:val="2"/>
  </w:num>
  <w:num w:numId="3">
    <w:abstractNumId w:val="5"/>
  </w:num>
  <w:num w:numId="4">
    <w:abstractNumId w:val="3"/>
  </w:num>
  <w:num w:numId="5">
    <w:abstractNumId w:val="8"/>
  </w:num>
  <w:num w:numId="6">
    <w:abstractNumId w:val="9"/>
  </w:num>
  <w:num w:numId="7">
    <w:abstractNumId w:val="10"/>
  </w:num>
  <w:num w:numId="8">
    <w:abstractNumId w:val="7"/>
  </w:num>
  <w:num w:numId="9">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32"/>
    <w:rsid w:val="001F0BAA"/>
    <w:rsid w:val="00233AD4"/>
    <w:rsid w:val="002B30EC"/>
    <w:rsid w:val="00384AAA"/>
    <w:rsid w:val="00503E4E"/>
    <w:rsid w:val="0055516F"/>
    <w:rsid w:val="005B6757"/>
    <w:rsid w:val="00655F7A"/>
    <w:rsid w:val="007443D4"/>
    <w:rsid w:val="00780AA0"/>
    <w:rsid w:val="008719EB"/>
    <w:rsid w:val="00A245A5"/>
    <w:rsid w:val="00AD6C32"/>
    <w:rsid w:val="00C06A8C"/>
    <w:rsid w:val="00D115D6"/>
    <w:rsid w:val="00E91D9D"/>
    <w:rsid w:val="00EA72DD"/>
    <w:rsid w:val="00F7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Courier" w:hAnsi="Courier"/>
      <w:snapToGrid w:val="0"/>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Courier" w:hAnsi="Courier"/>
      <w:snapToGrid w:val="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697785">
      <w:bodyDiv w:val="1"/>
      <w:marLeft w:val="0"/>
      <w:marRight w:val="0"/>
      <w:marTop w:val="0"/>
      <w:marBottom w:val="0"/>
      <w:divBdr>
        <w:top w:val="none" w:sz="0" w:space="0" w:color="auto"/>
        <w:left w:val="none" w:sz="0" w:space="0" w:color="auto"/>
        <w:bottom w:val="none" w:sz="0" w:space="0" w:color="auto"/>
        <w:right w:val="none" w:sz="0" w:space="0" w:color="auto"/>
      </w:divBdr>
    </w:div>
    <w:div w:id="121080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6396</Characters>
  <Application>Microsoft Office Word</Application>
  <DocSecurity>0</DocSecurity>
  <Lines>53</Lines>
  <Paragraphs>14</Paragraphs>
  <ScaleCrop>false</ScaleCrop>
  <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2016-06-06T16:20:00Z</dcterms:created>
  <dcterms:modified xsi:type="dcterms:W3CDTF">2016-06-14T18:35:00Z</dcterms:modified>
</cp:coreProperties>
</file>