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0E" w:rsidRPr="00843E0E" w:rsidRDefault="00003D42" w:rsidP="00507E7F">
      <w:pPr>
        <w:pStyle w:val="CM12"/>
        <w:tabs>
          <w:tab w:val="left" w:pos="9360"/>
        </w:tabs>
        <w:spacing w:line="276" w:lineRule="atLeast"/>
        <w:ind w:right="990"/>
        <w:jc w:val="center"/>
        <w:rPr>
          <w:b/>
          <w:caps/>
        </w:rPr>
      </w:pPr>
      <w:bookmarkStart w:id="0" w:name="_GoBack"/>
      <w:bookmarkEnd w:id="0"/>
      <w:r w:rsidRPr="00003D42">
        <w:rPr>
          <w:b/>
          <w:lang w:val="en-CA"/>
        </w:rPr>
        <w:t xml:space="preserve">BUREAU </w:t>
      </w:r>
      <w:r>
        <w:rPr>
          <w:b/>
          <w:lang w:val="en-CA"/>
        </w:rPr>
        <w:t xml:space="preserve">OF </w:t>
      </w:r>
      <w:r w:rsidR="00843E0E" w:rsidRPr="00843E0E">
        <w:rPr>
          <w:b/>
          <w:lang w:val="en-CA"/>
        </w:rPr>
        <w:fldChar w:fldCharType="begin"/>
      </w:r>
      <w:r w:rsidR="00843E0E" w:rsidRPr="00843E0E">
        <w:rPr>
          <w:b/>
          <w:lang w:val="en-CA"/>
        </w:rPr>
        <w:instrText xml:space="preserve"> SEQ CHAPTER \h \r 1</w:instrText>
      </w:r>
      <w:r w:rsidR="00843E0E" w:rsidRPr="00843E0E">
        <w:rPr>
          <w:b/>
          <w:lang w:val="en-CA"/>
        </w:rPr>
        <w:fldChar w:fldCharType="end"/>
      </w:r>
      <w:r w:rsidR="00843E0E" w:rsidRPr="00843E0E">
        <w:rPr>
          <w:b/>
          <w:lang w:val="en-CA"/>
        </w:rPr>
        <w:t xml:space="preserve">CONSUMER FINANCIAL PROTECTION </w:t>
      </w:r>
      <w:r w:rsidR="00843E0E" w:rsidRPr="00843E0E">
        <w:rPr>
          <w:b/>
          <w:lang w:val="en-CA"/>
        </w:rPr>
        <w:br/>
      </w:r>
      <w:r w:rsidR="00843E0E" w:rsidRPr="00843E0E">
        <w:rPr>
          <w:b/>
          <w:caps/>
        </w:rPr>
        <w:t>Request for Approval under the Generic Clearance</w:t>
      </w:r>
    </w:p>
    <w:p w:rsidR="00843E0E" w:rsidRPr="00843E0E" w:rsidRDefault="00843E0E" w:rsidP="00507E7F">
      <w:pPr>
        <w:pStyle w:val="CM12"/>
        <w:tabs>
          <w:tab w:val="left" w:pos="9360"/>
        </w:tabs>
        <w:spacing w:line="276" w:lineRule="atLeast"/>
        <w:ind w:right="990"/>
        <w:jc w:val="center"/>
        <w:rPr>
          <w:b/>
          <w:bCs/>
        </w:rPr>
      </w:pPr>
      <w:r w:rsidRPr="00843E0E">
        <w:rPr>
          <w:b/>
          <w:caps/>
        </w:rPr>
        <w:t>Compliance Costs and Other Effects of Regulations</w:t>
      </w:r>
    </w:p>
    <w:p w:rsidR="00FA7432" w:rsidRDefault="00F06866" w:rsidP="00507E7F">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43E0E">
        <w:rPr>
          <w:b/>
        </w:rPr>
        <w:t>(OMB Control N</w:t>
      </w:r>
      <w:r w:rsidR="00FA7432" w:rsidRPr="00843E0E">
        <w:rPr>
          <w:b/>
        </w:rPr>
        <w:t>umber: 3170-</w:t>
      </w:r>
      <w:r w:rsidR="009658CE" w:rsidRPr="00843E0E">
        <w:rPr>
          <w:b/>
        </w:rPr>
        <w:t>0032</w:t>
      </w:r>
      <w:r w:rsidRPr="00843E0E">
        <w:rPr>
          <w:b/>
        </w:rPr>
        <w:t>)</w:t>
      </w:r>
    </w:p>
    <w:p w:rsidR="00843E0E" w:rsidRDefault="00843E0E" w:rsidP="00843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581701" w:rsidRDefault="00D31812"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PART A: </w:t>
      </w:r>
      <w:r w:rsidR="00581701">
        <w:rPr>
          <w:b/>
        </w:rPr>
        <w:t>JUSTIFICATION FOR THE INFORMATION COLLECTION</w:t>
      </w:r>
    </w:p>
    <w:p w:rsidR="0049371E" w:rsidRDefault="0049371E" w:rsidP="0058170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49371E" w:rsidRPr="00843E0E" w:rsidRDefault="0049371E"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Default="00FA7432" w:rsidP="00FA7432">
      <w:pPr>
        <w:pStyle w:val="Heading2"/>
        <w:shd w:val="clear" w:color="auto" w:fill="FFFFFF" w:themeFill="background1"/>
        <w:tabs>
          <w:tab w:val="left" w:pos="900"/>
        </w:tabs>
        <w:ind w:right="-180"/>
        <w:jc w:val="left"/>
      </w:pPr>
    </w:p>
    <w:p w:rsidR="00E50293" w:rsidRPr="00FA7432" w:rsidRDefault="00CE577F" w:rsidP="00FA7432">
      <w:pPr>
        <w:pStyle w:val="Heading2"/>
        <w:tabs>
          <w:tab w:val="left" w:pos="900"/>
        </w:tabs>
        <w:ind w:right="-180"/>
        <w:jc w:val="left"/>
      </w:pPr>
      <w:r>
        <w:t xml:space="preserve">1. </w:t>
      </w:r>
      <w:r w:rsidR="005E714A" w:rsidRPr="00FA7432">
        <w:t xml:space="preserve">TITLE OF INFORMATION COLLECTION:  </w:t>
      </w:r>
      <w:r w:rsidR="00D9785A" w:rsidRPr="00A251A5">
        <w:rPr>
          <w:b w:val="0"/>
        </w:rPr>
        <w:t>Housing Counselor/Legal Aid Attorney Survey</w:t>
      </w:r>
    </w:p>
    <w:p w:rsidR="005E714A" w:rsidRPr="00FA7432" w:rsidRDefault="005E714A"/>
    <w:p w:rsidR="00CE577F" w:rsidRDefault="00CE577F">
      <w:pPr>
        <w:rPr>
          <w:b/>
        </w:rPr>
      </w:pPr>
    </w:p>
    <w:p w:rsidR="00CE577F" w:rsidRDefault="00CE577F" w:rsidP="00D9785A">
      <w:pPr>
        <w:tabs>
          <w:tab w:val="left" w:pos="2625"/>
        </w:tabs>
        <w:rPr>
          <w:b/>
        </w:rPr>
      </w:pPr>
      <w:r>
        <w:rPr>
          <w:b/>
        </w:rPr>
        <w:t xml:space="preserve">2. </w:t>
      </w:r>
      <w:r w:rsidR="00F15956" w:rsidRPr="00FA7432">
        <w:rPr>
          <w:b/>
        </w:rPr>
        <w:t>PURPOSE:</w:t>
      </w:r>
      <w:r w:rsidR="00C14CC4" w:rsidRPr="00FA7432">
        <w:rPr>
          <w:b/>
        </w:rPr>
        <w:t xml:space="preserve">  </w:t>
      </w:r>
      <w:r w:rsidR="00D9785A" w:rsidRPr="00141EC0">
        <w:t xml:space="preserve">Section 1022(d) of the Dodd-Frank Act requires the </w:t>
      </w:r>
      <w:r w:rsidR="00D9785A">
        <w:t>Consumer Financial Protection Bureau</w:t>
      </w:r>
      <w:r w:rsidR="00D9785A" w:rsidRPr="00141EC0">
        <w:t xml:space="preserve"> </w:t>
      </w:r>
      <w:r w:rsidR="00D9785A">
        <w:t xml:space="preserve">(Bureau) </w:t>
      </w:r>
      <w:r w:rsidR="00D9785A" w:rsidRPr="00141EC0">
        <w:t xml:space="preserve">to conduct an assessment of each significant rule or order adopted by the Bureau under Federal consumer financial law.  The Bureau </w:t>
      </w:r>
      <w:r w:rsidR="00D9785A">
        <w:t>is seeking information to support</w:t>
      </w:r>
      <w:r w:rsidR="00D9785A" w:rsidRPr="00141EC0">
        <w:t xml:space="preserve"> its</w:t>
      </w:r>
      <w:r w:rsidR="00D9785A">
        <w:t xml:space="preserve"> assessment of its</w:t>
      </w:r>
      <w:r w:rsidR="00D9785A" w:rsidRPr="00141EC0">
        <w:t xml:space="preserve"> final rule titled “Mortgage Servicing Rules Under the Real Estate Settlement Procedures Act (Regulation X)” (2013 RESPA Servi</w:t>
      </w:r>
      <w:r w:rsidR="00D9785A">
        <w:t>cing Final Rule)</w:t>
      </w:r>
      <w:r w:rsidR="00D9785A" w:rsidRPr="00141EC0">
        <w:t>.</w:t>
      </w:r>
      <w:r w:rsidR="004271AC">
        <w:rPr>
          <w:rStyle w:val="FootnoteReference"/>
        </w:rPr>
        <w:footnoteReference w:id="1"/>
      </w:r>
      <w:r w:rsidR="00D9785A">
        <w:t xml:space="preserve">  The Bureau amended the 2013 RESPA Servicing Final Rule on several occasions before it took effect on January 10, 2014.</w:t>
      </w:r>
      <w:r w:rsidR="004271AC">
        <w:rPr>
          <w:rStyle w:val="FootnoteReference"/>
        </w:rPr>
        <w:footnoteReference w:id="2"/>
      </w:r>
      <w:r w:rsidR="00D9785A">
        <w:t xml:space="preserve">  The Bureau will conduct an assessment of the 2013 RESPA Servicing Final Rule as so amended, which this document refers to as the “2013 RESPA Servicing Rule.”</w:t>
      </w:r>
      <w:r w:rsidR="000C5CE5">
        <w:t xml:space="preserve"> The Bureau published its plan for assessing the 2013 RESPA Servicing Rule in the </w:t>
      </w:r>
      <w:r w:rsidR="000C5CE5">
        <w:rPr>
          <w:i/>
        </w:rPr>
        <w:t>Federal Register</w:t>
      </w:r>
      <w:r w:rsidR="000C5CE5">
        <w:t xml:space="preserve"> on May 11, 2017.</w:t>
      </w:r>
      <w:r w:rsidR="000C5CE5">
        <w:rPr>
          <w:rStyle w:val="FootnoteReference"/>
        </w:rPr>
        <w:footnoteReference w:id="3"/>
      </w:r>
    </w:p>
    <w:p w:rsidR="00CE577F" w:rsidRDefault="00CE577F" w:rsidP="00CE577F">
      <w:pPr>
        <w:rPr>
          <w:b/>
        </w:rPr>
      </w:pPr>
    </w:p>
    <w:p w:rsidR="002E5DBD" w:rsidRPr="0025672E" w:rsidRDefault="00D049FF" w:rsidP="002E5DBD">
      <w:r>
        <w:t>This information collection will all</w:t>
      </w:r>
      <w:r w:rsidR="008235AE">
        <w:t xml:space="preserve">ow the Bureau to </w:t>
      </w:r>
      <w:r w:rsidR="00A2364F">
        <w:t>gather</w:t>
      </w:r>
      <w:r w:rsidR="002E5DBD">
        <w:t xml:space="preserve"> anecdotal,</w:t>
      </w:r>
      <w:r w:rsidR="00A2364F">
        <w:t xml:space="preserve"> qualitative information from </w:t>
      </w:r>
      <w:r>
        <w:t xml:space="preserve">housing counselors and legal aid attorneys about their experiences with the rule.  </w:t>
      </w:r>
      <w:r w:rsidR="002E5DBD">
        <w:t>The Bureau seeks to better understand housing counselors’ and legal aid attorneys’ observations on whether various provisions of the rule were effective and how the provisions affected borrower outcomes, such as avoiding foreclosure. The survey asks about respondents’ experiences and opinions using multiple choice questions and free-form text boxes.</w:t>
      </w:r>
    </w:p>
    <w:p w:rsidR="002E5DBD" w:rsidRDefault="002E5DBD" w:rsidP="00CE577F"/>
    <w:p w:rsidR="000C5CE5" w:rsidRDefault="00D049FF" w:rsidP="00CE577F">
      <w:r>
        <w:t xml:space="preserve">This </w:t>
      </w:r>
      <w:r w:rsidR="00996905">
        <w:t xml:space="preserve">survey </w:t>
      </w:r>
      <w:r>
        <w:t>is one part of our overall effort to fulfil</w:t>
      </w:r>
      <w:r w:rsidR="000C5CE5">
        <w:t>l</w:t>
      </w:r>
      <w:r>
        <w:t xml:space="preserve"> our obligation to assess the </w:t>
      </w:r>
      <w:r w:rsidR="00404D99">
        <w:t>2013 RESPA Servicing Rule’s</w:t>
      </w:r>
      <w:r>
        <w:t xml:space="preserve"> effectiveness in meeting its stated goals and the goals in Title X of Dodd-Frank and evaluate the burdens </w:t>
      </w:r>
      <w:r w:rsidR="0017272E">
        <w:t>the 2013 RESPA Servicing Rule</w:t>
      </w:r>
      <w:r>
        <w:t xml:space="preserve"> imposed on regulated entities.</w:t>
      </w:r>
      <w:r w:rsidR="008235AE">
        <w:t xml:space="preserve"> </w:t>
      </w:r>
      <w:r w:rsidR="00BC5697">
        <w:t xml:space="preserve"> </w:t>
      </w:r>
      <w:r w:rsidR="000C5CE5">
        <w:t>As part of its broader information collection related to the assessment</w:t>
      </w:r>
      <w:r w:rsidR="0017272E">
        <w:t>,</w:t>
      </w:r>
      <w:r w:rsidR="000C5CE5">
        <w:t xml:space="preserve"> the Bureau has obtained or is working to obtain data </w:t>
      </w:r>
      <w:r w:rsidR="00F955B4">
        <w:t>from a number of other sources</w:t>
      </w:r>
      <w:r w:rsidR="0017272E">
        <w:t>:</w:t>
      </w:r>
    </w:p>
    <w:p w:rsidR="0010258D" w:rsidRDefault="0010258D" w:rsidP="00BA097F">
      <w:pPr>
        <w:pStyle w:val="ListParagraph"/>
        <w:numPr>
          <w:ilvl w:val="0"/>
          <w:numId w:val="33"/>
        </w:numPr>
      </w:pPr>
      <w:r>
        <w:t xml:space="preserve">The Bureau is </w:t>
      </w:r>
      <w:r w:rsidR="00E97125">
        <w:t>using</w:t>
      </w:r>
      <w:r w:rsidR="002E5DBD">
        <w:t xml:space="preserve"> </w:t>
      </w:r>
      <w:r w:rsidR="00E97125">
        <w:t>publicly and commercially available</w:t>
      </w:r>
      <w:r w:rsidR="006C147E">
        <w:t xml:space="preserve"> loan-level</w:t>
      </w:r>
      <w:r w:rsidR="00E97125">
        <w:t xml:space="preserve"> data to analyze market trends, such as modification and foreclosure timelines.</w:t>
      </w:r>
    </w:p>
    <w:p w:rsidR="000C5CE5" w:rsidRDefault="000C5CE5" w:rsidP="00BA097F">
      <w:pPr>
        <w:pStyle w:val="ListParagraph"/>
        <w:numPr>
          <w:ilvl w:val="0"/>
          <w:numId w:val="33"/>
        </w:numPr>
      </w:pPr>
      <w:r>
        <w:t xml:space="preserve">The Bureau is collecting </w:t>
      </w:r>
      <w:r w:rsidR="006C147E">
        <w:t>loan</w:t>
      </w:r>
      <w:r>
        <w:t>-level data</w:t>
      </w:r>
      <w:r w:rsidR="00F955B4">
        <w:t xml:space="preserve"> (stripped of </w:t>
      </w:r>
      <w:r w:rsidR="00A410A8">
        <w:t>personally identifiable information</w:t>
      </w:r>
      <w:r w:rsidR="00F955B4">
        <w:t>)</w:t>
      </w:r>
      <w:r>
        <w:t xml:space="preserve"> from nine or fewer mortgage servicers.</w:t>
      </w:r>
      <w:r w:rsidR="00996905">
        <w:t xml:space="preserve">  </w:t>
      </w:r>
      <w:r w:rsidR="00F73FBB">
        <w:t xml:space="preserve">These data are not representative of the market, but will help us understand whether </w:t>
      </w:r>
      <w:r w:rsidR="00F73FBB" w:rsidRPr="00F73FBB">
        <w:t>the specific rule requirements led to the outcomes the Bureau was seeking with the rule and whether, conversely, some of the rule requirements did not appear to have an impact or had unintended consequences.</w:t>
      </w:r>
    </w:p>
    <w:p w:rsidR="00F955B4" w:rsidRDefault="00F955B4" w:rsidP="00BA097F">
      <w:pPr>
        <w:pStyle w:val="ListParagraph"/>
        <w:numPr>
          <w:ilvl w:val="0"/>
          <w:numId w:val="33"/>
        </w:numPr>
      </w:pPr>
      <w:r>
        <w:lastRenderedPageBreak/>
        <w:t>The Bureau is conducting multi-day site visits with n</w:t>
      </w:r>
      <w:r w:rsidR="006F4DCA">
        <w:t xml:space="preserve">ine or fewer mortgage servicers </w:t>
      </w:r>
      <w:r w:rsidR="00F73FBB">
        <w:t xml:space="preserve">and 90 minute phone interviews with other small servicers </w:t>
      </w:r>
      <w:r w:rsidR="006F4DCA">
        <w:t>to learn anecdotal</w:t>
      </w:r>
      <w:r w:rsidR="00F73FBB">
        <w:t>,</w:t>
      </w:r>
      <w:r w:rsidR="006F4DCA">
        <w:t xml:space="preserve"> qualitative information about how the rule has affected the</w:t>
      </w:r>
      <w:r w:rsidR="00F73FBB">
        <w:t>se</w:t>
      </w:r>
      <w:r w:rsidR="006F4DCA">
        <w:t xml:space="preserve"> servicer</w:t>
      </w:r>
      <w:r w:rsidR="00F73FBB">
        <w:t>s’</w:t>
      </w:r>
      <w:r w:rsidR="006F4DCA">
        <w:t xml:space="preserve"> business and customers.</w:t>
      </w:r>
    </w:p>
    <w:p w:rsidR="00E970B2" w:rsidRDefault="00E970B2" w:rsidP="00BA097F">
      <w:pPr>
        <w:pStyle w:val="ListParagraph"/>
        <w:numPr>
          <w:ilvl w:val="0"/>
          <w:numId w:val="33"/>
        </w:numPr>
      </w:pPr>
      <w:r>
        <w:t>The Bureau is working to obtain data on the cost of servicing mortgage loans from trade associations.</w:t>
      </w:r>
    </w:p>
    <w:p w:rsidR="00F955B4" w:rsidRDefault="00F955B4" w:rsidP="00F955B4">
      <w:pPr>
        <w:pStyle w:val="ListParagraph"/>
        <w:numPr>
          <w:ilvl w:val="0"/>
          <w:numId w:val="33"/>
        </w:numPr>
      </w:pPr>
      <w:r>
        <w:t>The Bureau’s complaint database gives insight into where consumers may have problems with the rule.</w:t>
      </w:r>
    </w:p>
    <w:p w:rsidR="000C5CE5" w:rsidRDefault="000C5CE5" w:rsidP="006C147E"/>
    <w:p w:rsidR="006C147E" w:rsidRDefault="0017272E" w:rsidP="006C147E">
      <w:r>
        <w:t>T</w:t>
      </w:r>
      <w:r w:rsidR="00E61185">
        <w:t xml:space="preserve">he goal of this survey </w:t>
      </w:r>
      <w:r w:rsidR="000B303F">
        <w:t xml:space="preserve">is to learn </w:t>
      </w:r>
      <w:r>
        <w:t xml:space="preserve">about the impacts of the 2013 RESPA Servicing Rule from the </w:t>
      </w:r>
      <w:r w:rsidR="000B303F">
        <w:t>perspective of housing counselors and legal aid attorneys who work directly with consumers on mortg</w:t>
      </w:r>
      <w:r w:rsidR="00A83421">
        <w:t>age servicing related issues.</w:t>
      </w:r>
      <w:r>
        <w:t xml:space="preserve">  T</w:t>
      </w:r>
      <w:r w:rsidR="006C147E">
        <w:t>he Bureau does not expect responses to the survey to be statistically representative of the perspectives of</w:t>
      </w:r>
      <w:r>
        <w:t xml:space="preserve"> all</w:t>
      </w:r>
      <w:r w:rsidR="006C147E">
        <w:t xml:space="preserve"> housing </w:t>
      </w:r>
      <w:r w:rsidR="008D4BB8">
        <w:t>counseling or legal aid attorney</w:t>
      </w:r>
      <w:r>
        <w:t>s</w:t>
      </w:r>
      <w:r w:rsidR="006C147E">
        <w:t xml:space="preserve">. </w:t>
      </w:r>
      <w:r w:rsidR="00111EEA">
        <w:t xml:space="preserve"> </w:t>
      </w:r>
      <w:r w:rsidR="006C147E">
        <w:t xml:space="preserve">For example, the rule provided consumers with error resolution rights. </w:t>
      </w:r>
      <w:r w:rsidR="00111EEA">
        <w:t xml:space="preserve"> </w:t>
      </w:r>
      <w:r w:rsidR="006C147E">
        <w:t>In discussing these rights, the Bureau might say, for example, “Of the housing counselors that responded to our survey, x</w:t>
      </w:r>
      <w:r w:rsidR="0068644E">
        <w:t>% believe</w:t>
      </w:r>
      <w:r w:rsidR="006C147E">
        <w:t xml:space="preserve"> </w:t>
      </w:r>
      <w:r w:rsidR="0068644E">
        <w:t>the error resolution rules have not improved outcomes for their clients</w:t>
      </w:r>
      <w:r w:rsidR="006C147E">
        <w:t xml:space="preserve">.” </w:t>
      </w:r>
    </w:p>
    <w:p w:rsidR="000C5CE5" w:rsidRDefault="000C5CE5" w:rsidP="00CE577F"/>
    <w:p w:rsidR="007B0A78" w:rsidRPr="000D78B1" w:rsidRDefault="007B0A78" w:rsidP="007B0A78">
      <w:pPr>
        <w:rPr>
          <w:b/>
        </w:rPr>
      </w:pPr>
      <w:r>
        <w:t>The Bureau stated in its announcement of the assessment that the Bureau does not plan for the assessment report to contain specific proposal</w:t>
      </w:r>
      <w:r w:rsidR="00A410A8">
        <w:t>s</w:t>
      </w:r>
      <w:r>
        <w:t xml:space="preserve"> by the Bureau to modify any rules.</w:t>
      </w:r>
      <w:r>
        <w:rPr>
          <w:rStyle w:val="FootnoteReference"/>
        </w:rPr>
        <w:footnoteReference w:id="4"/>
      </w:r>
      <w:r>
        <w:t xml:space="preserve"> </w:t>
      </w:r>
      <w:r w:rsidR="00111EEA">
        <w:t xml:space="preserve"> </w:t>
      </w:r>
      <w:r>
        <w:t xml:space="preserve">The Bureau expects that the report will inform it and the public on the effectiveness of the </w:t>
      </w:r>
      <w:r w:rsidR="00A410A8">
        <w:t>2013 RESPA Servicing Rule</w:t>
      </w:r>
      <w:r>
        <w:t xml:space="preserve">. </w:t>
      </w:r>
      <w:r w:rsidR="00111EEA">
        <w:t xml:space="preserve"> </w:t>
      </w:r>
      <w:r>
        <w:t xml:space="preserve">After the report is complete, the Bureau will evaluate whether to engage in substantive policy development, which could include additional research and development of proposed changes to the rule through the notice and comment process. </w:t>
      </w:r>
      <w:r w:rsidR="00111EEA">
        <w:t xml:space="preserve"> </w:t>
      </w:r>
      <w:r>
        <w:t>The Bureau does not intend for this survey or the assessment to alone inform any policy changes.</w:t>
      </w:r>
      <w:r w:rsidR="00D767CB">
        <w:t xml:space="preserve"> </w:t>
      </w:r>
    </w:p>
    <w:p w:rsidR="000C5CE5" w:rsidRDefault="000C5CE5" w:rsidP="00CE577F"/>
    <w:p w:rsidR="00301113" w:rsidRDefault="00301113" w:rsidP="00301113">
      <w:r>
        <w:t>The Bureau</w:t>
      </w:r>
      <w:r w:rsidR="00974200">
        <w:t xml:space="preserve"> will not</w:t>
      </w:r>
      <w:r>
        <w:t xml:space="preserve"> make the results of this collection a public-use dataset.</w:t>
      </w:r>
    </w:p>
    <w:p w:rsidR="00CE577F" w:rsidRDefault="00CE577F" w:rsidP="00CE577F">
      <w:pPr>
        <w:rPr>
          <w:b/>
        </w:rPr>
      </w:pPr>
    </w:p>
    <w:p w:rsidR="0025672E" w:rsidRDefault="0025672E" w:rsidP="00CE577F">
      <w:pPr>
        <w:rPr>
          <w:b/>
        </w:rPr>
      </w:pPr>
    </w:p>
    <w:p w:rsidR="00CE577F" w:rsidRDefault="00CE577F" w:rsidP="00CE577F">
      <w:r>
        <w:rPr>
          <w:b/>
        </w:rPr>
        <w:t xml:space="preserve">3. </w:t>
      </w:r>
      <w:r w:rsidR="00434E33" w:rsidRPr="00FA7432">
        <w:rPr>
          <w:b/>
        </w:rPr>
        <w:t>DESCRIPTION OF RESPONDENTS</w:t>
      </w:r>
      <w:r w:rsidR="00434E33" w:rsidRPr="00FA7432">
        <w:t xml:space="preserve">: </w:t>
      </w:r>
      <w:r w:rsidR="003867BA">
        <w:t>The respondents will be housing cou</w:t>
      </w:r>
      <w:r w:rsidR="00BE7306">
        <w:t>nselors and legal aid attorneys who have experience assisting clients with mortgage servicing related issues.</w:t>
      </w:r>
    </w:p>
    <w:p w:rsidR="00CE577F" w:rsidRDefault="00CE577F" w:rsidP="00CE577F"/>
    <w:p w:rsidR="00CE577F" w:rsidRDefault="00CE577F" w:rsidP="00CE577F"/>
    <w:p w:rsidR="00CE577F" w:rsidRPr="00CE577F" w:rsidRDefault="00CE577F" w:rsidP="00CE577F">
      <w:r>
        <w:t xml:space="preserve">4. </w:t>
      </w:r>
      <w:r w:rsidRPr="00CE577F">
        <w:rPr>
          <w:b/>
          <w:caps/>
        </w:rPr>
        <w:t>TYPE OF COLLECTION (Administration of the instrument):</w:t>
      </w:r>
    </w:p>
    <w:p w:rsidR="00CE577F" w:rsidRDefault="00CE577F" w:rsidP="00CE577F">
      <w:pPr>
        <w:pStyle w:val="ListParagraph"/>
        <w:ind w:left="460" w:right="721"/>
        <w:rPr>
          <w:b/>
        </w:rPr>
      </w:pPr>
    </w:p>
    <w:p w:rsidR="00CE577F" w:rsidRDefault="00CE577F" w:rsidP="00CE577F">
      <w:pPr>
        <w:pStyle w:val="ListParagraph"/>
        <w:widowControl w:val="0"/>
        <w:numPr>
          <w:ilvl w:val="0"/>
          <w:numId w:val="20"/>
        </w:numPr>
        <w:ind w:right="721"/>
      </w:pPr>
      <w:r w:rsidRPr="00625C16">
        <w:rPr>
          <w:b/>
        </w:rPr>
        <w:t xml:space="preserve">How will you collect the information? </w:t>
      </w:r>
      <w:r w:rsidRPr="00AD22D0">
        <w:t xml:space="preserve">(Check </w:t>
      </w:r>
      <w:r w:rsidRPr="00AD22D0">
        <w:rPr>
          <w:u w:val="single"/>
        </w:rPr>
        <w:t>all</w:t>
      </w:r>
      <w:r w:rsidRPr="00AD22D0">
        <w:t xml:space="preserve"> that apply)</w:t>
      </w:r>
    </w:p>
    <w:p w:rsidR="00CE577F" w:rsidRPr="00625C16" w:rsidRDefault="00CE577F" w:rsidP="00CE577F">
      <w:pPr>
        <w:pStyle w:val="ListParagraph"/>
        <w:ind w:left="1135" w:right="721"/>
        <w:rPr>
          <w:b/>
        </w:rPr>
      </w:pPr>
    </w:p>
    <w:p w:rsidR="00CE577F" w:rsidRPr="00625C16" w:rsidRDefault="00CE577F" w:rsidP="00CE577F">
      <w:pPr>
        <w:pStyle w:val="ListParagraph"/>
        <w:ind w:left="460" w:right="721"/>
      </w:pPr>
      <w:r>
        <w:tab/>
      </w:r>
      <w:r>
        <w:tab/>
      </w:r>
      <w:r w:rsidRPr="00D9785A">
        <w:rPr>
          <w:b/>
        </w:rPr>
        <w:t>[</w:t>
      </w:r>
      <w:r w:rsidR="00D9785A" w:rsidRPr="00D9785A">
        <w:rPr>
          <w:b/>
        </w:rPr>
        <w:t>X</w:t>
      </w:r>
      <w:r w:rsidRPr="00D9785A">
        <w:rPr>
          <w:b/>
        </w:rPr>
        <w:t>] Web-based or other forms of Social Media</w:t>
      </w:r>
      <w:r w:rsidRPr="00625C16">
        <w:tab/>
        <w:t>[  ] Telephone</w:t>
      </w:r>
      <w:r>
        <w:t xml:space="preserve">    </w:t>
      </w:r>
    </w:p>
    <w:p w:rsidR="00CE577F" w:rsidRPr="00C27925" w:rsidRDefault="00CE577F" w:rsidP="00CE577F">
      <w:pPr>
        <w:pStyle w:val="ListParagraph"/>
        <w:ind w:left="1180" w:right="721" w:firstLine="260"/>
      </w:pPr>
      <w:r w:rsidRPr="00625C16">
        <w:t>[  ] In-person</w:t>
      </w:r>
      <w:r>
        <w:t xml:space="preserve"> </w:t>
      </w:r>
      <w:r>
        <w:tab/>
      </w:r>
      <w:r>
        <w:tab/>
      </w:r>
      <w:r>
        <w:tab/>
      </w:r>
      <w:r>
        <w:tab/>
      </w:r>
      <w:r>
        <w:tab/>
      </w:r>
      <w:r>
        <w:tab/>
      </w:r>
      <w:r w:rsidRPr="00625C16">
        <w:t>[  ] Mail</w:t>
      </w:r>
    </w:p>
    <w:p w:rsidR="00CE577F" w:rsidRPr="00C27925" w:rsidRDefault="00CE577F" w:rsidP="00CE577F">
      <w:pPr>
        <w:pStyle w:val="ListParagraph"/>
        <w:ind w:left="715" w:right="721" w:firstLine="260"/>
      </w:pPr>
      <w:r>
        <w:t xml:space="preserve">        [ </w:t>
      </w:r>
      <w:r>
        <w:rPr>
          <w:spacing w:val="1"/>
        </w:rPr>
        <w:t xml:space="preserve"> </w:t>
      </w:r>
      <w:r>
        <w:t>]</w:t>
      </w:r>
      <w:r>
        <w:rPr>
          <w:spacing w:val="-1"/>
        </w:rPr>
        <w:t xml:space="preserve"> </w:t>
      </w:r>
      <w:r>
        <w:rPr>
          <w:spacing w:val="1"/>
        </w:rPr>
        <w:t>S</w:t>
      </w:r>
      <w:r>
        <w:t>mall Dis</w:t>
      </w:r>
      <w:r>
        <w:rPr>
          <w:spacing w:val="-1"/>
        </w:rPr>
        <w:t>c</w:t>
      </w:r>
      <w:r>
        <w:t>uss</w:t>
      </w:r>
      <w:r>
        <w:rPr>
          <w:spacing w:val="1"/>
        </w:rPr>
        <w:t>i</w:t>
      </w:r>
      <w:r>
        <w:t>on G</w:t>
      </w:r>
      <w:r>
        <w:rPr>
          <w:spacing w:val="-1"/>
        </w:rPr>
        <w:t>r</w:t>
      </w:r>
      <w:r>
        <w:rPr>
          <w:spacing w:val="-2"/>
        </w:rPr>
        <w:t>o</w:t>
      </w:r>
      <w:r>
        <w:t>up</w:t>
      </w:r>
      <w:r w:rsidRPr="00625C16">
        <w:tab/>
      </w:r>
      <w:r>
        <w:tab/>
      </w:r>
      <w:r>
        <w:tab/>
      </w:r>
      <w:r>
        <w:tab/>
        <w:t xml:space="preserve">[ </w:t>
      </w:r>
      <w:r>
        <w:rPr>
          <w:spacing w:val="1"/>
        </w:rPr>
        <w:t xml:space="preserve"> </w:t>
      </w:r>
      <w:r>
        <w:t>]</w:t>
      </w:r>
      <w:r>
        <w:rPr>
          <w:spacing w:val="2"/>
          <w:position w:val="-1"/>
        </w:rPr>
        <w:t xml:space="preserve"> </w:t>
      </w:r>
      <w:r>
        <w:rPr>
          <w:spacing w:val="-1"/>
          <w:position w:val="-1"/>
        </w:rPr>
        <w:t>F</w:t>
      </w:r>
      <w:r>
        <w:rPr>
          <w:position w:val="-1"/>
        </w:rPr>
        <w:t>o</w:t>
      </w:r>
      <w:r>
        <w:rPr>
          <w:spacing w:val="-1"/>
          <w:position w:val="-1"/>
        </w:rPr>
        <w:t>c</w:t>
      </w:r>
      <w:r>
        <w:rPr>
          <w:position w:val="-1"/>
        </w:rPr>
        <w:t>us G</w:t>
      </w:r>
      <w:r>
        <w:rPr>
          <w:spacing w:val="-1"/>
          <w:position w:val="-1"/>
        </w:rPr>
        <w:t>r</w:t>
      </w:r>
      <w:r>
        <w:rPr>
          <w:position w:val="-1"/>
        </w:rPr>
        <w:t>oup</w:t>
      </w:r>
      <w:r>
        <w:rPr>
          <w:position w:val="-1"/>
        </w:rPr>
        <w:tab/>
      </w:r>
      <w:r>
        <w:tab/>
      </w:r>
      <w:r w:rsidRPr="00C27925">
        <w:t>[  ] Other, Explain ______________________</w:t>
      </w:r>
    </w:p>
    <w:p w:rsidR="00CE577F" w:rsidRPr="00C27925" w:rsidRDefault="00CE577F" w:rsidP="00CE577F">
      <w:pPr>
        <w:tabs>
          <w:tab w:val="left" w:pos="5140"/>
        </w:tabs>
        <w:ind w:left="100" w:right="-20"/>
      </w:pPr>
      <w:r>
        <w:tab/>
      </w:r>
    </w:p>
    <w:p w:rsidR="00CE577F" w:rsidRPr="00547830" w:rsidRDefault="00CE577F" w:rsidP="00CE577F">
      <w:pPr>
        <w:pStyle w:val="ListParagraph"/>
        <w:widowControl w:val="0"/>
        <w:numPr>
          <w:ilvl w:val="0"/>
          <w:numId w:val="20"/>
        </w:numPr>
        <w:ind w:right="721"/>
      </w:pPr>
      <w:r w:rsidRPr="00547830">
        <w:rPr>
          <w:b/>
        </w:rPr>
        <w:t>Will interviewers or facilitators be used?</w:t>
      </w:r>
      <w:r w:rsidRPr="00547830">
        <w:t xml:space="preserve"> </w:t>
      </w:r>
    </w:p>
    <w:p w:rsidR="00CE577F" w:rsidRPr="00547830" w:rsidRDefault="00CE577F" w:rsidP="00CE577F">
      <w:pPr>
        <w:pStyle w:val="ListParagraph"/>
        <w:ind w:left="1135" w:right="721"/>
      </w:pPr>
    </w:p>
    <w:p w:rsidR="00CE577F" w:rsidRDefault="00CE577F" w:rsidP="00CE577F">
      <w:pPr>
        <w:pStyle w:val="ListParagraph"/>
        <w:ind w:left="460" w:right="721"/>
      </w:pPr>
      <w:r>
        <w:tab/>
      </w:r>
      <w:r>
        <w:tab/>
      </w:r>
      <w:r w:rsidR="00D9785A">
        <w:t xml:space="preserve">[  ] Yes </w:t>
      </w:r>
      <w:r w:rsidR="00D9785A" w:rsidRPr="00D9785A">
        <w:rPr>
          <w:b/>
        </w:rPr>
        <w:t>[X</w:t>
      </w:r>
      <w:r w:rsidRPr="00D9785A">
        <w:rPr>
          <w:b/>
        </w:rPr>
        <w:t>] No</w:t>
      </w:r>
      <w:r w:rsidRPr="00625C16">
        <w:t xml:space="preserve"> [  ] Not Applicable</w:t>
      </w:r>
    </w:p>
    <w:p w:rsidR="009C13B9" w:rsidRPr="00FA7432" w:rsidRDefault="009C13B9" w:rsidP="009C13B9">
      <w:pPr>
        <w:pStyle w:val="ListParagraph"/>
        <w:ind w:left="360"/>
      </w:pPr>
    </w:p>
    <w:p w:rsidR="00CE577F" w:rsidRPr="00DE4DE7" w:rsidRDefault="00CE577F" w:rsidP="00DE4DE7">
      <w:pPr>
        <w:widowControl w:val="0"/>
        <w:spacing w:before="72"/>
        <w:ind w:right="-20"/>
        <w:rPr>
          <w:b/>
          <w:bCs/>
          <w:spacing w:val="-3"/>
        </w:rPr>
      </w:pPr>
    </w:p>
    <w:p w:rsidR="00CE577F" w:rsidRPr="005D2544" w:rsidRDefault="00DE4DE7" w:rsidP="00CE577F">
      <w:pPr>
        <w:widowControl w:val="0"/>
        <w:spacing w:before="72"/>
        <w:ind w:right="-20"/>
      </w:pPr>
      <w:r>
        <w:rPr>
          <w:b/>
          <w:bCs/>
          <w:spacing w:val="-3"/>
        </w:rPr>
        <w:lastRenderedPageBreak/>
        <w:t>5</w:t>
      </w:r>
      <w:r w:rsidR="00CE577F" w:rsidRPr="00CE577F">
        <w:rPr>
          <w:b/>
          <w:bCs/>
          <w:spacing w:val="-3"/>
        </w:rPr>
        <w:t>. P</w:t>
      </w:r>
      <w:r w:rsidR="00CE577F" w:rsidRPr="00CE577F">
        <w:rPr>
          <w:b/>
          <w:bCs/>
          <w:caps/>
          <w:spacing w:val="1"/>
        </w:rPr>
        <w:t>e</w:t>
      </w:r>
      <w:r w:rsidR="00CE577F" w:rsidRPr="00CE577F">
        <w:rPr>
          <w:b/>
          <w:bCs/>
          <w:caps/>
          <w:spacing w:val="-1"/>
        </w:rPr>
        <w:t>r</w:t>
      </w:r>
      <w:r w:rsidR="00CE577F" w:rsidRPr="00CE577F">
        <w:rPr>
          <w:b/>
          <w:bCs/>
          <w:caps/>
        </w:rPr>
        <w:t>so</w:t>
      </w:r>
      <w:r w:rsidR="00CE577F" w:rsidRPr="00CE577F">
        <w:rPr>
          <w:b/>
          <w:bCs/>
          <w:caps/>
          <w:spacing w:val="1"/>
        </w:rPr>
        <w:t>n</w:t>
      </w:r>
      <w:r w:rsidR="00CE577F" w:rsidRPr="00CE577F">
        <w:rPr>
          <w:b/>
          <w:bCs/>
          <w:caps/>
        </w:rPr>
        <w:t>al</w:t>
      </w:r>
      <w:r w:rsidR="00CE577F" w:rsidRPr="00CE577F">
        <w:rPr>
          <w:b/>
          <w:bCs/>
          <w:caps/>
          <w:spacing w:val="1"/>
        </w:rPr>
        <w:t>l</w:t>
      </w:r>
      <w:r w:rsidR="00CE577F" w:rsidRPr="00CE577F">
        <w:rPr>
          <w:b/>
          <w:bCs/>
          <w:caps/>
        </w:rPr>
        <w:t>y I</w:t>
      </w:r>
      <w:r w:rsidR="00CE577F" w:rsidRPr="00CE577F">
        <w:rPr>
          <w:b/>
          <w:bCs/>
          <w:caps/>
          <w:spacing w:val="1"/>
        </w:rPr>
        <w:t>d</w:t>
      </w:r>
      <w:r w:rsidR="00CE577F" w:rsidRPr="00CE577F">
        <w:rPr>
          <w:b/>
          <w:bCs/>
          <w:caps/>
          <w:spacing w:val="-1"/>
        </w:rPr>
        <w:t>e</w:t>
      </w:r>
      <w:r w:rsidR="00CE577F" w:rsidRPr="00CE577F">
        <w:rPr>
          <w:b/>
          <w:bCs/>
          <w:caps/>
          <w:spacing w:val="1"/>
        </w:rPr>
        <w:t>n</w:t>
      </w:r>
      <w:r w:rsidR="00CE577F" w:rsidRPr="00CE577F">
        <w:rPr>
          <w:b/>
          <w:bCs/>
          <w:caps/>
        </w:rPr>
        <w:t>ti</w:t>
      </w:r>
      <w:r w:rsidR="00CE577F" w:rsidRPr="00CE577F">
        <w:rPr>
          <w:b/>
          <w:bCs/>
          <w:caps/>
          <w:spacing w:val="1"/>
        </w:rPr>
        <w:t>f</w:t>
      </w:r>
      <w:r w:rsidR="00CE577F" w:rsidRPr="00CE577F">
        <w:rPr>
          <w:b/>
          <w:bCs/>
          <w:caps/>
        </w:rPr>
        <w:t>i</w:t>
      </w:r>
      <w:r w:rsidR="00CE577F" w:rsidRPr="00CE577F">
        <w:rPr>
          <w:b/>
          <w:bCs/>
          <w:caps/>
          <w:spacing w:val="-2"/>
        </w:rPr>
        <w:t>a</w:t>
      </w:r>
      <w:r w:rsidR="00CE577F" w:rsidRPr="00CE577F">
        <w:rPr>
          <w:b/>
          <w:bCs/>
          <w:caps/>
          <w:spacing w:val="1"/>
        </w:rPr>
        <w:t>b</w:t>
      </w:r>
      <w:r w:rsidR="00CE577F" w:rsidRPr="00CE577F">
        <w:rPr>
          <w:b/>
          <w:bCs/>
          <w:caps/>
        </w:rPr>
        <w:t>le In</w:t>
      </w:r>
      <w:r w:rsidR="00CE577F" w:rsidRPr="00CE577F">
        <w:rPr>
          <w:b/>
          <w:bCs/>
          <w:caps/>
          <w:spacing w:val="2"/>
        </w:rPr>
        <w:t>f</w:t>
      </w:r>
      <w:r w:rsidR="00CE577F" w:rsidRPr="00CE577F">
        <w:rPr>
          <w:b/>
          <w:bCs/>
          <w:caps/>
        </w:rPr>
        <w:t>o</w:t>
      </w:r>
      <w:r w:rsidR="00CE577F" w:rsidRPr="00CE577F">
        <w:rPr>
          <w:b/>
          <w:bCs/>
          <w:caps/>
          <w:spacing w:val="-1"/>
        </w:rPr>
        <w:t>r</w:t>
      </w:r>
      <w:r w:rsidR="00CE577F" w:rsidRPr="00CE577F">
        <w:rPr>
          <w:b/>
          <w:bCs/>
          <w:caps/>
          <w:spacing w:val="-3"/>
        </w:rPr>
        <w:t>m</w:t>
      </w:r>
      <w:r w:rsidR="00CE577F" w:rsidRPr="00CE577F">
        <w:rPr>
          <w:b/>
          <w:bCs/>
          <w:caps/>
        </w:rPr>
        <w:t>a</w:t>
      </w:r>
      <w:r w:rsidR="00CE577F" w:rsidRPr="00CE577F">
        <w:rPr>
          <w:b/>
          <w:bCs/>
          <w:caps/>
          <w:spacing w:val="-1"/>
        </w:rPr>
        <w:t>t</w:t>
      </w:r>
      <w:r w:rsidR="00CE577F" w:rsidRPr="00CE577F">
        <w:rPr>
          <w:b/>
          <w:bCs/>
          <w:caps/>
        </w:rPr>
        <w:t>io</w:t>
      </w:r>
      <w:r w:rsidR="00CE577F" w:rsidRPr="00CE577F">
        <w:rPr>
          <w:b/>
          <w:bCs/>
          <w:caps/>
          <w:spacing w:val="1"/>
        </w:rPr>
        <w:t>n</w:t>
      </w:r>
      <w:r w:rsidR="00CE577F" w:rsidRPr="00CE577F">
        <w:rPr>
          <w:b/>
          <w:bCs/>
          <w:caps/>
        </w:rPr>
        <w:t>:</w:t>
      </w:r>
    </w:p>
    <w:p w:rsidR="00CE577F" w:rsidRDefault="00CE577F" w:rsidP="00CE577F">
      <w:pPr>
        <w:spacing w:before="12" w:line="260" w:lineRule="exact"/>
        <w:rPr>
          <w:sz w:val="26"/>
          <w:szCs w:val="26"/>
        </w:rPr>
      </w:pPr>
    </w:p>
    <w:p w:rsidR="00D31812" w:rsidRPr="00625C16" w:rsidRDefault="00D31812" w:rsidP="00D31812">
      <w:pPr>
        <w:pStyle w:val="ListParagraph"/>
        <w:widowControl w:val="0"/>
        <w:numPr>
          <w:ilvl w:val="0"/>
          <w:numId w:val="21"/>
        </w:numPr>
        <w:ind w:right="-20"/>
      </w:pPr>
      <w:r w:rsidRPr="00625C16">
        <w:rPr>
          <w:b/>
          <w:spacing w:val="-3"/>
        </w:rPr>
        <w:t>I</w:t>
      </w:r>
      <w:r w:rsidRPr="00625C16">
        <w:rPr>
          <w:b/>
        </w:rPr>
        <w:t xml:space="preserve">s </w:t>
      </w:r>
      <w:r w:rsidRPr="00625C16">
        <w:rPr>
          <w:b/>
          <w:spacing w:val="2"/>
        </w:rPr>
        <w:t>p</w:t>
      </w:r>
      <w:r w:rsidRPr="00625C16">
        <w:rPr>
          <w:b/>
          <w:spacing w:val="-1"/>
        </w:rPr>
        <w:t>e</w:t>
      </w:r>
      <w:r w:rsidRPr="00625C16">
        <w:rPr>
          <w:b/>
        </w:rPr>
        <w:t>rson</w:t>
      </w:r>
      <w:r w:rsidRPr="00625C16">
        <w:rPr>
          <w:b/>
          <w:spacing w:val="-1"/>
        </w:rPr>
        <w:t>a</w:t>
      </w:r>
      <w:r w:rsidRPr="00625C16">
        <w:rPr>
          <w:b/>
        </w:rPr>
        <w:t>l</w:t>
      </w:r>
      <w:r w:rsidRPr="00625C16">
        <w:rPr>
          <w:b/>
          <w:spacing w:val="6"/>
        </w:rPr>
        <w:t>l</w:t>
      </w:r>
      <w:r w:rsidRPr="00625C16">
        <w:rPr>
          <w:b/>
        </w:rPr>
        <w:t>y</w:t>
      </w:r>
      <w:r w:rsidRPr="00625C16">
        <w:rPr>
          <w:b/>
          <w:spacing w:val="-5"/>
        </w:rPr>
        <w:t xml:space="preserve"> </w:t>
      </w:r>
      <w:r w:rsidRPr="00625C16">
        <w:rPr>
          <w:b/>
        </w:rPr>
        <w:t>identifi</w:t>
      </w:r>
      <w:r w:rsidRPr="00625C16">
        <w:rPr>
          <w:b/>
          <w:spacing w:val="-1"/>
        </w:rPr>
        <w:t>a</w:t>
      </w:r>
      <w:r w:rsidRPr="00625C16">
        <w:rPr>
          <w:b/>
        </w:rPr>
        <w:t>ble</w:t>
      </w:r>
      <w:r w:rsidRPr="00625C16">
        <w:rPr>
          <w:b/>
          <w:spacing w:val="2"/>
        </w:rPr>
        <w:t xml:space="preserve"> </w:t>
      </w:r>
      <w:r w:rsidRPr="00625C16">
        <w:rPr>
          <w:b/>
        </w:rPr>
        <w:t>info</w:t>
      </w:r>
      <w:r w:rsidRPr="00625C16">
        <w:rPr>
          <w:b/>
          <w:spacing w:val="-1"/>
        </w:rPr>
        <w:t>r</w:t>
      </w:r>
      <w:r w:rsidRPr="00625C16">
        <w:rPr>
          <w:b/>
        </w:rPr>
        <w:t>mation (</w:t>
      </w:r>
      <w:r w:rsidRPr="00625C16">
        <w:rPr>
          <w:b/>
          <w:spacing w:val="3"/>
        </w:rPr>
        <w:t>P</w:t>
      </w:r>
      <w:r w:rsidRPr="00625C16">
        <w:rPr>
          <w:b/>
        </w:rPr>
        <w:t>I</w:t>
      </w:r>
      <w:r w:rsidRPr="00625C16">
        <w:rPr>
          <w:b/>
          <w:spacing w:val="-4"/>
        </w:rPr>
        <w:t>I</w:t>
      </w:r>
      <w:r w:rsidRPr="00625C16">
        <w:rPr>
          <w:b/>
        </w:rPr>
        <w:t xml:space="preserve">) </w:t>
      </w:r>
      <w:r w:rsidRPr="00625C16">
        <w:rPr>
          <w:b/>
          <w:spacing w:val="-2"/>
        </w:rPr>
        <w:t>c</w:t>
      </w:r>
      <w:r w:rsidRPr="00625C16">
        <w:rPr>
          <w:b/>
        </w:rPr>
        <w:t>ol</w:t>
      </w:r>
      <w:r w:rsidRPr="00625C16">
        <w:rPr>
          <w:b/>
          <w:spacing w:val="1"/>
        </w:rPr>
        <w:t>le</w:t>
      </w:r>
      <w:r w:rsidRPr="00625C16">
        <w:rPr>
          <w:b/>
          <w:spacing w:val="-1"/>
        </w:rPr>
        <w:t>c</w:t>
      </w:r>
      <w:r w:rsidRPr="00625C16">
        <w:rPr>
          <w:b/>
        </w:rPr>
        <w:t>t</w:t>
      </w:r>
      <w:r w:rsidRPr="00625C16">
        <w:rPr>
          <w:b/>
          <w:spacing w:val="2"/>
        </w:rPr>
        <w:t>e</w:t>
      </w:r>
      <w:r w:rsidRPr="00625C16">
        <w:rPr>
          <w:b/>
        </w:rPr>
        <w:t>d?</w:t>
      </w:r>
      <w:r w:rsidRPr="00625C16">
        <w:t xml:space="preserve"> </w:t>
      </w:r>
      <w:r w:rsidRPr="00625C16">
        <w:rPr>
          <w:spacing w:val="4"/>
        </w:rPr>
        <w:t xml:space="preserve"> </w:t>
      </w:r>
      <w:r w:rsidRPr="00D9785A">
        <w:rPr>
          <w:b/>
        </w:rPr>
        <w:t>[</w:t>
      </w:r>
      <w:r w:rsidR="00D9785A" w:rsidRPr="00D9785A">
        <w:rPr>
          <w:b/>
          <w:spacing w:val="59"/>
        </w:rPr>
        <w:t>X</w:t>
      </w:r>
      <w:r w:rsidRPr="00D9785A">
        <w:rPr>
          <w:b/>
        </w:rPr>
        <w:t>]</w:t>
      </w:r>
      <w:r w:rsidRPr="00D9785A">
        <w:rPr>
          <w:b/>
          <w:spacing w:val="1"/>
        </w:rPr>
        <w:t xml:space="preserve"> </w:t>
      </w:r>
      <w:r w:rsidRPr="00D9785A">
        <w:rPr>
          <w:b/>
        </w:rPr>
        <w:t>Y</w:t>
      </w:r>
      <w:r w:rsidRPr="00D9785A">
        <w:rPr>
          <w:b/>
          <w:spacing w:val="-1"/>
        </w:rPr>
        <w:t>e</w:t>
      </w:r>
      <w:r w:rsidRPr="00D9785A">
        <w:rPr>
          <w:b/>
        </w:rPr>
        <w:t xml:space="preserve">s  </w:t>
      </w:r>
      <w:r w:rsidRPr="00625C16">
        <w:t>[</w:t>
      </w:r>
      <w:r w:rsidRPr="00625C16">
        <w:rPr>
          <w:spacing w:val="-1"/>
        </w:rPr>
        <w:t xml:space="preserve"> </w:t>
      </w:r>
      <w:r>
        <w:rPr>
          <w:spacing w:val="-1"/>
        </w:rPr>
        <w:t xml:space="preserve"> </w:t>
      </w:r>
      <w:r w:rsidRPr="00625C16">
        <w:t xml:space="preserve">] </w:t>
      </w:r>
      <w:r w:rsidRPr="00625C16">
        <w:rPr>
          <w:spacing w:val="1"/>
        </w:rPr>
        <w:t xml:space="preserve"> </w:t>
      </w:r>
      <w:r w:rsidRPr="00625C16">
        <w:t>No</w:t>
      </w:r>
    </w:p>
    <w:p w:rsidR="00D31812" w:rsidRDefault="00D31812" w:rsidP="00D31812">
      <w:pPr>
        <w:spacing w:before="16" w:line="260" w:lineRule="exact"/>
        <w:rPr>
          <w:sz w:val="26"/>
          <w:szCs w:val="26"/>
        </w:rPr>
      </w:pPr>
    </w:p>
    <w:p w:rsidR="00D31812" w:rsidRPr="00966198" w:rsidRDefault="00D31812" w:rsidP="00D31812">
      <w:pPr>
        <w:pStyle w:val="ListParagraph"/>
        <w:widowControl w:val="0"/>
        <w:numPr>
          <w:ilvl w:val="0"/>
          <w:numId w:val="21"/>
        </w:numPr>
        <w:ind w:right="-20"/>
        <w:rPr>
          <w:b/>
        </w:rPr>
      </w:pPr>
      <w:r w:rsidRPr="00625C16">
        <w:rPr>
          <w:b/>
          <w:spacing w:val="-3"/>
        </w:rPr>
        <w:t>I</w:t>
      </w:r>
      <w:r w:rsidRPr="00625C16">
        <w:rPr>
          <w:b/>
        </w:rPr>
        <w:t>f</w:t>
      </w:r>
      <w:r w:rsidRPr="00625C16">
        <w:rPr>
          <w:b/>
          <w:spacing w:val="2"/>
        </w:rPr>
        <w:t xml:space="preserve"> </w:t>
      </w:r>
      <w:r w:rsidRPr="00625C16">
        <w:rPr>
          <w:b/>
        </w:rPr>
        <w:t>Y</w:t>
      </w:r>
      <w:r w:rsidRPr="00625C16">
        <w:rPr>
          <w:b/>
          <w:spacing w:val="-1"/>
        </w:rPr>
        <w:t>e</w:t>
      </w:r>
      <w:r w:rsidRPr="00625C16">
        <w:rPr>
          <w:b/>
        </w:rPr>
        <w:t xml:space="preserve">s, is </w:t>
      </w:r>
      <w:r w:rsidRPr="00625C16">
        <w:rPr>
          <w:b/>
          <w:spacing w:val="1"/>
        </w:rPr>
        <w:t>t</w:t>
      </w:r>
      <w:r w:rsidRPr="00625C16">
        <w:rPr>
          <w:b/>
        </w:rPr>
        <w:t>he</w:t>
      </w:r>
      <w:r w:rsidRPr="00625C16">
        <w:rPr>
          <w:b/>
          <w:spacing w:val="-1"/>
        </w:rPr>
        <w:t xml:space="preserve"> </w:t>
      </w:r>
      <w:r w:rsidRPr="00625C16">
        <w:rPr>
          <w:b/>
        </w:rPr>
        <w:t>info</w:t>
      </w:r>
      <w:r w:rsidRPr="00625C16">
        <w:rPr>
          <w:b/>
          <w:spacing w:val="-1"/>
        </w:rPr>
        <w:t>r</w:t>
      </w:r>
      <w:r w:rsidRPr="00625C16">
        <w:rPr>
          <w:b/>
          <w:spacing w:val="3"/>
        </w:rPr>
        <w:t>m</w:t>
      </w:r>
      <w:r w:rsidRPr="00625C16">
        <w:rPr>
          <w:b/>
          <w:spacing w:val="-1"/>
        </w:rPr>
        <w:t>a</w:t>
      </w:r>
      <w:r w:rsidRPr="00625C16">
        <w:rPr>
          <w:b/>
        </w:rPr>
        <w:t>t</w:t>
      </w:r>
      <w:r w:rsidRPr="00625C16">
        <w:rPr>
          <w:b/>
          <w:spacing w:val="1"/>
        </w:rPr>
        <w:t>i</w:t>
      </w:r>
      <w:r w:rsidRPr="00625C16">
        <w:rPr>
          <w:b/>
        </w:rPr>
        <w:t>on that will</w:t>
      </w:r>
      <w:r w:rsidRPr="00625C16">
        <w:rPr>
          <w:b/>
          <w:spacing w:val="1"/>
        </w:rPr>
        <w:t xml:space="preserve"> </w:t>
      </w:r>
      <w:r w:rsidRPr="00625C16">
        <w:rPr>
          <w:b/>
        </w:rPr>
        <w:t>be</w:t>
      </w:r>
      <w:r w:rsidRPr="00625C16">
        <w:rPr>
          <w:b/>
          <w:spacing w:val="-1"/>
        </w:rPr>
        <w:t xml:space="preserve"> c</w:t>
      </w:r>
      <w:r w:rsidRPr="00625C16">
        <w:rPr>
          <w:b/>
        </w:rPr>
        <w:t>ol</w:t>
      </w:r>
      <w:r w:rsidRPr="00625C16">
        <w:rPr>
          <w:b/>
          <w:spacing w:val="1"/>
        </w:rPr>
        <w:t>l</w:t>
      </w:r>
      <w:r w:rsidRPr="00625C16">
        <w:rPr>
          <w:b/>
          <w:spacing w:val="-1"/>
        </w:rPr>
        <w:t>ec</w:t>
      </w:r>
      <w:r w:rsidRPr="00625C16">
        <w:rPr>
          <w:b/>
        </w:rPr>
        <w:t>ted in</w:t>
      </w:r>
      <w:r w:rsidRPr="00625C16">
        <w:rPr>
          <w:b/>
          <w:spacing w:val="1"/>
        </w:rPr>
        <w:t>c</w:t>
      </w:r>
      <w:r w:rsidRPr="00625C16">
        <w:rPr>
          <w:b/>
        </w:rPr>
        <w:t xml:space="preserve">luded in </w:t>
      </w:r>
      <w:r w:rsidRPr="00625C16">
        <w:rPr>
          <w:b/>
          <w:spacing w:val="-1"/>
        </w:rPr>
        <w:t>rec</w:t>
      </w:r>
      <w:r w:rsidRPr="00625C16">
        <w:rPr>
          <w:b/>
        </w:rPr>
        <w:t>o</w:t>
      </w:r>
      <w:r w:rsidRPr="00625C16">
        <w:rPr>
          <w:b/>
          <w:spacing w:val="-1"/>
        </w:rPr>
        <w:t>r</w:t>
      </w:r>
      <w:r w:rsidRPr="00625C16">
        <w:rPr>
          <w:b/>
        </w:rPr>
        <w:t>ds th</w:t>
      </w:r>
      <w:r w:rsidRPr="00625C16">
        <w:rPr>
          <w:b/>
          <w:spacing w:val="-1"/>
        </w:rPr>
        <w:t>a</w:t>
      </w:r>
      <w:r w:rsidRPr="00625C16">
        <w:rPr>
          <w:b/>
        </w:rPr>
        <w:t>t</w:t>
      </w:r>
      <w:r w:rsidRPr="00625C16">
        <w:rPr>
          <w:b/>
          <w:spacing w:val="3"/>
        </w:rPr>
        <w:t xml:space="preserve"> </w:t>
      </w:r>
      <w:r w:rsidRPr="00625C16">
        <w:rPr>
          <w:b/>
          <w:spacing w:val="-1"/>
        </w:rPr>
        <w:t>a</w:t>
      </w:r>
      <w:r w:rsidRPr="00625C16">
        <w:rPr>
          <w:b/>
        </w:rPr>
        <w:t>re subj</w:t>
      </w:r>
      <w:r w:rsidRPr="00625C16">
        <w:rPr>
          <w:b/>
          <w:spacing w:val="-1"/>
        </w:rPr>
        <w:t>ec</w:t>
      </w:r>
      <w:r w:rsidRPr="00625C16">
        <w:rPr>
          <w:b/>
        </w:rPr>
        <w:t xml:space="preserve">t </w:t>
      </w:r>
      <w:r w:rsidRPr="00625C16">
        <w:rPr>
          <w:b/>
          <w:spacing w:val="1"/>
        </w:rPr>
        <w:t>t</w:t>
      </w:r>
      <w:r w:rsidRPr="00625C16">
        <w:rPr>
          <w:b/>
        </w:rPr>
        <w:t xml:space="preserve">o the </w:t>
      </w:r>
      <w:r w:rsidRPr="00625C16">
        <w:rPr>
          <w:b/>
          <w:spacing w:val="1"/>
        </w:rPr>
        <w:t>P</w:t>
      </w:r>
      <w:r w:rsidRPr="00625C16">
        <w:rPr>
          <w:b/>
        </w:rPr>
        <w:t>riv</w:t>
      </w:r>
      <w:r w:rsidRPr="00625C16">
        <w:rPr>
          <w:b/>
          <w:spacing w:val="-1"/>
        </w:rPr>
        <w:t>a</w:t>
      </w:r>
      <w:r w:rsidRPr="00625C16">
        <w:rPr>
          <w:b/>
          <w:spacing w:val="1"/>
        </w:rPr>
        <w:t>c</w:t>
      </w:r>
      <w:r w:rsidRPr="00625C16">
        <w:rPr>
          <w:b/>
        </w:rPr>
        <w:t>y</w:t>
      </w:r>
      <w:r w:rsidRPr="00625C16">
        <w:rPr>
          <w:b/>
          <w:spacing w:val="-3"/>
        </w:rPr>
        <w:t xml:space="preserve"> </w:t>
      </w:r>
      <w:r w:rsidRPr="00625C16">
        <w:rPr>
          <w:b/>
        </w:rPr>
        <w:t>A</w:t>
      </w:r>
      <w:r w:rsidRPr="00625C16">
        <w:rPr>
          <w:b/>
          <w:spacing w:val="-1"/>
        </w:rPr>
        <w:t>c</w:t>
      </w:r>
      <w:r w:rsidRPr="00625C16">
        <w:rPr>
          <w:b/>
        </w:rPr>
        <w:t>t of 1974?</w:t>
      </w:r>
      <w:r w:rsidRPr="00625C16">
        <w:t xml:space="preserve">  </w:t>
      </w:r>
      <w:r w:rsidRPr="00625C16">
        <w:rPr>
          <w:spacing w:val="3"/>
        </w:rPr>
        <w:t xml:space="preserve"> </w:t>
      </w:r>
      <w:r w:rsidRPr="003867BA">
        <w:rPr>
          <w:b/>
        </w:rPr>
        <w:t>[</w:t>
      </w:r>
      <w:r w:rsidR="003867BA" w:rsidRPr="003867BA">
        <w:rPr>
          <w:b/>
          <w:spacing w:val="59"/>
        </w:rPr>
        <w:t>X</w:t>
      </w:r>
      <w:r w:rsidRPr="003867BA">
        <w:rPr>
          <w:b/>
        </w:rPr>
        <w:t>]</w:t>
      </w:r>
      <w:r w:rsidRPr="003867BA">
        <w:rPr>
          <w:b/>
          <w:spacing w:val="1"/>
        </w:rPr>
        <w:t xml:space="preserve"> </w:t>
      </w:r>
      <w:r w:rsidRPr="003867BA">
        <w:rPr>
          <w:b/>
        </w:rPr>
        <w:t>Y</w:t>
      </w:r>
      <w:r w:rsidRPr="003867BA">
        <w:rPr>
          <w:b/>
          <w:spacing w:val="-1"/>
        </w:rPr>
        <w:t>e</w:t>
      </w:r>
      <w:r w:rsidRPr="003867BA">
        <w:rPr>
          <w:b/>
        </w:rPr>
        <w:t>s</w:t>
      </w:r>
      <w:r w:rsidRPr="00625C16">
        <w:t xml:space="preserve"> [</w:t>
      </w:r>
      <w:r w:rsidRPr="00625C16">
        <w:rPr>
          <w:spacing w:val="59"/>
        </w:rPr>
        <w:t xml:space="preserve"> </w:t>
      </w:r>
      <w:r w:rsidRPr="00625C16">
        <w:t>]</w:t>
      </w:r>
      <w:r w:rsidRPr="00625C16">
        <w:rPr>
          <w:spacing w:val="1"/>
        </w:rPr>
        <w:t xml:space="preserve"> </w:t>
      </w:r>
      <w:r w:rsidRPr="00625C16">
        <w:t>No [  ] Not Applicable</w:t>
      </w:r>
    </w:p>
    <w:p w:rsidR="00D31812" w:rsidRDefault="00D31812" w:rsidP="00D31812">
      <w:pPr>
        <w:ind w:left="720" w:right="-20"/>
        <w:rPr>
          <w:b/>
        </w:rPr>
      </w:pPr>
      <w:r>
        <w:rPr>
          <w:b/>
        </w:rPr>
        <w:t>If applicable, what is the link to the Privacy Impact Assessment (PIA)?</w:t>
      </w:r>
    </w:p>
    <w:p w:rsidR="00D31812" w:rsidRDefault="00D31812" w:rsidP="00D31812">
      <w:pPr>
        <w:ind w:left="720" w:right="-20"/>
        <w:rPr>
          <w:b/>
        </w:rPr>
      </w:pPr>
    </w:p>
    <w:p w:rsidR="003867BA" w:rsidRPr="00FF6976" w:rsidRDefault="00125E68" w:rsidP="003867BA">
      <w:pPr>
        <w:ind w:left="720" w:right="-20"/>
      </w:pPr>
      <w:hyperlink r:id="rId9" w:history="1">
        <w:r w:rsidR="003867BA" w:rsidRPr="00FF6976">
          <w:rPr>
            <w:rStyle w:val="Hyperlink"/>
            <w:color w:val="auto"/>
            <w:u w:val="none"/>
            <w:lang w:val="en"/>
          </w:rPr>
          <w:t xml:space="preserve">Industry, Expert, and Community Input and Engagement PIA </w:t>
        </w:r>
      </w:hyperlink>
    </w:p>
    <w:p w:rsidR="003867BA" w:rsidRDefault="003867BA" w:rsidP="003867BA">
      <w:pPr>
        <w:ind w:left="720" w:right="-20"/>
        <w:rPr>
          <w:b/>
        </w:rPr>
      </w:pPr>
    </w:p>
    <w:p w:rsidR="003867BA" w:rsidRPr="00966198" w:rsidRDefault="00125E68" w:rsidP="003867BA">
      <w:pPr>
        <w:ind w:left="720" w:right="-20"/>
        <w:rPr>
          <w:b/>
        </w:rPr>
      </w:pPr>
      <w:hyperlink r:id="rId10" w:history="1">
        <w:r w:rsidR="003867BA" w:rsidRPr="00EF7617">
          <w:rPr>
            <w:rStyle w:val="Hyperlink"/>
            <w:b/>
          </w:rPr>
          <w:t>https://s3.amazonaws.com/files.consumerfinance.gov/f/documents/20161101_cfpb_Industry_Expert_Community_Input_and_Engagement_PIA.pdf</w:t>
        </w:r>
      </w:hyperlink>
      <w:r w:rsidR="003867BA">
        <w:rPr>
          <w:b/>
        </w:rPr>
        <w:t xml:space="preserve"> </w:t>
      </w:r>
    </w:p>
    <w:p w:rsidR="003867BA" w:rsidRPr="00966198" w:rsidRDefault="003867BA" w:rsidP="00D31812">
      <w:pPr>
        <w:ind w:left="720" w:right="-20"/>
        <w:rPr>
          <w:b/>
        </w:rPr>
      </w:pPr>
    </w:p>
    <w:p w:rsidR="00D31812" w:rsidRDefault="00D31812" w:rsidP="00D31812">
      <w:pPr>
        <w:spacing w:before="16" w:line="260" w:lineRule="exact"/>
        <w:rPr>
          <w:sz w:val="26"/>
          <w:szCs w:val="26"/>
        </w:rPr>
      </w:pPr>
    </w:p>
    <w:p w:rsidR="00D31812" w:rsidRPr="00625C16" w:rsidRDefault="00D31812" w:rsidP="00D31812">
      <w:pPr>
        <w:pStyle w:val="ListParagraph"/>
        <w:widowControl w:val="0"/>
        <w:numPr>
          <w:ilvl w:val="0"/>
          <w:numId w:val="21"/>
        </w:numPr>
        <w:ind w:right="-20"/>
        <w:rPr>
          <w:b/>
        </w:rPr>
      </w:pPr>
      <w:r w:rsidRPr="00625C16">
        <w:rPr>
          <w:b/>
          <w:spacing w:val="-3"/>
        </w:rPr>
        <w:t>I</w:t>
      </w:r>
      <w:r w:rsidRPr="00625C16">
        <w:rPr>
          <w:b/>
        </w:rPr>
        <w:t>f</w:t>
      </w:r>
      <w:r w:rsidRPr="00625C16">
        <w:rPr>
          <w:b/>
          <w:spacing w:val="1"/>
        </w:rPr>
        <w:t xml:space="preserve"> </w:t>
      </w:r>
      <w:r w:rsidRPr="00625C16">
        <w:rPr>
          <w:b/>
        </w:rPr>
        <w:t>Applic</w:t>
      </w:r>
      <w:r w:rsidRPr="00625C16">
        <w:rPr>
          <w:b/>
          <w:spacing w:val="-1"/>
        </w:rPr>
        <w:t>a</w:t>
      </w:r>
      <w:r w:rsidRPr="00625C16">
        <w:rPr>
          <w:b/>
        </w:rPr>
        <w:t xml:space="preserve">ble, </w:t>
      </w:r>
      <w:r w:rsidRPr="00625C16">
        <w:rPr>
          <w:b/>
          <w:spacing w:val="2"/>
        </w:rPr>
        <w:t>h</w:t>
      </w:r>
      <w:r w:rsidRPr="00625C16">
        <w:rPr>
          <w:b/>
          <w:spacing w:val="-1"/>
        </w:rPr>
        <w:t>a</w:t>
      </w:r>
      <w:r w:rsidRPr="00625C16">
        <w:rPr>
          <w:b/>
        </w:rPr>
        <w:t xml:space="preserve">s a </w:t>
      </w:r>
      <w:r w:rsidRPr="00625C16">
        <w:rPr>
          <w:b/>
          <w:spacing w:val="5"/>
        </w:rPr>
        <w:t>S</w:t>
      </w:r>
      <w:r w:rsidRPr="00625C16">
        <w:rPr>
          <w:b/>
          <w:spacing w:val="-5"/>
        </w:rPr>
        <w:t>y</w:t>
      </w:r>
      <w:r w:rsidRPr="00625C16">
        <w:rPr>
          <w:b/>
        </w:rPr>
        <w:t>stem or R</w:t>
      </w:r>
      <w:r w:rsidRPr="00625C16">
        <w:rPr>
          <w:b/>
          <w:spacing w:val="-1"/>
        </w:rPr>
        <w:t>ec</w:t>
      </w:r>
      <w:r w:rsidRPr="00625C16">
        <w:rPr>
          <w:b/>
        </w:rPr>
        <w:t>o</w:t>
      </w:r>
      <w:r w:rsidRPr="00625C16">
        <w:rPr>
          <w:b/>
          <w:spacing w:val="-1"/>
        </w:rPr>
        <w:t>r</w:t>
      </w:r>
      <w:r w:rsidRPr="00625C16">
        <w:rPr>
          <w:b/>
        </w:rPr>
        <w:t>ds Noti</w:t>
      </w:r>
      <w:r w:rsidRPr="00625C16">
        <w:rPr>
          <w:b/>
          <w:spacing w:val="1"/>
        </w:rPr>
        <w:t>c</w:t>
      </w:r>
      <w:r w:rsidRPr="00625C16">
        <w:rPr>
          <w:b/>
        </w:rPr>
        <w:t>e</w:t>
      </w:r>
      <w:r w:rsidRPr="00625C16">
        <w:rPr>
          <w:b/>
          <w:spacing w:val="-1"/>
        </w:rPr>
        <w:t xml:space="preserve"> </w:t>
      </w:r>
      <w:r>
        <w:rPr>
          <w:b/>
          <w:spacing w:val="-1"/>
        </w:rPr>
        <w:t xml:space="preserve">(SORN) </w:t>
      </w:r>
      <w:r w:rsidRPr="00625C16">
        <w:rPr>
          <w:b/>
        </w:rPr>
        <w:t>b</w:t>
      </w:r>
      <w:r w:rsidRPr="00625C16">
        <w:rPr>
          <w:b/>
          <w:spacing w:val="1"/>
        </w:rPr>
        <w:t>e</w:t>
      </w:r>
      <w:r w:rsidRPr="00625C16">
        <w:rPr>
          <w:b/>
          <w:spacing w:val="-1"/>
        </w:rPr>
        <w:t>e</w:t>
      </w:r>
      <w:r w:rsidRPr="00625C16">
        <w:rPr>
          <w:b/>
        </w:rPr>
        <w:t>n publ</w:t>
      </w:r>
      <w:r w:rsidRPr="00625C16">
        <w:rPr>
          <w:b/>
          <w:spacing w:val="1"/>
        </w:rPr>
        <w:t>i</w:t>
      </w:r>
      <w:r w:rsidRPr="00625C16">
        <w:rPr>
          <w:b/>
        </w:rPr>
        <w:t xml:space="preserve">shed?  </w:t>
      </w:r>
    </w:p>
    <w:p w:rsidR="00D31812" w:rsidRDefault="00D31812" w:rsidP="00D31812">
      <w:pPr>
        <w:ind w:left="220" w:right="-20" w:firstLine="500"/>
      </w:pPr>
      <w:r>
        <w:t>[</w:t>
      </w:r>
      <w:r w:rsidR="006565DC">
        <w:t>X</w:t>
      </w:r>
      <w:r>
        <w:rPr>
          <w:spacing w:val="59"/>
        </w:rPr>
        <w:t xml:space="preserve"> </w:t>
      </w:r>
      <w:r w:rsidRPr="00EA761B">
        <w:t>]</w:t>
      </w:r>
      <w:r w:rsidRPr="00EA761B">
        <w:rPr>
          <w:spacing w:val="1"/>
        </w:rPr>
        <w:t xml:space="preserve"> </w:t>
      </w:r>
      <w:r w:rsidRPr="00EA761B">
        <w:t>Y</w:t>
      </w:r>
      <w:r w:rsidRPr="00EA761B">
        <w:rPr>
          <w:spacing w:val="-1"/>
        </w:rPr>
        <w:t>e</w:t>
      </w:r>
      <w:r w:rsidRPr="00EA761B">
        <w:t>s  [</w:t>
      </w:r>
      <w:r w:rsidR="00EA761B">
        <w:rPr>
          <w:spacing w:val="59"/>
        </w:rPr>
        <w:t xml:space="preserve"> </w:t>
      </w:r>
      <w:r w:rsidRPr="00EA761B">
        <w:t>]</w:t>
      </w:r>
      <w:r w:rsidRPr="00EA761B">
        <w:rPr>
          <w:spacing w:val="1"/>
        </w:rPr>
        <w:t xml:space="preserve"> </w:t>
      </w:r>
      <w:r w:rsidRPr="00EA761B">
        <w:t>No</w:t>
      </w:r>
      <w:r>
        <w:t xml:space="preserve"> </w:t>
      </w:r>
      <w:r w:rsidRPr="00EA761B">
        <w:rPr>
          <w:b/>
        </w:rPr>
        <w:t>[</w:t>
      </w:r>
      <w:r w:rsidR="00E35755">
        <w:rPr>
          <w:b/>
        </w:rPr>
        <w:t xml:space="preserve">  </w:t>
      </w:r>
      <w:r w:rsidRPr="00EA761B">
        <w:rPr>
          <w:b/>
        </w:rPr>
        <w:t>] Not Applicable</w:t>
      </w:r>
    </w:p>
    <w:p w:rsidR="00D31812" w:rsidRDefault="00D31812" w:rsidP="00D31812">
      <w:pPr>
        <w:ind w:left="220" w:right="-20" w:firstLine="500"/>
      </w:pPr>
      <w:r>
        <w:t xml:space="preserve">If yes, cite the SORN. </w:t>
      </w:r>
      <w:r>
        <w:tab/>
        <w:t>Title:_</w:t>
      </w:r>
      <w:r w:rsidR="006565DC" w:rsidRPr="006565DC">
        <w:t xml:space="preserve"> </w:t>
      </w:r>
      <w:hyperlink r:id="rId11" w:history="1">
        <w:r w:rsidR="006565DC">
          <w:rPr>
            <w:rStyle w:val="Hyperlink"/>
            <w:rFonts w:ascii="Franklin Gothic Book" w:hAnsi="Franklin Gothic Book" w:cs="Calibri"/>
            <w:sz w:val="22"/>
            <w:shd w:val="clear" w:color="auto" w:fill="FFFFFF"/>
          </w:rPr>
          <w:t xml:space="preserve">CFPB.022 Market and Consumer Research Records, </w:t>
        </w:r>
      </w:hyperlink>
      <w:r>
        <w:t>__________________________________</w:t>
      </w:r>
    </w:p>
    <w:p w:rsidR="00CE577F" w:rsidRPr="00D31812" w:rsidRDefault="00D31812" w:rsidP="00D31812">
      <w:pPr>
        <w:ind w:left="220" w:right="-20" w:firstLine="500"/>
      </w:pPr>
      <w:r>
        <w:tab/>
      </w:r>
      <w:r>
        <w:tab/>
      </w:r>
      <w:r>
        <w:tab/>
        <w:t xml:space="preserve">      </w:t>
      </w:r>
      <w:r>
        <w:tab/>
        <w:t xml:space="preserve">  ___ FR _</w:t>
      </w:r>
      <w:r w:rsidR="006565DC" w:rsidRPr="006565DC">
        <w:t>77 FR 67802</w:t>
      </w:r>
      <w:r>
        <w:t>______________.</w:t>
      </w:r>
    </w:p>
    <w:p w:rsidR="00CE577F" w:rsidRDefault="00CE577F" w:rsidP="00CE577F">
      <w:pPr>
        <w:spacing w:before="1" w:line="280" w:lineRule="exact"/>
        <w:rPr>
          <w:sz w:val="28"/>
          <w:szCs w:val="28"/>
        </w:rPr>
      </w:pPr>
    </w:p>
    <w:p w:rsidR="00DE4DE7" w:rsidRDefault="00DE4DE7" w:rsidP="00CE577F">
      <w:pPr>
        <w:spacing w:before="1" w:line="280" w:lineRule="exact"/>
        <w:rPr>
          <w:sz w:val="28"/>
          <w:szCs w:val="28"/>
        </w:rPr>
      </w:pPr>
    </w:p>
    <w:p w:rsidR="00CE577F" w:rsidRPr="00CE577F" w:rsidRDefault="00DE4DE7" w:rsidP="00CE577F">
      <w:pPr>
        <w:widowControl w:val="0"/>
        <w:ind w:right="-20"/>
        <w:rPr>
          <w:caps/>
        </w:rPr>
      </w:pPr>
      <w:r>
        <w:rPr>
          <w:b/>
          <w:bCs/>
          <w:caps/>
          <w:spacing w:val="-2"/>
        </w:rPr>
        <w:t>6</w:t>
      </w:r>
      <w:r w:rsidR="00CE577F">
        <w:rPr>
          <w:b/>
          <w:bCs/>
          <w:caps/>
          <w:spacing w:val="-2"/>
        </w:rPr>
        <w:t xml:space="preserve">. </w:t>
      </w:r>
      <w:r w:rsidR="00CE577F" w:rsidRPr="00CE577F">
        <w:rPr>
          <w:b/>
          <w:bCs/>
          <w:caps/>
          <w:spacing w:val="-2"/>
        </w:rPr>
        <w:t>INCENTIVES</w:t>
      </w:r>
      <w:r w:rsidR="00CE577F" w:rsidRPr="00CE577F">
        <w:rPr>
          <w:b/>
          <w:bCs/>
          <w:caps/>
        </w:rPr>
        <w:t>:</w:t>
      </w:r>
    </w:p>
    <w:p w:rsidR="00CE577F" w:rsidRDefault="00CE577F" w:rsidP="00CE577F">
      <w:pPr>
        <w:spacing w:before="11" w:line="260" w:lineRule="exact"/>
        <w:rPr>
          <w:sz w:val="26"/>
          <w:szCs w:val="26"/>
        </w:rPr>
      </w:pPr>
    </w:p>
    <w:p w:rsidR="00CE577F" w:rsidRDefault="00CE577F" w:rsidP="00CE577F">
      <w:pPr>
        <w:pStyle w:val="ListParagraph"/>
        <w:widowControl w:val="0"/>
        <w:numPr>
          <w:ilvl w:val="0"/>
          <w:numId w:val="22"/>
        </w:numPr>
        <w:ind w:right="596"/>
      </w:pPr>
      <w:r w:rsidRPr="00547830">
        <w:rPr>
          <w:b/>
          <w:spacing w:val="-3"/>
        </w:rPr>
        <w:t>I</w:t>
      </w:r>
      <w:r w:rsidRPr="00547830">
        <w:rPr>
          <w:b/>
        </w:rPr>
        <w:t>s</w:t>
      </w:r>
      <w:r w:rsidRPr="00547830">
        <w:rPr>
          <w:b/>
          <w:spacing w:val="2"/>
        </w:rPr>
        <w:t xml:space="preserve"> </w:t>
      </w:r>
      <w:r w:rsidRPr="00547830">
        <w:rPr>
          <w:b/>
          <w:spacing w:val="-1"/>
        </w:rPr>
        <w:t>a</w:t>
      </w:r>
      <w:r w:rsidRPr="00547830">
        <w:rPr>
          <w:b/>
        </w:rPr>
        <w:t>n inc</w:t>
      </w:r>
      <w:r w:rsidRPr="00547830">
        <w:rPr>
          <w:b/>
          <w:spacing w:val="-1"/>
        </w:rPr>
        <w:t>e</w:t>
      </w:r>
      <w:r w:rsidRPr="00547830">
        <w:rPr>
          <w:b/>
        </w:rPr>
        <w:t>nt</w:t>
      </w:r>
      <w:r w:rsidRPr="00547830">
        <w:rPr>
          <w:b/>
          <w:spacing w:val="1"/>
        </w:rPr>
        <w:t>i</w:t>
      </w:r>
      <w:r w:rsidRPr="00547830">
        <w:rPr>
          <w:b/>
        </w:rPr>
        <w:t>ve</w:t>
      </w:r>
      <w:r w:rsidRPr="00547830">
        <w:rPr>
          <w:b/>
          <w:spacing w:val="-1"/>
        </w:rPr>
        <w:t xml:space="preserve"> </w:t>
      </w:r>
      <w:r w:rsidRPr="00547830">
        <w:rPr>
          <w:b/>
        </w:rPr>
        <w:t>p</w:t>
      </w:r>
      <w:r w:rsidRPr="00547830">
        <w:rPr>
          <w:b/>
          <w:spacing w:val="-1"/>
        </w:rPr>
        <w:t>r</w:t>
      </w:r>
      <w:r w:rsidRPr="00547830">
        <w:rPr>
          <w:b/>
        </w:rPr>
        <w:t>ovided to p</w:t>
      </w:r>
      <w:r w:rsidRPr="00547830">
        <w:rPr>
          <w:b/>
          <w:spacing w:val="-1"/>
        </w:rPr>
        <w:t>a</w:t>
      </w:r>
      <w:r w:rsidRPr="00547830">
        <w:rPr>
          <w:b/>
        </w:rPr>
        <w:t>rticip</w:t>
      </w:r>
      <w:r w:rsidRPr="00547830">
        <w:rPr>
          <w:b/>
          <w:spacing w:val="-1"/>
        </w:rPr>
        <w:t>a</w:t>
      </w:r>
      <w:r w:rsidRPr="00547830">
        <w:rPr>
          <w:b/>
        </w:rPr>
        <w:t xml:space="preserve">nts? </w:t>
      </w:r>
      <w:r w:rsidRPr="00547830">
        <w:rPr>
          <w:spacing w:val="2"/>
        </w:rPr>
        <w:t xml:space="preserve"> </w:t>
      </w:r>
      <w:r w:rsidRPr="00547830">
        <w:t xml:space="preserve">[ </w:t>
      </w:r>
      <w:r w:rsidRPr="00547830">
        <w:rPr>
          <w:spacing w:val="1"/>
        </w:rPr>
        <w:t xml:space="preserve"> </w:t>
      </w:r>
      <w:r w:rsidRPr="00547830">
        <w:t>]</w:t>
      </w:r>
      <w:r w:rsidRPr="00547830">
        <w:rPr>
          <w:spacing w:val="1"/>
        </w:rPr>
        <w:t xml:space="preserve"> </w:t>
      </w:r>
      <w:r w:rsidRPr="00547830">
        <w:t>Y</w:t>
      </w:r>
      <w:r w:rsidRPr="00547830">
        <w:rPr>
          <w:spacing w:val="-1"/>
        </w:rPr>
        <w:t>e</w:t>
      </w:r>
      <w:r w:rsidRPr="00547830">
        <w:t>s</w:t>
      </w:r>
      <w:r w:rsidRPr="00547830">
        <w:rPr>
          <w:spacing w:val="-2"/>
        </w:rPr>
        <w:t xml:space="preserve"> </w:t>
      </w:r>
      <w:r w:rsidR="00D9785A" w:rsidRPr="00D9785A">
        <w:rPr>
          <w:b/>
        </w:rPr>
        <w:t>[</w:t>
      </w:r>
      <w:r w:rsidR="00D9785A" w:rsidRPr="00D9785A">
        <w:rPr>
          <w:b/>
          <w:spacing w:val="1"/>
        </w:rPr>
        <w:t>X</w:t>
      </w:r>
      <w:r w:rsidRPr="00D9785A">
        <w:rPr>
          <w:b/>
        </w:rPr>
        <w:t>]</w:t>
      </w:r>
      <w:r w:rsidRPr="00D9785A">
        <w:rPr>
          <w:b/>
          <w:spacing w:val="-1"/>
        </w:rPr>
        <w:t xml:space="preserve"> </w:t>
      </w:r>
      <w:r w:rsidRPr="00D9785A">
        <w:rPr>
          <w:b/>
        </w:rPr>
        <w:t>No</w:t>
      </w:r>
    </w:p>
    <w:p w:rsidR="00CE577F" w:rsidRDefault="00CE577F" w:rsidP="00CE577F">
      <w:pPr>
        <w:pStyle w:val="ListParagraph"/>
        <w:ind w:left="820" w:right="596"/>
      </w:pPr>
    </w:p>
    <w:p w:rsidR="00CE577F" w:rsidRDefault="00CE577F" w:rsidP="00CE577F">
      <w:pPr>
        <w:pStyle w:val="ListParagraph"/>
        <w:widowControl w:val="0"/>
        <w:numPr>
          <w:ilvl w:val="0"/>
          <w:numId w:val="22"/>
        </w:numPr>
        <w:ind w:right="596"/>
      </w:pPr>
      <w:r>
        <w:t>I</w:t>
      </w:r>
      <w:r w:rsidRPr="00547830">
        <w:rPr>
          <w:b/>
        </w:rPr>
        <w:t xml:space="preserve">f Yes, provide the amount or value of the incentive? </w:t>
      </w:r>
      <w:r>
        <w:t>$___________.</w:t>
      </w:r>
    </w:p>
    <w:p w:rsidR="00CE577F" w:rsidRPr="00547830" w:rsidRDefault="00CE577F" w:rsidP="00CE577F">
      <w:pPr>
        <w:pStyle w:val="ListParagraph"/>
      </w:pPr>
    </w:p>
    <w:p w:rsidR="00CE577F" w:rsidRPr="00547830" w:rsidRDefault="00CE577F" w:rsidP="00CE577F">
      <w:pPr>
        <w:pStyle w:val="ListParagraph"/>
        <w:widowControl w:val="0"/>
        <w:numPr>
          <w:ilvl w:val="0"/>
          <w:numId w:val="22"/>
        </w:numPr>
        <w:ind w:right="596"/>
        <w:rPr>
          <w:b/>
        </w:rPr>
      </w:pPr>
      <w:r w:rsidRPr="00547830">
        <w:rPr>
          <w:b/>
        </w:rPr>
        <w:t>If Yes, provide a statement justifying the use and amount of the incentive.</w:t>
      </w:r>
    </w:p>
    <w:p w:rsidR="00FA7432" w:rsidRDefault="00FA7432" w:rsidP="00C86E91">
      <w:pPr>
        <w:rPr>
          <w:b/>
        </w:rPr>
      </w:pPr>
    </w:p>
    <w:p w:rsidR="00FA7432" w:rsidRDefault="00FA7432" w:rsidP="00C86E91">
      <w:pPr>
        <w:rPr>
          <w:b/>
        </w:rPr>
      </w:pPr>
    </w:p>
    <w:p w:rsidR="005E714A" w:rsidRPr="00FA7432" w:rsidRDefault="00DE4DE7" w:rsidP="00C86E91">
      <w:pPr>
        <w:rPr>
          <w:b/>
        </w:rPr>
      </w:pPr>
      <w:r>
        <w:rPr>
          <w:b/>
        </w:rPr>
        <w:t>7</w:t>
      </w:r>
      <w:r w:rsidR="00CE577F">
        <w:rPr>
          <w:b/>
        </w:rPr>
        <w:t xml:space="preserve">. </w:t>
      </w:r>
      <w:r w:rsidR="005E714A" w:rsidRPr="00FA7432">
        <w:rPr>
          <w:b/>
        </w:rPr>
        <w:t>BURDEN HOUR</w:t>
      </w:r>
      <w:r w:rsidR="00441434" w:rsidRPr="00FA7432">
        <w:rPr>
          <w:b/>
        </w:rPr>
        <w:t>S</w:t>
      </w:r>
      <w:r w:rsidR="005E714A" w:rsidRPr="00FA7432">
        <w:t xml:space="preserve"> </w:t>
      </w:r>
    </w:p>
    <w:p w:rsidR="006832D9" w:rsidRPr="00FA7432" w:rsidRDefault="006832D9" w:rsidP="00F3170F">
      <w:pPr>
        <w:keepNext/>
        <w:keepLines/>
        <w:rPr>
          <w:b/>
        </w:rPr>
      </w:pPr>
    </w:p>
    <w:tbl>
      <w:tblPr>
        <w:tblStyle w:val="TableGrid"/>
        <w:tblW w:w="10458" w:type="dxa"/>
        <w:tblLayout w:type="fixed"/>
        <w:tblLook w:val="01E0" w:firstRow="1" w:lastRow="1" w:firstColumn="1" w:lastColumn="1" w:noHBand="0" w:noVBand="0"/>
      </w:tblPr>
      <w:tblGrid>
        <w:gridCol w:w="2718"/>
        <w:gridCol w:w="1530"/>
        <w:gridCol w:w="1800"/>
        <w:gridCol w:w="1620"/>
        <w:gridCol w:w="1620"/>
        <w:gridCol w:w="1170"/>
      </w:tblGrid>
      <w:tr w:rsidR="004B5F15" w:rsidRPr="00FA7432" w:rsidTr="00D31812">
        <w:trPr>
          <w:trHeight w:val="274"/>
        </w:trPr>
        <w:tc>
          <w:tcPr>
            <w:tcW w:w="2718" w:type="dxa"/>
          </w:tcPr>
          <w:p w:rsidR="004B5F15" w:rsidRPr="00FA7432" w:rsidRDefault="00D31812" w:rsidP="00C8488C">
            <w:pPr>
              <w:rPr>
                <w:b/>
              </w:rPr>
            </w:pPr>
            <w:r>
              <w:rPr>
                <w:b/>
              </w:rPr>
              <w:t>Collection of Information</w:t>
            </w:r>
            <w:r w:rsidR="004B5F15" w:rsidRPr="00FA7432">
              <w:rPr>
                <w:b/>
              </w:rPr>
              <w:t xml:space="preserve"> </w:t>
            </w:r>
          </w:p>
        </w:tc>
        <w:tc>
          <w:tcPr>
            <w:tcW w:w="1530" w:type="dxa"/>
          </w:tcPr>
          <w:p w:rsidR="004B5F15" w:rsidRPr="00FA7432" w:rsidRDefault="004B5F15" w:rsidP="00AC7F7A">
            <w:pPr>
              <w:jc w:val="center"/>
              <w:rPr>
                <w:b/>
              </w:rPr>
            </w:pPr>
            <w:r w:rsidRPr="00FA7432">
              <w:rPr>
                <w:b/>
              </w:rPr>
              <w:t>N</w:t>
            </w:r>
            <w:r>
              <w:rPr>
                <w:b/>
              </w:rPr>
              <w:t>umber</w:t>
            </w:r>
            <w:r w:rsidRPr="00FA7432">
              <w:rPr>
                <w:b/>
              </w:rPr>
              <w:t xml:space="preserve"> of Respondents</w:t>
            </w:r>
          </w:p>
        </w:tc>
        <w:tc>
          <w:tcPr>
            <w:tcW w:w="1800" w:type="dxa"/>
          </w:tcPr>
          <w:p w:rsidR="004B5F15" w:rsidRDefault="004B5F15" w:rsidP="00AC7F7A">
            <w:pPr>
              <w:jc w:val="center"/>
              <w:rPr>
                <w:b/>
              </w:rPr>
            </w:pPr>
            <w:r>
              <w:rPr>
                <w:b/>
              </w:rPr>
              <w:t>Responses per Respondent</w:t>
            </w:r>
          </w:p>
          <w:p w:rsidR="00C61D32" w:rsidRPr="00FA7432" w:rsidRDefault="00C61D32" w:rsidP="00AC7F7A">
            <w:pPr>
              <w:jc w:val="center"/>
              <w:rPr>
                <w:b/>
              </w:rPr>
            </w:pPr>
            <w:r>
              <w:rPr>
                <w:b/>
              </w:rPr>
              <w:t>(Frequency)</w:t>
            </w:r>
          </w:p>
        </w:tc>
        <w:tc>
          <w:tcPr>
            <w:tcW w:w="1620" w:type="dxa"/>
          </w:tcPr>
          <w:p w:rsidR="004B5F15" w:rsidRPr="00FA7432" w:rsidRDefault="004B5F15" w:rsidP="00AC7F7A">
            <w:pPr>
              <w:jc w:val="center"/>
              <w:rPr>
                <w:b/>
              </w:rPr>
            </w:pPr>
            <w:r>
              <w:rPr>
                <w:b/>
              </w:rPr>
              <w:t xml:space="preserve">Number of Responses </w:t>
            </w:r>
          </w:p>
        </w:tc>
        <w:tc>
          <w:tcPr>
            <w:tcW w:w="1620" w:type="dxa"/>
          </w:tcPr>
          <w:p w:rsidR="004B5F15" w:rsidRDefault="004B5F15" w:rsidP="00AC7F7A">
            <w:pPr>
              <w:jc w:val="center"/>
              <w:rPr>
                <w:b/>
              </w:rPr>
            </w:pPr>
            <w:r w:rsidRPr="00FA7432">
              <w:rPr>
                <w:b/>
              </w:rPr>
              <w:t>Participation Time</w:t>
            </w:r>
          </w:p>
          <w:p w:rsidR="004B5F15" w:rsidRPr="00FA7432" w:rsidRDefault="004B5F15" w:rsidP="00AC7F7A">
            <w:pPr>
              <w:jc w:val="center"/>
              <w:rPr>
                <w:b/>
              </w:rPr>
            </w:pPr>
            <w:r>
              <w:rPr>
                <w:b/>
              </w:rPr>
              <w:t>(hours)</w:t>
            </w:r>
          </w:p>
        </w:tc>
        <w:tc>
          <w:tcPr>
            <w:tcW w:w="1170" w:type="dxa"/>
          </w:tcPr>
          <w:p w:rsidR="004B5F15" w:rsidRDefault="004B5F15" w:rsidP="00AC7F7A">
            <w:pPr>
              <w:jc w:val="center"/>
              <w:rPr>
                <w:b/>
              </w:rPr>
            </w:pPr>
            <w:r w:rsidRPr="00FA7432">
              <w:rPr>
                <w:b/>
              </w:rPr>
              <w:t>Burden</w:t>
            </w:r>
          </w:p>
          <w:p w:rsidR="004B5F15" w:rsidRPr="00FA7432" w:rsidRDefault="004B5F15" w:rsidP="00AC7F7A">
            <w:pPr>
              <w:jc w:val="center"/>
              <w:rPr>
                <w:b/>
              </w:rPr>
            </w:pPr>
            <w:r>
              <w:rPr>
                <w:b/>
              </w:rPr>
              <w:t>Hours</w:t>
            </w:r>
          </w:p>
        </w:tc>
      </w:tr>
      <w:tr w:rsidR="004B5F15" w:rsidRPr="00FA7432" w:rsidTr="00D31812">
        <w:trPr>
          <w:trHeight w:val="274"/>
        </w:trPr>
        <w:tc>
          <w:tcPr>
            <w:tcW w:w="2718" w:type="dxa"/>
          </w:tcPr>
          <w:p w:rsidR="004B5F15" w:rsidRPr="00FA7432" w:rsidRDefault="004B5F15" w:rsidP="00843796"/>
        </w:tc>
        <w:tc>
          <w:tcPr>
            <w:tcW w:w="1530" w:type="dxa"/>
          </w:tcPr>
          <w:p w:rsidR="004B5F15" w:rsidRPr="00FA7432" w:rsidRDefault="004B5F15" w:rsidP="00D31812">
            <w:pPr>
              <w:jc w:val="right"/>
            </w:pPr>
          </w:p>
        </w:tc>
        <w:tc>
          <w:tcPr>
            <w:tcW w:w="1800" w:type="dxa"/>
          </w:tcPr>
          <w:p w:rsidR="004B5F15" w:rsidRPr="00FA7432" w:rsidRDefault="004B5F15" w:rsidP="00D31812">
            <w:pPr>
              <w:jc w:val="right"/>
            </w:pPr>
          </w:p>
        </w:tc>
        <w:tc>
          <w:tcPr>
            <w:tcW w:w="1620" w:type="dxa"/>
          </w:tcPr>
          <w:p w:rsidR="004B5F15" w:rsidRPr="00FA7432" w:rsidRDefault="004B5F15" w:rsidP="00D31812">
            <w:pPr>
              <w:jc w:val="right"/>
            </w:pPr>
          </w:p>
        </w:tc>
        <w:tc>
          <w:tcPr>
            <w:tcW w:w="1620" w:type="dxa"/>
          </w:tcPr>
          <w:p w:rsidR="004B5F15" w:rsidRPr="00FA7432" w:rsidRDefault="004B5F15" w:rsidP="00D31812">
            <w:pPr>
              <w:jc w:val="right"/>
            </w:pPr>
          </w:p>
        </w:tc>
        <w:tc>
          <w:tcPr>
            <w:tcW w:w="1170" w:type="dxa"/>
          </w:tcPr>
          <w:p w:rsidR="004B5F15" w:rsidRPr="00FA7432" w:rsidRDefault="004B5F15" w:rsidP="00D31812">
            <w:pPr>
              <w:jc w:val="right"/>
            </w:pPr>
          </w:p>
        </w:tc>
      </w:tr>
      <w:tr w:rsidR="004B5F15" w:rsidRPr="00FA7432" w:rsidTr="00D31812">
        <w:trPr>
          <w:trHeight w:val="274"/>
        </w:trPr>
        <w:tc>
          <w:tcPr>
            <w:tcW w:w="2718" w:type="dxa"/>
          </w:tcPr>
          <w:p w:rsidR="004B5F15" w:rsidRPr="00FA7432" w:rsidRDefault="003867BA" w:rsidP="00843796">
            <w:r>
              <w:t>Web-based survey</w:t>
            </w:r>
          </w:p>
        </w:tc>
        <w:tc>
          <w:tcPr>
            <w:tcW w:w="1530" w:type="dxa"/>
          </w:tcPr>
          <w:p w:rsidR="004B5F15" w:rsidRPr="00FA7432" w:rsidRDefault="003867BA" w:rsidP="00D31812">
            <w:pPr>
              <w:jc w:val="right"/>
            </w:pPr>
            <w:r>
              <w:t>200</w:t>
            </w:r>
          </w:p>
        </w:tc>
        <w:tc>
          <w:tcPr>
            <w:tcW w:w="1800" w:type="dxa"/>
          </w:tcPr>
          <w:p w:rsidR="004B5F15" w:rsidRPr="00FA7432" w:rsidRDefault="003867BA" w:rsidP="00D31812">
            <w:pPr>
              <w:jc w:val="right"/>
            </w:pPr>
            <w:r>
              <w:t>1</w:t>
            </w:r>
          </w:p>
        </w:tc>
        <w:tc>
          <w:tcPr>
            <w:tcW w:w="1620" w:type="dxa"/>
          </w:tcPr>
          <w:p w:rsidR="004B5F15" w:rsidRPr="00FA7432" w:rsidRDefault="003867BA" w:rsidP="00D31812">
            <w:pPr>
              <w:jc w:val="right"/>
            </w:pPr>
            <w:r>
              <w:t>200</w:t>
            </w:r>
          </w:p>
        </w:tc>
        <w:tc>
          <w:tcPr>
            <w:tcW w:w="1620" w:type="dxa"/>
          </w:tcPr>
          <w:p w:rsidR="004B5F15" w:rsidRPr="00FA7432" w:rsidRDefault="004271AC" w:rsidP="00D31812">
            <w:pPr>
              <w:jc w:val="right"/>
            </w:pPr>
            <w:r>
              <w:t>1.0</w:t>
            </w:r>
          </w:p>
        </w:tc>
        <w:tc>
          <w:tcPr>
            <w:tcW w:w="1170" w:type="dxa"/>
          </w:tcPr>
          <w:p w:rsidR="004B5F15" w:rsidRPr="00FA7432" w:rsidRDefault="00C35328" w:rsidP="00D31812">
            <w:pPr>
              <w:jc w:val="right"/>
            </w:pPr>
            <w:r>
              <w:t>2</w:t>
            </w:r>
            <w:r w:rsidR="003867BA">
              <w:t>00</w:t>
            </w:r>
          </w:p>
        </w:tc>
      </w:tr>
      <w:tr w:rsidR="004B5F15" w:rsidRPr="00FA7432" w:rsidTr="00D31812">
        <w:trPr>
          <w:trHeight w:val="289"/>
        </w:trPr>
        <w:tc>
          <w:tcPr>
            <w:tcW w:w="2718" w:type="dxa"/>
          </w:tcPr>
          <w:p w:rsidR="004B5F15" w:rsidRPr="00FA7432" w:rsidRDefault="004B5F15" w:rsidP="00D31812">
            <w:pPr>
              <w:jc w:val="right"/>
              <w:rPr>
                <w:b/>
              </w:rPr>
            </w:pPr>
            <w:r w:rsidRPr="00FA7432">
              <w:rPr>
                <w:b/>
              </w:rPr>
              <w:t>Totals</w:t>
            </w:r>
            <w:r w:rsidR="00D31812">
              <w:rPr>
                <w:b/>
              </w:rPr>
              <w:t>:</w:t>
            </w:r>
          </w:p>
        </w:tc>
        <w:tc>
          <w:tcPr>
            <w:tcW w:w="1530" w:type="dxa"/>
          </w:tcPr>
          <w:p w:rsidR="004B5F15" w:rsidRPr="00FA7432" w:rsidRDefault="004B5F15" w:rsidP="00D31812">
            <w:pPr>
              <w:jc w:val="right"/>
              <w:rPr>
                <w:b/>
              </w:rPr>
            </w:pPr>
          </w:p>
        </w:tc>
        <w:tc>
          <w:tcPr>
            <w:tcW w:w="1800" w:type="dxa"/>
          </w:tcPr>
          <w:p w:rsidR="004B5F15" w:rsidRPr="00FA7432" w:rsidRDefault="00D31812" w:rsidP="00D31812">
            <w:pPr>
              <w:jc w:val="right"/>
            </w:pPr>
            <w:r>
              <w:t>//////////////////////</w:t>
            </w:r>
          </w:p>
        </w:tc>
        <w:tc>
          <w:tcPr>
            <w:tcW w:w="1620" w:type="dxa"/>
          </w:tcPr>
          <w:p w:rsidR="004B5F15" w:rsidRPr="00FA7432" w:rsidRDefault="004B5F15" w:rsidP="00D31812">
            <w:pPr>
              <w:jc w:val="right"/>
            </w:pPr>
          </w:p>
        </w:tc>
        <w:tc>
          <w:tcPr>
            <w:tcW w:w="1620" w:type="dxa"/>
          </w:tcPr>
          <w:p w:rsidR="004B5F15" w:rsidRPr="00FA7432" w:rsidRDefault="00D31812" w:rsidP="00D31812">
            <w:pPr>
              <w:jc w:val="right"/>
            </w:pPr>
            <w:r>
              <w:t>////////////////////</w:t>
            </w:r>
          </w:p>
        </w:tc>
        <w:tc>
          <w:tcPr>
            <w:tcW w:w="1170" w:type="dxa"/>
          </w:tcPr>
          <w:p w:rsidR="004B5F15" w:rsidRPr="00FA7432" w:rsidRDefault="004B5F15" w:rsidP="00D31812">
            <w:pPr>
              <w:jc w:val="right"/>
              <w:rPr>
                <w:b/>
              </w:rPr>
            </w:pPr>
          </w:p>
        </w:tc>
      </w:tr>
    </w:tbl>
    <w:p w:rsidR="00F3170F" w:rsidRPr="00FA7432" w:rsidRDefault="00F3170F" w:rsidP="00F3170F"/>
    <w:p w:rsidR="00441434" w:rsidRPr="00FA7432" w:rsidRDefault="00441434" w:rsidP="00F3170F"/>
    <w:p w:rsidR="00ED6492" w:rsidRPr="00FA7432" w:rsidRDefault="00DE4DE7">
      <w:pPr>
        <w:rPr>
          <w:b/>
          <w:bCs/>
          <w:u w:val="single"/>
        </w:rPr>
      </w:pPr>
      <w:r>
        <w:rPr>
          <w:b/>
        </w:rPr>
        <w:t>8</w:t>
      </w:r>
      <w:r w:rsidR="00CE577F">
        <w:rPr>
          <w:b/>
        </w:rPr>
        <w:t xml:space="preserve">. </w:t>
      </w:r>
      <w:r w:rsidR="001C39F7" w:rsidRPr="00FA7432">
        <w:rPr>
          <w:b/>
        </w:rPr>
        <w:t xml:space="preserve">FEDERAL </w:t>
      </w:r>
      <w:r w:rsidR="009F5923" w:rsidRPr="00FA7432">
        <w:rPr>
          <w:b/>
        </w:rPr>
        <w:t>COST</w:t>
      </w:r>
      <w:r w:rsidR="00F06866" w:rsidRPr="00FA7432">
        <w:rPr>
          <w:b/>
        </w:rPr>
        <w:t>:</w:t>
      </w:r>
      <w:r w:rsidR="00895229" w:rsidRPr="00FA7432">
        <w:rPr>
          <w:b/>
        </w:rPr>
        <w:t xml:space="preserve"> </w:t>
      </w:r>
      <w:r w:rsidR="00C86E91" w:rsidRPr="00FA7432">
        <w:rPr>
          <w:b/>
        </w:rPr>
        <w:t xml:space="preserve"> </w:t>
      </w:r>
      <w:r w:rsidR="00C86E91" w:rsidRPr="00FA7432">
        <w:t>The estimated annual cost</w:t>
      </w:r>
      <w:r w:rsidR="00581701">
        <w:t xml:space="preserve"> to</w:t>
      </w:r>
      <w:r w:rsidR="009714CA">
        <w:t xml:space="preserve"> the Federal government is $</w:t>
      </w:r>
      <w:r w:rsidR="00581701">
        <w:t>_</w:t>
      </w:r>
      <w:r w:rsidR="003867BA" w:rsidRPr="009714CA">
        <w:rPr>
          <w:u w:val="single"/>
        </w:rPr>
        <w:t>0</w:t>
      </w:r>
      <w:r w:rsidR="00581701">
        <w:t>________.</w:t>
      </w:r>
    </w:p>
    <w:p w:rsidR="00CE577F" w:rsidRDefault="00CE577F" w:rsidP="0024521E">
      <w:pPr>
        <w:rPr>
          <w:b/>
        </w:rPr>
      </w:pPr>
    </w:p>
    <w:p w:rsidR="00131DC8" w:rsidRPr="00FA7432" w:rsidRDefault="00131DC8" w:rsidP="00D31812">
      <w:pPr>
        <w:pStyle w:val="ListParagraph"/>
        <w:ind w:left="360"/>
      </w:pPr>
    </w:p>
    <w:p w:rsidR="00581701" w:rsidRDefault="00581701">
      <w:pPr>
        <w:rPr>
          <w:b/>
        </w:rPr>
      </w:pPr>
      <w:r>
        <w:rPr>
          <w:b/>
        </w:rPr>
        <w:br w:type="page"/>
      </w:r>
    </w:p>
    <w:p w:rsidR="00581701" w:rsidRDefault="00D31812" w:rsidP="00581701">
      <w:pPr>
        <w:jc w:val="center"/>
        <w:rPr>
          <w:b/>
          <w:bCs/>
        </w:rPr>
      </w:pPr>
      <w:r>
        <w:rPr>
          <w:b/>
        </w:rPr>
        <w:t xml:space="preserve">PART B: </w:t>
      </w:r>
      <w:r w:rsidR="00581701" w:rsidRPr="00581701">
        <w:rPr>
          <w:b/>
          <w:bCs/>
        </w:rPr>
        <w:t>COLLECTIONS OF INFORMATION EMPLOYING STATISTICAL METHODS</w:t>
      </w:r>
      <w:r w:rsidR="00CF2432">
        <w:rPr>
          <w:b/>
          <w:bCs/>
        </w:rPr>
        <w:t xml:space="preserve"> OR CONDUCTING A SURVEY OF FOCUS GROUP</w:t>
      </w:r>
    </w:p>
    <w:p w:rsidR="00D31812" w:rsidRDefault="00D31812" w:rsidP="00581701">
      <w:pPr>
        <w:pBdr>
          <w:bottom w:val="single" w:sz="6" w:space="1" w:color="auto"/>
        </w:pBdr>
        <w:jc w:val="center"/>
        <w:rPr>
          <w:b/>
          <w:bCs/>
        </w:rPr>
      </w:pPr>
    </w:p>
    <w:p w:rsidR="00D31812" w:rsidRPr="00581701" w:rsidRDefault="00D31812" w:rsidP="00581701">
      <w:pPr>
        <w:jc w:val="center"/>
        <w:rPr>
          <w:b/>
        </w:rPr>
      </w:pPr>
    </w:p>
    <w:p w:rsidR="00581701" w:rsidRDefault="00581701" w:rsidP="0024521E">
      <w:pPr>
        <w:rPr>
          <w:b/>
        </w:rPr>
      </w:pPr>
    </w:p>
    <w:p w:rsidR="00D31812" w:rsidRPr="00FA7432" w:rsidRDefault="00D31812" w:rsidP="00D31812">
      <w:pPr>
        <w:rPr>
          <w:b/>
        </w:rPr>
      </w:pPr>
      <w:r w:rsidRPr="00FA7432">
        <w:rPr>
          <w:b/>
          <w:bCs/>
          <w:u w:val="single"/>
        </w:rPr>
        <w:t>If you are conducting a focus group, survey, or plan to employ statistical methods, please provide answers to the following questions:</w:t>
      </w:r>
    </w:p>
    <w:p w:rsidR="00581701" w:rsidRDefault="00581701" w:rsidP="0024521E">
      <w:pPr>
        <w:rPr>
          <w:b/>
        </w:rPr>
      </w:pPr>
    </w:p>
    <w:p w:rsidR="00581701" w:rsidRDefault="00581701" w:rsidP="0024521E">
      <w:pPr>
        <w:rPr>
          <w:b/>
        </w:rPr>
      </w:pPr>
    </w:p>
    <w:p w:rsidR="00581701" w:rsidRDefault="00581701" w:rsidP="0024521E">
      <w:pPr>
        <w:rPr>
          <w:b/>
        </w:rPr>
      </w:pPr>
    </w:p>
    <w:p w:rsidR="00581701" w:rsidRPr="00581701" w:rsidRDefault="00581701"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1. </w:t>
      </w:r>
      <w:r w:rsidRPr="00581701">
        <w:rPr>
          <w:b/>
          <w:caps/>
        </w:rPr>
        <w:t>Respondent Universe and Selection Methods</w:t>
      </w:r>
    </w:p>
    <w:p w:rsidR="00581701" w:rsidRDefault="00581701" w:rsidP="0024521E">
      <w:pPr>
        <w:rPr>
          <w:b/>
        </w:rPr>
      </w:pPr>
    </w:p>
    <w:p w:rsidR="00D31812" w:rsidRPr="00D31812" w:rsidRDefault="00D31812" w:rsidP="00D31812">
      <w:pPr>
        <w:pStyle w:val="ListParagraph"/>
        <w:numPr>
          <w:ilvl w:val="0"/>
          <w:numId w:val="30"/>
        </w:numPr>
        <w:rPr>
          <w:b/>
        </w:rPr>
      </w:pPr>
      <w:r w:rsidRPr="00D31812">
        <w:rPr>
          <w:b/>
        </w:rPr>
        <w:t>Do you have a customer list or something similar that defines the universe of potential respondents and do you have a sampling plan for selecting from this universe?</w:t>
      </w:r>
      <w:r w:rsidRPr="00D31812">
        <w:rPr>
          <w:b/>
        </w:rPr>
        <w:tab/>
      </w:r>
    </w:p>
    <w:p w:rsidR="00D31812" w:rsidRPr="00FA7432" w:rsidRDefault="00D31812" w:rsidP="00D31812">
      <w:pPr>
        <w:ind w:firstLine="720"/>
      </w:pPr>
      <w:r w:rsidRPr="0067308E">
        <w:t>[</w:t>
      </w:r>
      <w:r w:rsidR="0067308E">
        <w:t xml:space="preserve">  </w:t>
      </w:r>
      <w:r w:rsidRPr="0067308E">
        <w:t>] Yes</w:t>
      </w:r>
      <w:r w:rsidRPr="00FA7432">
        <w:tab/>
      </w:r>
      <w:r>
        <w:tab/>
      </w:r>
      <w:r w:rsidRPr="0067308E">
        <w:rPr>
          <w:b/>
        </w:rPr>
        <w:t>[</w:t>
      </w:r>
      <w:r w:rsidR="0043410A" w:rsidRPr="0067308E">
        <w:rPr>
          <w:b/>
        </w:rPr>
        <w:t>X</w:t>
      </w:r>
      <w:r w:rsidRPr="0067308E">
        <w:rPr>
          <w:b/>
        </w:rPr>
        <w:t>] No</w:t>
      </w:r>
    </w:p>
    <w:p w:rsidR="00581701" w:rsidRDefault="00581701" w:rsidP="00D31812">
      <w:pPr>
        <w:rPr>
          <w:b/>
        </w:rPr>
      </w:pPr>
    </w:p>
    <w:p w:rsidR="00D31812" w:rsidRDefault="00CF2432" w:rsidP="00CF2432">
      <w:pPr>
        <w:pStyle w:val="ListParagraph"/>
        <w:numPr>
          <w:ilvl w:val="0"/>
          <w:numId w:val="30"/>
        </w:numPr>
        <w:rPr>
          <w:b/>
        </w:rPr>
      </w:pPr>
      <w:r>
        <w:rPr>
          <w:b/>
        </w:rPr>
        <w:t xml:space="preserve">If the answer is </w:t>
      </w:r>
      <w:r w:rsidRPr="00CF2432">
        <w:rPr>
          <w:b/>
          <w:u w:val="single"/>
        </w:rPr>
        <w:t>Yes</w:t>
      </w:r>
      <w:r w:rsidRPr="00CF2432">
        <w:rPr>
          <w:b/>
        </w:rPr>
        <w:t>, pleas</w:t>
      </w:r>
      <w:r>
        <w:rPr>
          <w:b/>
        </w:rPr>
        <w:t xml:space="preserve">e provide a description </w:t>
      </w:r>
      <w:r w:rsidRPr="00CF2432">
        <w:rPr>
          <w:b/>
        </w:rPr>
        <w:t>belo</w:t>
      </w:r>
      <w:r>
        <w:rPr>
          <w:b/>
        </w:rPr>
        <w:t xml:space="preserve">w (or attach the sampling plan).   If the answer is </w:t>
      </w:r>
      <w:r w:rsidRPr="00CF2432">
        <w:rPr>
          <w:b/>
          <w:u w:val="single"/>
        </w:rPr>
        <w:t>No</w:t>
      </w:r>
      <w:r w:rsidRPr="00CF2432">
        <w:rPr>
          <w:b/>
        </w:rPr>
        <w:t>, please provide a description of how you plan to identify your potential group of respondents and how you will select them</w:t>
      </w:r>
      <w:r>
        <w:rPr>
          <w:b/>
        </w:rPr>
        <w:t xml:space="preserve">. </w:t>
      </w:r>
    </w:p>
    <w:p w:rsidR="00975BFD" w:rsidRDefault="00975BFD" w:rsidP="00975BFD">
      <w:pPr>
        <w:pStyle w:val="ListParagraph"/>
        <w:rPr>
          <w:b/>
        </w:rPr>
      </w:pPr>
    </w:p>
    <w:p w:rsidR="0067308E" w:rsidRPr="0067308E" w:rsidRDefault="0067308E" w:rsidP="00975BFD">
      <w:pPr>
        <w:pStyle w:val="ListParagraph"/>
      </w:pPr>
      <w:r>
        <w:t xml:space="preserve">The Bureau will identify potential respondents from </w:t>
      </w:r>
      <w:r w:rsidR="00A4560D">
        <w:t>various sources, including the Bureau’s existing industry knowledge</w:t>
      </w:r>
      <w:r w:rsidR="00FB6D7D">
        <w:t>,</w:t>
      </w:r>
      <w:r w:rsidR="00A4560D">
        <w:t xml:space="preserve"> </w:t>
      </w:r>
      <w:r>
        <w:t xml:space="preserve">the </w:t>
      </w:r>
      <w:r w:rsidR="00DB67E9">
        <w:t xml:space="preserve">publicly available </w:t>
      </w:r>
      <w:r>
        <w:t>list</w:t>
      </w:r>
      <w:r w:rsidR="00A2364F">
        <w:t xml:space="preserve"> of</w:t>
      </w:r>
      <w:r>
        <w:t xml:space="preserve"> </w:t>
      </w:r>
      <w:r w:rsidR="00A2364F">
        <w:t xml:space="preserve">U.S. Department of Housing and Urban Development (HUD) </w:t>
      </w:r>
      <w:r>
        <w:t>approved housing counseling agencies</w:t>
      </w:r>
      <w:r w:rsidR="00427F5B">
        <w:t>,</w:t>
      </w:r>
      <w:r w:rsidR="00A4560D">
        <w:t xml:space="preserve"> state housing finance agencies</w:t>
      </w:r>
      <w:r w:rsidR="00427F5B">
        <w:t>, and publicly available sources of information on legal service providers</w:t>
      </w:r>
      <w:r>
        <w:t>.</w:t>
      </w:r>
      <w:r w:rsidR="008A37F2">
        <w:t xml:space="preserve">  </w:t>
      </w:r>
    </w:p>
    <w:p w:rsidR="0067308E" w:rsidRDefault="0067308E" w:rsidP="00975BFD">
      <w:pPr>
        <w:pStyle w:val="ListParagraph"/>
        <w:rPr>
          <w:b/>
        </w:rPr>
      </w:pPr>
    </w:p>
    <w:p w:rsidR="00975BFD" w:rsidRPr="00D31812" w:rsidRDefault="00C53B2C" w:rsidP="00C53B2C">
      <w:pPr>
        <w:pStyle w:val="ListParagraph"/>
        <w:numPr>
          <w:ilvl w:val="0"/>
          <w:numId w:val="30"/>
        </w:numPr>
        <w:rPr>
          <w:b/>
        </w:rPr>
      </w:pPr>
      <w:r w:rsidRPr="00C53B2C">
        <w:rPr>
          <w:b/>
        </w:rPr>
        <w:t xml:space="preserve">The selection of your targeted respondents.  </w:t>
      </w:r>
      <w:r>
        <w:rPr>
          <w:b/>
        </w:rPr>
        <w:t>P</w:t>
      </w:r>
      <w:r w:rsidRPr="00C53B2C">
        <w:rPr>
          <w:b/>
        </w:rPr>
        <w:t>rovide a description of how you plan to identify your potential group of respondents and how you will select them.</w:t>
      </w:r>
    </w:p>
    <w:p w:rsidR="00D31812" w:rsidRPr="00D31812" w:rsidRDefault="00D31812" w:rsidP="00D31812">
      <w:pPr>
        <w:pStyle w:val="ListParagraph"/>
        <w:rPr>
          <w:b/>
        </w:rPr>
      </w:pPr>
    </w:p>
    <w:p w:rsidR="00DB67E9" w:rsidRDefault="00427F5B" w:rsidP="00DB67E9">
      <w:pPr>
        <w:ind w:left="720"/>
        <w:rPr>
          <w:b/>
        </w:rPr>
      </w:pPr>
      <w:r>
        <w:t xml:space="preserve">The Bureau will attempt to select at least </w:t>
      </w:r>
      <w:r w:rsidR="004F55F7">
        <w:t>6</w:t>
      </w:r>
      <w:r>
        <w:t xml:space="preserve">00 potential respondents from the sources above that represent a diversity of geographic and market segments.  </w:t>
      </w:r>
      <w:r w:rsidR="00DB67E9">
        <w:t xml:space="preserve">The Bureau will send an email with a link to the web-based survey to </w:t>
      </w:r>
      <w:r>
        <w:t>these selected</w:t>
      </w:r>
      <w:r w:rsidR="00A2364F">
        <w:t xml:space="preserve"> </w:t>
      </w:r>
      <w:r w:rsidR="00DB67E9">
        <w:t>agencies.</w:t>
      </w:r>
    </w:p>
    <w:p w:rsidR="00DB67E9" w:rsidRDefault="00DB67E9" w:rsidP="0024521E">
      <w:pPr>
        <w:rPr>
          <w:b/>
        </w:rPr>
      </w:pPr>
    </w:p>
    <w:p w:rsidR="00581701" w:rsidRPr="00581701" w:rsidRDefault="00581701" w:rsidP="0024521E">
      <w:pPr>
        <w:rPr>
          <w:b/>
          <w:caps/>
        </w:rPr>
      </w:pPr>
      <w:r>
        <w:rPr>
          <w:b/>
          <w:caps/>
        </w:rPr>
        <w:t xml:space="preserve">2. </w:t>
      </w:r>
      <w:r w:rsidRPr="00581701">
        <w:rPr>
          <w:b/>
          <w:caps/>
        </w:rPr>
        <w:t>Information Collection Procedures</w:t>
      </w:r>
    </w:p>
    <w:p w:rsidR="00581701" w:rsidRDefault="00581701" w:rsidP="0024521E">
      <w:pPr>
        <w:rPr>
          <w:b/>
        </w:rPr>
      </w:pPr>
    </w:p>
    <w:p w:rsidR="00581701" w:rsidRPr="0043410A" w:rsidRDefault="0043410A" w:rsidP="0024521E">
      <w:r w:rsidRPr="0043410A">
        <w:t xml:space="preserve">The </w:t>
      </w:r>
      <w:r>
        <w:t xml:space="preserve">Bureau will send </w:t>
      </w:r>
      <w:r w:rsidR="00F93D64">
        <w:t xml:space="preserve">selected </w:t>
      </w:r>
      <w:r>
        <w:t xml:space="preserve">housing counselors and legal aid attorneys a link </w:t>
      </w:r>
      <w:r w:rsidR="00CB5217">
        <w:t xml:space="preserve">to a web-based survey by email.  The survey attached as Exhibit A will be developed into a web-based survey that </w:t>
      </w:r>
      <w:r w:rsidR="008A37F2">
        <w:t>uses</w:t>
      </w:r>
      <w:r w:rsidR="00CB5217">
        <w:t xml:space="preserve"> skip logic (i.e. </w:t>
      </w:r>
      <w:r w:rsidR="00095665">
        <w:t>allows</w:t>
      </w:r>
      <w:r w:rsidR="00CB5217">
        <w:t xml:space="preserve"> certain questions to be skip</w:t>
      </w:r>
      <w:r w:rsidR="00095665">
        <w:t>ped</w:t>
      </w:r>
      <w:r w:rsidR="00CB5217">
        <w:t xml:space="preserve"> if </w:t>
      </w:r>
      <w:r w:rsidR="00095665">
        <w:t>a respondent</w:t>
      </w:r>
      <w:r w:rsidR="00CB5217">
        <w:t xml:space="preserve"> indicate</w:t>
      </w:r>
      <w:r w:rsidR="00095665">
        <w:t>s certain</w:t>
      </w:r>
      <w:r w:rsidR="00CB5217">
        <w:t xml:space="preserve"> questions are not applicable to them).</w:t>
      </w:r>
    </w:p>
    <w:p w:rsidR="0043410A" w:rsidRDefault="0043410A" w:rsidP="0024521E">
      <w:pPr>
        <w:rPr>
          <w:b/>
        </w:rPr>
      </w:pPr>
    </w:p>
    <w:p w:rsidR="00581701" w:rsidRDefault="00581701" w:rsidP="0024521E">
      <w:pPr>
        <w:rPr>
          <w:b/>
        </w:rPr>
      </w:pPr>
    </w:p>
    <w:p w:rsidR="00581701" w:rsidRPr="00581701" w:rsidRDefault="00673A8A" w:rsidP="005817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aps/>
        </w:rPr>
      </w:pPr>
      <w:r>
        <w:rPr>
          <w:b/>
          <w:caps/>
        </w:rPr>
        <w:t xml:space="preserve">3. </w:t>
      </w:r>
      <w:r w:rsidR="00581701" w:rsidRPr="00581701">
        <w:rPr>
          <w:b/>
          <w:caps/>
        </w:rPr>
        <w:t>Methods to Maximize Response Rates and Address Issues of Non-Response</w:t>
      </w:r>
    </w:p>
    <w:p w:rsidR="00581701" w:rsidRDefault="00581701" w:rsidP="0024521E">
      <w:pPr>
        <w:rPr>
          <w:b/>
        </w:rPr>
      </w:pPr>
    </w:p>
    <w:p w:rsidR="00A251A5" w:rsidRDefault="00A251A5" w:rsidP="00A251A5">
      <w:r w:rsidRPr="00697AA4">
        <w:t xml:space="preserve">This collection of information will not employ statistical methods and, therefore, issues of non-response and non-response bias analyses are not applicable. It is worth noting, however, that the Bureau will only </w:t>
      </w:r>
      <w:r>
        <w:t>receive</w:t>
      </w:r>
      <w:r w:rsidRPr="00697AA4">
        <w:t xml:space="preserve"> responses from </w:t>
      </w:r>
      <w:r>
        <w:t>individuals</w:t>
      </w:r>
      <w:r w:rsidRPr="00697AA4">
        <w:t xml:space="preserve"> that agree to participate.</w:t>
      </w:r>
    </w:p>
    <w:p w:rsidR="00A251A5" w:rsidRDefault="00A251A5" w:rsidP="0024521E">
      <w:pPr>
        <w:rPr>
          <w:b/>
        </w:rPr>
      </w:pPr>
    </w:p>
    <w:p w:rsidR="00581701" w:rsidRDefault="00581701" w:rsidP="0024521E">
      <w:pPr>
        <w:rPr>
          <w:b/>
        </w:rPr>
      </w:pPr>
    </w:p>
    <w:p w:rsidR="00581701" w:rsidRDefault="00673A8A" w:rsidP="0024521E">
      <w:pPr>
        <w:rPr>
          <w:b/>
          <w:caps/>
        </w:rPr>
      </w:pPr>
      <w:r>
        <w:rPr>
          <w:b/>
          <w:caps/>
        </w:rPr>
        <w:t xml:space="preserve">4. </w:t>
      </w:r>
      <w:r w:rsidRPr="00673A8A">
        <w:rPr>
          <w:b/>
          <w:caps/>
        </w:rPr>
        <w:t>Testing of Procedures or Methods</w:t>
      </w:r>
    </w:p>
    <w:p w:rsidR="00673A8A" w:rsidRPr="00F03B90" w:rsidRDefault="00673A8A" w:rsidP="0024521E">
      <w:pPr>
        <w:rPr>
          <w:caps/>
        </w:rPr>
      </w:pPr>
    </w:p>
    <w:p w:rsidR="00F03B90" w:rsidRPr="005E57A9" w:rsidRDefault="0067308E" w:rsidP="0024521E">
      <w:r>
        <w:t>Not applicable.</w:t>
      </w:r>
    </w:p>
    <w:p w:rsidR="00F03B90" w:rsidRPr="00673A8A" w:rsidRDefault="00F03B90" w:rsidP="0024521E">
      <w:pPr>
        <w:rPr>
          <w:b/>
          <w:caps/>
        </w:rPr>
      </w:pPr>
    </w:p>
    <w:p w:rsidR="00581701" w:rsidRPr="00673A8A" w:rsidRDefault="00673A8A" w:rsidP="0024521E">
      <w:pPr>
        <w:rPr>
          <w:b/>
          <w:caps/>
        </w:rPr>
      </w:pPr>
      <w:r>
        <w:rPr>
          <w:b/>
          <w:caps/>
        </w:rPr>
        <w:t xml:space="preserve">5. </w:t>
      </w:r>
      <w:r w:rsidRPr="00673A8A">
        <w:rPr>
          <w:b/>
          <w:caps/>
        </w:rPr>
        <w:t>Contact Information for Statistical Aspects of the Design</w:t>
      </w:r>
    </w:p>
    <w:p w:rsidR="00CE577F" w:rsidRDefault="00CE577F" w:rsidP="0024521E">
      <w:pPr>
        <w:rPr>
          <w:b/>
        </w:rPr>
      </w:pPr>
    </w:p>
    <w:p w:rsidR="00DF1B00" w:rsidRDefault="00DF1B00" w:rsidP="00DF1B00">
      <w:r w:rsidRPr="00697AA4">
        <w:t>Methodologies are consistent with collections of information approved under this generic clearance.</w:t>
      </w:r>
    </w:p>
    <w:p w:rsidR="008F4211" w:rsidRDefault="008F4211" w:rsidP="0024521E">
      <w:pPr>
        <w:rPr>
          <w:b/>
        </w:rPr>
      </w:pPr>
    </w:p>
    <w:p w:rsidR="008F4211" w:rsidRDefault="008F4211" w:rsidP="0024521E">
      <w:pPr>
        <w:rPr>
          <w:b/>
        </w:rPr>
      </w:pPr>
      <w:r>
        <w:rPr>
          <w:b/>
        </w:rPr>
        <w:t>Exhibits:</w:t>
      </w:r>
    </w:p>
    <w:p w:rsidR="008F4211" w:rsidRPr="008F4211" w:rsidRDefault="008F4211" w:rsidP="0024521E">
      <w:r w:rsidRPr="008F4211">
        <w:t xml:space="preserve">Exhibit A: </w:t>
      </w:r>
      <w:r>
        <w:t>Housing counselor and legal aid attorney survey</w:t>
      </w:r>
    </w:p>
    <w:p w:rsidR="004B5F15" w:rsidRDefault="00673A8A">
      <w:pPr>
        <w:rPr>
          <w:b/>
        </w:rPr>
      </w:pPr>
      <w:r>
        <w:rPr>
          <w:b/>
        </w:rPr>
        <w:br w:type="page"/>
      </w:r>
    </w:p>
    <w:p w:rsidR="004B5F15" w:rsidRDefault="00D31812" w:rsidP="00975BFD">
      <w:pPr>
        <w:jc w:val="center"/>
        <w:rPr>
          <w:b/>
        </w:rPr>
      </w:pPr>
      <w:r>
        <w:rPr>
          <w:b/>
        </w:rPr>
        <w:t xml:space="preserve">PART C: </w:t>
      </w:r>
      <w:r w:rsidR="004B5F15" w:rsidRPr="00FA7432">
        <w:rPr>
          <w:b/>
        </w:rPr>
        <w:t>CERTIFICATION</w:t>
      </w:r>
      <w:r>
        <w:rPr>
          <w:b/>
        </w:rPr>
        <w:t>S</w:t>
      </w:r>
    </w:p>
    <w:p w:rsidR="00DF1064" w:rsidRDefault="00DF1064" w:rsidP="004B5F15">
      <w:pPr>
        <w:pBdr>
          <w:bottom w:val="single" w:sz="6" w:space="1" w:color="auto"/>
        </w:pBdr>
        <w:rPr>
          <w:b/>
        </w:rPr>
      </w:pPr>
    </w:p>
    <w:p w:rsidR="00DF1064" w:rsidRDefault="00DF1064" w:rsidP="00D31812">
      <w:pPr>
        <w:spacing w:before="29"/>
        <w:ind w:right="-20"/>
        <w:rPr>
          <w:sz w:val="16"/>
          <w:szCs w:val="16"/>
        </w:rPr>
      </w:pPr>
    </w:p>
    <w:p w:rsidR="00D31812" w:rsidRPr="005C5893" w:rsidRDefault="00D31812" w:rsidP="00D31812">
      <w:pPr>
        <w:spacing w:before="29"/>
        <w:ind w:right="-20"/>
        <w:rPr>
          <w:b/>
        </w:rPr>
      </w:pPr>
      <w:r w:rsidRPr="005C5893">
        <w:rPr>
          <w:b/>
        </w:rPr>
        <w:t>CERTIFICATION PURSUANT TO  5 CFR 1320.9, AND THE RELATED PROVISIONS OF 5 CFR 1320.8(b)(3) :</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r w:rsidRPr="005C5893">
        <w:t>By submitting this document, the Bureau certifies the following to be true:</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r>
        <w:t xml:space="preserve">(a) </w:t>
      </w:r>
      <w:r w:rsidRPr="005C5893">
        <w:t xml:space="preserve">It is necessary for the proper performance of agency functions; </w:t>
      </w:r>
    </w:p>
    <w:p w:rsidR="00D31812" w:rsidRPr="005C5893" w:rsidRDefault="00D31812" w:rsidP="00D31812">
      <w:pPr>
        <w:pStyle w:val="ListParagraph"/>
        <w:spacing w:before="29"/>
        <w:ind w:left="460" w:right="-20"/>
      </w:pPr>
      <w:r>
        <w:t xml:space="preserve">(b) </w:t>
      </w:r>
      <w:r w:rsidRPr="005C5893">
        <w:t xml:space="preserve">It avoids unnecessary duplication; </w:t>
      </w:r>
    </w:p>
    <w:p w:rsidR="00D31812" w:rsidRPr="005C5893" w:rsidRDefault="00D31812" w:rsidP="00D31812">
      <w:pPr>
        <w:pStyle w:val="ListParagraph"/>
        <w:spacing w:before="29"/>
        <w:ind w:left="460" w:right="-20"/>
      </w:pPr>
      <w:r>
        <w:t xml:space="preserve">(c) </w:t>
      </w:r>
      <w:r w:rsidRPr="005C5893">
        <w:t>It uses plain, coherent, and unambiguous terminology that is understandable to respondents;</w:t>
      </w:r>
    </w:p>
    <w:p w:rsidR="00D31812" w:rsidRPr="005C5893" w:rsidRDefault="00D31812" w:rsidP="00D31812">
      <w:pPr>
        <w:pStyle w:val="ListParagraph"/>
        <w:spacing w:before="29"/>
        <w:ind w:left="460" w:right="-20"/>
      </w:pPr>
      <w:r>
        <w:t xml:space="preserve">(d) </w:t>
      </w:r>
      <w:r w:rsidRPr="005C5893">
        <w:t>Its implementation will be consistent and compatible with current reporting and recordkeeping practices;</w:t>
      </w:r>
    </w:p>
    <w:p w:rsidR="00D31812" w:rsidRPr="005C5893" w:rsidRDefault="00D31812" w:rsidP="00D31812">
      <w:pPr>
        <w:pStyle w:val="ListParagraph"/>
        <w:spacing w:before="29"/>
        <w:ind w:left="460" w:right="-20"/>
      </w:pPr>
      <w:r>
        <w:t xml:space="preserve">(e) </w:t>
      </w:r>
      <w:r w:rsidRPr="005C5893">
        <w:t>It indicates the retention period for recordkeeping requirements;</w:t>
      </w:r>
    </w:p>
    <w:p w:rsidR="00D31812" w:rsidRPr="005C5893" w:rsidRDefault="00D31812" w:rsidP="00D31812">
      <w:pPr>
        <w:pStyle w:val="ListParagraph"/>
        <w:spacing w:before="29"/>
        <w:ind w:left="460" w:right="-20"/>
      </w:pPr>
      <w:r w:rsidRPr="005C5893">
        <w:t>(f)</w:t>
      </w:r>
      <w:r w:rsidRPr="005C5893">
        <w:tab/>
        <w:t>It informs respondents of the information called for under 5 CFR 1320.8(b)(3):</w:t>
      </w:r>
    </w:p>
    <w:p w:rsidR="00D31812" w:rsidRPr="005C5893" w:rsidRDefault="00D31812" w:rsidP="00D31812">
      <w:pPr>
        <w:pStyle w:val="ListParagraph"/>
        <w:spacing w:before="29"/>
        <w:ind w:left="460" w:right="-20" w:firstLine="260"/>
      </w:pPr>
      <w:r w:rsidRPr="005C5893">
        <w:t>(i)  Why the information is being collected;</w:t>
      </w:r>
    </w:p>
    <w:p w:rsidR="00D31812" w:rsidRPr="005C5893" w:rsidRDefault="00D31812" w:rsidP="00D31812">
      <w:pPr>
        <w:pStyle w:val="ListParagraph"/>
        <w:spacing w:before="29"/>
        <w:ind w:left="460" w:right="-20" w:firstLine="260"/>
      </w:pPr>
      <w:r w:rsidRPr="005C5893">
        <w:t>(ii) Use of information;</w:t>
      </w:r>
    </w:p>
    <w:p w:rsidR="00D31812" w:rsidRPr="005C5893" w:rsidRDefault="00D31812" w:rsidP="00D31812">
      <w:pPr>
        <w:pStyle w:val="ListParagraph"/>
        <w:spacing w:before="29"/>
        <w:ind w:left="460" w:right="-20" w:firstLine="260"/>
      </w:pPr>
      <w:r w:rsidRPr="005C5893">
        <w:t>(iii) Burden estimate;</w:t>
      </w:r>
    </w:p>
    <w:p w:rsidR="00D31812" w:rsidRPr="005C5893" w:rsidRDefault="00D31812" w:rsidP="00D31812">
      <w:pPr>
        <w:pStyle w:val="ListParagraph"/>
        <w:spacing w:before="29"/>
        <w:ind w:left="460" w:right="-20" w:firstLine="260"/>
      </w:pPr>
      <w:r w:rsidRPr="005C5893">
        <w:t>(iv) Nature of response (voluntary);</w:t>
      </w:r>
    </w:p>
    <w:p w:rsidR="00D31812" w:rsidRPr="005C5893" w:rsidRDefault="00D31812" w:rsidP="00D31812">
      <w:pPr>
        <w:pStyle w:val="ListParagraph"/>
        <w:spacing w:before="29"/>
        <w:ind w:left="460" w:right="-20" w:firstLine="260"/>
      </w:pPr>
      <w:r w:rsidRPr="005C5893">
        <w:t>(v) Nature and extent of confidentiality; and</w:t>
      </w:r>
    </w:p>
    <w:p w:rsidR="00D31812" w:rsidRPr="005C5893" w:rsidRDefault="00D31812" w:rsidP="00D31812">
      <w:pPr>
        <w:pStyle w:val="ListParagraph"/>
        <w:spacing w:before="29"/>
        <w:ind w:left="460" w:right="-20" w:firstLine="260"/>
      </w:pPr>
      <w:r w:rsidRPr="005C5893">
        <w:t>(vi) Need to display currently valid OMB control number;</w:t>
      </w:r>
    </w:p>
    <w:p w:rsidR="00D31812" w:rsidRPr="005C5893" w:rsidRDefault="00D31812" w:rsidP="00D31812">
      <w:pPr>
        <w:spacing w:before="29"/>
        <w:ind w:left="460" w:right="-20"/>
      </w:pPr>
      <w:r w:rsidRPr="005C5893">
        <w:t xml:space="preserve">(g) It was developed by an office that has planned and allocated resources for the efficient and effective management and use of </w:t>
      </w:r>
      <w:r>
        <w:t>the information to be collected;</w:t>
      </w:r>
    </w:p>
    <w:p w:rsidR="00D31812" w:rsidRPr="005C5893" w:rsidRDefault="00D31812" w:rsidP="00D31812">
      <w:pPr>
        <w:pStyle w:val="ListParagraph"/>
        <w:spacing w:before="29"/>
        <w:ind w:left="460" w:right="-20"/>
      </w:pPr>
      <w:r>
        <w:t>(h</w:t>
      </w:r>
      <w:r w:rsidRPr="005C5893">
        <w:t>) It uses effective and efficient statistical survey methodology; and</w:t>
      </w:r>
    </w:p>
    <w:p w:rsidR="00D31812" w:rsidRPr="005C5893" w:rsidRDefault="00D31812" w:rsidP="00D31812">
      <w:pPr>
        <w:pStyle w:val="ListParagraph"/>
        <w:spacing w:before="29"/>
        <w:ind w:left="460" w:right="-20"/>
      </w:pPr>
      <w:r>
        <w:t>(i</w:t>
      </w:r>
      <w:r w:rsidRPr="005C5893">
        <w:t>) It makes appropriate use of information technology.</w:t>
      </w:r>
    </w:p>
    <w:p w:rsidR="00D31812" w:rsidRPr="005C5893" w:rsidRDefault="00D31812" w:rsidP="00D31812">
      <w:pPr>
        <w:pStyle w:val="ListParagraph"/>
        <w:spacing w:before="29"/>
        <w:ind w:left="460" w:right="-20"/>
      </w:pPr>
    </w:p>
    <w:p w:rsidR="00D31812" w:rsidRPr="005C5893" w:rsidRDefault="00D31812" w:rsidP="00D31812">
      <w:pPr>
        <w:pStyle w:val="ListParagraph"/>
        <w:spacing w:before="29"/>
        <w:ind w:left="460" w:right="-20"/>
      </w:pPr>
    </w:p>
    <w:p w:rsidR="00D31812" w:rsidRPr="005C5893" w:rsidRDefault="00D31812" w:rsidP="00D31812">
      <w:pPr>
        <w:spacing w:before="29"/>
        <w:ind w:right="-20"/>
        <w:rPr>
          <w:b/>
        </w:rPr>
      </w:pPr>
      <w:r w:rsidRPr="005C5893">
        <w:rPr>
          <w:b/>
        </w:rPr>
        <w:t xml:space="preserve">CERTIFICATION FOR INFORMATION COLLECTIONS SUBMITTED UNDER </w:t>
      </w:r>
      <w:r>
        <w:rPr>
          <w:b/>
        </w:rPr>
        <w:t>THIS</w:t>
      </w:r>
      <w:r w:rsidRPr="005C5893">
        <w:rPr>
          <w:b/>
        </w:rPr>
        <w:t xml:space="preserve"> GENERIC INFORMATION COLLECTION PLAN</w:t>
      </w:r>
    </w:p>
    <w:p w:rsidR="00D31812" w:rsidRPr="00FA7432" w:rsidRDefault="00D31812" w:rsidP="004B5F15">
      <w:pPr>
        <w:rPr>
          <w:sz w:val="16"/>
          <w:szCs w:val="16"/>
        </w:rPr>
      </w:pPr>
    </w:p>
    <w:p w:rsidR="004B5F15" w:rsidRPr="00FA7432" w:rsidRDefault="004B5F15" w:rsidP="004B5F15">
      <w:r>
        <w:t>By submitting this document, the Bureau certifies</w:t>
      </w:r>
      <w:r w:rsidRPr="00FA7432">
        <w:t xml:space="preserve"> the following to be true: </w:t>
      </w:r>
    </w:p>
    <w:p w:rsidR="004B5F15" w:rsidRPr="00FA7432" w:rsidRDefault="004B5F15" w:rsidP="004B5F15">
      <w:pPr>
        <w:pStyle w:val="ListParagraph"/>
        <w:numPr>
          <w:ilvl w:val="0"/>
          <w:numId w:val="28"/>
        </w:numPr>
      </w:pPr>
      <w:r w:rsidRPr="00FA7432">
        <w:t xml:space="preserve">The collection is voluntary. </w:t>
      </w:r>
    </w:p>
    <w:p w:rsidR="004B5F15" w:rsidRPr="00FA7432" w:rsidRDefault="004B5F15" w:rsidP="004B5F15">
      <w:pPr>
        <w:pStyle w:val="ListParagraph"/>
        <w:numPr>
          <w:ilvl w:val="0"/>
          <w:numId w:val="28"/>
        </w:numPr>
      </w:pPr>
      <w:r w:rsidRPr="00FA7432">
        <w:t>The collection is low-burden for respondents and low-cost for the Federal Government.</w:t>
      </w:r>
    </w:p>
    <w:p w:rsidR="004B5F15" w:rsidRPr="00FA7432" w:rsidRDefault="004B5F15" w:rsidP="004B5F15">
      <w:pPr>
        <w:pStyle w:val="ListParagraph"/>
        <w:numPr>
          <w:ilvl w:val="0"/>
          <w:numId w:val="28"/>
        </w:numPr>
      </w:pPr>
      <w:r w:rsidRPr="00FA7432">
        <w:t xml:space="preserve">The collection is non-controversial and does </w:t>
      </w:r>
      <w:r w:rsidRPr="00FA7432">
        <w:rPr>
          <w:u w:val="single"/>
        </w:rPr>
        <w:t>not</w:t>
      </w:r>
      <w:r w:rsidRPr="00FA7432">
        <w:t xml:space="preserve"> raise issues of concern to other federal agencies.</w:t>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r w:rsidRPr="00FA7432">
        <w:tab/>
      </w:r>
    </w:p>
    <w:p w:rsidR="004B5F15" w:rsidRPr="00FA7432" w:rsidRDefault="004B5F15" w:rsidP="004B5F15">
      <w:pPr>
        <w:pStyle w:val="ListParagraph"/>
        <w:numPr>
          <w:ilvl w:val="0"/>
          <w:numId w:val="28"/>
        </w:numPr>
      </w:pPr>
      <w:r w:rsidRPr="00FA7432">
        <w:t xml:space="preserve">Information gathered will not be used </w:t>
      </w:r>
      <w:r>
        <w:t xml:space="preserve">solely </w:t>
      </w:r>
      <w:r w:rsidRPr="00FA7432">
        <w:t xml:space="preserve">for the purpose of </w:t>
      </w:r>
      <w:r w:rsidRPr="00332513">
        <w:t>substantially</w:t>
      </w:r>
      <w:r w:rsidRPr="00FA7432">
        <w:t xml:space="preserve"> informing </w:t>
      </w:r>
      <w:r w:rsidRPr="00332513">
        <w:t xml:space="preserve">influential </w:t>
      </w:r>
      <w:r w:rsidRPr="00FA7432">
        <w:t xml:space="preserve">policy decisions. </w:t>
      </w:r>
    </w:p>
    <w:p w:rsidR="00D31812" w:rsidRDefault="004B5F15" w:rsidP="004B5F15">
      <w:pPr>
        <w:pStyle w:val="ListParagraph"/>
        <w:numPr>
          <w:ilvl w:val="0"/>
          <w:numId w:val="28"/>
        </w:numPr>
      </w:pPr>
      <w:r w:rsidRPr="00FA7432">
        <w:t>The collection is targeted to the solicitation of opinions from respondents who have experience with the program or may have experience</w:t>
      </w:r>
      <w:r w:rsidR="00D31812">
        <w:t xml:space="preserve"> with the program in the future.</w:t>
      </w:r>
    </w:p>
    <w:p w:rsidR="00CE577F" w:rsidRPr="00DE4DE7" w:rsidRDefault="004B5F15" w:rsidP="0024521E">
      <w:pPr>
        <w:pStyle w:val="ListParagraph"/>
        <w:numPr>
          <w:ilvl w:val="0"/>
          <w:numId w:val="28"/>
        </w:numPr>
      </w:pPr>
      <w:r>
        <w:t>The results will not be used to measure regulatory compliance or for program evaluation.</w:t>
      </w:r>
      <w:r>
        <w:br w:type="page"/>
      </w:r>
    </w:p>
    <w:p w:rsidR="00D5122F" w:rsidRPr="00916202" w:rsidRDefault="00D5122F" w:rsidP="00FA7432"/>
    <w:sectPr w:rsidR="00D5122F" w:rsidRPr="00916202"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3C" w:rsidRDefault="0028253C">
      <w:r>
        <w:separator/>
      </w:r>
    </w:p>
  </w:endnote>
  <w:endnote w:type="continuationSeparator" w:id="0">
    <w:p w:rsidR="0028253C" w:rsidRDefault="0028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25E6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3C" w:rsidRDefault="0028253C">
      <w:r>
        <w:separator/>
      </w:r>
    </w:p>
  </w:footnote>
  <w:footnote w:type="continuationSeparator" w:id="0">
    <w:p w:rsidR="0028253C" w:rsidRDefault="0028253C">
      <w:r>
        <w:continuationSeparator/>
      </w:r>
    </w:p>
  </w:footnote>
  <w:footnote w:id="1">
    <w:p w:rsidR="004271AC" w:rsidRDefault="004271AC">
      <w:pPr>
        <w:pStyle w:val="FootnoteText"/>
      </w:pPr>
      <w:r>
        <w:rPr>
          <w:rStyle w:val="FootnoteReference"/>
        </w:rPr>
        <w:footnoteRef/>
      </w:r>
      <w:r>
        <w:t xml:space="preserve"> </w:t>
      </w:r>
      <w:r w:rsidRPr="004271AC">
        <w:t>78 FR 10695 (Feb. 14, 2013).</w:t>
      </w:r>
    </w:p>
  </w:footnote>
  <w:footnote w:id="2">
    <w:p w:rsidR="004271AC" w:rsidRDefault="004271AC" w:rsidP="004271AC">
      <w:pPr>
        <w:pStyle w:val="FootnoteText"/>
      </w:pPr>
      <w:r>
        <w:rPr>
          <w:rStyle w:val="FootnoteReference"/>
        </w:rPr>
        <w:footnoteRef/>
      </w:r>
      <w:r>
        <w:t xml:space="preserve"> </w:t>
      </w:r>
      <w:r w:rsidRPr="004271AC">
        <w:t>78 FR 44685</w:t>
      </w:r>
      <w:r>
        <w:t xml:space="preserve"> </w:t>
      </w:r>
      <w:r w:rsidRPr="004271AC">
        <w:t>(July 24, 201</w:t>
      </w:r>
      <w:r>
        <w:t xml:space="preserve">3); 78 FR 60381 (Oct. 1, 2013); </w:t>
      </w:r>
      <w:r w:rsidRPr="004271AC">
        <w:t>78</w:t>
      </w:r>
      <w:r>
        <w:t xml:space="preserve"> FR 62993 (Oct. 23, 2013).</w:t>
      </w:r>
    </w:p>
  </w:footnote>
  <w:footnote w:id="3">
    <w:p w:rsidR="000C5CE5" w:rsidRDefault="000C5CE5" w:rsidP="000C5CE5">
      <w:pPr>
        <w:pStyle w:val="FootnoteText"/>
      </w:pPr>
      <w:r>
        <w:rPr>
          <w:rStyle w:val="FootnoteReference"/>
        </w:rPr>
        <w:footnoteRef/>
      </w:r>
      <w:r>
        <w:t xml:space="preserve"> </w:t>
      </w:r>
      <w:r w:rsidRPr="004271AC">
        <w:t>82 FR 21952</w:t>
      </w:r>
      <w:r>
        <w:t xml:space="preserve"> (May 11, 2017). </w:t>
      </w:r>
    </w:p>
  </w:footnote>
  <w:footnote w:id="4">
    <w:p w:rsidR="007B0A78" w:rsidRPr="000D78B1" w:rsidRDefault="007B0A78" w:rsidP="007B0A78">
      <w:pPr>
        <w:pStyle w:val="FootnoteText"/>
      </w:pPr>
      <w:r>
        <w:rPr>
          <w:rStyle w:val="FootnoteReference"/>
        </w:rPr>
        <w:footnoteRef/>
      </w:r>
      <w:r>
        <w:t xml:space="preserve"> </w:t>
      </w:r>
      <w:r w:rsidR="00F03D48">
        <w:t xml:space="preserve">See the </w:t>
      </w:r>
      <w:r w:rsidR="00F03D48">
        <w:rPr>
          <w:i/>
        </w:rPr>
        <w:t xml:space="preserve">Federal Register </w:t>
      </w:r>
      <w:r w:rsidR="00F03D48" w:rsidRPr="00F03D48">
        <w:rPr>
          <w:color w:val="333333"/>
        </w:rPr>
        <w:t>https://www.federalregister.gov/d/2017-09361/p-22.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
    <w:nsid w:val="10715F3D"/>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C0239F"/>
    <w:multiLevelType w:val="hybridMultilevel"/>
    <w:tmpl w:val="C400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34513C96"/>
    <w:multiLevelType w:val="hybridMultilevel"/>
    <w:tmpl w:val="40209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E6E3E63"/>
    <w:multiLevelType w:val="hybridMultilevel"/>
    <w:tmpl w:val="3716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nsid w:val="55C118DC"/>
    <w:multiLevelType w:val="hybridMultilevel"/>
    <w:tmpl w:val="A2948E36"/>
    <w:lvl w:ilvl="0" w:tplc="245667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612B040B"/>
    <w:multiLevelType w:val="hybridMultilevel"/>
    <w:tmpl w:val="5750F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964B22"/>
    <w:multiLevelType w:val="hybridMultilevel"/>
    <w:tmpl w:val="21E25FF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2C214B"/>
    <w:multiLevelType w:val="hybridMultilevel"/>
    <w:tmpl w:val="A3C093A4"/>
    <w:lvl w:ilvl="0" w:tplc="F85EE8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FE58F5"/>
    <w:multiLevelType w:val="hybridMultilevel"/>
    <w:tmpl w:val="FB72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B9E3E75"/>
    <w:multiLevelType w:val="hybridMultilevel"/>
    <w:tmpl w:val="C20CF72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52D14"/>
    <w:multiLevelType w:val="hybridMultilevel"/>
    <w:tmpl w:val="15384F36"/>
    <w:lvl w:ilvl="0" w:tplc="F13629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0"/>
  </w:num>
  <w:num w:numId="3">
    <w:abstractNumId w:val="29"/>
  </w:num>
  <w:num w:numId="4">
    <w:abstractNumId w:val="33"/>
  </w:num>
  <w:num w:numId="5">
    <w:abstractNumId w:val="6"/>
  </w:num>
  <w:num w:numId="6">
    <w:abstractNumId w:val="1"/>
  </w:num>
  <w:num w:numId="7">
    <w:abstractNumId w:val="14"/>
  </w:num>
  <w:num w:numId="8">
    <w:abstractNumId w:val="26"/>
  </w:num>
  <w:num w:numId="9">
    <w:abstractNumId w:val="16"/>
  </w:num>
  <w:num w:numId="10">
    <w:abstractNumId w:val="2"/>
  </w:num>
  <w:num w:numId="11">
    <w:abstractNumId w:val="9"/>
  </w:num>
  <w:num w:numId="12">
    <w:abstractNumId w:val="10"/>
  </w:num>
  <w:num w:numId="13">
    <w:abstractNumId w:val="0"/>
  </w:num>
  <w:num w:numId="14">
    <w:abstractNumId w:val="27"/>
  </w:num>
  <w:num w:numId="15">
    <w:abstractNumId w:val="23"/>
  </w:num>
  <w:num w:numId="16">
    <w:abstractNumId w:val="18"/>
  </w:num>
  <w:num w:numId="17">
    <w:abstractNumId w:val="7"/>
  </w:num>
  <w:num w:numId="18">
    <w:abstractNumId w:val="8"/>
  </w:num>
  <w:num w:numId="19">
    <w:abstractNumId w:val="12"/>
  </w:num>
  <w:num w:numId="20">
    <w:abstractNumId w:val="4"/>
  </w:num>
  <w:num w:numId="21">
    <w:abstractNumId w:val="3"/>
  </w:num>
  <w:num w:numId="22">
    <w:abstractNumId w:val="19"/>
  </w:num>
  <w:num w:numId="23">
    <w:abstractNumId w:val="25"/>
  </w:num>
  <w:num w:numId="24">
    <w:abstractNumId w:val="31"/>
  </w:num>
  <w:num w:numId="25">
    <w:abstractNumId w:val="21"/>
  </w:num>
  <w:num w:numId="26">
    <w:abstractNumId w:val="11"/>
  </w:num>
  <w:num w:numId="27">
    <w:abstractNumId w:val="20"/>
  </w:num>
  <w:num w:numId="28">
    <w:abstractNumId w:val="24"/>
  </w:num>
  <w:num w:numId="29">
    <w:abstractNumId w:val="13"/>
  </w:num>
  <w:num w:numId="30">
    <w:abstractNumId w:val="22"/>
  </w:num>
  <w:num w:numId="31">
    <w:abstractNumId w:val="32"/>
  </w:num>
  <w:num w:numId="32">
    <w:abstractNumId w:val="5"/>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42"/>
    <w:rsid w:val="00013E02"/>
    <w:rsid w:val="00023A57"/>
    <w:rsid w:val="00047A64"/>
    <w:rsid w:val="00067329"/>
    <w:rsid w:val="00075B4C"/>
    <w:rsid w:val="00095665"/>
    <w:rsid w:val="000B2838"/>
    <w:rsid w:val="000B303F"/>
    <w:rsid w:val="000C3C86"/>
    <w:rsid w:val="000C5CE5"/>
    <w:rsid w:val="000D44CA"/>
    <w:rsid w:val="000E200B"/>
    <w:rsid w:val="000F68BE"/>
    <w:rsid w:val="001020A6"/>
    <w:rsid w:val="0010258D"/>
    <w:rsid w:val="00111EEA"/>
    <w:rsid w:val="00125E68"/>
    <w:rsid w:val="00131DC8"/>
    <w:rsid w:val="001438E7"/>
    <w:rsid w:val="00151063"/>
    <w:rsid w:val="0017272E"/>
    <w:rsid w:val="00176A63"/>
    <w:rsid w:val="0018404D"/>
    <w:rsid w:val="001927A4"/>
    <w:rsid w:val="00194AC6"/>
    <w:rsid w:val="001A23B0"/>
    <w:rsid w:val="001A25CC"/>
    <w:rsid w:val="001B0AAA"/>
    <w:rsid w:val="001C39F7"/>
    <w:rsid w:val="001E7CC0"/>
    <w:rsid w:val="00221809"/>
    <w:rsid w:val="002363C1"/>
    <w:rsid w:val="00237B48"/>
    <w:rsid w:val="0024521E"/>
    <w:rsid w:val="0025672E"/>
    <w:rsid w:val="00263C3D"/>
    <w:rsid w:val="00274D0B"/>
    <w:rsid w:val="0028253C"/>
    <w:rsid w:val="002A48D1"/>
    <w:rsid w:val="002B3C95"/>
    <w:rsid w:val="002C4DC2"/>
    <w:rsid w:val="002D0B92"/>
    <w:rsid w:val="002D3BA9"/>
    <w:rsid w:val="002E5DBD"/>
    <w:rsid w:val="00301113"/>
    <w:rsid w:val="00332513"/>
    <w:rsid w:val="003472F6"/>
    <w:rsid w:val="00350124"/>
    <w:rsid w:val="003867BA"/>
    <w:rsid w:val="00397C1B"/>
    <w:rsid w:val="003A08F1"/>
    <w:rsid w:val="003A3D93"/>
    <w:rsid w:val="003D4621"/>
    <w:rsid w:val="003D5BBE"/>
    <w:rsid w:val="003E3C61"/>
    <w:rsid w:val="003F1C5B"/>
    <w:rsid w:val="00404D99"/>
    <w:rsid w:val="004271AC"/>
    <w:rsid w:val="00427F5B"/>
    <w:rsid w:val="0043410A"/>
    <w:rsid w:val="00434E33"/>
    <w:rsid w:val="00441434"/>
    <w:rsid w:val="0045264C"/>
    <w:rsid w:val="004876EC"/>
    <w:rsid w:val="0049371E"/>
    <w:rsid w:val="004973F0"/>
    <w:rsid w:val="004B5F15"/>
    <w:rsid w:val="004D6E14"/>
    <w:rsid w:val="004F55F7"/>
    <w:rsid w:val="005009B0"/>
    <w:rsid w:val="00505892"/>
    <w:rsid w:val="00507E7F"/>
    <w:rsid w:val="00514298"/>
    <w:rsid w:val="005262DC"/>
    <w:rsid w:val="00581701"/>
    <w:rsid w:val="00585941"/>
    <w:rsid w:val="005A1006"/>
    <w:rsid w:val="005E02BE"/>
    <w:rsid w:val="005E57A9"/>
    <w:rsid w:val="005E714A"/>
    <w:rsid w:val="006140A0"/>
    <w:rsid w:val="00636621"/>
    <w:rsid w:val="00642B49"/>
    <w:rsid w:val="006565DC"/>
    <w:rsid w:val="0067308E"/>
    <w:rsid w:val="00673A8A"/>
    <w:rsid w:val="006832D9"/>
    <w:rsid w:val="0068644E"/>
    <w:rsid w:val="0069403B"/>
    <w:rsid w:val="006C147E"/>
    <w:rsid w:val="006F3DDE"/>
    <w:rsid w:val="006F4DCA"/>
    <w:rsid w:val="00704678"/>
    <w:rsid w:val="007425E7"/>
    <w:rsid w:val="007B0A78"/>
    <w:rsid w:val="00802607"/>
    <w:rsid w:val="008101A5"/>
    <w:rsid w:val="00822664"/>
    <w:rsid w:val="008235AE"/>
    <w:rsid w:val="00843796"/>
    <w:rsid w:val="00843E0E"/>
    <w:rsid w:val="00895229"/>
    <w:rsid w:val="008A37F2"/>
    <w:rsid w:val="008D4BB8"/>
    <w:rsid w:val="008F0203"/>
    <w:rsid w:val="008F4211"/>
    <w:rsid w:val="008F50D4"/>
    <w:rsid w:val="00916202"/>
    <w:rsid w:val="009239AA"/>
    <w:rsid w:val="00935ADA"/>
    <w:rsid w:val="00946B6C"/>
    <w:rsid w:val="00955A71"/>
    <w:rsid w:val="009607A9"/>
    <w:rsid w:val="0096108F"/>
    <w:rsid w:val="009658CE"/>
    <w:rsid w:val="009714CA"/>
    <w:rsid w:val="00974200"/>
    <w:rsid w:val="00975BFD"/>
    <w:rsid w:val="009845BA"/>
    <w:rsid w:val="00996905"/>
    <w:rsid w:val="009C13B9"/>
    <w:rsid w:val="009D01A2"/>
    <w:rsid w:val="009F5923"/>
    <w:rsid w:val="00A2364F"/>
    <w:rsid w:val="00A24D7B"/>
    <w:rsid w:val="00A251A5"/>
    <w:rsid w:val="00A403BB"/>
    <w:rsid w:val="00A410A8"/>
    <w:rsid w:val="00A4560D"/>
    <w:rsid w:val="00A46F0E"/>
    <w:rsid w:val="00A674DF"/>
    <w:rsid w:val="00A83421"/>
    <w:rsid w:val="00A83AA6"/>
    <w:rsid w:val="00A90336"/>
    <w:rsid w:val="00AC2A74"/>
    <w:rsid w:val="00AC7F7A"/>
    <w:rsid w:val="00AD3A9E"/>
    <w:rsid w:val="00AE1809"/>
    <w:rsid w:val="00AE3CF3"/>
    <w:rsid w:val="00B040A0"/>
    <w:rsid w:val="00B80D76"/>
    <w:rsid w:val="00B9150E"/>
    <w:rsid w:val="00BA097F"/>
    <w:rsid w:val="00BA2105"/>
    <w:rsid w:val="00BA4BBC"/>
    <w:rsid w:val="00BA7E06"/>
    <w:rsid w:val="00BB43B5"/>
    <w:rsid w:val="00BB6219"/>
    <w:rsid w:val="00BC5697"/>
    <w:rsid w:val="00BD290F"/>
    <w:rsid w:val="00BE7306"/>
    <w:rsid w:val="00C14CC4"/>
    <w:rsid w:val="00C25221"/>
    <w:rsid w:val="00C33C52"/>
    <w:rsid w:val="00C35328"/>
    <w:rsid w:val="00C40D8B"/>
    <w:rsid w:val="00C41616"/>
    <w:rsid w:val="00C53B2C"/>
    <w:rsid w:val="00C61D32"/>
    <w:rsid w:val="00C8407A"/>
    <w:rsid w:val="00C8488C"/>
    <w:rsid w:val="00C86E91"/>
    <w:rsid w:val="00CA2650"/>
    <w:rsid w:val="00CB1078"/>
    <w:rsid w:val="00CB5217"/>
    <w:rsid w:val="00CC2164"/>
    <w:rsid w:val="00CC6FAF"/>
    <w:rsid w:val="00CD1715"/>
    <w:rsid w:val="00CE577F"/>
    <w:rsid w:val="00CF2432"/>
    <w:rsid w:val="00D049FF"/>
    <w:rsid w:val="00D13916"/>
    <w:rsid w:val="00D16645"/>
    <w:rsid w:val="00D24698"/>
    <w:rsid w:val="00D31812"/>
    <w:rsid w:val="00D5122F"/>
    <w:rsid w:val="00D6383F"/>
    <w:rsid w:val="00D767CB"/>
    <w:rsid w:val="00D86A06"/>
    <w:rsid w:val="00D9785A"/>
    <w:rsid w:val="00DB59D0"/>
    <w:rsid w:val="00DB67E9"/>
    <w:rsid w:val="00DC33D3"/>
    <w:rsid w:val="00DE4DE7"/>
    <w:rsid w:val="00DF1064"/>
    <w:rsid w:val="00DF1B00"/>
    <w:rsid w:val="00DF3975"/>
    <w:rsid w:val="00E26329"/>
    <w:rsid w:val="00E33663"/>
    <w:rsid w:val="00E35755"/>
    <w:rsid w:val="00E404BE"/>
    <w:rsid w:val="00E40B50"/>
    <w:rsid w:val="00E50293"/>
    <w:rsid w:val="00E61185"/>
    <w:rsid w:val="00E65FFC"/>
    <w:rsid w:val="00E80951"/>
    <w:rsid w:val="00E86CC6"/>
    <w:rsid w:val="00E970B2"/>
    <w:rsid w:val="00E97125"/>
    <w:rsid w:val="00E97778"/>
    <w:rsid w:val="00EA761B"/>
    <w:rsid w:val="00EB56B3"/>
    <w:rsid w:val="00ED6492"/>
    <w:rsid w:val="00EF2095"/>
    <w:rsid w:val="00F03B90"/>
    <w:rsid w:val="00F03D48"/>
    <w:rsid w:val="00F06866"/>
    <w:rsid w:val="00F15956"/>
    <w:rsid w:val="00F24CFC"/>
    <w:rsid w:val="00F3170F"/>
    <w:rsid w:val="00F5700F"/>
    <w:rsid w:val="00F73FBB"/>
    <w:rsid w:val="00F85219"/>
    <w:rsid w:val="00F93D64"/>
    <w:rsid w:val="00F955B4"/>
    <w:rsid w:val="00F95EBF"/>
    <w:rsid w:val="00F976B0"/>
    <w:rsid w:val="00FA12E4"/>
    <w:rsid w:val="00FA6DE7"/>
    <w:rsid w:val="00FA7432"/>
    <w:rsid w:val="00FB6D7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916202"/>
    <w:rPr>
      <w:color w:val="0000FF"/>
      <w:u w:val="single"/>
    </w:rPr>
  </w:style>
  <w:style w:type="paragraph" w:customStyle="1" w:styleId="CM12">
    <w:name w:val="CM12"/>
    <w:basedOn w:val="Normal"/>
    <w:next w:val="Normal"/>
    <w:uiPriority w:val="99"/>
    <w:rsid w:val="00916202"/>
    <w:pPr>
      <w:widowControl w:val="0"/>
      <w:autoSpaceDE w:val="0"/>
      <w:autoSpaceDN w:val="0"/>
      <w:adjustRightInd w:val="0"/>
    </w:pPr>
  </w:style>
  <w:style w:type="character" w:styleId="FollowedHyperlink">
    <w:name w:val="FollowedHyperlink"/>
    <w:basedOn w:val="DefaultParagraphFont"/>
    <w:rsid w:val="003867BA"/>
    <w:rPr>
      <w:color w:val="800080" w:themeColor="followedHyperlink"/>
      <w:u w:val="single"/>
    </w:rPr>
  </w:style>
  <w:style w:type="paragraph" w:styleId="FootnoteText">
    <w:name w:val="footnote text"/>
    <w:basedOn w:val="Normal"/>
    <w:link w:val="FootnoteTextChar"/>
    <w:rsid w:val="008235AE"/>
    <w:rPr>
      <w:sz w:val="20"/>
      <w:szCs w:val="20"/>
    </w:rPr>
  </w:style>
  <w:style w:type="character" w:customStyle="1" w:styleId="FootnoteTextChar">
    <w:name w:val="Footnote Text Char"/>
    <w:basedOn w:val="DefaultParagraphFont"/>
    <w:link w:val="FootnoteText"/>
    <w:rsid w:val="008235AE"/>
  </w:style>
  <w:style w:type="character" w:styleId="FootnoteReference">
    <w:name w:val="footnote reference"/>
    <w:basedOn w:val="DefaultParagraphFont"/>
    <w:rsid w:val="008235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916202"/>
    <w:rPr>
      <w:color w:val="0000FF"/>
      <w:u w:val="single"/>
    </w:rPr>
  </w:style>
  <w:style w:type="paragraph" w:customStyle="1" w:styleId="CM12">
    <w:name w:val="CM12"/>
    <w:basedOn w:val="Normal"/>
    <w:next w:val="Normal"/>
    <w:uiPriority w:val="99"/>
    <w:rsid w:val="00916202"/>
    <w:pPr>
      <w:widowControl w:val="0"/>
      <w:autoSpaceDE w:val="0"/>
      <w:autoSpaceDN w:val="0"/>
      <w:adjustRightInd w:val="0"/>
    </w:pPr>
  </w:style>
  <w:style w:type="character" w:styleId="FollowedHyperlink">
    <w:name w:val="FollowedHyperlink"/>
    <w:basedOn w:val="DefaultParagraphFont"/>
    <w:rsid w:val="003867BA"/>
    <w:rPr>
      <w:color w:val="800080" w:themeColor="followedHyperlink"/>
      <w:u w:val="single"/>
    </w:rPr>
  </w:style>
  <w:style w:type="paragraph" w:styleId="FootnoteText">
    <w:name w:val="footnote text"/>
    <w:basedOn w:val="Normal"/>
    <w:link w:val="FootnoteTextChar"/>
    <w:rsid w:val="008235AE"/>
    <w:rPr>
      <w:sz w:val="20"/>
      <w:szCs w:val="20"/>
    </w:rPr>
  </w:style>
  <w:style w:type="character" w:customStyle="1" w:styleId="FootnoteTextChar">
    <w:name w:val="Footnote Text Char"/>
    <w:basedOn w:val="DefaultParagraphFont"/>
    <w:link w:val="FootnoteText"/>
    <w:rsid w:val="008235AE"/>
  </w:style>
  <w:style w:type="character" w:styleId="FootnoteReference">
    <w:name w:val="footnote reference"/>
    <w:basedOn w:val="DefaultParagraphFont"/>
    <w:rsid w:val="00823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ocuments/2012/11/14/2012-27582/privacy-act-of-1974-as-amende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3.amazonaws.com/files.consumerfinance.gov/f/documents/20161101_cfpb_Industry_Expert_Community_Input_and_Engagement_PIA.pdf" TargetMode="External"/><Relationship Id="rId4" Type="http://schemas.microsoft.com/office/2007/relationships/stylesWithEffects" Target="stylesWithEffects.xml"/><Relationship Id="rId9" Type="http://schemas.openxmlformats.org/officeDocument/2006/relationships/hyperlink" Target="https://www.consumerfinance.gov/documents/1577/20161101_cfpb_Industry_Expert_Community_Input_and_Engagement_PI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A997B-CC9A-49DF-893E-6A84EF2C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2015-05-13T16:09:00Z</cp:lastPrinted>
  <dcterms:created xsi:type="dcterms:W3CDTF">2018-05-10T18:23:00Z</dcterms:created>
  <dcterms:modified xsi:type="dcterms:W3CDTF">2018-05-10T18:23:00Z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