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F00D42" w14:textId="77777777" w:rsidR="00750077" w:rsidRPr="007E1A6D" w:rsidRDefault="00F97059" w:rsidP="00CC419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sz w:val="24"/>
          <w:szCs w:val="24"/>
        </w:rPr>
      </w:pPr>
      <w:r w:rsidRPr="007E1A6D">
        <w:rPr>
          <w:rFonts w:ascii="Times New Roman" w:hAnsi="Times New Roman" w:cs="Times New Roman"/>
          <w:sz w:val="24"/>
          <w:szCs w:val="24"/>
        </w:rPr>
        <w:t>SECURITIES AND EXCHANGE COMMISSION</w:t>
      </w:r>
    </w:p>
    <w:p w14:paraId="61F00D43" w14:textId="77777777" w:rsidR="00CC419C" w:rsidRPr="0059554D" w:rsidRDefault="00CC419C" w:rsidP="00CC419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color w:val="000000"/>
          <w:sz w:val="24"/>
          <w:szCs w:val="24"/>
        </w:rPr>
      </w:pPr>
      <w:r w:rsidRPr="0059554D">
        <w:rPr>
          <w:rFonts w:ascii="Times New Roman" w:hAnsi="Times New Roman" w:cs="Times New Roman"/>
          <w:color w:val="000000"/>
          <w:sz w:val="24"/>
          <w:szCs w:val="24"/>
        </w:rPr>
        <w:t>Office of the Secretary</w:t>
      </w:r>
    </w:p>
    <w:p w14:paraId="61F00D44" w14:textId="77777777" w:rsidR="00CC419C" w:rsidRPr="00C422F3" w:rsidRDefault="00CC419C" w:rsidP="00CC419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BodyTextFirstIndentChar"/>
          <w:rFonts w:ascii="Times New Roman" w:hAnsi="Times New Roman" w:cs="Times New Roman"/>
          <w:color w:val="000000"/>
        </w:rPr>
      </w:pPr>
      <w:r w:rsidRPr="0059554D">
        <w:rPr>
          <w:rStyle w:val="BodyTextFirstIndentChar"/>
          <w:rFonts w:ascii="Times New Roman" w:hAnsi="Times New Roman" w:cs="Times New Roman"/>
          <w:color w:val="000000"/>
        </w:rPr>
        <w:t>Agency Information Collection Activities; Submission f</w:t>
      </w:r>
      <w:r w:rsidR="002108AF">
        <w:rPr>
          <w:rStyle w:val="BodyTextFirstIndentChar"/>
          <w:rFonts w:ascii="Times New Roman" w:hAnsi="Times New Roman" w:cs="Times New Roman"/>
          <w:color w:val="000000"/>
        </w:rPr>
        <w:t xml:space="preserve">or OMB Review; Comment Request; </w:t>
      </w:r>
      <w:r w:rsidR="00C422F3" w:rsidRPr="00C422F3">
        <w:rPr>
          <w:rFonts w:ascii="Times New Roman" w:hAnsi="Times New Roman" w:cs="Times New Roman"/>
          <w:sz w:val="24"/>
          <w:szCs w:val="24"/>
        </w:rPr>
        <w:t>Simplif</w:t>
      </w:r>
      <w:r w:rsidR="008B1D1F">
        <w:rPr>
          <w:rFonts w:ascii="Times New Roman" w:hAnsi="Times New Roman" w:cs="Times New Roman"/>
          <w:sz w:val="24"/>
          <w:szCs w:val="24"/>
        </w:rPr>
        <w:t>ication of</w:t>
      </w:r>
      <w:r w:rsidR="00C422F3" w:rsidRPr="00C422F3">
        <w:rPr>
          <w:rFonts w:ascii="Times New Roman" w:hAnsi="Times New Roman" w:cs="Times New Roman"/>
          <w:sz w:val="24"/>
          <w:szCs w:val="24"/>
        </w:rPr>
        <w:t xml:space="preserve"> Disclosure Requirements for Emerging Growth Companies and Forward Incorporation by Reference </w:t>
      </w:r>
      <w:r w:rsidR="00321F5E">
        <w:rPr>
          <w:rFonts w:ascii="Times New Roman" w:hAnsi="Times New Roman" w:cs="Times New Roman"/>
          <w:sz w:val="24"/>
          <w:szCs w:val="24"/>
        </w:rPr>
        <w:t xml:space="preserve">on Form S-1 </w:t>
      </w:r>
      <w:r w:rsidR="00C422F3" w:rsidRPr="00C422F3">
        <w:rPr>
          <w:rFonts w:ascii="Times New Roman" w:hAnsi="Times New Roman" w:cs="Times New Roman"/>
          <w:sz w:val="24"/>
          <w:szCs w:val="24"/>
        </w:rPr>
        <w:t>for Smaller Reporting Companies</w:t>
      </w:r>
      <w:r w:rsidR="002108AF" w:rsidRPr="00C422F3">
        <w:rPr>
          <w:rStyle w:val="BodyTextFirstIndentChar"/>
          <w:rFonts w:ascii="Times New Roman" w:hAnsi="Times New Roman" w:cs="Times New Roman"/>
          <w:color w:val="000000"/>
        </w:rPr>
        <w:t xml:space="preserve"> </w:t>
      </w:r>
      <w:r w:rsidR="00F35886" w:rsidRPr="00C422F3">
        <w:rPr>
          <w:rStyle w:val="BodyTextFirstIndentChar"/>
          <w:rFonts w:ascii="Times New Roman" w:hAnsi="Times New Roman" w:cs="Times New Roman"/>
          <w:color w:val="000000"/>
        </w:rPr>
        <w:t xml:space="preserve">  </w:t>
      </w:r>
    </w:p>
    <w:p w14:paraId="61F00D45" w14:textId="77777777" w:rsidR="00CC419C" w:rsidRPr="00921E43" w:rsidRDefault="00CC419C" w:rsidP="00CC419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color w:val="000000"/>
          <w:sz w:val="24"/>
          <w:szCs w:val="24"/>
        </w:rPr>
      </w:pPr>
      <w:r w:rsidRPr="00921E43">
        <w:rPr>
          <w:rFonts w:ascii="Times New Roman" w:hAnsi="Times New Roman" w:cs="Times New Roman"/>
          <w:color w:val="000000"/>
          <w:sz w:val="24"/>
          <w:szCs w:val="24"/>
        </w:rPr>
        <w:t>ACTION: Notice.</w:t>
      </w:r>
    </w:p>
    <w:p w14:paraId="61F00D46" w14:textId="77777777" w:rsidR="00561DBA" w:rsidRDefault="000C22EA" w:rsidP="00DF1A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color w:val="000000"/>
          <w:sz w:val="24"/>
          <w:szCs w:val="24"/>
        </w:rPr>
      </w:pPr>
      <w:r w:rsidRPr="00967E98">
        <w:rPr>
          <w:rStyle w:val="BodyTextFirstIndentChar"/>
          <w:rFonts w:ascii="Times New Roman" w:hAnsi="Times New Roman" w:cs="Times New Roman"/>
          <w:color w:val="000000"/>
        </w:rPr>
        <w:t xml:space="preserve">SUMMARY: </w:t>
      </w:r>
      <w:r w:rsidR="00C02A79">
        <w:rPr>
          <w:rStyle w:val="BodyTextFirstIndentChar"/>
          <w:rFonts w:ascii="Times New Roman" w:hAnsi="Times New Roman" w:cs="Times New Roman"/>
          <w:color w:val="000000"/>
        </w:rPr>
        <w:t xml:space="preserve">The </w:t>
      </w:r>
      <w:r w:rsidR="00F97059" w:rsidRPr="00967E98">
        <w:rPr>
          <w:rStyle w:val="HeaderChar"/>
          <w:rFonts w:ascii="Times New Roman" w:hAnsi="Times New Roman" w:cs="Times New Roman"/>
          <w:color w:val="000000"/>
        </w:rPr>
        <w:t>Securit</w:t>
      </w:r>
      <w:r w:rsidR="00F97059" w:rsidRPr="00052E91">
        <w:rPr>
          <w:rStyle w:val="HeaderChar"/>
          <w:rFonts w:ascii="Times New Roman" w:hAnsi="Times New Roman" w:cs="Times New Roman"/>
          <w:color w:val="000000"/>
        </w:rPr>
        <w:t>ies and Exchange Commission (</w:t>
      </w:r>
      <w:r w:rsidR="00B7767D">
        <w:rPr>
          <w:rStyle w:val="HeaderChar"/>
          <w:rFonts w:ascii="Times New Roman" w:hAnsi="Times New Roman" w:cs="Times New Roman"/>
          <w:color w:val="000000"/>
        </w:rPr>
        <w:t>“Commission”</w:t>
      </w:r>
      <w:r w:rsidR="00F97059" w:rsidRPr="00052E91">
        <w:rPr>
          <w:rStyle w:val="HeaderChar"/>
          <w:rFonts w:ascii="Times New Roman" w:hAnsi="Times New Roman" w:cs="Times New Roman"/>
          <w:color w:val="000000"/>
        </w:rPr>
        <w:t xml:space="preserve">) </w:t>
      </w:r>
      <w:r w:rsidR="001C5E5B" w:rsidRPr="00052E91">
        <w:rPr>
          <w:rStyle w:val="HeaderChar"/>
          <w:rFonts w:ascii="Times New Roman" w:hAnsi="Times New Roman" w:cs="Times New Roman"/>
          <w:color w:val="000000"/>
        </w:rPr>
        <w:t>has submitted the</w:t>
      </w:r>
      <w:r w:rsidR="00DD0DB8" w:rsidRPr="00052E91">
        <w:rPr>
          <w:rStyle w:val="BodyTextFirstIndentChar"/>
          <w:rFonts w:ascii="Times New Roman" w:hAnsi="Times New Roman" w:cs="Times New Roman"/>
          <w:color w:val="000000"/>
        </w:rPr>
        <w:t xml:space="preserve"> sponsored information collection request (ICR) titled, “</w:t>
      </w:r>
      <w:r w:rsidR="008B1D1F">
        <w:rPr>
          <w:rFonts w:ascii="Times New Roman" w:hAnsi="Times New Roman" w:cs="Times New Roman"/>
          <w:sz w:val="24"/>
          <w:szCs w:val="24"/>
        </w:rPr>
        <w:t>Simplification of</w:t>
      </w:r>
      <w:r w:rsidR="00C422F3" w:rsidRPr="00C422F3">
        <w:rPr>
          <w:rFonts w:ascii="Times New Roman" w:hAnsi="Times New Roman" w:cs="Times New Roman"/>
          <w:sz w:val="24"/>
          <w:szCs w:val="24"/>
        </w:rPr>
        <w:t xml:space="preserve"> Disclosure Requirements for Emerging Growth Companies and Forward Incorporation by Reference </w:t>
      </w:r>
      <w:r w:rsidR="00321F5E">
        <w:rPr>
          <w:rFonts w:ascii="Times New Roman" w:hAnsi="Times New Roman" w:cs="Times New Roman"/>
          <w:sz w:val="24"/>
          <w:szCs w:val="24"/>
        </w:rPr>
        <w:t xml:space="preserve">on Form S-1 </w:t>
      </w:r>
      <w:r w:rsidR="00C422F3" w:rsidRPr="00C422F3">
        <w:rPr>
          <w:rFonts w:ascii="Times New Roman" w:hAnsi="Times New Roman" w:cs="Times New Roman"/>
          <w:sz w:val="24"/>
          <w:szCs w:val="24"/>
        </w:rPr>
        <w:t>for Smaller Reporting Companies</w:t>
      </w:r>
      <w:r w:rsidR="00DD0DB8" w:rsidRPr="0059554D">
        <w:rPr>
          <w:rStyle w:val="BodyTextFirstIndentChar"/>
          <w:rFonts w:ascii="Times New Roman" w:hAnsi="Times New Roman" w:cs="Times New Roman"/>
          <w:color w:val="000000"/>
        </w:rPr>
        <w:t>,”</w:t>
      </w:r>
      <w:r w:rsidR="001C5E5B" w:rsidRPr="0059554D">
        <w:rPr>
          <w:rStyle w:val="HeaderChar"/>
          <w:rFonts w:ascii="Times New Roman" w:hAnsi="Times New Roman" w:cs="Times New Roman"/>
          <w:color w:val="000000"/>
        </w:rPr>
        <w:t xml:space="preserve"> to the Office of Management and Budget (OMB) for review and clearance </w:t>
      </w:r>
      <w:r w:rsidR="00F34FA9">
        <w:rPr>
          <w:rStyle w:val="HeaderChar"/>
          <w:rFonts w:ascii="Times New Roman" w:hAnsi="Times New Roman" w:cs="Times New Roman"/>
          <w:color w:val="000000"/>
        </w:rPr>
        <w:t>under the</w:t>
      </w:r>
      <w:r w:rsidR="00795778">
        <w:rPr>
          <w:rStyle w:val="HeaderChar"/>
          <w:rFonts w:ascii="Times New Roman" w:hAnsi="Times New Roman" w:cs="Times New Roman"/>
          <w:color w:val="000000"/>
        </w:rPr>
        <w:t xml:space="preserve"> </w:t>
      </w:r>
      <w:r w:rsidR="00694FB5" w:rsidRPr="009B767D">
        <w:rPr>
          <w:rStyle w:val="HeaderChar"/>
          <w:rFonts w:ascii="Times New Roman" w:hAnsi="Times New Roman" w:cs="Times New Roman"/>
          <w:color w:val="000000"/>
        </w:rPr>
        <w:t xml:space="preserve">emergency </w:t>
      </w:r>
      <w:r w:rsidR="00F34FA9">
        <w:rPr>
          <w:rStyle w:val="HeaderChar"/>
          <w:rFonts w:ascii="Times New Roman" w:hAnsi="Times New Roman" w:cs="Times New Roman"/>
          <w:color w:val="000000"/>
        </w:rPr>
        <w:t>processing procedures</w:t>
      </w:r>
      <w:r w:rsidR="00694FB5" w:rsidRPr="009B767D">
        <w:rPr>
          <w:rStyle w:val="HeaderChar"/>
          <w:rFonts w:ascii="Times New Roman" w:hAnsi="Times New Roman" w:cs="Times New Roman"/>
          <w:color w:val="000000"/>
        </w:rPr>
        <w:t xml:space="preserve"> </w:t>
      </w:r>
      <w:r w:rsidR="001C5E5B" w:rsidRPr="009B767D">
        <w:rPr>
          <w:rStyle w:val="HeaderChar"/>
          <w:rFonts w:ascii="Times New Roman" w:hAnsi="Times New Roman" w:cs="Times New Roman"/>
          <w:color w:val="000000"/>
        </w:rPr>
        <w:t xml:space="preserve">in accordance with the </w:t>
      </w:r>
      <w:proofErr w:type="gramStart"/>
      <w:r w:rsidR="001C5E5B" w:rsidRPr="009B767D">
        <w:rPr>
          <w:rStyle w:val="HeaderChar"/>
          <w:rFonts w:ascii="Times New Roman" w:hAnsi="Times New Roman" w:cs="Times New Roman"/>
          <w:color w:val="000000"/>
        </w:rPr>
        <w:t xml:space="preserve">Paperwork Reduction Act of 1995 (P.L. 104-13, 44 U.S.C. Chapter 35) </w:t>
      </w:r>
      <w:r w:rsidR="00CE0B9A">
        <w:rPr>
          <w:rStyle w:val="HeaderChar"/>
          <w:rFonts w:ascii="Times New Roman" w:hAnsi="Times New Roman" w:cs="Times New Roman"/>
          <w:color w:val="000000"/>
        </w:rPr>
        <w:t xml:space="preserve">(“PRA”) </w:t>
      </w:r>
      <w:r w:rsidR="001C5E5B" w:rsidRPr="009B767D">
        <w:rPr>
          <w:rStyle w:val="HeaderChar"/>
          <w:rFonts w:ascii="Times New Roman" w:hAnsi="Times New Roman" w:cs="Times New Roman"/>
          <w:color w:val="000000"/>
        </w:rPr>
        <w:t>and 5 CFR 1320.13.</w:t>
      </w:r>
      <w:proofErr w:type="gramEnd"/>
      <w:r w:rsidR="001C5E5B" w:rsidRPr="009B767D">
        <w:rPr>
          <w:rStyle w:val="HeaderChar"/>
          <w:rFonts w:ascii="Times New Roman" w:hAnsi="Times New Roman" w:cs="Times New Roman"/>
          <w:color w:val="000000"/>
        </w:rPr>
        <w:t xml:space="preserve"> </w:t>
      </w:r>
      <w:r w:rsidR="00C75952">
        <w:rPr>
          <w:rStyle w:val="HeaderChar"/>
          <w:rFonts w:ascii="Times New Roman" w:hAnsi="Times New Roman" w:cs="Times New Roman"/>
          <w:color w:val="000000"/>
        </w:rPr>
        <w:t xml:space="preserve"> </w:t>
      </w:r>
      <w:r w:rsidR="00B941D3" w:rsidRPr="0059554D">
        <w:rPr>
          <w:rStyle w:val="HeaderChar"/>
          <w:rFonts w:ascii="Times New Roman" w:hAnsi="Times New Roman" w:cs="Times New Roman"/>
          <w:color w:val="000000"/>
        </w:rPr>
        <w:t xml:space="preserve">OMB approval has been requested by </w:t>
      </w:r>
      <w:r w:rsidR="00C75952">
        <w:rPr>
          <w:rFonts w:ascii="Times New Roman" w:hAnsi="Times New Roman" w:cs="Times New Roman"/>
          <w:color w:val="000000"/>
          <w:sz w:val="24"/>
          <w:szCs w:val="24"/>
        </w:rPr>
        <w:t>January</w:t>
      </w:r>
      <w:r w:rsidR="0059554D" w:rsidRPr="0059554D">
        <w:rPr>
          <w:rFonts w:ascii="Times New Roman" w:hAnsi="Times New Roman" w:cs="Times New Roman"/>
          <w:color w:val="000000"/>
          <w:sz w:val="24"/>
          <w:szCs w:val="24"/>
        </w:rPr>
        <w:t xml:space="preserve"> </w:t>
      </w:r>
      <w:r w:rsidR="00CE0B9A">
        <w:rPr>
          <w:rFonts w:ascii="Times New Roman" w:hAnsi="Times New Roman" w:cs="Times New Roman"/>
          <w:color w:val="000000"/>
          <w:sz w:val="24"/>
          <w:szCs w:val="24"/>
        </w:rPr>
        <w:t>19</w:t>
      </w:r>
      <w:r w:rsidR="00C75952">
        <w:rPr>
          <w:rFonts w:ascii="Times New Roman" w:hAnsi="Times New Roman" w:cs="Times New Roman"/>
          <w:color w:val="000000"/>
          <w:sz w:val="24"/>
          <w:szCs w:val="24"/>
        </w:rPr>
        <w:t>, 2016</w:t>
      </w:r>
      <w:r w:rsidR="00561DBA">
        <w:rPr>
          <w:rFonts w:ascii="Times New Roman" w:hAnsi="Times New Roman" w:cs="Times New Roman"/>
          <w:color w:val="000000"/>
          <w:sz w:val="24"/>
          <w:szCs w:val="24"/>
        </w:rPr>
        <w:t>.</w:t>
      </w:r>
      <w:r w:rsidR="00DE127F">
        <w:rPr>
          <w:rFonts w:ascii="Times New Roman" w:hAnsi="Times New Roman" w:cs="Times New Roman"/>
          <w:color w:val="000000"/>
          <w:sz w:val="24"/>
          <w:szCs w:val="24"/>
        </w:rPr>
        <w:t xml:space="preserve">  In addition, this notice solicits comment on the three-year extension of the same information collection under 5 CFR 1320</w:t>
      </w:r>
      <w:r w:rsidR="008A25B9">
        <w:rPr>
          <w:rFonts w:ascii="Times New Roman" w:hAnsi="Times New Roman" w:cs="Times New Roman"/>
          <w:color w:val="000000"/>
          <w:sz w:val="24"/>
          <w:szCs w:val="24"/>
        </w:rPr>
        <w:t>.</w:t>
      </w:r>
      <w:r w:rsidR="00DE127F">
        <w:rPr>
          <w:rFonts w:ascii="Times New Roman" w:hAnsi="Times New Roman" w:cs="Times New Roman"/>
          <w:color w:val="000000"/>
          <w:sz w:val="24"/>
          <w:szCs w:val="24"/>
        </w:rPr>
        <w:t>12.</w:t>
      </w:r>
    </w:p>
    <w:p w14:paraId="61F00D47" w14:textId="77777777" w:rsidR="00130C3A" w:rsidRPr="00921E43" w:rsidRDefault="000C22EA" w:rsidP="00DF1A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sz w:val="24"/>
          <w:szCs w:val="24"/>
        </w:rPr>
      </w:pPr>
      <w:r w:rsidRPr="0059554D">
        <w:rPr>
          <w:rFonts w:ascii="Times New Roman" w:hAnsi="Times New Roman" w:cs="Times New Roman"/>
          <w:color w:val="000000"/>
          <w:sz w:val="24"/>
          <w:szCs w:val="24"/>
        </w:rPr>
        <w:t xml:space="preserve">ADDRESSES: </w:t>
      </w:r>
      <w:r w:rsidR="004C7279" w:rsidRPr="0059554D">
        <w:rPr>
          <w:rFonts w:ascii="Times New Roman" w:hAnsi="Times New Roman" w:cs="Times New Roman"/>
          <w:sz w:val="24"/>
          <w:szCs w:val="24"/>
        </w:rPr>
        <w:t>A copy of this ICR with applicable supporting documentation</w:t>
      </w:r>
      <w:r w:rsidR="00321F5E">
        <w:rPr>
          <w:rFonts w:ascii="Times New Roman" w:hAnsi="Times New Roman" w:cs="Times New Roman"/>
          <w:sz w:val="24"/>
          <w:szCs w:val="24"/>
        </w:rPr>
        <w:t>,</w:t>
      </w:r>
      <w:r w:rsidR="004C7279" w:rsidRPr="0059554D">
        <w:rPr>
          <w:rFonts w:ascii="Times New Roman" w:hAnsi="Times New Roman" w:cs="Times New Roman"/>
          <w:sz w:val="24"/>
          <w:szCs w:val="24"/>
        </w:rPr>
        <w:t xml:space="preserve"> including a description of the likely respondents, proposed frequency of response, and estimated total burden may be obtained </w:t>
      </w:r>
      <w:r w:rsidR="004C7279" w:rsidRPr="009B767D">
        <w:rPr>
          <w:rFonts w:ascii="Times New Roman" w:hAnsi="Times New Roman" w:cs="Times New Roman"/>
          <w:sz w:val="24"/>
          <w:szCs w:val="24"/>
        </w:rPr>
        <w:t xml:space="preserve">free of charge from the RegInfo.gov Web site at </w:t>
      </w:r>
      <w:hyperlink r:id="rId13" w:history="1">
        <w:r w:rsidR="00727C9C" w:rsidRPr="00E73399">
          <w:rPr>
            <w:rStyle w:val="Hyperlink"/>
            <w:rFonts w:ascii="Times New Roman" w:hAnsi="Times New Roman" w:cs="Times New Roman"/>
            <w:sz w:val="24"/>
            <w:szCs w:val="24"/>
          </w:rPr>
          <w:t>http://www.reginfo.gov/public/do/PRAMain</w:t>
        </w:r>
      </w:hyperlink>
      <w:r w:rsidR="00727C9C">
        <w:rPr>
          <w:rFonts w:ascii="Times New Roman" w:hAnsi="Times New Roman" w:cs="Times New Roman"/>
          <w:sz w:val="24"/>
          <w:szCs w:val="24"/>
        </w:rPr>
        <w:t xml:space="preserve"> </w:t>
      </w:r>
    </w:p>
    <w:p w14:paraId="61F00D48" w14:textId="77777777" w:rsidR="00130C3A" w:rsidRPr="00052E91" w:rsidRDefault="00130C3A" w:rsidP="00130C3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eastAsia="Calibri" w:hAnsi="Times New Roman" w:cs="Times New Roman"/>
          <w:sz w:val="24"/>
          <w:szCs w:val="24"/>
        </w:rPr>
      </w:pPr>
      <w:r w:rsidRPr="00052E91">
        <w:rPr>
          <w:rFonts w:ascii="Times New Roman" w:hAnsi="Times New Roman" w:cs="Times New Roman"/>
          <w:color w:val="000000"/>
          <w:sz w:val="24"/>
          <w:szCs w:val="24"/>
        </w:rPr>
        <w:t xml:space="preserve"> </w:t>
      </w:r>
      <w:r w:rsidR="004C17A8">
        <w:rPr>
          <w:rFonts w:ascii="Times New Roman" w:hAnsi="Times New Roman" w:cs="Times New Roman"/>
          <w:color w:val="000000"/>
          <w:sz w:val="24"/>
          <w:szCs w:val="24"/>
        </w:rPr>
        <w:t xml:space="preserve">OMB Control </w:t>
      </w:r>
      <w:r w:rsidRPr="00052E91">
        <w:rPr>
          <w:rFonts w:ascii="Times New Roman" w:hAnsi="Times New Roman" w:cs="Times New Roman"/>
          <w:color w:val="000000"/>
          <w:sz w:val="24"/>
          <w:szCs w:val="24"/>
        </w:rPr>
        <w:t>Number</w:t>
      </w:r>
      <w:r w:rsidR="00957F7F">
        <w:rPr>
          <w:rFonts w:ascii="Times New Roman" w:hAnsi="Times New Roman" w:cs="Times New Roman"/>
          <w:color w:val="000000"/>
          <w:sz w:val="24"/>
          <w:szCs w:val="24"/>
        </w:rPr>
        <w:t>s</w:t>
      </w:r>
      <w:r w:rsidR="00CE0B9A">
        <w:rPr>
          <w:rFonts w:ascii="Times New Roman" w:hAnsi="Times New Roman" w:cs="Times New Roman"/>
          <w:color w:val="000000"/>
          <w:sz w:val="24"/>
          <w:szCs w:val="24"/>
        </w:rPr>
        <w:t xml:space="preserve"> 3235-0065 (Form S-1) and 3235-0258 (Form F-1)</w:t>
      </w:r>
    </w:p>
    <w:p w14:paraId="61F00D49" w14:textId="77777777" w:rsidR="00130C3A" w:rsidRPr="0059554D" w:rsidRDefault="00130C3A" w:rsidP="00130C3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color w:val="000000"/>
          <w:sz w:val="24"/>
          <w:szCs w:val="24"/>
        </w:rPr>
      </w:pPr>
      <w:r w:rsidRPr="00052E91">
        <w:rPr>
          <w:rFonts w:ascii="Times New Roman" w:eastAsia="Calibri" w:hAnsi="Times New Roman" w:cs="Times New Roman"/>
          <w:sz w:val="24"/>
          <w:szCs w:val="24"/>
        </w:rPr>
        <w:t xml:space="preserve">Comments should be directed to: (i) Desk Officer for the Securities and Exchange Commission, Office of Information and Regulatory Affairs, Office of Management and Budget, Room 10102, New Executive Office Building, Washington, DC 20503, or by sending an e-mail </w:t>
      </w:r>
      <w:r w:rsidRPr="00052E91">
        <w:rPr>
          <w:rFonts w:ascii="Times New Roman" w:eastAsia="Calibri" w:hAnsi="Times New Roman" w:cs="Times New Roman"/>
          <w:sz w:val="24"/>
          <w:szCs w:val="24"/>
        </w:rPr>
        <w:lastRenderedPageBreak/>
        <w:t xml:space="preserve">to:  </w:t>
      </w:r>
      <w:hyperlink r:id="rId14" w:history="1">
        <w:r w:rsidRPr="00052E91">
          <w:rPr>
            <w:rFonts w:ascii="Times New Roman" w:eastAsia="Calibri" w:hAnsi="Times New Roman" w:cs="Times New Roman"/>
            <w:color w:val="0000FF"/>
            <w:sz w:val="24"/>
            <w:szCs w:val="24"/>
            <w:u w:val="single"/>
          </w:rPr>
          <w:t>Shagufta_Ahmed@omb.eop.gov</w:t>
        </w:r>
      </w:hyperlink>
      <w:r w:rsidRPr="00052E91">
        <w:rPr>
          <w:rFonts w:ascii="Times New Roman" w:eastAsia="Calibri" w:hAnsi="Times New Roman" w:cs="Times New Roman"/>
          <w:sz w:val="24"/>
          <w:szCs w:val="24"/>
        </w:rPr>
        <w:t xml:space="preserve">; and (ii) </w:t>
      </w:r>
      <w:r w:rsidR="002760DF">
        <w:rPr>
          <w:rFonts w:ascii="Times New Roman" w:eastAsia="Calibri" w:hAnsi="Times New Roman" w:cs="Times New Roman"/>
          <w:sz w:val="24"/>
          <w:szCs w:val="24"/>
        </w:rPr>
        <w:t>Pamela Dyson</w:t>
      </w:r>
      <w:r w:rsidRPr="00052E91">
        <w:rPr>
          <w:rFonts w:ascii="Times New Roman" w:eastAsia="Calibri" w:hAnsi="Times New Roman" w:cs="Times New Roman"/>
          <w:sz w:val="24"/>
          <w:szCs w:val="24"/>
        </w:rPr>
        <w:t xml:space="preserve">, Director/Chief Information Officer, Securities and Exchange Commission, c/o Remi Pavlik-Simon, 100 F Street, N.E., Washington, DC 20549 or send an e-mail to: </w:t>
      </w:r>
      <w:hyperlink r:id="rId15" w:history="1">
        <w:r w:rsidRPr="00052E91">
          <w:rPr>
            <w:rFonts w:ascii="Times New Roman" w:eastAsia="Calibri" w:hAnsi="Times New Roman" w:cs="Times New Roman"/>
            <w:color w:val="0000FF"/>
            <w:sz w:val="24"/>
            <w:szCs w:val="24"/>
            <w:u w:val="single"/>
          </w:rPr>
          <w:t>PRA_Mailbox@sec.gov</w:t>
        </w:r>
      </w:hyperlink>
      <w:r w:rsidRPr="00052E91">
        <w:rPr>
          <w:rFonts w:ascii="Times New Roman" w:eastAsia="Calibri" w:hAnsi="Times New Roman" w:cs="Times New Roman"/>
          <w:sz w:val="24"/>
          <w:szCs w:val="24"/>
        </w:rPr>
        <w:t>.  </w:t>
      </w:r>
      <w:r w:rsidRPr="0059554D">
        <w:rPr>
          <w:rFonts w:ascii="Times New Roman" w:hAnsi="Times New Roman" w:cs="Times New Roman"/>
          <w:color w:val="000000"/>
          <w:sz w:val="24"/>
          <w:szCs w:val="24"/>
        </w:rPr>
        <w:t xml:space="preserve"> </w:t>
      </w:r>
    </w:p>
    <w:p w14:paraId="61F00D4A" w14:textId="77777777" w:rsidR="006E1918" w:rsidRPr="009B767D" w:rsidRDefault="000C22EA" w:rsidP="00DF1A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HeaderChar"/>
          <w:rFonts w:ascii="Times New Roman" w:hAnsi="Times New Roman" w:cs="Times New Roman"/>
          <w:color w:val="000000"/>
        </w:rPr>
      </w:pPr>
      <w:r w:rsidRPr="009B767D">
        <w:rPr>
          <w:rStyle w:val="HeaderChar"/>
          <w:rFonts w:ascii="Times New Roman" w:hAnsi="Times New Roman" w:cs="Times New Roman"/>
          <w:color w:val="000000"/>
        </w:rPr>
        <w:t xml:space="preserve">SUPPLEMENTARY INFORMATION: </w:t>
      </w:r>
    </w:p>
    <w:p w14:paraId="61F00D4B" w14:textId="77777777" w:rsidR="003178BC" w:rsidRDefault="000B747B" w:rsidP="007E1A6D">
      <w:pPr>
        <w:spacing w:line="480" w:lineRule="auto"/>
      </w:pPr>
      <w:r w:rsidRPr="00921E43">
        <w:rPr>
          <w:rFonts w:cs="Times New Roman"/>
          <w:color w:val="000000"/>
        </w:rPr>
        <w:t xml:space="preserve">The </w:t>
      </w:r>
      <w:r w:rsidR="00F97059" w:rsidRPr="00967E98">
        <w:rPr>
          <w:rFonts w:cs="Times New Roman"/>
          <w:color w:val="000000"/>
        </w:rPr>
        <w:t>S</w:t>
      </w:r>
      <w:r w:rsidR="004211BD">
        <w:rPr>
          <w:rFonts w:cs="Times New Roman"/>
          <w:color w:val="000000"/>
        </w:rPr>
        <w:t xml:space="preserve">ecurities and Exchange Commission (“Commission”) </w:t>
      </w:r>
      <w:r w:rsidR="0065644C">
        <w:rPr>
          <w:rFonts w:cs="Times New Roman"/>
          <w:color w:val="000000"/>
        </w:rPr>
        <w:t xml:space="preserve">is </w:t>
      </w:r>
      <w:r w:rsidR="00243114">
        <w:rPr>
          <w:rFonts w:cs="Times New Roman"/>
          <w:color w:val="000000"/>
        </w:rPr>
        <w:t>r</w:t>
      </w:r>
      <w:r w:rsidR="0065644C">
        <w:rPr>
          <w:rFonts w:cs="Times New Roman"/>
          <w:color w:val="000000"/>
        </w:rPr>
        <w:t>equesting</w:t>
      </w:r>
      <w:r w:rsidR="00BC668E">
        <w:rPr>
          <w:rFonts w:cs="Times New Roman"/>
          <w:color w:val="000000"/>
        </w:rPr>
        <w:t xml:space="preserve"> that</w:t>
      </w:r>
      <w:r w:rsidR="00243114">
        <w:rPr>
          <w:rFonts w:cs="Times New Roman"/>
          <w:color w:val="000000"/>
        </w:rPr>
        <w:t xml:space="preserve"> </w:t>
      </w:r>
      <w:r w:rsidR="00BC668E">
        <w:rPr>
          <w:rFonts w:cs="Times New Roman"/>
          <w:color w:val="000000"/>
        </w:rPr>
        <w:t>OMB</w:t>
      </w:r>
      <w:r w:rsidR="00243114">
        <w:rPr>
          <w:rFonts w:cs="Times New Roman"/>
          <w:color w:val="000000"/>
        </w:rPr>
        <w:t xml:space="preserve"> authorize</w:t>
      </w:r>
      <w:r w:rsidRPr="00052E91">
        <w:rPr>
          <w:rFonts w:cs="Times New Roman"/>
          <w:color w:val="000000"/>
        </w:rPr>
        <w:t xml:space="preserve"> emergency processing</w:t>
      </w:r>
      <w:r w:rsidR="00243114">
        <w:rPr>
          <w:rFonts w:cs="Times New Roman"/>
          <w:color w:val="000000"/>
        </w:rPr>
        <w:t xml:space="preserve"> of the</w:t>
      </w:r>
      <w:r w:rsidR="008C6831">
        <w:rPr>
          <w:rFonts w:cs="Times New Roman"/>
          <w:color w:val="000000"/>
        </w:rPr>
        <w:t xml:space="preserve"> submission of</w:t>
      </w:r>
      <w:r w:rsidR="00243114">
        <w:rPr>
          <w:rFonts w:cs="Times New Roman"/>
          <w:color w:val="000000"/>
        </w:rPr>
        <w:t xml:space="preserve"> coll</w:t>
      </w:r>
      <w:r w:rsidR="0065644C">
        <w:rPr>
          <w:rFonts w:cs="Times New Roman"/>
          <w:color w:val="000000"/>
        </w:rPr>
        <w:t>ection of information</w:t>
      </w:r>
      <w:r w:rsidR="008C6831">
        <w:rPr>
          <w:rFonts w:cs="Times New Roman"/>
        </w:rPr>
        <w:t xml:space="preserve"> for </w:t>
      </w:r>
      <w:r w:rsidR="008C6831" w:rsidRPr="00052E91">
        <w:rPr>
          <w:rStyle w:val="BodyTextFirstIndentChar"/>
          <w:rFonts w:cs="Times New Roman"/>
          <w:color w:val="000000"/>
        </w:rPr>
        <w:t>“</w:t>
      </w:r>
      <w:r w:rsidR="008B1D1F">
        <w:rPr>
          <w:rFonts w:cs="Times New Roman"/>
        </w:rPr>
        <w:t>Simplification of</w:t>
      </w:r>
      <w:r w:rsidR="00C422F3" w:rsidRPr="00C422F3">
        <w:rPr>
          <w:rFonts w:cs="Times New Roman"/>
        </w:rPr>
        <w:t xml:space="preserve"> Disclosure Requirements for Emerging Growth Companies and Forward Incorporation by Reference </w:t>
      </w:r>
      <w:r w:rsidR="00321F5E">
        <w:rPr>
          <w:rFonts w:cs="Times New Roman"/>
        </w:rPr>
        <w:t xml:space="preserve">on Form S-1 </w:t>
      </w:r>
      <w:r w:rsidR="00C422F3" w:rsidRPr="00C422F3">
        <w:rPr>
          <w:rFonts w:cs="Times New Roman"/>
        </w:rPr>
        <w:t>for Smaller Reporting Companies</w:t>
      </w:r>
      <w:r w:rsidR="00E13E9E">
        <w:rPr>
          <w:rStyle w:val="BodyTextFirstIndentChar"/>
          <w:rFonts w:cs="Times New Roman"/>
          <w:color w:val="000000"/>
        </w:rPr>
        <w:t>.</w:t>
      </w:r>
      <w:r w:rsidR="008C6831" w:rsidRPr="0059554D">
        <w:rPr>
          <w:rStyle w:val="BodyTextFirstIndentChar"/>
          <w:rFonts w:cs="Times New Roman"/>
          <w:color w:val="000000"/>
        </w:rPr>
        <w:t>”</w:t>
      </w:r>
      <w:r w:rsidR="00E13E9E">
        <w:rPr>
          <w:rFonts w:cs="Times New Roman"/>
        </w:rPr>
        <w:t xml:space="preserve"> </w:t>
      </w:r>
      <w:r w:rsidR="00C743BB">
        <w:rPr>
          <w:rFonts w:cs="Times New Roman"/>
        </w:rPr>
        <w:t xml:space="preserve"> </w:t>
      </w:r>
      <w:r w:rsidR="00E13E9E">
        <w:rPr>
          <w:rFonts w:cs="Times New Roman"/>
        </w:rPr>
        <w:t>This</w:t>
      </w:r>
      <w:r w:rsidR="00D518B0">
        <w:rPr>
          <w:rFonts w:cs="Times New Roman"/>
        </w:rPr>
        <w:t xml:space="preserve"> request should also serve</w:t>
      </w:r>
      <w:r w:rsidR="00C03928">
        <w:rPr>
          <w:rFonts w:cs="Times New Roman"/>
        </w:rPr>
        <w:t xml:space="preserve"> to notify </w:t>
      </w:r>
      <w:r w:rsidR="00FC204B" w:rsidRPr="0059554D">
        <w:rPr>
          <w:rFonts w:cs="Times New Roman"/>
        </w:rPr>
        <w:t>the public that</w:t>
      </w:r>
      <w:r w:rsidR="00EA18D1">
        <w:rPr>
          <w:rFonts w:cs="Times New Roman"/>
        </w:rPr>
        <w:t xml:space="preserve"> the Commission</w:t>
      </w:r>
      <w:r w:rsidR="00FC204B" w:rsidRPr="0059554D">
        <w:rPr>
          <w:rFonts w:cs="Times New Roman"/>
        </w:rPr>
        <w:t xml:space="preserve"> is seeking PRA approval from OMB on an emergency basis for the collection</w:t>
      </w:r>
      <w:r w:rsidR="002760DF">
        <w:rPr>
          <w:rFonts w:cs="Times New Roman"/>
        </w:rPr>
        <w:t>s</w:t>
      </w:r>
      <w:r w:rsidR="00FC204B" w:rsidRPr="0059554D">
        <w:rPr>
          <w:rFonts w:cs="Times New Roman"/>
        </w:rPr>
        <w:t xml:space="preserve"> </w:t>
      </w:r>
      <w:r w:rsidR="00C03928">
        <w:rPr>
          <w:rFonts w:cs="Times New Roman"/>
        </w:rPr>
        <w:t xml:space="preserve">of information </w:t>
      </w:r>
      <w:r w:rsidR="00FC204B" w:rsidRPr="0059554D">
        <w:rPr>
          <w:rFonts w:cs="Times New Roman"/>
        </w:rPr>
        <w:t xml:space="preserve">associated with the </w:t>
      </w:r>
      <w:r w:rsidR="008B1D1F">
        <w:rPr>
          <w:rFonts w:cs="Times New Roman"/>
        </w:rPr>
        <w:t xml:space="preserve">interim </w:t>
      </w:r>
      <w:r w:rsidR="00FC204B" w:rsidRPr="0059554D">
        <w:rPr>
          <w:rFonts w:cs="Times New Roman"/>
        </w:rPr>
        <w:t>final rule</w:t>
      </w:r>
      <w:r w:rsidR="00FF5F47">
        <w:rPr>
          <w:rFonts w:cs="Times New Roman"/>
        </w:rPr>
        <w:t xml:space="preserve"> amendments to </w:t>
      </w:r>
      <w:r w:rsidR="00C91AA0">
        <w:rPr>
          <w:rFonts w:cs="Times New Roman"/>
        </w:rPr>
        <w:t xml:space="preserve">Form S-1 and Form F-1 </w:t>
      </w:r>
      <w:r w:rsidR="00FF5F47">
        <w:rPr>
          <w:rFonts w:cs="Times New Roman"/>
        </w:rPr>
        <w:t>adopted by the Commission on J</w:t>
      </w:r>
      <w:r w:rsidR="00C91AA0">
        <w:rPr>
          <w:rFonts w:cs="Times New Roman"/>
        </w:rPr>
        <w:t>anuary</w:t>
      </w:r>
      <w:r w:rsidR="00FF5F47">
        <w:rPr>
          <w:rFonts w:cs="Times New Roman"/>
        </w:rPr>
        <w:t xml:space="preserve"> </w:t>
      </w:r>
      <w:r w:rsidR="00CE0B9A">
        <w:rPr>
          <w:rFonts w:cs="Times New Roman"/>
        </w:rPr>
        <w:t>13</w:t>
      </w:r>
      <w:r w:rsidR="00D237D4">
        <w:rPr>
          <w:rFonts w:cs="Times New Roman"/>
        </w:rPr>
        <w:t>, 201</w:t>
      </w:r>
      <w:r w:rsidR="00C91AA0">
        <w:rPr>
          <w:rFonts w:cs="Times New Roman"/>
        </w:rPr>
        <w:t>6</w:t>
      </w:r>
      <w:r w:rsidR="00D631E4">
        <w:rPr>
          <w:rStyle w:val="FootnoteReference"/>
        </w:rPr>
        <w:footnoteReference w:id="1"/>
      </w:r>
      <w:r w:rsidR="00B2756D">
        <w:rPr>
          <w:rFonts w:cs="Times New Roman"/>
        </w:rPr>
        <w:t xml:space="preserve"> to implement </w:t>
      </w:r>
      <w:r w:rsidR="00D237D4" w:rsidRPr="00052E91">
        <w:t>Section</w:t>
      </w:r>
      <w:r w:rsidR="00C91AA0">
        <w:t>s</w:t>
      </w:r>
      <w:r w:rsidR="00D237D4" w:rsidRPr="00052E91">
        <w:t xml:space="preserve"> </w:t>
      </w:r>
      <w:r w:rsidR="00C91AA0">
        <w:t>71003 and 84001</w:t>
      </w:r>
      <w:r w:rsidR="00D237D4" w:rsidRPr="00052E91">
        <w:t xml:space="preserve"> of the </w:t>
      </w:r>
      <w:r w:rsidR="00920D0F">
        <w:t>Fixing America’s Surface Transportation (“FAST”) Act</w:t>
      </w:r>
      <w:r w:rsidR="00F958A4">
        <w:t>, which was enacted on December 4, 2015</w:t>
      </w:r>
      <w:r w:rsidR="00D237D4" w:rsidRPr="00052E91">
        <w:t>.</w:t>
      </w:r>
      <w:r w:rsidR="00D631E4">
        <w:rPr>
          <w:rStyle w:val="FootnoteReference"/>
        </w:rPr>
        <w:footnoteReference w:id="2"/>
      </w:r>
      <w:r w:rsidR="00D237D4" w:rsidRPr="00052E91">
        <w:t xml:space="preserve"> </w:t>
      </w:r>
      <w:r w:rsidR="00DE127F">
        <w:t>In addition, the Commission is providing notice of the three-year extension under 5 CFR 1320.12.</w:t>
      </w:r>
    </w:p>
    <w:p w14:paraId="61F00D4C" w14:textId="77777777" w:rsidR="00D55F1C" w:rsidRDefault="004F603E" w:rsidP="00D55F1C">
      <w:pPr>
        <w:spacing w:line="480" w:lineRule="auto"/>
        <w:ind w:firstLine="720"/>
      </w:pPr>
      <w:r>
        <w:t>As adopted, the amendments implement Sections 71003 and 84001 of the F</w:t>
      </w:r>
      <w:r w:rsidR="00920D0F">
        <w:t>AST</w:t>
      </w:r>
      <w:r>
        <w:t xml:space="preserve"> Act</w:t>
      </w:r>
      <w:r w:rsidR="00A620EF">
        <w:t>,</w:t>
      </w:r>
      <w:r w:rsidR="00D55F1C">
        <w:t xml:space="preserve"> </w:t>
      </w:r>
      <w:r>
        <w:t>which require that the Commission revise Forms S-1 and F-1</w:t>
      </w:r>
      <w:r w:rsidR="00726B93">
        <w:t>, OMB Control Numbers,</w:t>
      </w:r>
      <w:r w:rsidR="004305AE">
        <w:t xml:space="preserve"> </w:t>
      </w:r>
      <w:r w:rsidR="00726B93" w:rsidRPr="004305AE">
        <w:t xml:space="preserve">3235-0065 (Form S-1) and 3235- 0258 (Form F-1), </w:t>
      </w:r>
      <w:r>
        <w:t>to permit emerging growth companies to omit financial information for certain historical periods and revise Form S-1 to permit forward incorporation by reference for smaller reporting companies.</w:t>
      </w:r>
      <w:r w:rsidR="00D55F1C">
        <w:t xml:space="preserve">  </w:t>
      </w:r>
    </w:p>
    <w:p w14:paraId="61F00D4D" w14:textId="77777777" w:rsidR="00C1507D" w:rsidRDefault="00C1507D" w:rsidP="00D55F1C">
      <w:pPr>
        <w:spacing w:line="480" w:lineRule="auto"/>
        <w:ind w:firstLine="720"/>
      </w:pPr>
      <w:r>
        <w:t xml:space="preserve">Form S-1 (17 CFR 239.11) is the form used by domestic issuers to register the offer and sale of securities under the Securities Act of 1933 (15 U.S.C. 77a </w:t>
      </w:r>
      <w:r w:rsidRPr="00F9609A">
        <w:rPr>
          <w:u w:val="single"/>
        </w:rPr>
        <w:t>et</w:t>
      </w:r>
      <w:r>
        <w:t xml:space="preserve"> </w:t>
      </w:r>
      <w:r w:rsidRPr="00F9609A">
        <w:rPr>
          <w:u w:val="single"/>
        </w:rPr>
        <w:t>seq</w:t>
      </w:r>
      <w:r>
        <w:rPr>
          <w:u w:val="single"/>
        </w:rPr>
        <w:t>.</w:t>
      </w:r>
      <w:r>
        <w:t xml:space="preserve">) when no other form is authorized or prescribed, and Form F-1 (17 CFR 239.31) is the corresponding form used by </w:t>
      </w:r>
      <w:r>
        <w:lastRenderedPageBreak/>
        <w:t>foreign private issuers.  Item 512 of Regulation S-K (17 CFR 229.512) describes the undertakings that an issuer must include in a registration statement.</w:t>
      </w:r>
    </w:p>
    <w:p w14:paraId="61F00D4E" w14:textId="77777777" w:rsidR="00AC5711" w:rsidRDefault="0024532C" w:rsidP="00D55F1C">
      <w:pPr>
        <w:spacing w:line="480" w:lineRule="auto"/>
        <w:ind w:firstLine="720"/>
      </w:pPr>
      <w:r>
        <w:t>The amendments revise Form S-1 and Form F-1 to make them conform to the requirements in Sections 71003 and 84001 of the FAST Act.  Se</w:t>
      </w:r>
      <w:r w:rsidR="00D55F1C">
        <w:t>cti</w:t>
      </w:r>
      <w:r w:rsidR="00757AED">
        <w:t>on 71003 of the FAST Act allow</w:t>
      </w:r>
      <w:r w:rsidR="00D55F1C">
        <w:t>s an emerging growth company that is filing a registration statement (or submitting the registration statement for confidential review) on Form S-1 or Form F-1 to omit financial information for historical periods otherwise required by Regulation S-X if it reasonably believes the omitted information will not be required to be included in the filing at the time of the contemplated offering, so long as the issuer amends the registration statement prior to distributing a preliminary prospectus to include all financial information required by Regulation S-X at the time of t</w:t>
      </w:r>
      <w:r w:rsidR="00D90EB5">
        <w:t xml:space="preserve">he amendment.  </w:t>
      </w:r>
      <w:r w:rsidR="00757AED">
        <w:t>The amendments revise the general instruction</w:t>
      </w:r>
      <w:r w:rsidR="003F3D84">
        <w:t>s</w:t>
      </w:r>
      <w:r w:rsidR="00757AED">
        <w:t xml:space="preserve"> to Form S-1 and Form F-1</w:t>
      </w:r>
      <w:r w:rsidR="00C743BB">
        <w:t xml:space="preserve"> to reflect this self-executing chang</w:t>
      </w:r>
      <w:r>
        <w:t xml:space="preserve">e, as directed by Section 71003.  </w:t>
      </w:r>
      <w:r w:rsidR="00C743BB">
        <w:t xml:space="preserve">  </w:t>
      </w:r>
      <w:r w:rsidR="00757AED">
        <w:t xml:space="preserve"> </w:t>
      </w:r>
      <w:r w:rsidR="00D55F1C">
        <w:t xml:space="preserve">   </w:t>
      </w:r>
    </w:p>
    <w:p w14:paraId="61F00D4F" w14:textId="77777777" w:rsidR="0024532C" w:rsidRDefault="00C743BB" w:rsidP="001863AF">
      <w:pPr>
        <w:spacing w:line="480" w:lineRule="auto"/>
        <w:ind w:firstLine="720"/>
      </w:pPr>
      <w:r>
        <w:t>Section 84001 of the FAST Act requires the Commission to revise Form S-1 to permit a smaller reporting company to incorporate by reference into its registration statement any documents filed by the issuer subsequent to the effective date of the registration sta</w:t>
      </w:r>
      <w:r w:rsidR="00D90EB5">
        <w:t xml:space="preserve">tement.  </w:t>
      </w:r>
      <w:r>
        <w:t>The amendments add a new paragraph to Item 12 of Form S-1</w:t>
      </w:r>
      <w:r w:rsidR="00C1507D">
        <w:t xml:space="preserve"> and make a conforming change to Item 512(a) of Regulation S-K </w:t>
      </w:r>
      <w:r>
        <w:t>to effect this provision.</w:t>
      </w:r>
    </w:p>
    <w:p w14:paraId="61F00D50" w14:textId="77777777" w:rsidR="000F6E08" w:rsidRDefault="00AC5711" w:rsidP="00C743BB">
      <w:pPr>
        <w:spacing w:line="480" w:lineRule="auto"/>
      </w:pPr>
      <w:r>
        <w:tab/>
      </w:r>
      <w:r w:rsidR="000F6E08">
        <w:t>The Commission</w:t>
      </w:r>
      <w:r w:rsidR="00321F5E">
        <w:t>, for good cause, found that</w:t>
      </w:r>
      <w:r w:rsidR="000F6E08">
        <w:t xml:space="preserve"> notice and comment </w:t>
      </w:r>
      <w:r w:rsidR="00321F5E">
        <w:t xml:space="preserve">were unnecessary </w:t>
      </w:r>
      <w:r w:rsidR="000F6E08">
        <w:t xml:space="preserve">because the amendments merely </w:t>
      </w:r>
      <w:proofErr w:type="gramStart"/>
      <w:r w:rsidR="000F6E08">
        <w:t>conform</w:t>
      </w:r>
      <w:proofErr w:type="gramEnd"/>
      <w:r w:rsidR="000F6E08">
        <w:t xml:space="preserve"> the specified forms to the requirements of a newly enacted statute, the FAST Act.  </w:t>
      </w:r>
      <w:r w:rsidR="00321F5E">
        <w:t xml:space="preserve">The amendments revised the Commission’s forms to make them consistent with the provisions of the FAST Act pertaining to simplified disclosure requirements for emerging growth companies and forward incorporation by reference for smaller reporting companies on Form S-1 and therefore did not involve the exercise of Commission discretion.  </w:t>
      </w:r>
      <w:r w:rsidR="00D90EB5">
        <w:lastRenderedPageBreak/>
        <w:t>Section 71003 of the FAST Act was effective 30 days after enactment, and Section 84001 require</w:t>
      </w:r>
      <w:r w:rsidR="00321F5E">
        <w:t>d</w:t>
      </w:r>
      <w:r w:rsidR="00D90EB5">
        <w:t xml:space="preserve"> the Commission to revise Form S-1 within 45 days of enactment.</w:t>
      </w:r>
      <w:r w:rsidR="001F610D">
        <w:t xml:space="preserve">  The Commission also found there was good cause for the amendments to take effect on </w:t>
      </w:r>
      <w:r w:rsidR="00CE0B9A">
        <w:t>January 19, 2016</w:t>
      </w:r>
      <w:r w:rsidR="009A5A33">
        <w:t xml:space="preserve"> because without the amendments the Commission’s applicable forms did not conform to the requirements of Sections 71003 and 84001 of the FAST Act.  Additionally, the Commission found that the amendments relieve restrictions in the Commission’s forms.  </w:t>
      </w:r>
      <w:r w:rsidR="00D90EB5">
        <w:t xml:space="preserve">   </w:t>
      </w:r>
      <w:r w:rsidR="000F6E08">
        <w:t xml:space="preserve">  </w:t>
      </w:r>
    </w:p>
    <w:p w14:paraId="61F00D51" w14:textId="77777777" w:rsidR="00B579B5" w:rsidRPr="0059554D" w:rsidRDefault="00633C4A" w:rsidP="00727C9C">
      <w:pPr>
        <w:spacing w:line="480" w:lineRule="auto"/>
        <w:ind w:firstLine="720"/>
        <w:rPr>
          <w:rFonts w:cs="Times New Roman"/>
          <w:color w:val="000000"/>
        </w:rPr>
      </w:pPr>
      <w:r w:rsidRPr="009B767D">
        <w:rPr>
          <w:rFonts w:cs="Times New Roman"/>
          <w:color w:val="000000"/>
        </w:rPr>
        <w:t>This information collec</w:t>
      </w:r>
      <w:r w:rsidR="002760DF">
        <w:rPr>
          <w:rFonts w:cs="Times New Roman"/>
          <w:color w:val="000000"/>
        </w:rPr>
        <w:t>tion is subject to the PRA.  A f</w:t>
      </w:r>
      <w:r w:rsidRPr="009B767D">
        <w:rPr>
          <w:rFonts w:cs="Times New Roman"/>
          <w:color w:val="000000"/>
        </w:rPr>
        <w:t>ederal agency generally cannot conduct or sponso</w:t>
      </w:r>
      <w:r w:rsidRPr="00967E98">
        <w:rPr>
          <w:rFonts w:cs="Times New Roman"/>
          <w:color w:val="000000"/>
        </w:rPr>
        <w:t>r a collection of information, and the public is generally not required to respond to an information collection, unless it is approved by the OMB under the PRA and displays a currently valid OMB Control Number.  In addition, notwithstanding any other p</w:t>
      </w:r>
      <w:r w:rsidRPr="00052E91">
        <w:rPr>
          <w:rFonts w:cs="Times New Roman"/>
          <w:color w:val="000000"/>
        </w:rPr>
        <w:t xml:space="preserve">rovisions of law, no person shall generally be subject to penalty for failing to comply with a collection of information if the collection of information does not display a valid OMB Control Number.  </w:t>
      </w:r>
      <w:r w:rsidRPr="00052E91">
        <w:rPr>
          <w:rFonts w:cs="Times New Roman"/>
          <w:color w:val="000000"/>
          <w:u w:val="single"/>
        </w:rPr>
        <w:t>See</w:t>
      </w:r>
      <w:r w:rsidRPr="00052E91">
        <w:rPr>
          <w:rFonts w:cs="Times New Roman"/>
          <w:color w:val="000000"/>
        </w:rPr>
        <w:t xml:space="preserve"> 5 CFR 1320.5(a) and 1320.6.  The </w:t>
      </w:r>
      <w:r w:rsidR="00130C3A" w:rsidRPr="00052E91">
        <w:rPr>
          <w:rFonts w:cs="Times New Roman"/>
          <w:color w:val="000000"/>
        </w:rPr>
        <w:t>SEC</w:t>
      </w:r>
      <w:r w:rsidRPr="00052E91">
        <w:rPr>
          <w:rFonts w:cs="Times New Roman"/>
          <w:color w:val="000000"/>
        </w:rPr>
        <w:t xml:space="preserve"> obtains OMB approval for this information collection under OMB </w:t>
      </w:r>
      <w:r w:rsidR="00130C3A" w:rsidRPr="00052E91">
        <w:rPr>
          <w:rFonts w:cs="Times New Roman"/>
          <w:color w:val="000000"/>
        </w:rPr>
        <w:t>ICR Reference Number</w:t>
      </w:r>
      <w:r w:rsidR="00BA16ED">
        <w:rPr>
          <w:rFonts w:cs="Times New Roman"/>
          <w:color w:val="000000"/>
        </w:rPr>
        <w:t xml:space="preserve">s </w:t>
      </w:r>
      <w:r w:rsidR="004C5914" w:rsidRPr="00B579B5">
        <w:rPr>
          <w:rFonts w:cs="Times New Roman"/>
          <w:color w:val="000000"/>
          <w:shd w:val="clear" w:color="auto" w:fill="FFFFFF"/>
        </w:rPr>
        <w:t>201409-3235-039</w:t>
      </w:r>
      <w:r w:rsidR="004C5914" w:rsidDel="004C5914">
        <w:rPr>
          <w:rFonts w:cs="Times New Roman"/>
          <w:color w:val="000000"/>
        </w:rPr>
        <w:t xml:space="preserve"> </w:t>
      </w:r>
      <w:r w:rsidR="00CE0B9A">
        <w:rPr>
          <w:rFonts w:cs="Times New Roman"/>
          <w:color w:val="000000"/>
        </w:rPr>
        <w:t xml:space="preserve">(Form S-1) and </w:t>
      </w:r>
      <w:r w:rsidR="00727C9C">
        <w:rPr>
          <w:rFonts w:cs="Times New Roman"/>
          <w:color w:val="000000"/>
        </w:rPr>
        <w:t>201407-3235-008</w:t>
      </w:r>
      <w:r w:rsidR="00727C9C" w:rsidRPr="00727C9C">
        <w:rPr>
          <w:rFonts w:cs="Times New Roman"/>
          <w:color w:val="000000"/>
        </w:rPr>
        <w:t xml:space="preserve"> </w:t>
      </w:r>
      <w:r w:rsidR="00CE0B9A">
        <w:rPr>
          <w:rFonts w:cs="Times New Roman"/>
          <w:color w:val="000000"/>
        </w:rPr>
        <w:t>(Form F-1)</w:t>
      </w:r>
      <w:r w:rsidRPr="0059554D">
        <w:rPr>
          <w:rFonts w:cs="Times New Roman"/>
          <w:color w:val="000000"/>
        </w:rPr>
        <w:t>.</w:t>
      </w:r>
    </w:p>
    <w:p w14:paraId="61F00D52" w14:textId="77777777" w:rsidR="00633C4A" w:rsidRPr="0059554D" w:rsidRDefault="00633C4A" w:rsidP="00DF1AB1">
      <w:pPr>
        <w:autoSpaceDE w:val="0"/>
        <w:autoSpaceDN w:val="0"/>
        <w:adjustRightInd w:val="0"/>
        <w:spacing w:line="480" w:lineRule="auto"/>
        <w:ind w:firstLine="720"/>
        <w:rPr>
          <w:rFonts w:cs="Times New Roman"/>
          <w:color w:val="000000"/>
        </w:rPr>
      </w:pPr>
      <w:r w:rsidRPr="0059554D">
        <w:rPr>
          <w:rFonts w:cs="Times New Roman"/>
          <w:color w:val="000000"/>
        </w:rPr>
        <w:t xml:space="preserve">Interested parties are encouraged to send comments to the OMB, Office of Information and Regulatory Affairs at the address shown in the ADDRESSES section within </w:t>
      </w:r>
      <w:r w:rsidR="00FC204B" w:rsidRPr="00967E98">
        <w:rPr>
          <w:rFonts w:cs="Times New Roman"/>
          <w:color w:val="000000"/>
        </w:rPr>
        <w:t xml:space="preserve">15 </w:t>
      </w:r>
      <w:r w:rsidRPr="00052E91">
        <w:rPr>
          <w:rFonts w:cs="Times New Roman"/>
          <w:color w:val="000000"/>
        </w:rPr>
        <w:t xml:space="preserve">days of publication of this notice in the </w:t>
      </w:r>
      <w:r w:rsidRPr="00052E91">
        <w:rPr>
          <w:rFonts w:cs="Times New Roman"/>
          <w:color w:val="000000"/>
          <w:u w:val="single"/>
        </w:rPr>
        <w:t>Federal Register</w:t>
      </w:r>
      <w:r w:rsidRPr="00052E91">
        <w:rPr>
          <w:rFonts w:cs="Times New Roman"/>
          <w:color w:val="000000"/>
        </w:rPr>
        <w:t xml:space="preserve">.  In order to help ensure appropriate consideration, comments should reference OMB </w:t>
      </w:r>
      <w:r w:rsidR="004C5914">
        <w:rPr>
          <w:rFonts w:cs="Times New Roman"/>
          <w:color w:val="000000"/>
        </w:rPr>
        <w:t xml:space="preserve">Control </w:t>
      </w:r>
      <w:r w:rsidR="00130C3A" w:rsidRPr="00052E91">
        <w:rPr>
          <w:rFonts w:cs="Times New Roman"/>
          <w:color w:val="000000"/>
        </w:rPr>
        <w:t>Number</w:t>
      </w:r>
      <w:r w:rsidR="00BA16ED">
        <w:rPr>
          <w:rFonts w:cs="Times New Roman"/>
          <w:color w:val="000000"/>
        </w:rPr>
        <w:t xml:space="preserve">s </w:t>
      </w:r>
      <w:r w:rsidR="00CE0B9A">
        <w:rPr>
          <w:rFonts w:cs="Times New Roman"/>
          <w:color w:val="000000"/>
        </w:rPr>
        <w:t>3235-0065 (Form S-1) and 3235-0258 (Form F-1)</w:t>
      </w:r>
      <w:r w:rsidRPr="0059554D">
        <w:rPr>
          <w:rFonts w:cs="Times New Roman"/>
          <w:color w:val="000000"/>
        </w:rPr>
        <w:t>.  The OMB is particularly interested in comments that:</w:t>
      </w:r>
    </w:p>
    <w:p w14:paraId="61F00D53" w14:textId="77777777" w:rsidR="00633C4A" w:rsidRPr="00967E98" w:rsidRDefault="00633C4A" w:rsidP="00DF1AB1">
      <w:pPr>
        <w:pStyle w:val="HTMLPreformatted"/>
        <w:numPr>
          <w:ilvl w:val="0"/>
          <w:numId w:val="2"/>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0" w:firstLine="720"/>
        <w:rPr>
          <w:rFonts w:ascii="Times New Roman" w:hAnsi="Times New Roman" w:cs="Times New Roman"/>
          <w:color w:val="000000"/>
          <w:sz w:val="24"/>
          <w:szCs w:val="24"/>
        </w:rPr>
      </w:pPr>
      <w:r w:rsidRPr="0059554D">
        <w:rPr>
          <w:rFonts w:ascii="Times New Roman" w:hAnsi="Times New Roman" w:cs="Times New Roman"/>
          <w:color w:val="000000"/>
          <w:sz w:val="24"/>
          <w:szCs w:val="24"/>
        </w:rPr>
        <w:t xml:space="preserve">Evaluate </w:t>
      </w:r>
      <w:r w:rsidRPr="009B767D">
        <w:rPr>
          <w:rFonts w:ascii="Times New Roman" w:hAnsi="Times New Roman" w:cs="Times New Roman"/>
          <w:color w:val="000000"/>
          <w:sz w:val="24"/>
          <w:szCs w:val="24"/>
        </w:rPr>
        <w:t>whether the prop</w:t>
      </w:r>
      <w:r w:rsidRPr="00967E98">
        <w:rPr>
          <w:rFonts w:ascii="Times New Roman" w:hAnsi="Times New Roman" w:cs="Times New Roman"/>
          <w:color w:val="000000"/>
          <w:sz w:val="24"/>
          <w:szCs w:val="24"/>
        </w:rPr>
        <w:t>osed collection of information is necessary for the proper performance of the functions of the agency, including whether the information will have practical utility;</w:t>
      </w:r>
    </w:p>
    <w:p w14:paraId="61F00D54" w14:textId="77777777" w:rsidR="00633C4A" w:rsidRPr="00052E91" w:rsidRDefault="00633C4A" w:rsidP="00DF1AB1">
      <w:pPr>
        <w:pStyle w:val="HTMLPreformatted"/>
        <w:numPr>
          <w:ilvl w:val="0"/>
          <w:numId w:val="2"/>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0" w:firstLine="720"/>
        <w:rPr>
          <w:rFonts w:ascii="Times New Roman" w:hAnsi="Times New Roman" w:cs="Times New Roman"/>
          <w:color w:val="000000"/>
          <w:sz w:val="24"/>
          <w:szCs w:val="24"/>
        </w:rPr>
      </w:pPr>
      <w:r w:rsidRPr="00052E91">
        <w:rPr>
          <w:rFonts w:ascii="Times New Roman" w:hAnsi="Times New Roman" w:cs="Times New Roman"/>
          <w:color w:val="000000"/>
          <w:sz w:val="24"/>
          <w:szCs w:val="24"/>
        </w:rPr>
        <w:lastRenderedPageBreak/>
        <w:t>Evaluate the accuracy of the agency’s estimate of the burden of the proposed collection of information, including the validity of the methodology and assumptions used;</w:t>
      </w:r>
    </w:p>
    <w:p w14:paraId="61F00D55" w14:textId="77777777" w:rsidR="00633C4A" w:rsidRPr="00052E91" w:rsidRDefault="00633C4A" w:rsidP="00DF1AB1">
      <w:pPr>
        <w:pStyle w:val="HTMLPreformatted"/>
        <w:numPr>
          <w:ilvl w:val="0"/>
          <w:numId w:val="2"/>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0" w:firstLine="720"/>
        <w:rPr>
          <w:rFonts w:ascii="Times New Roman" w:hAnsi="Times New Roman" w:cs="Times New Roman"/>
          <w:color w:val="000000"/>
          <w:sz w:val="24"/>
          <w:szCs w:val="24"/>
        </w:rPr>
      </w:pPr>
      <w:r w:rsidRPr="00052E91">
        <w:rPr>
          <w:rFonts w:ascii="Times New Roman" w:hAnsi="Times New Roman" w:cs="Times New Roman"/>
          <w:color w:val="000000"/>
          <w:sz w:val="24"/>
          <w:szCs w:val="24"/>
        </w:rPr>
        <w:t>Enhance the quality, utility, and clarity of the information to be collected; and</w:t>
      </w:r>
    </w:p>
    <w:p w14:paraId="61F00D56" w14:textId="77777777" w:rsidR="00633C4A" w:rsidRDefault="00633C4A" w:rsidP="00DF1AB1">
      <w:pPr>
        <w:pStyle w:val="HTMLPreformatted"/>
        <w:numPr>
          <w:ilvl w:val="0"/>
          <w:numId w:val="2"/>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0" w:firstLine="720"/>
        <w:rPr>
          <w:rFonts w:ascii="Times New Roman" w:hAnsi="Times New Roman" w:cs="Times New Roman"/>
          <w:color w:val="000000"/>
          <w:sz w:val="24"/>
          <w:szCs w:val="24"/>
        </w:rPr>
      </w:pPr>
      <w:r w:rsidRPr="00052E91">
        <w:rPr>
          <w:rFonts w:ascii="Times New Roman" w:hAnsi="Times New Roman" w:cs="Times New Roman"/>
          <w:color w:val="000000"/>
          <w:sz w:val="24"/>
          <w:szCs w:val="24"/>
        </w:rPr>
        <w:t>Minimize the burden of the collection of information on those who are to respond, including through the use of appropriate automated, electronic, mechanical, or other technological collection techniques or other forms of information technology, e.g., permitting electronic submission of responses.</w:t>
      </w:r>
    </w:p>
    <w:p w14:paraId="61F00D57" w14:textId="77777777" w:rsidR="00B70656" w:rsidRDefault="00B70656" w:rsidP="00B70656">
      <w:pPr>
        <w:pStyle w:val="ListParagraph"/>
        <w:spacing w:line="480" w:lineRule="auto"/>
        <w:ind w:left="0" w:firstLine="720"/>
      </w:pPr>
      <w:r>
        <w:t>For purposes of the PRA, we estimate the total annual decrease in the paperwork burden for all affected issuers to comply with our collection of information requirements to be approximately 70,214 hours of company personnel time and the reduction in cost to be approximately $84,256,400 for the services of outside professionals.  These estimates include the time and cost of preparing and reviewing disclosure, filing documents, and retaining records.  We estimate that 25% of the burden of preparation is carried by the issuer internally and is reflected in hours, and that 75% of the burden is carried by outside professionals retained by the issuer at an average cost of $400 per hour.</w:t>
      </w:r>
      <w:r>
        <w:rPr>
          <w:rStyle w:val="FootnoteReference"/>
        </w:rPr>
        <w:footnoteReference w:id="3"/>
      </w:r>
      <w:r>
        <w:t xml:space="preserve">  Our methodologies for deriving the above estimates are discussed below.  </w:t>
      </w:r>
    </w:p>
    <w:p w14:paraId="61F00D58" w14:textId="77777777" w:rsidR="00B70656" w:rsidRDefault="00B70656" w:rsidP="00B70656">
      <w:pPr>
        <w:pStyle w:val="ListParagraph"/>
        <w:numPr>
          <w:ilvl w:val="0"/>
          <w:numId w:val="3"/>
        </w:numPr>
        <w:spacing w:line="480" w:lineRule="auto"/>
        <w:rPr>
          <w:u w:val="single"/>
        </w:rPr>
      </w:pPr>
      <w:r w:rsidRPr="00DA53B0">
        <w:rPr>
          <w:u w:val="single"/>
        </w:rPr>
        <w:t>Omission of financial information for historical periods by emerging growth companies</w:t>
      </w:r>
    </w:p>
    <w:p w14:paraId="61F00D59" w14:textId="77777777" w:rsidR="00B70656" w:rsidRDefault="00B70656" w:rsidP="00B70656">
      <w:pPr>
        <w:spacing w:line="480" w:lineRule="auto"/>
        <w:ind w:firstLine="720"/>
      </w:pPr>
      <w:r>
        <w:t xml:space="preserve">For purposes of the PRA, we estimate that the amendment to allow emerging growth companies to omit financial information for historical periods that the issuer reasonably believes will not be required to be included in the Form S-1 or F-1 at the time of the contemplated offering would reduce incrementally the annual paperwork burden by approximately 17,089 hours of issuer personnel time and by a cost of approximately $20,506,400 for the services of </w:t>
      </w:r>
      <w:r>
        <w:lastRenderedPageBreak/>
        <w:t>outside professionals.  The estimate reflects the reduction in disclosure preparation time resulting from the omission of one year of audited financial statements</w:t>
      </w:r>
      <w:r>
        <w:rPr>
          <w:rStyle w:val="FootnoteReference"/>
        </w:rPr>
        <w:footnoteReference w:id="4"/>
      </w:r>
      <w:r>
        <w:t xml:space="preserve"> multiplied by the average number of Forms S-1 and F-1 filed by emerging growth companies over a three-year period.</w:t>
      </w:r>
      <w:r w:rsidR="00F8412F" w:rsidRPr="00F8412F">
        <w:rPr>
          <w:rStyle w:val="FootnoteReference"/>
          <w:sz w:val="20"/>
          <w:szCs w:val="20"/>
        </w:rPr>
        <w:t xml:space="preserve"> </w:t>
      </w:r>
      <w:r w:rsidR="00F8412F">
        <w:rPr>
          <w:rStyle w:val="FootnoteReference"/>
          <w:sz w:val="20"/>
          <w:szCs w:val="20"/>
        </w:rPr>
        <w:footnoteReference w:id="5"/>
      </w:r>
    </w:p>
    <w:p w14:paraId="61F00D5A" w14:textId="77777777" w:rsidR="00B70656" w:rsidRPr="005F6FA9" w:rsidRDefault="00B70656" w:rsidP="00B70656">
      <w:pPr>
        <w:ind w:left="1440" w:hanging="1440"/>
        <w:rPr>
          <w:b/>
        </w:rPr>
      </w:pPr>
      <w:proofErr w:type="gramStart"/>
      <w:r w:rsidRPr="005F6FA9">
        <w:rPr>
          <w:b/>
        </w:rPr>
        <w:t>Table</w:t>
      </w:r>
      <w:r>
        <w:rPr>
          <w:b/>
        </w:rPr>
        <w:t xml:space="preserve"> 1.</w:t>
      </w:r>
      <w:proofErr w:type="gramEnd"/>
      <w:r>
        <w:rPr>
          <w:b/>
        </w:rPr>
        <w:tab/>
        <w:t>Revised</w:t>
      </w:r>
      <w:r w:rsidRPr="005F6FA9">
        <w:rPr>
          <w:b/>
        </w:rPr>
        <w:t xml:space="preserve"> P</w:t>
      </w:r>
      <w:r w:rsidR="00CE0B9A">
        <w:rPr>
          <w:b/>
        </w:rPr>
        <w:t>RA</w:t>
      </w:r>
      <w:r w:rsidRPr="005F6FA9">
        <w:rPr>
          <w:b/>
        </w:rPr>
        <w:t xml:space="preserve"> Burden under the amendment permitting emerging growth companies to omit financial information for certain historical periods:</w:t>
      </w:r>
    </w:p>
    <w:p w14:paraId="61F00D5B" w14:textId="77777777" w:rsidR="00B70656" w:rsidRDefault="00B70656" w:rsidP="00B70656">
      <w:pPr>
        <w:ind w:left="1440" w:hanging="1440"/>
      </w:pPr>
    </w:p>
    <w:tbl>
      <w:tblPr>
        <w:tblStyle w:val="TableGrid"/>
        <w:tblW w:w="0" w:type="pct"/>
        <w:tblInd w:w="91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ook w:val="04A0" w:firstRow="1" w:lastRow="0" w:firstColumn="1" w:lastColumn="0" w:noHBand="0" w:noVBand="1"/>
        <w:tblDescription w:val="Revised PRA Burden under the amendment permitting emerging growth companies to omit financial information for certain historical periods"/>
      </w:tblPr>
      <w:tblGrid>
        <w:gridCol w:w="1057"/>
        <w:gridCol w:w="1172"/>
        <w:gridCol w:w="1310"/>
        <w:gridCol w:w="1240"/>
        <w:gridCol w:w="1324"/>
        <w:gridCol w:w="1205"/>
        <w:gridCol w:w="1350"/>
      </w:tblGrid>
      <w:tr w:rsidR="00B70656" w14:paraId="61F00D6A" w14:textId="77777777" w:rsidTr="00727C9C">
        <w:trPr>
          <w:tblHeader/>
        </w:trPr>
        <w:tc>
          <w:tcPr>
            <w:tcW w:w="1096" w:type="dxa"/>
          </w:tcPr>
          <w:p w14:paraId="61F00D5C" w14:textId="77777777" w:rsidR="00B70656" w:rsidRPr="009154C3" w:rsidRDefault="00B70656" w:rsidP="006E3DC2">
            <w:pPr>
              <w:jc w:val="center"/>
              <w:rPr>
                <w:sz w:val="20"/>
                <w:szCs w:val="20"/>
              </w:rPr>
            </w:pPr>
          </w:p>
        </w:tc>
        <w:tc>
          <w:tcPr>
            <w:tcW w:w="1183" w:type="dxa"/>
          </w:tcPr>
          <w:p w14:paraId="61F00D5D" w14:textId="77777777" w:rsidR="00B70656" w:rsidRPr="009154C3" w:rsidRDefault="00B70656" w:rsidP="006E3DC2">
            <w:pPr>
              <w:jc w:val="center"/>
              <w:rPr>
                <w:sz w:val="20"/>
                <w:szCs w:val="20"/>
              </w:rPr>
            </w:pPr>
            <w:r w:rsidRPr="009154C3">
              <w:rPr>
                <w:sz w:val="20"/>
                <w:szCs w:val="20"/>
              </w:rPr>
              <w:t>Number of Responses</w:t>
            </w:r>
          </w:p>
          <w:p w14:paraId="61F00D5E" w14:textId="77777777" w:rsidR="00B70656" w:rsidRPr="009154C3" w:rsidRDefault="00B70656" w:rsidP="006E3DC2">
            <w:pPr>
              <w:jc w:val="center"/>
              <w:rPr>
                <w:sz w:val="20"/>
                <w:szCs w:val="20"/>
              </w:rPr>
            </w:pPr>
            <w:r w:rsidRPr="009154C3">
              <w:rPr>
                <w:sz w:val="20"/>
                <w:szCs w:val="20"/>
              </w:rPr>
              <w:t>(A)</w:t>
            </w:r>
          </w:p>
        </w:tc>
        <w:tc>
          <w:tcPr>
            <w:tcW w:w="1315" w:type="dxa"/>
          </w:tcPr>
          <w:p w14:paraId="61F00D5F" w14:textId="77777777" w:rsidR="00B70656" w:rsidRPr="009154C3" w:rsidRDefault="00B70656" w:rsidP="006E3DC2">
            <w:pPr>
              <w:jc w:val="center"/>
              <w:rPr>
                <w:sz w:val="20"/>
                <w:szCs w:val="20"/>
              </w:rPr>
            </w:pPr>
            <w:r>
              <w:rPr>
                <w:sz w:val="20"/>
                <w:szCs w:val="20"/>
              </w:rPr>
              <w:t>Incremental</w:t>
            </w:r>
            <w:r w:rsidRPr="009154C3">
              <w:rPr>
                <w:sz w:val="20"/>
                <w:szCs w:val="20"/>
              </w:rPr>
              <w:t xml:space="preserve"> Burden Hours</w:t>
            </w:r>
            <w:r>
              <w:rPr>
                <w:rStyle w:val="FootnoteReference"/>
                <w:sz w:val="20"/>
                <w:szCs w:val="20"/>
              </w:rPr>
              <w:footnoteReference w:id="6"/>
            </w:r>
            <w:r w:rsidRPr="009154C3">
              <w:rPr>
                <w:sz w:val="20"/>
                <w:szCs w:val="20"/>
              </w:rPr>
              <w:t>/Form</w:t>
            </w:r>
          </w:p>
          <w:p w14:paraId="61F00D60" w14:textId="77777777" w:rsidR="00B70656" w:rsidRPr="009154C3" w:rsidRDefault="00B70656" w:rsidP="006E3DC2">
            <w:pPr>
              <w:jc w:val="center"/>
              <w:rPr>
                <w:sz w:val="20"/>
                <w:szCs w:val="20"/>
              </w:rPr>
            </w:pPr>
            <w:r w:rsidRPr="009154C3">
              <w:rPr>
                <w:sz w:val="20"/>
                <w:szCs w:val="20"/>
              </w:rPr>
              <w:t xml:space="preserve">(B) </w:t>
            </w:r>
          </w:p>
        </w:tc>
        <w:tc>
          <w:tcPr>
            <w:tcW w:w="1232" w:type="dxa"/>
          </w:tcPr>
          <w:p w14:paraId="61F00D61" w14:textId="77777777" w:rsidR="00B70656" w:rsidRPr="009154C3" w:rsidRDefault="00B70656" w:rsidP="006E3DC2">
            <w:pPr>
              <w:jc w:val="center"/>
              <w:rPr>
                <w:sz w:val="20"/>
                <w:szCs w:val="20"/>
              </w:rPr>
            </w:pPr>
            <w:r>
              <w:rPr>
                <w:sz w:val="20"/>
                <w:szCs w:val="20"/>
              </w:rPr>
              <w:t>Total Incremental</w:t>
            </w:r>
            <w:r w:rsidRPr="009154C3">
              <w:rPr>
                <w:sz w:val="20"/>
                <w:szCs w:val="20"/>
              </w:rPr>
              <w:t xml:space="preserve"> Burden Hours</w:t>
            </w:r>
          </w:p>
          <w:p w14:paraId="61F00D62" w14:textId="77777777" w:rsidR="00B70656" w:rsidRPr="009154C3" w:rsidRDefault="00B70656" w:rsidP="006E3DC2">
            <w:pPr>
              <w:jc w:val="center"/>
              <w:rPr>
                <w:sz w:val="20"/>
                <w:szCs w:val="20"/>
              </w:rPr>
            </w:pPr>
            <w:r w:rsidRPr="009154C3">
              <w:rPr>
                <w:sz w:val="20"/>
                <w:szCs w:val="20"/>
              </w:rPr>
              <w:t>(C)=(A)*(B)</w:t>
            </w:r>
          </w:p>
        </w:tc>
        <w:tc>
          <w:tcPr>
            <w:tcW w:w="1315" w:type="dxa"/>
          </w:tcPr>
          <w:p w14:paraId="61F00D63" w14:textId="77777777" w:rsidR="00B70656" w:rsidRPr="009154C3" w:rsidRDefault="00B70656" w:rsidP="006E3DC2">
            <w:pPr>
              <w:jc w:val="center"/>
              <w:rPr>
                <w:sz w:val="20"/>
                <w:szCs w:val="20"/>
              </w:rPr>
            </w:pPr>
            <w:r>
              <w:rPr>
                <w:sz w:val="20"/>
                <w:szCs w:val="20"/>
              </w:rPr>
              <w:t>2</w:t>
            </w:r>
            <w:r w:rsidRPr="009154C3">
              <w:rPr>
                <w:sz w:val="20"/>
                <w:szCs w:val="20"/>
              </w:rPr>
              <w:t>5% Company</w:t>
            </w:r>
          </w:p>
          <w:p w14:paraId="61F00D64" w14:textId="77777777" w:rsidR="00B70656" w:rsidRPr="009154C3" w:rsidRDefault="00B70656" w:rsidP="006E3DC2">
            <w:pPr>
              <w:jc w:val="center"/>
              <w:rPr>
                <w:sz w:val="20"/>
                <w:szCs w:val="20"/>
              </w:rPr>
            </w:pPr>
            <w:r w:rsidRPr="009154C3">
              <w:rPr>
                <w:sz w:val="20"/>
                <w:szCs w:val="20"/>
              </w:rPr>
              <w:t>(D)=(C)*0.</w:t>
            </w:r>
            <w:r>
              <w:rPr>
                <w:sz w:val="20"/>
                <w:szCs w:val="20"/>
              </w:rPr>
              <w:t>2</w:t>
            </w:r>
            <w:r w:rsidRPr="009154C3">
              <w:rPr>
                <w:sz w:val="20"/>
                <w:szCs w:val="20"/>
              </w:rPr>
              <w:t>5</w:t>
            </w:r>
          </w:p>
        </w:tc>
        <w:tc>
          <w:tcPr>
            <w:tcW w:w="1197" w:type="dxa"/>
          </w:tcPr>
          <w:p w14:paraId="61F00D65" w14:textId="77777777" w:rsidR="00B70656" w:rsidRPr="009154C3" w:rsidRDefault="00B70656" w:rsidP="006E3DC2">
            <w:pPr>
              <w:jc w:val="center"/>
              <w:rPr>
                <w:sz w:val="20"/>
                <w:szCs w:val="20"/>
              </w:rPr>
            </w:pPr>
            <w:r>
              <w:rPr>
                <w:sz w:val="20"/>
                <w:szCs w:val="20"/>
              </w:rPr>
              <w:t>7</w:t>
            </w:r>
            <w:r w:rsidRPr="009154C3">
              <w:rPr>
                <w:sz w:val="20"/>
                <w:szCs w:val="20"/>
              </w:rPr>
              <w:t>5% Professional</w:t>
            </w:r>
          </w:p>
          <w:p w14:paraId="61F00D66" w14:textId="77777777" w:rsidR="00B70656" w:rsidRPr="009154C3" w:rsidRDefault="00B70656" w:rsidP="006E3DC2">
            <w:pPr>
              <w:jc w:val="center"/>
              <w:rPr>
                <w:sz w:val="20"/>
                <w:szCs w:val="20"/>
              </w:rPr>
            </w:pPr>
            <w:r w:rsidRPr="009154C3">
              <w:rPr>
                <w:sz w:val="20"/>
                <w:szCs w:val="20"/>
              </w:rPr>
              <w:t>E=(C)*0.</w:t>
            </w:r>
            <w:r>
              <w:rPr>
                <w:sz w:val="20"/>
                <w:szCs w:val="20"/>
              </w:rPr>
              <w:t>7</w:t>
            </w:r>
            <w:r w:rsidRPr="009154C3">
              <w:rPr>
                <w:sz w:val="20"/>
                <w:szCs w:val="20"/>
              </w:rPr>
              <w:t>5</w:t>
            </w:r>
          </w:p>
        </w:tc>
        <w:tc>
          <w:tcPr>
            <w:tcW w:w="1320" w:type="dxa"/>
          </w:tcPr>
          <w:p w14:paraId="61F00D67" w14:textId="77777777" w:rsidR="00B70656" w:rsidRPr="009154C3" w:rsidRDefault="00B70656" w:rsidP="006E3DC2">
            <w:pPr>
              <w:jc w:val="center"/>
              <w:rPr>
                <w:sz w:val="20"/>
                <w:szCs w:val="20"/>
              </w:rPr>
            </w:pPr>
            <w:r w:rsidRPr="009154C3">
              <w:rPr>
                <w:sz w:val="20"/>
                <w:szCs w:val="20"/>
              </w:rPr>
              <w:t>Professional</w:t>
            </w:r>
          </w:p>
          <w:p w14:paraId="61F00D68" w14:textId="77777777" w:rsidR="00B70656" w:rsidRPr="009154C3" w:rsidRDefault="00B70656" w:rsidP="006E3DC2">
            <w:pPr>
              <w:jc w:val="center"/>
              <w:rPr>
                <w:sz w:val="20"/>
                <w:szCs w:val="20"/>
              </w:rPr>
            </w:pPr>
            <w:r w:rsidRPr="009154C3">
              <w:rPr>
                <w:sz w:val="20"/>
                <w:szCs w:val="20"/>
              </w:rPr>
              <w:t xml:space="preserve">Costs </w:t>
            </w:r>
          </w:p>
          <w:p w14:paraId="61F00D69" w14:textId="77777777" w:rsidR="00B70656" w:rsidRPr="009154C3" w:rsidRDefault="00B70656" w:rsidP="006E3DC2">
            <w:pPr>
              <w:rPr>
                <w:sz w:val="20"/>
                <w:szCs w:val="20"/>
              </w:rPr>
            </w:pPr>
            <w:r w:rsidRPr="009154C3">
              <w:rPr>
                <w:sz w:val="20"/>
                <w:szCs w:val="20"/>
              </w:rPr>
              <w:t xml:space="preserve">(F)=(E)*$400 </w:t>
            </w:r>
          </w:p>
        </w:tc>
      </w:tr>
      <w:tr w:rsidR="00B70656" w14:paraId="61F00D72" w14:textId="77777777" w:rsidTr="00727C9C">
        <w:tc>
          <w:tcPr>
            <w:tcW w:w="1096" w:type="dxa"/>
            <w:tcBorders>
              <w:bottom w:val="single" w:sz="4" w:space="0" w:color="auto"/>
            </w:tcBorders>
          </w:tcPr>
          <w:p w14:paraId="61F00D6B" w14:textId="77777777" w:rsidR="00B70656" w:rsidRPr="009154C3" w:rsidRDefault="00B70656" w:rsidP="006E3DC2">
            <w:pPr>
              <w:jc w:val="center"/>
              <w:rPr>
                <w:sz w:val="20"/>
                <w:szCs w:val="20"/>
              </w:rPr>
            </w:pPr>
            <w:r>
              <w:rPr>
                <w:sz w:val="20"/>
                <w:szCs w:val="20"/>
              </w:rPr>
              <w:t>Form S-1</w:t>
            </w:r>
          </w:p>
        </w:tc>
        <w:tc>
          <w:tcPr>
            <w:tcW w:w="1183" w:type="dxa"/>
            <w:tcBorders>
              <w:bottom w:val="single" w:sz="4" w:space="0" w:color="auto"/>
            </w:tcBorders>
          </w:tcPr>
          <w:p w14:paraId="61F00D6C" w14:textId="77777777" w:rsidR="00B70656" w:rsidRPr="009154C3" w:rsidRDefault="00B70656" w:rsidP="006E3DC2">
            <w:pPr>
              <w:jc w:val="center"/>
              <w:rPr>
                <w:sz w:val="20"/>
                <w:szCs w:val="20"/>
              </w:rPr>
            </w:pPr>
            <w:r>
              <w:rPr>
                <w:sz w:val="20"/>
                <w:szCs w:val="20"/>
              </w:rPr>
              <w:t>401</w:t>
            </w:r>
          </w:p>
        </w:tc>
        <w:tc>
          <w:tcPr>
            <w:tcW w:w="1315" w:type="dxa"/>
            <w:tcBorders>
              <w:bottom w:val="single" w:sz="4" w:space="0" w:color="auto"/>
            </w:tcBorders>
          </w:tcPr>
          <w:p w14:paraId="61F00D6D" w14:textId="77777777" w:rsidR="00B70656" w:rsidRPr="009154C3" w:rsidRDefault="00B70656" w:rsidP="006E3DC2">
            <w:pPr>
              <w:jc w:val="center"/>
              <w:rPr>
                <w:sz w:val="20"/>
                <w:szCs w:val="20"/>
              </w:rPr>
            </w:pPr>
            <w:r>
              <w:rPr>
                <w:sz w:val="20"/>
                <w:szCs w:val="20"/>
              </w:rPr>
              <w:t>(155)</w:t>
            </w:r>
          </w:p>
        </w:tc>
        <w:tc>
          <w:tcPr>
            <w:tcW w:w="1232" w:type="dxa"/>
            <w:tcBorders>
              <w:bottom w:val="single" w:sz="4" w:space="0" w:color="auto"/>
            </w:tcBorders>
          </w:tcPr>
          <w:p w14:paraId="61F00D6E" w14:textId="77777777" w:rsidR="00B70656" w:rsidRPr="009154C3" w:rsidRDefault="00B70656" w:rsidP="006E3DC2">
            <w:pPr>
              <w:jc w:val="center"/>
              <w:rPr>
                <w:sz w:val="20"/>
                <w:szCs w:val="20"/>
              </w:rPr>
            </w:pPr>
            <w:r>
              <w:rPr>
                <w:sz w:val="20"/>
                <w:szCs w:val="20"/>
              </w:rPr>
              <w:t>(62,155)</w:t>
            </w:r>
          </w:p>
        </w:tc>
        <w:tc>
          <w:tcPr>
            <w:tcW w:w="1315" w:type="dxa"/>
            <w:tcBorders>
              <w:bottom w:val="single" w:sz="4" w:space="0" w:color="auto"/>
            </w:tcBorders>
          </w:tcPr>
          <w:p w14:paraId="61F00D6F" w14:textId="77777777" w:rsidR="00B70656" w:rsidRPr="009154C3" w:rsidRDefault="00B70656" w:rsidP="006E3DC2">
            <w:pPr>
              <w:jc w:val="center"/>
              <w:rPr>
                <w:sz w:val="20"/>
                <w:szCs w:val="20"/>
              </w:rPr>
            </w:pPr>
            <w:r>
              <w:rPr>
                <w:sz w:val="20"/>
                <w:szCs w:val="20"/>
              </w:rPr>
              <w:t>(15,539)</w:t>
            </w:r>
          </w:p>
        </w:tc>
        <w:tc>
          <w:tcPr>
            <w:tcW w:w="1197" w:type="dxa"/>
            <w:tcBorders>
              <w:bottom w:val="single" w:sz="4" w:space="0" w:color="auto"/>
            </w:tcBorders>
          </w:tcPr>
          <w:p w14:paraId="61F00D70" w14:textId="77777777" w:rsidR="00B70656" w:rsidRPr="009154C3" w:rsidRDefault="00B70656" w:rsidP="006E3DC2">
            <w:pPr>
              <w:jc w:val="center"/>
              <w:rPr>
                <w:sz w:val="20"/>
                <w:szCs w:val="20"/>
              </w:rPr>
            </w:pPr>
            <w:r>
              <w:rPr>
                <w:sz w:val="20"/>
                <w:szCs w:val="20"/>
              </w:rPr>
              <w:t>(46,616)</w:t>
            </w:r>
          </w:p>
        </w:tc>
        <w:tc>
          <w:tcPr>
            <w:tcW w:w="1320" w:type="dxa"/>
            <w:tcBorders>
              <w:bottom w:val="single" w:sz="4" w:space="0" w:color="auto"/>
            </w:tcBorders>
          </w:tcPr>
          <w:p w14:paraId="61F00D71" w14:textId="77777777" w:rsidR="00B70656" w:rsidRPr="009154C3" w:rsidRDefault="00B70656" w:rsidP="006E3DC2">
            <w:pPr>
              <w:jc w:val="center"/>
              <w:rPr>
                <w:sz w:val="20"/>
                <w:szCs w:val="20"/>
              </w:rPr>
            </w:pPr>
            <w:r>
              <w:rPr>
                <w:sz w:val="20"/>
                <w:szCs w:val="20"/>
              </w:rPr>
              <w:t>$(18,646,400)</w:t>
            </w:r>
          </w:p>
        </w:tc>
      </w:tr>
      <w:tr w:rsidR="00B70656" w14:paraId="61F00D7A" w14:textId="77777777" w:rsidTr="00727C9C">
        <w:tc>
          <w:tcPr>
            <w:tcW w:w="1096" w:type="dxa"/>
          </w:tcPr>
          <w:p w14:paraId="61F00D73" w14:textId="77777777" w:rsidR="00B70656" w:rsidRPr="009154C3" w:rsidRDefault="00B70656" w:rsidP="006E3DC2">
            <w:pPr>
              <w:jc w:val="center"/>
              <w:rPr>
                <w:sz w:val="20"/>
                <w:szCs w:val="20"/>
              </w:rPr>
            </w:pPr>
            <w:r>
              <w:rPr>
                <w:sz w:val="20"/>
                <w:szCs w:val="20"/>
              </w:rPr>
              <w:t>Form F-1</w:t>
            </w:r>
          </w:p>
        </w:tc>
        <w:tc>
          <w:tcPr>
            <w:tcW w:w="1183" w:type="dxa"/>
          </w:tcPr>
          <w:p w14:paraId="61F00D74" w14:textId="77777777" w:rsidR="00B70656" w:rsidRPr="009154C3" w:rsidRDefault="00B70656" w:rsidP="006E3DC2">
            <w:pPr>
              <w:jc w:val="center"/>
              <w:rPr>
                <w:sz w:val="20"/>
                <w:szCs w:val="20"/>
              </w:rPr>
            </w:pPr>
            <w:r>
              <w:rPr>
                <w:sz w:val="20"/>
                <w:szCs w:val="20"/>
              </w:rPr>
              <w:t>40</w:t>
            </w:r>
          </w:p>
        </w:tc>
        <w:tc>
          <w:tcPr>
            <w:tcW w:w="1315" w:type="dxa"/>
          </w:tcPr>
          <w:p w14:paraId="61F00D75" w14:textId="77777777" w:rsidR="00B70656" w:rsidRPr="009154C3" w:rsidRDefault="00B70656" w:rsidP="006E3DC2">
            <w:pPr>
              <w:jc w:val="center"/>
              <w:rPr>
                <w:sz w:val="20"/>
                <w:szCs w:val="20"/>
              </w:rPr>
            </w:pPr>
            <w:r>
              <w:rPr>
                <w:sz w:val="20"/>
                <w:szCs w:val="20"/>
              </w:rPr>
              <w:t>(155)</w:t>
            </w:r>
          </w:p>
        </w:tc>
        <w:tc>
          <w:tcPr>
            <w:tcW w:w="1232" w:type="dxa"/>
          </w:tcPr>
          <w:p w14:paraId="61F00D76" w14:textId="77777777" w:rsidR="00B70656" w:rsidRPr="009154C3" w:rsidRDefault="00B70656" w:rsidP="006E3DC2">
            <w:pPr>
              <w:jc w:val="center"/>
              <w:rPr>
                <w:sz w:val="20"/>
                <w:szCs w:val="20"/>
              </w:rPr>
            </w:pPr>
            <w:r>
              <w:rPr>
                <w:sz w:val="20"/>
                <w:szCs w:val="20"/>
              </w:rPr>
              <w:t>(6,200)</w:t>
            </w:r>
          </w:p>
        </w:tc>
        <w:tc>
          <w:tcPr>
            <w:tcW w:w="1315" w:type="dxa"/>
          </w:tcPr>
          <w:p w14:paraId="61F00D77" w14:textId="77777777" w:rsidR="00B70656" w:rsidRPr="009154C3" w:rsidRDefault="00B70656" w:rsidP="006E3DC2">
            <w:pPr>
              <w:jc w:val="center"/>
              <w:rPr>
                <w:sz w:val="20"/>
                <w:szCs w:val="20"/>
              </w:rPr>
            </w:pPr>
            <w:r>
              <w:rPr>
                <w:sz w:val="20"/>
                <w:szCs w:val="20"/>
              </w:rPr>
              <w:t>(1,550)</w:t>
            </w:r>
          </w:p>
        </w:tc>
        <w:tc>
          <w:tcPr>
            <w:tcW w:w="1197" w:type="dxa"/>
          </w:tcPr>
          <w:p w14:paraId="61F00D78" w14:textId="77777777" w:rsidR="00B70656" w:rsidRPr="009154C3" w:rsidRDefault="00B70656" w:rsidP="006E3DC2">
            <w:pPr>
              <w:jc w:val="center"/>
              <w:rPr>
                <w:sz w:val="20"/>
                <w:szCs w:val="20"/>
              </w:rPr>
            </w:pPr>
            <w:r>
              <w:rPr>
                <w:sz w:val="20"/>
                <w:szCs w:val="20"/>
              </w:rPr>
              <w:t>(4,650)</w:t>
            </w:r>
          </w:p>
        </w:tc>
        <w:tc>
          <w:tcPr>
            <w:tcW w:w="1320" w:type="dxa"/>
          </w:tcPr>
          <w:p w14:paraId="61F00D79" w14:textId="77777777" w:rsidR="00B70656" w:rsidRPr="009154C3" w:rsidRDefault="00B70656" w:rsidP="006E3DC2">
            <w:pPr>
              <w:jc w:val="center"/>
              <w:rPr>
                <w:sz w:val="20"/>
                <w:szCs w:val="20"/>
              </w:rPr>
            </w:pPr>
            <w:r>
              <w:rPr>
                <w:sz w:val="20"/>
                <w:szCs w:val="20"/>
              </w:rPr>
              <w:t>$(1,860,000)</w:t>
            </w:r>
          </w:p>
        </w:tc>
      </w:tr>
      <w:tr w:rsidR="00B70656" w14:paraId="61F00D82" w14:textId="77777777" w:rsidTr="00727C9C">
        <w:tc>
          <w:tcPr>
            <w:tcW w:w="1096" w:type="dxa"/>
            <w:tcBorders>
              <w:bottom w:val="single" w:sz="4" w:space="0" w:color="auto"/>
            </w:tcBorders>
          </w:tcPr>
          <w:p w14:paraId="61F00D7B" w14:textId="77777777" w:rsidR="00B70656" w:rsidRDefault="00B70656" w:rsidP="006E3DC2">
            <w:pPr>
              <w:jc w:val="center"/>
              <w:rPr>
                <w:sz w:val="20"/>
                <w:szCs w:val="20"/>
              </w:rPr>
            </w:pPr>
            <w:r>
              <w:rPr>
                <w:sz w:val="20"/>
                <w:szCs w:val="20"/>
              </w:rPr>
              <w:t>Total</w:t>
            </w:r>
          </w:p>
        </w:tc>
        <w:tc>
          <w:tcPr>
            <w:tcW w:w="1183" w:type="dxa"/>
            <w:tcBorders>
              <w:bottom w:val="single" w:sz="4" w:space="0" w:color="auto"/>
            </w:tcBorders>
          </w:tcPr>
          <w:p w14:paraId="61F00D7C" w14:textId="77777777" w:rsidR="00B70656" w:rsidRDefault="00B70656" w:rsidP="006E3DC2">
            <w:pPr>
              <w:jc w:val="center"/>
              <w:rPr>
                <w:sz w:val="20"/>
                <w:szCs w:val="20"/>
              </w:rPr>
            </w:pPr>
          </w:p>
        </w:tc>
        <w:tc>
          <w:tcPr>
            <w:tcW w:w="1315" w:type="dxa"/>
            <w:tcBorders>
              <w:bottom w:val="single" w:sz="4" w:space="0" w:color="auto"/>
            </w:tcBorders>
          </w:tcPr>
          <w:p w14:paraId="61F00D7D" w14:textId="77777777" w:rsidR="00B70656" w:rsidRDefault="00B70656" w:rsidP="006E3DC2">
            <w:pPr>
              <w:jc w:val="center"/>
              <w:rPr>
                <w:sz w:val="20"/>
                <w:szCs w:val="20"/>
              </w:rPr>
            </w:pPr>
          </w:p>
        </w:tc>
        <w:tc>
          <w:tcPr>
            <w:tcW w:w="1232" w:type="dxa"/>
            <w:tcBorders>
              <w:bottom w:val="single" w:sz="4" w:space="0" w:color="auto"/>
            </w:tcBorders>
          </w:tcPr>
          <w:p w14:paraId="61F00D7E" w14:textId="77777777" w:rsidR="00B70656" w:rsidRDefault="00B70656" w:rsidP="006E3DC2">
            <w:pPr>
              <w:jc w:val="center"/>
              <w:rPr>
                <w:sz w:val="20"/>
                <w:szCs w:val="20"/>
              </w:rPr>
            </w:pPr>
            <w:r>
              <w:rPr>
                <w:sz w:val="20"/>
                <w:szCs w:val="20"/>
              </w:rPr>
              <w:t>(68,355)</w:t>
            </w:r>
          </w:p>
        </w:tc>
        <w:tc>
          <w:tcPr>
            <w:tcW w:w="1315" w:type="dxa"/>
            <w:tcBorders>
              <w:bottom w:val="single" w:sz="4" w:space="0" w:color="auto"/>
            </w:tcBorders>
          </w:tcPr>
          <w:p w14:paraId="61F00D7F" w14:textId="77777777" w:rsidR="00B70656" w:rsidRPr="009154C3" w:rsidRDefault="00B70656" w:rsidP="006E3DC2">
            <w:pPr>
              <w:jc w:val="center"/>
              <w:rPr>
                <w:sz w:val="20"/>
                <w:szCs w:val="20"/>
              </w:rPr>
            </w:pPr>
            <w:r>
              <w:rPr>
                <w:sz w:val="20"/>
                <w:szCs w:val="20"/>
              </w:rPr>
              <w:t>(17,089)</w:t>
            </w:r>
          </w:p>
        </w:tc>
        <w:tc>
          <w:tcPr>
            <w:tcW w:w="1197" w:type="dxa"/>
            <w:tcBorders>
              <w:bottom w:val="single" w:sz="4" w:space="0" w:color="auto"/>
            </w:tcBorders>
          </w:tcPr>
          <w:p w14:paraId="61F00D80" w14:textId="77777777" w:rsidR="00B70656" w:rsidRPr="009154C3" w:rsidRDefault="00B70656" w:rsidP="006E3DC2">
            <w:pPr>
              <w:jc w:val="center"/>
              <w:rPr>
                <w:sz w:val="20"/>
                <w:szCs w:val="20"/>
              </w:rPr>
            </w:pPr>
          </w:p>
        </w:tc>
        <w:tc>
          <w:tcPr>
            <w:tcW w:w="1320" w:type="dxa"/>
            <w:tcBorders>
              <w:bottom w:val="single" w:sz="4" w:space="0" w:color="auto"/>
            </w:tcBorders>
          </w:tcPr>
          <w:p w14:paraId="61F00D81" w14:textId="77777777" w:rsidR="00B70656" w:rsidRPr="009154C3" w:rsidRDefault="00B70656" w:rsidP="006E3DC2">
            <w:pPr>
              <w:jc w:val="center"/>
              <w:rPr>
                <w:sz w:val="20"/>
                <w:szCs w:val="20"/>
              </w:rPr>
            </w:pPr>
            <w:r>
              <w:rPr>
                <w:sz w:val="20"/>
                <w:szCs w:val="20"/>
              </w:rPr>
              <w:t>$(20,506,400)</w:t>
            </w:r>
          </w:p>
        </w:tc>
      </w:tr>
    </w:tbl>
    <w:p w14:paraId="61F00D83" w14:textId="77777777" w:rsidR="00B70656" w:rsidRPr="00EC5E45" w:rsidRDefault="00B70656" w:rsidP="00B70656">
      <w:pPr>
        <w:spacing w:line="480" w:lineRule="auto"/>
      </w:pPr>
    </w:p>
    <w:p w14:paraId="61F00D84" w14:textId="77777777" w:rsidR="00B70656" w:rsidRPr="00DA53B0" w:rsidRDefault="00B70656" w:rsidP="00B70656">
      <w:pPr>
        <w:pStyle w:val="ListParagraph"/>
        <w:numPr>
          <w:ilvl w:val="0"/>
          <w:numId w:val="3"/>
        </w:numPr>
        <w:spacing w:line="480" w:lineRule="auto"/>
        <w:rPr>
          <w:u w:val="single"/>
        </w:rPr>
      </w:pPr>
      <w:r w:rsidRPr="00DA53B0">
        <w:rPr>
          <w:u w:val="single"/>
        </w:rPr>
        <w:t>Forward incorporation by reference on Form S-1 by smaller reporting companies</w:t>
      </w:r>
    </w:p>
    <w:p w14:paraId="61F00D85" w14:textId="77777777" w:rsidR="00B70656" w:rsidRDefault="00B70656" w:rsidP="00B70656">
      <w:pPr>
        <w:pStyle w:val="ListParagraph"/>
        <w:spacing w:line="480" w:lineRule="auto"/>
        <w:ind w:left="0" w:firstLine="720"/>
      </w:pPr>
      <w:r>
        <w:t xml:space="preserve">For purposes of the PRA, we estimate that all smaller reporting companies will take advantage of the election to forward incorporate by reference.  We estimate that the amendments to permit smaller reporting companies to incorporate by reference into the prospectus contained in the registration statement on Form S-1 all documents subsequently filed by the issuer with the Commission after the effective date of the registration statement would reduce incrementally the annual paperwork burden by approximately 53,125 hours of issuer personnel time and by a cost of approximately $63,750,000 for the services of outside professionals.  The estimate reflects the decrease in disclosure preparation time by eliminating the need to file certain post-effective </w:t>
      </w:r>
      <w:r>
        <w:lastRenderedPageBreak/>
        <w:t>amendments when that information is disclosed in Exchange Act filings after the effectiveness of the Form S-1.  We estimate that forward incorporation by reference would reduce the paperwork burden in Form S-1 for smaller reporting companies by 212,500 hours</w:t>
      </w:r>
      <w:r w:rsidR="001A2000">
        <w:t xml:space="preserve"> </w:t>
      </w:r>
      <w:r w:rsidR="00854EEA">
        <w:t xml:space="preserve">on the </w:t>
      </w:r>
      <w:r w:rsidR="001A2000">
        <w:t>assum</w:t>
      </w:r>
      <w:r w:rsidR="00854EEA">
        <w:t>ption</w:t>
      </w:r>
      <w:r>
        <w:t xml:space="preserve"> that the burden to complete a Form S-1 that incorporates by reference would be </w:t>
      </w:r>
      <w:r w:rsidR="00854EEA">
        <w:t xml:space="preserve">the </w:t>
      </w:r>
      <w:r>
        <w:t xml:space="preserve">same as the burden currently imposed by Form S-3 (472 hours).  Therefore, the amount of time eliminated for each Form S-1 that incorporates by reference would be 500 hours (972 hours for a Form S-1 that does not incorporate information by reference minus 472 hours for a Form S-1 that does incorporate information by reference).  </w:t>
      </w:r>
    </w:p>
    <w:p w14:paraId="61F00D86" w14:textId="77777777" w:rsidR="00B70656" w:rsidRDefault="00B70656" w:rsidP="00B70656">
      <w:pPr>
        <w:ind w:left="1440" w:hanging="1440"/>
        <w:rPr>
          <w:b/>
        </w:rPr>
      </w:pPr>
      <w:proofErr w:type="gramStart"/>
      <w:r>
        <w:rPr>
          <w:b/>
        </w:rPr>
        <w:t>Table 2.</w:t>
      </w:r>
      <w:proofErr w:type="gramEnd"/>
      <w:r>
        <w:rPr>
          <w:b/>
        </w:rPr>
        <w:tab/>
        <w:t>Revised</w:t>
      </w:r>
      <w:r w:rsidRPr="005F6FA9">
        <w:rPr>
          <w:b/>
        </w:rPr>
        <w:t xml:space="preserve"> P</w:t>
      </w:r>
      <w:r w:rsidR="00CE0B9A">
        <w:rPr>
          <w:b/>
        </w:rPr>
        <w:t>RA</w:t>
      </w:r>
      <w:r w:rsidRPr="005F6FA9">
        <w:rPr>
          <w:b/>
        </w:rPr>
        <w:t xml:space="preserve"> Burden under the amendment permitting smaller reporting companies to forward incorporate by reference on Form S-1:</w:t>
      </w:r>
    </w:p>
    <w:p w14:paraId="61F00D87" w14:textId="77777777" w:rsidR="00B70656" w:rsidRPr="005F6FA9" w:rsidRDefault="00B70656" w:rsidP="00B70656">
      <w:pPr>
        <w:ind w:left="1440" w:hanging="1440"/>
        <w:rPr>
          <w:b/>
        </w:rPr>
      </w:pPr>
    </w:p>
    <w:tbl>
      <w:tblPr>
        <w:tblStyle w:val="TableGrid"/>
        <w:tblW w:w="0" w:type="pct"/>
        <w:tblInd w:w="918" w:type="dxa"/>
        <w:tblLook w:val="04A0" w:firstRow="1" w:lastRow="0" w:firstColumn="1" w:lastColumn="0" w:noHBand="0" w:noVBand="1"/>
        <w:tblDescription w:val="Revised PRA Burden under the amendment permitting smaller reporting companies to forward incorporate by reference on Form S-1"/>
      </w:tblPr>
      <w:tblGrid>
        <w:gridCol w:w="1030"/>
        <w:gridCol w:w="1187"/>
        <w:gridCol w:w="1238"/>
        <w:gridCol w:w="1272"/>
        <w:gridCol w:w="1335"/>
        <w:gridCol w:w="1246"/>
        <w:gridCol w:w="1350"/>
      </w:tblGrid>
      <w:tr w:rsidR="00B70656" w14:paraId="61F00D96" w14:textId="77777777" w:rsidTr="00727C9C">
        <w:trPr>
          <w:tblHeader/>
        </w:trPr>
        <w:tc>
          <w:tcPr>
            <w:tcW w:w="1037" w:type="dxa"/>
          </w:tcPr>
          <w:p w14:paraId="61F00D88" w14:textId="77777777" w:rsidR="00B70656" w:rsidRDefault="00B70656" w:rsidP="006E3DC2">
            <w:pPr>
              <w:jc w:val="center"/>
            </w:pPr>
          </w:p>
        </w:tc>
        <w:tc>
          <w:tcPr>
            <w:tcW w:w="1188" w:type="dxa"/>
          </w:tcPr>
          <w:p w14:paraId="61F00D89" w14:textId="77777777" w:rsidR="00B70656" w:rsidRPr="009154C3" w:rsidRDefault="00B70656" w:rsidP="006E3DC2">
            <w:pPr>
              <w:jc w:val="center"/>
              <w:rPr>
                <w:sz w:val="20"/>
                <w:szCs w:val="20"/>
              </w:rPr>
            </w:pPr>
            <w:r w:rsidRPr="009154C3">
              <w:rPr>
                <w:sz w:val="20"/>
                <w:szCs w:val="20"/>
              </w:rPr>
              <w:t>Number of Responses</w:t>
            </w:r>
            <w:r>
              <w:rPr>
                <w:rStyle w:val="FootnoteReference"/>
                <w:sz w:val="20"/>
                <w:szCs w:val="20"/>
              </w:rPr>
              <w:footnoteReference w:id="7"/>
            </w:r>
          </w:p>
          <w:p w14:paraId="61F00D8A" w14:textId="77777777" w:rsidR="00B70656" w:rsidRDefault="00B70656" w:rsidP="006E3DC2">
            <w:pPr>
              <w:jc w:val="center"/>
            </w:pPr>
            <w:r w:rsidRPr="009154C3">
              <w:rPr>
                <w:sz w:val="20"/>
                <w:szCs w:val="20"/>
              </w:rPr>
              <w:t>(A)</w:t>
            </w:r>
          </w:p>
        </w:tc>
        <w:tc>
          <w:tcPr>
            <w:tcW w:w="1239" w:type="dxa"/>
          </w:tcPr>
          <w:p w14:paraId="61F00D8B" w14:textId="77777777" w:rsidR="00B70656" w:rsidRPr="009154C3" w:rsidRDefault="00B70656" w:rsidP="006E3DC2">
            <w:pPr>
              <w:jc w:val="center"/>
              <w:rPr>
                <w:sz w:val="20"/>
                <w:szCs w:val="20"/>
              </w:rPr>
            </w:pPr>
            <w:r w:rsidRPr="009154C3">
              <w:rPr>
                <w:sz w:val="20"/>
                <w:szCs w:val="20"/>
              </w:rPr>
              <w:t>Incremental Burden Hours/Form</w:t>
            </w:r>
          </w:p>
          <w:p w14:paraId="61F00D8C" w14:textId="77777777" w:rsidR="00B70656" w:rsidRDefault="00B70656" w:rsidP="006E3DC2">
            <w:pPr>
              <w:jc w:val="center"/>
            </w:pPr>
            <w:r w:rsidRPr="009154C3">
              <w:rPr>
                <w:sz w:val="20"/>
                <w:szCs w:val="20"/>
              </w:rPr>
              <w:t>(B)</w:t>
            </w:r>
          </w:p>
        </w:tc>
        <w:tc>
          <w:tcPr>
            <w:tcW w:w="1273" w:type="dxa"/>
          </w:tcPr>
          <w:p w14:paraId="61F00D8D" w14:textId="77777777" w:rsidR="00B70656" w:rsidRPr="009154C3" w:rsidRDefault="00B70656" w:rsidP="006E3DC2">
            <w:pPr>
              <w:jc w:val="center"/>
              <w:rPr>
                <w:sz w:val="20"/>
                <w:szCs w:val="20"/>
              </w:rPr>
            </w:pPr>
            <w:r w:rsidRPr="009154C3">
              <w:rPr>
                <w:sz w:val="20"/>
                <w:szCs w:val="20"/>
              </w:rPr>
              <w:t>Total Incremental Burden Hours</w:t>
            </w:r>
          </w:p>
          <w:p w14:paraId="61F00D8E" w14:textId="77777777" w:rsidR="00B70656" w:rsidRDefault="00B70656" w:rsidP="006E3DC2">
            <w:pPr>
              <w:jc w:val="center"/>
            </w:pPr>
            <w:r w:rsidRPr="009154C3">
              <w:rPr>
                <w:sz w:val="20"/>
                <w:szCs w:val="20"/>
              </w:rPr>
              <w:t>(C)=(A)*(B)</w:t>
            </w:r>
          </w:p>
        </w:tc>
        <w:tc>
          <w:tcPr>
            <w:tcW w:w="1335" w:type="dxa"/>
          </w:tcPr>
          <w:p w14:paraId="61F00D8F" w14:textId="77777777" w:rsidR="00B70656" w:rsidRPr="009154C3" w:rsidRDefault="00B70656" w:rsidP="006E3DC2">
            <w:pPr>
              <w:jc w:val="center"/>
              <w:rPr>
                <w:sz w:val="20"/>
                <w:szCs w:val="20"/>
              </w:rPr>
            </w:pPr>
            <w:r>
              <w:rPr>
                <w:sz w:val="20"/>
                <w:szCs w:val="20"/>
              </w:rPr>
              <w:t>2</w:t>
            </w:r>
            <w:r w:rsidRPr="009154C3">
              <w:rPr>
                <w:sz w:val="20"/>
                <w:szCs w:val="20"/>
              </w:rPr>
              <w:t>5% Company</w:t>
            </w:r>
          </w:p>
          <w:p w14:paraId="61F00D90" w14:textId="77777777" w:rsidR="00B70656" w:rsidRDefault="00B70656" w:rsidP="006E3DC2">
            <w:pPr>
              <w:jc w:val="center"/>
            </w:pPr>
            <w:r w:rsidRPr="009154C3">
              <w:rPr>
                <w:sz w:val="20"/>
                <w:szCs w:val="20"/>
              </w:rPr>
              <w:t>(D)=(C)*0.</w:t>
            </w:r>
            <w:r>
              <w:rPr>
                <w:sz w:val="20"/>
                <w:szCs w:val="20"/>
              </w:rPr>
              <w:t>2</w:t>
            </w:r>
            <w:r w:rsidRPr="009154C3">
              <w:rPr>
                <w:sz w:val="20"/>
                <w:szCs w:val="20"/>
              </w:rPr>
              <w:t>5</w:t>
            </w:r>
          </w:p>
        </w:tc>
        <w:tc>
          <w:tcPr>
            <w:tcW w:w="1247" w:type="dxa"/>
          </w:tcPr>
          <w:p w14:paraId="61F00D91" w14:textId="77777777" w:rsidR="00B70656" w:rsidRPr="009154C3" w:rsidRDefault="00B70656" w:rsidP="006E3DC2">
            <w:pPr>
              <w:jc w:val="center"/>
              <w:rPr>
                <w:sz w:val="20"/>
                <w:szCs w:val="20"/>
              </w:rPr>
            </w:pPr>
            <w:r>
              <w:rPr>
                <w:sz w:val="20"/>
                <w:szCs w:val="20"/>
              </w:rPr>
              <w:t>7</w:t>
            </w:r>
            <w:r w:rsidRPr="009154C3">
              <w:rPr>
                <w:sz w:val="20"/>
                <w:szCs w:val="20"/>
              </w:rPr>
              <w:t>5% Professional</w:t>
            </w:r>
          </w:p>
          <w:p w14:paraId="61F00D92" w14:textId="77777777" w:rsidR="00B70656" w:rsidRDefault="00B70656" w:rsidP="006E3DC2">
            <w:pPr>
              <w:jc w:val="center"/>
            </w:pPr>
            <w:r w:rsidRPr="009154C3">
              <w:rPr>
                <w:sz w:val="20"/>
                <w:szCs w:val="20"/>
              </w:rPr>
              <w:t>E=(C)*0.</w:t>
            </w:r>
            <w:r>
              <w:rPr>
                <w:sz w:val="20"/>
                <w:szCs w:val="20"/>
              </w:rPr>
              <w:t>7</w:t>
            </w:r>
            <w:r w:rsidRPr="009154C3">
              <w:rPr>
                <w:sz w:val="20"/>
                <w:szCs w:val="20"/>
              </w:rPr>
              <w:t>5</w:t>
            </w:r>
          </w:p>
        </w:tc>
        <w:tc>
          <w:tcPr>
            <w:tcW w:w="1339" w:type="dxa"/>
          </w:tcPr>
          <w:p w14:paraId="61F00D93" w14:textId="77777777" w:rsidR="00B70656" w:rsidRPr="009154C3" w:rsidRDefault="00B70656" w:rsidP="006E3DC2">
            <w:pPr>
              <w:jc w:val="center"/>
              <w:rPr>
                <w:sz w:val="20"/>
                <w:szCs w:val="20"/>
              </w:rPr>
            </w:pPr>
            <w:r w:rsidRPr="009154C3">
              <w:rPr>
                <w:sz w:val="20"/>
                <w:szCs w:val="20"/>
              </w:rPr>
              <w:t>Professional</w:t>
            </w:r>
          </w:p>
          <w:p w14:paraId="61F00D94" w14:textId="77777777" w:rsidR="00B70656" w:rsidRPr="009154C3" w:rsidRDefault="00B70656" w:rsidP="006E3DC2">
            <w:pPr>
              <w:jc w:val="center"/>
              <w:rPr>
                <w:sz w:val="20"/>
                <w:szCs w:val="20"/>
              </w:rPr>
            </w:pPr>
            <w:r w:rsidRPr="009154C3">
              <w:rPr>
                <w:sz w:val="20"/>
                <w:szCs w:val="20"/>
              </w:rPr>
              <w:t>Costs</w:t>
            </w:r>
          </w:p>
          <w:p w14:paraId="61F00D95" w14:textId="77777777" w:rsidR="00B70656" w:rsidRDefault="00B70656" w:rsidP="006E3DC2">
            <w:pPr>
              <w:jc w:val="center"/>
            </w:pPr>
            <w:r w:rsidRPr="009154C3">
              <w:rPr>
                <w:sz w:val="20"/>
                <w:szCs w:val="20"/>
              </w:rPr>
              <w:t>(F)=(E)*$400</w:t>
            </w:r>
          </w:p>
        </w:tc>
      </w:tr>
      <w:tr w:rsidR="00B70656" w:rsidRPr="00DC2223" w14:paraId="61F00D9E" w14:textId="77777777" w:rsidTr="00727C9C">
        <w:tc>
          <w:tcPr>
            <w:tcW w:w="1037" w:type="dxa"/>
          </w:tcPr>
          <w:p w14:paraId="61F00D97" w14:textId="77777777" w:rsidR="00B70656" w:rsidRPr="00DC2223" w:rsidRDefault="00B70656" w:rsidP="006E3DC2">
            <w:pPr>
              <w:jc w:val="center"/>
              <w:rPr>
                <w:sz w:val="20"/>
                <w:szCs w:val="20"/>
              </w:rPr>
            </w:pPr>
            <w:r w:rsidRPr="00DC2223">
              <w:rPr>
                <w:sz w:val="20"/>
                <w:szCs w:val="20"/>
              </w:rPr>
              <w:t>Form S-1</w:t>
            </w:r>
          </w:p>
        </w:tc>
        <w:tc>
          <w:tcPr>
            <w:tcW w:w="1188" w:type="dxa"/>
          </w:tcPr>
          <w:p w14:paraId="61F00D98" w14:textId="77777777" w:rsidR="00B70656" w:rsidRPr="00DC2223" w:rsidRDefault="00B70656" w:rsidP="006E3DC2">
            <w:pPr>
              <w:jc w:val="center"/>
              <w:rPr>
                <w:sz w:val="20"/>
                <w:szCs w:val="20"/>
              </w:rPr>
            </w:pPr>
            <w:r w:rsidRPr="00DC2223">
              <w:rPr>
                <w:sz w:val="20"/>
                <w:szCs w:val="20"/>
              </w:rPr>
              <w:t>4</w:t>
            </w:r>
            <w:r>
              <w:rPr>
                <w:sz w:val="20"/>
                <w:szCs w:val="20"/>
              </w:rPr>
              <w:t>25</w:t>
            </w:r>
          </w:p>
        </w:tc>
        <w:tc>
          <w:tcPr>
            <w:tcW w:w="1239" w:type="dxa"/>
          </w:tcPr>
          <w:p w14:paraId="61F00D99" w14:textId="77777777" w:rsidR="00B70656" w:rsidRPr="00DC2223" w:rsidRDefault="00B70656" w:rsidP="006E3DC2">
            <w:pPr>
              <w:jc w:val="center"/>
              <w:rPr>
                <w:sz w:val="20"/>
                <w:szCs w:val="20"/>
              </w:rPr>
            </w:pPr>
            <w:r>
              <w:rPr>
                <w:sz w:val="20"/>
                <w:szCs w:val="20"/>
              </w:rPr>
              <w:t>(</w:t>
            </w:r>
            <w:r w:rsidRPr="00DC2223">
              <w:rPr>
                <w:sz w:val="20"/>
                <w:szCs w:val="20"/>
              </w:rPr>
              <w:t>500</w:t>
            </w:r>
            <w:r>
              <w:rPr>
                <w:sz w:val="20"/>
                <w:szCs w:val="20"/>
              </w:rPr>
              <w:t>)</w:t>
            </w:r>
          </w:p>
        </w:tc>
        <w:tc>
          <w:tcPr>
            <w:tcW w:w="1273" w:type="dxa"/>
          </w:tcPr>
          <w:p w14:paraId="61F00D9A" w14:textId="77777777" w:rsidR="00B70656" w:rsidRPr="00DC2223" w:rsidRDefault="00B70656" w:rsidP="006E3DC2">
            <w:pPr>
              <w:jc w:val="center"/>
              <w:rPr>
                <w:sz w:val="20"/>
                <w:szCs w:val="20"/>
              </w:rPr>
            </w:pPr>
            <w:r>
              <w:rPr>
                <w:sz w:val="20"/>
                <w:szCs w:val="20"/>
              </w:rPr>
              <w:t>(212,500)</w:t>
            </w:r>
          </w:p>
        </w:tc>
        <w:tc>
          <w:tcPr>
            <w:tcW w:w="1335" w:type="dxa"/>
          </w:tcPr>
          <w:p w14:paraId="61F00D9B" w14:textId="77777777" w:rsidR="00B70656" w:rsidRPr="00DC2223" w:rsidRDefault="00B70656" w:rsidP="006E3DC2">
            <w:pPr>
              <w:jc w:val="center"/>
              <w:rPr>
                <w:sz w:val="20"/>
                <w:szCs w:val="20"/>
              </w:rPr>
            </w:pPr>
            <w:r>
              <w:rPr>
                <w:sz w:val="20"/>
                <w:szCs w:val="20"/>
              </w:rPr>
              <w:t>(53,125)</w:t>
            </w:r>
          </w:p>
        </w:tc>
        <w:tc>
          <w:tcPr>
            <w:tcW w:w="1247" w:type="dxa"/>
          </w:tcPr>
          <w:p w14:paraId="61F00D9C" w14:textId="77777777" w:rsidR="00B70656" w:rsidRPr="00DC2223" w:rsidRDefault="00B70656" w:rsidP="006E3DC2">
            <w:pPr>
              <w:jc w:val="center"/>
              <w:rPr>
                <w:sz w:val="20"/>
                <w:szCs w:val="20"/>
              </w:rPr>
            </w:pPr>
            <w:r>
              <w:rPr>
                <w:sz w:val="20"/>
                <w:szCs w:val="20"/>
              </w:rPr>
              <w:t>(159,375)</w:t>
            </w:r>
          </w:p>
        </w:tc>
        <w:tc>
          <w:tcPr>
            <w:tcW w:w="1339" w:type="dxa"/>
          </w:tcPr>
          <w:p w14:paraId="61F00D9D" w14:textId="77777777" w:rsidR="00B70656" w:rsidRPr="00DC2223" w:rsidRDefault="00B70656" w:rsidP="006E3DC2">
            <w:pPr>
              <w:jc w:val="center"/>
              <w:rPr>
                <w:sz w:val="20"/>
                <w:szCs w:val="20"/>
              </w:rPr>
            </w:pPr>
            <w:r>
              <w:rPr>
                <w:sz w:val="20"/>
                <w:szCs w:val="20"/>
              </w:rPr>
              <w:t>$(63,750,000)</w:t>
            </w:r>
          </w:p>
        </w:tc>
      </w:tr>
    </w:tbl>
    <w:p w14:paraId="61F00D9F" w14:textId="77777777" w:rsidR="00B70656" w:rsidRDefault="00B70656" w:rsidP="00B70656">
      <w:pPr>
        <w:pStyle w:val="ListParagraph"/>
        <w:spacing w:line="480" w:lineRule="auto"/>
        <w:ind w:left="0"/>
      </w:pPr>
      <w:r>
        <w:t xml:space="preserve">     </w:t>
      </w:r>
    </w:p>
    <w:p w14:paraId="61F00DA0" w14:textId="77777777" w:rsidR="004842D9" w:rsidRDefault="004842D9">
      <w:pPr>
        <w:rPr>
          <w:rFonts w:eastAsia="Arial Unicode MS" w:cs="Times New Roman"/>
          <w:color w:val="000000"/>
          <w:u w:val="single"/>
        </w:rPr>
      </w:pPr>
      <w:r>
        <w:rPr>
          <w:rFonts w:cs="Times New Roman"/>
          <w:color w:val="000000"/>
          <w:u w:val="single"/>
        </w:rPr>
        <w:br w:type="page"/>
      </w:r>
    </w:p>
    <w:p w14:paraId="61F00DA1" w14:textId="77777777" w:rsidR="00B70656" w:rsidRDefault="00B70656" w:rsidP="00C422F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sz w:val="24"/>
          <w:szCs w:val="24"/>
          <w:u w:val="single"/>
        </w:rPr>
      </w:pPr>
    </w:p>
    <w:p w14:paraId="61F00DA2" w14:textId="77777777" w:rsidR="0059554D" w:rsidRDefault="00633C4A" w:rsidP="00C422F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BodyTextFirstIndentChar"/>
          <w:rFonts w:ascii="Times New Roman" w:hAnsi="Times New Roman" w:cs="Times New Roman"/>
          <w:color w:val="000000"/>
        </w:rPr>
      </w:pPr>
      <w:r w:rsidRPr="00052E91">
        <w:rPr>
          <w:rFonts w:ascii="Times New Roman" w:hAnsi="Times New Roman" w:cs="Times New Roman"/>
          <w:color w:val="000000"/>
          <w:sz w:val="24"/>
          <w:szCs w:val="24"/>
          <w:u w:val="single"/>
        </w:rPr>
        <w:t>Title of Collection:</w:t>
      </w:r>
      <w:r w:rsidRPr="00052E91">
        <w:rPr>
          <w:rStyle w:val="BodyTextFirstIndentChar"/>
          <w:rFonts w:ascii="Times New Roman" w:hAnsi="Times New Roman" w:cs="Times New Roman"/>
          <w:color w:val="000000"/>
        </w:rPr>
        <w:t xml:space="preserve"> </w:t>
      </w:r>
      <w:r w:rsidR="008B1D1F">
        <w:rPr>
          <w:rFonts w:ascii="Times New Roman" w:hAnsi="Times New Roman" w:cs="Times New Roman"/>
          <w:sz w:val="24"/>
          <w:szCs w:val="24"/>
        </w:rPr>
        <w:t>Simplification of</w:t>
      </w:r>
      <w:r w:rsidR="00C422F3" w:rsidRPr="00C422F3">
        <w:rPr>
          <w:rFonts w:ascii="Times New Roman" w:hAnsi="Times New Roman" w:cs="Times New Roman"/>
          <w:sz w:val="24"/>
          <w:szCs w:val="24"/>
        </w:rPr>
        <w:t xml:space="preserve"> Disclosure Requirements for Emerging Growth Companies and </w:t>
      </w:r>
      <w:r w:rsidR="008B1D1F">
        <w:rPr>
          <w:rFonts w:ascii="Times New Roman" w:hAnsi="Times New Roman" w:cs="Times New Roman"/>
          <w:sz w:val="24"/>
          <w:szCs w:val="24"/>
        </w:rPr>
        <w:t>F</w:t>
      </w:r>
      <w:r w:rsidR="00C422F3" w:rsidRPr="00C422F3">
        <w:rPr>
          <w:rFonts w:ascii="Times New Roman" w:hAnsi="Times New Roman" w:cs="Times New Roman"/>
          <w:sz w:val="24"/>
          <w:szCs w:val="24"/>
        </w:rPr>
        <w:t xml:space="preserve">orward Incorporation by Reference </w:t>
      </w:r>
      <w:r w:rsidR="00CA5EE4">
        <w:rPr>
          <w:rFonts w:ascii="Times New Roman" w:hAnsi="Times New Roman" w:cs="Times New Roman"/>
          <w:sz w:val="24"/>
          <w:szCs w:val="24"/>
        </w:rPr>
        <w:t xml:space="preserve">on Form S-1 </w:t>
      </w:r>
      <w:r w:rsidR="00C422F3" w:rsidRPr="00C422F3">
        <w:rPr>
          <w:rFonts w:ascii="Times New Roman" w:hAnsi="Times New Roman" w:cs="Times New Roman"/>
          <w:sz w:val="24"/>
          <w:szCs w:val="24"/>
        </w:rPr>
        <w:t>for Smaller Reporting Companies</w:t>
      </w:r>
      <w:r w:rsidR="00FC204B" w:rsidRPr="00052E91">
        <w:rPr>
          <w:rStyle w:val="BodyTextFirstIndentChar"/>
          <w:rFonts w:ascii="Times New Roman" w:hAnsi="Times New Roman" w:cs="Times New Roman"/>
          <w:color w:val="000000"/>
        </w:rPr>
        <w:t xml:space="preserve">  </w:t>
      </w:r>
    </w:p>
    <w:p w14:paraId="61F00DA3" w14:textId="77777777" w:rsidR="00C422F3" w:rsidRPr="00C422F3" w:rsidRDefault="00C422F3" w:rsidP="00C422F3">
      <w:pPr>
        <w:pStyle w:val="BodyText"/>
      </w:pPr>
    </w:p>
    <w:p w14:paraId="61F00DA4" w14:textId="77777777" w:rsidR="00633C4A" w:rsidRPr="0059554D" w:rsidRDefault="00633C4A" w:rsidP="00DF1A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BodyTextFirstIndentChar"/>
          <w:rFonts w:ascii="Times New Roman" w:hAnsi="Times New Roman" w:cs="Times New Roman"/>
          <w:color w:val="000000"/>
        </w:rPr>
      </w:pPr>
      <w:r w:rsidRPr="00A735C0">
        <w:rPr>
          <w:rFonts w:ascii="Times New Roman" w:hAnsi="Times New Roman" w:cs="Times New Roman"/>
          <w:color w:val="000000"/>
          <w:sz w:val="24"/>
          <w:szCs w:val="24"/>
          <w:u w:val="single"/>
        </w:rPr>
        <w:t xml:space="preserve">OMB </w:t>
      </w:r>
      <w:proofErr w:type="gramStart"/>
      <w:r w:rsidR="004C17A8">
        <w:rPr>
          <w:rFonts w:ascii="Times New Roman" w:hAnsi="Times New Roman" w:cs="Times New Roman"/>
          <w:color w:val="000000"/>
          <w:sz w:val="24"/>
          <w:szCs w:val="24"/>
          <w:u w:val="single"/>
        </w:rPr>
        <w:t xml:space="preserve">Control </w:t>
      </w:r>
      <w:r w:rsidR="00FC204B" w:rsidRPr="008A25B9">
        <w:rPr>
          <w:rFonts w:ascii="Times New Roman" w:hAnsi="Times New Roman" w:cs="Times New Roman"/>
          <w:color w:val="000000"/>
          <w:sz w:val="24"/>
          <w:szCs w:val="24"/>
          <w:u w:val="single"/>
        </w:rPr>
        <w:t xml:space="preserve"> Number</w:t>
      </w:r>
      <w:r w:rsidR="00BA16ED">
        <w:rPr>
          <w:rFonts w:ascii="Times New Roman" w:hAnsi="Times New Roman" w:cs="Times New Roman"/>
          <w:color w:val="000000"/>
          <w:sz w:val="24"/>
          <w:szCs w:val="24"/>
          <w:u w:val="single"/>
        </w:rPr>
        <w:t>s</w:t>
      </w:r>
      <w:proofErr w:type="gramEnd"/>
      <w:r w:rsidR="00FC204B" w:rsidRPr="008A25B9">
        <w:rPr>
          <w:rFonts w:ascii="Times New Roman" w:hAnsi="Times New Roman" w:cs="Times New Roman"/>
          <w:color w:val="000000"/>
          <w:sz w:val="24"/>
          <w:szCs w:val="24"/>
          <w:u w:val="single"/>
        </w:rPr>
        <w:t>:</w:t>
      </w:r>
      <w:r w:rsidR="00E167DC">
        <w:rPr>
          <w:rFonts w:ascii="Times New Roman" w:hAnsi="Times New Roman" w:cs="Times New Roman"/>
          <w:color w:val="000000"/>
          <w:sz w:val="24"/>
          <w:szCs w:val="24"/>
        </w:rPr>
        <w:t xml:space="preserve"> </w:t>
      </w:r>
      <w:r w:rsidR="00CE0B9A">
        <w:rPr>
          <w:rFonts w:ascii="Times New Roman" w:hAnsi="Times New Roman" w:cs="Times New Roman"/>
          <w:color w:val="000000"/>
          <w:sz w:val="24"/>
          <w:szCs w:val="24"/>
        </w:rPr>
        <w:t>3235-0065 (Form S-1) and 3235-0258 (Form F-1)</w:t>
      </w:r>
    </w:p>
    <w:p w14:paraId="61F00DA5" w14:textId="77777777" w:rsidR="00502915" w:rsidRPr="00052E91" w:rsidRDefault="00502915" w:rsidP="00DF1A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b/>
          <w:color w:val="000000"/>
          <w:sz w:val="24"/>
          <w:szCs w:val="24"/>
        </w:rPr>
      </w:pPr>
      <w:r w:rsidRPr="009B767D">
        <w:rPr>
          <w:rFonts w:ascii="Times New Roman" w:hAnsi="Times New Roman" w:cs="Times New Roman"/>
          <w:color w:val="000000"/>
          <w:sz w:val="24"/>
          <w:szCs w:val="24"/>
          <w:u w:val="single"/>
        </w:rPr>
        <w:t>Type of Review:</w:t>
      </w:r>
      <w:r w:rsidR="00FC204B" w:rsidRPr="00052E91">
        <w:rPr>
          <w:rStyle w:val="BodyTextFirstIndentChar"/>
          <w:rFonts w:ascii="Times New Roman" w:hAnsi="Times New Roman" w:cs="Times New Roman"/>
          <w:color w:val="000000"/>
        </w:rPr>
        <w:t xml:space="preserve"> Emergency</w:t>
      </w:r>
    </w:p>
    <w:p w14:paraId="61F00DA6" w14:textId="77777777" w:rsidR="008F4839" w:rsidRPr="00052E91" w:rsidRDefault="008F4839" w:rsidP="00DF1A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color w:val="000000"/>
          <w:sz w:val="24"/>
          <w:szCs w:val="24"/>
          <w:u w:val="single"/>
        </w:rPr>
      </w:pPr>
      <w:r w:rsidRPr="00052E91">
        <w:rPr>
          <w:rFonts w:ascii="Times New Roman" w:hAnsi="Times New Roman" w:cs="Times New Roman"/>
          <w:color w:val="000000"/>
          <w:sz w:val="24"/>
          <w:szCs w:val="24"/>
          <w:u w:val="single"/>
        </w:rPr>
        <w:t>Requested Duration of Authorization</w:t>
      </w:r>
      <w:r w:rsidR="000A3F57" w:rsidRPr="00052E91">
        <w:rPr>
          <w:rFonts w:ascii="Times New Roman" w:hAnsi="Times New Roman" w:cs="Times New Roman"/>
          <w:color w:val="000000"/>
          <w:sz w:val="24"/>
          <w:szCs w:val="24"/>
          <w:u w:val="single"/>
        </w:rPr>
        <w:t>:</w:t>
      </w:r>
      <w:r w:rsidR="000A3F57" w:rsidRPr="00052E91">
        <w:rPr>
          <w:rStyle w:val="BodyTextFirstIndentChar"/>
          <w:rFonts w:ascii="Times New Roman" w:hAnsi="Times New Roman" w:cs="Times New Roman"/>
          <w:color w:val="000000"/>
        </w:rPr>
        <w:t xml:space="preserve"> </w:t>
      </w:r>
      <w:r w:rsidR="00130C3A" w:rsidRPr="00052E91">
        <w:rPr>
          <w:rStyle w:val="BodyTextFirstIndentChar"/>
          <w:rFonts w:ascii="Times New Roman" w:hAnsi="Times New Roman" w:cs="Times New Roman"/>
          <w:color w:val="000000"/>
        </w:rPr>
        <w:t xml:space="preserve"> 6 Months</w:t>
      </w:r>
    </w:p>
    <w:p w14:paraId="61F00DA7" w14:textId="180AB845" w:rsidR="00776008" w:rsidRDefault="00A23679" w:rsidP="00542003">
      <w:pPr>
        <w:pStyle w:val="BodyText"/>
        <w:spacing w:after="0"/>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t>Bent J. Fields</w:t>
      </w:r>
    </w:p>
    <w:p w14:paraId="68DD6D9A" w14:textId="255FF652" w:rsidR="009B3588" w:rsidRDefault="00A23679" w:rsidP="00542003">
      <w:pPr>
        <w:pStyle w:val="BodyText"/>
        <w:spacing w:after="0"/>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bookmarkStart w:id="0" w:name="_GoBack"/>
      <w:bookmarkEnd w:id="0"/>
      <w:r w:rsidR="009B3588">
        <w:rPr>
          <w:rFonts w:cs="Times New Roman"/>
        </w:rPr>
        <w:t>Secreta</w:t>
      </w:r>
      <w:r w:rsidR="00542003">
        <w:rPr>
          <w:rFonts w:cs="Times New Roman"/>
        </w:rPr>
        <w:t>r</w:t>
      </w:r>
      <w:r w:rsidR="009B3588">
        <w:rPr>
          <w:rFonts w:cs="Times New Roman"/>
        </w:rPr>
        <w:t>y</w:t>
      </w:r>
    </w:p>
    <w:p w14:paraId="180AD9FA" w14:textId="77777777" w:rsidR="009B3588" w:rsidRDefault="009B3588" w:rsidP="00052E91">
      <w:pPr>
        <w:pStyle w:val="BodyText"/>
        <w:rPr>
          <w:rFonts w:cs="Times New Roman"/>
        </w:rPr>
      </w:pPr>
    </w:p>
    <w:p w14:paraId="68886F0B" w14:textId="4B7519FE" w:rsidR="009B3588" w:rsidRDefault="00542003" w:rsidP="00052E91">
      <w:pPr>
        <w:pStyle w:val="BodyText"/>
        <w:rPr>
          <w:rFonts w:cs="Times New Roman"/>
        </w:rPr>
      </w:pPr>
      <w:r>
        <w:rPr>
          <w:rFonts w:cs="Times New Roman"/>
        </w:rPr>
        <w:t>January 19, 2016</w:t>
      </w:r>
    </w:p>
    <w:sectPr w:rsidR="009B3588" w:rsidSect="00E43118">
      <w:footerReference w:type="even"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F00DAE" w14:textId="77777777" w:rsidR="00C11303" w:rsidRDefault="00C11303">
      <w:r>
        <w:separator/>
      </w:r>
    </w:p>
  </w:endnote>
  <w:endnote w:type="continuationSeparator" w:id="0">
    <w:p w14:paraId="61F00DAF" w14:textId="77777777" w:rsidR="00C11303" w:rsidRDefault="00C11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00DB0" w14:textId="77777777" w:rsidR="00003007" w:rsidRDefault="00003007" w:rsidP="003F0E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F00DB1" w14:textId="77777777" w:rsidR="00003007" w:rsidRDefault="000030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00DB2" w14:textId="77777777" w:rsidR="00003007" w:rsidRDefault="00003007" w:rsidP="003F0EE4">
    <w:pPr>
      <w:pStyle w:val="Footer"/>
      <w:framePr w:wrap="around" w:vAnchor="text" w:hAnchor="margin" w:xAlign="center" w:y="1"/>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A23679">
      <w:rPr>
        <w:rStyle w:val="PageNumber"/>
        <w:noProof/>
      </w:rPr>
      <w:t>8</w:t>
    </w:r>
    <w:r>
      <w:rPr>
        <w:rStyle w:val="PageNumber"/>
      </w:rPr>
      <w:fldChar w:fldCharType="end"/>
    </w:r>
    <w:r>
      <w:rPr>
        <w:rStyle w:val="PageNumber"/>
      </w:rPr>
      <w:t xml:space="preserve"> -</w:t>
    </w:r>
  </w:p>
  <w:p w14:paraId="61F00DB3" w14:textId="77777777" w:rsidR="00003007" w:rsidRDefault="000030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F00DAC" w14:textId="77777777" w:rsidR="00C11303" w:rsidRDefault="00C11303">
      <w:r>
        <w:separator/>
      </w:r>
    </w:p>
  </w:footnote>
  <w:footnote w:type="continuationSeparator" w:id="0">
    <w:p w14:paraId="61F00DAD" w14:textId="77777777" w:rsidR="00C11303" w:rsidRDefault="00C11303">
      <w:r>
        <w:continuationSeparator/>
      </w:r>
    </w:p>
  </w:footnote>
  <w:footnote w:id="1">
    <w:p w14:paraId="61F00DB4" w14:textId="77777777" w:rsidR="00D631E4" w:rsidRDefault="00D631E4">
      <w:pPr>
        <w:pStyle w:val="FootnoteText"/>
      </w:pPr>
      <w:r>
        <w:rPr>
          <w:rStyle w:val="FootnoteReference"/>
        </w:rPr>
        <w:footnoteRef/>
      </w:r>
      <w:r>
        <w:t xml:space="preserve">  </w:t>
      </w:r>
      <w:r w:rsidRPr="00D631E4">
        <w:rPr>
          <w:u w:val="single"/>
        </w:rPr>
        <w:t>See</w:t>
      </w:r>
      <w:r>
        <w:t xml:space="preserve"> Release No. 33-10003 [81 FR 2743].</w:t>
      </w:r>
    </w:p>
    <w:p w14:paraId="61F00DB5" w14:textId="77777777" w:rsidR="00D631E4" w:rsidRDefault="00D631E4">
      <w:pPr>
        <w:pStyle w:val="FootnoteText"/>
      </w:pPr>
    </w:p>
  </w:footnote>
  <w:footnote w:id="2">
    <w:p w14:paraId="61F00DB6" w14:textId="77777777" w:rsidR="00D631E4" w:rsidRDefault="00D631E4">
      <w:pPr>
        <w:pStyle w:val="FootnoteText"/>
      </w:pPr>
      <w:r>
        <w:rPr>
          <w:rStyle w:val="FootnoteReference"/>
        </w:rPr>
        <w:footnoteRef/>
      </w:r>
      <w:r>
        <w:t xml:space="preserve">  </w:t>
      </w:r>
      <w:proofErr w:type="gramStart"/>
      <w:r>
        <w:t>Pub.</w:t>
      </w:r>
      <w:proofErr w:type="gramEnd"/>
      <w:r>
        <w:t xml:space="preserve"> </w:t>
      </w:r>
      <w:proofErr w:type="gramStart"/>
      <w:r>
        <w:t>L. No. 114-94.</w:t>
      </w:r>
      <w:proofErr w:type="gramEnd"/>
    </w:p>
  </w:footnote>
  <w:footnote w:id="3">
    <w:p w14:paraId="61F00DB7" w14:textId="77777777" w:rsidR="00B70656" w:rsidRDefault="00B70656" w:rsidP="00B70656">
      <w:pPr>
        <w:pStyle w:val="FootnoteText"/>
      </w:pPr>
      <w:r>
        <w:rPr>
          <w:rStyle w:val="FootnoteReference"/>
        </w:rPr>
        <w:footnoteRef/>
      </w:r>
      <w:r>
        <w:t xml:space="preserve">  Consistent with other recent rulemakings, we estimate an average hourly rate of $400 for hiring outside professionals to assist issuers in preparing disclosures and conducting registered offerings.  </w:t>
      </w:r>
    </w:p>
    <w:p w14:paraId="61F00DB8" w14:textId="77777777" w:rsidR="00B70656" w:rsidRDefault="00B70656" w:rsidP="00B70656">
      <w:pPr>
        <w:pStyle w:val="FootnoteText"/>
      </w:pPr>
    </w:p>
  </w:footnote>
  <w:footnote w:id="4">
    <w:p w14:paraId="61F00DB9" w14:textId="77777777" w:rsidR="00B70656" w:rsidRDefault="00B70656" w:rsidP="00B70656">
      <w:pPr>
        <w:pStyle w:val="FootnoteText"/>
      </w:pPr>
      <w:r>
        <w:rPr>
          <w:rStyle w:val="FootnoteReference"/>
        </w:rPr>
        <w:footnoteRef/>
      </w:r>
      <w:r>
        <w:t xml:space="preserve">  We estimated the audit fee for emerging growth companies by using the median audit fee of $46,300 for smaller reporting companies.  </w:t>
      </w:r>
      <w:r w:rsidRPr="00477201">
        <w:rPr>
          <w:i/>
        </w:rPr>
        <w:t xml:space="preserve">See </w:t>
      </w:r>
      <w:r w:rsidR="005A300C">
        <w:t xml:space="preserve">John </w:t>
      </w:r>
      <w:proofErr w:type="spellStart"/>
      <w:r w:rsidR="005A300C">
        <w:t>Pakaluk</w:t>
      </w:r>
      <w:proofErr w:type="spellEnd"/>
      <w:r w:rsidR="005A300C">
        <w:t xml:space="preserve">, </w:t>
      </w:r>
      <w:r w:rsidRPr="00477201">
        <w:rPr>
          <w:i/>
        </w:rPr>
        <w:t>Audit Fees for Smaller Reporting Companies</w:t>
      </w:r>
      <w:r>
        <w:t xml:space="preserve">, </w:t>
      </w:r>
      <w:r w:rsidR="00C967EC">
        <w:t>AUDIT ANALYTICS (</w:t>
      </w:r>
      <w:r>
        <w:t>Feb. 26, 2015</w:t>
      </w:r>
      <w:r w:rsidR="00C967EC">
        <w:t>)</w:t>
      </w:r>
      <w:r>
        <w:t xml:space="preserve">, </w:t>
      </w:r>
      <w:hyperlink r:id="rId1" w:history="1">
        <w:r w:rsidRPr="001602AC">
          <w:rPr>
            <w:rStyle w:val="Hyperlink"/>
            <w:rFonts w:eastAsia="Arial Unicode MS"/>
          </w:rPr>
          <w:t>http://www.auditanalytics.com/blog/audit-fees-for-smaller-reporting-companies</w:t>
        </w:r>
      </w:hyperlink>
      <w:r>
        <w:t xml:space="preserve">.  </w:t>
      </w:r>
    </w:p>
    <w:p w14:paraId="61F00DBA" w14:textId="77777777" w:rsidR="00B70656" w:rsidRDefault="00B70656" w:rsidP="00B70656">
      <w:pPr>
        <w:pStyle w:val="FootnoteText"/>
      </w:pPr>
      <w:r>
        <w:t xml:space="preserve">  </w:t>
      </w:r>
    </w:p>
  </w:footnote>
  <w:footnote w:id="5">
    <w:p w14:paraId="61F00DBB" w14:textId="77777777" w:rsidR="00F8412F" w:rsidRDefault="00F8412F" w:rsidP="00F8412F">
      <w:pPr>
        <w:pStyle w:val="FootnoteText"/>
      </w:pPr>
      <w:r>
        <w:rPr>
          <w:rStyle w:val="FootnoteReference"/>
        </w:rPr>
        <w:footnoteRef/>
      </w:r>
      <w:r>
        <w:t xml:space="preserve">  The number of responses equals the average number of Forms S-1 or Form F-1, respectively, filed by emerging growth companies (EGCs) during a three</w:t>
      </w:r>
      <w:r w:rsidR="00CE0B9A">
        <w:t>-</w:t>
      </w:r>
      <w:r>
        <w:t>year period.  In 2012</w:t>
      </w:r>
      <w:r w:rsidR="00CE0B9A">
        <w:t>,</w:t>
      </w:r>
      <w:r>
        <w:t xml:space="preserve"> EGCs filed 295 Forms S-1</w:t>
      </w:r>
      <w:r w:rsidR="00CE0B9A">
        <w:t>;</w:t>
      </w:r>
      <w:r>
        <w:t xml:space="preserve"> in 2013</w:t>
      </w:r>
      <w:r w:rsidR="00CE0B9A">
        <w:t>,</w:t>
      </w:r>
      <w:r>
        <w:t xml:space="preserve"> EGCs filed 404 Forms S-1</w:t>
      </w:r>
      <w:r w:rsidR="00CE0B9A">
        <w:t>;</w:t>
      </w:r>
      <w:r>
        <w:t xml:space="preserve"> and in 2014</w:t>
      </w:r>
      <w:r w:rsidR="00CE0B9A">
        <w:t>,</w:t>
      </w:r>
      <w:r>
        <w:t xml:space="preserve"> EGCs filed 504 Forms S-1.  In 2012</w:t>
      </w:r>
      <w:r w:rsidR="00CE0B9A">
        <w:t>,</w:t>
      </w:r>
      <w:r>
        <w:t xml:space="preserve"> EGCs filed 25 Forms F-1</w:t>
      </w:r>
      <w:r w:rsidR="00CE0B9A">
        <w:t>;</w:t>
      </w:r>
      <w:r>
        <w:t xml:space="preserve"> in 2013</w:t>
      </w:r>
      <w:r w:rsidR="00CE0B9A">
        <w:t>,</w:t>
      </w:r>
      <w:r>
        <w:t xml:space="preserve"> EGCs filed 31 Forms F-1</w:t>
      </w:r>
      <w:r w:rsidR="00CE0B9A">
        <w:t>;</w:t>
      </w:r>
      <w:r>
        <w:t xml:space="preserve"> and in 2014</w:t>
      </w:r>
      <w:r w:rsidR="00CE0B9A">
        <w:t>,</w:t>
      </w:r>
      <w:r>
        <w:t xml:space="preserve"> EGCs filed 65 Forms F-1.</w:t>
      </w:r>
      <w:r w:rsidR="0046057F">
        <w:t xml:space="preserve">  </w:t>
      </w:r>
    </w:p>
    <w:p w14:paraId="61F00DBC" w14:textId="77777777" w:rsidR="00F8412F" w:rsidRDefault="00F8412F" w:rsidP="00F8412F">
      <w:pPr>
        <w:pStyle w:val="FootnoteText"/>
      </w:pPr>
    </w:p>
  </w:footnote>
  <w:footnote w:id="6">
    <w:p w14:paraId="61F00DBD" w14:textId="77777777" w:rsidR="00B70656" w:rsidRDefault="00B70656" w:rsidP="00B70656">
      <w:pPr>
        <w:pStyle w:val="FootnoteText"/>
      </w:pPr>
      <w:r>
        <w:rPr>
          <w:rStyle w:val="FootnoteReference"/>
        </w:rPr>
        <w:footnoteRef/>
      </w:r>
      <w:r>
        <w:t xml:space="preserve">  We estimate that $46,300 divided by $400, or 116 hours, represents the cost of services of outside professionals, or 75% of the burden, and we estimate that the reduction in burden hours for the issuer equals 39 hours, or 25% of the burden.  These estimates were rounded up to nearest whole hour.   </w:t>
      </w:r>
    </w:p>
  </w:footnote>
  <w:footnote w:id="7">
    <w:p w14:paraId="61F00DBE" w14:textId="77777777" w:rsidR="00B70656" w:rsidRDefault="00B70656">
      <w:pPr>
        <w:pStyle w:val="FootnoteText"/>
      </w:pPr>
      <w:r>
        <w:rPr>
          <w:rStyle w:val="FootnoteReference"/>
        </w:rPr>
        <w:footnoteRef/>
      </w:r>
      <w:r>
        <w:t xml:space="preserve">  The number of responses equals the average number of Forms S-1 filed by </w:t>
      </w:r>
      <w:r w:rsidR="00155DD4">
        <w:t>smaller reporting companies (</w:t>
      </w:r>
      <w:r>
        <w:t>SRCs</w:t>
      </w:r>
      <w:r w:rsidR="00155DD4">
        <w:t>)</w:t>
      </w:r>
      <w:r>
        <w:t xml:space="preserve"> during a three</w:t>
      </w:r>
      <w:r w:rsidR="00CE0B9A">
        <w:t>-</w:t>
      </w:r>
      <w:r>
        <w:t xml:space="preserve">year period.  In 2012, SRCs filed 394 </w:t>
      </w:r>
      <w:r w:rsidR="00155DD4">
        <w:t xml:space="preserve">Forms </w:t>
      </w:r>
      <w:r>
        <w:t>S-1</w:t>
      </w:r>
      <w:r w:rsidR="00CE0B9A">
        <w:t>;</w:t>
      </w:r>
      <w:r>
        <w:t xml:space="preserve"> in 2013</w:t>
      </w:r>
      <w:r w:rsidR="00CE0B9A">
        <w:t>,</w:t>
      </w:r>
      <w:r>
        <w:t xml:space="preserve"> SRCs filed 432 </w:t>
      </w:r>
      <w:r w:rsidR="00155DD4">
        <w:t>Forms S-1</w:t>
      </w:r>
      <w:r w:rsidR="00CE0B9A">
        <w:t>;</w:t>
      </w:r>
      <w:r>
        <w:t xml:space="preserve"> a</w:t>
      </w:r>
      <w:r w:rsidR="0078378A">
        <w:t>nd in 2014</w:t>
      </w:r>
      <w:r w:rsidR="00CE0B9A">
        <w:t>,</w:t>
      </w:r>
      <w:r w:rsidR="0078378A">
        <w:t xml:space="preserve"> SRCs filed 448 </w:t>
      </w:r>
      <w:r w:rsidR="00155DD4">
        <w:t xml:space="preserve">Forms </w:t>
      </w:r>
      <w:r w:rsidR="0078378A">
        <w:t>S-1.</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E38AD"/>
    <w:multiLevelType w:val="hybridMultilevel"/>
    <w:tmpl w:val="2CD07968"/>
    <w:lvl w:ilvl="0" w:tplc="218AEE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D9E255F"/>
    <w:multiLevelType w:val="hybridMultilevel"/>
    <w:tmpl w:val="2A8C85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823370A"/>
    <w:multiLevelType w:val="hybridMultilevel"/>
    <w:tmpl w:val="755002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AED"/>
    <w:rsid w:val="00003007"/>
    <w:rsid w:val="000318E8"/>
    <w:rsid w:val="00040506"/>
    <w:rsid w:val="000518D7"/>
    <w:rsid w:val="00052E91"/>
    <w:rsid w:val="00065782"/>
    <w:rsid w:val="00083BE5"/>
    <w:rsid w:val="00095527"/>
    <w:rsid w:val="000974F1"/>
    <w:rsid w:val="000A3F57"/>
    <w:rsid w:val="000B747B"/>
    <w:rsid w:val="000C22EA"/>
    <w:rsid w:val="000D2AD9"/>
    <w:rsid w:val="000F6E08"/>
    <w:rsid w:val="001036B5"/>
    <w:rsid w:val="00107219"/>
    <w:rsid w:val="00130C3A"/>
    <w:rsid w:val="00137214"/>
    <w:rsid w:val="00142813"/>
    <w:rsid w:val="0014681E"/>
    <w:rsid w:val="00155DD4"/>
    <w:rsid w:val="0016656E"/>
    <w:rsid w:val="00166861"/>
    <w:rsid w:val="001709BB"/>
    <w:rsid w:val="001863AF"/>
    <w:rsid w:val="001A2000"/>
    <w:rsid w:val="001C5E5B"/>
    <w:rsid w:val="001D0BE6"/>
    <w:rsid w:val="001D2EFE"/>
    <w:rsid w:val="001E3F1B"/>
    <w:rsid w:val="001E5FDF"/>
    <w:rsid w:val="001F610D"/>
    <w:rsid w:val="001F640F"/>
    <w:rsid w:val="00205F46"/>
    <w:rsid w:val="002108AF"/>
    <w:rsid w:val="00212814"/>
    <w:rsid w:val="00222640"/>
    <w:rsid w:val="00223559"/>
    <w:rsid w:val="00223CAC"/>
    <w:rsid w:val="00243114"/>
    <w:rsid w:val="0024532C"/>
    <w:rsid w:val="002531B8"/>
    <w:rsid w:val="0025403A"/>
    <w:rsid w:val="00273AED"/>
    <w:rsid w:val="002760DF"/>
    <w:rsid w:val="00283D9E"/>
    <w:rsid w:val="0029594C"/>
    <w:rsid w:val="002B22AB"/>
    <w:rsid w:val="002B49F8"/>
    <w:rsid w:val="00314307"/>
    <w:rsid w:val="003178BC"/>
    <w:rsid w:val="00320919"/>
    <w:rsid w:val="00321F5E"/>
    <w:rsid w:val="0032528D"/>
    <w:rsid w:val="00347036"/>
    <w:rsid w:val="00367F58"/>
    <w:rsid w:val="00380CB8"/>
    <w:rsid w:val="00381C74"/>
    <w:rsid w:val="00382911"/>
    <w:rsid w:val="003901C0"/>
    <w:rsid w:val="003B1CFF"/>
    <w:rsid w:val="003B249E"/>
    <w:rsid w:val="003C4919"/>
    <w:rsid w:val="003D5702"/>
    <w:rsid w:val="003F0EE4"/>
    <w:rsid w:val="003F3D84"/>
    <w:rsid w:val="0040272E"/>
    <w:rsid w:val="004211BD"/>
    <w:rsid w:val="004305AE"/>
    <w:rsid w:val="00435592"/>
    <w:rsid w:val="00451315"/>
    <w:rsid w:val="0046057F"/>
    <w:rsid w:val="00464983"/>
    <w:rsid w:val="00477201"/>
    <w:rsid w:val="004842D9"/>
    <w:rsid w:val="0048613F"/>
    <w:rsid w:val="004A0AB7"/>
    <w:rsid w:val="004A2EFE"/>
    <w:rsid w:val="004C1234"/>
    <w:rsid w:val="004C17A8"/>
    <w:rsid w:val="004C5914"/>
    <w:rsid w:val="004C7279"/>
    <w:rsid w:val="004D3CF1"/>
    <w:rsid w:val="004F603E"/>
    <w:rsid w:val="00502915"/>
    <w:rsid w:val="0050681B"/>
    <w:rsid w:val="00516671"/>
    <w:rsid w:val="00542003"/>
    <w:rsid w:val="00553C21"/>
    <w:rsid w:val="00560A09"/>
    <w:rsid w:val="00561DBA"/>
    <w:rsid w:val="0059554D"/>
    <w:rsid w:val="005A0E52"/>
    <w:rsid w:val="005A300C"/>
    <w:rsid w:val="005D112B"/>
    <w:rsid w:val="005E0362"/>
    <w:rsid w:val="005E5F30"/>
    <w:rsid w:val="00604DC8"/>
    <w:rsid w:val="006055F6"/>
    <w:rsid w:val="00612529"/>
    <w:rsid w:val="00614723"/>
    <w:rsid w:val="00622D5C"/>
    <w:rsid w:val="006309FA"/>
    <w:rsid w:val="00633C4A"/>
    <w:rsid w:val="00635D97"/>
    <w:rsid w:val="0064106C"/>
    <w:rsid w:val="0065644C"/>
    <w:rsid w:val="00665827"/>
    <w:rsid w:val="00683E9F"/>
    <w:rsid w:val="00694FB5"/>
    <w:rsid w:val="006A48B7"/>
    <w:rsid w:val="006D0B21"/>
    <w:rsid w:val="006D0B53"/>
    <w:rsid w:val="006D7F84"/>
    <w:rsid w:val="006E1918"/>
    <w:rsid w:val="006E4C4E"/>
    <w:rsid w:val="006E6E99"/>
    <w:rsid w:val="006E7DA5"/>
    <w:rsid w:val="00706421"/>
    <w:rsid w:val="00711F5D"/>
    <w:rsid w:val="0071535D"/>
    <w:rsid w:val="00726B93"/>
    <w:rsid w:val="00727C9C"/>
    <w:rsid w:val="00731A1E"/>
    <w:rsid w:val="00731B2A"/>
    <w:rsid w:val="00743A19"/>
    <w:rsid w:val="00750077"/>
    <w:rsid w:val="00757AED"/>
    <w:rsid w:val="0077273C"/>
    <w:rsid w:val="00776008"/>
    <w:rsid w:val="0078378A"/>
    <w:rsid w:val="00792E61"/>
    <w:rsid w:val="00795778"/>
    <w:rsid w:val="007A2EFC"/>
    <w:rsid w:val="007E1A6D"/>
    <w:rsid w:val="007F58A4"/>
    <w:rsid w:val="007F627B"/>
    <w:rsid w:val="007F6A38"/>
    <w:rsid w:val="007F7E07"/>
    <w:rsid w:val="00847853"/>
    <w:rsid w:val="00851F17"/>
    <w:rsid w:val="00854EEA"/>
    <w:rsid w:val="00857C34"/>
    <w:rsid w:val="00873D8A"/>
    <w:rsid w:val="008740EA"/>
    <w:rsid w:val="00874CCF"/>
    <w:rsid w:val="008812D8"/>
    <w:rsid w:val="008920DA"/>
    <w:rsid w:val="008A25B9"/>
    <w:rsid w:val="008B17B4"/>
    <w:rsid w:val="008B1D1F"/>
    <w:rsid w:val="008C6831"/>
    <w:rsid w:val="008D0DD2"/>
    <w:rsid w:val="008E1A66"/>
    <w:rsid w:val="008F3300"/>
    <w:rsid w:val="008F4839"/>
    <w:rsid w:val="00902BDC"/>
    <w:rsid w:val="00907D00"/>
    <w:rsid w:val="00920D0F"/>
    <w:rsid w:val="009218DD"/>
    <w:rsid w:val="00921E43"/>
    <w:rsid w:val="0095187F"/>
    <w:rsid w:val="00957F7F"/>
    <w:rsid w:val="00967E98"/>
    <w:rsid w:val="0097356C"/>
    <w:rsid w:val="00980FB2"/>
    <w:rsid w:val="00990F68"/>
    <w:rsid w:val="00993BFB"/>
    <w:rsid w:val="009A5A33"/>
    <w:rsid w:val="009B3588"/>
    <w:rsid w:val="009B767D"/>
    <w:rsid w:val="009C6097"/>
    <w:rsid w:val="009D2347"/>
    <w:rsid w:val="009E08D9"/>
    <w:rsid w:val="00A0657F"/>
    <w:rsid w:val="00A10DB6"/>
    <w:rsid w:val="00A146E4"/>
    <w:rsid w:val="00A14DDE"/>
    <w:rsid w:val="00A23679"/>
    <w:rsid w:val="00A25B37"/>
    <w:rsid w:val="00A620EF"/>
    <w:rsid w:val="00A62B4B"/>
    <w:rsid w:val="00A70475"/>
    <w:rsid w:val="00A70E5B"/>
    <w:rsid w:val="00A735C0"/>
    <w:rsid w:val="00A85DEC"/>
    <w:rsid w:val="00A90F35"/>
    <w:rsid w:val="00AA0BE7"/>
    <w:rsid w:val="00AC5711"/>
    <w:rsid w:val="00B03F37"/>
    <w:rsid w:val="00B16686"/>
    <w:rsid w:val="00B178B6"/>
    <w:rsid w:val="00B25B93"/>
    <w:rsid w:val="00B2756D"/>
    <w:rsid w:val="00B30AFC"/>
    <w:rsid w:val="00B40E82"/>
    <w:rsid w:val="00B519A2"/>
    <w:rsid w:val="00B556E7"/>
    <w:rsid w:val="00B579B5"/>
    <w:rsid w:val="00B64AE7"/>
    <w:rsid w:val="00B70656"/>
    <w:rsid w:val="00B7767D"/>
    <w:rsid w:val="00B941D3"/>
    <w:rsid w:val="00B969C1"/>
    <w:rsid w:val="00BA16ED"/>
    <w:rsid w:val="00BA5D73"/>
    <w:rsid w:val="00BB239B"/>
    <w:rsid w:val="00BC152A"/>
    <w:rsid w:val="00BC5AB7"/>
    <w:rsid w:val="00BC668E"/>
    <w:rsid w:val="00BD2CCB"/>
    <w:rsid w:val="00BE2685"/>
    <w:rsid w:val="00BE2BDE"/>
    <w:rsid w:val="00BE6E5D"/>
    <w:rsid w:val="00C02A79"/>
    <w:rsid w:val="00C03928"/>
    <w:rsid w:val="00C11303"/>
    <w:rsid w:val="00C1507D"/>
    <w:rsid w:val="00C422F3"/>
    <w:rsid w:val="00C56008"/>
    <w:rsid w:val="00C56CE8"/>
    <w:rsid w:val="00C57E8C"/>
    <w:rsid w:val="00C622D7"/>
    <w:rsid w:val="00C743BB"/>
    <w:rsid w:val="00C75952"/>
    <w:rsid w:val="00C77683"/>
    <w:rsid w:val="00C91AA0"/>
    <w:rsid w:val="00C967EC"/>
    <w:rsid w:val="00CA1F8D"/>
    <w:rsid w:val="00CA5EE4"/>
    <w:rsid w:val="00CC419C"/>
    <w:rsid w:val="00CE0B9A"/>
    <w:rsid w:val="00D03DB0"/>
    <w:rsid w:val="00D058AA"/>
    <w:rsid w:val="00D06737"/>
    <w:rsid w:val="00D237D4"/>
    <w:rsid w:val="00D446BB"/>
    <w:rsid w:val="00D478CB"/>
    <w:rsid w:val="00D518B0"/>
    <w:rsid w:val="00D53308"/>
    <w:rsid w:val="00D5401C"/>
    <w:rsid w:val="00D55F1C"/>
    <w:rsid w:val="00D631E4"/>
    <w:rsid w:val="00D71C25"/>
    <w:rsid w:val="00D76E4D"/>
    <w:rsid w:val="00D82BFC"/>
    <w:rsid w:val="00D90EB5"/>
    <w:rsid w:val="00DA007B"/>
    <w:rsid w:val="00DD0DB8"/>
    <w:rsid w:val="00DE127F"/>
    <w:rsid w:val="00DE2A99"/>
    <w:rsid w:val="00DF1AB1"/>
    <w:rsid w:val="00E13E9E"/>
    <w:rsid w:val="00E167DC"/>
    <w:rsid w:val="00E32863"/>
    <w:rsid w:val="00E3517C"/>
    <w:rsid w:val="00E43118"/>
    <w:rsid w:val="00E44EC9"/>
    <w:rsid w:val="00E67802"/>
    <w:rsid w:val="00E832A3"/>
    <w:rsid w:val="00E97863"/>
    <w:rsid w:val="00EA084D"/>
    <w:rsid w:val="00EA18D1"/>
    <w:rsid w:val="00EA4D3F"/>
    <w:rsid w:val="00EB33C1"/>
    <w:rsid w:val="00ED3A41"/>
    <w:rsid w:val="00EE1B7B"/>
    <w:rsid w:val="00F31B6B"/>
    <w:rsid w:val="00F34FA9"/>
    <w:rsid w:val="00F35886"/>
    <w:rsid w:val="00F676A8"/>
    <w:rsid w:val="00F704D4"/>
    <w:rsid w:val="00F7137B"/>
    <w:rsid w:val="00F7253A"/>
    <w:rsid w:val="00F8412F"/>
    <w:rsid w:val="00F93BC8"/>
    <w:rsid w:val="00F958A4"/>
    <w:rsid w:val="00F97059"/>
    <w:rsid w:val="00FA2026"/>
    <w:rsid w:val="00FB2E70"/>
    <w:rsid w:val="00FC204B"/>
    <w:rsid w:val="00FC4AD5"/>
    <w:rsid w:val="00FD6E52"/>
    <w:rsid w:val="00FE1996"/>
    <w:rsid w:val="00FF5F14"/>
    <w:rsid w:val="00FF5F47"/>
    <w:rsid w:val="00FF7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F00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3AED"/>
    <w:rPr>
      <w:rFonts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73AED"/>
    <w:rPr>
      <w:color w:val="0000FF"/>
      <w:u w:val="single"/>
    </w:rPr>
  </w:style>
  <w:style w:type="paragraph" w:styleId="HTMLPreformatted">
    <w:name w:val="HTML Preformatted"/>
    <w:basedOn w:val="Normal"/>
    <w:next w:val="BodyText"/>
    <w:link w:val="HTMLPreformattedChar"/>
    <w:rsid w:val="00273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PreformattedChar">
    <w:name w:val="HTML Preformatted Char"/>
    <w:link w:val="HTMLPreformatted"/>
    <w:rsid w:val="00273AED"/>
    <w:rPr>
      <w:rFonts w:ascii="Arial Unicode MS" w:eastAsia="Arial Unicode MS" w:hAnsi="Arial Unicode MS" w:cs="Courier New"/>
      <w:lang w:val="en-US" w:eastAsia="en-US" w:bidi="ar-SA"/>
    </w:rPr>
  </w:style>
  <w:style w:type="paragraph" w:styleId="BodyText">
    <w:name w:val="Body Text"/>
    <w:basedOn w:val="Normal"/>
    <w:rsid w:val="000C22EA"/>
    <w:pPr>
      <w:spacing w:after="120"/>
    </w:pPr>
  </w:style>
  <w:style w:type="paragraph" w:styleId="BodyTextFirstIndent">
    <w:name w:val="Body Text First Indent"/>
    <w:basedOn w:val="BodyText"/>
    <w:link w:val="BodyTextFirstIndentChar"/>
    <w:rsid w:val="000C22EA"/>
    <w:pPr>
      <w:ind w:firstLine="210"/>
    </w:pPr>
  </w:style>
  <w:style w:type="character" w:customStyle="1" w:styleId="BodyTextFirstIndentChar">
    <w:name w:val="Body Text First Indent Char"/>
    <w:link w:val="BodyTextFirstIndent"/>
    <w:rsid w:val="000C22EA"/>
    <w:rPr>
      <w:sz w:val="24"/>
      <w:szCs w:val="24"/>
      <w:lang w:val="en-US" w:eastAsia="en-US" w:bidi="ar-SA"/>
    </w:rPr>
  </w:style>
  <w:style w:type="paragraph" w:styleId="Footer">
    <w:name w:val="footer"/>
    <w:basedOn w:val="Normal"/>
    <w:rsid w:val="008E1A66"/>
    <w:pPr>
      <w:tabs>
        <w:tab w:val="center" w:pos="4320"/>
        <w:tab w:val="right" w:pos="8640"/>
      </w:tabs>
    </w:pPr>
  </w:style>
  <w:style w:type="character" w:styleId="PageNumber">
    <w:name w:val="page number"/>
    <w:basedOn w:val="DefaultParagraphFont"/>
    <w:rsid w:val="008E1A66"/>
  </w:style>
  <w:style w:type="paragraph" w:styleId="Header">
    <w:name w:val="header"/>
    <w:basedOn w:val="Normal"/>
    <w:link w:val="HeaderChar"/>
    <w:uiPriority w:val="99"/>
    <w:rsid w:val="008E1A66"/>
    <w:pPr>
      <w:tabs>
        <w:tab w:val="center" w:pos="4320"/>
        <w:tab w:val="right" w:pos="8640"/>
      </w:tabs>
    </w:pPr>
  </w:style>
  <w:style w:type="character" w:customStyle="1" w:styleId="HeaderChar">
    <w:name w:val="Header Char"/>
    <w:link w:val="Header"/>
    <w:uiPriority w:val="99"/>
    <w:rsid w:val="00FD6E52"/>
    <w:rPr>
      <w:rFonts w:cs="Courier New"/>
      <w:sz w:val="24"/>
      <w:szCs w:val="24"/>
      <w:lang w:val="en-US" w:eastAsia="en-US" w:bidi="ar-SA"/>
    </w:rPr>
  </w:style>
  <w:style w:type="paragraph" w:styleId="BalloonText">
    <w:name w:val="Balloon Text"/>
    <w:basedOn w:val="Normal"/>
    <w:link w:val="BalloonTextChar"/>
    <w:rsid w:val="00130C3A"/>
    <w:rPr>
      <w:rFonts w:ascii="Tahoma" w:hAnsi="Tahoma" w:cs="Tahoma"/>
      <w:sz w:val="16"/>
      <w:szCs w:val="16"/>
    </w:rPr>
  </w:style>
  <w:style w:type="character" w:customStyle="1" w:styleId="BalloonTextChar">
    <w:name w:val="Balloon Text Char"/>
    <w:link w:val="BalloonText"/>
    <w:rsid w:val="00130C3A"/>
    <w:rPr>
      <w:rFonts w:ascii="Tahoma" w:hAnsi="Tahoma" w:cs="Tahoma"/>
      <w:sz w:val="16"/>
      <w:szCs w:val="16"/>
    </w:rPr>
  </w:style>
  <w:style w:type="character" w:styleId="FollowedHyperlink">
    <w:name w:val="FollowedHyperlink"/>
    <w:rsid w:val="00130C3A"/>
    <w:rPr>
      <w:color w:val="800080"/>
      <w:u w:val="single"/>
    </w:rPr>
  </w:style>
  <w:style w:type="paragraph" w:customStyle="1" w:styleId="Default">
    <w:name w:val="Default"/>
    <w:rsid w:val="00F35886"/>
    <w:pPr>
      <w:autoSpaceDE w:val="0"/>
      <w:autoSpaceDN w:val="0"/>
      <w:adjustRightInd w:val="0"/>
    </w:pPr>
    <w:rPr>
      <w:color w:val="000000"/>
      <w:sz w:val="24"/>
      <w:szCs w:val="24"/>
    </w:rPr>
  </w:style>
  <w:style w:type="paragraph" w:styleId="FootnoteText">
    <w:name w:val="footnote text"/>
    <w:basedOn w:val="Normal"/>
    <w:link w:val="FootnoteTextChar"/>
    <w:uiPriority w:val="99"/>
    <w:rsid w:val="00D55F1C"/>
    <w:rPr>
      <w:rFonts w:cs="Times New Roman"/>
      <w:sz w:val="20"/>
      <w:szCs w:val="20"/>
    </w:rPr>
  </w:style>
  <w:style w:type="character" w:customStyle="1" w:styleId="FootnoteTextChar">
    <w:name w:val="Footnote Text Char"/>
    <w:basedOn w:val="DefaultParagraphFont"/>
    <w:link w:val="FootnoteText"/>
    <w:uiPriority w:val="99"/>
    <w:rsid w:val="00D55F1C"/>
  </w:style>
  <w:style w:type="character" w:styleId="FootnoteReference">
    <w:name w:val="footnote reference"/>
    <w:basedOn w:val="DefaultParagraphFont"/>
    <w:uiPriority w:val="99"/>
    <w:rsid w:val="00D55F1C"/>
    <w:rPr>
      <w:rFonts w:cs="Times New Roman"/>
      <w:vertAlign w:val="superscript"/>
    </w:rPr>
  </w:style>
  <w:style w:type="paragraph" w:customStyle="1" w:styleId="hp">
    <w:name w:val="hp"/>
    <w:basedOn w:val="Normal"/>
    <w:rsid w:val="00D55F1C"/>
    <w:pPr>
      <w:spacing w:before="100" w:beforeAutospacing="1" w:after="100" w:afterAutospacing="1"/>
    </w:pPr>
    <w:rPr>
      <w:rFonts w:cs="Times New Roman"/>
    </w:rPr>
  </w:style>
  <w:style w:type="paragraph" w:customStyle="1" w:styleId="CM6">
    <w:name w:val="CM6"/>
    <w:basedOn w:val="Normal"/>
    <w:uiPriority w:val="99"/>
    <w:rsid w:val="00C1507D"/>
    <w:pPr>
      <w:autoSpaceDE w:val="0"/>
      <w:autoSpaceDN w:val="0"/>
      <w:spacing w:line="276" w:lineRule="atLeast"/>
    </w:pPr>
    <w:rPr>
      <w:rFonts w:eastAsiaTheme="minorHAnsi" w:cs="Times New Roman"/>
    </w:rPr>
  </w:style>
  <w:style w:type="character" w:styleId="CommentReference">
    <w:name w:val="annotation reference"/>
    <w:basedOn w:val="DefaultParagraphFont"/>
    <w:rsid w:val="00C77683"/>
    <w:rPr>
      <w:sz w:val="16"/>
      <w:szCs w:val="16"/>
    </w:rPr>
  </w:style>
  <w:style w:type="paragraph" w:styleId="CommentText">
    <w:name w:val="annotation text"/>
    <w:basedOn w:val="Normal"/>
    <w:link w:val="CommentTextChar"/>
    <w:rsid w:val="00C77683"/>
    <w:rPr>
      <w:sz w:val="20"/>
      <w:szCs w:val="20"/>
    </w:rPr>
  </w:style>
  <w:style w:type="character" w:customStyle="1" w:styleId="CommentTextChar">
    <w:name w:val="Comment Text Char"/>
    <w:basedOn w:val="DefaultParagraphFont"/>
    <w:link w:val="CommentText"/>
    <w:rsid w:val="00C77683"/>
    <w:rPr>
      <w:rFonts w:cs="Courier New"/>
    </w:rPr>
  </w:style>
  <w:style w:type="paragraph" w:styleId="CommentSubject">
    <w:name w:val="annotation subject"/>
    <w:basedOn w:val="CommentText"/>
    <w:next w:val="CommentText"/>
    <w:link w:val="CommentSubjectChar"/>
    <w:rsid w:val="00C77683"/>
    <w:rPr>
      <w:b/>
      <w:bCs/>
    </w:rPr>
  </w:style>
  <w:style w:type="character" w:customStyle="1" w:styleId="CommentSubjectChar">
    <w:name w:val="Comment Subject Char"/>
    <w:basedOn w:val="CommentTextChar"/>
    <w:link w:val="CommentSubject"/>
    <w:rsid w:val="00C77683"/>
    <w:rPr>
      <w:rFonts w:cs="Courier New"/>
      <w:b/>
      <w:bCs/>
    </w:rPr>
  </w:style>
  <w:style w:type="table" w:styleId="TableGrid">
    <w:name w:val="Table Grid"/>
    <w:basedOn w:val="TableNormal"/>
    <w:uiPriority w:val="59"/>
    <w:rsid w:val="00B706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0656"/>
    <w:pPr>
      <w:ind w:left="720"/>
      <w:contextualSpacing/>
    </w:pPr>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3AED"/>
    <w:rPr>
      <w:rFonts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73AED"/>
    <w:rPr>
      <w:color w:val="0000FF"/>
      <w:u w:val="single"/>
    </w:rPr>
  </w:style>
  <w:style w:type="paragraph" w:styleId="HTMLPreformatted">
    <w:name w:val="HTML Preformatted"/>
    <w:basedOn w:val="Normal"/>
    <w:next w:val="BodyText"/>
    <w:link w:val="HTMLPreformattedChar"/>
    <w:rsid w:val="00273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PreformattedChar">
    <w:name w:val="HTML Preformatted Char"/>
    <w:link w:val="HTMLPreformatted"/>
    <w:rsid w:val="00273AED"/>
    <w:rPr>
      <w:rFonts w:ascii="Arial Unicode MS" w:eastAsia="Arial Unicode MS" w:hAnsi="Arial Unicode MS" w:cs="Courier New"/>
      <w:lang w:val="en-US" w:eastAsia="en-US" w:bidi="ar-SA"/>
    </w:rPr>
  </w:style>
  <w:style w:type="paragraph" w:styleId="BodyText">
    <w:name w:val="Body Text"/>
    <w:basedOn w:val="Normal"/>
    <w:rsid w:val="000C22EA"/>
    <w:pPr>
      <w:spacing w:after="120"/>
    </w:pPr>
  </w:style>
  <w:style w:type="paragraph" w:styleId="BodyTextFirstIndent">
    <w:name w:val="Body Text First Indent"/>
    <w:basedOn w:val="BodyText"/>
    <w:link w:val="BodyTextFirstIndentChar"/>
    <w:rsid w:val="000C22EA"/>
    <w:pPr>
      <w:ind w:firstLine="210"/>
    </w:pPr>
  </w:style>
  <w:style w:type="character" w:customStyle="1" w:styleId="BodyTextFirstIndentChar">
    <w:name w:val="Body Text First Indent Char"/>
    <w:link w:val="BodyTextFirstIndent"/>
    <w:rsid w:val="000C22EA"/>
    <w:rPr>
      <w:sz w:val="24"/>
      <w:szCs w:val="24"/>
      <w:lang w:val="en-US" w:eastAsia="en-US" w:bidi="ar-SA"/>
    </w:rPr>
  </w:style>
  <w:style w:type="paragraph" w:styleId="Footer">
    <w:name w:val="footer"/>
    <w:basedOn w:val="Normal"/>
    <w:rsid w:val="008E1A66"/>
    <w:pPr>
      <w:tabs>
        <w:tab w:val="center" w:pos="4320"/>
        <w:tab w:val="right" w:pos="8640"/>
      </w:tabs>
    </w:pPr>
  </w:style>
  <w:style w:type="character" w:styleId="PageNumber">
    <w:name w:val="page number"/>
    <w:basedOn w:val="DefaultParagraphFont"/>
    <w:rsid w:val="008E1A66"/>
  </w:style>
  <w:style w:type="paragraph" w:styleId="Header">
    <w:name w:val="header"/>
    <w:basedOn w:val="Normal"/>
    <w:link w:val="HeaderChar"/>
    <w:uiPriority w:val="99"/>
    <w:rsid w:val="008E1A66"/>
    <w:pPr>
      <w:tabs>
        <w:tab w:val="center" w:pos="4320"/>
        <w:tab w:val="right" w:pos="8640"/>
      </w:tabs>
    </w:pPr>
  </w:style>
  <w:style w:type="character" w:customStyle="1" w:styleId="HeaderChar">
    <w:name w:val="Header Char"/>
    <w:link w:val="Header"/>
    <w:uiPriority w:val="99"/>
    <w:rsid w:val="00FD6E52"/>
    <w:rPr>
      <w:rFonts w:cs="Courier New"/>
      <w:sz w:val="24"/>
      <w:szCs w:val="24"/>
      <w:lang w:val="en-US" w:eastAsia="en-US" w:bidi="ar-SA"/>
    </w:rPr>
  </w:style>
  <w:style w:type="paragraph" w:styleId="BalloonText">
    <w:name w:val="Balloon Text"/>
    <w:basedOn w:val="Normal"/>
    <w:link w:val="BalloonTextChar"/>
    <w:rsid w:val="00130C3A"/>
    <w:rPr>
      <w:rFonts w:ascii="Tahoma" w:hAnsi="Tahoma" w:cs="Tahoma"/>
      <w:sz w:val="16"/>
      <w:szCs w:val="16"/>
    </w:rPr>
  </w:style>
  <w:style w:type="character" w:customStyle="1" w:styleId="BalloonTextChar">
    <w:name w:val="Balloon Text Char"/>
    <w:link w:val="BalloonText"/>
    <w:rsid w:val="00130C3A"/>
    <w:rPr>
      <w:rFonts w:ascii="Tahoma" w:hAnsi="Tahoma" w:cs="Tahoma"/>
      <w:sz w:val="16"/>
      <w:szCs w:val="16"/>
    </w:rPr>
  </w:style>
  <w:style w:type="character" w:styleId="FollowedHyperlink">
    <w:name w:val="FollowedHyperlink"/>
    <w:rsid w:val="00130C3A"/>
    <w:rPr>
      <w:color w:val="800080"/>
      <w:u w:val="single"/>
    </w:rPr>
  </w:style>
  <w:style w:type="paragraph" w:customStyle="1" w:styleId="Default">
    <w:name w:val="Default"/>
    <w:rsid w:val="00F35886"/>
    <w:pPr>
      <w:autoSpaceDE w:val="0"/>
      <w:autoSpaceDN w:val="0"/>
      <w:adjustRightInd w:val="0"/>
    </w:pPr>
    <w:rPr>
      <w:color w:val="000000"/>
      <w:sz w:val="24"/>
      <w:szCs w:val="24"/>
    </w:rPr>
  </w:style>
  <w:style w:type="paragraph" w:styleId="FootnoteText">
    <w:name w:val="footnote text"/>
    <w:basedOn w:val="Normal"/>
    <w:link w:val="FootnoteTextChar"/>
    <w:uiPriority w:val="99"/>
    <w:rsid w:val="00D55F1C"/>
    <w:rPr>
      <w:rFonts w:cs="Times New Roman"/>
      <w:sz w:val="20"/>
      <w:szCs w:val="20"/>
    </w:rPr>
  </w:style>
  <w:style w:type="character" w:customStyle="1" w:styleId="FootnoteTextChar">
    <w:name w:val="Footnote Text Char"/>
    <w:basedOn w:val="DefaultParagraphFont"/>
    <w:link w:val="FootnoteText"/>
    <w:uiPriority w:val="99"/>
    <w:rsid w:val="00D55F1C"/>
  </w:style>
  <w:style w:type="character" w:styleId="FootnoteReference">
    <w:name w:val="footnote reference"/>
    <w:basedOn w:val="DefaultParagraphFont"/>
    <w:uiPriority w:val="99"/>
    <w:rsid w:val="00D55F1C"/>
    <w:rPr>
      <w:rFonts w:cs="Times New Roman"/>
      <w:vertAlign w:val="superscript"/>
    </w:rPr>
  </w:style>
  <w:style w:type="paragraph" w:customStyle="1" w:styleId="hp">
    <w:name w:val="hp"/>
    <w:basedOn w:val="Normal"/>
    <w:rsid w:val="00D55F1C"/>
    <w:pPr>
      <w:spacing w:before="100" w:beforeAutospacing="1" w:after="100" w:afterAutospacing="1"/>
    </w:pPr>
    <w:rPr>
      <w:rFonts w:cs="Times New Roman"/>
    </w:rPr>
  </w:style>
  <w:style w:type="paragraph" w:customStyle="1" w:styleId="CM6">
    <w:name w:val="CM6"/>
    <w:basedOn w:val="Normal"/>
    <w:uiPriority w:val="99"/>
    <w:rsid w:val="00C1507D"/>
    <w:pPr>
      <w:autoSpaceDE w:val="0"/>
      <w:autoSpaceDN w:val="0"/>
      <w:spacing w:line="276" w:lineRule="atLeast"/>
    </w:pPr>
    <w:rPr>
      <w:rFonts w:eastAsiaTheme="minorHAnsi" w:cs="Times New Roman"/>
    </w:rPr>
  </w:style>
  <w:style w:type="character" w:styleId="CommentReference">
    <w:name w:val="annotation reference"/>
    <w:basedOn w:val="DefaultParagraphFont"/>
    <w:rsid w:val="00C77683"/>
    <w:rPr>
      <w:sz w:val="16"/>
      <w:szCs w:val="16"/>
    </w:rPr>
  </w:style>
  <w:style w:type="paragraph" w:styleId="CommentText">
    <w:name w:val="annotation text"/>
    <w:basedOn w:val="Normal"/>
    <w:link w:val="CommentTextChar"/>
    <w:rsid w:val="00C77683"/>
    <w:rPr>
      <w:sz w:val="20"/>
      <w:szCs w:val="20"/>
    </w:rPr>
  </w:style>
  <w:style w:type="character" w:customStyle="1" w:styleId="CommentTextChar">
    <w:name w:val="Comment Text Char"/>
    <w:basedOn w:val="DefaultParagraphFont"/>
    <w:link w:val="CommentText"/>
    <w:rsid w:val="00C77683"/>
    <w:rPr>
      <w:rFonts w:cs="Courier New"/>
    </w:rPr>
  </w:style>
  <w:style w:type="paragraph" w:styleId="CommentSubject">
    <w:name w:val="annotation subject"/>
    <w:basedOn w:val="CommentText"/>
    <w:next w:val="CommentText"/>
    <w:link w:val="CommentSubjectChar"/>
    <w:rsid w:val="00C77683"/>
    <w:rPr>
      <w:b/>
      <w:bCs/>
    </w:rPr>
  </w:style>
  <w:style w:type="character" w:customStyle="1" w:styleId="CommentSubjectChar">
    <w:name w:val="Comment Subject Char"/>
    <w:basedOn w:val="CommentTextChar"/>
    <w:link w:val="CommentSubject"/>
    <w:rsid w:val="00C77683"/>
    <w:rPr>
      <w:rFonts w:cs="Courier New"/>
      <w:b/>
      <w:bCs/>
    </w:rPr>
  </w:style>
  <w:style w:type="table" w:styleId="TableGrid">
    <w:name w:val="Table Grid"/>
    <w:basedOn w:val="TableNormal"/>
    <w:uiPriority w:val="59"/>
    <w:rsid w:val="00B706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0656"/>
    <w:pPr>
      <w:ind w:left="720"/>
      <w:contextualSpacing/>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56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reginfo.gov/public/do/PRAMai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PRA_Mailbox@sec.gov"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hagufta_Ahmed@omb.eop.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auditanalytics.com/blog/audit-fees-for-smaller-reporting-compan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60 Day FR" ma:contentTypeID="0x01010094DFCF935F67824788676CB8CAC31A0400F6406F257454CE4E983D3C47116A9FF0" ma:contentTypeVersion="2" ma:contentTypeDescription="" ma:contentTypeScope="" ma:versionID="c6199b588755bf7e23501701a1d4ebf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209B6-C480-462E-B7C2-6237CB91C883}">
  <ds:schemaRefs>
    <ds:schemaRef ds:uri="http://purl.org/dc/terms/"/>
    <ds:schemaRef ds:uri="http://purl.org/dc/elements/1.1/"/>
    <ds:schemaRef ds:uri="http://schemas.microsoft.com/office/2006/metadata/properties"/>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3EEB0EB7-1688-49B1-BC09-B9B62C9BA6A2}">
  <ds:schemaRefs>
    <ds:schemaRef ds:uri="http://schemas.microsoft.com/sharepoint/v3/contenttype/forms"/>
  </ds:schemaRefs>
</ds:datastoreItem>
</file>

<file path=customXml/itemProps3.xml><?xml version="1.0" encoding="utf-8"?>
<ds:datastoreItem xmlns:ds="http://schemas.openxmlformats.org/officeDocument/2006/customXml" ds:itemID="{4B136B0A-5025-488F-807F-6D614168FFDE}">
  <ds:schemaRefs>
    <ds:schemaRef ds:uri="http://schemas.microsoft.com/sharepoint/events"/>
  </ds:schemaRefs>
</ds:datastoreItem>
</file>

<file path=customXml/itemProps4.xml><?xml version="1.0" encoding="utf-8"?>
<ds:datastoreItem xmlns:ds="http://schemas.openxmlformats.org/officeDocument/2006/customXml" ds:itemID="{285F534D-70AF-4A9D-8E3E-A45588292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7D5FED6D-4F49-4884-948A-38AE420A6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1821</Words>
  <Characters>10571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DEPARTMENT OF LABOR</vt:lpstr>
    </vt:vector>
  </TitlesOfParts>
  <Company>U.S. Department of Labor</Company>
  <LinksUpToDate>false</LinksUpToDate>
  <CharactersWithSpaces>12368</CharactersWithSpaces>
  <SharedDoc>false</SharedDoc>
  <HLinks>
    <vt:vector size="18" baseType="variant">
      <vt:variant>
        <vt:i4>7471221</vt:i4>
      </vt:variant>
      <vt:variant>
        <vt:i4>6</vt:i4>
      </vt:variant>
      <vt:variant>
        <vt:i4>0</vt:i4>
      </vt:variant>
      <vt:variant>
        <vt:i4>5</vt:i4>
      </vt:variant>
      <vt:variant>
        <vt:lpwstr>javascript:void();</vt:lpwstr>
      </vt:variant>
      <vt:variant>
        <vt:lpwstr/>
      </vt:variant>
      <vt:variant>
        <vt:i4>7077985</vt:i4>
      </vt:variant>
      <vt:variant>
        <vt:i4>3</vt:i4>
      </vt:variant>
      <vt:variant>
        <vt:i4>0</vt:i4>
      </vt:variant>
      <vt:variant>
        <vt:i4>5</vt:i4>
      </vt:variant>
      <vt:variant>
        <vt:lpwstr>mailto:PRA_Mailbox@sec.gov</vt:lpwstr>
      </vt:variant>
      <vt:variant>
        <vt:lpwstr/>
      </vt:variant>
      <vt:variant>
        <vt:i4>917589</vt:i4>
      </vt:variant>
      <vt:variant>
        <vt:i4>0</vt:i4>
      </vt:variant>
      <vt:variant>
        <vt:i4>0</vt:i4>
      </vt:variant>
      <vt:variant>
        <vt:i4>5</vt:i4>
      </vt:variant>
      <vt:variant>
        <vt:lpwstr>mailto:Shagufta_Ahmed@omb.eop.gov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LABOR</dc:title>
  <dc:creator>Michel Smyth</dc:creator>
  <cp:lastModifiedBy>crawleyp</cp:lastModifiedBy>
  <cp:revision>3</cp:revision>
  <cp:lastPrinted>2016-01-19T17:43:00Z</cp:lastPrinted>
  <dcterms:created xsi:type="dcterms:W3CDTF">2016-02-22T20:21:00Z</dcterms:created>
  <dcterms:modified xsi:type="dcterms:W3CDTF">2016-02-24T21:24:00Z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06249bbf-66f0-4d90-915f-91cc72fa5c25</vt:lpwstr>
  </property>
  <property fmtid="{D5CDD505-2E9C-101B-9397-08002B2CF9AE}" pid="3" name="ContentTypeId">
    <vt:lpwstr>0x01010094DFCF935F67824788676CB8CAC31A0400F6406F257454CE4E983D3C47116A9FF0</vt:lpwstr>
  </property>
  <property fmtid="{D5CDD505-2E9C-101B-9397-08002B2CF9AE}" pid="4" name="_dlc_DocId">
    <vt:lpwstr>KKE47E4U7XZ3-2108-3392</vt:lpwstr>
  </property>
  <property fmtid="{D5CDD505-2E9C-101B-9397-08002B2CF9AE}" pid="5" name="_dlc_DocIdUrl">
    <vt:lpwstr>https://collaboration/sites/OIT/pra/_layouts/DocIdRedir.aspx?ID=KKE47E4U7XZ3-2108-3392, KKE47E4U7XZ3-2108-3392</vt:lpwstr>
  </property>
  <property fmtid="{D5CDD505-2E9C-101B-9397-08002B2CF9AE}" pid="6" name="Previously Modified By">
    <vt:lpwstr/>
  </property>
</Properties>
</file>