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00990" w14:textId="77777777" w:rsidR="00DA4D8D" w:rsidRDefault="003061B6" w:rsidP="003061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="00CB65B3">
        <w:rPr>
          <w:rFonts w:ascii="Times New Roman" w:hAnsi="Times New Roman" w:cs="Times New Roman"/>
          <w:b/>
          <w:sz w:val="24"/>
          <w:szCs w:val="24"/>
        </w:rPr>
        <w:t xml:space="preserve"> Worksheet</w:t>
      </w:r>
    </w:p>
    <w:p w14:paraId="50900291" w14:textId="77777777" w:rsidR="00BA3858" w:rsidRDefault="00BA3858" w:rsidP="00BA38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National Organic Program</w:t>
      </w:r>
    </w:p>
    <w:p w14:paraId="3FBF5855" w14:textId="77777777" w:rsidR="00BA3858" w:rsidRDefault="00BA3858" w:rsidP="00BA38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OMB No. 0581-0191</w:t>
      </w:r>
    </w:p>
    <w:p w14:paraId="5E5468A8" w14:textId="5A584660" w:rsidR="003061B6" w:rsidRDefault="00BA3858" w:rsidP="003061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February</w:t>
      </w:r>
      <w:r w:rsidR="00CB65B3" w:rsidRPr="00CB65B3">
        <w:rPr>
          <w:rFonts w:ascii="Times New Roman" w:hAnsi="Times New Roman" w:cs="Times New Roman"/>
          <w:b/>
          <w:sz w:val="24"/>
          <w:szCs w:val="24"/>
        </w:rPr>
        <w:t xml:space="preserve"> 2016</w:t>
      </w:r>
    </w:p>
    <w:p w14:paraId="17770119" w14:textId="109D4435" w:rsidR="00CB65B3" w:rsidRPr="00CB65B3" w:rsidRDefault="00BA3858" w:rsidP="00BA38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NATIONAL ORGANIC PROGRAM (7 CFR Part 205</w:t>
      </w:r>
      <w:r w:rsidR="00CB65B3">
        <w:rPr>
          <w:rFonts w:ascii="Times New Roman" w:hAnsi="Times New Roman" w:cs="Times New Roman"/>
          <w:b/>
          <w:sz w:val="24"/>
          <w:szCs w:val="24"/>
        </w:rPr>
        <w:t>)</w:t>
      </w:r>
    </w:p>
    <w:p w14:paraId="4B71DE18" w14:textId="77777777" w:rsidR="00CB65B3" w:rsidRDefault="00CB65B3" w:rsidP="00DD0C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69A4F4" w14:textId="7668D36E" w:rsidR="00BA3858" w:rsidRDefault="00BA3858" w:rsidP="00BA3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b/>
          <w:sz w:val="24"/>
          <w:szCs w:val="24"/>
        </w:rPr>
        <w:t xml:space="preserve">Justification for Change request is to </w:t>
      </w:r>
      <w:r w:rsidR="00EC6A23">
        <w:rPr>
          <w:rFonts w:ascii="Times New Roman" w:hAnsi="Times New Roman" w:cs="Times New Roman"/>
          <w:b/>
          <w:sz w:val="24"/>
          <w:szCs w:val="24"/>
        </w:rPr>
        <w:t xml:space="preserve">merge </w:t>
      </w:r>
      <w:r w:rsidR="0078412C">
        <w:rPr>
          <w:rFonts w:ascii="Times New Roman" w:hAnsi="Times New Roman" w:cs="Times New Roman"/>
          <w:b/>
          <w:sz w:val="24"/>
          <w:szCs w:val="24"/>
        </w:rPr>
        <w:t>National Organic Program: Organic Certification Cost-Share Programs 0581-0288</w:t>
      </w:r>
      <w:r w:rsidR="00EC6A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412C">
        <w:rPr>
          <w:rFonts w:ascii="Times New Roman" w:hAnsi="Times New Roman" w:cs="Times New Roman"/>
          <w:b/>
          <w:sz w:val="24"/>
          <w:szCs w:val="24"/>
        </w:rPr>
        <w:t xml:space="preserve">into currently approved </w:t>
      </w:r>
      <w:r w:rsidR="006807B8">
        <w:rPr>
          <w:rFonts w:ascii="Times New Roman" w:hAnsi="Times New Roman" w:cs="Times New Roman"/>
          <w:b/>
          <w:sz w:val="24"/>
          <w:szCs w:val="24"/>
        </w:rPr>
        <w:t>National Organic Program: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07B8">
        <w:rPr>
          <w:rFonts w:ascii="Times New Roman" w:hAnsi="Times New Roman" w:cs="Times New Roman"/>
          <w:b/>
          <w:sz w:val="24"/>
          <w:szCs w:val="24"/>
        </w:rPr>
        <w:t xml:space="preserve">Reporting and </w:t>
      </w:r>
      <w:r>
        <w:rPr>
          <w:rFonts w:ascii="Times New Roman" w:hAnsi="Times New Roman" w:cs="Times New Roman"/>
          <w:b/>
          <w:sz w:val="24"/>
          <w:szCs w:val="24"/>
        </w:rPr>
        <w:t xml:space="preserve">Recordkeeping Requirements 0581-0191.  </w:t>
      </w:r>
      <w:r w:rsidR="00EC6A23">
        <w:rPr>
          <w:rFonts w:ascii="Times New Roman" w:hAnsi="Times New Roman" w:cs="Times New Roman"/>
          <w:b/>
          <w:sz w:val="24"/>
          <w:szCs w:val="24"/>
        </w:rPr>
        <w:t xml:space="preserve">Upon approval </w:t>
      </w:r>
      <w:r w:rsidR="00B06231">
        <w:rPr>
          <w:rFonts w:ascii="Times New Roman" w:hAnsi="Times New Roman" w:cs="Times New Roman"/>
          <w:b/>
          <w:sz w:val="24"/>
          <w:szCs w:val="24"/>
        </w:rPr>
        <w:t>a</w:t>
      </w:r>
      <w:r w:rsidR="00EC6A23">
        <w:rPr>
          <w:rFonts w:ascii="Times New Roman" w:hAnsi="Times New Roman" w:cs="Times New Roman"/>
          <w:b/>
          <w:sz w:val="24"/>
          <w:szCs w:val="24"/>
        </w:rPr>
        <w:t xml:space="preserve"> Discontinuation Notice will be submitted to OMB to retire 0581-0288. </w:t>
      </w:r>
      <w:r w:rsidR="00EC6A23">
        <w:rPr>
          <w:rFonts w:ascii="Times New Roman" w:hAnsi="Times New Roman" w:cs="Times New Roman"/>
          <w:sz w:val="24"/>
          <w:szCs w:val="24"/>
        </w:rPr>
        <w:t xml:space="preserve">On September 25, 2014, OMB approved </w:t>
      </w:r>
      <w:r w:rsidR="00EC6A23" w:rsidRPr="00EC6A23">
        <w:rPr>
          <w:rFonts w:ascii="Times New Roman" w:hAnsi="Times New Roman" w:cs="Times New Roman"/>
          <w:sz w:val="24"/>
          <w:szCs w:val="24"/>
        </w:rPr>
        <w:t>National Organic Program: Organic Certification Cost-Share Programs 0581-0288</w:t>
      </w:r>
      <w:r w:rsidR="00EC6A23">
        <w:rPr>
          <w:rFonts w:ascii="Times New Roman" w:hAnsi="Times New Roman" w:cs="Times New Roman"/>
          <w:sz w:val="24"/>
          <w:szCs w:val="24"/>
        </w:rPr>
        <w:t>.</w:t>
      </w:r>
      <w:r w:rsidR="00EC6A23" w:rsidRPr="00EC6A23">
        <w:rPr>
          <w:rFonts w:ascii="Times New Roman" w:hAnsi="Times New Roman" w:cs="Times New Roman"/>
          <w:sz w:val="24"/>
          <w:szCs w:val="24"/>
        </w:rPr>
        <w:t xml:space="preserve"> </w:t>
      </w:r>
      <w:r w:rsidR="00065A44">
        <w:rPr>
          <w:rFonts w:ascii="Times New Roman" w:hAnsi="Times New Roman" w:cs="Times New Roman"/>
          <w:sz w:val="24"/>
          <w:szCs w:val="24"/>
        </w:rPr>
        <w:t>The supporting statement</w:t>
      </w:r>
      <w:r w:rsidR="00D21A0C">
        <w:rPr>
          <w:rFonts w:ascii="Times New Roman" w:hAnsi="Times New Roman" w:cs="Times New Roman"/>
          <w:sz w:val="24"/>
          <w:szCs w:val="24"/>
        </w:rPr>
        <w:t xml:space="preserve"> and the 60-day Federal Register notice </w:t>
      </w:r>
      <w:r w:rsidR="00065A44">
        <w:rPr>
          <w:rFonts w:ascii="Times New Roman" w:hAnsi="Times New Roman" w:cs="Times New Roman"/>
          <w:sz w:val="24"/>
          <w:szCs w:val="24"/>
        </w:rPr>
        <w:t xml:space="preserve">for this package indicated that 0581-0288 would be </w:t>
      </w:r>
      <w:r w:rsidR="00467FB8">
        <w:rPr>
          <w:rFonts w:ascii="Times New Roman" w:hAnsi="Times New Roman" w:cs="Times New Roman"/>
          <w:sz w:val="24"/>
          <w:szCs w:val="24"/>
        </w:rPr>
        <w:t>merged</w:t>
      </w:r>
      <w:r w:rsidR="00065A44">
        <w:rPr>
          <w:rFonts w:ascii="Times New Roman" w:hAnsi="Times New Roman" w:cs="Times New Roman"/>
          <w:sz w:val="24"/>
          <w:szCs w:val="24"/>
        </w:rPr>
        <w:t xml:space="preserve"> into 0581-0191. </w:t>
      </w:r>
    </w:p>
    <w:p w14:paraId="507A55F0" w14:textId="49DC5DD6" w:rsidR="00DE0351" w:rsidRPr="00E63863" w:rsidRDefault="00271182" w:rsidP="00BA38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3863">
        <w:rPr>
          <w:rFonts w:ascii="Times New Roman" w:hAnsi="Times New Roman" w:cs="Times New Roman"/>
          <w:sz w:val="24"/>
          <w:szCs w:val="24"/>
        </w:rPr>
        <w:t>The burden associated with forms and documentation approved under 0581-0288</w:t>
      </w:r>
      <w:r w:rsidR="00DD0C2B" w:rsidRPr="00E63863">
        <w:rPr>
          <w:rFonts w:ascii="Times New Roman" w:hAnsi="Times New Roman" w:cs="Times New Roman"/>
          <w:sz w:val="24"/>
          <w:szCs w:val="24"/>
        </w:rPr>
        <w:t xml:space="preserve"> </w:t>
      </w:r>
      <w:r w:rsidRPr="00E63863">
        <w:rPr>
          <w:rFonts w:ascii="Times New Roman" w:hAnsi="Times New Roman" w:cs="Times New Roman"/>
          <w:sz w:val="24"/>
          <w:szCs w:val="24"/>
        </w:rPr>
        <w:t>(AMS-33, W-9, Narrative Report, and Spreadsheet of Operations Reimbursed), has</w:t>
      </w:r>
      <w:r w:rsidR="00DD0C2B" w:rsidRPr="00E63863">
        <w:rPr>
          <w:rFonts w:ascii="Times New Roman" w:hAnsi="Times New Roman" w:cs="Times New Roman"/>
          <w:sz w:val="24"/>
          <w:szCs w:val="24"/>
        </w:rPr>
        <w:t xml:space="preserve"> increased the total number of respondents, total annual responses, and total hours as follows:</w:t>
      </w:r>
    </w:p>
    <w:p w14:paraId="6303A4D4" w14:textId="77777777" w:rsidR="002600F4" w:rsidRPr="00467FB8" w:rsidRDefault="002600F4" w:rsidP="00BA3858">
      <w:pPr>
        <w:spacing w:after="0"/>
        <w:rPr>
          <w:sz w:val="20"/>
        </w:rPr>
      </w:pPr>
    </w:p>
    <w:tbl>
      <w:tblPr>
        <w:tblStyle w:val="TableGrid"/>
        <w:tblW w:w="9161" w:type="dxa"/>
        <w:tblLayout w:type="fixed"/>
        <w:tblLook w:val="04A0" w:firstRow="1" w:lastRow="0" w:firstColumn="1" w:lastColumn="0" w:noHBand="0" w:noVBand="1"/>
      </w:tblPr>
      <w:tblGrid>
        <w:gridCol w:w="1435"/>
        <w:gridCol w:w="1440"/>
        <w:gridCol w:w="1080"/>
        <w:gridCol w:w="900"/>
        <w:gridCol w:w="1080"/>
        <w:gridCol w:w="1170"/>
        <w:gridCol w:w="990"/>
        <w:gridCol w:w="1066"/>
      </w:tblGrid>
      <w:tr w:rsidR="00CC1828" w:rsidRPr="00467FB8" w14:paraId="737FACC0" w14:textId="77777777" w:rsidTr="004C5B29">
        <w:trPr>
          <w:trHeight w:val="868"/>
        </w:trPr>
        <w:tc>
          <w:tcPr>
            <w:tcW w:w="1435" w:type="dxa"/>
            <w:vAlign w:val="bottom"/>
          </w:tcPr>
          <w:p w14:paraId="003FC8BC" w14:textId="77777777" w:rsidR="00CC1828" w:rsidRPr="00102FF5" w:rsidRDefault="00CC1828" w:rsidP="00036EA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02FF5">
              <w:rPr>
                <w:rFonts w:ascii="Arial" w:hAnsi="Arial" w:cs="Arial"/>
                <w:sz w:val="12"/>
                <w:szCs w:val="12"/>
              </w:rPr>
              <w:t>SECTION OF REGS.</w:t>
            </w:r>
          </w:p>
          <w:p w14:paraId="2A048108" w14:textId="77777777" w:rsidR="00CC1828" w:rsidRPr="00102FF5" w:rsidRDefault="00CC1828" w:rsidP="00036EA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02FF5">
              <w:rPr>
                <w:rFonts w:ascii="Arial" w:hAnsi="Arial" w:cs="Arial"/>
                <w:sz w:val="12"/>
                <w:szCs w:val="12"/>
              </w:rPr>
              <w:t>(A)</w:t>
            </w:r>
          </w:p>
        </w:tc>
        <w:tc>
          <w:tcPr>
            <w:tcW w:w="1440" w:type="dxa"/>
            <w:vAlign w:val="bottom"/>
          </w:tcPr>
          <w:p w14:paraId="09D6D43F" w14:textId="77777777" w:rsidR="00CC1828" w:rsidRPr="00102FF5" w:rsidRDefault="00CC1828" w:rsidP="00036EA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02FF5">
              <w:rPr>
                <w:rFonts w:ascii="Arial" w:hAnsi="Arial" w:cs="Arial"/>
                <w:sz w:val="12"/>
                <w:szCs w:val="12"/>
              </w:rPr>
              <w:t>DESCRIPTION</w:t>
            </w:r>
          </w:p>
          <w:p w14:paraId="11992991" w14:textId="77777777" w:rsidR="00CC1828" w:rsidRPr="00102FF5" w:rsidRDefault="00CC1828" w:rsidP="00036EA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02FF5">
              <w:rPr>
                <w:rFonts w:ascii="Arial" w:hAnsi="Arial" w:cs="Arial"/>
                <w:sz w:val="12"/>
                <w:szCs w:val="12"/>
              </w:rPr>
              <w:t>(B)</w:t>
            </w:r>
          </w:p>
        </w:tc>
        <w:tc>
          <w:tcPr>
            <w:tcW w:w="1080" w:type="dxa"/>
            <w:vAlign w:val="bottom"/>
          </w:tcPr>
          <w:p w14:paraId="3BDC4763" w14:textId="119EB02D" w:rsidR="00CC1828" w:rsidRPr="00102FF5" w:rsidRDefault="00D13CD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02FF5">
              <w:rPr>
                <w:rFonts w:ascii="Arial" w:hAnsi="Arial" w:cs="Arial"/>
                <w:sz w:val="12"/>
                <w:szCs w:val="12"/>
              </w:rPr>
              <w:t xml:space="preserve">FORMS NO </w:t>
            </w:r>
          </w:p>
          <w:p w14:paraId="0CAB8526" w14:textId="77777777" w:rsidR="00CC1828" w:rsidRPr="00102FF5" w:rsidRDefault="00CC182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02FF5">
              <w:rPr>
                <w:rFonts w:ascii="Arial" w:hAnsi="Arial" w:cs="Arial"/>
                <w:sz w:val="12"/>
                <w:szCs w:val="12"/>
              </w:rPr>
              <w:t>(C)</w:t>
            </w:r>
          </w:p>
        </w:tc>
        <w:tc>
          <w:tcPr>
            <w:tcW w:w="900" w:type="dxa"/>
            <w:vAlign w:val="bottom"/>
          </w:tcPr>
          <w:p w14:paraId="2B1FB0AA" w14:textId="77777777" w:rsidR="00CC1828" w:rsidRPr="00102FF5" w:rsidRDefault="00CC182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02FF5">
              <w:rPr>
                <w:rFonts w:ascii="Arial" w:hAnsi="Arial" w:cs="Arial"/>
                <w:sz w:val="12"/>
                <w:szCs w:val="12"/>
              </w:rPr>
              <w:t>NO. OF RESPOND-ENTS</w:t>
            </w:r>
          </w:p>
          <w:p w14:paraId="79C92386" w14:textId="77777777" w:rsidR="00CC1828" w:rsidRPr="00102FF5" w:rsidRDefault="00CC182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02FF5">
              <w:rPr>
                <w:rFonts w:ascii="Arial" w:hAnsi="Arial" w:cs="Arial"/>
                <w:sz w:val="12"/>
                <w:szCs w:val="12"/>
              </w:rPr>
              <w:t>(D)</w:t>
            </w:r>
          </w:p>
        </w:tc>
        <w:tc>
          <w:tcPr>
            <w:tcW w:w="1080" w:type="dxa"/>
            <w:vAlign w:val="bottom"/>
          </w:tcPr>
          <w:p w14:paraId="3464CD9B" w14:textId="77777777" w:rsidR="00CC1828" w:rsidRPr="00102FF5" w:rsidRDefault="00CC182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02FF5">
              <w:rPr>
                <w:rFonts w:ascii="Arial" w:hAnsi="Arial" w:cs="Arial"/>
                <w:sz w:val="12"/>
                <w:szCs w:val="12"/>
              </w:rPr>
              <w:t>NO. OF RESPONSES PER RESPONDENT</w:t>
            </w:r>
          </w:p>
          <w:p w14:paraId="1A308BF4" w14:textId="77777777" w:rsidR="00CC1828" w:rsidRPr="00102FF5" w:rsidRDefault="00CC182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02FF5">
              <w:rPr>
                <w:rFonts w:ascii="Arial" w:hAnsi="Arial" w:cs="Arial"/>
                <w:sz w:val="12"/>
                <w:szCs w:val="12"/>
              </w:rPr>
              <w:t>(E)</w:t>
            </w:r>
          </w:p>
        </w:tc>
        <w:tc>
          <w:tcPr>
            <w:tcW w:w="1170" w:type="dxa"/>
            <w:vAlign w:val="bottom"/>
          </w:tcPr>
          <w:p w14:paraId="5375BE8B" w14:textId="77777777" w:rsidR="00CC1828" w:rsidRPr="00102FF5" w:rsidRDefault="00CC182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02FF5">
              <w:rPr>
                <w:rFonts w:ascii="Arial" w:hAnsi="Arial" w:cs="Arial"/>
                <w:sz w:val="12"/>
                <w:szCs w:val="12"/>
              </w:rPr>
              <w:t>TOTAL ANNUAL RESPONSES</w:t>
            </w:r>
          </w:p>
          <w:p w14:paraId="671BCF75" w14:textId="77777777" w:rsidR="00CC1828" w:rsidRPr="00102FF5" w:rsidRDefault="00CC182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02FF5">
              <w:rPr>
                <w:rFonts w:ascii="Arial" w:hAnsi="Arial" w:cs="Arial"/>
                <w:sz w:val="12"/>
                <w:szCs w:val="12"/>
              </w:rPr>
              <w:t>(F)</w:t>
            </w:r>
          </w:p>
        </w:tc>
        <w:tc>
          <w:tcPr>
            <w:tcW w:w="990" w:type="dxa"/>
            <w:vAlign w:val="bottom"/>
          </w:tcPr>
          <w:p w14:paraId="30F2AA19" w14:textId="77777777" w:rsidR="00CC1828" w:rsidRPr="00102FF5" w:rsidRDefault="00CC182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02FF5">
              <w:rPr>
                <w:rFonts w:ascii="Arial" w:hAnsi="Arial" w:cs="Arial"/>
                <w:sz w:val="12"/>
                <w:szCs w:val="12"/>
              </w:rPr>
              <w:t>HOURS PER RESPONSE</w:t>
            </w:r>
          </w:p>
          <w:p w14:paraId="68745ED1" w14:textId="77777777" w:rsidR="00CC1828" w:rsidRPr="00102FF5" w:rsidRDefault="00CC182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02FF5">
              <w:rPr>
                <w:rFonts w:ascii="Arial" w:hAnsi="Arial" w:cs="Arial"/>
                <w:sz w:val="12"/>
                <w:szCs w:val="12"/>
              </w:rPr>
              <w:t>(G)</w:t>
            </w:r>
          </w:p>
        </w:tc>
        <w:tc>
          <w:tcPr>
            <w:tcW w:w="1066" w:type="dxa"/>
            <w:vAlign w:val="bottom"/>
          </w:tcPr>
          <w:p w14:paraId="53665AAE" w14:textId="77777777" w:rsidR="00CC1828" w:rsidRPr="00102FF5" w:rsidRDefault="00CC182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02FF5">
              <w:rPr>
                <w:rFonts w:ascii="Arial" w:hAnsi="Arial" w:cs="Arial"/>
                <w:sz w:val="12"/>
                <w:szCs w:val="12"/>
              </w:rPr>
              <w:t>TOTAL HOURS</w:t>
            </w:r>
          </w:p>
          <w:p w14:paraId="18B1AE7D" w14:textId="77777777" w:rsidR="00CC1828" w:rsidRPr="00102FF5" w:rsidRDefault="00CC182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02FF5">
              <w:rPr>
                <w:rFonts w:ascii="Arial" w:hAnsi="Arial" w:cs="Arial"/>
                <w:sz w:val="12"/>
                <w:szCs w:val="12"/>
              </w:rPr>
              <w:t xml:space="preserve">(H) </w:t>
            </w:r>
          </w:p>
        </w:tc>
      </w:tr>
      <w:tr w:rsidR="004C5B29" w14:paraId="4BDB7B94" w14:textId="77777777" w:rsidTr="00365599">
        <w:trPr>
          <w:trHeight w:val="965"/>
        </w:trPr>
        <w:tc>
          <w:tcPr>
            <w:tcW w:w="14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9EEB7" w14:textId="5EE877BF" w:rsidR="004C5B29" w:rsidRPr="000B3299" w:rsidRDefault="000B3299" w:rsidP="00065A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32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1606(d)(1) of the Farm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Security &amp; Rural Investment Act of 2002; as amended under Sec. 1004 of the 2014 Farm Bill; Federal Crop Insurance Act (FCIA)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7ED40" w14:textId="2BE5E7AF" w:rsidR="004C5B29" w:rsidRPr="00065A44" w:rsidRDefault="004C5B29" w:rsidP="00065A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A44">
              <w:rPr>
                <w:rFonts w:ascii="Times New Roman" w:hAnsi="Times New Roman" w:cs="Times New Roman"/>
                <w:sz w:val="18"/>
                <w:szCs w:val="18"/>
              </w:rPr>
              <w:t>Face Page (Agreement Face Sheet)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57303" w14:textId="4E9BB7CB" w:rsidR="004C5B29" w:rsidRPr="00065A44" w:rsidRDefault="004C5B29" w:rsidP="00065A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A44">
              <w:rPr>
                <w:rFonts w:ascii="Times New Roman" w:hAnsi="Times New Roman" w:cs="Times New Roman"/>
                <w:sz w:val="20"/>
                <w:szCs w:val="20"/>
              </w:rPr>
              <w:t>AMS-33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F679A" w14:textId="2A7FE6DD" w:rsidR="004C5B29" w:rsidRPr="00065A44" w:rsidRDefault="004C5B29" w:rsidP="00065A4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65A4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62ED4" w14:textId="00A52A37" w:rsidR="004C5B29" w:rsidRPr="00065A44" w:rsidRDefault="004C5B29" w:rsidP="00365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A44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8B28" w14:textId="129B12B7" w:rsidR="004C5B29" w:rsidRPr="00065A44" w:rsidRDefault="004C5B29" w:rsidP="00065A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A44">
              <w:rPr>
                <w:rFonts w:ascii="Times New Roman" w:hAnsi="Times New Roman" w:cs="Times New Roman"/>
                <w:sz w:val="20"/>
                <w:szCs w:val="20"/>
              </w:rPr>
              <w:t>56.00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B677B" w14:textId="0D21E69A" w:rsidR="004C5B29" w:rsidRPr="00065A44" w:rsidRDefault="004C5B29" w:rsidP="00365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A44"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B5CFF" w14:textId="1584D905" w:rsidR="004C5B29" w:rsidRPr="00065A44" w:rsidRDefault="004C5B29" w:rsidP="00065A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A44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</w:tr>
      <w:tr w:rsidR="004C5B29" w14:paraId="526900F4" w14:textId="77777777" w:rsidTr="00365599">
        <w:trPr>
          <w:trHeight w:val="965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0A78B" w14:textId="6EDCE596" w:rsidR="004C5B29" w:rsidRPr="00AE6083" w:rsidRDefault="004C5B29" w:rsidP="00065A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63FB" w14:textId="4FE92766" w:rsidR="004C5B29" w:rsidRPr="00065A44" w:rsidRDefault="004C5B29" w:rsidP="00065A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A44">
              <w:rPr>
                <w:rFonts w:ascii="Times New Roman" w:hAnsi="Times New Roman" w:cs="Times New Roman"/>
                <w:sz w:val="18"/>
                <w:szCs w:val="18"/>
              </w:rPr>
              <w:t>Narrative Rept.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0378C" w14:textId="1ADDD566" w:rsidR="004C5B29" w:rsidRPr="00065A44" w:rsidRDefault="004C5B29" w:rsidP="00065A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A44">
              <w:rPr>
                <w:rFonts w:ascii="Times New Roman" w:hAnsi="Times New Roman" w:cs="Times New Roman"/>
                <w:sz w:val="20"/>
                <w:szCs w:val="20"/>
              </w:rPr>
              <w:t>No Form Number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12E2E" w14:textId="07C86B27" w:rsidR="004C5B29" w:rsidRPr="00065A44" w:rsidRDefault="004C5B29" w:rsidP="00065A4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65A4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55860" w14:textId="13AD766F" w:rsidR="004C5B29" w:rsidRPr="00065A44" w:rsidRDefault="004C5B29" w:rsidP="00365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A44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DB1DA" w14:textId="141D0259" w:rsidR="004C5B29" w:rsidRPr="00065A44" w:rsidRDefault="004C5B29" w:rsidP="00065A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A44">
              <w:rPr>
                <w:rFonts w:ascii="Times New Roman" w:hAnsi="Times New Roman" w:cs="Times New Roman"/>
                <w:sz w:val="20"/>
                <w:szCs w:val="20"/>
              </w:rPr>
              <w:t>56.00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CC320" w14:textId="43B7035A" w:rsidR="004C5B29" w:rsidRPr="00065A44" w:rsidRDefault="004C5B29" w:rsidP="00365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A44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5FC9E" w14:textId="620D264F" w:rsidR="004C5B29" w:rsidRPr="00065A44" w:rsidRDefault="004C5B29" w:rsidP="00065A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A44">
              <w:rPr>
                <w:rFonts w:ascii="Times New Roman" w:hAnsi="Times New Roman" w:cs="Times New Roman"/>
                <w:sz w:val="20"/>
                <w:szCs w:val="20"/>
              </w:rPr>
              <w:t>112.00</w:t>
            </w:r>
          </w:p>
        </w:tc>
      </w:tr>
      <w:tr w:rsidR="004C5B29" w14:paraId="7E7503CA" w14:textId="77777777" w:rsidTr="00365599">
        <w:trPr>
          <w:trHeight w:val="965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7C64" w14:textId="38A988E3" w:rsidR="004C5B29" w:rsidRPr="00AE6083" w:rsidRDefault="004C5B29" w:rsidP="00065A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EC373" w14:textId="2D405044" w:rsidR="004C5B29" w:rsidRPr="00065A44" w:rsidRDefault="004C5B29" w:rsidP="00065A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A44">
              <w:rPr>
                <w:rFonts w:ascii="Times New Roman" w:hAnsi="Times New Roman" w:cs="Times New Roman"/>
                <w:sz w:val="18"/>
                <w:szCs w:val="18"/>
              </w:rPr>
              <w:t>Spreadsheet of Operations Reimbursed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CD252" w14:textId="0DC2383E" w:rsidR="004C5B29" w:rsidRPr="00065A44" w:rsidRDefault="004C5B29" w:rsidP="00065A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A44">
              <w:rPr>
                <w:rFonts w:ascii="Times New Roman" w:hAnsi="Times New Roman" w:cs="Times New Roman"/>
                <w:sz w:val="20"/>
                <w:szCs w:val="20"/>
              </w:rPr>
              <w:t>No Form Number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5383" w14:textId="2EC379DB" w:rsidR="004C5B29" w:rsidRPr="00065A44" w:rsidRDefault="004C5B29" w:rsidP="00065A4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65A4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DC32C" w14:textId="127E55C7" w:rsidR="004C5B29" w:rsidRPr="00065A44" w:rsidRDefault="004C5B29" w:rsidP="00365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A44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D0D4" w14:textId="0957BAF5" w:rsidR="004C5B29" w:rsidRPr="00065A44" w:rsidRDefault="004C5B29" w:rsidP="00065A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A44">
              <w:rPr>
                <w:rFonts w:ascii="Times New Roman" w:hAnsi="Times New Roman" w:cs="Times New Roman"/>
                <w:sz w:val="20"/>
                <w:szCs w:val="20"/>
              </w:rPr>
              <w:t>112.00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32D4" w14:textId="326B50BF" w:rsidR="004C5B29" w:rsidRPr="00065A44" w:rsidRDefault="004C5B29" w:rsidP="00365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A44">
              <w:rPr>
                <w:rFonts w:ascii="Times New Roman" w:hAnsi="Times New Roman" w:cs="Times New Roman"/>
                <w:sz w:val="20"/>
                <w:szCs w:val="20"/>
              </w:rPr>
              <w:t>37.0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C430B" w14:textId="41945B21" w:rsidR="004C5B29" w:rsidRPr="00065A44" w:rsidRDefault="004C5B29" w:rsidP="00065A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A44">
              <w:rPr>
                <w:rFonts w:ascii="Times New Roman" w:hAnsi="Times New Roman" w:cs="Times New Roman"/>
                <w:sz w:val="20"/>
                <w:szCs w:val="20"/>
              </w:rPr>
              <w:t>4,144.00</w:t>
            </w:r>
          </w:p>
        </w:tc>
      </w:tr>
      <w:tr w:rsidR="004C5B29" w14:paraId="13FD7BF4" w14:textId="77777777" w:rsidTr="00365599">
        <w:trPr>
          <w:trHeight w:val="965"/>
        </w:trPr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881D2" w14:textId="77777777" w:rsidR="004C5B29" w:rsidRPr="00AE6083" w:rsidRDefault="004C5B29" w:rsidP="00065A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914FB" w14:textId="7378C7CB" w:rsidR="004C5B29" w:rsidRPr="00065A44" w:rsidRDefault="004C5B29" w:rsidP="00065A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A44">
              <w:rPr>
                <w:rFonts w:ascii="Times New Roman" w:hAnsi="Times New Roman" w:cs="Times New Roman"/>
                <w:sz w:val="18"/>
                <w:szCs w:val="18"/>
              </w:rPr>
              <w:t>Producer/Handler Application (including proof of USDA organic certification, itemized invoice of certification fees paid, and W-9 tax form)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6A3CC" w14:textId="7B95A988" w:rsidR="004C5B29" w:rsidRPr="00065A44" w:rsidRDefault="004C5B29" w:rsidP="00065A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A44">
              <w:rPr>
                <w:rFonts w:ascii="Times New Roman" w:hAnsi="Times New Roman" w:cs="Times New Roman"/>
                <w:sz w:val="20"/>
                <w:szCs w:val="20"/>
              </w:rPr>
              <w:t>W-9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68EF1" w14:textId="1C26935D" w:rsidR="004C5B29" w:rsidRPr="00065A44" w:rsidRDefault="004C5B29" w:rsidP="00065A4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65A44">
              <w:rPr>
                <w:rFonts w:ascii="Times New Roman" w:hAnsi="Times New Roman" w:cs="Times New Roman"/>
                <w:sz w:val="20"/>
                <w:szCs w:val="20"/>
              </w:rPr>
              <w:t>12,000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6987B" w14:textId="5FC13796" w:rsidR="004C5B29" w:rsidRPr="00065A44" w:rsidRDefault="004C5B29" w:rsidP="00365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A44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473DD" w14:textId="16F771ED" w:rsidR="004C5B29" w:rsidRPr="00065A44" w:rsidRDefault="004C5B29" w:rsidP="00065A4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65A44">
              <w:rPr>
                <w:rFonts w:ascii="Times New Roman" w:hAnsi="Times New Roman" w:cs="Times New Roman"/>
                <w:sz w:val="20"/>
                <w:szCs w:val="20"/>
              </w:rPr>
              <w:t>12,000.00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9C36" w14:textId="133AA7ED" w:rsidR="004C5B29" w:rsidRPr="00065A44" w:rsidRDefault="004C5B29" w:rsidP="00365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A44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E7C90" w14:textId="29464FEC" w:rsidR="004C5B29" w:rsidRPr="00065A44" w:rsidRDefault="004C5B29" w:rsidP="00065A4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65A44">
              <w:rPr>
                <w:rFonts w:ascii="Times New Roman" w:hAnsi="Times New Roman" w:cs="Times New Roman"/>
                <w:sz w:val="20"/>
                <w:szCs w:val="20"/>
              </w:rPr>
              <w:t>12,000.00</w:t>
            </w:r>
          </w:p>
        </w:tc>
      </w:tr>
      <w:tr w:rsidR="00200C83" w14:paraId="351322C2" w14:textId="77777777" w:rsidTr="00365599">
        <w:trPr>
          <w:trHeight w:val="494"/>
        </w:trPr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EF49E" w14:textId="43F3F0F0" w:rsidR="00200C83" w:rsidRPr="00AE6083" w:rsidRDefault="00200C83" w:rsidP="00CE2B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00C8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Merge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</w:t>
            </w:r>
            <w:r w:rsidRPr="00200C8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burden totals from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0581-</w:t>
            </w:r>
            <w:r w:rsidRPr="00200C8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0288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B4CA7" w14:textId="77777777" w:rsidR="00200C83" w:rsidRPr="00AE6083" w:rsidRDefault="00200C83" w:rsidP="00CE2B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89B3A" w14:textId="05F7A590" w:rsidR="00200C83" w:rsidRPr="00200C83" w:rsidRDefault="00200C83" w:rsidP="004C5B2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00C8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12,056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7E3DF" w14:textId="77777777" w:rsidR="00200C83" w:rsidRPr="00200C83" w:rsidRDefault="00200C83" w:rsidP="00CE2B9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DE01D" w14:textId="08973CD7" w:rsidR="00200C83" w:rsidRPr="00200C83" w:rsidRDefault="00200C83" w:rsidP="004C5B2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00C8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12,224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BAD5A" w14:textId="77777777" w:rsidR="00200C83" w:rsidRPr="00200C83" w:rsidRDefault="00200C83" w:rsidP="00CE2B9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AE2BB" w14:textId="77777777" w:rsidR="00546AB8" w:rsidRDefault="00546AB8" w:rsidP="003655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043AF61C" w14:textId="77777777" w:rsidR="00546AB8" w:rsidRDefault="00546AB8" w:rsidP="003655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00C8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16,270</w:t>
            </w:r>
          </w:p>
          <w:p w14:paraId="1CF8FFFE" w14:textId="77777777" w:rsidR="00546AB8" w:rsidRDefault="00546AB8" w:rsidP="003655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00361012" w14:textId="2D05A813" w:rsidR="00546AB8" w:rsidRPr="00200C83" w:rsidRDefault="00546AB8" w:rsidP="003655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02FF5" w14:paraId="0CAFFC70" w14:textId="77777777" w:rsidTr="00ED2047">
        <w:trPr>
          <w:trHeight w:val="494"/>
        </w:trPr>
        <w:tc>
          <w:tcPr>
            <w:tcW w:w="1435" w:type="dxa"/>
            <w:vAlign w:val="bottom"/>
          </w:tcPr>
          <w:p w14:paraId="7201B506" w14:textId="77777777" w:rsidR="00102FF5" w:rsidRPr="00102FF5" w:rsidRDefault="00102FF5" w:rsidP="00102FF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02FF5">
              <w:rPr>
                <w:rFonts w:ascii="Arial" w:hAnsi="Arial" w:cs="Arial"/>
                <w:sz w:val="12"/>
                <w:szCs w:val="12"/>
              </w:rPr>
              <w:lastRenderedPageBreak/>
              <w:t>SECTION OF REGS.</w:t>
            </w:r>
          </w:p>
          <w:p w14:paraId="431A5297" w14:textId="38B2C3F9" w:rsidR="00102FF5" w:rsidRPr="00102FF5" w:rsidRDefault="00154235" w:rsidP="00102FF5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          </w:t>
            </w:r>
            <w:r w:rsidR="00102FF5" w:rsidRPr="00102FF5">
              <w:rPr>
                <w:rFonts w:ascii="Arial" w:hAnsi="Arial" w:cs="Arial"/>
                <w:sz w:val="12"/>
                <w:szCs w:val="12"/>
              </w:rPr>
              <w:t>(A)</w:t>
            </w:r>
          </w:p>
        </w:tc>
        <w:tc>
          <w:tcPr>
            <w:tcW w:w="1440" w:type="dxa"/>
            <w:vAlign w:val="bottom"/>
          </w:tcPr>
          <w:p w14:paraId="4F8F146C" w14:textId="77777777" w:rsidR="00102FF5" w:rsidRPr="00102FF5" w:rsidRDefault="00102FF5" w:rsidP="00102FF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02FF5">
              <w:rPr>
                <w:rFonts w:ascii="Arial" w:hAnsi="Arial" w:cs="Arial"/>
                <w:sz w:val="12"/>
                <w:szCs w:val="12"/>
              </w:rPr>
              <w:t>DESCRIPTION</w:t>
            </w:r>
          </w:p>
          <w:p w14:paraId="63DF35EF" w14:textId="3D150A83" w:rsidR="00102FF5" w:rsidRPr="00102FF5" w:rsidRDefault="00154235" w:rsidP="00102FF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          </w:t>
            </w:r>
            <w:r w:rsidR="00102FF5" w:rsidRPr="00102FF5">
              <w:rPr>
                <w:rFonts w:ascii="Arial" w:hAnsi="Arial" w:cs="Arial"/>
                <w:sz w:val="12"/>
                <w:szCs w:val="12"/>
              </w:rPr>
              <w:t>(B)</w:t>
            </w:r>
          </w:p>
        </w:tc>
        <w:tc>
          <w:tcPr>
            <w:tcW w:w="1080" w:type="dxa"/>
            <w:vAlign w:val="bottom"/>
          </w:tcPr>
          <w:p w14:paraId="47A553BD" w14:textId="77777777" w:rsidR="00102FF5" w:rsidRPr="00102FF5" w:rsidRDefault="00102FF5" w:rsidP="00102FF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02FF5">
              <w:rPr>
                <w:rFonts w:ascii="Arial" w:hAnsi="Arial" w:cs="Arial"/>
                <w:sz w:val="12"/>
                <w:szCs w:val="12"/>
              </w:rPr>
              <w:t xml:space="preserve">FORMS NO </w:t>
            </w:r>
          </w:p>
          <w:p w14:paraId="0524EBD1" w14:textId="6B41225F" w:rsidR="00102FF5" w:rsidRPr="00102FF5" w:rsidRDefault="00154235" w:rsidP="00102FF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    </w:t>
            </w:r>
            <w:r w:rsidR="00102FF5" w:rsidRPr="00102FF5">
              <w:rPr>
                <w:rFonts w:ascii="Arial" w:hAnsi="Arial" w:cs="Arial"/>
                <w:sz w:val="12"/>
                <w:szCs w:val="12"/>
              </w:rPr>
              <w:t>(C)</w:t>
            </w:r>
          </w:p>
        </w:tc>
        <w:tc>
          <w:tcPr>
            <w:tcW w:w="900" w:type="dxa"/>
            <w:vAlign w:val="bottom"/>
          </w:tcPr>
          <w:p w14:paraId="54166BA0" w14:textId="77777777" w:rsidR="00102FF5" w:rsidRPr="00102FF5" w:rsidRDefault="00102FF5" w:rsidP="00102FF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02FF5">
              <w:rPr>
                <w:rFonts w:ascii="Arial" w:hAnsi="Arial" w:cs="Arial"/>
                <w:sz w:val="12"/>
                <w:szCs w:val="12"/>
              </w:rPr>
              <w:t>NO. OF RESPOND-ENTS</w:t>
            </w:r>
          </w:p>
          <w:p w14:paraId="74776A2B" w14:textId="3CD08E19" w:rsidR="00102FF5" w:rsidRPr="00102FF5" w:rsidRDefault="00154235" w:rsidP="00102FF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   </w:t>
            </w:r>
            <w:r w:rsidR="00102FF5" w:rsidRPr="00102FF5">
              <w:rPr>
                <w:rFonts w:ascii="Arial" w:hAnsi="Arial" w:cs="Arial"/>
                <w:sz w:val="12"/>
                <w:szCs w:val="12"/>
              </w:rPr>
              <w:t>(D)</w:t>
            </w:r>
          </w:p>
        </w:tc>
        <w:tc>
          <w:tcPr>
            <w:tcW w:w="1080" w:type="dxa"/>
            <w:vAlign w:val="bottom"/>
          </w:tcPr>
          <w:p w14:paraId="571B984A" w14:textId="77777777" w:rsidR="00102FF5" w:rsidRPr="00102FF5" w:rsidRDefault="00102FF5" w:rsidP="00102FF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02FF5">
              <w:rPr>
                <w:rFonts w:ascii="Arial" w:hAnsi="Arial" w:cs="Arial"/>
                <w:sz w:val="12"/>
                <w:szCs w:val="12"/>
              </w:rPr>
              <w:t>NO. OF RESPONSES PER RESPONDENT</w:t>
            </w:r>
          </w:p>
          <w:p w14:paraId="2430EB22" w14:textId="27E82B07" w:rsidR="00102FF5" w:rsidRPr="00102FF5" w:rsidRDefault="00154235" w:rsidP="00102FF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     </w:t>
            </w:r>
            <w:r w:rsidR="00102FF5" w:rsidRPr="00102FF5">
              <w:rPr>
                <w:rFonts w:ascii="Arial" w:hAnsi="Arial" w:cs="Arial"/>
                <w:sz w:val="12"/>
                <w:szCs w:val="12"/>
              </w:rPr>
              <w:t>(E)</w:t>
            </w:r>
          </w:p>
        </w:tc>
        <w:tc>
          <w:tcPr>
            <w:tcW w:w="1170" w:type="dxa"/>
            <w:vAlign w:val="bottom"/>
          </w:tcPr>
          <w:p w14:paraId="2CD5CD73" w14:textId="77777777" w:rsidR="00102FF5" w:rsidRPr="00102FF5" w:rsidRDefault="00102FF5" w:rsidP="00102FF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02FF5">
              <w:rPr>
                <w:rFonts w:ascii="Arial" w:hAnsi="Arial" w:cs="Arial"/>
                <w:sz w:val="12"/>
                <w:szCs w:val="12"/>
              </w:rPr>
              <w:t>TOTAL ANNUAL RESPONSES</w:t>
            </w:r>
          </w:p>
          <w:p w14:paraId="03B94668" w14:textId="10C76C22" w:rsidR="00102FF5" w:rsidRPr="00102FF5" w:rsidRDefault="00154235" w:rsidP="00102FF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      </w:t>
            </w:r>
            <w:r w:rsidR="00102FF5" w:rsidRPr="00102FF5">
              <w:rPr>
                <w:rFonts w:ascii="Arial" w:hAnsi="Arial" w:cs="Arial"/>
                <w:sz w:val="12"/>
                <w:szCs w:val="12"/>
              </w:rPr>
              <w:t>(F)</w:t>
            </w:r>
          </w:p>
        </w:tc>
        <w:tc>
          <w:tcPr>
            <w:tcW w:w="990" w:type="dxa"/>
            <w:vAlign w:val="bottom"/>
          </w:tcPr>
          <w:p w14:paraId="6864B7BA" w14:textId="77777777" w:rsidR="00102FF5" w:rsidRPr="00102FF5" w:rsidRDefault="00102FF5" w:rsidP="00102FF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02FF5">
              <w:rPr>
                <w:rFonts w:ascii="Arial" w:hAnsi="Arial" w:cs="Arial"/>
                <w:sz w:val="12"/>
                <w:szCs w:val="12"/>
              </w:rPr>
              <w:t>HOURS PER RESPONSE</w:t>
            </w:r>
          </w:p>
          <w:p w14:paraId="75CEA918" w14:textId="4D8C1DDB" w:rsidR="00102FF5" w:rsidRPr="00102FF5" w:rsidRDefault="00154235" w:rsidP="00102FF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    </w:t>
            </w:r>
            <w:r w:rsidR="00102FF5" w:rsidRPr="00102FF5">
              <w:rPr>
                <w:rFonts w:ascii="Arial" w:hAnsi="Arial" w:cs="Arial"/>
                <w:sz w:val="12"/>
                <w:szCs w:val="12"/>
              </w:rPr>
              <w:t>(G)</w:t>
            </w:r>
          </w:p>
        </w:tc>
        <w:tc>
          <w:tcPr>
            <w:tcW w:w="1066" w:type="dxa"/>
            <w:vAlign w:val="bottom"/>
          </w:tcPr>
          <w:p w14:paraId="64047E58" w14:textId="77777777" w:rsidR="00102FF5" w:rsidRPr="00102FF5" w:rsidRDefault="00102FF5" w:rsidP="00102FF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02FF5">
              <w:rPr>
                <w:rFonts w:ascii="Arial" w:hAnsi="Arial" w:cs="Arial"/>
                <w:sz w:val="12"/>
                <w:szCs w:val="12"/>
              </w:rPr>
              <w:t>TOTAL HOURS</w:t>
            </w:r>
          </w:p>
          <w:p w14:paraId="1439E918" w14:textId="13623BAB" w:rsidR="00102FF5" w:rsidRPr="00102FF5" w:rsidRDefault="00154235" w:rsidP="00102FF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     </w:t>
            </w:r>
            <w:r w:rsidR="00102FF5" w:rsidRPr="00102FF5">
              <w:rPr>
                <w:rFonts w:ascii="Arial" w:hAnsi="Arial" w:cs="Arial"/>
                <w:sz w:val="12"/>
                <w:szCs w:val="12"/>
              </w:rPr>
              <w:t xml:space="preserve">(H) </w:t>
            </w:r>
          </w:p>
        </w:tc>
      </w:tr>
      <w:tr w:rsidR="00154235" w14:paraId="11447843" w14:textId="77777777" w:rsidTr="00365599">
        <w:trPr>
          <w:trHeight w:val="576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77FB0" w14:textId="1978B537" w:rsidR="00154235" w:rsidRPr="00EE748B" w:rsidRDefault="00154235" w:rsidP="00200C83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B32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1606(d)(1) of the Farm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Security &amp; Rural Investment Act of 2002; as amended under Sec. 1004 of the 2014 Farm Bill; Federal Crop Insurance Act (FCIA)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A3D15" w14:textId="59F58A76" w:rsidR="00154235" w:rsidRPr="00AE6083" w:rsidRDefault="00154235" w:rsidP="00200C8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A44">
              <w:rPr>
                <w:rFonts w:ascii="Times New Roman" w:hAnsi="Times New Roman" w:cs="Times New Roman"/>
                <w:sz w:val="18"/>
                <w:szCs w:val="18"/>
              </w:rPr>
              <w:t>Application for Federal Assistance (apprvd. Under OMB 4040-0004)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DA490" w14:textId="77777777" w:rsidR="00154235" w:rsidRDefault="00154235" w:rsidP="00200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44">
              <w:rPr>
                <w:rFonts w:ascii="Times New Roman" w:hAnsi="Times New Roman" w:cs="Times New Roman"/>
                <w:sz w:val="20"/>
                <w:szCs w:val="20"/>
              </w:rPr>
              <w:t>SF-424</w:t>
            </w:r>
          </w:p>
          <w:p w14:paraId="361626AC" w14:textId="5B2EFE07" w:rsidR="00154235" w:rsidRPr="00AE6083" w:rsidRDefault="00154235" w:rsidP="00200C8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(Common Form)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44AF4" w14:textId="77777777" w:rsidR="00154235" w:rsidRDefault="00154235" w:rsidP="00200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4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14:paraId="0AD6585F" w14:textId="77777777" w:rsidR="00154235" w:rsidRDefault="00154235" w:rsidP="00200C8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FDB7" w14:textId="105D20D5" w:rsidR="00154235" w:rsidRPr="00AE6083" w:rsidRDefault="00154235" w:rsidP="00365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A44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A4113" w14:textId="3C868336" w:rsidR="00154235" w:rsidRDefault="00154235" w:rsidP="00200C8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65A44">
              <w:rPr>
                <w:rFonts w:ascii="Times New Roman" w:hAnsi="Times New Roman" w:cs="Times New Roman"/>
                <w:sz w:val="20"/>
                <w:szCs w:val="20"/>
              </w:rPr>
              <w:t>56.00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F6FD0" w14:textId="5A3D6596" w:rsidR="00154235" w:rsidRPr="00AE6083" w:rsidRDefault="00AE6876" w:rsidP="00AE68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.75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4658" w14:textId="554CE208" w:rsidR="00154235" w:rsidRDefault="00AE6876" w:rsidP="00200C8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154235" w:rsidRPr="00065A44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="00AE1C4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154235" w14:paraId="281C19A3" w14:textId="77777777" w:rsidTr="00365599">
        <w:trPr>
          <w:trHeight w:val="494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0D6A" w14:textId="77777777" w:rsidR="00154235" w:rsidRPr="00EE748B" w:rsidRDefault="00154235" w:rsidP="00200C83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78215" w14:textId="3E4B2684" w:rsidR="00154235" w:rsidRPr="00AE6083" w:rsidRDefault="00154235" w:rsidP="00200C8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A44">
              <w:rPr>
                <w:rFonts w:ascii="Times New Roman" w:hAnsi="Times New Roman" w:cs="Times New Roman"/>
                <w:sz w:val="18"/>
                <w:szCs w:val="18"/>
              </w:rPr>
              <w:t>Request for Advance or Reimbursement (apprvd. Under OMB 4040-0012)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7A81" w14:textId="77777777" w:rsidR="00154235" w:rsidRDefault="00154235" w:rsidP="00200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44">
              <w:rPr>
                <w:rFonts w:ascii="Times New Roman" w:hAnsi="Times New Roman" w:cs="Times New Roman"/>
                <w:sz w:val="20"/>
                <w:szCs w:val="20"/>
              </w:rPr>
              <w:t>SF-270</w:t>
            </w:r>
          </w:p>
          <w:p w14:paraId="57065304" w14:textId="0D959DEE" w:rsidR="00154235" w:rsidRPr="00AE6083" w:rsidRDefault="00154235" w:rsidP="00200C8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(Common Form)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BB62B" w14:textId="3FD858A0" w:rsidR="00154235" w:rsidRDefault="00154235" w:rsidP="00200C8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65A4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50CF" w14:textId="2470A455" w:rsidR="00154235" w:rsidRPr="00AE6083" w:rsidRDefault="00154235" w:rsidP="00365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A44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0F016" w14:textId="71438E31" w:rsidR="00154235" w:rsidRDefault="00154235" w:rsidP="00200C8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65A44">
              <w:rPr>
                <w:rFonts w:ascii="Times New Roman" w:hAnsi="Times New Roman" w:cs="Times New Roman"/>
                <w:sz w:val="20"/>
                <w:szCs w:val="20"/>
              </w:rPr>
              <w:t>112.00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7627F" w14:textId="21000D84" w:rsidR="00154235" w:rsidRPr="00AE6083" w:rsidRDefault="00154235" w:rsidP="00365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A44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A6831" w14:textId="018831C4" w:rsidR="00154235" w:rsidRDefault="00154235" w:rsidP="00200C8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65A44">
              <w:rPr>
                <w:rFonts w:ascii="Times New Roman" w:hAnsi="Times New Roman" w:cs="Times New Roman"/>
                <w:sz w:val="20"/>
                <w:szCs w:val="20"/>
              </w:rPr>
              <w:t>112.00</w:t>
            </w:r>
            <w:r w:rsidR="00AE1C4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154235" w14:paraId="3715F94F" w14:textId="77777777" w:rsidTr="00365599">
        <w:trPr>
          <w:trHeight w:val="494"/>
        </w:trPr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61B6D" w14:textId="6FB6E6D3" w:rsidR="00154235" w:rsidRPr="00EE748B" w:rsidRDefault="00154235" w:rsidP="00200C83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70BA0" w14:textId="61706C8A" w:rsidR="00154235" w:rsidRPr="00AE6083" w:rsidRDefault="00154235" w:rsidP="00200C8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A44">
              <w:rPr>
                <w:rFonts w:ascii="Times New Roman" w:hAnsi="Times New Roman" w:cs="Times New Roman"/>
                <w:sz w:val="18"/>
                <w:szCs w:val="18"/>
              </w:rPr>
              <w:t>Federal Financial Rept. (apprvd. Under OMB 4040-0014)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D116" w14:textId="77777777" w:rsidR="00154235" w:rsidRDefault="00154235" w:rsidP="00200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44">
              <w:rPr>
                <w:rFonts w:ascii="Times New Roman" w:hAnsi="Times New Roman" w:cs="Times New Roman"/>
                <w:sz w:val="20"/>
                <w:szCs w:val="20"/>
              </w:rPr>
              <w:t>SF-425</w:t>
            </w:r>
          </w:p>
          <w:p w14:paraId="66F5C9AC" w14:textId="07620280" w:rsidR="00154235" w:rsidRPr="00AE6083" w:rsidRDefault="00154235" w:rsidP="00200C8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(Common Form)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6AF6F" w14:textId="5606A33E" w:rsidR="00154235" w:rsidRPr="00AE6083" w:rsidRDefault="00154235" w:rsidP="00200C8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65A4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5415D" w14:textId="4C48EB1D" w:rsidR="00154235" w:rsidRPr="00AE6083" w:rsidRDefault="00154235" w:rsidP="00365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A44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795B" w14:textId="4C60B58F" w:rsidR="00154235" w:rsidRPr="00AE6083" w:rsidRDefault="00154235" w:rsidP="00200C8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65A44">
              <w:rPr>
                <w:rFonts w:ascii="Times New Roman" w:hAnsi="Times New Roman" w:cs="Times New Roman"/>
                <w:sz w:val="20"/>
                <w:szCs w:val="20"/>
              </w:rPr>
              <w:t>112.00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1798A" w14:textId="6A5DBC3A" w:rsidR="00154235" w:rsidRPr="00AE6083" w:rsidRDefault="00154235" w:rsidP="00365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5A4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36559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08909" w14:textId="60E9CC0C" w:rsidR="00154235" w:rsidRPr="00AE6083" w:rsidRDefault="00154235" w:rsidP="00AE687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65A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E687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065A44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="00AE1C4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</w:tbl>
    <w:p w14:paraId="6A1F5F6E" w14:textId="77777777" w:rsidR="00B86C48" w:rsidRDefault="00B86C48" w:rsidP="003061B6">
      <w:pPr>
        <w:rPr>
          <w:rFonts w:ascii="Times New Roman" w:hAnsi="Times New Roman" w:cs="Times New Roman"/>
          <w:sz w:val="24"/>
          <w:szCs w:val="24"/>
        </w:rPr>
      </w:pPr>
    </w:p>
    <w:p w14:paraId="509CF353" w14:textId="13AAB0F5" w:rsidR="003061B6" w:rsidRPr="00AE50BD" w:rsidRDefault="001D4F74" w:rsidP="0031380A">
      <w:pPr>
        <w:rPr>
          <w:rFonts w:ascii="Times New Roman" w:hAnsi="Times New Roman" w:cs="Times New Roman"/>
          <w:sz w:val="24"/>
          <w:szCs w:val="24"/>
        </w:rPr>
      </w:pPr>
      <w:r w:rsidRPr="00AE50BD">
        <w:rPr>
          <w:rFonts w:ascii="Times New Roman" w:hAnsi="Times New Roman"/>
          <w:iCs/>
          <w:sz w:val="24"/>
          <w:szCs w:val="24"/>
        </w:rPr>
        <w:t xml:space="preserve">The information collection burden in 0581-0288 continues to be needed to </w:t>
      </w:r>
      <w:r w:rsidRPr="00AE50BD">
        <w:rPr>
          <w:rFonts w:ascii="Times New Roman" w:hAnsi="Times New Roman"/>
          <w:color w:val="000000"/>
          <w:sz w:val="24"/>
          <w:szCs w:val="24"/>
        </w:rPr>
        <w:t xml:space="preserve">implement a portion of the Agriculture Act of 2014 and the Federal Crop Insurance Act which </w:t>
      </w:r>
      <w:r w:rsidRPr="00AE50BD">
        <w:rPr>
          <w:rFonts w:ascii="Times New Roman" w:hAnsi="Times New Roman"/>
          <w:sz w:val="24"/>
          <w:szCs w:val="24"/>
        </w:rPr>
        <w:t xml:space="preserve">authorize funds for two organic certification cost-share programs for Fiscal Years 2014 to 2018: </w:t>
      </w:r>
      <w:r w:rsidRPr="00AE50BD">
        <w:rPr>
          <w:rFonts w:ascii="Times New Roman" w:hAnsi="Times New Roman"/>
          <w:iCs/>
          <w:sz w:val="24"/>
          <w:szCs w:val="24"/>
        </w:rPr>
        <w:t>the National Organic Certification Cost-Share Program (NOCCSP) or the Agricultural Management Assistance (AMA) Organic Certification Cost-Share Program</w:t>
      </w:r>
      <w:r w:rsidRPr="00AE50BD">
        <w:rPr>
          <w:rFonts w:ascii="Times New Roman" w:hAnsi="Times New Roman"/>
          <w:sz w:val="24"/>
          <w:szCs w:val="24"/>
        </w:rPr>
        <w:t xml:space="preserve">. </w:t>
      </w:r>
      <w:r w:rsidRPr="00AE50BD">
        <w:rPr>
          <w:rFonts w:ascii="Times New Roman" w:hAnsi="Times New Roman"/>
          <w:iCs/>
          <w:sz w:val="24"/>
          <w:szCs w:val="24"/>
        </w:rPr>
        <w:t>This burden is applied only to those state agencies and organic producers and handlers who voluntarily participate in one of these programs</w:t>
      </w:r>
      <w:r w:rsidRPr="00AE50BD">
        <w:rPr>
          <w:rFonts w:ascii="Times New Roman" w:hAnsi="Times New Roman"/>
          <w:sz w:val="24"/>
          <w:szCs w:val="24"/>
        </w:rPr>
        <w:t>. Accordingly, A</w:t>
      </w:r>
      <w:r w:rsidR="00DD0C2B" w:rsidRPr="00AE50BD">
        <w:rPr>
          <w:rFonts w:ascii="Times New Roman" w:hAnsi="Times New Roman" w:cs="Times New Roman"/>
          <w:sz w:val="24"/>
          <w:szCs w:val="24"/>
        </w:rPr>
        <w:t>MS</w:t>
      </w:r>
      <w:r w:rsidR="00B86C48" w:rsidRPr="00AE50BD">
        <w:rPr>
          <w:rFonts w:ascii="Times New Roman" w:hAnsi="Times New Roman" w:cs="Times New Roman"/>
          <w:sz w:val="24"/>
          <w:szCs w:val="24"/>
        </w:rPr>
        <w:t xml:space="preserve"> requests</w:t>
      </w:r>
      <w:r w:rsidR="00DD0C2B" w:rsidRPr="00AE50BD">
        <w:rPr>
          <w:rFonts w:ascii="Times New Roman" w:hAnsi="Times New Roman" w:cs="Times New Roman"/>
          <w:sz w:val="24"/>
          <w:szCs w:val="24"/>
        </w:rPr>
        <w:t xml:space="preserve"> to increase the</w:t>
      </w:r>
      <w:r w:rsidRPr="00AE50BD">
        <w:rPr>
          <w:rFonts w:ascii="Times New Roman" w:hAnsi="Times New Roman" w:cs="Times New Roman"/>
          <w:sz w:val="24"/>
          <w:szCs w:val="24"/>
        </w:rPr>
        <w:t xml:space="preserve"> burden for collection 0581-0191 by means of a merge</w:t>
      </w:r>
      <w:r w:rsidR="00B86C48" w:rsidRPr="00AE50BD">
        <w:rPr>
          <w:rFonts w:ascii="Times New Roman" w:hAnsi="Times New Roman" w:cs="Times New Roman"/>
          <w:sz w:val="24"/>
          <w:szCs w:val="24"/>
        </w:rPr>
        <w:t xml:space="preserve"> request at this time</w:t>
      </w:r>
      <w:r w:rsidR="0097401E" w:rsidRPr="00AE50BD">
        <w:rPr>
          <w:rFonts w:ascii="Times New Roman" w:hAnsi="Times New Roman" w:cs="Times New Roman"/>
          <w:sz w:val="24"/>
          <w:szCs w:val="24"/>
        </w:rPr>
        <w:t xml:space="preserve"> by 16,270 hours.</w:t>
      </w:r>
      <w:r w:rsidR="00B86C48" w:rsidRPr="00AE50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B918F0" w14:textId="372CC7FE" w:rsidR="00331E2A" w:rsidRDefault="00B40018" w:rsidP="00200C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Standard </w:t>
      </w:r>
      <w:r w:rsidR="00200C83">
        <w:rPr>
          <w:rFonts w:ascii="Times New Roman" w:hAnsi="Times New Roman" w:cs="Times New Roman"/>
          <w:sz w:val="24"/>
          <w:szCs w:val="24"/>
        </w:rPr>
        <w:t xml:space="preserve">Forms SF-270 (4040-0012 Request for Advance or Reimbursement), SF-424 (4040-0004 Discretionary), and SF-425 (4040-0014 Federal Financial Report) </w:t>
      </w:r>
      <w:r>
        <w:rPr>
          <w:rFonts w:ascii="Times New Roman" w:hAnsi="Times New Roman" w:cs="Times New Roman"/>
          <w:sz w:val="24"/>
          <w:szCs w:val="24"/>
        </w:rPr>
        <w:t xml:space="preserve">used in this collection </w:t>
      </w:r>
      <w:r w:rsidR="00200C83">
        <w:rPr>
          <w:rFonts w:ascii="Times New Roman" w:hAnsi="Times New Roman" w:cs="Times New Roman"/>
          <w:sz w:val="24"/>
          <w:szCs w:val="24"/>
        </w:rPr>
        <w:t xml:space="preserve">are now Common Forms under the Grants.gov., </w:t>
      </w:r>
      <w:r w:rsidR="00200C83" w:rsidRPr="00641262">
        <w:rPr>
          <w:rFonts w:ascii="Times New Roman" w:hAnsi="Times New Roman" w:cs="Times New Roman"/>
          <w:sz w:val="24"/>
          <w:szCs w:val="24"/>
        </w:rPr>
        <w:t>and therefore</w:t>
      </w:r>
      <w:r w:rsidR="00200C83">
        <w:rPr>
          <w:rFonts w:ascii="Times New Roman" w:hAnsi="Times New Roman" w:cs="Times New Roman"/>
          <w:sz w:val="24"/>
          <w:szCs w:val="24"/>
        </w:rPr>
        <w:t xml:space="preserve"> the associated burden is not included in this merge request.  </w:t>
      </w:r>
      <w:r w:rsidR="00200C83" w:rsidRPr="006A1083">
        <w:rPr>
          <w:rFonts w:ascii="Times New Roman" w:hAnsi="Times New Roman" w:cs="Times New Roman"/>
          <w:sz w:val="24"/>
          <w:szCs w:val="24"/>
        </w:rPr>
        <w:t xml:space="preserve">Burden for each common form in this collection will be accounted for </w:t>
      </w:r>
      <w:r w:rsidR="00200C83">
        <w:rPr>
          <w:rFonts w:ascii="Times New Roman" w:hAnsi="Times New Roman" w:cs="Times New Roman"/>
          <w:sz w:val="24"/>
          <w:szCs w:val="24"/>
        </w:rPr>
        <w:t xml:space="preserve">through a Request for Common Forms.   </w:t>
      </w:r>
    </w:p>
    <w:p w14:paraId="3DCA0CF9" w14:textId="77777777" w:rsidR="00331E2A" w:rsidRDefault="00331E2A" w:rsidP="00200C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6661B1" w14:textId="2CFE95EA" w:rsidR="00200C83" w:rsidRDefault="00AE1C4F" w:rsidP="00200C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(Note: * burden hours reported under RCF may not calculate the same due to change in per response time on SF form.) </w:t>
      </w:r>
    </w:p>
    <w:p w14:paraId="00BEAF34" w14:textId="045A4E9B" w:rsidR="00200C83" w:rsidRDefault="00200C83" w:rsidP="00AE1C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A0C500" w14:textId="77777777" w:rsidR="00AE1C4F" w:rsidRPr="00AE1C4F" w:rsidRDefault="00AE1C4F" w:rsidP="00AE1C4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E1C4F" w:rsidRPr="00AE1C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5A04B1"/>
    <w:multiLevelType w:val="hybridMultilevel"/>
    <w:tmpl w:val="FAF8B2CC"/>
    <w:lvl w:ilvl="0" w:tplc="47087C52">
      <w:start w:val="16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B6"/>
    <w:rsid w:val="00003612"/>
    <w:rsid w:val="00003877"/>
    <w:rsid w:val="000107E1"/>
    <w:rsid w:val="00036EAC"/>
    <w:rsid w:val="00044947"/>
    <w:rsid w:val="00065A44"/>
    <w:rsid w:val="000B3299"/>
    <w:rsid w:val="00102FF5"/>
    <w:rsid w:val="00154235"/>
    <w:rsid w:val="00177193"/>
    <w:rsid w:val="001D4F74"/>
    <w:rsid w:val="001E73FF"/>
    <w:rsid w:val="00200C83"/>
    <w:rsid w:val="002600F4"/>
    <w:rsid w:val="00271182"/>
    <w:rsid w:val="002D3A33"/>
    <w:rsid w:val="003061B6"/>
    <w:rsid w:val="0031380A"/>
    <w:rsid w:val="003201A1"/>
    <w:rsid w:val="00331E2A"/>
    <w:rsid w:val="00365599"/>
    <w:rsid w:val="00385F51"/>
    <w:rsid w:val="003A6010"/>
    <w:rsid w:val="003D0451"/>
    <w:rsid w:val="00467FB8"/>
    <w:rsid w:val="00476B1A"/>
    <w:rsid w:val="004B42C7"/>
    <w:rsid w:val="004C5B29"/>
    <w:rsid w:val="0053552E"/>
    <w:rsid w:val="00537D02"/>
    <w:rsid w:val="00546AB8"/>
    <w:rsid w:val="00550209"/>
    <w:rsid w:val="00553C9C"/>
    <w:rsid w:val="00605521"/>
    <w:rsid w:val="00615CC1"/>
    <w:rsid w:val="00641262"/>
    <w:rsid w:val="006807B8"/>
    <w:rsid w:val="006A1083"/>
    <w:rsid w:val="006A1730"/>
    <w:rsid w:val="0072783B"/>
    <w:rsid w:val="0078412C"/>
    <w:rsid w:val="007C1092"/>
    <w:rsid w:val="007C7BCF"/>
    <w:rsid w:val="008A0BFE"/>
    <w:rsid w:val="008F1493"/>
    <w:rsid w:val="0097401E"/>
    <w:rsid w:val="009A4F6D"/>
    <w:rsid w:val="009D27AE"/>
    <w:rsid w:val="009F3D9B"/>
    <w:rsid w:val="00A93A67"/>
    <w:rsid w:val="00AC3ACC"/>
    <w:rsid w:val="00AE1C4F"/>
    <w:rsid w:val="00AE50BD"/>
    <w:rsid w:val="00AE6083"/>
    <w:rsid w:val="00AE6876"/>
    <w:rsid w:val="00B06231"/>
    <w:rsid w:val="00B40018"/>
    <w:rsid w:val="00B8016B"/>
    <w:rsid w:val="00B86C48"/>
    <w:rsid w:val="00BA3858"/>
    <w:rsid w:val="00C42E7E"/>
    <w:rsid w:val="00CA2241"/>
    <w:rsid w:val="00CB65B3"/>
    <w:rsid w:val="00CC1828"/>
    <w:rsid w:val="00CE19AF"/>
    <w:rsid w:val="00CE2B93"/>
    <w:rsid w:val="00D13CD3"/>
    <w:rsid w:val="00D21A0C"/>
    <w:rsid w:val="00D2537B"/>
    <w:rsid w:val="00D65294"/>
    <w:rsid w:val="00D92EAA"/>
    <w:rsid w:val="00DA4D8D"/>
    <w:rsid w:val="00DD0C2B"/>
    <w:rsid w:val="00DE0351"/>
    <w:rsid w:val="00E3257C"/>
    <w:rsid w:val="00E33622"/>
    <w:rsid w:val="00E63863"/>
    <w:rsid w:val="00E76134"/>
    <w:rsid w:val="00E81112"/>
    <w:rsid w:val="00E81AB5"/>
    <w:rsid w:val="00EC6A23"/>
    <w:rsid w:val="00EE748B"/>
    <w:rsid w:val="00F16D01"/>
    <w:rsid w:val="00F325B9"/>
    <w:rsid w:val="00FB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2C20E"/>
  <w15:docId w15:val="{C1DF0BE9-6D70-449F-979C-5CF2CD4B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6C4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0C2B"/>
    <w:pPr>
      <w:spacing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16D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D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D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D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D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D0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4FDBE-4E69-4DF6-A3A3-4B0959EF6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USDA/AMS</Company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</dc:creator>
  <cp:lastModifiedBy>Pish, Marylin - AMS</cp:lastModifiedBy>
  <cp:revision>2</cp:revision>
  <cp:lastPrinted>2016-02-09T21:40:00Z</cp:lastPrinted>
  <dcterms:created xsi:type="dcterms:W3CDTF">2016-02-22T13:28:00Z</dcterms:created>
  <dcterms:modified xsi:type="dcterms:W3CDTF">2016-02-22T13:28:00Z</dcterms:modified>
</cp:coreProperties>
</file>