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92C3A" w14:textId="77777777" w:rsidR="00CD51FE" w:rsidRPr="005147A4" w:rsidRDefault="00CD51FE" w:rsidP="00CD51FE">
      <w:pPr>
        <w:pStyle w:val="Heading2"/>
        <w:jc w:val="center"/>
        <w:rPr>
          <w:rFonts w:ascii="Arial" w:hAnsi="Arial" w:cs="Arial"/>
          <w:sz w:val="20"/>
          <w:szCs w:val="20"/>
        </w:rPr>
      </w:pPr>
      <w:bookmarkStart w:id="0" w:name="_Toc397441107"/>
      <w:bookmarkStart w:id="1" w:name="_GoBack"/>
      <w:bookmarkEnd w:id="1"/>
      <w:r w:rsidRPr="005147A4">
        <w:rPr>
          <w:rFonts w:ascii="Arial" w:hAnsi="Arial" w:cs="Arial"/>
          <w:color w:val="auto"/>
        </w:rPr>
        <w:t>Template for 60</w:t>
      </w:r>
      <w:r>
        <w:rPr>
          <w:rFonts w:ascii="Arial" w:hAnsi="Arial" w:cs="Arial"/>
          <w:color w:val="auto"/>
        </w:rPr>
        <w:t>-D</w:t>
      </w:r>
      <w:r w:rsidRPr="005147A4">
        <w:rPr>
          <w:rFonts w:ascii="Arial" w:hAnsi="Arial" w:cs="Arial"/>
          <w:color w:val="auto"/>
        </w:rPr>
        <w:t>ay FRN</w:t>
      </w:r>
      <w:bookmarkEnd w:id="0"/>
    </w:p>
    <w:p w14:paraId="3DF92C3B" w14:textId="77777777" w:rsidR="00CD51FE" w:rsidRDefault="00CD51FE" w:rsidP="00CD51FE">
      <w:pPr>
        <w:widowControl/>
        <w:tabs>
          <w:tab w:val="left" w:pos="-1440"/>
          <w:tab w:val="left" w:pos="-720"/>
        </w:tabs>
        <w:rPr>
          <w:rFonts w:ascii="Arial" w:hAnsi="Arial" w:cs="Arial"/>
          <w:sz w:val="20"/>
          <w:szCs w:val="20"/>
        </w:rPr>
      </w:pPr>
    </w:p>
    <w:p w14:paraId="3DF92C3C" w14:textId="0504AE77" w:rsidR="00CD51FE" w:rsidRPr="00F56B61" w:rsidRDefault="00CD51FE" w:rsidP="00CD51FE">
      <w:pPr>
        <w:widowControl/>
        <w:tabs>
          <w:tab w:val="left" w:pos="-1440"/>
          <w:tab w:val="left" w:pos="-720"/>
        </w:tabs>
        <w:rPr>
          <w:rFonts w:ascii="Arial" w:hAnsi="Arial" w:cs="Arial"/>
          <w:sz w:val="20"/>
          <w:szCs w:val="20"/>
        </w:rPr>
      </w:pPr>
    </w:p>
    <w:p w14:paraId="3DF92C3D" w14:textId="77777777" w:rsidR="00CD51FE" w:rsidRPr="00942E51" w:rsidRDefault="00CD51FE" w:rsidP="00CD51FE">
      <w:pPr>
        <w:spacing w:line="480" w:lineRule="auto"/>
        <w:rPr>
          <w:rFonts w:cs="Courier New"/>
        </w:rPr>
      </w:pPr>
      <w:r>
        <w:rPr>
          <w:rFonts w:cs="Courier New"/>
          <w:b/>
        </w:rPr>
        <w:t>BILLING CODE: 4163-18-P</w:t>
      </w:r>
      <w:r>
        <w:rPr>
          <w:rFonts w:cs="Courier New"/>
        </w:rPr>
        <w:t xml:space="preserve"> </w:t>
      </w:r>
    </w:p>
    <w:p w14:paraId="3DF92C3E" w14:textId="77777777" w:rsidR="00CD51FE" w:rsidRDefault="00CD51FE" w:rsidP="00CD51FE">
      <w:pPr>
        <w:spacing w:line="480" w:lineRule="auto"/>
        <w:rPr>
          <w:rFonts w:cs="Courier New"/>
          <w:b/>
        </w:rPr>
      </w:pPr>
    </w:p>
    <w:p w14:paraId="3DF92C3F" w14:textId="77777777" w:rsidR="00CD51FE" w:rsidRDefault="00CD51FE" w:rsidP="00CD51FE">
      <w:pPr>
        <w:spacing w:line="480" w:lineRule="auto"/>
        <w:rPr>
          <w:rFonts w:cs="Courier New"/>
          <w:b/>
        </w:rPr>
      </w:pPr>
      <w:r>
        <w:rPr>
          <w:rFonts w:cs="Courier New"/>
          <w:b/>
        </w:rPr>
        <w:t>DEPARTMENT OF HEALTH AND HUMAN SERVICES</w:t>
      </w:r>
    </w:p>
    <w:p w14:paraId="3DF92C40" w14:textId="77777777" w:rsidR="00CD51FE" w:rsidRDefault="00CD51FE" w:rsidP="00CD51FE">
      <w:pPr>
        <w:spacing w:line="480" w:lineRule="auto"/>
        <w:rPr>
          <w:rFonts w:cs="Courier New"/>
          <w:b/>
        </w:rPr>
      </w:pPr>
      <w:r>
        <w:rPr>
          <w:rFonts w:cs="Courier New"/>
          <w:b/>
        </w:rPr>
        <w:t>Centers for Disease Control and Prevention</w:t>
      </w:r>
    </w:p>
    <w:p w14:paraId="3DF92C41" w14:textId="4BF74AC9" w:rsidR="00CD51FE" w:rsidRPr="00351DE6" w:rsidRDefault="00CD51FE" w:rsidP="00CD51FE">
      <w:pPr>
        <w:spacing w:line="480" w:lineRule="auto"/>
        <w:rPr>
          <w:rFonts w:cs="Courier New"/>
          <w:b/>
        </w:rPr>
      </w:pPr>
      <w:r>
        <w:rPr>
          <w:rFonts w:cs="Courier New"/>
          <w:b/>
        </w:rPr>
        <w:t>[60Day-</w:t>
      </w:r>
      <w:r w:rsidR="00DE04F7">
        <w:rPr>
          <w:rFonts w:cs="Courier New"/>
          <w:b/>
          <w:highlight w:val="yellow"/>
        </w:rPr>
        <w:t>16</w:t>
      </w:r>
      <w:r w:rsidRPr="00CD51FE">
        <w:rPr>
          <w:rFonts w:cs="Courier New"/>
          <w:b/>
          <w:highlight w:val="yellow"/>
        </w:rPr>
        <w:t>-xxxx</w:t>
      </w:r>
      <w:r>
        <w:rPr>
          <w:rFonts w:cs="Courier New"/>
          <w:b/>
        </w:rPr>
        <w:t>]</w:t>
      </w:r>
    </w:p>
    <w:p w14:paraId="3DF92C42" w14:textId="77777777" w:rsidR="00CD51FE" w:rsidRDefault="00CD51FE" w:rsidP="00CD51FE">
      <w:pPr>
        <w:spacing w:line="480" w:lineRule="auto"/>
        <w:rPr>
          <w:rFonts w:cs="Courier New"/>
          <w:b/>
        </w:rPr>
      </w:pPr>
      <w:r>
        <w:rPr>
          <w:rFonts w:cs="Courier New"/>
          <w:b/>
        </w:rPr>
        <w:t>[Docket No. CDC-</w:t>
      </w:r>
      <w:r w:rsidRPr="00CD51FE">
        <w:rPr>
          <w:rFonts w:cs="Courier New"/>
          <w:b/>
          <w:highlight w:val="yellow"/>
        </w:rPr>
        <w:t>201x-xxxx</w:t>
      </w:r>
      <w:r>
        <w:rPr>
          <w:rFonts w:cs="Courier New"/>
          <w:b/>
        </w:rPr>
        <w:t>]</w:t>
      </w:r>
    </w:p>
    <w:p w14:paraId="3DF92C43" w14:textId="77777777" w:rsidR="00CD51FE" w:rsidRDefault="00CD51FE" w:rsidP="00CD51FE">
      <w:pPr>
        <w:spacing w:line="480" w:lineRule="auto"/>
        <w:rPr>
          <w:rFonts w:cs="Courier New"/>
          <w:b/>
        </w:rPr>
      </w:pPr>
    </w:p>
    <w:p w14:paraId="3DF92C44" w14:textId="77777777" w:rsidR="00CD51FE" w:rsidRDefault="00CD51FE" w:rsidP="00CD51FE">
      <w:pPr>
        <w:spacing w:line="480" w:lineRule="auto"/>
        <w:rPr>
          <w:rFonts w:cs="Courier New"/>
          <w:b/>
        </w:rPr>
      </w:pPr>
      <w:r>
        <w:rPr>
          <w:rFonts w:cs="Courier New"/>
          <w:b/>
        </w:rPr>
        <w:t>Proposed Data Collection Submitted for Public Comment and Recommendations</w:t>
      </w:r>
    </w:p>
    <w:p w14:paraId="3DF92C45" w14:textId="77777777" w:rsidR="00CD51FE" w:rsidRDefault="00CD51FE" w:rsidP="00CD51FE">
      <w:pPr>
        <w:spacing w:line="480" w:lineRule="auto"/>
        <w:rPr>
          <w:rFonts w:cs="Courier New"/>
          <w:b/>
        </w:rPr>
      </w:pPr>
    </w:p>
    <w:p w14:paraId="3DF92C46" w14:textId="77777777" w:rsidR="00CD51FE" w:rsidRDefault="00CD51FE" w:rsidP="00CD51FE">
      <w:pPr>
        <w:spacing w:line="480" w:lineRule="auto"/>
        <w:rPr>
          <w:rFonts w:cs="Courier New"/>
        </w:rPr>
      </w:pPr>
      <w:r>
        <w:rPr>
          <w:rFonts w:cs="Courier New"/>
          <w:b/>
        </w:rPr>
        <w:t>AGENCY:</w:t>
      </w:r>
      <w:r>
        <w:rPr>
          <w:rFonts w:cs="Courier New"/>
        </w:rPr>
        <w:t xml:space="preserve"> Centers for Disease Control and Prevention (CDC), Department of Health and Human Services (HHS)</w:t>
      </w:r>
    </w:p>
    <w:p w14:paraId="3DF92C47" w14:textId="77777777" w:rsidR="00CD51FE" w:rsidRDefault="00CD51FE" w:rsidP="00CD51FE">
      <w:pPr>
        <w:spacing w:line="480" w:lineRule="auto"/>
        <w:rPr>
          <w:rFonts w:cs="Courier New"/>
        </w:rPr>
      </w:pPr>
    </w:p>
    <w:p w14:paraId="3DF92C48" w14:textId="77777777" w:rsidR="00CD51FE" w:rsidRDefault="00CD51FE" w:rsidP="00CD51FE">
      <w:pPr>
        <w:spacing w:line="480" w:lineRule="auto"/>
        <w:rPr>
          <w:rFonts w:cs="Courier New"/>
        </w:rPr>
      </w:pPr>
      <w:r>
        <w:rPr>
          <w:rFonts w:cs="Courier New"/>
          <w:b/>
        </w:rPr>
        <w:t>ACTION:</w:t>
      </w:r>
      <w:r>
        <w:rPr>
          <w:rFonts w:cs="Courier New"/>
        </w:rPr>
        <w:t xml:space="preserve"> Notice with comment period</w:t>
      </w:r>
    </w:p>
    <w:p w14:paraId="3DF92C49" w14:textId="77777777" w:rsidR="00CD51FE" w:rsidRDefault="00CD51FE" w:rsidP="00CD51FE">
      <w:pPr>
        <w:spacing w:line="480" w:lineRule="auto"/>
        <w:rPr>
          <w:rFonts w:cs="Courier New"/>
        </w:rPr>
      </w:pPr>
    </w:p>
    <w:p w14:paraId="3DF92C4A" w14:textId="7AEED2B9" w:rsidR="00CD51FE" w:rsidRDefault="00CD51FE" w:rsidP="00715528">
      <w:pPr>
        <w:spacing w:line="480" w:lineRule="auto"/>
        <w:rPr>
          <w:rFonts w:cs="Courier New"/>
        </w:rPr>
      </w:pPr>
      <w:r>
        <w:rPr>
          <w:rFonts w:cs="Courier New"/>
          <w:b/>
        </w:rPr>
        <w:t>SUMMARY:</w:t>
      </w:r>
      <w:r>
        <w:rPr>
          <w:rFonts w:cs="Courier New"/>
        </w:rPr>
        <w:t xml:space="preserve"> </w:t>
      </w:r>
      <w:r w:rsidRPr="008D1C7C">
        <w:rPr>
          <w:rFonts w:cs="Courier New"/>
        </w:rPr>
        <w:t xml:space="preserve">The Centers for Disease Control and Prevention (CDC), as </w:t>
      </w:r>
      <w:r w:rsidRPr="00D70001">
        <w:rPr>
          <w:rFonts w:cs="Courier New"/>
        </w:rPr>
        <w:t>part of its continuing efforts to reduce public burden and maximize the utility of government information,</w:t>
      </w:r>
      <w:r w:rsidRPr="008D1C7C">
        <w:rPr>
          <w:rFonts w:cs="Courier New"/>
        </w:rPr>
        <w:t xml:space="preserve"> invites the general public and other Federal agencies to take this opportu</w:t>
      </w:r>
      <w:r>
        <w:rPr>
          <w:rFonts w:cs="Courier New"/>
        </w:rPr>
        <w:t>nity to comment on proposed and/</w:t>
      </w:r>
      <w:r w:rsidRPr="008D1C7C">
        <w:rPr>
          <w:rFonts w:cs="Courier New"/>
        </w:rPr>
        <w:t xml:space="preserve">or continuing information collections, as required by </w:t>
      </w:r>
      <w:r w:rsidRPr="00715528">
        <w:rPr>
          <w:rFonts w:cs="Courier New"/>
        </w:rPr>
        <w:t>the Paperwork Reduction Act of 1995.  This notice invites comment on</w:t>
      </w:r>
      <w:r w:rsidR="00715528" w:rsidRPr="00715528">
        <w:rPr>
          <w:rFonts w:cs="Courier New"/>
        </w:rPr>
        <w:t xml:space="preserve"> CDC Emergency Operations Center </w:t>
      </w:r>
      <w:r w:rsidR="00715528" w:rsidRPr="00715528">
        <w:rPr>
          <w:rFonts w:cs="Courier New"/>
        </w:rPr>
        <w:lastRenderedPageBreak/>
        <w:t>Zika Related Clinical Inquiries and Surveillance</w:t>
      </w:r>
      <w:r w:rsidR="00715528">
        <w:rPr>
          <w:rFonts w:cs="Courier New"/>
        </w:rPr>
        <w:t xml:space="preserve"> which will initiate the collection of urgently needed surveillance data and clinical inquiries in response to the ongoing zika virus outbreak.</w:t>
      </w:r>
    </w:p>
    <w:p w14:paraId="3DF92C4B" w14:textId="77777777" w:rsidR="00CD51FE" w:rsidRDefault="00CD51FE" w:rsidP="00CD51FE">
      <w:pPr>
        <w:spacing w:line="480" w:lineRule="auto"/>
        <w:rPr>
          <w:rFonts w:cs="Courier New"/>
        </w:rPr>
      </w:pPr>
    </w:p>
    <w:p w14:paraId="3DF92C4C" w14:textId="77777777" w:rsidR="00CD51FE" w:rsidRDefault="00CD51FE" w:rsidP="00CD51FE">
      <w:pPr>
        <w:spacing w:line="480" w:lineRule="auto"/>
        <w:rPr>
          <w:rFonts w:cs="Courier New"/>
        </w:rPr>
      </w:pPr>
      <w:r>
        <w:rPr>
          <w:rFonts w:cs="Courier New"/>
          <w:b/>
        </w:rPr>
        <w:t>DATES:</w:t>
      </w:r>
      <w:r>
        <w:rPr>
          <w:rFonts w:cs="Courier New"/>
        </w:rPr>
        <w:t xml:space="preserve"> Written comments must be received on or before </w:t>
      </w:r>
      <w:r w:rsidRPr="00CD51FE">
        <w:rPr>
          <w:rFonts w:cs="Courier New"/>
          <w:highlight w:val="yellow"/>
        </w:rPr>
        <w:t>[INSERT DATE 60 DAYS AFTER PUBLICATION DATE IN THE FEDERAL REGISTER]</w:t>
      </w:r>
      <w:r>
        <w:rPr>
          <w:rFonts w:cs="Courier New"/>
        </w:rPr>
        <w:t xml:space="preserve">.  </w:t>
      </w:r>
    </w:p>
    <w:p w14:paraId="3DF92C4D" w14:textId="77777777" w:rsidR="00CD51FE" w:rsidRDefault="00CD51FE" w:rsidP="00CD51FE">
      <w:pPr>
        <w:spacing w:line="480" w:lineRule="auto"/>
        <w:rPr>
          <w:rFonts w:cs="Courier New"/>
        </w:rPr>
      </w:pPr>
    </w:p>
    <w:p w14:paraId="3DF92C4E" w14:textId="0D1C333A" w:rsidR="00CD51FE" w:rsidRDefault="00CD51FE" w:rsidP="00CD51FE">
      <w:pPr>
        <w:spacing w:line="480" w:lineRule="auto"/>
        <w:rPr>
          <w:rFonts w:cs="Courier New"/>
        </w:rPr>
      </w:pPr>
      <w:r>
        <w:rPr>
          <w:rFonts w:cs="Courier New"/>
          <w:b/>
        </w:rPr>
        <w:t>ADDRESSES:</w:t>
      </w:r>
      <w:r>
        <w:rPr>
          <w:rFonts w:cs="Courier New"/>
        </w:rPr>
        <w:t xml:space="preserve">  You may submit comments, identified by D</w:t>
      </w:r>
      <w:r w:rsidRPr="00CD47E8">
        <w:rPr>
          <w:rFonts w:cs="Courier New"/>
        </w:rPr>
        <w:t xml:space="preserve">ocket </w:t>
      </w:r>
      <w:r>
        <w:rPr>
          <w:rFonts w:cs="Courier New"/>
        </w:rPr>
        <w:t>No. CDC-</w:t>
      </w:r>
      <w:r w:rsidRPr="00CD51FE">
        <w:rPr>
          <w:rFonts w:cs="Courier New"/>
          <w:highlight w:val="yellow"/>
        </w:rPr>
        <w:t>201</w:t>
      </w:r>
      <w:r w:rsidR="004557EA">
        <w:rPr>
          <w:rFonts w:cs="Courier New"/>
          <w:highlight w:val="yellow"/>
        </w:rPr>
        <w:t>6</w:t>
      </w:r>
      <w:r w:rsidRPr="00CD51FE">
        <w:rPr>
          <w:rFonts w:cs="Courier New"/>
          <w:highlight w:val="yellow"/>
        </w:rPr>
        <w:t>-xxxx</w:t>
      </w:r>
      <w:r>
        <w:rPr>
          <w:rFonts w:cs="Courier New"/>
        </w:rPr>
        <w:t xml:space="preserve"> by any of the following methods:</w:t>
      </w:r>
    </w:p>
    <w:p w14:paraId="3DF92C4F" w14:textId="77777777" w:rsidR="00CD51FE" w:rsidRDefault="00CD51FE" w:rsidP="00CD51FE">
      <w:pPr>
        <w:widowControl/>
        <w:numPr>
          <w:ilvl w:val="0"/>
          <w:numId w:val="1"/>
        </w:numPr>
        <w:autoSpaceDE/>
        <w:autoSpaceDN/>
        <w:adjustRightInd/>
        <w:spacing w:line="480" w:lineRule="auto"/>
        <w:rPr>
          <w:rFonts w:cs="Courier New"/>
        </w:rPr>
      </w:pPr>
      <w:r>
        <w:rPr>
          <w:rFonts w:cs="Courier New"/>
        </w:rPr>
        <w:t>Federal eRulemaking Portal:</w:t>
      </w:r>
      <w:r w:rsidRPr="000C469E">
        <w:t xml:space="preserve"> </w:t>
      </w:r>
      <w:hyperlink r:id="rId11" w:history="1">
        <w:r>
          <w:rPr>
            <w:rStyle w:val="Hyperlink"/>
            <w:rFonts w:cs="Courier New"/>
          </w:rPr>
          <w:t>Regulation.gov</w:t>
        </w:r>
      </w:hyperlink>
      <w:r>
        <w:rPr>
          <w:rFonts w:cs="Courier New"/>
        </w:rPr>
        <w:t>.  Follow the instructions for submitting comments.</w:t>
      </w:r>
    </w:p>
    <w:p w14:paraId="3DF92C50" w14:textId="77777777" w:rsidR="00CD51FE" w:rsidRDefault="00CD51FE" w:rsidP="00CD51FE">
      <w:pPr>
        <w:widowControl/>
        <w:numPr>
          <w:ilvl w:val="0"/>
          <w:numId w:val="1"/>
        </w:numPr>
        <w:autoSpaceDE/>
        <w:autoSpaceDN/>
        <w:adjustRightInd/>
        <w:spacing w:line="480" w:lineRule="auto"/>
        <w:rPr>
          <w:rFonts w:cs="Courier New"/>
        </w:rPr>
      </w:pPr>
      <w:r w:rsidRPr="002954C5">
        <w:rPr>
          <w:rFonts w:cs="Courier New"/>
        </w:rPr>
        <w:t xml:space="preserve">Mail: </w:t>
      </w:r>
      <w:r>
        <w:rPr>
          <w:rFonts w:cs="Courier New"/>
        </w:rPr>
        <w:t>Leroy A. Richardson, Information Collection Review Office, Centers for Disease Control and Prevention, 1600 Clifton Road, N.E., MS-D74, Atlanta, Georgia 30329.</w:t>
      </w:r>
    </w:p>
    <w:p w14:paraId="3DF92C51" w14:textId="77777777" w:rsidR="00CD51FE" w:rsidRDefault="00CD51FE" w:rsidP="00CD51FE">
      <w:pPr>
        <w:spacing w:line="480" w:lineRule="auto"/>
        <w:rPr>
          <w:rFonts w:cs="Courier New"/>
        </w:rPr>
      </w:pPr>
      <w:r>
        <w:rPr>
          <w:rFonts w:cs="Courier New"/>
          <w:i/>
        </w:rPr>
        <w:t xml:space="preserve">Instructions: </w:t>
      </w:r>
      <w:r>
        <w:rPr>
          <w:rFonts w:cs="Courier New"/>
        </w:rPr>
        <w:t xml:space="preserve">All submissions received must include the agency name and Docket Number.  All relevant comments received will be posted without change to </w:t>
      </w:r>
      <w:hyperlink r:id="rId12" w:history="1">
        <w:r>
          <w:rPr>
            <w:rStyle w:val="Hyperlink"/>
            <w:rFonts w:cs="Courier New"/>
          </w:rPr>
          <w:t>Regulations.gov</w:t>
        </w:r>
      </w:hyperlink>
      <w:r>
        <w:rPr>
          <w:rFonts w:cs="Courier New"/>
        </w:rPr>
        <w:t xml:space="preserve">, including any personal information provided.  For access to the docket to read background documents or comments received, go to </w:t>
      </w:r>
      <w:hyperlink r:id="rId13" w:history="1">
        <w:r>
          <w:rPr>
            <w:rStyle w:val="Hyperlink"/>
            <w:rFonts w:cs="Courier New"/>
          </w:rPr>
          <w:t>Regulations.gov</w:t>
        </w:r>
      </w:hyperlink>
      <w:r>
        <w:rPr>
          <w:rFonts w:cs="Courier New"/>
        </w:rPr>
        <w:t>.</w:t>
      </w:r>
    </w:p>
    <w:p w14:paraId="3DF92C52" w14:textId="77777777" w:rsidR="00CD51FE" w:rsidRDefault="00CD51FE" w:rsidP="00CD51FE">
      <w:pPr>
        <w:spacing w:line="480" w:lineRule="auto"/>
        <w:rPr>
          <w:rFonts w:cs="Courier New"/>
        </w:rPr>
      </w:pPr>
    </w:p>
    <w:p w14:paraId="3DF92C53" w14:textId="77777777" w:rsidR="00CD51FE" w:rsidRDefault="00CD51FE" w:rsidP="00CD51FE">
      <w:pPr>
        <w:spacing w:line="480" w:lineRule="auto"/>
        <w:rPr>
          <w:rFonts w:cs="Courier New"/>
        </w:rPr>
      </w:pPr>
      <w:r>
        <w:rPr>
          <w:rFonts w:cs="Courier New"/>
          <w:u w:val="single"/>
        </w:rPr>
        <w:t>Please note: All public comment should be submitted through the Federal eRulemaking portal (</w:t>
      </w:r>
      <w:hyperlink r:id="rId14" w:history="1">
        <w:r>
          <w:rPr>
            <w:rStyle w:val="Hyperlink"/>
            <w:rFonts w:cs="Courier New"/>
          </w:rPr>
          <w:t>Regulations.gov</w:t>
        </w:r>
      </w:hyperlink>
      <w:r>
        <w:rPr>
          <w:rFonts w:cs="Courier New"/>
          <w:u w:val="single"/>
        </w:rPr>
        <w:t xml:space="preserve">) or by U.S. mail to </w:t>
      </w:r>
      <w:r>
        <w:rPr>
          <w:rFonts w:cs="Courier New"/>
          <w:u w:val="single"/>
        </w:rPr>
        <w:lastRenderedPageBreak/>
        <w:t>the address listed above.</w:t>
      </w:r>
    </w:p>
    <w:p w14:paraId="3DF92C54" w14:textId="77777777" w:rsidR="00CD51FE" w:rsidRPr="00870754" w:rsidRDefault="00CD51FE" w:rsidP="00CD51FE">
      <w:pPr>
        <w:spacing w:line="480" w:lineRule="auto"/>
        <w:rPr>
          <w:rFonts w:cs="Courier New"/>
        </w:rPr>
      </w:pPr>
    </w:p>
    <w:p w14:paraId="3DF92C55" w14:textId="77777777" w:rsidR="00CD51FE" w:rsidRPr="002954C5" w:rsidRDefault="00CD51FE" w:rsidP="00CD51FE">
      <w:pPr>
        <w:spacing w:line="480" w:lineRule="auto"/>
        <w:rPr>
          <w:rFonts w:cs="Courier New"/>
        </w:rPr>
      </w:pPr>
      <w:r w:rsidRPr="002954C5">
        <w:rPr>
          <w:rFonts w:cs="Courier New"/>
          <w:b/>
        </w:rPr>
        <w:t>FOR FURTHER INFORMATION CONTACT:</w:t>
      </w:r>
      <w:r>
        <w:rPr>
          <w:rFonts w:cs="Courier New"/>
          <w:b/>
        </w:rPr>
        <w:t xml:space="preserve"> </w:t>
      </w:r>
      <w:r w:rsidR="007213EB" w:rsidRPr="00326043">
        <w:rPr>
          <w:rFonts w:cs="Courier New"/>
        </w:rPr>
        <w:t xml:space="preserve">To request more information on the proposed project or to obtain a copy of the </w:t>
      </w:r>
      <w:r w:rsidR="007213EB">
        <w:rPr>
          <w:rFonts w:cs="Courier New"/>
        </w:rPr>
        <w:t>information</w:t>
      </w:r>
      <w:r w:rsidR="007213EB" w:rsidRPr="00326043">
        <w:rPr>
          <w:rFonts w:cs="Courier New"/>
        </w:rPr>
        <w:t xml:space="preserve"> collection plan and instruments</w:t>
      </w:r>
      <w:r w:rsidR="007213EB">
        <w:rPr>
          <w:rFonts w:cs="Courier New"/>
        </w:rPr>
        <w:t xml:space="preserve">, contact the </w:t>
      </w:r>
      <w:r>
        <w:rPr>
          <w:rFonts w:cs="Courier New"/>
        </w:rPr>
        <w:t xml:space="preserve">Information Collection Review Office, Centers for Disease Control and Prevention, 1600 Clifton Road, N.E., MS-D74, Atlanta, Georgia 30329; phone: 404-639-7570; E-mail: </w:t>
      </w:r>
      <w:hyperlink r:id="rId15" w:history="1">
        <w:r w:rsidRPr="00714F07">
          <w:rPr>
            <w:rStyle w:val="Hyperlink"/>
            <w:rFonts w:cs="Courier New"/>
          </w:rPr>
          <w:t>omb@cdc.gov</w:t>
        </w:r>
      </w:hyperlink>
      <w:r w:rsidRPr="00CD51FE">
        <w:rPr>
          <w:rStyle w:val="Hyperlink"/>
          <w:rFonts w:cs="Courier New"/>
          <w:u w:val="none"/>
        </w:rPr>
        <w:t>.</w:t>
      </w:r>
    </w:p>
    <w:p w14:paraId="3DF92C56" w14:textId="77777777" w:rsidR="00CD51FE" w:rsidRDefault="00CD51FE" w:rsidP="00CD51FE">
      <w:pPr>
        <w:spacing w:line="480" w:lineRule="auto"/>
        <w:rPr>
          <w:rFonts w:cs="Courier New"/>
          <w:b/>
        </w:rPr>
      </w:pPr>
    </w:p>
    <w:p w14:paraId="3DF92C57" w14:textId="77777777" w:rsidR="00CD51FE" w:rsidRDefault="00CD51FE" w:rsidP="00CD51FE">
      <w:pPr>
        <w:spacing w:line="480" w:lineRule="auto"/>
        <w:rPr>
          <w:rFonts w:cs="Courier New"/>
          <w:b/>
        </w:rPr>
      </w:pPr>
      <w:r>
        <w:rPr>
          <w:rFonts w:cs="Courier New"/>
          <w:b/>
        </w:rPr>
        <w:t>SUPPLEMENTARY INFORMATION:</w:t>
      </w:r>
    </w:p>
    <w:p w14:paraId="3DF92C58" w14:textId="77777777" w:rsidR="00CD51FE" w:rsidRDefault="00CD51FE" w:rsidP="00CD51FE">
      <w:pPr>
        <w:spacing w:line="480" w:lineRule="auto"/>
        <w:rPr>
          <w:rFonts w:cs="Courier New"/>
        </w:rPr>
      </w:pPr>
      <w:r>
        <w:rPr>
          <w:rFonts w:cs="Courier New"/>
        </w:rPr>
        <w:t xml:space="preserve">     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Pr>
          <w:rFonts w:cs="Courier New"/>
          <w:u w:val="single"/>
        </w:rPr>
        <w:t>Federal Register</w:t>
      </w:r>
      <w:r>
        <w:rPr>
          <w:rFonts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14:paraId="3DF92C59" w14:textId="77777777" w:rsidR="00CD51FE" w:rsidRPr="00F75F02" w:rsidRDefault="00CD51FE" w:rsidP="00CD51FE">
      <w:pPr>
        <w:spacing w:line="480" w:lineRule="auto"/>
        <w:ind w:firstLine="720"/>
        <w:rPr>
          <w:rFonts w:cs="Courier New"/>
        </w:rPr>
      </w:pPr>
      <w:r w:rsidRPr="008D1C7C">
        <w:rPr>
          <w:rFonts w:cs="Courier New"/>
        </w:rPr>
        <w:t xml:space="preserve">Comments are invited on: (a) Whether the proposed collection of information is necessary for the proper </w:t>
      </w:r>
      <w:r w:rsidRPr="008D1C7C">
        <w:rPr>
          <w:rFonts w:cs="Courier New"/>
        </w:rPr>
        <w:lastRenderedPageBreak/>
        <w:t xml:space="preserve">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(d) ways to minimize the burden of the collection of information on respondents, including through the use of automated collection techniques or other forms of information technology; and </w:t>
      </w:r>
      <w:r w:rsidRPr="008D1C7C">
        <w:rPr>
          <w:rFonts w:cs="Courier New"/>
          <w:color w:val="000000"/>
        </w:rPr>
        <w:t>(e)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r>
        <w:rPr>
          <w:rFonts w:cs="Courier New"/>
        </w:rPr>
        <w:t xml:space="preserve"> </w:t>
      </w:r>
    </w:p>
    <w:p w14:paraId="3DF92C5A" w14:textId="77777777" w:rsidR="00CD51FE" w:rsidRPr="00F75F02" w:rsidRDefault="00CD51FE" w:rsidP="00CD51FE">
      <w:pPr>
        <w:spacing w:line="480" w:lineRule="auto"/>
        <w:rPr>
          <w:rFonts w:cs="Courier New"/>
        </w:rPr>
      </w:pPr>
    </w:p>
    <w:p w14:paraId="3DF92C5B" w14:textId="77777777" w:rsidR="00CD51FE" w:rsidRDefault="00CD51FE" w:rsidP="00CD51FE">
      <w:pPr>
        <w:spacing w:line="480" w:lineRule="auto"/>
        <w:rPr>
          <w:rFonts w:cs="Courier New"/>
          <w:b/>
        </w:rPr>
      </w:pPr>
      <w:r>
        <w:rPr>
          <w:rFonts w:cs="Courier New"/>
          <w:b/>
        </w:rPr>
        <w:t>Proposed Project</w:t>
      </w:r>
    </w:p>
    <w:p w14:paraId="3DF92C5C" w14:textId="77777777" w:rsidR="00CD51FE" w:rsidRDefault="00CD51FE" w:rsidP="00CD51FE">
      <w:pPr>
        <w:spacing w:line="480" w:lineRule="auto"/>
        <w:rPr>
          <w:rFonts w:cs="Courier New"/>
          <w:b/>
        </w:rPr>
      </w:pPr>
    </w:p>
    <w:p w14:paraId="3DF92C5D" w14:textId="5BBC3DFA" w:rsidR="00CD51FE" w:rsidRDefault="00715528" w:rsidP="00CD51FE">
      <w:pPr>
        <w:spacing w:line="480" w:lineRule="auto"/>
        <w:rPr>
          <w:rFonts w:cs="Courier New"/>
          <w:b/>
        </w:rPr>
      </w:pPr>
      <w:bookmarkStart w:id="2" w:name="_Toc442183688"/>
      <w:bookmarkStart w:id="3" w:name="_Toc442348364"/>
      <w:r w:rsidRPr="00715528">
        <w:rPr>
          <w:rFonts w:cs="Courier New"/>
          <w:b/>
        </w:rPr>
        <w:lastRenderedPageBreak/>
        <w:t>CDC Emergency Operations Center Zika Related Clinical Inquiries</w:t>
      </w:r>
      <w:bookmarkEnd w:id="2"/>
      <w:bookmarkEnd w:id="3"/>
      <w:r w:rsidRPr="00715528">
        <w:rPr>
          <w:rFonts w:cs="Courier New"/>
          <w:b/>
        </w:rPr>
        <w:t xml:space="preserve"> and Surveillance</w:t>
      </w:r>
      <w:r>
        <w:rPr>
          <w:rFonts w:cs="Courier New"/>
          <w:b/>
        </w:rPr>
        <w:t xml:space="preserve"> </w:t>
      </w:r>
      <w:r w:rsidR="00CD51FE">
        <w:rPr>
          <w:rFonts w:cs="Courier New"/>
          <w:b/>
        </w:rPr>
        <w:t>–</w:t>
      </w:r>
      <w:r w:rsidR="00CD51FE" w:rsidRPr="00D77E80">
        <w:rPr>
          <w:rFonts w:cs="Courier New"/>
          <w:b/>
        </w:rPr>
        <w:t xml:space="preserve"> </w:t>
      </w:r>
      <w:r w:rsidR="00DE04F7">
        <w:rPr>
          <w:rFonts w:cs="Courier New"/>
          <w:b/>
        </w:rPr>
        <w:t>New</w:t>
      </w:r>
      <w:r w:rsidR="00CD51FE" w:rsidRPr="00D77E80">
        <w:rPr>
          <w:rFonts w:cs="Courier New"/>
          <w:b/>
        </w:rPr>
        <w:t xml:space="preserve"> –</w:t>
      </w:r>
      <w:r w:rsidR="00CD51FE">
        <w:rPr>
          <w:rFonts w:cs="Courier New"/>
          <w:b/>
        </w:rPr>
        <w:t xml:space="preserve"> </w:t>
      </w:r>
      <w:r w:rsidR="00DE04F7">
        <w:rPr>
          <w:rFonts w:cs="Courier New"/>
          <w:b/>
        </w:rPr>
        <w:t>National Center for Emerging and Zoonotic Infectious Diseases (NCEZID)</w:t>
      </w:r>
      <w:r w:rsidR="00CD51FE" w:rsidRPr="00D77E80">
        <w:rPr>
          <w:rFonts w:cs="Courier New"/>
          <w:b/>
        </w:rPr>
        <w:t>, Centers for Disease Control and Prevention (CDC).</w:t>
      </w:r>
    </w:p>
    <w:p w14:paraId="3DF92C5E" w14:textId="77777777" w:rsidR="00CD51FE" w:rsidRDefault="00CD51FE" w:rsidP="00CD51FE">
      <w:pPr>
        <w:spacing w:line="480" w:lineRule="auto"/>
        <w:rPr>
          <w:rFonts w:cs="Courier New"/>
          <w:b/>
        </w:rPr>
      </w:pPr>
    </w:p>
    <w:p w14:paraId="3DF92C5F" w14:textId="77777777" w:rsidR="00CD51FE" w:rsidRDefault="00CD51FE" w:rsidP="00CD51FE">
      <w:pPr>
        <w:spacing w:line="480" w:lineRule="auto"/>
        <w:rPr>
          <w:rFonts w:cs="Courier New"/>
          <w:b/>
          <w:u w:val="single"/>
        </w:rPr>
      </w:pPr>
      <w:r w:rsidRPr="00995394">
        <w:rPr>
          <w:rFonts w:cs="Courier New"/>
          <w:b/>
          <w:u w:val="single"/>
        </w:rPr>
        <w:t>Background and Brief Description</w:t>
      </w:r>
    </w:p>
    <w:p w14:paraId="2C014D23" w14:textId="77777777" w:rsidR="009B0E32" w:rsidRDefault="00DA5320" w:rsidP="009B0E32">
      <w:pPr>
        <w:spacing w:line="480" w:lineRule="auto"/>
        <w:ind w:firstLine="720"/>
        <w:rPr>
          <w:rFonts w:cs="Courier New"/>
        </w:rPr>
      </w:pPr>
      <w:r w:rsidRPr="00DA5320">
        <w:rPr>
          <w:rFonts w:cs="Courier New"/>
        </w:rPr>
        <w:t xml:space="preserve">As of February 2, 2016, twenty-six countries in the Americas have reported local transmission to PAHO.  In addition, there have been 39 laboratory-confirmed, travel-associated cases in the United States.  There have been an additional 22 confirmed cases in the U.S. territories Puerto Rico and US Virgin Islands. </w:t>
      </w:r>
    </w:p>
    <w:p w14:paraId="5FD2EC17" w14:textId="48F8FF0C" w:rsidR="002F3B8E" w:rsidRPr="002F3B8E" w:rsidRDefault="002F3B8E" w:rsidP="009B0E32">
      <w:pPr>
        <w:spacing w:line="480" w:lineRule="auto"/>
        <w:ind w:firstLine="720"/>
        <w:rPr>
          <w:rFonts w:cs="Courier New"/>
        </w:rPr>
      </w:pPr>
      <w:r w:rsidRPr="002F3B8E">
        <w:rPr>
          <w:rFonts w:cs="Courier New"/>
        </w:rPr>
        <w:t>This ICR includes three projects necessitated by the zika response which all require emergency approval. These projects include:</w:t>
      </w:r>
    </w:p>
    <w:p w14:paraId="39B81B9A" w14:textId="4D4BF98F" w:rsidR="002F3B8E" w:rsidRPr="002F3B8E" w:rsidRDefault="009B0E32" w:rsidP="002F3B8E">
      <w:pPr>
        <w:numPr>
          <w:ilvl w:val="0"/>
          <w:numId w:val="2"/>
        </w:numPr>
        <w:spacing w:line="480" w:lineRule="auto"/>
        <w:rPr>
          <w:rFonts w:cs="Courier New"/>
        </w:rPr>
      </w:pPr>
      <w:r w:rsidRPr="009B0E32">
        <w:rPr>
          <w:rFonts w:cs="Courier New"/>
          <w:u w:val="single"/>
        </w:rPr>
        <w:t>Project 1:</w:t>
      </w:r>
      <w:r>
        <w:rPr>
          <w:rFonts w:cs="Courier New"/>
        </w:rPr>
        <w:t xml:space="preserve"> </w:t>
      </w:r>
      <w:r w:rsidR="002F3B8E" w:rsidRPr="002F3B8E">
        <w:rPr>
          <w:rFonts w:cs="Courier New"/>
        </w:rPr>
        <w:t xml:space="preserve">A call center in the EOC to respond to inquiries on clinical care of persons potentially of interest for zika virus infection. </w:t>
      </w:r>
    </w:p>
    <w:p w14:paraId="6707B657" w14:textId="4ADE9DE8" w:rsidR="002F3B8E" w:rsidRPr="002F3B8E" w:rsidRDefault="009B0E32" w:rsidP="002F3B8E">
      <w:pPr>
        <w:numPr>
          <w:ilvl w:val="0"/>
          <w:numId w:val="2"/>
        </w:numPr>
        <w:spacing w:line="480" w:lineRule="auto"/>
        <w:rPr>
          <w:rFonts w:cs="Courier New"/>
        </w:rPr>
      </w:pPr>
      <w:r w:rsidRPr="009B0E32">
        <w:rPr>
          <w:rFonts w:cs="Courier New"/>
          <w:u w:val="single"/>
        </w:rPr>
        <w:t>Project 2:</w:t>
      </w:r>
      <w:r>
        <w:rPr>
          <w:rFonts w:cs="Courier New"/>
        </w:rPr>
        <w:t xml:space="preserve"> </w:t>
      </w:r>
      <w:r w:rsidR="002F3B8E" w:rsidRPr="002F3B8E">
        <w:rPr>
          <w:rFonts w:cs="Courier New"/>
        </w:rPr>
        <w:t>A registry of pregnant women diagnosed with zika virus infection and their infants in order to better understand the clinical consequences of zika virus infection.</w:t>
      </w:r>
    </w:p>
    <w:p w14:paraId="2DEB07D1" w14:textId="796C74BB" w:rsidR="002F3B8E" w:rsidRPr="002F3B8E" w:rsidRDefault="009B0E32" w:rsidP="002F3B8E">
      <w:pPr>
        <w:numPr>
          <w:ilvl w:val="0"/>
          <w:numId w:val="2"/>
        </w:numPr>
        <w:spacing w:line="480" w:lineRule="auto"/>
        <w:rPr>
          <w:rFonts w:cs="Courier New"/>
        </w:rPr>
      </w:pPr>
      <w:r w:rsidRPr="009B0E32">
        <w:rPr>
          <w:rFonts w:cs="Courier New"/>
          <w:u w:val="single"/>
        </w:rPr>
        <w:t>Project 3:</w:t>
      </w:r>
      <w:r>
        <w:rPr>
          <w:rFonts w:cs="Courier New"/>
        </w:rPr>
        <w:t xml:space="preserve"> </w:t>
      </w:r>
      <w:r w:rsidR="002F3B8E" w:rsidRPr="002F3B8E">
        <w:rPr>
          <w:rFonts w:cs="Courier New"/>
        </w:rPr>
        <w:t xml:space="preserve">A survey distributed to vector control professionals, entomologists, and public health biologists </w:t>
      </w:r>
      <w:r w:rsidR="002F3B8E" w:rsidRPr="002F3B8E">
        <w:rPr>
          <w:rFonts w:cs="Courier New"/>
        </w:rPr>
        <w:lastRenderedPageBreak/>
        <w:t xml:space="preserve">in order to develop county-level species distribution maps and models for the prevalence of Aedes aegypti and Ae. albopictus (the vectors of zika virus) in the contiguous United States.  </w:t>
      </w:r>
    </w:p>
    <w:p w14:paraId="4D0695F4" w14:textId="199ACC62" w:rsidR="002F3B8E" w:rsidRPr="002F3B8E" w:rsidRDefault="002F3B8E" w:rsidP="002F3B8E">
      <w:pPr>
        <w:spacing w:line="480" w:lineRule="auto"/>
        <w:ind w:firstLine="720"/>
        <w:rPr>
          <w:rFonts w:cs="Courier New"/>
        </w:rPr>
      </w:pPr>
      <w:r w:rsidRPr="002F3B8E">
        <w:rPr>
          <w:rFonts w:cs="Courier New"/>
          <w:u w:val="single"/>
        </w:rPr>
        <w:t>Project 1: Call center.</w:t>
      </w:r>
      <w:r w:rsidRPr="002F3B8E">
        <w:rPr>
          <w:rFonts w:cs="Courier New"/>
        </w:rPr>
        <w:t xml:space="preserve"> CDC has set up a call center to respond to inquiries on clinical care of persons potentially of interest for zika virus infection. Respondents to this information collection include the general public, clinicians, and employees at STL health departments.</w:t>
      </w:r>
      <w:r>
        <w:rPr>
          <w:rFonts w:cs="Courier New"/>
        </w:rPr>
        <w:t xml:space="preserve"> </w:t>
      </w:r>
      <w:r w:rsidRPr="002F3B8E">
        <w:rPr>
          <w:rFonts w:cs="Courier New"/>
        </w:rPr>
        <w:t>In the beginning of the 2016 zika virus response, the EOC call center was quickly established when the arrival of zika in the Americas was documented and demonstrated the risks posed by this and other exotic viruses. The CDC consultation service was set up to assist in the evaluation of persons thought to be at risk for zika virus. The CDC will begin to collect structured case-patient information from the inquirers using a web-based collection tool under the “Domestic ZIKA Clinical In</w:t>
      </w:r>
      <w:r>
        <w:rPr>
          <w:rFonts w:cs="Courier New"/>
        </w:rPr>
        <w:t>quiries Database</w:t>
      </w:r>
      <w:r w:rsidRPr="002F3B8E">
        <w:rPr>
          <w:rFonts w:cs="Courier New"/>
        </w:rPr>
        <w:t>.</w:t>
      </w:r>
      <w:r>
        <w:rPr>
          <w:rFonts w:cs="Courier New"/>
        </w:rPr>
        <w:t>”</w:t>
      </w:r>
    </w:p>
    <w:p w14:paraId="10B383EA" w14:textId="77777777" w:rsidR="002F3B8E" w:rsidRPr="002F3B8E" w:rsidRDefault="002F3B8E" w:rsidP="002F3B8E">
      <w:pPr>
        <w:spacing w:line="480" w:lineRule="auto"/>
        <w:ind w:firstLine="720"/>
        <w:rPr>
          <w:rFonts w:cs="Courier New"/>
        </w:rPr>
      </w:pPr>
      <w:r w:rsidRPr="002F3B8E">
        <w:rPr>
          <w:rFonts w:cs="Courier New"/>
        </w:rPr>
        <w:t xml:space="preserve">Because clinical data are not systematically collected in the clinical inquiries database currently, information on certain variables might be incomplete, including whether testing occurred. As a result, state health departments and health facilities will be called to collect that missing data including: presence of symptoms, final diagnosis, whether </w:t>
      </w:r>
      <w:r w:rsidRPr="002F3B8E">
        <w:rPr>
          <w:rFonts w:cs="Courier New"/>
        </w:rPr>
        <w:lastRenderedPageBreak/>
        <w:t xml:space="preserve">testing was done, pregnancy status, or birth outcome.  </w:t>
      </w:r>
    </w:p>
    <w:p w14:paraId="4ED90216" w14:textId="76C4187D" w:rsidR="002F3B8E" w:rsidRPr="002F3B8E" w:rsidRDefault="002F3B8E" w:rsidP="002F3B8E">
      <w:pPr>
        <w:spacing w:line="480" w:lineRule="auto"/>
        <w:ind w:firstLine="720"/>
        <w:rPr>
          <w:rFonts w:cs="Courier New"/>
        </w:rPr>
      </w:pPr>
      <w:r w:rsidRPr="002F3B8E">
        <w:rPr>
          <w:rFonts w:cs="Courier New"/>
        </w:rPr>
        <w:t>The purpose of this project is to document and track clinical inquiries made to the CDC EOC call center related to Zika virus illness, as well as to systematically collect standardized clinical/demographic/epi information about suspected cases of Zika virus illness, so that the documentation of clinical inquiries may double as a passive surveillance system. Data will provide accountability for services provided to callers and may provide feedback into call center operations, and it will also inform ongoing response activities.</w:t>
      </w:r>
    </w:p>
    <w:p w14:paraId="1E0AA1EE" w14:textId="77777777" w:rsidR="002F3B8E" w:rsidRDefault="002F3B8E" w:rsidP="002F3B8E">
      <w:pPr>
        <w:spacing w:line="480" w:lineRule="auto"/>
        <w:ind w:firstLine="720"/>
        <w:rPr>
          <w:rFonts w:cs="Courier New"/>
        </w:rPr>
      </w:pPr>
      <w:r w:rsidRPr="002F3B8E">
        <w:rPr>
          <w:rFonts w:cs="Courier New"/>
          <w:u w:val="single"/>
        </w:rPr>
        <w:t>Project 2: Pregnancy Register</w:t>
      </w:r>
      <w:r>
        <w:rPr>
          <w:rFonts w:cs="Courier New"/>
          <w:u w:val="single"/>
        </w:rPr>
        <w:t>.</w:t>
      </w:r>
      <w:r w:rsidRPr="002F3B8E">
        <w:rPr>
          <w:rFonts w:cs="Courier New"/>
        </w:rPr>
        <w:t xml:space="preserve"> As part of the public health response to the zika virus disease outbreak, CDC also plans to collect data on pregnant women diagnosed with zika virus infection and their infants to better understand the clinical consequences of zika virus infection in pregnancy and impact on newborn infants. Information gathered will direct public health messages provided by CDC on reducing the risk of adverse outcomes for pregnant women and their infants</w:t>
      </w:r>
      <w:r>
        <w:rPr>
          <w:rFonts w:cs="Courier New"/>
        </w:rPr>
        <w:t xml:space="preserve">. </w:t>
      </w:r>
    </w:p>
    <w:p w14:paraId="0AFCEAED" w14:textId="18F2F5C4" w:rsidR="002F3B8E" w:rsidRPr="002F3B8E" w:rsidRDefault="002F3B8E" w:rsidP="002F3B8E">
      <w:pPr>
        <w:spacing w:line="480" w:lineRule="auto"/>
        <w:ind w:firstLine="720"/>
        <w:rPr>
          <w:rFonts w:cs="Courier New"/>
        </w:rPr>
      </w:pPr>
      <w:r w:rsidRPr="002F3B8E">
        <w:rPr>
          <w:rFonts w:cs="Courier New"/>
        </w:rPr>
        <w:t xml:space="preserve">Registry cases will be identified through one or more mechanisms. Health care providers in the United States report zika virus disease cases to State and Local Health Departments. Health departments report cases that meet the national case definition to ArboNET, an electronic passive surveillance system for nationally notifiable arboviral diseases. Zika virus disease </w:t>
      </w:r>
      <w:r w:rsidRPr="002F3B8E">
        <w:rPr>
          <w:rFonts w:cs="Courier New"/>
        </w:rPr>
        <w:lastRenderedPageBreak/>
        <w:t xml:space="preserve">cases may be identified in this way. In addition, confirmed zika virus infections in pregnant women may be identified in conjunction with zika virus testing performed at CDC. </w:t>
      </w:r>
    </w:p>
    <w:p w14:paraId="0859376A" w14:textId="23CD44D1" w:rsidR="002F3B8E" w:rsidRDefault="002F3B8E" w:rsidP="002F3B8E">
      <w:pPr>
        <w:spacing w:line="480" w:lineRule="auto"/>
        <w:ind w:firstLine="720"/>
        <w:rPr>
          <w:rFonts w:cs="Courier New"/>
        </w:rPr>
      </w:pPr>
      <w:r w:rsidRPr="002F3B8E">
        <w:rPr>
          <w:rFonts w:cs="Courier New"/>
        </w:rPr>
        <w:t>Health department or CDC staff will contact the woman’s health care provider and request they ask their patients to voluntarily participate in the national surveillance registry for zika virus infection during pregnancy. The registry will collect information based on tests and procedures conducted as part of the mother and infant’s routine clinical care, and in line with recommendations for diagnosis and follow up of women infected with Zika virus during pregnancy. No tests or procedures will be performed specifically for register purposes.</w:t>
      </w:r>
    </w:p>
    <w:p w14:paraId="204F6112" w14:textId="77777777" w:rsidR="00F0541B" w:rsidRDefault="002F3B8E" w:rsidP="002F3B8E">
      <w:pPr>
        <w:spacing w:line="480" w:lineRule="auto"/>
        <w:ind w:firstLine="720"/>
        <w:rPr>
          <w:rFonts w:cs="Courier New"/>
        </w:rPr>
      </w:pPr>
      <w:r w:rsidRPr="002F3B8E">
        <w:rPr>
          <w:rFonts w:cs="Courier New"/>
          <w:u w:val="single"/>
        </w:rPr>
        <w:t>Project 3: Mosquito surveillance survey.</w:t>
      </w:r>
      <w:r w:rsidRPr="002F3B8E">
        <w:rPr>
          <w:rFonts w:cs="Courier New"/>
        </w:rPr>
        <w:t xml:space="preserve"> The zika virus response necessitates the collection of county level records for Aedes aegypti and Ae. albopictus, the vectors of zika virus.  This information will be used to update species distribution maps for the contiguous United States and to develop a model aimed at identifying where these vectors can survive and reproduce. </w:t>
      </w:r>
      <w:r w:rsidR="00F0541B" w:rsidRPr="00F0541B">
        <w:rPr>
          <w:rFonts w:cs="Courier New"/>
        </w:rPr>
        <w:t>The resulting maps and models will: inform the public and policy makers of the known distribution of these vectors, identify gaps in vector surveillance, and target allocation of surveillance and prevention resources.</w:t>
      </w:r>
      <w:r w:rsidR="00F0541B">
        <w:rPr>
          <w:rFonts w:cs="Courier New"/>
        </w:rPr>
        <w:t xml:space="preserve"> </w:t>
      </w:r>
    </w:p>
    <w:p w14:paraId="4889EC7F" w14:textId="77777777" w:rsidR="00F0541B" w:rsidRDefault="00F0541B" w:rsidP="00CD51FE">
      <w:pPr>
        <w:tabs>
          <w:tab w:val="left" w:pos="0"/>
        </w:tabs>
        <w:spacing w:line="480" w:lineRule="auto"/>
        <w:rPr>
          <w:rFonts w:cs="EEAGN D+ Melior"/>
          <w:color w:val="000000"/>
          <w:u w:val="single"/>
        </w:rPr>
      </w:pPr>
    </w:p>
    <w:p w14:paraId="3DF92C62" w14:textId="77777777" w:rsidR="00CD51FE" w:rsidRDefault="00CD51FE" w:rsidP="00CD51FE">
      <w:pPr>
        <w:tabs>
          <w:tab w:val="left" w:pos="0"/>
        </w:tabs>
        <w:spacing w:line="480" w:lineRule="auto"/>
        <w:rPr>
          <w:rFonts w:cs="EEAGN D+ Melior"/>
          <w:color w:val="000000"/>
        </w:rPr>
      </w:pPr>
      <w:r w:rsidRPr="00A428E1">
        <w:rPr>
          <w:rFonts w:cs="EEAGN D+ Melior"/>
          <w:color w:val="000000"/>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693"/>
        <w:gridCol w:w="1709"/>
        <w:gridCol w:w="1573"/>
        <w:gridCol w:w="1302"/>
        <w:gridCol w:w="1031"/>
      </w:tblGrid>
      <w:tr w:rsidR="00CD51FE" w:rsidRPr="008E1BA4" w14:paraId="3DF92C69" w14:textId="77777777" w:rsidTr="00B6666B">
        <w:tc>
          <w:tcPr>
            <w:tcW w:w="2268" w:type="dxa"/>
            <w:shd w:val="clear" w:color="auto" w:fill="auto"/>
          </w:tcPr>
          <w:p w14:paraId="3DF92C63" w14:textId="77777777" w:rsidR="00CD51FE" w:rsidRPr="008E1BA4" w:rsidRDefault="00CD51FE" w:rsidP="0008461D">
            <w:pPr>
              <w:tabs>
                <w:tab w:val="left" w:pos="0"/>
              </w:tabs>
              <w:rPr>
                <w:rFonts w:cs="EEAGN D+ Melior"/>
                <w:color w:val="000000"/>
              </w:rPr>
            </w:pPr>
            <w:r w:rsidRPr="008E1BA4">
              <w:rPr>
                <w:rFonts w:cs="EEAGN D+ Melior"/>
                <w:color w:val="000000"/>
              </w:rPr>
              <w:lastRenderedPageBreak/>
              <w:t>Type of Respondents</w:t>
            </w:r>
          </w:p>
        </w:tc>
        <w:tc>
          <w:tcPr>
            <w:tcW w:w="1693" w:type="dxa"/>
            <w:shd w:val="clear" w:color="auto" w:fill="auto"/>
          </w:tcPr>
          <w:p w14:paraId="3DF92C64" w14:textId="77777777" w:rsidR="00CD51FE" w:rsidRPr="008E1BA4" w:rsidRDefault="00CD51FE" w:rsidP="0008461D">
            <w:pPr>
              <w:tabs>
                <w:tab w:val="left" w:pos="0"/>
              </w:tabs>
              <w:rPr>
                <w:rFonts w:cs="EEAGN D+ Melior"/>
                <w:color w:val="000000"/>
              </w:rPr>
            </w:pPr>
            <w:r w:rsidRPr="008E1BA4">
              <w:rPr>
                <w:rFonts w:cs="EEAGN D+ Melior"/>
                <w:color w:val="000000"/>
              </w:rPr>
              <w:t>Form Name</w:t>
            </w:r>
          </w:p>
        </w:tc>
        <w:tc>
          <w:tcPr>
            <w:tcW w:w="1709" w:type="dxa"/>
            <w:shd w:val="clear" w:color="auto" w:fill="auto"/>
          </w:tcPr>
          <w:p w14:paraId="3DF92C65" w14:textId="77777777" w:rsidR="00CD51FE" w:rsidRPr="008E1BA4" w:rsidRDefault="00CD51FE" w:rsidP="0008461D">
            <w:pPr>
              <w:tabs>
                <w:tab w:val="left" w:pos="0"/>
              </w:tabs>
              <w:rPr>
                <w:rFonts w:cs="EEAGN D+ Melior"/>
                <w:color w:val="000000"/>
              </w:rPr>
            </w:pPr>
            <w:r w:rsidRPr="008E1BA4">
              <w:rPr>
                <w:rFonts w:cs="EEAGN D+ Melior"/>
                <w:color w:val="000000"/>
              </w:rPr>
              <w:t>No. of Respondents</w:t>
            </w:r>
          </w:p>
        </w:tc>
        <w:tc>
          <w:tcPr>
            <w:tcW w:w="1573" w:type="dxa"/>
            <w:shd w:val="clear" w:color="auto" w:fill="auto"/>
          </w:tcPr>
          <w:p w14:paraId="3DF92C66" w14:textId="77777777" w:rsidR="00CD51FE" w:rsidRPr="008E1BA4" w:rsidRDefault="00CD51FE" w:rsidP="0008461D">
            <w:pPr>
              <w:tabs>
                <w:tab w:val="left" w:pos="0"/>
              </w:tabs>
              <w:rPr>
                <w:rFonts w:cs="EEAGN D+ Melior"/>
                <w:color w:val="000000"/>
              </w:rPr>
            </w:pPr>
            <w:r w:rsidRPr="008E1BA4">
              <w:rPr>
                <w:rFonts w:cs="EEAGN D+ Melior"/>
                <w:color w:val="000000"/>
              </w:rPr>
              <w:t>No. of Responses per Respondent</w:t>
            </w:r>
          </w:p>
        </w:tc>
        <w:tc>
          <w:tcPr>
            <w:tcW w:w="1302" w:type="dxa"/>
            <w:shd w:val="clear" w:color="auto" w:fill="auto"/>
          </w:tcPr>
          <w:p w14:paraId="3DF92C67" w14:textId="77777777" w:rsidR="00CD51FE" w:rsidRPr="008E1BA4" w:rsidRDefault="00CD51FE" w:rsidP="0008461D">
            <w:pPr>
              <w:tabs>
                <w:tab w:val="left" w:pos="0"/>
              </w:tabs>
              <w:rPr>
                <w:rFonts w:cs="EEAGN D+ Melior"/>
                <w:color w:val="000000"/>
              </w:rPr>
            </w:pPr>
            <w:r w:rsidRPr="008E1BA4">
              <w:rPr>
                <w:rFonts w:cs="EEAGN D+ Melior"/>
                <w:color w:val="000000"/>
              </w:rPr>
              <w:t>Avg. Burden per Response (in hrs.)</w:t>
            </w:r>
          </w:p>
        </w:tc>
        <w:tc>
          <w:tcPr>
            <w:tcW w:w="1031" w:type="dxa"/>
            <w:shd w:val="clear" w:color="auto" w:fill="auto"/>
          </w:tcPr>
          <w:p w14:paraId="3DF92C68" w14:textId="77777777" w:rsidR="00CD51FE" w:rsidRPr="008E1BA4" w:rsidRDefault="00CD51FE" w:rsidP="0008461D">
            <w:pPr>
              <w:tabs>
                <w:tab w:val="left" w:pos="0"/>
              </w:tabs>
              <w:rPr>
                <w:rFonts w:cs="EEAGN D+ Melior"/>
                <w:color w:val="000000"/>
              </w:rPr>
            </w:pPr>
            <w:r w:rsidRPr="008E1BA4">
              <w:rPr>
                <w:rFonts w:cs="EEAGN D+ Melior"/>
                <w:color w:val="000000"/>
              </w:rPr>
              <w:t>Total Burden (in hrs.)</w:t>
            </w:r>
          </w:p>
        </w:tc>
      </w:tr>
      <w:tr w:rsidR="00B6666B" w:rsidRPr="008E1BA4" w14:paraId="3DF92C70" w14:textId="77777777" w:rsidTr="00B6666B">
        <w:tc>
          <w:tcPr>
            <w:tcW w:w="2268" w:type="dxa"/>
            <w:vMerge w:val="restart"/>
            <w:vAlign w:val="center"/>
          </w:tcPr>
          <w:p w14:paraId="675C2280" w14:textId="77777777" w:rsidR="00B6666B" w:rsidRPr="00D16E82" w:rsidRDefault="00B6666B" w:rsidP="00B6666B">
            <w:r w:rsidRPr="00D16E82">
              <w:t>State and Local Health Departments</w:t>
            </w:r>
          </w:p>
          <w:p w14:paraId="54A46F3A" w14:textId="77777777" w:rsidR="00B6666B" w:rsidRDefault="00B6666B" w:rsidP="00B6666B"/>
          <w:p w14:paraId="3DF92C6A" w14:textId="77777777" w:rsidR="00B6666B" w:rsidRPr="008E1BA4" w:rsidRDefault="00B6666B" w:rsidP="00B6666B">
            <w:pPr>
              <w:tabs>
                <w:tab w:val="left" w:pos="0"/>
              </w:tabs>
              <w:rPr>
                <w:rFonts w:cs="EEAGN D+ Melior"/>
                <w:color w:val="000000"/>
              </w:rPr>
            </w:pPr>
          </w:p>
        </w:tc>
        <w:tc>
          <w:tcPr>
            <w:tcW w:w="1693" w:type="dxa"/>
            <w:vAlign w:val="center"/>
          </w:tcPr>
          <w:p w14:paraId="3DF92C6B" w14:textId="434BDF09" w:rsidR="00B6666B" w:rsidRPr="008E1BA4" w:rsidRDefault="00B6666B" w:rsidP="00B6666B">
            <w:pPr>
              <w:tabs>
                <w:tab w:val="left" w:pos="0"/>
              </w:tabs>
              <w:rPr>
                <w:rFonts w:cs="EEAGN D+ Melior"/>
                <w:color w:val="000000"/>
              </w:rPr>
            </w:pPr>
            <w:r w:rsidRPr="00D16E82">
              <w:t>Clinical Inquiries Database</w:t>
            </w:r>
          </w:p>
        </w:tc>
        <w:tc>
          <w:tcPr>
            <w:tcW w:w="1709" w:type="dxa"/>
            <w:vAlign w:val="center"/>
          </w:tcPr>
          <w:p w14:paraId="3DF92C6C" w14:textId="50B82360" w:rsidR="00B6666B" w:rsidRPr="008E1BA4" w:rsidRDefault="00B6666B" w:rsidP="00B6666B">
            <w:pPr>
              <w:tabs>
                <w:tab w:val="left" w:pos="0"/>
              </w:tabs>
              <w:rPr>
                <w:rFonts w:cs="EEAGN D+ Melior"/>
                <w:color w:val="000000"/>
              </w:rPr>
            </w:pPr>
            <w:r w:rsidRPr="00D16E82">
              <w:t>420</w:t>
            </w:r>
          </w:p>
        </w:tc>
        <w:tc>
          <w:tcPr>
            <w:tcW w:w="1573" w:type="dxa"/>
            <w:vAlign w:val="center"/>
          </w:tcPr>
          <w:p w14:paraId="3DF92C6D" w14:textId="4332022D" w:rsidR="00B6666B" w:rsidRPr="008E1BA4" w:rsidRDefault="00B6666B" w:rsidP="00B6666B">
            <w:pPr>
              <w:tabs>
                <w:tab w:val="left" w:pos="0"/>
              </w:tabs>
              <w:rPr>
                <w:rFonts w:cs="EEAGN D+ Melior"/>
                <w:color w:val="000000"/>
              </w:rPr>
            </w:pPr>
            <w:r w:rsidRPr="00D16E82">
              <w:t>1</w:t>
            </w:r>
          </w:p>
        </w:tc>
        <w:tc>
          <w:tcPr>
            <w:tcW w:w="1302" w:type="dxa"/>
            <w:vAlign w:val="center"/>
          </w:tcPr>
          <w:p w14:paraId="3DF92C6E" w14:textId="708A4C31" w:rsidR="00B6666B" w:rsidRPr="008E1BA4" w:rsidRDefault="00B6666B" w:rsidP="00B6666B">
            <w:pPr>
              <w:tabs>
                <w:tab w:val="left" w:pos="0"/>
              </w:tabs>
              <w:rPr>
                <w:rFonts w:cs="EEAGN D+ Melior"/>
                <w:color w:val="000000"/>
              </w:rPr>
            </w:pPr>
            <w:r w:rsidRPr="00D16E82">
              <w:t>15/60</w:t>
            </w:r>
          </w:p>
        </w:tc>
        <w:tc>
          <w:tcPr>
            <w:tcW w:w="1031" w:type="dxa"/>
            <w:vAlign w:val="center"/>
          </w:tcPr>
          <w:p w14:paraId="3DF92C6F" w14:textId="0499D776" w:rsidR="00B6666B" w:rsidRPr="008E1BA4" w:rsidRDefault="00B6666B" w:rsidP="00B6666B">
            <w:pPr>
              <w:tabs>
                <w:tab w:val="left" w:pos="0"/>
              </w:tabs>
              <w:rPr>
                <w:rFonts w:cs="EEAGN D+ Melior"/>
                <w:color w:val="000000"/>
              </w:rPr>
            </w:pPr>
            <w:r w:rsidRPr="00D16E82">
              <w:t>105</w:t>
            </w:r>
          </w:p>
        </w:tc>
      </w:tr>
      <w:tr w:rsidR="00B6666B" w:rsidRPr="008E1BA4" w14:paraId="487AC1E3" w14:textId="77777777" w:rsidTr="00B6666B">
        <w:tc>
          <w:tcPr>
            <w:tcW w:w="2268" w:type="dxa"/>
            <w:vMerge/>
            <w:vAlign w:val="center"/>
          </w:tcPr>
          <w:p w14:paraId="117746E3" w14:textId="77777777" w:rsidR="00B6666B" w:rsidRPr="008E1BA4" w:rsidRDefault="00B6666B" w:rsidP="00B6666B">
            <w:pPr>
              <w:tabs>
                <w:tab w:val="left" w:pos="0"/>
              </w:tabs>
              <w:rPr>
                <w:rFonts w:cs="EEAGN D+ Melior"/>
                <w:color w:val="000000"/>
              </w:rPr>
            </w:pPr>
          </w:p>
        </w:tc>
        <w:tc>
          <w:tcPr>
            <w:tcW w:w="1693" w:type="dxa"/>
          </w:tcPr>
          <w:p w14:paraId="27E73959" w14:textId="1CEB6D76" w:rsidR="00B6666B" w:rsidRPr="008E1BA4" w:rsidRDefault="00B6666B" w:rsidP="00B6666B">
            <w:pPr>
              <w:tabs>
                <w:tab w:val="left" w:pos="0"/>
              </w:tabs>
              <w:rPr>
                <w:rFonts w:cs="EEAGN D+ Melior"/>
                <w:color w:val="000000"/>
              </w:rPr>
            </w:pPr>
            <w:r w:rsidRPr="00D16E82">
              <w:rPr>
                <w:color w:val="000000"/>
              </w:rPr>
              <w:t>Maternal Health History Form</w:t>
            </w:r>
          </w:p>
        </w:tc>
        <w:tc>
          <w:tcPr>
            <w:tcW w:w="1709" w:type="dxa"/>
            <w:vAlign w:val="center"/>
          </w:tcPr>
          <w:p w14:paraId="6C8FDEBA" w14:textId="0ED30610" w:rsidR="00B6666B" w:rsidRPr="008E1BA4" w:rsidRDefault="00B6666B" w:rsidP="00B6666B">
            <w:pPr>
              <w:tabs>
                <w:tab w:val="left" w:pos="0"/>
              </w:tabs>
              <w:rPr>
                <w:rFonts w:cs="EEAGN D+ Melior"/>
                <w:color w:val="000000"/>
              </w:rPr>
            </w:pPr>
            <w:r>
              <w:t>100</w:t>
            </w:r>
          </w:p>
        </w:tc>
        <w:tc>
          <w:tcPr>
            <w:tcW w:w="1573" w:type="dxa"/>
            <w:vAlign w:val="center"/>
          </w:tcPr>
          <w:p w14:paraId="666065C7" w14:textId="509C3E25" w:rsidR="00B6666B" w:rsidRPr="008E1BA4" w:rsidRDefault="00B6666B" w:rsidP="00B6666B">
            <w:pPr>
              <w:tabs>
                <w:tab w:val="left" w:pos="0"/>
              </w:tabs>
              <w:rPr>
                <w:rFonts w:cs="EEAGN D+ Melior"/>
                <w:color w:val="000000"/>
              </w:rPr>
            </w:pPr>
            <w:r>
              <w:t>5</w:t>
            </w:r>
          </w:p>
        </w:tc>
        <w:tc>
          <w:tcPr>
            <w:tcW w:w="1302" w:type="dxa"/>
            <w:vAlign w:val="center"/>
          </w:tcPr>
          <w:p w14:paraId="1B2D65D4" w14:textId="15090356" w:rsidR="00B6666B" w:rsidRPr="008E1BA4" w:rsidRDefault="00B6666B" w:rsidP="00B6666B">
            <w:pPr>
              <w:tabs>
                <w:tab w:val="left" w:pos="0"/>
              </w:tabs>
              <w:rPr>
                <w:rFonts w:cs="EEAGN D+ Melior"/>
                <w:color w:val="000000"/>
              </w:rPr>
            </w:pPr>
            <w:r>
              <w:t>30/60</w:t>
            </w:r>
          </w:p>
        </w:tc>
        <w:tc>
          <w:tcPr>
            <w:tcW w:w="1031" w:type="dxa"/>
            <w:vAlign w:val="center"/>
          </w:tcPr>
          <w:p w14:paraId="37A82406" w14:textId="15D1B151" w:rsidR="00B6666B" w:rsidRPr="008E1BA4" w:rsidRDefault="00B6666B" w:rsidP="00B6666B">
            <w:pPr>
              <w:tabs>
                <w:tab w:val="left" w:pos="0"/>
              </w:tabs>
              <w:rPr>
                <w:rFonts w:cs="EEAGN D+ Melior"/>
                <w:color w:val="000000"/>
              </w:rPr>
            </w:pPr>
            <w:r>
              <w:t>250</w:t>
            </w:r>
          </w:p>
        </w:tc>
      </w:tr>
      <w:tr w:rsidR="00B6666B" w:rsidRPr="008E1BA4" w14:paraId="3643E54C" w14:textId="77777777" w:rsidTr="00B6666B">
        <w:tc>
          <w:tcPr>
            <w:tcW w:w="2268" w:type="dxa"/>
            <w:vMerge/>
            <w:vAlign w:val="center"/>
          </w:tcPr>
          <w:p w14:paraId="14BE0593" w14:textId="77777777" w:rsidR="00B6666B" w:rsidRPr="008E1BA4" w:rsidRDefault="00B6666B" w:rsidP="00B6666B">
            <w:pPr>
              <w:tabs>
                <w:tab w:val="left" w:pos="0"/>
              </w:tabs>
              <w:rPr>
                <w:rFonts w:cs="EEAGN D+ Melior"/>
                <w:color w:val="000000"/>
              </w:rPr>
            </w:pPr>
          </w:p>
        </w:tc>
        <w:tc>
          <w:tcPr>
            <w:tcW w:w="1693" w:type="dxa"/>
          </w:tcPr>
          <w:p w14:paraId="58E89B03" w14:textId="288C374F" w:rsidR="00B6666B" w:rsidRPr="008E1BA4" w:rsidRDefault="00B6666B" w:rsidP="00B6666B">
            <w:pPr>
              <w:tabs>
                <w:tab w:val="left" w:pos="0"/>
              </w:tabs>
              <w:rPr>
                <w:rFonts w:cs="EEAGN D+ Melior"/>
                <w:color w:val="000000"/>
              </w:rPr>
            </w:pPr>
            <w:r w:rsidRPr="00D16E82">
              <w:rPr>
                <w:color w:val="000000"/>
              </w:rPr>
              <w:t>Specimen Collection Form</w:t>
            </w:r>
          </w:p>
        </w:tc>
        <w:tc>
          <w:tcPr>
            <w:tcW w:w="1709" w:type="dxa"/>
            <w:vAlign w:val="center"/>
          </w:tcPr>
          <w:p w14:paraId="6E8FAE49" w14:textId="2632A519" w:rsidR="00B6666B" w:rsidRPr="008E1BA4" w:rsidRDefault="00B6666B" w:rsidP="00B6666B">
            <w:pPr>
              <w:tabs>
                <w:tab w:val="left" w:pos="0"/>
              </w:tabs>
              <w:rPr>
                <w:rFonts w:cs="EEAGN D+ Melior"/>
                <w:color w:val="000000"/>
              </w:rPr>
            </w:pPr>
            <w:r>
              <w:t>100</w:t>
            </w:r>
          </w:p>
        </w:tc>
        <w:tc>
          <w:tcPr>
            <w:tcW w:w="1573" w:type="dxa"/>
            <w:vAlign w:val="center"/>
          </w:tcPr>
          <w:p w14:paraId="191E0B73" w14:textId="7FF469EC" w:rsidR="00B6666B" w:rsidRPr="008E1BA4" w:rsidRDefault="00B6666B" w:rsidP="00B6666B">
            <w:pPr>
              <w:tabs>
                <w:tab w:val="left" w:pos="0"/>
              </w:tabs>
              <w:rPr>
                <w:rFonts w:cs="EEAGN D+ Melior"/>
                <w:color w:val="000000"/>
              </w:rPr>
            </w:pPr>
            <w:r>
              <w:t>1</w:t>
            </w:r>
          </w:p>
        </w:tc>
        <w:tc>
          <w:tcPr>
            <w:tcW w:w="1302" w:type="dxa"/>
            <w:vAlign w:val="center"/>
          </w:tcPr>
          <w:p w14:paraId="30AA0808" w14:textId="5E908BA0" w:rsidR="00B6666B" w:rsidRPr="008E1BA4" w:rsidRDefault="00B6666B" w:rsidP="00B6666B">
            <w:pPr>
              <w:tabs>
                <w:tab w:val="left" w:pos="0"/>
              </w:tabs>
              <w:rPr>
                <w:rFonts w:cs="EEAGN D+ Melior"/>
                <w:color w:val="000000"/>
              </w:rPr>
            </w:pPr>
            <w:r>
              <w:t>15/60</w:t>
            </w:r>
          </w:p>
        </w:tc>
        <w:tc>
          <w:tcPr>
            <w:tcW w:w="1031" w:type="dxa"/>
            <w:vAlign w:val="center"/>
          </w:tcPr>
          <w:p w14:paraId="0602D8CD" w14:textId="6A4973EE" w:rsidR="00B6666B" w:rsidRPr="008E1BA4" w:rsidRDefault="00B6666B" w:rsidP="00B6666B">
            <w:pPr>
              <w:tabs>
                <w:tab w:val="left" w:pos="0"/>
              </w:tabs>
              <w:rPr>
                <w:rFonts w:cs="EEAGN D+ Melior"/>
                <w:color w:val="000000"/>
              </w:rPr>
            </w:pPr>
            <w:r>
              <w:t>25</w:t>
            </w:r>
          </w:p>
        </w:tc>
      </w:tr>
      <w:tr w:rsidR="00B6666B" w:rsidRPr="008E1BA4" w14:paraId="075EA037" w14:textId="77777777" w:rsidTr="00B6666B">
        <w:tc>
          <w:tcPr>
            <w:tcW w:w="2268" w:type="dxa"/>
            <w:vMerge w:val="restart"/>
            <w:vAlign w:val="center"/>
          </w:tcPr>
          <w:p w14:paraId="1EF16680" w14:textId="77777777" w:rsidR="00B6666B" w:rsidRPr="00D16E82" w:rsidRDefault="00B6666B" w:rsidP="00B6666B">
            <w:r w:rsidRPr="00D16E82">
              <w:t>Clinicians and Other Providers</w:t>
            </w:r>
          </w:p>
          <w:p w14:paraId="2DF60BB3" w14:textId="77777777" w:rsidR="00B6666B" w:rsidRPr="00D16E82" w:rsidRDefault="00B6666B" w:rsidP="00B6666B"/>
          <w:p w14:paraId="532BABA4" w14:textId="77777777" w:rsidR="00B6666B" w:rsidRPr="00D16E82" w:rsidRDefault="00B6666B" w:rsidP="00B6666B"/>
          <w:p w14:paraId="5ABD4FB7" w14:textId="77777777" w:rsidR="00B6666B" w:rsidRPr="008E1BA4" w:rsidRDefault="00B6666B" w:rsidP="00B6666B">
            <w:pPr>
              <w:tabs>
                <w:tab w:val="left" w:pos="0"/>
              </w:tabs>
              <w:rPr>
                <w:rFonts w:cs="EEAGN D+ Melior"/>
                <w:color w:val="000000"/>
              </w:rPr>
            </w:pPr>
          </w:p>
        </w:tc>
        <w:tc>
          <w:tcPr>
            <w:tcW w:w="1693" w:type="dxa"/>
            <w:vAlign w:val="center"/>
          </w:tcPr>
          <w:p w14:paraId="2BA80AB4" w14:textId="4D6495B5" w:rsidR="00B6666B" w:rsidRPr="008E1BA4" w:rsidRDefault="00B6666B" w:rsidP="00B6666B">
            <w:pPr>
              <w:tabs>
                <w:tab w:val="left" w:pos="0"/>
              </w:tabs>
              <w:rPr>
                <w:rFonts w:cs="EEAGN D+ Melior"/>
                <w:color w:val="000000"/>
              </w:rPr>
            </w:pPr>
            <w:r w:rsidRPr="00D16E82">
              <w:t>Clinical Inquiries Database</w:t>
            </w:r>
          </w:p>
        </w:tc>
        <w:tc>
          <w:tcPr>
            <w:tcW w:w="1709" w:type="dxa"/>
            <w:vAlign w:val="center"/>
          </w:tcPr>
          <w:p w14:paraId="68AF7275" w14:textId="26D02682" w:rsidR="00B6666B" w:rsidRPr="008E1BA4" w:rsidRDefault="00B6666B" w:rsidP="00B6666B">
            <w:pPr>
              <w:tabs>
                <w:tab w:val="left" w:pos="0"/>
              </w:tabs>
              <w:rPr>
                <w:rFonts w:cs="EEAGN D+ Melior"/>
                <w:color w:val="000000"/>
              </w:rPr>
            </w:pPr>
            <w:r w:rsidRPr="00D16E82">
              <w:t>800</w:t>
            </w:r>
          </w:p>
        </w:tc>
        <w:tc>
          <w:tcPr>
            <w:tcW w:w="1573" w:type="dxa"/>
            <w:vAlign w:val="center"/>
          </w:tcPr>
          <w:p w14:paraId="2DC6CEE4" w14:textId="1A621655" w:rsidR="00B6666B" w:rsidRPr="008E1BA4" w:rsidRDefault="00B6666B" w:rsidP="00B6666B">
            <w:pPr>
              <w:tabs>
                <w:tab w:val="left" w:pos="0"/>
              </w:tabs>
              <w:rPr>
                <w:rFonts w:cs="EEAGN D+ Melior"/>
                <w:color w:val="000000"/>
              </w:rPr>
            </w:pPr>
            <w:r w:rsidRPr="00D16E82">
              <w:t>1</w:t>
            </w:r>
          </w:p>
        </w:tc>
        <w:tc>
          <w:tcPr>
            <w:tcW w:w="1302" w:type="dxa"/>
            <w:vAlign w:val="center"/>
          </w:tcPr>
          <w:p w14:paraId="3EFBD93E" w14:textId="3FFF6AD5" w:rsidR="00B6666B" w:rsidRPr="008E1BA4" w:rsidRDefault="00B6666B" w:rsidP="00B6666B">
            <w:pPr>
              <w:tabs>
                <w:tab w:val="left" w:pos="0"/>
              </w:tabs>
              <w:rPr>
                <w:rFonts w:cs="EEAGN D+ Melior"/>
                <w:color w:val="000000"/>
              </w:rPr>
            </w:pPr>
            <w:r w:rsidRPr="00D16E82">
              <w:t>15/60</w:t>
            </w:r>
          </w:p>
        </w:tc>
        <w:tc>
          <w:tcPr>
            <w:tcW w:w="1031" w:type="dxa"/>
            <w:vAlign w:val="center"/>
          </w:tcPr>
          <w:p w14:paraId="5ECA0640" w14:textId="44B250CF" w:rsidR="00B6666B" w:rsidRPr="008E1BA4" w:rsidRDefault="00B6666B" w:rsidP="00B6666B">
            <w:pPr>
              <w:tabs>
                <w:tab w:val="left" w:pos="0"/>
              </w:tabs>
              <w:rPr>
                <w:rFonts w:cs="EEAGN D+ Melior"/>
                <w:color w:val="000000"/>
              </w:rPr>
            </w:pPr>
            <w:r w:rsidRPr="00D16E82">
              <w:t>200</w:t>
            </w:r>
          </w:p>
        </w:tc>
      </w:tr>
      <w:tr w:rsidR="00B6666B" w:rsidRPr="008E1BA4" w14:paraId="4E4490AE" w14:textId="77777777" w:rsidTr="00B6666B">
        <w:tc>
          <w:tcPr>
            <w:tcW w:w="2268" w:type="dxa"/>
            <w:vMerge/>
            <w:vAlign w:val="center"/>
          </w:tcPr>
          <w:p w14:paraId="48367524" w14:textId="77777777" w:rsidR="00B6666B" w:rsidRPr="008E1BA4" w:rsidRDefault="00B6666B" w:rsidP="00B6666B">
            <w:pPr>
              <w:tabs>
                <w:tab w:val="left" w:pos="0"/>
              </w:tabs>
              <w:rPr>
                <w:rFonts w:cs="EEAGN D+ Melior"/>
                <w:color w:val="000000"/>
              </w:rPr>
            </w:pPr>
          </w:p>
        </w:tc>
        <w:tc>
          <w:tcPr>
            <w:tcW w:w="1693" w:type="dxa"/>
          </w:tcPr>
          <w:p w14:paraId="6C38B0EE" w14:textId="07D2F077" w:rsidR="00B6666B" w:rsidRPr="008E1BA4" w:rsidRDefault="00B6666B" w:rsidP="00B6666B">
            <w:pPr>
              <w:tabs>
                <w:tab w:val="left" w:pos="0"/>
              </w:tabs>
              <w:rPr>
                <w:rFonts w:cs="EEAGN D+ Melior"/>
                <w:color w:val="000000"/>
              </w:rPr>
            </w:pPr>
            <w:r w:rsidRPr="00D16E82">
              <w:rPr>
                <w:color w:val="000000"/>
              </w:rPr>
              <w:t>Assessment at Delivery Form</w:t>
            </w:r>
          </w:p>
        </w:tc>
        <w:tc>
          <w:tcPr>
            <w:tcW w:w="1709" w:type="dxa"/>
            <w:vAlign w:val="center"/>
          </w:tcPr>
          <w:p w14:paraId="55E885E8" w14:textId="425FC1D9" w:rsidR="00B6666B" w:rsidRPr="008E1BA4" w:rsidRDefault="00B6666B" w:rsidP="00B6666B">
            <w:pPr>
              <w:tabs>
                <w:tab w:val="left" w:pos="0"/>
              </w:tabs>
              <w:rPr>
                <w:rFonts w:cs="EEAGN D+ Melior"/>
                <w:color w:val="000000"/>
              </w:rPr>
            </w:pPr>
            <w:r>
              <w:t>100</w:t>
            </w:r>
          </w:p>
        </w:tc>
        <w:tc>
          <w:tcPr>
            <w:tcW w:w="1573" w:type="dxa"/>
            <w:vAlign w:val="center"/>
          </w:tcPr>
          <w:p w14:paraId="54660167" w14:textId="6E9C79A5" w:rsidR="00B6666B" w:rsidRPr="008E1BA4" w:rsidRDefault="00B6666B" w:rsidP="00B6666B">
            <w:pPr>
              <w:tabs>
                <w:tab w:val="left" w:pos="0"/>
              </w:tabs>
              <w:rPr>
                <w:rFonts w:cs="EEAGN D+ Melior"/>
                <w:color w:val="000000"/>
              </w:rPr>
            </w:pPr>
            <w:r>
              <w:t>1</w:t>
            </w:r>
          </w:p>
        </w:tc>
        <w:tc>
          <w:tcPr>
            <w:tcW w:w="1302" w:type="dxa"/>
            <w:vAlign w:val="center"/>
          </w:tcPr>
          <w:p w14:paraId="6850AA60" w14:textId="03F3AAA7" w:rsidR="00B6666B" w:rsidRPr="008E1BA4" w:rsidRDefault="00B6666B" w:rsidP="00B6666B">
            <w:pPr>
              <w:tabs>
                <w:tab w:val="left" w:pos="0"/>
              </w:tabs>
              <w:rPr>
                <w:rFonts w:cs="EEAGN D+ Melior"/>
                <w:color w:val="000000"/>
              </w:rPr>
            </w:pPr>
            <w:r>
              <w:t>30/60</w:t>
            </w:r>
          </w:p>
        </w:tc>
        <w:tc>
          <w:tcPr>
            <w:tcW w:w="1031" w:type="dxa"/>
            <w:vAlign w:val="center"/>
          </w:tcPr>
          <w:p w14:paraId="79A51C88" w14:textId="35E677F3" w:rsidR="00B6666B" w:rsidRPr="008E1BA4" w:rsidRDefault="00B6666B" w:rsidP="00B6666B">
            <w:pPr>
              <w:tabs>
                <w:tab w:val="left" w:pos="0"/>
              </w:tabs>
              <w:rPr>
                <w:rFonts w:cs="EEAGN D+ Melior"/>
                <w:color w:val="000000"/>
              </w:rPr>
            </w:pPr>
            <w:r>
              <w:t>50</w:t>
            </w:r>
          </w:p>
        </w:tc>
      </w:tr>
      <w:tr w:rsidR="00B6666B" w:rsidRPr="008E1BA4" w14:paraId="24EECCB4" w14:textId="77777777" w:rsidTr="00B6666B">
        <w:tc>
          <w:tcPr>
            <w:tcW w:w="2268" w:type="dxa"/>
            <w:vMerge/>
            <w:vAlign w:val="center"/>
          </w:tcPr>
          <w:p w14:paraId="3CC5A10D" w14:textId="77777777" w:rsidR="00B6666B" w:rsidRPr="008E1BA4" w:rsidRDefault="00B6666B" w:rsidP="00B6666B">
            <w:pPr>
              <w:tabs>
                <w:tab w:val="left" w:pos="0"/>
              </w:tabs>
              <w:rPr>
                <w:rFonts w:cs="EEAGN D+ Melior"/>
                <w:color w:val="000000"/>
              </w:rPr>
            </w:pPr>
          </w:p>
        </w:tc>
        <w:tc>
          <w:tcPr>
            <w:tcW w:w="1693" w:type="dxa"/>
          </w:tcPr>
          <w:p w14:paraId="04C04140" w14:textId="6594705B" w:rsidR="00B6666B" w:rsidRPr="008E1BA4" w:rsidRDefault="00B6666B" w:rsidP="00B6666B">
            <w:pPr>
              <w:tabs>
                <w:tab w:val="left" w:pos="0"/>
              </w:tabs>
              <w:rPr>
                <w:rFonts w:cs="EEAGN D+ Melior"/>
                <w:color w:val="000000"/>
              </w:rPr>
            </w:pPr>
            <w:r w:rsidRPr="00D16E82">
              <w:rPr>
                <w:color w:val="000000"/>
              </w:rPr>
              <w:t xml:space="preserve">Infant Health Follow-Up Form </w:t>
            </w:r>
            <w:r>
              <w:rPr>
                <w:color w:val="000000"/>
              </w:rPr>
              <w:t>at 2 months of age</w:t>
            </w:r>
          </w:p>
        </w:tc>
        <w:tc>
          <w:tcPr>
            <w:tcW w:w="1709" w:type="dxa"/>
            <w:vAlign w:val="center"/>
          </w:tcPr>
          <w:p w14:paraId="5E93D957" w14:textId="0AA72D0D" w:rsidR="00B6666B" w:rsidRPr="008E1BA4" w:rsidRDefault="00B6666B" w:rsidP="00B6666B">
            <w:pPr>
              <w:tabs>
                <w:tab w:val="left" w:pos="0"/>
              </w:tabs>
              <w:rPr>
                <w:rFonts w:cs="EEAGN D+ Melior"/>
                <w:color w:val="000000"/>
              </w:rPr>
            </w:pPr>
            <w:r>
              <w:t>100</w:t>
            </w:r>
          </w:p>
        </w:tc>
        <w:tc>
          <w:tcPr>
            <w:tcW w:w="1573" w:type="dxa"/>
            <w:vAlign w:val="center"/>
          </w:tcPr>
          <w:p w14:paraId="6905B512" w14:textId="4A7804F8" w:rsidR="00B6666B" w:rsidRPr="008E1BA4" w:rsidRDefault="00B6666B" w:rsidP="00B6666B">
            <w:pPr>
              <w:tabs>
                <w:tab w:val="left" w:pos="0"/>
              </w:tabs>
              <w:rPr>
                <w:rFonts w:cs="EEAGN D+ Melior"/>
                <w:color w:val="000000"/>
              </w:rPr>
            </w:pPr>
            <w:r>
              <w:t>1</w:t>
            </w:r>
          </w:p>
        </w:tc>
        <w:tc>
          <w:tcPr>
            <w:tcW w:w="1302" w:type="dxa"/>
            <w:vAlign w:val="center"/>
          </w:tcPr>
          <w:p w14:paraId="1B0064E8" w14:textId="79636F3D" w:rsidR="00B6666B" w:rsidRPr="008E1BA4" w:rsidRDefault="00B6666B" w:rsidP="00B6666B">
            <w:pPr>
              <w:tabs>
                <w:tab w:val="left" w:pos="0"/>
              </w:tabs>
              <w:rPr>
                <w:rFonts w:cs="EEAGN D+ Melior"/>
                <w:color w:val="000000"/>
              </w:rPr>
            </w:pPr>
            <w:r>
              <w:t>30/60</w:t>
            </w:r>
          </w:p>
        </w:tc>
        <w:tc>
          <w:tcPr>
            <w:tcW w:w="1031" w:type="dxa"/>
            <w:vAlign w:val="center"/>
          </w:tcPr>
          <w:p w14:paraId="792BEB4C" w14:textId="76AF6C7F" w:rsidR="00B6666B" w:rsidRPr="008E1BA4" w:rsidRDefault="00B6666B" w:rsidP="00B6666B">
            <w:pPr>
              <w:tabs>
                <w:tab w:val="left" w:pos="0"/>
              </w:tabs>
              <w:rPr>
                <w:rFonts w:cs="EEAGN D+ Melior"/>
                <w:color w:val="000000"/>
              </w:rPr>
            </w:pPr>
            <w:r>
              <w:t>50</w:t>
            </w:r>
          </w:p>
        </w:tc>
      </w:tr>
      <w:tr w:rsidR="00B6666B" w:rsidRPr="008E1BA4" w14:paraId="03C6E978" w14:textId="77777777" w:rsidTr="00B6666B">
        <w:tc>
          <w:tcPr>
            <w:tcW w:w="2268" w:type="dxa"/>
            <w:vAlign w:val="center"/>
          </w:tcPr>
          <w:p w14:paraId="040FF137" w14:textId="42E22F5C" w:rsidR="00B6666B" w:rsidRPr="008E1BA4" w:rsidRDefault="00B6666B" w:rsidP="00B6666B">
            <w:pPr>
              <w:tabs>
                <w:tab w:val="left" w:pos="0"/>
              </w:tabs>
              <w:rPr>
                <w:rFonts w:cs="EEAGN D+ Melior"/>
                <w:color w:val="000000"/>
              </w:rPr>
            </w:pPr>
            <w:r>
              <w:t>Vector control professionals, Entomologists, and Public health biologists</w:t>
            </w:r>
          </w:p>
        </w:tc>
        <w:tc>
          <w:tcPr>
            <w:tcW w:w="1693" w:type="dxa"/>
          </w:tcPr>
          <w:p w14:paraId="72A57949" w14:textId="7A3FB38F" w:rsidR="00B6666B" w:rsidRPr="008E1BA4" w:rsidRDefault="00B6666B" w:rsidP="00B6666B">
            <w:pPr>
              <w:tabs>
                <w:tab w:val="left" w:pos="0"/>
              </w:tabs>
              <w:rPr>
                <w:rFonts w:cs="EEAGN D+ Melior"/>
                <w:color w:val="000000"/>
              </w:rPr>
            </w:pPr>
            <w:r w:rsidRPr="00D16E82">
              <w:rPr>
                <w:color w:val="000000"/>
              </w:rPr>
              <w:t xml:space="preserve">Survey of county-level surveillance records of </w:t>
            </w:r>
            <w:r w:rsidRPr="00D16E82">
              <w:rPr>
                <w:i/>
                <w:color w:val="000000"/>
              </w:rPr>
              <w:t>Aedes aegypti</w:t>
            </w:r>
            <w:r w:rsidRPr="00D16E82">
              <w:rPr>
                <w:color w:val="000000"/>
              </w:rPr>
              <w:t xml:space="preserve"> and </w:t>
            </w:r>
            <w:r w:rsidRPr="00D16E82">
              <w:rPr>
                <w:i/>
                <w:color w:val="000000"/>
              </w:rPr>
              <w:t>Aedes albopictus</w:t>
            </w:r>
          </w:p>
        </w:tc>
        <w:tc>
          <w:tcPr>
            <w:tcW w:w="1709" w:type="dxa"/>
            <w:vAlign w:val="center"/>
          </w:tcPr>
          <w:p w14:paraId="512AD498" w14:textId="78D87EAA" w:rsidR="00B6666B" w:rsidRPr="008E1BA4" w:rsidRDefault="00B6666B" w:rsidP="00B6666B">
            <w:pPr>
              <w:tabs>
                <w:tab w:val="left" w:pos="0"/>
              </w:tabs>
              <w:rPr>
                <w:rFonts w:cs="EEAGN D+ Melior"/>
                <w:color w:val="000000"/>
              </w:rPr>
            </w:pPr>
            <w:r>
              <w:t>500</w:t>
            </w:r>
          </w:p>
        </w:tc>
        <w:tc>
          <w:tcPr>
            <w:tcW w:w="1573" w:type="dxa"/>
            <w:vAlign w:val="center"/>
          </w:tcPr>
          <w:p w14:paraId="732ABB89" w14:textId="24803A91" w:rsidR="00B6666B" w:rsidRPr="008E1BA4" w:rsidRDefault="00B6666B" w:rsidP="00B6666B">
            <w:pPr>
              <w:tabs>
                <w:tab w:val="left" w:pos="0"/>
              </w:tabs>
              <w:rPr>
                <w:rFonts w:cs="EEAGN D+ Melior"/>
                <w:color w:val="000000"/>
              </w:rPr>
            </w:pPr>
            <w:r>
              <w:t>1</w:t>
            </w:r>
          </w:p>
        </w:tc>
        <w:tc>
          <w:tcPr>
            <w:tcW w:w="1302" w:type="dxa"/>
            <w:vAlign w:val="center"/>
          </w:tcPr>
          <w:p w14:paraId="49695B53" w14:textId="66539B6C" w:rsidR="00B6666B" w:rsidRPr="008E1BA4" w:rsidRDefault="00B6666B" w:rsidP="00B6666B">
            <w:pPr>
              <w:tabs>
                <w:tab w:val="left" w:pos="0"/>
              </w:tabs>
              <w:rPr>
                <w:rFonts w:cs="EEAGN D+ Melior"/>
                <w:color w:val="000000"/>
              </w:rPr>
            </w:pPr>
            <w:r>
              <w:t>3/60</w:t>
            </w:r>
          </w:p>
        </w:tc>
        <w:tc>
          <w:tcPr>
            <w:tcW w:w="1031" w:type="dxa"/>
            <w:vAlign w:val="center"/>
          </w:tcPr>
          <w:p w14:paraId="69E14FFF" w14:textId="307E7AC4" w:rsidR="00B6666B" w:rsidRPr="008E1BA4" w:rsidRDefault="00B6666B" w:rsidP="00B6666B">
            <w:pPr>
              <w:tabs>
                <w:tab w:val="left" w:pos="0"/>
              </w:tabs>
              <w:rPr>
                <w:rFonts w:cs="EEAGN D+ Melior"/>
                <w:color w:val="000000"/>
              </w:rPr>
            </w:pPr>
            <w:r>
              <w:t>25</w:t>
            </w:r>
          </w:p>
        </w:tc>
      </w:tr>
      <w:tr w:rsidR="00B6666B" w:rsidRPr="008E1BA4" w14:paraId="13DA8BE1" w14:textId="77777777" w:rsidTr="006C044F">
        <w:tc>
          <w:tcPr>
            <w:tcW w:w="8545" w:type="dxa"/>
            <w:gridSpan w:val="5"/>
          </w:tcPr>
          <w:p w14:paraId="7FA1E1E4" w14:textId="697E9838" w:rsidR="00B6666B" w:rsidRPr="008E1BA4" w:rsidRDefault="00B6666B" w:rsidP="00B6666B">
            <w:pPr>
              <w:tabs>
                <w:tab w:val="left" w:pos="0"/>
              </w:tabs>
              <w:rPr>
                <w:rFonts w:cs="EEAGN D+ Melior"/>
                <w:color w:val="000000"/>
              </w:rPr>
            </w:pPr>
            <w:r w:rsidRPr="00D16E82">
              <w:t>Total</w:t>
            </w:r>
          </w:p>
        </w:tc>
        <w:tc>
          <w:tcPr>
            <w:tcW w:w="1031" w:type="dxa"/>
            <w:vAlign w:val="center"/>
          </w:tcPr>
          <w:p w14:paraId="0063E87C" w14:textId="6486ABEB" w:rsidR="00B6666B" w:rsidRPr="008E1BA4" w:rsidRDefault="00B6666B" w:rsidP="00B6666B">
            <w:pPr>
              <w:tabs>
                <w:tab w:val="left" w:pos="0"/>
              </w:tabs>
              <w:rPr>
                <w:rFonts w:cs="EEAGN D+ Melior"/>
                <w:color w:val="000000"/>
              </w:rPr>
            </w:pPr>
            <w:r>
              <w:rPr>
                <w:rFonts w:cs="EEAGN D+ Melior"/>
                <w:color w:val="000000"/>
              </w:rPr>
              <w:t>705</w:t>
            </w:r>
          </w:p>
        </w:tc>
      </w:tr>
    </w:tbl>
    <w:p w14:paraId="3DF92C75" w14:textId="77777777" w:rsidR="00CD51FE" w:rsidRDefault="00CD51FE" w:rsidP="00CD51FE">
      <w:pPr>
        <w:tabs>
          <w:tab w:val="left" w:pos="0"/>
        </w:tabs>
        <w:spacing w:line="480" w:lineRule="auto"/>
        <w:rPr>
          <w:rFonts w:cs="EEAGN D+ Melior"/>
          <w:color w:val="000000"/>
        </w:rPr>
      </w:pPr>
    </w:p>
    <w:p w14:paraId="3DF92C76" w14:textId="77777777" w:rsidR="00CD51FE" w:rsidRDefault="00CD51FE" w:rsidP="00CD51FE">
      <w:pPr>
        <w:spacing w:line="480" w:lineRule="auto"/>
        <w:rPr>
          <w:rFonts w:cs="Courier New"/>
        </w:rPr>
      </w:pPr>
      <w:r>
        <w:rPr>
          <w:rFonts w:cs="Courier New"/>
        </w:rPr>
        <w:t>Dated:</w:t>
      </w:r>
    </w:p>
    <w:p w14:paraId="3DF92C77" w14:textId="77777777" w:rsidR="00CD51FE" w:rsidRDefault="00CD51FE" w:rsidP="00CD51FE">
      <w:pPr>
        <w:spacing w:line="480" w:lineRule="auto"/>
        <w:rPr>
          <w:rFonts w:cs="Courier New"/>
        </w:rPr>
      </w:pPr>
    </w:p>
    <w:p w14:paraId="3DF92C78" w14:textId="77777777" w:rsidR="00CD51FE" w:rsidRDefault="00CD51FE" w:rsidP="00CD51FE">
      <w:pPr>
        <w:ind w:left="2160" w:firstLine="720"/>
        <w:rPr>
          <w:rFonts w:cs="Courier New"/>
        </w:rPr>
      </w:pPr>
      <w:r>
        <w:rPr>
          <w:rFonts w:cs="Courier New"/>
        </w:rPr>
        <w:t>__________________________________</w:t>
      </w:r>
    </w:p>
    <w:p w14:paraId="3DF92C79"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Leroy A. Richardson</w:t>
      </w:r>
    </w:p>
    <w:p w14:paraId="3DF92C7A"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lastRenderedPageBreak/>
        <w:tab/>
      </w:r>
      <w:r>
        <w:rPr>
          <w:rFonts w:cs="Courier New"/>
          <w:color w:val="000000"/>
        </w:rPr>
        <w:tab/>
      </w:r>
      <w:r>
        <w:rPr>
          <w:rFonts w:cs="Courier New"/>
          <w:color w:val="000000"/>
        </w:rPr>
        <w:tab/>
      </w:r>
      <w:r>
        <w:rPr>
          <w:rFonts w:cs="Courier New"/>
          <w:color w:val="000000"/>
        </w:rPr>
        <w:tab/>
      </w:r>
      <w:r w:rsidRPr="008D1C7C">
        <w:rPr>
          <w:rFonts w:cs="Courier New"/>
          <w:color w:val="000000"/>
        </w:rPr>
        <w:t xml:space="preserve">Chief, Information Collection Review Office </w:t>
      </w:r>
      <w:r w:rsidRPr="008D1C7C">
        <w:rPr>
          <w:rFonts w:cs="Courier New"/>
          <w:color w:val="000000"/>
        </w:rPr>
        <w:tab/>
      </w:r>
    </w:p>
    <w:p w14:paraId="3DF92C7B"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Scientific Integrity</w:t>
      </w:r>
    </w:p>
    <w:p w14:paraId="3DF92C7C"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Associate Director for Science</w:t>
      </w:r>
    </w:p>
    <w:p w14:paraId="3DF92C7D" w14:textId="77777777" w:rsidR="00CD51FE"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Director</w:t>
      </w:r>
    </w:p>
    <w:p w14:paraId="3DF92C7E" w14:textId="77777777" w:rsidR="00CD51FE" w:rsidRPr="00DD2C4D" w:rsidRDefault="00CD51FE" w:rsidP="00CD51FE">
      <w:pPr>
        <w:ind w:left="2160" w:firstLine="720"/>
        <w:jc w:val="both"/>
        <w:rPr>
          <w:rFonts w:cs="Courier New"/>
        </w:rPr>
      </w:pPr>
      <w:r w:rsidRPr="000F1198">
        <w:rPr>
          <w:rFonts w:cs="Courier New"/>
          <w:color w:val="000000"/>
        </w:rPr>
        <w:t>Centers for Disease Control and Prevention</w:t>
      </w:r>
    </w:p>
    <w:p w14:paraId="3DF92C7F" w14:textId="77777777" w:rsidR="00E31AA3" w:rsidRDefault="00E31AA3"/>
    <w:sectPr w:rsidR="00E31AA3" w:rsidSect="00CD51F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92C84" w14:textId="77777777" w:rsidR="0020090C" w:rsidRDefault="0020090C" w:rsidP="00CD51FE">
      <w:r>
        <w:separator/>
      </w:r>
    </w:p>
  </w:endnote>
  <w:endnote w:type="continuationSeparator" w:id="0">
    <w:p w14:paraId="3DF92C85" w14:textId="77777777" w:rsidR="0020090C" w:rsidRDefault="0020090C" w:rsidP="00CD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661809"/>
      <w:docPartObj>
        <w:docPartGallery w:val="Page Numbers (Bottom of Page)"/>
        <w:docPartUnique/>
      </w:docPartObj>
    </w:sdtPr>
    <w:sdtEndPr>
      <w:rPr>
        <w:noProof/>
      </w:rPr>
    </w:sdtEndPr>
    <w:sdtContent>
      <w:p w14:paraId="3DF92C86" w14:textId="77777777" w:rsidR="0020090C" w:rsidRDefault="0020090C">
        <w:pPr>
          <w:pStyle w:val="Footer"/>
          <w:jc w:val="center"/>
        </w:pPr>
        <w:r>
          <w:fldChar w:fldCharType="begin"/>
        </w:r>
        <w:r>
          <w:instrText xml:space="preserve"> PAGE   \* MERGEFORMAT </w:instrText>
        </w:r>
        <w:r>
          <w:fldChar w:fldCharType="separate"/>
        </w:r>
        <w:r w:rsidR="00A831FD">
          <w:rPr>
            <w:noProof/>
          </w:rPr>
          <w:t>1</w:t>
        </w:r>
        <w:r>
          <w:rPr>
            <w:noProof/>
          </w:rPr>
          <w:fldChar w:fldCharType="end"/>
        </w:r>
      </w:p>
    </w:sdtContent>
  </w:sdt>
  <w:p w14:paraId="3DF92C87" w14:textId="77777777" w:rsidR="0020090C" w:rsidRDefault="00200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92C82" w14:textId="77777777" w:rsidR="0020090C" w:rsidRDefault="0020090C" w:rsidP="00CD51FE">
      <w:r>
        <w:separator/>
      </w:r>
    </w:p>
  </w:footnote>
  <w:footnote w:type="continuationSeparator" w:id="0">
    <w:p w14:paraId="3DF92C83" w14:textId="77777777" w:rsidR="0020090C" w:rsidRDefault="0020090C" w:rsidP="00CD5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6145F"/>
    <w:multiLevelType w:val="hybridMultilevel"/>
    <w:tmpl w:val="4A367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FE"/>
    <w:rsid w:val="0020090C"/>
    <w:rsid w:val="0021658B"/>
    <w:rsid w:val="00273A1C"/>
    <w:rsid w:val="002F3B8E"/>
    <w:rsid w:val="003B57CD"/>
    <w:rsid w:val="004557EA"/>
    <w:rsid w:val="00472BB5"/>
    <w:rsid w:val="00715528"/>
    <w:rsid w:val="007213EB"/>
    <w:rsid w:val="00857128"/>
    <w:rsid w:val="009B0E32"/>
    <w:rsid w:val="00A372DC"/>
    <w:rsid w:val="00A831FD"/>
    <w:rsid w:val="00B6666B"/>
    <w:rsid w:val="00CD51FE"/>
    <w:rsid w:val="00DA5320"/>
    <w:rsid w:val="00DE04F7"/>
    <w:rsid w:val="00E01652"/>
    <w:rsid w:val="00E31AA3"/>
    <w:rsid w:val="00F0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2C3A"/>
  <w15:docId w15:val="{FC2C1388-D912-4D67-9959-B79425D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1FE"/>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CD5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5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5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CD51FE"/>
    <w:rPr>
      <w:color w:val="0000FF"/>
      <w:u w:val="single"/>
    </w:rPr>
  </w:style>
  <w:style w:type="paragraph" w:styleId="Header">
    <w:name w:val="header"/>
    <w:basedOn w:val="Normal"/>
    <w:link w:val="HeaderChar"/>
    <w:uiPriority w:val="99"/>
    <w:rsid w:val="00CD51FE"/>
    <w:pPr>
      <w:tabs>
        <w:tab w:val="center" w:pos="4320"/>
        <w:tab w:val="right" w:pos="8640"/>
      </w:tabs>
    </w:pPr>
  </w:style>
  <w:style w:type="character" w:customStyle="1" w:styleId="HeaderChar">
    <w:name w:val="Header Char"/>
    <w:basedOn w:val="DefaultParagraphFont"/>
    <w:link w:val="Header"/>
    <w:uiPriority w:val="99"/>
    <w:rsid w:val="00CD51FE"/>
    <w:rPr>
      <w:rFonts w:ascii="Courier New" w:eastAsia="Times New Roman" w:hAnsi="Courier New" w:cs="Times New Roman"/>
      <w:sz w:val="24"/>
      <w:szCs w:val="24"/>
    </w:rPr>
  </w:style>
  <w:style w:type="paragraph" w:styleId="Footer">
    <w:name w:val="footer"/>
    <w:basedOn w:val="Normal"/>
    <w:link w:val="FooterChar"/>
    <w:uiPriority w:val="99"/>
    <w:unhideWhenUsed/>
    <w:rsid w:val="00CD51FE"/>
    <w:pPr>
      <w:tabs>
        <w:tab w:val="center" w:pos="4680"/>
        <w:tab w:val="right" w:pos="9360"/>
      </w:tabs>
    </w:pPr>
  </w:style>
  <w:style w:type="character" w:customStyle="1" w:styleId="FooterChar">
    <w:name w:val="Footer Char"/>
    <w:basedOn w:val="DefaultParagraphFont"/>
    <w:link w:val="Footer"/>
    <w:uiPriority w:val="99"/>
    <w:rsid w:val="00CD51FE"/>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hyperlink" Target="mailto:omb@cdc.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PFY6PPX2AYTS-2589-433</_dlc_DocId>
    <_dlc_DocIdUrl xmlns="81daf041-c113-401c-bf82-107f5d396711">
      <Url>https://esp.cdc.gov/sites/ncezid/OD/policy/PRA/_layouts/15/DocIdRedir.aspx?ID=PFY6PPX2AYTS-2589-433</Url>
      <Description>PFY6PPX2AYTS-2589-433</Description>
    </_dlc_DocIdUrl>
    <ydlv xmlns="d335559b-c20a-4874-978e-77d2be77e0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556E8C-FF36-4AB4-9133-A4F5153F5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1B307-5EF4-4005-8545-13BAB7710C04}">
  <ds:schemaRef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F4467290-4DCF-4572-ABBD-2F8144C5650D}">
  <ds:schemaRefs>
    <ds:schemaRef ds:uri="http://schemas.microsoft.com/sharepoint/v3/contenttype/forms"/>
  </ds:schemaRefs>
</ds:datastoreItem>
</file>

<file path=customXml/itemProps4.xml><?xml version="1.0" encoding="utf-8"?>
<ds:datastoreItem xmlns:ds="http://schemas.openxmlformats.org/officeDocument/2006/customXml" ds:itemID="{C0D29A5C-9A5C-46CB-8410-7764FB5B9A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Richardson</dc:creator>
  <cp:lastModifiedBy>Zirger, Jeffrey (CDC/OD/OADS)</cp:lastModifiedBy>
  <cp:revision>13</cp:revision>
  <dcterms:created xsi:type="dcterms:W3CDTF">2015-03-06T16:45:00Z</dcterms:created>
  <dcterms:modified xsi:type="dcterms:W3CDTF">2016-02-18T13:56:00Z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ce478c94-a0c5-4bb9-80b9-801cc20a00cf</vt:lpwstr>
  </property>
</Properties>
</file>