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330E" w:rsidRDefault="00B73A78" w:rsidP="0004330E">
      <w:pPr>
        <w:spacing w:line="240" w:lineRule="auto"/>
        <w:contextualSpacing/>
        <w:rPr>
          <w:rFonts w:ascii="Times New Roman" w:hAnsi="Times New Roman" w:cs="Times New Roman"/>
          <w:b/>
          <w:sz w:val="32"/>
          <w:szCs w:val="32"/>
        </w:rPr>
      </w:pPr>
      <w:r>
        <w:rPr>
          <w:rFonts w:ascii="Times New Roman" w:hAnsi="Times New Roman" w:cs="Times New Roman"/>
          <w:b/>
          <w:sz w:val="32"/>
          <w:szCs w:val="32"/>
        </w:rPr>
        <w:t>Attachment H</w:t>
      </w:r>
      <w:r w:rsidR="0015395C" w:rsidRPr="0015395C">
        <w:rPr>
          <w:rFonts w:ascii="Times New Roman" w:hAnsi="Times New Roman" w:cs="Times New Roman"/>
          <w:b/>
          <w:sz w:val="32"/>
          <w:szCs w:val="32"/>
        </w:rPr>
        <w:t xml:space="preserve">: </w:t>
      </w:r>
      <w:r w:rsidR="005B571F">
        <w:rPr>
          <w:rFonts w:ascii="Times New Roman" w:hAnsi="Times New Roman" w:cs="Times New Roman"/>
          <w:b/>
          <w:sz w:val="32"/>
          <w:szCs w:val="32"/>
        </w:rPr>
        <w:t>2016</w:t>
      </w:r>
      <w:r w:rsidR="0004330E">
        <w:rPr>
          <w:rFonts w:ascii="Times New Roman" w:hAnsi="Times New Roman" w:cs="Times New Roman"/>
          <w:b/>
          <w:sz w:val="32"/>
          <w:szCs w:val="32"/>
        </w:rPr>
        <w:t xml:space="preserve"> NAMCS Patient Record form (PRF):</w:t>
      </w:r>
    </w:p>
    <w:p w:rsidR="00203977" w:rsidRDefault="0004330E" w:rsidP="0004330E">
      <w:pPr>
        <w:spacing w:line="240" w:lineRule="auto"/>
        <w:contextualSpacing/>
        <w:rPr>
          <w:rFonts w:ascii="Times New Roman" w:hAnsi="Times New Roman" w:cs="Times New Roman"/>
          <w:b/>
          <w:sz w:val="32"/>
          <w:szCs w:val="32"/>
        </w:rPr>
      </w:pPr>
      <w:r>
        <w:rPr>
          <w:rFonts w:ascii="Times New Roman" w:hAnsi="Times New Roman" w:cs="Times New Roman"/>
          <w:b/>
          <w:sz w:val="32"/>
          <w:szCs w:val="32"/>
        </w:rPr>
        <w:t xml:space="preserve">                          </w:t>
      </w:r>
      <w:r w:rsidR="0015395C" w:rsidRPr="0015395C">
        <w:rPr>
          <w:rFonts w:ascii="Times New Roman" w:hAnsi="Times New Roman" w:cs="Times New Roman"/>
          <w:b/>
          <w:sz w:val="32"/>
          <w:szCs w:val="32"/>
        </w:rPr>
        <w:t>Pulling and Re-filing Medical Records</w:t>
      </w:r>
    </w:p>
    <w:p w:rsidR="0004330E" w:rsidRDefault="0004330E" w:rsidP="0004330E">
      <w:pPr>
        <w:spacing w:line="240" w:lineRule="auto"/>
        <w:contextualSpacing/>
        <w:rPr>
          <w:rFonts w:ascii="Times New Roman" w:hAnsi="Times New Roman" w:cs="Times New Roman"/>
          <w:b/>
          <w:sz w:val="32"/>
          <w:szCs w:val="32"/>
        </w:rPr>
      </w:pPr>
    </w:p>
    <w:p w:rsidR="005C0ABD" w:rsidRDefault="005C0ABD" w:rsidP="005C0ABD">
      <w:pPr>
        <w:spacing w:line="240" w:lineRule="auto"/>
        <w:contextualSpacing/>
        <w:jc w:val="right"/>
        <w:rPr>
          <w:rFonts w:ascii="Times New Roman" w:hAnsi="Times New Roman" w:cs="Times New Roman"/>
          <w:sz w:val="24"/>
          <w:szCs w:val="24"/>
        </w:rPr>
      </w:pPr>
      <w:r>
        <w:rPr>
          <w:rFonts w:ascii="Times New Roman" w:hAnsi="Times New Roman" w:cs="Times New Roman"/>
          <w:sz w:val="24"/>
          <w:szCs w:val="24"/>
        </w:rPr>
        <w:t>Form Approved</w:t>
      </w:r>
      <w:r w:rsidR="005B571F">
        <w:rPr>
          <w:rFonts w:ascii="Times New Roman" w:hAnsi="Times New Roman" w:cs="Times New Roman"/>
          <w:sz w:val="24"/>
          <w:szCs w:val="24"/>
        </w:rPr>
        <w:t xml:space="preserve">: OMB No. 0920-0234 Exp. Date </w:t>
      </w:r>
      <w:r w:rsidR="00C345F2">
        <w:rPr>
          <w:rFonts w:ascii="Times New Roman" w:hAnsi="Times New Roman" w:cs="Times New Roman"/>
          <w:sz w:val="24"/>
          <w:szCs w:val="24"/>
        </w:rPr>
        <w:t>xx</w:t>
      </w:r>
      <w:r w:rsidR="005B571F">
        <w:rPr>
          <w:rFonts w:ascii="Times New Roman" w:hAnsi="Times New Roman" w:cs="Times New Roman"/>
          <w:sz w:val="24"/>
          <w:szCs w:val="24"/>
        </w:rPr>
        <w:t>/</w:t>
      </w:r>
      <w:r w:rsidR="00C345F2">
        <w:rPr>
          <w:rFonts w:ascii="Times New Roman" w:hAnsi="Times New Roman" w:cs="Times New Roman"/>
          <w:sz w:val="24"/>
          <w:szCs w:val="24"/>
        </w:rPr>
        <w:t>xx</w:t>
      </w:r>
      <w:r w:rsidR="005B571F">
        <w:rPr>
          <w:rFonts w:ascii="Times New Roman" w:hAnsi="Times New Roman" w:cs="Times New Roman"/>
          <w:sz w:val="24"/>
          <w:szCs w:val="24"/>
        </w:rPr>
        <w:t>/20</w:t>
      </w:r>
      <w:r w:rsidR="00C345F2">
        <w:rPr>
          <w:rFonts w:ascii="Times New Roman" w:hAnsi="Times New Roman" w:cs="Times New Roman"/>
          <w:sz w:val="24"/>
          <w:szCs w:val="24"/>
        </w:rPr>
        <w:t>xx</w:t>
      </w:r>
      <w:bookmarkStart w:id="0" w:name="_GoBack"/>
      <w:bookmarkEnd w:id="0"/>
    </w:p>
    <w:p w:rsidR="001130FB" w:rsidRPr="0015395C" w:rsidRDefault="001130FB">
      <w:pPr>
        <w:rPr>
          <w:rFonts w:ascii="Times New Roman" w:hAnsi="Times New Roman" w:cs="Times New Roman"/>
          <w:b/>
          <w:sz w:val="32"/>
          <w:szCs w:val="32"/>
        </w:rPr>
      </w:pPr>
      <w:r w:rsidRPr="001130FB">
        <w:rPr>
          <w:rFonts w:ascii="Times New Roman" w:hAnsi="Times New Roman" w:cs="Times New Roman"/>
          <w:b/>
          <w:noProof/>
          <w:sz w:val="32"/>
          <w:szCs w:val="32"/>
        </w:rPr>
        <mc:AlternateContent>
          <mc:Choice Requires="wps">
            <w:drawing>
              <wp:anchor distT="0" distB="0" distL="114300" distR="114300" simplePos="0" relativeHeight="251659264" behindDoc="0" locked="0" layoutInCell="1" allowOverlap="1" wp14:anchorId="4EDE6116" wp14:editId="443F7304">
                <wp:simplePos x="0" y="0"/>
                <wp:positionH relativeFrom="column">
                  <wp:posOffset>0</wp:posOffset>
                </wp:positionH>
                <wp:positionV relativeFrom="paragraph">
                  <wp:posOffset>63719</wp:posOffset>
                </wp:positionV>
                <wp:extent cx="5943600" cy="1765716"/>
                <wp:effectExtent l="0" t="0" r="19050" b="254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65716"/>
                        </a:xfrm>
                        <a:prstGeom prst="rect">
                          <a:avLst/>
                        </a:prstGeom>
                        <a:solidFill>
                          <a:srgbClr val="FFFFFF"/>
                        </a:solidFill>
                        <a:ln w="9525">
                          <a:solidFill>
                            <a:srgbClr val="000000"/>
                          </a:solidFill>
                          <a:miter lim="800000"/>
                          <a:headEnd/>
                          <a:tailEnd/>
                        </a:ln>
                      </wps:spPr>
                      <wps:txbx>
                        <w:txbxContent>
                          <w:p w:rsidR="001130FB" w:rsidRPr="001130FB" w:rsidRDefault="001130FB" w:rsidP="001130FB">
                            <w:pPr>
                              <w:spacing w:line="240" w:lineRule="auto"/>
                              <w:contextualSpacing/>
                              <w:rPr>
                                <w:rFonts w:ascii="Times New Roman" w:hAnsi="Times New Roman" w:cs="Times New Roman"/>
                                <w:sz w:val="24"/>
                                <w:szCs w:val="24"/>
                              </w:rPr>
                            </w:pPr>
                            <w:r w:rsidRPr="005C0ABD">
                              <w:rPr>
                                <w:rFonts w:ascii="Times New Roman" w:hAnsi="Times New Roman" w:cs="Times New Roman"/>
                                <w:b/>
                                <w:sz w:val="24"/>
                                <w:szCs w:val="24"/>
                              </w:rPr>
                              <w:t>NOTICE</w:t>
                            </w:r>
                            <w:r w:rsidRPr="001130FB">
                              <w:rPr>
                                <w:rFonts w:ascii="Times New Roman" w:hAnsi="Times New Roman" w:cs="Times New Roman"/>
                                <w:sz w:val="24"/>
                                <w:szCs w:val="24"/>
                              </w:rPr>
                              <w:t xml:space="preserve"> </w:t>
                            </w:r>
                            <w:r>
                              <w:rPr>
                                <w:rFonts w:ascii="Times New Roman" w:hAnsi="Times New Roman" w:cs="Times New Roman"/>
                                <w:sz w:val="24"/>
                                <w:szCs w:val="24"/>
                              </w:rPr>
                              <w:t>–</w:t>
                            </w:r>
                            <w:r w:rsidRPr="001130FB">
                              <w:rPr>
                                <w:rFonts w:ascii="Times New Roman" w:hAnsi="Times New Roman" w:cs="Times New Roman"/>
                                <w:sz w:val="24"/>
                                <w:szCs w:val="24"/>
                              </w:rPr>
                              <w:t xml:space="preserve"> Public</w:t>
                            </w:r>
                            <w:r>
                              <w:rPr>
                                <w:rFonts w:ascii="Times New Roman" w:hAnsi="Times New Roman" w:cs="Times New Roman"/>
                                <w:sz w:val="24"/>
                                <w:szCs w:val="24"/>
                              </w:rPr>
                              <w:t xml:space="preserve"> reporting burden of this collection of information is estimated to average 1 minute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D-74, Atlanta, GA 30333, ATTN: PRA (0920-0234).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DE6116" id="_x0000_t202" coordsize="21600,21600" o:spt="202" path="m,l,21600r21600,l21600,xe">
                <v:stroke joinstyle="miter"/>
                <v:path gradientshapeok="t" o:connecttype="rect"/>
              </v:shapetype>
              <v:shape id="Text Box 2" o:spid="_x0000_s1026" type="#_x0000_t202" style="position:absolute;margin-left:0;margin-top:5pt;width:468pt;height:139.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">
                <v:textbox>
                  <w:txbxContent>
                    <w:p w:rsidR="001130FB" w:rsidRPr="001130FB" w:rsidRDefault="001130FB" w:rsidP="001130FB">
                      <w:pPr>
                        <w:spacing w:line="240" w:lineRule="auto"/>
                        <w:contextualSpacing/>
                        <w:rPr>
                          <w:rFonts w:ascii="Times New Roman" w:hAnsi="Times New Roman" w:cs="Times New Roman"/>
                          <w:sz w:val="24"/>
                          <w:szCs w:val="24"/>
                        </w:rPr>
                      </w:pPr>
                      <w:r w:rsidRPr="005C0ABD">
                        <w:rPr>
                          <w:rFonts w:ascii="Times New Roman" w:hAnsi="Times New Roman" w:cs="Times New Roman"/>
                          <w:b/>
                          <w:sz w:val="24"/>
                          <w:szCs w:val="24"/>
                        </w:rPr>
                        <w:t>NOTICE</w:t>
                      </w:r>
                      <w:r w:rsidRPr="001130FB">
                        <w:rPr>
                          <w:rFonts w:ascii="Times New Roman" w:hAnsi="Times New Roman" w:cs="Times New Roman"/>
                          <w:sz w:val="24"/>
                          <w:szCs w:val="24"/>
                        </w:rPr>
                        <w:t xml:space="preserve"> </w:t>
                      </w:r>
                      <w:r>
                        <w:rPr>
                          <w:rFonts w:ascii="Times New Roman" w:hAnsi="Times New Roman" w:cs="Times New Roman"/>
                          <w:sz w:val="24"/>
                          <w:szCs w:val="24"/>
                        </w:rPr>
                        <w:t>–</w:t>
                      </w:r>
                      <w:r w:rsidRPr="001130FB">
                        <w:rPr>
                          <w:rFonts w:ascii="Times New Roman" w:hAnsi="Times New Roman" w:cs="Times New Roman"/>
                          <w:sz w:val="24"/>
                          <w:szCs w:val="24"/>
                        </w:rPr>
                        <w:t xml:space="preserve"> Public</w:t>
                      </w:r>
                      <w:r>
                        <w:rPr>
                          <w:rFonts w:ascii="Times New Roman" w:hAnsi="Times New Roman" w:cs="Times New Roman"/>
                          <w:sz w:val="24"/>
                          <w:szCs w:val="24"/>
                        </w:rPr>
                        <w:t xml:space="preserve"> reporting burden of this collection of information is estimated to average 1 minute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D-74, Atlanta, GA 30333, ATTN: PRA (0920-0234).</w:t>
                      </w:r>
                    </w:p>
                  </w:txbxContent>
                </v:textbox>
              </v:shape>
            </w:pict>
          </mc:Fallback>
        </mc:AlternateContent>
      </w:r>
    </w:p>
    <w:p w:rsidR="0015395C" w:rsidRDefault="005C0ABD">
      <w:r w:rsidRPr="001130FB">
        <w:rPr>
          <w:rFonts w:ascii="Times New Roman" w:hAnsi="Times New Roman" w:cs="Times New Roman"/>
          <w:b/>
          <w:noProof/>
          <w:sz w:val="32"/>
          <w:szCs w:val="32"/>
        </w:rPr>
        <mc:AlternateContent>
          <mc:Choice Requires="wps">
            <w:drawing>
              <wp:anchor distT="0" distB="0" distL="114300" distR="114300" simplePos="0" relativeHeight="251661312" behindDoc="0" locked="0" layoutInCell="1" allowOverlap="1" wp14:anchorId="3AA38641" wp14:editId="2E6235F2">
                <wp:simplePos x="0" y="0"/>
                <wp:positionH relativeFrom="column">
                  <wp:posOffset>0</wp:posOffset>
                </wp:positionH>
                <wp:positionV relativeFrom="paragraph">
                  <wp:posOffset>1663048</wp:posOffset>
                </wp:positionV>
                <wp:extent cx="5943600" cy="1364186"/>
                <wp:effectExtent l="0" t="0" r="19050" b="266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364186"/>
                        </a:xfrm>
                        <a:prstGeom prst="rect">
                          <a:avLst/>
                        </a:prstGeom>
                        <a:solidFill>
                          <a:srgbClr val="FFFFFF"/>
                        </a:solidFill>
                        <a:ln w="9525">
                          <a:solidFill>
                            <a:srgbClr val="000000"/>
                          </a:solidFill>
                          <a:miter lim="800000"/>
                          <a:headEnd/>
                          <a:tailEnd/>
                        </a:ln>
                      </wps:spPr>
                      <wps:txbx>
                        <w:txbxContent>
                          <w:p w:rsidR="005C0ABD" w:rsidRPr="001130FB" w:rsidRDefault="005C0ABD" w:rsidP="005C0ABD">
                            <w:pPr>
                              <w:spacing w:line="240" w:lineRule="auto"/>
                              <w:contextualSpacing/>
                              <w:rPr>
                                <w:rFonts w:ascii="Times New Roman" w:hAnsi="Times New Roman" w:cs="Times New Roman"/>
                                <w:sz w:val="24"/>
                                <w:szCs w:val="24"/>
                              </w:rPr>
                            </w:pPr>
                            <w:r w:rsidRPr="005C0ABD">
                              <w:rPr>
                                <w:rFonts w:ascii="Times New Roman" w:hAnsi="Times New Roman" w:cs="Times New Roman"/>
                                <w:b/>
                                <w:sz w:val="24"/>
                                <w:szCs w:val="24"/>
                              </w:rPr>
                              <w:t>Assurance of confidentiality</w:t>
                            </w:r>
                            <w:r>
                              <w:rPr>
                                <w:rFonts w:ascii="Times New Roman" w:hAnsi="Times New Roman" w:cs="Times New Roman"/>
                                <w:sz w:val="24"/>
                                <w:szCs w:val="24"/>
                              </w:rPr>
                              <w:t xml:space="preserve"> – All information which would permit identification of an individual, a practice, or an establishment will be held confidential; will be used for statistical purposes only by NCHS staff, contractors, and agents only when required and with necessary controls; and will not be disclosed or released to other persons without the consent of the individual or establishment in accordance with section 308(d) of the Public Health Service Act (42 USC 242m) and the Confidential Information Protection and Statistical Efficiency Act (PL-107-347).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A38641" id="_x0000_s1027" type="#_x0000_t202" style="position:absolute;margin-left:0;margin-top:130.95pt;width:468pt;height:107.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">
                <v:textbox>
                  <w:txbxContent>
                    <w:p w:rsidR="005C0ABD" w:rsidRPr="001130FB" w:rsidRDefault="005C0ABD" w:rsidP="005C0ABD">
                      <w:pPr>
                        <w:spacing w:line="240" w:lineRule="auto"/>
                        <w:contextualSpacing/>
                        <w:rPr>
                          <w:rFonts w:ascii="Times New Roman" w:hAnsi="Times New Roman" w:cs="Times New Roman"/>
                          <w:sz w:val="24"/>
                          <w:szCs w:val="24"/>
                        </w:rPr>
                      </w:pPr>
                      <w:r w:rsidRPr="005C0ABD">
                        <w:rPr>
                          <w:rFonts w:ascii="Times New Roman" w:hAnsi="Times New Roman" w:cs="Times New Roman"/>
                          <w:b/>
                          <w:sz w:val="24"/>
                          <w:szCs w:val="24"/>
                        </w:rPr>
                        <w:t>Assurance of confidentiality</w:t>
                      </w:r>
                      <w:r>
                        <w:rPr>
                          <w:rFonts w:ascii="Times New Roman" w:hAnsi="Times New Roman" w:cs="Times New Roman"/>
                          <w:sz w:val="24"/>
                          <w:szCs w:val="24"/>
                        </w:rPr>
                        <w:t xml:space="preserve"> – All information which would permit identification of an individual, a practice, or an establishment will be held confidential; will be used for statistical purposes only by NCHS staff, contractors, and agents only when required and with necessary controls; and will not be disclosed or released to other persons without the consent of the individual or establishment in accordance with section 308(d) of the Public Health Service Act (42 USC 242m) and the Confidential Information Protection and Statistical Efficiency Act (PL-107-347).</w:t>
                      </w:r>
                    </w:p>
                  </w:txbxContent>
                </v:textbox>
              </v:shape>
            </w:pict>
          </mc:Fallback>
        </mc:AlternateContent>
      </w:r>
    </w:p>
    <w:sectPr w:rsidR="001539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95C"/>
    <w:rsid w:val="0004330E"/>
    <w:rsid w:val="001130FB"/>
    <w:rsid w:val="0015395C"/>
    <w:rsid w:val="00174FAB"/>
    <w:rsid w:val="00203977"/>
    <w:rsid w:val="005B571F"/>
    <w:rsid w:val="005C0ABD"/>
    <w:rsid w:val="00B73A78"/>
    <w:rsid w:val="00C34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D009F5-FCC4-48F5-B1FE-89E753E32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539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39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Words>
  <Characters>149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Buie, Verita (CDC/OPHSS/NCHS)</cp:lastModifiedBy>
  <cp:revision>2</cp:revision>
  <cp:lastPrinted>2015-12-21T17:24:00Z</cp:lastPrinted>
  <dcterms:created xsi:type="dcterms:W3CDTF">2015-12-21T17:24:00Z</dcterms:created>
  <dcterms:modified xsi:type="dcterms:W3CDTF">2015-12-21T17:24:00Z</dcterms:modified>
</cp:coreProperties>
</file>