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D856E" w14:textId="77777777"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DB49F02" w14:textId="6B4BE0D8" w:rsidR="005E714A" w:rsidRP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5867EC">
        <w:rPr>
          <w:sz w:val="28"/>
        </w:rPr>
        <w:t>074</w:t>
      </w:r>
      <w:r w:rsidR="009823C3">
        <w:rPr>
          <w:sz w:val="28"/>
        </w:rPr>
        <w:t>0</w:t>
      </w:r>
      <w:r w:rsidR="00686301">
        <w:t xml:space="preserve"> </w:t>
      </w:r>
      <w:r w:rsidR="00686301" w:rsidRPr="00382FD8">
        <w:rPr>
          <w:sz w:val="28"/>
        </w:rPr>
        <w:t>Exp</w:t>
      </w:r>
      <w:r w:rsidR="00382FD8" w:rsidRPr="00382FD8">
        <w:rPr>
          <w:sz w:val="28"/>
        </w:rPr>
        <w:t xml:space="preserve"> </w:t>
      </w:r>
      <w:r w:rsidR="00686301" w:rsidRPr="00382FD8">
        <w:rPr>
          <w:sz w:val="28"/>
        </w:rPr>
        <w:t>Date:</w:t>
      </w:r>
      <w:r w:rsidR="00382FD8" w:rsidRPr="00382FD8">
        <w:rPr>
          <w:sz w:val="28"/>
        </w:rPr>
        <w:t xml:space="preserve"> </w:t>
      </w:r>
      <w:r w:rsidR="005867EC">
        <w:rPr>
          <w:sz w:val="28"/>
        </w:rPr>
        <w:t>05/</w:t>
      </w:r>
      <w:r w:rsidR="009823C3">
        <w:rPr>
          <w:sz w:val="28"/>
        </w:rPr>
        <w:t>31/</w:t>
      </w:r>
      <w:r w:rsidR="005867EC">
        <w:rPr>
          <w:sz w:val="28"/>
        </w:rPr>
        <w:t>2019</w:t>
      </w:r>
      <w:r>
        <w:rPr>
          <w:sz w:val="28"/>
        </w:rPr>
        <w:t>)</w:t>
      </w:r>
    </w:p>
    <w:p w14:paraId="2544E599" w14:textId="77777777" w:rsidR="00E50293" w:rsidRPr="009239AA" w:rsidRDefault="00CC149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9551B3C" wp14:editId="5102BA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983E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5A905C3" w14:textId="1A404C8F" w:rsidR="00704745" w:rsidRPr="00704745" w:rsidRDefault="009823C3" w:rsidP="00704745">
      <w:r>
        <w:t>Registration and Abstract</w:t>
      </w:r>
      <w:r w:rsidR="00676250">
        <w:t xml:space="preserve"> Submission for </w:t>
      </w:r>
      <w:r w:rsidR="00A14162">
        <w:t xml:space="preserve">Poster </w:t>
      </w:r>
      <w:r w:rsidR="005048E3">
        <w:t xml:space="preserve">Session </w:t>
      </w:r>
      <w:r>
        <w:t xml:space="preserve">for </w:t>
      </w:r>
      <w:r w:rsidR="00704745" w:rsidRPr="00704745">
        <w:t xml:space="preserve">Metabolomics </w:t>
      </w:r>
      <w:r>
        <w:t>Meeting</w:t>
      </w:r>
    </w:p>
    <w:p w14:paraId="3CFB1084" w14:textId="77777777" w:rsidR="005867EC" w:rsidRDefault="005867EC"/>
    <w:p w14:paraId="06B578B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AE3BE84" w14:textId="4FA66B69" w:rsidR="001B0AAA" w:rsidRDefault="00704745" w:rsidP="006714B2">
      <w:pPr>
        <w:pStyle w:val="Header"/>
        <w:tabs>
          <w:tab w:val="clear" w:pos="4320"/>
          <w:tab w:val="clear" w:pos="8640"/>
        </w:tabs>
      </w:pPr>
      <w:r w:rsidRPr="00704745">
        <w:t xml:space="preserve">The </w:t>
      </w:r>
      <w:r w:rsidR="005A56E9">
        <w:t xml:space="preserve">purpose of this information collection is to collect general registrant information (e.g., name, affiliation, and contact information) and </w:t>
      </w:r>
      <w:r w:rsidR="00676250">
        <w:t>research</w:t>
      </w:r>
      <w:r w:rsidR="005A56E9">
        <w:t xml:space="preserve"> abstracts from investigators attending the </w:t>
      </w:r>
      <w:r w:rsidRPr="00704745">
        <w:t>second COnsortium of METabolomics Studies (COMETS) Scientific Meeting</w:t>
      </w:r>
      <w:r w:rsidR="005A56E9">
        <w:t>.</w:t>
      </w:r>
      <w:r w:rsidR="005048E3">
        <w:t xml:space="preserve"> T</w:t>
      </w:r>
      <w:r w:rsidRPr="00704745">
        <w:t>he goal</w:t>
      </w:r>
      <w:r w:rsidR="005048E3">
        <w:t xml:space="preserve"> of the meeting is for</w:t>
      </w:r>
      <w:r w:rsidRPr="00704745">
        <w:t xml:space="preserve"> investigators to discuss emerging science, current projects and progress, and establish collaborations with investigators leading initiatives outside of COMETS. </w:t>
      </w:r>
      <w:r w:rsidR="005048E3">
        <w:t xml:space="preserve"> </w:t>
      </w:r>
      <w:r w:rsidR="005048E3" w:rsidRPr="00D2399E">
        <w:t>I</w:t>
      </w:r>
      <w:r w:rsidR="00806552">
        <w:t xml:space="preserve">nvestigators </w:t>
      </w:r>
      <w:r w:rsidR="005048E3" w:rsidRPr="00D2399E">
        <w:t xml:space="preserve">submitting the registration form will </w:t>
      </w:r>
      <w:r w:rsidR="00676250">
        <w:t xml:space="preserve">also </w:t>
      </w:r>
      <w:r w:rsidR="005048E3" w:rsidRPr="00D2399E">
        <w:t xml:space="preserve">be invited to submit an abstract for inclusion in the </w:t>
      </w:r>
      <w:r w:rsidR="00806552">
        <w:t>poster session</w:t>
      </w:r>
      <w:r w:rsidR="005048E3" w:rsidRPr="00D2399E">
        <w:t>.</w:t>
      </w:r>
      <w:r w:rsidR="005048E3">
        <w:t xml:space="preserve"> </w:t>
      </w:r>
    </w:p>
    <w:p w14:paraId="6C867566" w14:textId="77777777" w:rsidR="005867EC" w:rsidRDefault="005867EC" w:rsidP="005867EC"/>
    <w:p w14:paraId="3962327A" w14:textId="31E5C698" w:rsidR="00380FC3" w:rsidRDefault="001579C0">
      <w:r w:rsidRPr="00893B0D">
        <w:t>An email will be sent to registrants that will include the abstract submission form as well as the registration link</w:t>
      </w:r>
      <w:r>
        <w:t xml:space="preserve">.  </w:t>
      </w:r>
      <w:r w:rsidR="005867EC">
        <w:t>Prospective applicants will</w:t>
      </w:r>
      <w:r w:rsidR="005867EC" w:rsidRPr="005867EC">
        <w:t xml:space="preserve"> </w:t>
      </w:r>
      <w:r w:rsidR="005867EC">
        <w:t>be</w:t>
      </w:r>
      <w:r w:rsidR="005867EC" w:rsidRPr="005867EC">
        <w:t xml:space="preserve"> asked </w:t>
      </w:r>
      <w:r w:rsidR="00676250">
        <w:t xml:space="preserve">register electronically at </w:t>
      </w:r>
      <w:hyperlink r:id="rId9" w:history="1">
        <w:r w:rsidR="00676250" w:rsidRPr="00BB21BC">
          <w:rPr>
            <w:rStyle w:val="Hyperlink"/>
          </w:rPr>
          <w:t>https://www.eventbrite.com/e/establishing-collaborations-for-a-new-era-of-population-based-metabolomics-research-tickets-45593484339</w:t>
        </w:r>
      </w:hyperlink>
      <w:r w:rsidR="00893B0D">
        <w:t xml:space="preserve">. </w:t>
      </w:r>
    </w:p>
    <w:p w14:paraId="112FA5A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BF1ADC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1A5D15D" w14:textId="77777777" w:rsidR="00F15956" w:rsidRDefault="00F15956"/>
    <w:p w14:paraId="415DBDAB" w14:textId="77777777" w:rsidR="005867EC" w:rsidRDefault="005867EC">
      <w:r>
        <w:t xml:space="preserve">The respondents are </w:t>
      </w:r>
      <w:r w:rsidR="00DF319C">
        <w:t xml:space="preserve">health </w:t>
      </w:r>
      <w:r>
        <w:t>researchers from varied disciplines.</w:t>
      </w:r>
    </w:p>
    <w:p w14:paraId="44421DA4" w14:textId="77777777" w:rsidR="00C8488C" w:rsidRDefault="00C8488C"/>
    <w:p w14:paraId="0F943FCA" w14:textId="77777777"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455FDC02" w14:textId="77777777"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9881857" w14:textId="22BA10A1"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70474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>[</w:t>
      </w:r>
      <w:r w:rsidR="00704745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14:paraId="451A6C64" w14:textId="64CDC05A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70474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F06866" w:rsidRPr="00DA7B4C">
        <w:rPr>
          <w:bCs/>
          <w:sz w:val="24"/>
        </w:rPr>
        <w:t>[ ] Other:</w:t>
      </w:r>
      <w:r w:rsidR="00F06866" w:rsidRPr="00DA7B4C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1BD074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BCE000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8E4957D" w14:textId="77777777" w:rsidR="00441434" w:rsidRDefault="00441434">
      <w:pPr>
        <w:rPr>
          <w:sz w:val="16"/>
          <w:szCs w:val="16"/>
        </w:rPr>
      </w:pPr>
    </w:p>
    <w:p w14:paraId="5447C10A" w14:textId="77777777" w:rsidR="008101A5" w:rsidRPr="009C13B9" w:rsidRDefault="008101A5" w:rsidP="008101A5">
      <w:r>
        <w:t xml:space="preserve">I certify the following to be true: </w:t>
      </w:r>
    </w:p>
    <w:p w14:paraId="5FC5744C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50B756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3A2E80D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C50C8" w14:textId="4C0524A9" w:rsidR="009C13B9" w:rsidRDefault="008101A5" w:rsidP="00704745">
      <w:pPr>
        <w:pStyle w:val="ColorfulList-Accent11"/>
        <w:ind w:left="0"/>
      </w:pPr>
      <w:r>
        <w:tab/>
      </w:r>
      <w:r>
        <w:tab/>
      </w:r>
    </w:p>
    <w:p w14:paraId="15D3EAE4" w14:textId="3A82DB8A" w:rsidR="00DF319C" w:rsidRDefault="009C13B9" w:rsidP="00DF319C">
      <w:r>
        <w:t>Name:</w:t>
      </w:r>
      <w:r w:rsidR="00DF319C">
        <w:t xml:space="preserve"> </w:t>
      </w:r>
      <w:r w:rsidR="00704745">
        <w:t>Krista Zanetti</w:t>
      </w:r>
      <w:r w:rsidR="00D11D95">
        <w:t>, Program Director, PhD., MPH, RD</w:t>
      </w:r>
    </w:p>
    <w:p w14:paraId="31E6B827" w14:textId="3CB818B4" w:rsidR="009C13B9" w:rsidRDefault="00CA319E" w:rsidP="009C13B9">
      <w:r>
        <w:br w:type="page"/>
      </w:r>
      <w:r w:rsidR="009C13B9">
        <w:lastRenderedPageBreak/>
        <w:t>To assist review, please provide answers to the following question:</w:t>
      </w:r>
    </w:p>
    <w:p w14:paraId="7B3371BA" w14:textId="77777777" w:rsidR="009C13B9" w:rsidRDefault="009C13B9" w:rsidP="009C13B9">
      <w:pPr>
        <w:pStyle w:val="ColorfulList-Accent11"/>
        <w:ind w:left="360"/>
      </w:pPr>
    </w:p>
    <w:p w14:paraId="7F9EEA4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E8F5E06" w14:textId="7F822F92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867EC">
        <w:t>X</w:t>
      </w:r>
      <w:r w:rsidR="009239AA">
        <w:t xml:space="preserve">] Yes  [ ]  No </w:t>
      </w:r>
    </w:p>
    <w:p w14:paraId="2D16BBC3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5867EC">
        <w:t>X</w:t>
      </w:r>
      <w:r w:rsidR="009239AA">
        <w:t>] Yes [  ] No</w:t>
      </w:r>
      <w:r w:rsidR="00C86E91">
        <w:t xml:space="preserve">   </w:t>
      </w:r>
    </w:p>
    <w:p w14:paraId="5C2DE86D" w14:textId="77777777" w:rsidR="00633F74" w:rsidRDefault="00633F74" w:rsidP="00633F74">
      <w:pPr>
        <w:pStyle w:val="ColorfulList-Accent11"/>
        <w:ind w:left="360"/>
      </w:pPr>
    </w:p>
    <w:p w14:paraId="683A8D77" w14:textId="77777777" w:rsidR="00C86E91" w:rsidRPr="00DA7B4C" w:rsidRDefault="00CB1078" w:rsidP="00C86E91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="00C86E91" w:rsidRPr="00DA7B4C">
        <w:rPr>
          <w:b/>
        </w:rPr>
        <w:t>:</w:t>
      </w:r>
    </w:p>
    <w:p w14:paraId="2951EF57" w14:textId="77777777" w:rsidR="00C86E91" w:rsidRDefault="00C86E91" w:rsidP="00C86E91">
      <w:r w:rsidRPr="00DA7B4C">
        <w:t xml:space="preserve">Is an incentive (e.g., money or reimbursement of expenses, token of appreciation) provided to participants?  [  ] Yes [ </w:t>
      </w:r>
      <w:r w:rsidR="005867EC">
        <w:t>X</w:t>
      </w:r>
      <w:r w:rsidRPr="00DA7B4C">
        <w:t>] No</w:t>
      </w:r>
      <w:r>
        <w:t xml:space="preserve">  </w:t>
      </w:r>
    </w:p>
    <w:p w14:paraId="47579FAB" w14:textId="6B91050D" w:rsidR="006A0D31" w:rsidRDefault="006A0D31" w:rsidP="006A0D31">
      <w:r>
        <w:t>Amount: __</w:t>
      </w:r>
      <w:r w:rsidR="00704745" w:rsidRPr="00704745">
        <w:rPr>
          <w:u w:val="single"/>
        </w:rPr>
        <w:t>n/a</w:t>
      </w:r>
      <w:r>
        <w:t>_____</w:t>
      </w:r>
    </w:p>
    <w:p w14:paraId="0EC39E30" w14:textId="283C77B3" w:rsidR="004D6E14" w:rsidRDefault="006A0D31">
      <w:pPr>
        <w:rPr>
          <w:b/>
        </w:rPr>
      </w:pPr>
      <w:r>
        <w:t>Explanation for incentive: (include number of visits, etc.)</w:t>
      </w:r>
    </w:p>
    <w:p w14:paraId="01985F99" w14:textId="77777777" w:rsidR="00F24CFC" w:rsidRDefault="00F24CFC">
      <w:pPr>
        <w:rPr>
          <w:b/>
        </w:rPr>
      </w:pPr>
    </w:p>
    <w:p w14:paraId="4D982C7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61EF869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7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777"/>
        <w:gridCol w:w="1890"/>
        <w:gridCol w:w="1530"/>
        <w:gridCol w:w="1260"/>
      </w:tblGrid>
      <w:tr w:rsidR="003668D6" w14:paraId="11F0B926" w14:textId="77777777" w:rsidTr="006714B2">
        <w:trPr>
          <w:trHeight w:val="274"/>
        </w:trPr>
        <w:tc>
          <w:tcPr>
            <w:tcW w:w="3263" w:type="dxa"/>
          </w:tcPr>
          <w:p w14:paraId="3D0A83DA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77" w:type="dxa"/>
          </w:tcPr>
          <w:p w14:paraId="577122DA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14:paraId="2A52EB2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A14D8F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1CD5523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3EC05FA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75214DD2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19B3632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41FC5A6E" w14:textId="77777777" w:rsidTr="006714B2">
        <w:trPr>
          <w:trHeight w:val="260"/>
        </w:trPr>
        <w:tc>
          <w:tcPr>
            <w:tcW w:w="3263" w:type="dxa"/>
          </w:tcPr>
          <w:p w14:paraId="5AFBADAF" w14:textId="602FF118" w:rsidR="003668D6" w:rsidRDefault="005867EC" w:rsidP="00843796">
            <w:r>
              <w:t>Individual</w:t>
            </w:r>
            <w:r w:rsidR="00676250">
              <w:t>s without Abstracts</w:t>
            </w:r>
          </w:p>
        </w:tc>
        <w:tc>
          <w:tcPr>
            <w:tcW w:w="1777" w:type="dxa"/>
          </w:tcPr>
          <w:p w14:paraId="04430C56" w14:textId="6D1B8A77" w:rsidR="003668D6" w:rsidRDefault="003B5C9E" w:rsidP="00843796">
            <w:r>
              <w:t>6</w:t>
            </w:r>
            <w:r w:rsidR="00704745">
              <w:t>5</w:t>
            </w:r>
          </w:p>
        </w:tc>
        <w:tc>
          <w:tcPr>
            <w:tcW w:w="1890" w:type="dxa"/>
          </w:tcPr>
          <w:p w14:paraId="1B3CF917" w14:textId="77777777" w:rsidR="003668D6" w:rsidRDefault="005867EC" w:rsidP="00843796">
            <w:r>
              <w:t>1</w:t>
            </w:r>
          </w:p>
        </w:tc>
        <w:tc>
          <w:tcPr>
            <w:tcW w:w="1530" w:type="dxa"/>
          </w:tcPr>
          <w:p w14:paraId="0D2CA387" w14:textId="1C107F06" w:rsidR="003668D6" w:rsidRDefault="002D0534" w:rsidP="00843796">
            <w:r>
              <w:t>5/60</w:t>
            </w:r>
          </w:p>
        </w:tc>
        <w:tc>
          <w:tcPr>
            <w:tcW w:w="1260" w:type="dxa"/>
          </w:tcPr>
          <w:p w14:paraId="048A200E" w14:textId="1F1725FB" w:rsidR="003668D6" w:rsidRDefault="002B5AFD" w:rsidP="00843796">
            <w:r>
              <w:t>5</w:t>
            </w:r>
          </w:p>
        </w:tc>
      </w:tr>
      <w:tr w:rsidR="00676250" w14:paraId="642FDF6B" w14:textId="77777777" w:rsidTr="00676250">
        <w:trPr>
          <w:trHeight w:val="260"/>
        </w:trPr>
        <w:tc>
          <w:tcPr>
            <w:tcW w:w="3263" w:type="dxa"/>
          </w:tcPr>
          <w:p w14:paraId="62127A2A" w14:textId="0D9299D3" w:rsidR="00676250" w:rsidRDefault="00676250" w:rsidP="00843796">
            <w:r>
              <w:t>Individuals with Abstracts</w:t>
            </w:r>
          </w:p>
        </w:tc>
        <w:tc>
          <w:tcPr>
            <w:tcW w:w="1777" w:type="dxa"/>
          </w:tcPr>
          <w:p w14:paraId="79E5876E" w14:textId="0B6B43E5" w:rsidR="00676250" w:rsidRDefault="006714B2" w:rsidP="00843796">
            <w:r>
              <w:t>30</w:t>
            </w:r>
          </w:p>
        </w:tc>
        <w:tc>
          <w:tcPr>
            <w:tcW w:w="1890" w:type="dxa"/>
          </w:tcPr>
          <w:p w14:paraId="75896F8F" w14:textId="53FFD66D" w:rsidR="00676250" w:rsidRDefault="006714B2" w:rsidP="00843796">
            <w:r>
              <w:t>1</w:t>
            </w:r>
          </w:p>
        </w:tc>
        <w:tc>
          <w:tcPr>
            <w:tcW w:w="1530" w:type="dxa"/>
          </w:tcPr>
          <w:p w14:paraId="3489B0AB" w14:textId="0A694352" w:rsidR="00676250" w:rsidDel="00B75772" w:rsidRDefault="002D0534" w:rsidP="00843796">
            <w:r>
              <w:t>20/60</w:t>
            </w:r>
          </w:p>
        </w:tc>
        <w:tc>
          <w:tcPr>
            <w:tcW w:w="1260" w:type="dxa"/>
          </w:tcPr>
          <w:p w14:paraId="214B635E" w14:textId="4ED74842" w:rsidR="00676250" w:rsidDel="00B75772" w:rsidRDefault="006714B2" w:rsidP="00843796">
            <w:r>
              <w:t>10</w:t>
            </w:r>
          </w:p>
        </w:tc>
      </w:tr>
      <w:tr w:rsidR="003668D6" w14:paraId="02E3DCCE" w14:textId="77777777" w:rsidTr="006714B2">
        <w:trPr>
          <w:trHeight w:val="289"/>
        </w:trPr>
        <w:tc>
          <w:tcPr>
            <w:tcW w:w="3263" w:type="dxa"/>
          </w:tcPr>
          <w:p w14:paraId="09260149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77" w:type="dxa"/>
          </w:tcPr>
          <w:p w14:paraId="120C0066" w14:textId="2C7269F8" w:rsidR="003668D6" w:rsidRPr="002D26E2" w:rsidRDefault="003B5C9E" w:rsidP="00843796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890" w:type="dxa"/>
          </w:tcPr>
          <w:p w14:paraId="71780957" w14:textId="491ACF3D" w:rsidR="003668D6" w:rsidRDefault="003B5159" w:rsidP="00843796">
            <w:r>
              <w:t>95</w:t>
            </w:r>
          </w:p>
        </w:tc>
        <w:tc>
          <w:tcPr>
            <w:tcW w:w="1530" w:type="dxa"/>
          </w:tcPr>
          <w:p w14:paraId="250B48F7" w14:textId="77777777" w:rsidR="003668D6" w:rsidRDefault="003668D6" w:rsidP="00843796"/>
        </w:tc>
        <w:tc>
          <w:tcPr>
            <w:tcW w:w="1260" w:type="dxa"/>
          </w:tcPr>
          <w:p w14:paraId="3CFAF709" w14:textId="49BD5760" w:rsidR="003668D6" w:rsidRPr="002D26E2" w:rsidRDefault="006714B2" w:rsidP="00843796">
            <w:pPr>
              <w:rPr>
                <w:b/>
              </w:rPr>
            </w:pPr>
            <w:r>
              <w:rPr>
                <w:b/>
              </w:rPr>
              <w:t>1</w:t>
            </w:r>
            <w:r w:rsidR="002B5AFD">
              <w:rPr>
                <w:b/>
              </w:rPr>
              <w:t>5</w:t>
            </w:r>
          </w:p>
        </w:tc>
      </w:tr>
    </w:tbl>
    <w:p w14:paraId="7A9A77B7" w14:textId="77777777" w:rsidR="00F3170F" w:rsidRDefault="00F3170F" w:rsidP="00F3170F"/>
    <w:p w14:paraId="12EFA01F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329FE61A" w14:textId="77777777" w:rsidTr="00CA2010">
        <w:trPr>
          <w:trHeight w:val="274"/>
        </w:trPr>
        <w:tc>
          <w:tcPr>
            <w:tcW w:w="2790" w:type="dxa"/>
          </w:tcPr>
          <w:p w14:paraId="0DDE7A6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2B09F97D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38B4FBDD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22F23C1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357B6E1E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5B3C47EB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5880FAB9" w14:textId="77777777" w:rsidTr="00CA2010">
        <w:trPr>
          <w:trHeight w:val="260"/>
        </w:trPr>
        <w:tc>
          <w:tcPr>
            <w:tcW w:w="2790" w:type="dxa"/>
          </w:tcPr>
          <w:p w14:paraId="3B4B4438" w14:textId="77777777" w:rsidR="00CA2010" w:rsidRPr="009A036B" w:rsidRDefault="005867EC" w:rsidP="009A036B">
            <w:r>
              <w:t>Individual</w:t>
            </w:r>
          </w:p>
        </w:tc>
        <w:tc>
          <w:tcPr>
            <w:tcW w:w="2250" w:type="dxa"/>
          </w:tcPr>
          <w:p w14:paraId="5184EAD7" w14:textId="39680ED4" w:rsidR="00CA2010" w:rsidRPr="009A036B" w:rsidRDefault="005E08A3" w:rsidP="009A036B">
            <w:r>
              <w:t>15</w:t>
            </w:r>
          </w:p>
        </w:tc>
        <w:tc>
          <w:tcPr>
            <w:tcW w:w="2520" w:type="dxa"/>
          </w:tcPr>
          <w:p w14:paraId="7332136B" w14:textId="7BECF3EF" w:rsidR="00CA2010" w:rsidRPr="009A036B" w:rsidRDefault="005867EC" w:rsidP="009A036B">
            <w:r>
              <w:t>$</w:t>
            </w:r>
            <w:r w:rsidR="002A2B78">
              <w:t>33.49</w:t>
            </w:r>
          </w:p>
        </w:tc>
        <w:tc>
          <w:tcPr>
            <w:tcW w:w="1620" w:type="dxa"/>
          </w:tcPr>
          <w:p w14:paraId="631FDD7D" w14:textId="3B7A0D71" w:rsidR="00CA2010" w:rsidRPr="009A036B" w:rsidRDefault="005867EC" w:rsidP="009A036B">
            <w:r>
              <w:t>$</w:t>
            </w:r>
            <w:r w:rsidR="005E08A3">
              <w:t>5</w:t>
            </w:r>
            <w:r w:rsidR="001579C0">
              <w:t>02.35</w:t>
            </w:r>
          </w:p>
        </w:tc>
      </w:tr>
      <w:tr w:rsidR="00CA2010" w:rsidRPr="005867EC" w14:paraId="372C06B4" w14:textId="77777777" w:rsidTr="00CA2010">
        <w:trPr>
          <w:trHeight w:val="289"/>
        </w:trPr>
        <w:tc>
          <w:tcPr>
            <w:tcW w:w="2790" w:type="dxa"/>
          </w:tcPr>
          <w:p w14:paraId="671F5DC7" w14:textId="77777777" w:rsidR="00CA2010" w:rsidRPr="005867EC" w:rsidRDefault="00CA2010" w:rsidP="009A036B">
            <w:pPr>
              <w:rPr>
                <w:b/>
              </w:rPr>
            </w:pPr>
            <w:r w:rsidRPr="005867EC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95D7B94" w14:textId="382CC5A3" w:rsidR="00CA2010" w:rsidRPr="005867EC" w:rsidRDefault="005E08A3" w:rsidP="009A036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20" w:type="dxa"/>
          </w:tcPr>
          <w:p w14:paraId="525A9FE7" w14:textId="77777777" w:rsidR="00CA2010" w:rsidRPr="005867EC" w:rsidRDefault="00CA2010" w:rsidP="009A036B">
            <w:pPr>
              <w:rPr>
                <w:b/>
              </w:rPr>
            </w:pPr>
          </w:p>
        </w:tc>
        <w:tc>
          <w:tcPr>
            <w:tcW w:w="1620" w:type="dxa"/>
          </w:tcPr>
          <w:p w14:paraId="79B5312A" w14:textId="030FAAF2" w:rsidR="00CA2010" w:rsidRPr="005867EC" w:rsidRDefault="006714B2" w:rsidP="009A036B">
            <w:pPr>
              <w:rPr>
                <w:b/>
              </w:rPr>
            </w:pPr>
            <w:r>
              <w:rPr>
                <w:b/>
              </w:rPr>
              <w:t>$</w:t>
            </w:r>
            <w:r w:rsidR="005E08A3">
              <w:rPr>
                <w:b/>
              </w:rPr>
              <w:t>5</w:t>
            </w:r>
            <w:r w:rsidR="001579C0">
              <w:rPr>
                <w:b/>
              </w:rPr>
              <w:t>02.35</w:t>
            </w:r>
          </w:p>
        </w:tc>
      </w:tr>
    </w:tbl>
    <w:p w14:paraId="2F09F757" w14:textId="63320894" w:rsidR="009A036B" w:rsidRPr="005867EC" w:rsidRDefault="00CA2010" w:rsidP="00F3170F">
      <w:pPr>
        <w:rPr>
          <w:sz w:val="20"/>
        </w:rPr>
      </w:pPr>
      <w:r w:rsidRPr="005867EC">
        <w:rPr>
          <w:sz w:val="20"/>
        </w:rPr>
        <w:t>*</w:t>
      </w:r>
      <w:r w:rsidR="005867EC" w:rsidRPr="005867EC">
        <w:rPr>
          <w:sz w:val="20"/>
        </w:rPr>
        <w:t xml:space="preserve"> The total annualized cost to all respondents is $</w:t>
      </w:r>
      <w:r w:rsidR="005E08A3">
        <w:rPr>
          <w:sz w:val="20"/>
        </w:rPr>
        <w:t>5</w:t>
      </w:r>
      <w:r w:rsidR="00DA54B0">
        <w:rPr>
          <w:sz w:val="20"/>
        </w:rPr>
        <w:t>02.35</w:t>
      </w:r>
      <w:r w:rsidR="0038199A">
        <w:rPr>
          <w:sz w:val="20"/>
        </w:rPr>
        <w:t>.</w:t>
      </w:r>
      <w:r w:rsidR="00BD02BC">
        <w:rPr>
          <w:sz w:val="20"/>
        </w:rPr>
        <w:t xml:space="preserve"> </w:t>
      </w:r>
      <w:r w:rsidR="005867EC" w:rsidRPr="005867EC">
        <w:rPr>
          <w:sz w:val="20"/>
        </w:rPr>
        <w:t>This cost was calculated using a wage rate of $</w:t>
      </w:r>
      <w:r w:rsidR="006733CA">
        <w:rPr>
          <w:sz w:val="20"/>
        </w:rPr>
        <w:t>33.49</w:t>
      </w:r>
      <w:r w:rsidR="00BD02BC" w:rsidRPr="00BD02BC">
        <w:rPr>
          <w:sz w:val="20"/>
        </w:rPr>
        <w:t xml:space="preserve"> </w:t>
      </w:r>
      <w:r w:rsidR="005867EC" w:rsidRPr="005867EC">
        <w:rPr>
          <w:sz w:val="20"/>
        </w:rPr>
        <w:t>per hour, which was obtained from the May 201</w:t>
      </w:r>
      <w:r w:rsidR="0038199A">
        <w:rPr>
          <w:sz w:val="20"/>
        </w:rPr>
        <w:t>7</w:t>
      </w:r>
      <w:r w:rsidR="005867EC" w:rsidRPr="005867EC">
        <w:rPr>
          <w:sz w:val="20"/>
        </w:rPr>
        <w:t xml:space="preserve"> Bureau of Labor Statistics website (</w:t>
      </w:r>
      <w:r w:rsidR="00D11D95" w:rsidRPr="00D11D95">
        <w:rPr>
          <w:sz w:val="20"/>
        </w:rPr>
        <w:t>https://www.bls.gov/oes/current/oes191041.htm</w:t>
      </w:r>
      <w:r w:rsidR="005867EC" w:rsidRPr="005867EC">
        <w:rPr>
          <w:sz w:val="20"/>
        </w:rPr>
        <w:t>), for the title “</w:t>
      </w:r>
      <w:r w:rsidR="006733CA">
        <w:rPr>
          <w:sz w:val="20"/>
        </w:rPr>
        <w:t>Epidemiologists</w:t>
      </w:r>
      <w:r w:rsidR="005867EC" w:rsidRPr="005867EC">
        <w:rPr>
          <w:sz w:val="20"/>
        </w:rPr>
        <w:t>,” occupation code 19-104</w:t>
      </w:r>
      <w:r w:rsidR="0038199A">
        <w:rPr>
          <w:sz w:val="20"/>
        </w:rPr>
        <w:t>1</w:t>
      </w:r>
      <w:r w:rsidR="005867EC" w:rsidRPr="005867EC">
        <w:rPr>
          <w:sz w:val="20"/>
        </w:rPr>
        <w:t>.</w:t>
      </w:r>
    </w:p>
    <w:p w14:paraId="2C62972E" w14:textId="77777777" w:rsidR="00441434" w:rsidRDefault="00441434" w:rsidP="00F3170F"/>
    <w:p w14:paraId="5D4E79A1" w14:textId="3EB4CD42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BD02BC">
        <w:t xml:space="preserve"> to the Federal government is </w:t>
      </w:r>
      <w:r w:rsidR="005867EC">
        <w:t>$</w:t>
      </w:r>
      <w:r w:rsidR="000961EF">
        <w:t>1,841.00.</w:t>
      </w:r>
    </w:p>
    <w:p w14:paraId="6FEF0028" w14:textId="4C23F178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1350"/>
        <w:gridCol w:w="1170"/>
        <w:gridCol w:w="1297"/>
        <w:gridCol w:w="1283"/>
        <w:gridCol w:w="1192"/>
      </w:tblGrid>
      <w:tr w:rsidR="009A036B" w:rsidRPr="009A036B" w14:paraId="6F10805C" w14:textId="77777777" w:rsidTr="0003037E">
        <w:trPr>
          <w:trHeight w:val="90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5ECFA" w14:textId="77777777" w:rsidR="009A036B" w:rsidRPr="00B92F39" w:rsidRDefault="009A036B" w:rsidP="009A036B">
            <w:pPr>
              <w:rPr>
                <w:b/>
                <w:bCs/>
              </w:rPr>
            </w:pPr>
            <w:r w:rsidRPr="00B92F39">
              <w:rPr>
                <w:i/>
              </w:rPr>
              <w:t xml:space="preserve"> </w:t>
            </w:r>
            <w:r w:rsidRPr="00B92F39">
              <w:rPr>
                <w:b/>
                <w:bCs/>
              </w:rPr>
              <w:t>Staff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102C6" w14:textId="77777777" w:rsidR="009A036B" w:rsidRPr="00B92F39" w:rsidRDefault="009A036B" w:rsidP="009A036B">
            <w:pPr>
              <w:rPr>
                <w:b/>
                <w:bCs/>
              </w:rPr>
            </w:pPr>
          </w:p>
          <w:p w14:paraId="28941224" w14:textId="77777777" w:rsidR="009A036B" w:rsidRPr="00B92F39" w:rsidRDefault="009A036B" w:rsidP="009A036B">
            <w:pPr>
              <w:rPr>
                <w:b/>
                <w:bCs/>
              </w:rPr>
            </w:pPr>
            <w:r w:rsidRPr="00B92F39">
              <w:rPr>
                <w:b/>
                <w:bCs/>
              </w:rPr>
              <w:t>Grade/Step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8A8FF" w14:textId="77777777" w:rsidR="009A036B" w:rsidRPr="00B92F39" w:rsidRDefault="009A036B" w:rsidP="009A036B">
            <w:pPr>
              <w:rPr>
                <w:b/>
                <w:bCs/>
              </w:rPr>
            </w:pPr>
            <w:r w:rsidRPr="00B92F39">
              <w:rPr>
                <w:b/>
                <w:bCs/>
              </w:rPr>
              <w:t>Salary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82823" w14:textId="77777777" w:rsidR="009A036B" w:rsidRPr="00B92F39" w:rsidRDefault="009A036B" w:rsidP="009A036B">
            <w:pPr>
              <w:rPr>
                <w:b/>
                <w:bCs/>
              </w:rPr>
            </w:pPr>
            <w:r w:rsidRPr="00B92F39">
              <w:rPr>
                <w:b/>
                <w:bCs/>
              </w:rPr>
              <w:t>% of Effort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896F6" w14:textId="77777777" w:rsidR="009A036B" w:rsidRPr="00B92F39" w:rsidRDefault="009A036B" w:rsidP="009A036B">
            <w:pPr>
              <w:rPr>
                <w:b/>
                <w:bCs/>
              </w:rPr>
            </w:pPr>
            <w:r w:rsidRPr="00B92F39">
              <w:rPr>
                <w:b/>
                <w:bCs/>
              </w:rPr>
              <w:t>Fringe (if applicable)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449CF" w14:textId="77777777" w:rsidR="009A036B" w:rsidRPr="00B92F39" w:rsidRDefault="009A036B" w:rsidP="009A036B">
            <w:pPr>
              <w:rPr>
                <w:b/>
                <w:bCs/>
              </w:rPr>
            </w:pPr>
            <w:r w:rsidRPr="00B92F39">
              <w:rPr>
                <w:b/>
                <w:bCs/>
              </w:rPr>
              <w:t>Total Cost to Gov’t</w:t>
            </w:r>
          </w:p>
        </w:tc>
      </w:tr>
      <w:tr w:rsidR="009A036B" w:rsidRPr="009A036B" w14:paraId="3CC7D038" w14:textId="77777777" w:rsidTr="00B92F39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9347E" w14:textId="77777777" w:rsidR="009A036B" w:rsidRPr="00B92F39" w:rsidRDefault="009A036B" w:rsidP="009A036B">
            <w:pPr>
              <w:rPr>
                <w:b/>
              </w:rPr>
            </w:pPr>
            <w:r w:rsidRPr="00B92F39">
              <w:rPr>
                <w:b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FFB557" w14:textId="77777777" w:rsidR="009A036B" w:rsidRPr="00B92F39" w:rsidRDefault="009A036B" w:rsidP="009A036B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CB635" w14:textId="77777777" w:rsidR="009A036B" w:rsidRPr="00B92F39" w:rsidRDefault="009A036B" w:rsidP="009A036B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6BC70" w14:textId="77777777" w:rsidR="009A036B" w:rsidRPr="00B92F39" w:rsidRDefault="009A036B" w:rsidP="009A036B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B7DC78" w14:textId="77777777" w:rsidR="009A036B" w:rsidRPr="00B92F39" w:rsidRDefault="009A036B" w:rsidP="009A036B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1C1E2" w14:textId="0CD6C8A5" w:rsidR="009A036B" w:rsidRPr="00B92F39" w:rsidRDefault="009A036B" w:rsidP="009A036B">
            <w:pPr>
              <w:rPr>
                <w:b/>
              </w:rPr>
            </w:pPr>
          </w:p>
        </w:tc>
      </w:tr>
      <w:tr w:rsidR="005867EC" w:rsidRPr="009A036B" w14:paraId="19AF762C" w14:textId="77777777" w:rsidTr="00BD1329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036CE" w14:textId="1AC3EBE0" w:rsidR="005867EC" w:rsidRPr="00B92F39" w:rsidRDefault="002A2B78" w:rsidP="005867EC">
            <w:r w:rsidRPr="00B92F39">
              <w:t>P</w:t>
            </w:r>
            <w:r w:rsidR="000961EF">
              <w:t>rogram Director</w:t>
            </w:r>
          </w:p>
          <w:p w14:paraId="588BDB5E" w14:textId="6F8B7574" w:rsidR="002A2B78" w:rsidRPr="00B92F39" w:rsidRDefault="002A2B78" w:rsidP="005867EC">
            <w:r w:rsidRPr="00B92F39">
              <w:t>[oversight]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6B9BFD" w14:textId="78521658" w:rsidR="005867EC" w:rsidRPr="00B92F39" w:rsidRDefault="005867EC" w:rsidP="00BD1329">
            <w:pPr>
              <w:pStyle w:val="NoSpacing"/>
              <w:jc w:val="center"/>
              <w:rPr>
                <w:rFonts w:eastAsia="Calibri"/>
              </w:rPr>
            </w:pPr>
            <w:r w:rsidRPr="00B92F39">
              <w:rPr>
                <w:rFonts w:eastAsia="Calibri"/>
              </w:rPr>
              <w:t>GS 14/</w:t>
            </w:r>
            <w:r w:rsidR="00B92F39" w:rsidRPr="00B92F39">
              <w:rPr>
                <w:rFonts w:eastAsia="Calibri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BEF89" w14:textId="2B316ADB" w:rsidR="005867EC" w:rsidRPr="00B92F39" w:rsidRDefault="00B92F39" w:rsidP="002A2B78">
            <w:pPr>
              <w:pStyle w:val="NoSpacing"/>
            </w:pPr>
            <w:r w:rsidRPr="00B92F39">
              <w:t>$129,869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11E35" w14:textId="77777777" w:rsidR="005867EC" w:rsidRPr="00B92F39" w:rsidRDefault="005867EC" w:rsidP="005867EC">
            <w:pPr>
              <w:pStyle w:val="NoSpacing"/>
              <w:jc w:val="both"/>
            </w:pPr>
            <w:r w:rsidRPr="00B92F39">
              <w:t>1.0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609D02" w14:textId="77777777" w:rsidR="005867EC" w:rsidRPr="00B92F39" w:rsidRDefault="005867EC" w:rsidP="005867EC">
            <w:pPr>
              <w:pStyle w:val="NoSpacing"/>
              <w:jc w:val="both"/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745A0C" w14:textId="73DACAAD" w:rsidR="005867EC" w:rsidRPr="00B92F39" w:rsidRDefault="00B92F39" w:rsidP="00BD1329">
            <w:pPr>
              <w:pStyle w:val="NoSpacing"/>
            </w:pPr>
            <w:r w:rsidRPr="00B92F39">
              <w:t>$1299</w:t>
            </w:r>
          </w:p>
        </w:tc>
      </w:tr>
      <w:tr w:rsidR="002A2B78" w:rsidRPr="009A036B" w14:paraId="6B234F7D" w14:textId="77777777" w:rsidTr="00BD1329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48A64" w14:textId="77777777" w:rsidR="002A2B78" w:rsidRPr="00B92F39" w:rsidRDefault="002A2B78" w:rsidP="005867EC">
            <w:r w:rsidRPr="00B92F39">
              <w:t>CRTA Fellow</w:t>
            </w:r>
          </w:p>
          <w:p w14:paraId="02AC86B3" w14:textId="2367692F" w:rsidR="002A2B78" w:rsidRPr="00B92F39" w:rsidRDefault="002A2B78" w:rsidP="005867EC">
            <w:r w:rsidRPr="00B92F39">
              <w:t>[Receiving, organizing, and responding to applications]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827D7" w14:textId="34BA8C29" w:rsidR="002A2B78" w:rsidRPr="00B92F39" w:rsidRDefault="000C1F3A" w:rsidP="005867EC">
            <w:pPr>
              <w:pStyle w:val="NoSpacing"/>
              <w:jc w:val="both"/>
              <w:rPr>
                <w:rFonts w:eastAsia="Calibri"/>
              </w:rPr>
            </w:pPr>
            <w:r w:rsidRPr="00B92F39">
              <w:rPr>
                <w:rFonts w:eastAsia="Calibri"/>
              </w:rPr>
              <w:t>-----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D4065" w14:textId="24EEC9BD" w:rsidR="002A2B78" w:rsidRPr="00B92F39" w:rsidRDefault="000C1F3A" w:rsidP="005867EC">
            <w:pPr>
              <w:pStyle w:val="NoSpacing"/>
              <w:jc w:val="both"/>
            </w:pPr>
            <w:r w:rsidRPr="00B92F39">
              <w:t>$54,200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C32A4" w14:textId="149E3BB0" w:rsidR="002A2B78" w:rsidRPr="00B92F39" w:rsidRDefault="000C1F3A" w:rsidP="005867EC">
            <w:pPr>
              <w:pStyle w:val="NoSpacing"/>
              <w:jc w:val="both"/>
            </w:pPr>
            <w:r w:rsidRPr="00B92F39">
              <w:t>1.0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2F9026" w14:textId="77777777" w:rsidR="002A2B78" w:rsidRPr="00B92F39" w:rsidRDefault="002A2B78" w:rsidP="005867EC">
            <w:pPr>
              <w:pStyle w:val="NoSpacing"/>
              <w:jc w:val="both"/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B9E216" w14:textId="65912F2D" w:rsidR="002A2B78" w:rsidRPr="00B92F39" w:rsidRDefault="000C1F3A" w:rsidP="00BD1329">
            <w:pPr>
              <w:pStyle w:val="NoSpacing"/>
            </w:pPr>
            <w:r w:rsidRPr="00B92F39">
              <w:t>$542</w:t>
            </w:r>
          </w:p>
        </w:tc>
      </w:tr>
      <w:tr w:rsidR="005867EC" w:rsidRPr="009A036B" w14:paraId="25292F34" w14:textId="77777777" w:rsidTr="00B92F39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53A77" w14:textId="77777777" w:rsidR="005867EC" w:rsidRPr="00B92F39" w:rsidRDefault="005867EC" w:rsidP="005867EC">
            <w:pPr>
              <w:rPr>
                <w:b/>
              </w:rPr>
            </w:pPr>
            <w:r w:rsidRPr="00B92F39">
              <w:rPr>
                <w:b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0E82F" w14:textId="77777777" w:rsidR="005867EC" w:rsidRPr="00B92F39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81DC8" w14:textId="77777777" w:rsidR="005867EC" w:rsidRPr="00B92F39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B38CD" w14:textId="77777777" w:rsidR="005867EC" w:rsidRPr="00B92F39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2F04AF" w14:textId="77777777" w:rsidR="005867EC" w:rsidRPr="00B92F39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3A336" w14:textId="51648E3B" w:rsidR="005867EC" w:rsidRPr="00B92F39" w:rsidRDefault="005867EC" w:rsidP="005867EC">
            <w:pPr>
              <w:rPr>
                <w:b/>
                <w:sz w:val="22"/>
              </w:rPr>
            </w:pPr>
            <w:r w:rsidRPr="00B92F39">
              <w:rPr>
                <w:b/>
                <w:sz w:val="22"/>
              </w:rPr>
              <w:t>$</w:t>
            </w:r>
            <w:r w:rsidR="002A2B78" w:rsidRPr="00B92F39">
              <w:rPr>
                <w:b/>
                <w:sz w:val="22"/>
              </w:rPr>
              <w:t>0</w:t>
            </w:r>
          </w:p>
        </w:tc>
      </w:tr>
      <w:tr w:rsidR="005867EC" w:rsidRPr="009A036B" w14:paraId="6D2C8FE5" w14:textId="77777777" w:rsidTr="00B92F39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564BD" w14:textId="77777777" w:rsidR="005867EC" w:rsidRPr="00B92F39" w:rsidRDefault="005867EC" w:rsidP="005867EC">
            <w:r w:rsidRPr="00B92F39"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6568B" w14:textId="77777777" w:rsidR="005867EC" w:rsidRPr="00B92F39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2C898" w14:textId="77777777" w:rsidR="005867EC" w:rsidRPr="00B92F39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64E9A" w14:textId="77777777" w:rsidR="005867EC" w:rsidRPr="00B92F39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624C8E" w14:textId="77777777" w:rsidR="005867EC" w:rsidRPr="00B92F39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F9890" w14:textId="77777777" w:rsidR="005867EC" w:rsidRPr="00B92F39" w:rsidRDefault="005867EC" w:rsidP="005867EC">
            <w:r w:rsidRPr="00B92F39">
              <w:t>$0</w:t>
            </w:r>
          </w:p>
        </w:tc>
      </w:tr>
      <w:tr w:rsidR="005867EC" w:rsidRPr="009A036B" w14:paraId="1B9C3C18" w14:textId="77777777" w:rsidTr="00B92F39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93E3F" w14:textId="77777777" w:rsidR="005867EC" w:rsidRPr="00B92F39" w:rsidRDefault="005867EC" w:rsidP="005867EC">
            <w:r w:rsidRPr="00B92F39"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F5F30B" w14:textId="77777777" w:rsidR="005867EC" w:rsidRPr="00B92F39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9C603" w14:textId="77777777" w:rsidR="005867EC" w:rsidRPr="00B92F39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E32D5" w14:textId="77777777" w:rsidR="005867EC" w:rsidRPr="00B92F39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11C1A" w14:textId="77777777" w:rsidR="005867EC" w:rsidRPr="00B92F39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FDBB3" w14:textId="77777777" w:rsidR="005867EC" w:rsidRPr="00B92F39" w:rsidRDefault="005867EC" w:rsidP="005867EC">
            <w:r w:rsidRPr="00B92F39">
              <w:t>$0</w:t>
            </w:r>
          </w:p>
        </w:tc>
      </w:tr>
      <w:tr w:rsidR="005867EC" w:rsidRPr="005867EC" w14:paraId="32699F63" w14:textId="77777777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A24EE" w14:textId="77777777" w:rsidR="005867EC" w:rsidRPr="00B92F39" w:rsidRDefault="005867EC" w:rsidP="005867EC">
            <w:pPr>
              <w:rPr>
                <w:b/>
              </w:rPr>
            </w:pPr>
            <w:r w:rsidRPr="00B92F39">
              <w:rPr>
                <w:b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B1DA" w14:textId="77777777" w:rsidR="005867EC" w:rsidRPr="00B92F39" w:rsidRDefault="005867EC" w:rsidP="005867EC">
            <w:pPr>
              <w:rPr>
                <w:b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EC78C" w14:textId="77777777" w:rsidR="005867EC" w:rsidRPr="00B92F39" w:rsidRDefault="005867EC" w:rsidP="005867EC">
            <w:pPr>
              <w:rPr>
                <w:b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A070C" w14:textId="77777777" w:rsidR="005867EC" w:rsidRPr="00B92F39" w:rsidRDefault="005867EC" w:rsidP="005867EC">
            <w:pPr>
              <w:rPr>
                <w:b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D3240" w14:textId="77777777" w:rsidR="005867EC" w:rsidRPr="00B92F39" w:rsidRDefault="005867EC" w:rsidP="005867EC">
            <w:pPr>
              <w:rPr>
                <w:b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D8164" w14:textId="667A539B" w:rsidR="005867EC" w:rsidRPr="00B92F39" w:rsidRDefault="00B92F39" w:rsidP="005867EC">
            <w:pPr>
              <w:rPr>
                <w:b/>
              </w:rPr>
            </w:pPr>
            <w:r>
              <w:rPr>
                <w:b/>
              </w:rPr>
              <w:t>$1841</w:t>
            </w:r>
          </w:p>
        </w:tc>
      </w:tr>
    </w:tbl>
    <w:p w14:paraId="19146C70" w14:textId="77777777" w:rsidR="009A036B" w:rsidRPr="009A036B" w:rsidRDefault="009A036B" w:rsidP="009A036B"/>
    <w:p w14:paraId="3F90C580" w14:textId="77777777" w:rsidR="0069403B" w:rsidRDefault="0069403B" w:rsidP="00F06866">
      <w:pPr>
        <w:rPr>
          <w:b/>
        </w:rPr>
      </w:pPr>
    </w:p>
    <w:p w14:paraId="2FF59DE9" w14:textId="77777777"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14:paraId="7CB7C863" w14:textId="33F2BCC2" w:rsidR="0069403B" w:rsidRPr="00DA7B4C" w:rsidRDefault="0069403B" w:rsidP="0069403B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="005867EC">
        <w:t>[</w:t>
      </w:r>
      <w:r w:rsidR="00AE212F">
        <w:t>X</w:t>
      </w:r>
      <w:r w:rsidR="005867EC">
        <w:t>] Yes</w:t>
      </w:r>
      <w:r w:rsidR="005867EC">
        <w:tab/>
        <w:t>[</w:t>
      </w:r>
      <w:r w:rsidR="00AE212F">
        <w:t xml:space="preserve"> </w:t>
      </w:r>
      <w:r w:rsidRPr="00DA7B4C">
        <w:t>] No</w:t>
      </w:r>
    </w:p>
    <w:p w14:paraId="318F6884" w14:textId="77777777" w:rsidR="00636621" w:rsidRDefault="00636621" w:rsidP="00636621">
      <w:pPr>
        <w:pStyle w:val="ColorfulList-Accent11"/>
      </w:pPr>
    </w:p>
    <w:p w14:paraId="65A94ED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B4190FA" w14:textId="27F0E0E5" w:rsidR="00A403BB" w:rsidRDefault="00A403BB" w:rsidP="00A403BB">
      <w:pPr>
        <w:pStyle w:val="ColorfulList-Accent11"/>
      </w:pPr>
    </w:p>
    <w:p w14:paraId="4AE4DCAB" w14:textId="4F7B3ADB" w:rsidR="00AE212F" w:rsidRPr="00AE212F" w:rsidRDefault="00AE212F" w:rsidP="00AE212F">
      <w:r w:rsidRPr="00AE212F">
        <w:t>Registrants will be invited to submit an abstract for inclusion in the meeting schedule.</w:t>
      </w:r>
    </w:p>
    <w:p w14:paraId="5EF07C7E" w14:textId="77777777" w:rsidR="00AE212F" w:rsidRDefault="00AE212F" w:rsidP="00A403BB">
      <w:pPr>
        <w:pStyle w:val="ColorfulList-Accent11"/>
      </w:pPr>
    </w:p>
    <w:p w14:paraId="0D6393A0" w14:textId="77777777" w:rsidR="00A403BB" w:rsidRDefault="00A403BB" w:rsidP="00A403BB"/>
    <w:p w14:paraId="40231B92" w14:textId="77777777"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14:paraId="1DE57D98" w14:textId="77777777" w:rsidR="00A403BB" w:rsidRPr="00DA7B4C" w:rsidRDefault="001B0AAA" w:rsidP="00A403BB">
      <w:pPr>
        <w:pStyle w:val="ColorfulList-Accent1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14:paraId="080FE3A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5867EC">
        <w:t>X</w:t>
      </w:r>
      <w:r w:rsidRPr="00DA7B4C">
        <w:t>] Web-based</w:t>
      </w:r>
      <w:r w:rsidR="001B0AAA" w:rsidRPr="00DA7B4C">
        <w:t xml:space="preserve"> or other forms of Social Media </w:t>
      </w:r>
    </w:p>
    <w:p w14:paraId="649C1577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14:paraId="52F053BD" w14:textId="77777777"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14:paraId="68C96DDF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14:paraId="1288F9A7" w14:textId="77777777" w:rsidR="000752F7" w:rsidRPr="00DA7B4C" w:rsidRDefault="000752F7" w:rsidP="001B0AAA">
      <w:pPr>
        <w:ind w:left="720"/>
      </w:pPr>
      <w:r w:rsidRPr="00DA7B4C">
        <w:t>[  ] Survey form</w:t>
      </w:r>
    </w:p>
    <w:p w14:paraId="2BDE35E4" w14:textId="77777777" w:rsidR="006A0D31" w:rsidRPr="00DA7B4C" w:rsidRDefault="006A0D31" w:rsidP="001B0AAA">
      <w:pPr>
        <w:ind w:left="720"/>
      </w:pPr>
      <w:r w:rsidRPr="00DA7B4C">
        <w:t>[  ] Chart Abstraction</w:t>
      </w:r>
    </w:p>
    <w:p w14:paraId="06C6247A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Other, Explain</w:t>
      </w:r>
    </w:p>
    <w:p w14:paraId="7A721C15" w14:textId="77777777" w:rsidR="006A0D31" w:rsidRPr="00DA7B4C" w:rsidRDefault="006A0D31" w:rsidP="001B0AAA">
      <w:pPr>
        <w:ind w:left="720"/>
      </w:pPr>
    </w:p>
    <w:p w14:paraId="06AC4193" w14:textId="77777777" w:rsidR="00F24CFC" w:rsidRPr="00DA7B4C" w:rsidRDefault="00F24CFC" w:rsidP="00F24CFC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="005867EC">
        <w:t xml:space="preserve"> be used?  [  ] Yes [ X</w:t>
      </w:r>
      <w:r w:rsidRPr="00DA7B4C">
        <w:t>] No</w:t>
      </w:r>
    </w:p>
    <w:p w14:paraId="195C6644" w14:textId="77777777" w:rsidR="00F24CFC" w:rsidRPr="00DA7B4C" w:rsidRDefault="00F24CFC" w:rsidP="00F24CFC">
      <w:pPr>
        <w:pStyle w:val="ColorfulList-Accent11"/>
        <w:ind w:left="360"/>
      </w:pPr>
      <w:r w:rsidRPr="00DA7B4C">
        <w:t xml:space="preserve"> </w:t>
      </w:r>
    </w:p>
    <w:p w14:paraId="08CC0B95" w14:textId="77777777" w:rsidR="0024521E" w:rsidRPr="008956A8" w:rsidRDefault="00F24CFC" w:rsidP="0024521E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14:paraId="16E5148B" w14:textId="509D8138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D51E1EC" w14:textId="77777777" w:rsidR="00AE14B1" w:rsidRPr="008956A8" w:rsidRDefault="00AE14B1" w:rsidP="00AE14B1"/>
    <w:sectPr w:rsidR="00AE14B1" w:rsidRPr="008956A8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9F26F" w14:textId="77777777" w:rsidR="00A15EF7" w:rsidRDefault="00A15EF7">
      <w:r>
        <w:separator/>
      </w:r>
    </w:p>
  </w:endnote>
  <w:endnote w:type="continuationSeparator" w:id="0">
    <w:p w14:paraId="19CBAC5F" w14:textId="77777777" w:rsidR="00A15EF7" w:rsidRDefault="00A1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A49D6" w14:textId="2603D24D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72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0B11E" w14:textId="77777777" w:rsidR="00A15EF7" w:rsidRDefault="00A15EF7">
      <w:r>
        <w:separator/>
      </w:r>
    </w:p>
  </w:footnote>
  <w:footnote w:type="continuationSeparator" w:id="0">
    <w:p w14:paraId="49B3DF7A" w14:textId="77777777" w:rsidR="00A15EF7" w:rsidRDefault="00A1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917CD"/>
    <w:multiLevelType w:val="hybridMultilevel"/>
    <w:tmpl w:val="9D6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tLCwtDAwM7I0NDVT0lEKTi0uzszPAykwqgUApzXjhSwAAAA="/>
  </w:docVars>
  <w:rsids>
    <w:rsidRoot w:val="00D6383F"/>
    <w:rsid w:val="0002148F"/>
    <w:rsid w:val="00023A57"/>
    <w:rsid w:val="0003037E"/>
    <w:rsid w:val="00047A64"/>
    <w:rsid w:val="00067329"/>
    <w:rsid w:val="000722CE"/>
    <w:rsid w:val="000752F7"/>
    <w:rsid w:val="000913EC"/>
    <w:rsid w:val="000961EF"/>
    <w:rsid w:val="000B0BCC"/>
    <w:rsid w:val="000B2838"/>
    <w:rsid w:val="000C1F3A"/>
    <w:rsid w:val="000D44CA"/>
    <w:rsid w:val="000E200B"/>
    <w:rsid w:val="000F68BE"/>
    <w:rsid w:val="001579C0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112AF"/>
    <w:rsid w:val="00237B48"/>
    <w:rsid w:val="0024521E"/>
    <w:rsid w:val="00263C3D"/>
    <w:rsid w:val="0027172F"/>
    <w:rsid w:val="00274D0B"/>
    <w:rsid w:val="00284110"/>
    <w:rsid w:val="00285E3E"/>
    <w:rsid w:val="002A2B78"/>
    <w:rsid w:val="002B3C95"/>
    <w:rsid w:val="002B5AFD"/>
    <w:rsid w:val="002D0534"/>
    <w:rsid w:val="002D0B92"/>
    <w:rsid w:val="002D26E2"/>
    <w:rsid w:val="002F0C47"/>
    <w:rsid w:val="002F3D10"/>
    <w:rsid w:val="003668D6"/>
    <w:rsid w:val="0037350C"/>
    <w:rsid w:val="00380FC3"/>
    <w:rsid w:val="0038199A"/>
    <w:rsid w:val="00382FD8"/>
    <w:rsid w:val="003A7074"/>
    <w:rsid w:val="003B1C68"/>
    <w:rsid w:val="003B5159"/>
    <w:rsid w:val="003B5C9E"/>
    <w:rsid w:val="003D27FF"/>
    <w:rsid w:val="003D5BBE"/>
    <w:rsid w:val="003E3C61"/>
    <w:rsid w:val="003F1C5B"/>
    <w:rsid w:val="00431EB1"/>
    <w:rsid w:val="00434E33"/>
    <w:rsid w:val="00441434"/>
    <w:rsid w:val="00446922"/>
    <w:rsid w:val="0045264C"/>
    <w:rsid w:val="004876EC"/>
    <w:rsid w:val="004B2C8B"/>
    <w:rsid w:val="004D6E14"/>
    <w:rsid w:val="004E48BF"/>
    <w:rsid w:val="004E56D6"/>
    <w:rsid w:val="005009B0"/>
    <w:rsid w:val="005048E3"/>
    <w:rsid w:val="005451A5"/>
    <w:rsid w:val="00571D80"/>
    <w:rsid w:val="005867EC"/>
    <w:rsid w:val="005A1006"/>
    <w:rsid w:val="005A56E9"/>
    <w:rsid w:val="005A772A"/>
    <w:rsid w:val="005E08A3"/>
    <w:rsid w:val="005E714A"/>
    <w:rsid w:val="0061146C"/>
    <w:rsid w:val="006140A0"/>
    <w:rsid w:val="006331D6"/>
    <w:rsid w:val="00633F74"/>
    <w:rsid w:val="00636621"/>
    <w:rsid w:val="00642B49"/>
    <w:rsid w:val="006714B2"/>
    <w:rsid w:val="006733CA"/>
    <w:rsid w:val="00676250"/>
    <w:rsid w:val="006832D9"/>
    <w:rsid w:val="00686301"/>
    <w:rsid w:val="0069403B"/>
    <w:rsid w:val="006A0D31"/>
    <w:rsid w:val="006D5F47"/>
    <w:rsid w:val="006E60A3"/>
    <w:rsid w:val="006E7380"/>
    <w:rsid w:val="006F3DDE"/>
    <w:rsid w:val="00704678"/>
    <w:rsid w:val="00704745"/>
    <w:rsid w:val="007425E7"/>
    <w:rsid w:val="00766D95"/>
    <w:rsid w:val="0077491F"/>
    <w:rsid w:val="0077703F"/>
    <w:rsid w:val="00790FAA"/>
    <w:rsid w:val="00802607"/>
    <w:rsid w:val="00806552"/>
    <w:rsid w:val="008101A5"/>
    <w:rsid w:val="00822664"/>
    <w:rsid w:val="00843796"/>
    <w:rsid w:val="00851B49"/>
    <w:rsid w:val="00884EBB"/>
    <w:rsid w:val="00890408"/>
    <w:rsid w:val="00893B0D"/>
    <w:rsid w:val="00895229"/>
    <w:rsid w:val="008956A8"/>
    <w:rsid w:val="008E1AEB"/>
    <w:rsid w:val="008F0203"/>
    <w:rsid w:val="008F50D4"/>
    <w:rsid w:val="009239AA"/>
    <w:rsid w:val="00935ADA"/>
    <w:rsid w:val="0094269D"/>
    <w:rsid w:val="00946B6C"/>
    <w:rsid w:val="00955A71"/>
    <w:rsid w:val="0096108F"/>
    <w:rsid w:val="009823C3"/>
    <w:rsid w:val="009A036B"/>
    <w:rsid w:val="009C13B9"/>
    <w:rsid w:val="009D01A2"/>
    <w:rsid w:val="009F5923"/>
    <w:rsid w:val="00A14162"/>
    <w:rsid w:val="00A15EF7"/>
    <w:rsid w:val="00A229F1"/>
    <w:rsid w:val="00A36948"/>
    <w:rsid w:val="00A403BB"/>
    <w:rsid w:val="00A674DF"/>
    <w:rsid w:val="00A83AA6"/>
    <w:rsid w:val="00A97BAC"/>
    <w:rsid w:val="00AC60E8"/>
    <w:rsid w:val="00AE0BF7"/>
    <w:rsid w:val="00AE14B1"/>
    <w:rsid w:val="00AE1809"/>
    <w:rsid w:val="00AE212F"/>
    <w:rsid w:val="00B75772"/>
    <w:rsid w:val="00B80D76"/>
    <w:rsid w:val="00B92F39"/>
    <w:rsid w:val="00BA2105"/>
    <w:rsid w:val="00BA7069"/>
    <w:rsid w:val="00BA7E06"/>
    <w:rsid w:val="00BB43B5"/>
    <w:rsid w:val="00BB6219"/>
    <w:rsid w:val="00BC676D"/>
    <w:rsid w:val="00BD02BC"/>
    <w:rsid w:val="00BD1329"/>
    <w:rsid w:val="00BD290F"/>
    <w:rsid w:val="00BD4927"/>
    <w:rsid w:val="00C14CC4"/>
    <w:rsid w:val="00C33C52"/>
    <w:rsid w:val="00C40D8B"/>
    <w:rsid w:val="00C472C0"/>
    <w:rsid w:val="00C8407A"/>
    <w:rsid w:val="00C8488C"/>
    <w:rsid w:val="00C86E91"/>
    <w:rsid w:val="00CA19A3"/>
    <w:rsid w:val="00CA2010"/>
    <w:rsid w:val="00CA2650"/>
    <w:rsid w:val="00CA319E"/>
    <w:rsid w:val="00CB1078"/>
    <w:rsid w:val="00CC149E"/>
    <w:rsid w:val="00CC6FAF"/>
    <w:rsid w:val="00CF2F9B"/>
    <w:rsid w:val="00CF72B8"/>
    <w:rsid w:val="00D11D95"/>
    <w:rsid w:val="00D24698"/>
    <w:rsid w:val="00D36D17"/>
    <w:rsid w:val="00D6383F"/>
    <w:rsid w:val="00DA54B0"/>
    <w:rsid w:val="00DA7B4C"/>
    <w:rsid w:val="00DB4A58"/>
    <w:rsid w:val="00DB59D0"/>
    <w:rsid w:val="00DC33D3"/>
    <w:rsid w:val="00DF319C"/>
    <w:rsid w:val="00E26329"/>
    <w:rsid w:val="00E40B50"/>
    <w:rsid w:val="00E50293"/>
    <w:rsid w:val="00E65FFC"/>
    <w:rsid w:val="00E76261"/>
    <w:rsid w:val="00E80951"/>
    <w:rsid w:val="00E86CC6"/>
    <w:rsid w:val="00EB56B3"/>
    <w:rsid w:val="00ED6492"/>
    <w:rsid w:val="00EF2095"/>
    <w:rsid w:val="00F06866"/>
    <w:rsid w:val="00F124A8"/>
    <w:rsid w:val="00F15956"/>
    <w:rsid w:val="00F24CFC"/>
    <w:rsid w:val="00F3170F"/>
    <w:rsid w:val="00F52EDC"/>
    <w:rsid w:val="00F55E23"/>
    <w:rsid w:val="00F976B0"/>
    <w:rsid w:val="00FA6DE7"/>
    <w:rsid w:val="00FC0A8E"/>
    <w:rsid w:val="00FD5C1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C6C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DF319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F31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319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0F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1579C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DF319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F31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319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0F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157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ventbrite.com/e/establishing-collaborations-for-a-new-era-of-population-based-metabolomics-research-tickets-4559348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7124-7DD2-45FE-993F-8E03E2F5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2016-05-26T17:45:00Z</cp:lastPrinted>
  <dcterms:created xsi:type="dcterms:W3CDTF">2018-05-10T17:26:00Z</dcterms:created>
  <dcterms:modified xsi:type="dcterms:W3CDTF">2018-05-10T17:26:00Z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