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DD8D6" w14:textId="5A339F35" w:rsidR="000D7526" w:rsidRPr="001909A6" w:rsidRDefault="000D7526" w:rsidP="00FA620E">
      <w:pPr>
        <w:pStyle w:val="BodyText"/>
        <w:spacing w:line="360" w:lineRule="auto"/>
        <w:ind w:firstLine="0"/>
        <w:jc w:val="center"/>
        <w:rPr>
          <w:szCs w:val="24"/>
        </w:rPr>
      </w:pPr>
      <w:r w:rsidRPr="001909A6">
        <w:rPr>
          <w:szCs w:val="24"/>
        </w:rPr>
        <w:t>Supporting Statement</w:t>
      </w:r>
      <w:r w:rsidR="00185A3B" w:rsidRPr="001909A6">
        <w:rPr>
          <w:szCs w:val="24"/>
        </w:rPr>
        <w:t xml:space="preserve"> A</w:t>
      </w:r>
      <w:r w:rsidR="001C5EC3">
        <w:rPr>
          <w:szCs w:val="24"/>
        </w:rPr>
        <w:t xml:space="preserve"> for</w:t>
      </w:r>
    </w:p>
    <w:p w14:paraId="6CD45E7C" w14:textId="326BA8DB" w:rsidR="006D061C" w:rsidRPr="001909A6" w:rsidRDefault="00B23ADD" w:rsidP="00FA620E">
      <w:pPr>
        <w:pStyle w:val="BodyText"/>
        <w:spacing w:line="360" w:lineRule="auto"/>
        <w:ind w:firstLine="0"/>
        <w:jc w:val="center"/>
        <w:rPr>
          <w:i/>
          <w:szCs w:val="24"/>
        </w:rPr>
      </w:pPr>
      <w:r w:rsidRPr="001909A6">
        <w:rPr>
          <w:i/>
          <w:szCs w:val="24"/>
        </w:rPr>
        <w:t>National Toxicology Program Level of Concern Categories</w:t>
      </w:r>
      <w:r w:rsidR="00972E80" w:rsidRPr="001909A6">
        <w:rPr>
          <w:i/>
          <w:szCs w:val="24"/>
        </w:rPr>
        <w:t xml:space="preserve"> Study</w:t>
      </w:r>
    </w:p>
    <w:p w14:paraId="71C1BF2D" w14:textId="589DC191" w:rsidR="00FA620E" w:rsidRDefault="00A1221F" w:rsidP="00FA620E">
      <w:pPr>
        <w:pStyle w:val="BodyText"/>
        <w:spacing w:line="360" w:lineRule="auto"/>
        <w:ind w:firstLine="0"/>
        <w:jc w:val="center"/>
        <w:rPr>
          <w:i/>
          <w:szCs w:val="24"/>
        </w:rPr>
      </w:pPr>
      <w:r w:rsidRPr="001909A6">
        <w:rPr>
          <w:i/>
          <w:szCs w:val="24"/>
        </w:rPr>
        <w:t>(NIH/NIEHS)</w:t>
      </w:r>
    </w:p>
    <w:p w14:paraId="30D013C4" w14:textId="096FA579" w:rsidR="00FA620E" w:rsidRDefault="001C5EC3" w:rsidP="00FA620E">
      <w:pPr>
        <w:pStyle w:val="BodyText"/>
        <w:spacing w:line="360" w:lineRule="auto"/>
        <w:ind w:firstLine="0"/>
        <w:jc w:val="center"/>
        <w:rPr>
          <w:szCs w:val="24"/>
        </w:rPr>
      </w:pPr>
      <w:r w:rsidRPr="001C5EC3">
        <w:rPr>
          <w:szCs w:val="24"/>
        </w:rPr>
        <w:t>NEW</w:t>
      </w:r>
    </w:p>
    <w:p w14:paraId="1B2BD80B" w14:textId="2EF078A7" w:rsidR="001C5EC3" w:rsidRPr="001C5EC3" w:rsidRDefault="001C5EC3" w:rsidP="00FA620E">
      <w:pPr>
        <w:pStyle w:val="BodyText"/>
        <w:spacing w:line="360" w:lineRule="auto"/>
        <w:ind w:firstLine="0"/>
        <w:jc w:val="center"/>
        <w:rPr>
          <w:szCs w:val="24"/>
        </w:rPr>
      </w:pPr>
      <w:r w:rsidRPr="0048666F">
        <w:rPr>
          <w:rFonts w:asciiTheme="minorHAnsi" w:hAnsiTheme="minorHAnsi"/>
          <w:szCs w:val="22"/>
        </w:rPr>
        <w:t>(OMB NO. 0925-</w:t>
      </w:r>
      <w:r>
        <w:rPr>
          <w:rFonts w:asciiTheme="minorHAnsi" w:hAnsiTheme="minorHAnsi"/>
          <w:szCs w:val="22"/>
        </w:rPr>
        <w:t>XXXX)</w:t>
      </w:r>
    </w:p>
    <w:p w14:paraId="13AF0777" w14:textId="60C03E99" w:rsidR="00A1221F" w:rsidRPr="00FA620E" w:rsidRDefault="00A1221F" w:rsidP="00FA620E">
      <w:pPr>
        <w:pStyle w:val="BodyText"/>
        <w:spacing w:line="360" w:lineRule="auto"/>
        <w:ind w:firstLine="0"/>
        <w:jc w:val="center"/>
        <w:rPr>
          <w:i/>
          <w:szCs w:val="24"/>
        </w:rPr>
      </w:pPr>
      <w:r w:rsidRPr="00FA620E">
        <w:rPr>
          <w:i/>
          <w:szCs w:val="24"/>
        </w:rPr>
        <w:t xml:space="preserve">Submitted:  </w:t>
      </w:r>
      <w:r w:rsidR="00CA33C8">
        <w:rPr>
          <w:i/>
          <w:szCs w:val="24"/>
        </w:rPr>
        <w:t>Day Month Year</w:t>
      </w:r>
      <w:r w:rsidR="000F1FE7">
        <w:rPr>
          <w:i/>
          <w:szCs w:val="24"/>
        </w:rPr>
        <w:t xml:space="preserve"> </w:t>
      </w:r>
    </w:p>
    <w:p w14:paraId="3CBE2D09" w14:textId="77777777" w:rsidR="006D061C" w:rsidRPr="001909A6" w:rsidRDefault="006D061C" w:rsidP="001909A6">
      <w:pPr>
        <w:pStyle w:val="BodyText"/>
        <w:spacing w:line="240" w:lineRule="auto"/>
        <w:rPr>
          <w:sz w:val="22"/>
          <w:szCs w:val="22"/>
        </w:rPr>
      </w:pPr>
    </w:p>
    <w:p w14:paraId="66D27837" w14:textId="6BA381DD" w:rsidR="00F10148" w:rsidRPr="001909A6" w:rsidRDefault="006D061C" w:rsidP="00061D71">
      <w:pPr>
        <w:pStyle w:val="BodyText"/>
        <w:spacing w:line="320" w:lineRule="exact"/>
        <w:rPr>
          <w:sz w:val="22"/>
          <w:szCs w:val="22"/>
        </w:rPr>
      </w:pPr>
      <w:r w:rsidRPr="001909A6">
        <w:rPr>
          <w:sz w:val="22"/>
          <w:szCs w:val="22"/>
        </w:rPr>
        <w:t>P</w:t>
      </w:r>
      <w:r w:rsidR="00F10148" w:rsidRPr="001909A6">
        <w:rPr>
          <w:sz w:val="22"/>
          <w:szCs w:val="22"/>
        </w:rPr>
        <w:t>rincipal Investigator</w:t>
      </w:r>
      <w:r w:rsidRPr="001909A6">
        <w:rPr>
          <w:sz w:val="22"/>
          <w:szCs w:val="22"/>
        </w:rPr>
        <w:t>:</w:t>
      </w:r>
    </w:p>
    <w:p w14:paraId="335AB225" w14:textId="77777777" w:rsidR="00F10148" w:rsidRPr="001909A6" w:rsidRDefault="00CD73E2" w:rsidP="00061D71">
      <w:pPr>
        <w:pStyle w:val="BodyText"/>
        <w:tabs>
          <w:tab w:val="left" w:pos="1440"/>
        </w:tabs>
        <w:spacing w:line="320" w:lineRule="exact"/>
        <w:ind w:left="360"/>
        <w:rPr>
          <w:b w:val="0"/>
          <w:sz w:val="22"/>
          <w:szCs w:val="22"/>
        </w:rPr>
      </w:pPr>
      <w:r w:rsidRPr="001909A6">
        <w:rPr>
          <w:b w:val="0"/>
          <w:sz w:val="22"/>
          <w:szCs w:val="22"/>
        </w:rPr>
        <w:t>Mary S Wolfe,</w:t>
      </w:r>
      <w:r w:rsidR="006D061C" w:rsidRPr="001909A6">
        <w:rPr>
          <w:b w:val="0"/>
          <w:sz w:val="22"/>
          <w:szCs w:val="22"/>
        </w:rPr>
        <w:t xml:space="preserve"> Ph</w:t>
      </w:r>
      <w:r w:rsidR="00F10148" w:rsidRPr="001909A6">
        <w:rPr>
          <w:b w:val="0"/>
          <w:sz w:val="22"/>
          <w:szCs w:val="22"/>
        </w:rPr>
        <w:t>D</w:t>
      </w:r>
    </w:p>
    <w:p w14:paraId="3970F8F4" w14:textId="7E027B05" w:rsidR="006D061C" w:rsidRPr="001909A6" w:rsidRDefault="00CD73E2" w:rsidP="00061D71">
      <w:pPr>
        <w:pStyle w:val="BodyText"/>
        <w:tabs>
          <w:tab w:val="left" w:pos="1440"/>
        </w:tabs>
        <w:spacing w:line="320" w:lineRule="exact"/>
        <w:ind w:left="360"/>
        <w:rPr>
          <w:b w:val="0"/>
          <w:sz w:val="22"/>
          <w:szCs w:val="22"/>
        </w:rPr>
      </w:pPr>
      <w:r w:rsidRPr="001909A6">
        <w:rPr>
          <w:b w:val="0"/>
          <w:sz w:val="22"/>
          <w:szCs w:val="22"/>
        </w:rPr>
        <w:t>Deputy Division Director</w:t>
      </w:r>
      <w:r w:rsidR="00F10148" w:rsidRPr="001909A6">
        <w:rPr>
          <w:b w:val="0"/>
          <w:sz w:val="22"/>
          <w:szCs w:val="22"/>
        </w:rPr>
        <w:t xml:space="preserve">, </w:t>
      </w:r>
      <w:r w:rsidRPr="001909A6">
        <w:rPr>
          <w:b w:val="0"/>
          <w:sz w:val="22"/>
          <w:szCs w:val="22"/>
        </w:rPr>
        <w:t>Division of N</w:t>
      </w:r>
      <w:r w:rsidR="00D20EC5" w:rsidRPr="001909A6">
        <w:rPr>
          <w:b w:val="0"/>
          <w:sz w:val="22"/>
          <w:szCs w:val="22"/>
        </w:rPr>
        <w:t xml:space="preserve">ational </w:t>
      </w:r>
      <w:r w:rsidRPr="001909A6">
        <w:rPr>
          <w:b w:val="0"/>
          <w:sz w:val="22"/>
          <w:szCs w:val="22"/>
        </w:rPr>
        <w:t>T</w:t>
      </w:r>
      <w:r w:rsidR="00D20EC5" w:rsidRPr="001909A6">
        <w:rPr>
          <w:b w:val="0"/>
          <w:sz w:val="22"/>
          <w:szCs w:val="22"/>
        </w:rPr>
        <w:t xml:space="preserve">oxicology </w:t>
      </w:r>
      <w:r w:rsidRPr="001909A6">
        <w:rPr>
          <w:b w:val="0"/>
          <w:sz w:val="22"/>
          <w:szCs w:val="22"/>
        </w:rPr>
        <w:t>P</w:t>
      </w:r>
      <w:r w:rsidR="00D20EC5" w:rsidRPr="001909A6">
        <w:rPr>
          <w:b w:val="0"/>
          <w:sz w:val="22"/>
          <w:szCs w:val="22"/>
        </w:rPr>
        <w:t>rogram (DNTP)</w:t>
      </w:r>
    </w:p>
    <w:p w14:paraId="3E0B755E" w14:textId="77777777" w:rsidR="006D061C" w:rsidRPr="001909A6" w:rsidRDefault="006D061C" w:rsidP="00061D71">
      <w:pPr>
        <w:pStyle w:val="BodyText"/>
        <w:tabs>
          <w:tab w:val="left" w:pos="1440"/>
        </w:tabs>
        <w:spacing w:line="320" w:lineRule="exact"/>
        <w:ind w:left="360"/>
        <w:rPr>
          <w:b w:val="0"/>
          <w:sz w:val="22"/>
          <w:szCs w:val="22"/>
        </w:rPr>
      </w:pPr>
      <w:r w:rsidRPr="001909A6">
        <w:rPr>
          <w:b w:val="0"/>
          <w:sz w:val="22"/>
          <w:szCs w:val="22"/>
        </w:rPr>
        <w:t>National Institute of Environmental Health Sciences</w:t>
      </w:r>
    </w:p>
    <w:p w14:paraId="58A270FC" w14:textId="77777777" w:rsidR="006D061C" w:rsidRPr="001909A6" w:rsidRDefault="00F10148" w:rsidP="00061D71">
      <w:pPr>
        <w:pStyle w:val="BodyText"/>
        <w:tabs>
          <w:tab w:val="left" w:pos="1440"/>
        </w:tabs>
        <w:spacing w:line="320" w:lineRule="exact"/>
        <w:ind w:left="360"/>
        <w:rPr>
          <w:b w:val="0"/>
          <w:sz w:val="22"/>
          <w:szCs w:val="22"/>
        </w:rPr>
      </w:pPr>
      <w:r w:rsidRPr="001909A6">
        <w:rPr>
          <w:b w:val="0"/>
          <w:sz w:val="22"/>
          <w:szCs w:val="22"/>
        </w:rPr>
        <w:t>PO</w:t>
      </w:r>
      <w:r w:rsidR="006D061C" w:rsidRPr="001909A6">
        <w:rPr>
          <w:b w:val="0"/>
          <w:sz w:val="22"/>
          <w:szCs w:val="22"/>
        </w:rPr>
        <w:t xml:space="preserve"> Box 12233</w:t>
      </w:r>
    </w:p>
    <w:p w14:paraId="6AD56B94" w14:textId="77777777" w:rsidR="006D061C" w:rsidRPr="001909A6" w:rsidRDefault="006D061C" w:rsidP="00061D71">
      <w:pPr>
        <w:pStyle w:val="BodyText"/>
        <w:tabs>
          <w:tab w:val="left" w:pos="1440"/>
        </w:tabs>
        <w:spacing w:line="320" w:lineRule="exact"/>
        <w:ind w:left="360"/>
        <w:rPr>
          <w:b w:val="0"/>
          <w:sz w:val="22"/>
          <w:szCs w:val="22"/>
        </w:rPr>
      </w:pPr>
      <w:r w:rsidRPr="001909A6">
        <w:rPr>
          <w:b w:val="0"/>
          <w:sz w:val="22"/>
          <w:szCs w:val="22"/>
        </w:rPr>
        <w:t>Research Triangle Pa</w:t>
      </w:r>
      <w:r w:rsidR="00061D71" w:rsidRPr="001909A6">
        <w:rPr>
          <w:b w:val="0"/>
          <w:sz w:val="22"/>
          <w:szCs w:val="22"/>
        </w:rPr>
        <w:t>rk</w:t>
      </w:r>
      <w:r w:rsidRPr="001909A6">
        <w:rPr>
          <w:b w:val="0"/>
          <w:sz w:val="22"/>
          <w:szCs w:val="22"/>
        </w:rPr>
        <w:t xml:space="preserve"> NC 27709</w:t>
      </w:r>
    </w:p>
    <w:p w14:paraId="188D0C85" w14:textId="77777777" w:rsidR="006D061C" w:rsidRPr="001909A6" w:rsidRDefault="00061D71" w:rsidP="00705132">
      <w:pPr>
        <w:pStyle w:val="BodyText"/>
        <w:tabs>
          <w:tab w:val="left" w:pos="1440"/>
          <w:tab w:val="left" w:pos="1980"/>
        </w:tabs>
        <w:spacing w:line="320" w:lineRule="exact"/>
        <w:ind w:left="360"/>
        <w:rPr>
          <w:b w:val="0"/>
          <w:sz w:val="22"/>
          <w:szCs w:val="22"/>
        </w:rPr>
      </w:pPr>
      <w:r w:rsidRPr="001909A6">
        <w:rPr>
          <w:b w:val="0"/>
          <w:sz w:val="22"/>
          <w:szCs w:val="22"/>
        </w:rPr>
        <w:t>P</w:t>
      </w:r>
      <w:r w:rsidR="006D061C" w:rsidRPr="001909A6">
        <w:rPr>
          <w:b w:val="0"/>
          <w:sz w:val="22"/>
          <w:szCs w:val="22"/>
        </w:rPr>
        <w:t>hone:</w:t>
      </w:r>
      <w:r w:rsidRPr="001909A6">
        <w:rPr>
          <w:b w:val="0"/>
          <w:sz w:val="22"/>
          <w:szCs w:val="22"/>
        </w:rPr>
        <w:tab/>
      </w:r>
      <w:r w:rsidR="00CD73E2" w:rsidRPr="001909A6">
        <w:rPr>
          <w:b w:val="0"/>
          <w:sz w:val="22"/>
          <w:szCs w:val="22"/>
        </w:rPr>
        <w:t>919-541-7539</w:t>
      </w:r>
    </w:p>
    <w:p w14:paraId="7626189D" w14:textId="77777777" w:rsidR="006D061C" w:rsidRPr="001909A6" w:rsidRDefault="006D061C" w:rsidP="00705132">
      <w:pPr>
        <w:pStyle w:val="BodyText"/>
        <w:tabs>
          <w:tab w:val="left" w:pos="1440"/>
          <w:tab w:val="left" w:pos="1980"/>
        </w:tabs>
        <w:spacing w:line="320" w:lineRule="exact"/>
        <w:ind w:left="360"/>
        <w:rPr>
          <w:b w:val="0"/>
          <w:sz w:val="22"/>
          <w:szCs w:val="22"/>
        </w:rPr>
      </w:pPr>
      <w:r w:rsidRPr="001909A6">
        <w:rPr>
          <w:b w:val="0"/>
          <w:sz w:val="22"/>
          <w:szCs w:val="22"/>
        </w:rPr>
        <w:t>Fax:</w:t>
      </w:r>
      <w:r w:rsidR="00061D71" w:rsidRPr="001909A6">
        <w:rPr>
          <w:b w:val="0"/>
          <w:sz w:val="22"/>
          <w:szCs w:val="22"/>
        </w:rPr>
        <w:tab/>
      </w:r>
      <w:r w:rsidR="00CD73E2" w:rsidRPr="001909A6">
        <w:rPr>
          <w:b w:val="0"/>
          <w:sz w:val="22"/>
          <w:szCs w:val="22"/>
        </w:rPr>
        <w:t>301-451-5759 and wolfe%3014515759@fax.nih.gov</w:t>
      </w:r>
    </w:p>
    <w:p w14:paraId="2E8B381F" w14:textId="77777777" w:rsidR="006D061C" w:rsidRPr="001909A6" w:rsidRDefault="006D061C" w:rsidP="00705132">
      <w:pPr>
        <w:pStyle w:val="BodyText"/>
        <w:tabs>
          <w:tab w:val="left" w:pos="1440"/>
          <w:tab w:val="left" w:pos="1980"/>
        </w:tabs>
        <w:spacing w:line="320" w:lineRule="exact"/>
        <w:ind w:left="360"/>
        <w:rPr>
          <w:b w:val="0"/>
          <w:sz w:val="22"/>
          <w:szCs w:val="22"/>
        </w:rPr>
      </w:pPr>
      <w:r w:rsidRPr="001909A6">
        <w:rPr>
          <w:b w:val="0"/>
          <w:sz w:val="22"/>
          <w:szCs w:val="22"/>
        </w:rPr>
        <w:t>Email:</w:t>
      </w:r>
      <w:r w:rsidR="00061D71" w:rsidRPr="001909A6">
        <w:rPr>
          <w:b w:val="0"/>
          <w:sz w:val="22"/>
          <w:szCs w:val="22"/>
        </w:rPr>
        <w:tab/>
      </w:r>
      <w:r w:rsidR="00CD73E2" w:rsidRPr="001909A6">
        <w:rPr>
          <w:b w:val="0"/>
          <w:sz w:val="22"/>
          <w:szCs w:val="22"/>
        </w:rPr>
        <w:t>wolfe</w:t>
      </w:r>
      <w:r w:rsidR="00C203E3" w:rsidRPr="001909A6">
        <w:rPr>
          <w:b w:val="0"/>
          <w:sz w:val="22"/>
          <w:szCs w:val="22"/>
        </w:rPr>
        <w:t>@niehs.nih.gov</w:t>
      </w:r>
    </w:p>
    <w:p w14:paraId="2DF4C51F" w14:textId="77777777" w:rsidR="00C203E3" w:rsidRPr="001909A6" w:rsidRDefault="00C203E3" w:rsidP="00061D71">
      <w:pPr>
        <w:pStyle w:val="BodyText"/>
        <w:tabs>
          <w:tab w:val="left" w:pos="1440"/>
        </w:tabs>
        <w:spacing w:line="320" w:lineRule="exact"/>
        <w:ind w:left="360"/>
        <w:rPr>
          <w:b w:val="0"/>
          <w:sz w:val="22"/>
          <w:szCs w:val="22"/>
        </w:rPr>
      </w:pPr>
    </w:p>
    <w:p w14:paraId="223AF128" w14:textId="77777777" w:rsidR="009E6560" w:rsidRPr="001909A6" w:rsidRDefault="009E6560" w:rsidP="009E6560">
      <w:pPr>
        <w:pStyle w:val="BodyText"/>
        <w:spacing w:line="320" w:lineRule="exact"/>
        <w:rPr>
          <w:sz w:val="22"/>
          <w:szCs w:val="22"/>
        </w:rPr>
      </w:pPr>
      <w:r w:rsidRPr="001909A6">
        <w:rPr>
          <w:sz w:val="22"/>
          <w:szCs w:val="22"/>
        </w:rPr>
        <w:t>Co-Principal Investigator:</w:t>
      </w:r>
    </w:p>
    <w:p w14:paraId="4A425C87" w14:textId="77777777" w:rsidR="009E6560" w:rsidRPr="001909A6" w:rsidRDefault="00CD73E2" w:rsidP="009E6560">
      <w:pPr>
        <w:pStyle w:val="BodyText"/>
        <w:tabs>
          <w:tab w:val="left" w:pos="1440"/>
        </w:tabs>
        <w:spacing w:line="320" w:lineRule="exact"/>
        <w:ind w:left="360"/>
        <w:rPr>
          <w:b w:val="0"/>
          <w:sz w:val="22"/>
          <w:szCs w:val="22"/>
        </w:rPr>
      </w:pPr>
      <w:r w:rsidRPr="001909A6">
        <w:rPr>
          <w:b w:val="0"/>
          <w:sz w:val="22"/>
          <w:szCs w:val="22"/>
        </w:rPr>
        <w:t>Kristina Thayer,</w:t>
      </w:r>
      <w:r w:rsidR="009E6560" w:rsidRPr="001909A6">
        <w:rPr>
          <w:b w:val="0"/>
          <w:sz w:val="22"/>
          <w:szCs w:val="22"/>
        </w:rPr>
        <w:t xml:space="preserve"> PhD</w:t>
      </w:r>
    </w:p>
    <w:p w14:paraId="6EE48E71" w14:textId="77777777" w:rsidR="009E6560" w:rsidRPr="001909A6" w:rsidRDefault="00CD73E2" w:rsidP="009E6560">
      <w:pPr>
        <w:pStyle w:val="BodyText"/>
        <w:tabs>
          <w:tab w:val="left" w:pos="1440"/>
        </w:tabs>
        <w:spacing w:line="320" w:lineRule="exact"/>
        <w:ind w:left="360"/>
        <w:rPr>
          <w:b w:val="0"/>
          <w:sz w:val="22"/>
          <w:szCs w:val="22"/>
        </w:rPr>
      </w:pPr>
      <w:r w:rsidRPr="001909A6">
        <w:rPr>
          <w:b w:val="0"/>
          <w:sz w:val="22"/>
          <w:szCs w:val="22"/>
        </w:rPr>
        <w:t>Director</w:t>
      </w:r>
      <w:r w:rsidR="009E6560" w:rsidRPr="001909A6">
        <w:rPr>
          <w:b w:val="0"/>
          <w:sz w:val="22"/>
          <w:szCs w:val="22"/>
        </w:rPr>
        <w:t xml:space="preserve">, </w:t>
      </w:r>
      <w:r w:rsidRPr="001909A6">
        <w:rPr>
          <w:b w:val="0"/>
          <w:sz w:val="22"/>
          <w:szCs w:val="22"/>
        </w:rPr>
        <w:t>Office of Health Assessment and Translation</w:t>
      </w:r>
    </w:p>
    <w:p w14:paraId="5139785D" w14:textId="77777777" w:rsidR="00CD73E2" w:rsidRPr="001909A6" w:rsidRDefault="00CD73E2" w:rsidP="009E6560">
      <w:pPr>
        <w:pStyle w:val="BodyText"/>
        <w:tabs>
          <w:tab w:val="left" w:pos="1440"/>
        </w:tabs>
        <w:spacing w:line="320" w:lineRule="exact"/>
        <w:ind w:left="360"/>
        <w:rPr>
          <w:b w:val="0"/>
          <w:sz w:val="22"/>
          <w:szCs w:val="22"/>
        </w:rPr>
      </w:pPr>
      <w:r w:rsidRPr="001909A6">
        <w:rPr>
          <w:b w:val="0"/>
          <w:sz w:val="22"/>
          <w:szCs w:val="22"/>
        </w:rPr>
        <w:t>Division of NTP</w:t>
      </w:r>
    </w:p>
    <w:p w14:paraId="24CB769B" w14:textId="77777777" w:rsidR="00CD73E2" w:rsidRPr="001909A6" w:rsidRDefault="00CD73E2" w:rsidP="00CD73E2">
      <w:pPr>
        <w:pStyle w:val="BodyText"/>
        <w:tabs>
          <w:tab w:val="left" w:pos="1440"/>
        </w:tabs>
        <w:spacing w:line="320" w:lineRule="exact"/>
        <w:ind w:left="360"/>
        <w:rPr>
          <w:b w:val="0"/>
          <w:sz w:val="22"/>
          <w:szCs w:val="22"/>
        </w:rPr>
      </w:pPr>
      <w:r w:rsidRPr="001909A6">
        <w:rPr>
          <w:b w:val="0"/>
          <w:sz w:val="22"/>
          <w:szCs w:val="22"/>
        </w:rPr>
        <w:t>National Institute of Environmental Health Sciences</w:t>
      </w:r>
    </w:p>
    <w:p w14:paraId="2C91E496" w14:textId="77777777" w:rsidR="00CD73E2" w:rsidRPr="001909A6" w:rsidRDefault="00CD73E2" w:rsidP="00CD73E2">
      <w:pPr>
        <w:pStyle w:val="BodyText"/>
        <w:tabs>
          <w:tab w:val="left" w:pos="1440"/>
        </w:tabs>
        <w:spacing w:line="320" w:lineRule="exact"/>
        <w:ind w:left="360"/>
        <w:rPr>
          <w:b w:val="0"/>
          <w:sz w:val="22"/>
          <w:szCs w:val="22"/>
        </w:rPr>
      </w:pPr>
      <w:r w:rsidRPr="001909A6">
        <w:rPr>
          <w:b w:val="0"/>
          <w:sz w:val="22"/>
          <w:szCs w:val="22"/>
        </w:rPr>
        <w:t>PO Box 12233</w:t>
      </w:r>
    </w:p>
    <w:p w14:paraId="73FB24E2" w14:textId="77777777" w:rsidR="009E6560" w:rsidRPr="001909A6" w:rsidRDefault="009E6560" w:rsidP="009E6560">
      <w:pPr>
        <w:pStyle w:val="BodyText"/>
        <w:tabs>
          <w:tab w:val="left" w:pos="1440"/>
        </w:tabs>
        <w:spacing w:line="320" w:lineRule="exact"/>
        <w:ind w:left="360"/>
        <w:rPr>
          <w:b w:val="0"/>
          <w:sz w:val="22"/>
          <w:szCs w:val="22"/>
        </w:rPr>
      </w:pPr>
      <w:r w:rsidRPr="001909A6">
        <w:rPr>
          <w:b w:val="0"/>
          <w:sz w:val="22"/>
          <w:szCs w:val="22"/>
        </w:rPr>
        <w:t>Research Triangle Park NC 27709</w:t>
      </w:r>
    </w:p>
    <w:p w14:paraId="04C2DC81" w14:textId="77777777" w:rsidR="009E6560" w:rsidRPr="001909A6" w:rsidRDefault="00CD73E2" w:rsidP="00705132">
      <w:pPr>
        <w:pStyle w:val="BodyText"/>
        <w:tabs>
          <w:tab w:val="left" w:pos="1440"/>
          <w:tab w:val="left" w:pos="1980"/>
        </w:tabs>
        <w:spacing w:line="320" w:lineRule="exact"/>
        <w:ind w:left="360"/>
        <w:rPr>
          <w:b w:val="0"/>
          <w:sz w:val="22"/>
          <w:szCs w:val="22"/>
        </w:rPr>
      </w:pPr>
      <w:r w:rsidRPr="001909A6">
        <w:rPr>
          <w:b w:val="0"/>
          <w:sz w:val="22"/>
          <w:szCs w:val="22"/>
        </w:rPr>
        <w:t>Phone:</w:t>
      </w:r>
      <w:r w:rsidRPr="001909A6">
        <w:rPr>
          <w:b w:val="0"/>
          <w:sz w:val="22"/>
          <w:szCs w:val="22"/>
        </w:rPr>
        <w:tab/>
        <w:t>919-541-5021</w:t>
      </w:r>
    </w:p>
    <w:p w14:paraId="4291F1A4" w14:textId="77777777" w:rsidR="009E6560" w:rsidRPr="001909A6" w:rsidRDefault="009E6560" w:rsidP="00705132">
      <w:pPr>
        <w:pStyle w:val="BodyText"/>
        <w:tabs>
          <w:tab w:val="left" w:pos="1440"/>
          <w:tab w:val="left" w:pos="1980"/>
        </w:tabs>
        <w:spacing w:line="320" w:lineRule="exact"/>
        <w:ind w:left="360"/>
        <w:rPr>
          <w:b w:val="0"/>
          <w:sz w:val="22"/>
          <w:szCs w:val="22"/>
        </w:rPr>
      </w:pPr>
      <w:r w:rsidRPr="001909A6">
        <w:rPr>
          <w:b w:val="0"/>
          <w:sz w:val="22"/>
          <w:szCs w:val="22"/>
        </w:rPr>
        <w:t>Fax:</w:t>
      </w:r>
      <w:r w:rsidRPr="001909A6">
        <w:rPr>
          <w:b w:val="0"/>
          <w:sz w:val="22"/>
          <w:szCs w:val="22"/>
        </w:rPr>
        <w:tab/>
      </w:r>
      <w:r w:rsidR="00CD73E2" w:rsidRPr="001909A6">
        <w:rPr>
          <w:b w:val="0"/>
          <w:color w:val="000000"/>
          <w:sz w:val="22"/>
          <w:szCs w:val="22"/>
        </w:rPr>
        <w:t>919-541-1994</w:t>
      </w:r>
    </w:p>
    <w:p w14:paraId="73F003EE" w14:textId="77777777" w:rsidR="009E6560" w:rsidRPr="001909A6" w:rsidRDefault="009E6560" w:rsidP="00705132">
      <w:pPr>
        <w:pStyle w:val="BodyText"/>
        <w:tabs>
          <w:tab w:val="left" w:pos="1440"/>
          <w:tab w:val="left" w:pos="1980"/>
        </w:tabs>
        <w:spacing w:line="320" w:lineRule="exact"/>
        <w:ind w:left="360"/>
        <w:rPr>
          <w:b w:val="0"/>
          <w:sz w:val="22"/>
          <w:szCs w:val="22"/>
        </w:rPr>
      </w:pPr>
      <w:r w:rsidRPr="001909A6">
        <w:rPr>
          <w:b w:val="0"/>
          <w:sz w:val="22"/>
          <w:szCs w:val="22"/>
        </w:rPr>
        <w:t>Email:</w:t>
      </w:r>
      <w:r w:rsidRPr="001909A6">
        <w:rPr>
          <w:b w:val="0"/>
          <w:sz w:val="22"/>
          <w:szCs w:val="22"/>
        </w:rPr>
        <w:tab/>
      </w:r>
      <w:r w:rsidR="00CD73E2" w:rsidRPr="001909A6">
        <w:rPr>
          <w:b w:val="0"/>
          <w:sz w:val="22"/>
          <w:szCs w:val="22"/>
        </w:rPr>
        <w:t>thayer</w:t>
      </w:r>
      <w:r w:rsidRPr="001909A6">
        <w:rPr>
          <w:b w:val="0"/>
          <w:sz w:val="22"/>
          <w:szCs w:val="22"/>
        </w:rPr>
        <w:t>@niehs.nih.gov</w:t>
      </w:r>
    </w:p>
    <w:p w14:paraId="59D3BC1E" w14:textId="77777777" w:rsidR="009E6560" w:rsidRPr="001909A6" w:rsidRDefault="009E6560" w:rsidP="009E6560">
      <w:pPr>
        <w:pStyle w:val="BodyText"/>
        <w:spacing w:line="320" w:lineRule="exact"/>
        <w:rPr>
          <w:b w:val="0"/>
          <w:sz w:val="22"/>
          <w:szCs w:val="22"/>
        </w:rPr>
      </w:pPr>
    </w:p>
    <w:p w14:paraId="2AE4B214" w14:textId="7AB9F650" w:rsidR="00C203E3" w:rsidRPr="001909A6" w:rsidRDefault="00ED4DCD" w:rsidP="00C203E3">
      <w:pPr>
        <w:pStyle w:val="BodyText"/>
        <w:spacing w:line="320" w:lineRule="exact"/>
        <w:rPr>
          <w:sz w:val="22"/>
          <w:szCs w:val="22"/>
        </w:rPr>
      </w:pPr>
      <w:r w:rsidRPr="001909A6">
        <w:rPr>
          <w:sz w:val="22"/>
          <w:szCs w:val="22"/>
        </w:rPr>
        <w:t>Associate Investigator</w:t>
      </w:r>
      <w:r w:rsidR="00C203E3" w:rsidRPr="001909A6">
        <w:rPr>
          <w:sz w:val="22"/>
          <w:szCs w:val="22"/>
        </w:rPr>
        <w:t>:</w:t>
      </w:r>
    </w:p>
    <w:p w14:paraId="22906150" w14:textId="20F37BC9" w:rsidR="00C203E3" w:rsidRPr="001909A6" w:rsidRDefault="00CD73E2" w:rsidP="00C203E3">
      <w:pPr>
        <w:pStyle w:val="BodyText"/>
        <w:tabs>
          <w:tab w:val="left" w:pos="1440"/>
        </w:tabs>
        <w:spacing w:line="320" w:lineRule="exact"/>
        <w:ind w:left="360"/>
        <w:rPr>
          <w:b w:val="0"/>
          <w:sz w:val="22"/>
          <w:szCs w:val="22"/>
        </w:rPr>
      </w:pPr>
      <w:r w:rsidRPr="001909A6">
        <w:rPr>
          <w:b w:val="0"/>
          <w:sz w:val="22"/>
          <w:szCs w:val="22"/>
        </w:rPr>
        <w:t xml:space="preserve">Kyla Taylor, </w:t>
      </w:r>
      <w:r w:rsidR="00C02F4A">
        <w:rPr>
          <w:b w:val="0"/>
          <w:sz w:val="22"/>
          <w:szCs w:val="22"/>
        </w:rPr>
        <w:t>PhD</w:t>
      </w:r>
    </w:p>
    <w:p w14:paraId="17F20ECF" w14:textId="77777777" w:rsidR="00CD73E2" w:rsidRPr="001909A6" w:rsidRDefault="00CD73E2" w:rsidP="00CD73E2">
      <w:pPr>
        <w:pStyle w:val="BodyText"/>
        <w:tabs>
          <w:tab w:val="left" w:pos="1440"/>
        </w:tabs>
        <w:spacing w:line="320" w:lineRule="exact"/>
        <w:ind w:left="360"/>
        <w:rPr>
          <w:b w:val="0"/>
          <w:sz w:val="22"/>
          <w:szCs w:val="22"/>
        </w:rPr>
      </w:pPr>
      <w:r w:rsidRPr="001909A6">
        <w:rPr>
          <w:b w:val="0"/>
          <w:sz w:val="22"/>
          <w:szCs w:val="22"/>
        </w:rPr>
        <w:t>Office of Health Assessment and Translation</w:t>
      </w:r>
    </w:p>
    <w:p w14:paraId="3C2EDF62" w14:textId="77777777" w:rsidR="00CD73E2" w:rsidRPr="001909A6" w:rsidRDefault="00CD73E2" w:rsidP="00CD73E2">
      <w:pPr>
        <w:pStyle w:val="BodyText"/>
        <w:tabs>
          <w:tab w:val="left" w:pos="1440"/>
        </w:tabs>
        <w:spacing w:line="320" w:lineRule="exact"/>
        <w:ind w:left="360"/>
        <w:rPr>
          <w:b w:val="0"/>
          <w:sz w:val="22"/>
          <w:szCs w:val="22"/>
        </w:rPr>
      </w:pPr>
      <w:r w:rsidRPr="001909A6">
        <w:rPr>
          <w:b w:val="0"/>
          <w:sz w:val="22"/>
          <w:szCs w:val="22"/>
        </w:rPr>
        <w:t>Division of NTP</w:t>
      </w:r>
    </w:p>
    <w:p w14:paraId="6D3C97AD" w14:textId="77777777" w:rsidR="00C203E3" w:rsidRPr="001909A6" w:rsidRDefault="00C203E3" w:rsidP="00C203E3">
      <w:pPr>
        <w:pStyle w:val="BodyText"/>
        <w:tabs>
          <w:tab w:val="left" w:pos="1440"/>
        </w:tabs>
        <w:spacing w:line="320" w:lineRule="exact"/>
        <w:ind w:left="360"/>
        <w:rPr>
          <w:b w:val="0"/>
          <w:sz w:val="22"/>
          <w:szCs w:val="22"/>
        </w:rPr>
      </w:pPr>
      <w:r w:rsidRPr="001909A6">
        <w:rPr>
          <w:b w:val="0"/>
          <w:sz w:val="22"/>
          <w:szCs w:val="22"/>
        </w:rPr>
        <w:t>National Institute of Environmental Health Sciences</w:t>
      </w:r>
    </w:p>
    <w:p w14:paraId="4893C953" w14:textId="77777777" w:rsidR="00C203E3" w:rsidRPr="001909A6" w:rsidRDefault="00C203E3" w:rsidP="00C203E3">
      <w:pPr>
        <w:pStyle w:val="BodyText"/>
        <w:tabs>
          <w:tab w:val="left" w:pos="1440"/>
        </w:tabs>
        <w:spacing w:line="320" w:lineRule="exact"/>
        <w:ind w:left="360"/>
        <w:rPr>
          <w:b w:val="0"/>
          <w:sz w:val="22"/>
          <w:szCs w:val="22"/>
        </w:rPr>
      </w:pPr>
      <w:r w:rsidRPr="001909A6">
        <w:rPr>
          <w:b w:val="0"/>
          <w:sz w:val="22"/>
          <w:szCs w:val="22"/>
        </w:rPr>
        <w:t>PO Box 12233</w:t>
      </w:r>
    </w:p>
    <w:p w14:paraId="689F4A32" w14:textId="77777777" w:rsidR="00C203E3" w:rsidRPr="001909A6" w:rsidRDefault="00C203E3" w:rsidP="00C203E3">
      <w:pPr>
        <w:pStyle w:val="BodyText"/>
        <w:tabs>
          <w:tab w:val="left" w:pos="1440"/>
        </w:tabs>
        <w:spacing w:line="320" w:lineRule="exact"/>
        <w:ind w:left="360"/>
        <w:rPr>
          <w:b w:val="0"/>
          <w:sz w:val="22"/>
          <w:szCs w:val="22"/>
        </w:rPr>
      </w:pPr>
      <w:r w:rsidRPr="001909A6">
        <w:rPr>
          <w:b w:val="0"/>
          <w:sz w:val="22"/>
          <w:szCs w:val="22"/>
        </w:rPr>
        <w:t>Research Triangle Park NC 27709</w:t>
      </w:r>
    </w:p>
    <w:p w14:paraId="41EE4039" w14:textId="77777777" w:rsidR="00C203E3" w:rsidRPr="001909A6" w:rsidRDefault="00CD73E2" w:rsidP="00705132">
      <w:pPr>
        <w:pStyle w:val="BodyText"/>
        <w:tabs>
          <w:tab w:val="left" w:pos="1980"/>
          <w:tab w:val="left" w:pos="3240"/>
        </w:tabs>
        <w:spacing w:line="320" w:lineRule="exact"/>
        <w:ind w:left="360"/>
        <w:rPr>
          <w:b w:val="0"/>
          <w:sz w:val="22"/>
          <w:szCs w:val="22"/>
        </w:rPr>
      </w:pPr>
      <w:r w:rsidRPr="001909A6">
        <w:rPr>
          <w:b w:val="0"/>
          <w:sz w:val="22"/>
          <w:szCs w:val="22"/>
        </w:rPr>
        <w:t>Phone:</w:t>
      </w:r>
      <w:r w:rsidRPr="001909A6">
        <w:rPr>
          <w:b w:val="0"/>
          <w:sz w:val="22"/>
          <w:szCs w:val="22"/>
        </w:rPr>
        <w:tab/>
        <w:t>919-316-4707</w:t>
      </w:r>
    </w:p>
    <w:p w14:paraId="7E5F660E" w14:textId="77777777" w:rsidR="00516115" w:rsidRPr="001909A6" w:rsidRDefault="00516115" w:rsidP="00705132">
      <w:pPr>
        <w:pStyle w:val="BodyText"/>
        <w:tabs>
          <w:tab w:val="left" w:pos="1440"/>
          <w:tab w:val="left" w:pos="1980"/>
        </w:tabs>
        <w:spacing w:line="320" w:lineRule="exact"/>
        <w:ind w:left="360"/>
        <w:rPr>
          <w:b w:val="0"/>
          <w:sz w:val="22"/>
          <w:szCs w:val="22"/>
        </w:rPr>
      </w:pPr>
      <w:r w:rsidRPr="001909A6">
        <w:rPr>
          <w:b w:val="0"/>
          <w:sz w:val="22"/>
          <w:szCs w:val="22"/>
        </w:rPr>
        <w:t>Fax:</w:t>
      </w:r>
      <w:r w:rsidRPr="001909A6">
        <w:rPr>
          <w:b w:val="0"/>
          <w:sz w:val="22"/>
          <w:szCs w:val="22"/>
        </w:rPr>
        <w:tab/>
      </w:r>
      <w:r w:rsidRPr="001909A6">
        <w:rPr>
          <w:b w:val="0"/>
          <w:color w:val="000000"/>
          <w:sz w:val="22"/>
          <w:szCs w:val="22"/>
        </w:rPr>
        <w:t>919-541-1994</w:t>
      </w:r>
    </w:p>
    <w:p w14:paraId="300F3FA5" w14:textId="0ED1D9FE" w:rsidR="001909A6" w:rsidRPr="001909A6" w:rsidRDefault="00C203E3" w:rsidP="00705132">
      <w:pPr>
        <w:pStyle w:val="BodyText"/>
        <w:tabs>
          <w:tab w:val="left" w:pos="1980"/>
          <w:tab w:val="left" w:pos="3240"/>
        </w:tabs>
        <w:spacing w:line="320" w:lineRule="exact"/>
        <w:ind w:left="360"/>
        <w:rPr>
          <w:b w:val="0"/>
          <w:sz w:val="22"/>
          <w:szCs w:val="22"/>
        </w:rPr>
      </w:pPr>
      <w:r w:rsidRPr="001909A6">
        <w:rPr>
          <w:b w:val="0"/>
          <w:sz w:val="22"/>
          <w:szCs w:val="22"/>
        </w:rPr>
        <w:t>Email:</w:t>
      </w:r>
      <w:r w:rsidRPr="001909A6">
        <w:rPr>
          <w:b w:val="0"/>
          <w:sz w:val="22"/>
          <w:szCs w:val="22"/>
        </w:rPr>
        <w:tab/>
      </w:r>
      <w:hyperlink r:id="rId8" w:history="1">
        <w:r w:rsidR="001909A6" w:rsidRPr="001909A6">
          <w:rPr>
            <w:rStyle w:val="Hyperlink"/>
            <w:b w:val="0"/>
            <w:sz w:val="22"/>
            <w:szCs w:val="22"/>
          </w:rPr>
          <w:t>kyla.taylor@niehs.nih.gov</w:t>
        </w:r>
      </w:hyperlink>
      <w:bookmarkStart w:id="0" w:name="_Toc129590302"/>
      <w:bookmarkStart w:id="1" w:name="_Toc129668544"/>
    </w:p>
    <w:p w14:paraId="07462996" w14:textId="2449E7CF" w:rsidR="00AB07C3" w:rsidRDefault="00AB07C3" w:rsidP="004631F9">
      <w:pPr>
        <w:pStyle w:val="BodyText"/>
        <w:spacing w:line="320" w:lineRule="exact"/>
        <w:ind w:firstLine="0"/>
        <w:jc w:val="center"/>
      </w:pPr>
    </w:p>
    <w:p w14:paraId="29B62673" w14:textId="77777777" w:rsidR="00AB07C3" w:rsidRDefault="00AB07C3" w:rsidP="004631F9">
      <w:pPr>
        <w:ind w:firstLine="0"/>
        <w:jc w:val="center"/>
        <w:rPr>
          <w:b/>
        </w:rPr>
      </w:pPr>
      <w:r w:rsidRPr="00AB07C3">
        <w:rPr>
          <w:b/>
        </w:rPr>
        <w:t>TABLE OF CONTENTS</w:t>
      </w:r>
    </w:p>
    <w:p w14:paraId="701F7085" w14:textId="62382D18" w:rsidR="00487519" w:rsidRPr="00487519" w:rsidRDefault="000379CE" w:rsidP="0070618E">
      <w:pPr>
        <w:pStyle w:val="TOC1"/>
        <w:rPr>
          <w:rFonts w:eastAsiaTheme="minorEastAsia"/>
          <w:noProof/>
          <w:lang w:eastAsia="ja-JP"/>
        </w:rPr>
      </w:pPr>
      <w:r w:rsidRPr="000379CE">
        <w:fldChar w:fldCharType="begin"/>
      </w:r>
      <w:r w:rsidRPr="00487519">
        <w:instrText xml:space="preserve"> TOC \t "Heading 2,1,Heading 3,2" </w:instrText>
      </w:r>
      <w:r w:rsidRPr="000379CE">
        <w:fldChar w:fldCharType="separate"/>
      </w:r>
      <w:r w:rsidR="00487519" w:rsidRPr="00487519">
        <w:rPr>
          <w:noProof/>
        </w:rPr>
        <w:t>Summary</w:t>
      </w:r>
      <w:r w:rsidR="00487519" w:rsidRPr="00487519">
        <w:rPr>
          <w:noProof/>
        </w:rPr>
        <w:tab/>
      </w:r>
      <w:r w:rsidR="00487519" w:rsidRPr="00487519">
        <w:rPr>
          <w:noProof/>
        </w:rPr>
        <w:fldChar w:fldCharType="begin"/>
      </w:r>
      <w:r w:rsidR="00487519" w:rsidRPr="00487519">
        <w:rPr>
          <w:noProof/>
        </w:rPr>
        <w:instrText xml:space="preserve"> PAGEREF _Toc314995094 \h </w:instrText>
      </w:r>
      <w:r w:rsidR="00487519" w:rsidRPr="00487519">
        <w:rPr>
          <w:noProof/>
        </w:rPr>
      </w:r>
      <w:r w:rsidR="00487519" w:rsidRPr="00487519">
        <w:rPr>
          <w:noProof/>
        </w:rPr>
        <w:fldChar w:fldCharType="separate"/>
      </w:r>
      <w:r w:rsidR="00C32AAA">
        <w:rPr>
          <w:noProof/>
        </w:rPr>
        <w:t>5</w:t>
      </w:r>
      <w:r w:rsidR="00487519" w:rsidRPr="00487519">
        <w:rPr>
          <w:noProof/>
        </w:rPr>
        <w:fldChar w:fldCharType="end"/>
      </w:r>
    </w:p>
    <w:p w14:paraId="012C87E5" w14:textId="2026CF02" w:rsidR="00487519" w:rsidRPr="00487519" w:rsidRDefault="00487519" w:rsidP="0070618E">
      <w:pPr>
        <w:pStyle w:val="TOC1"/>
        <w:rPr>
          <w:rFonts w:eastAsiaTheme="minorEastAsia"/>
          <w:noProof/>
          <w:lang w:eastAsia="ja-JP"/>
        </w:rPr>
      </w:pPr>
      <w:r w:rsidRPr="00487519">
        <w:rPr>
          <w:noProof/>
        </w:rPr>
        <w:t>A.</w:t>
      </w:r>
      <w:r w:rsidRPr="00487519">
        <w:rPr>
          <w:rFonts w:eastAsiaTheme="minorEastAsia"/>
          <w:noProof/>
          <w:lang w:eastAsia="ja-JP"/>
        </w:rPr>
        <w:tab/>
      </w:r>
      <w:r w:rsidRPr="00487519">
        <w:rPr>
          <w:noProof/>
        </w:rPr>
        <w:t>Justification for Collection of Information</w:t>
      </w:r>
      <w:r w:rsidRPr="00487519">
        <w:rPr>
          <w:noProof/>
        </w:rPr>
        <w:tab/>
      </w:r>
      <w:r w:rsidRPr="00487519">
        <w:rPr>
          <w:noProof/>
        </w:rPr>
        <w:fldChar w:fldCharType="begin"/>
      </w:r>
      <w:r w:rsidRPr="00487519">
        <w:rPr>
          <w:noProof/>
        </w:rPr>
        <w:instrText xml:space="preserve"> PAGEREF _Toc314995095 \h </w:instrText>
      </w:r>
      <w:r w:rsidRPr="00487519">
        <w:rPr>
          <w:noProof/>
        </w:rPr>
      </w:r>
      <w:r w:rsidRPr="00487519">
        <w:rPr>
          <w:noProof/>
        </w:rPr>
        <w:fldChar w:fldCharType="separate"/>
      </w:r>
      <w:r w:rsidR="00C32AAA">
        <w:rPr>
          <w:noProof/>
        </w:rPr>
        <w:t>6</w:t>
      </w:r>
      <w:r w:rsidRPr="00487519">
        <w:rPr>
          <w:noProof/>
        </w:rPr>
        <w:fldChar w:fldCharType="end"/>
      </w:r>
    </w:p>
    <w:p w14:paraId="24660D1F" w14:textId="0BE038AD" w:rsidR="00487519" w:rsidRPr="00487519" w:rsidRDefault="00487519">
      <w:pPr>
        <w:pStyle w:val="TOC2"/>
        <w:tabs>
          <w:tab w:val="left" w:pos="1024"/>
        </w:tabs>
        <w:rPr>
          <w:rFonts w:ascii="Times New Roman" w:eastAsiaTheme="minorEastAsia" w:hAnsi="Times New Roman"/>
          <w:b w:val="0"/>
          <w:noProof/>
          <w:lang w:eastAsia="ja-JP"/>
        </w:rPr>
      </w:pPr>
      <w:r w:rsidRPr="00487519">
        <w:rPr>
          <w:rFonts w:ascii="Times New Roman" w:hAnsi="Times New Roman"/>
          <w:b w:val="0"/>
          <w:noProof/>
        </w:rPr>
        <w:t xml:space="preserve">A.1. </w:t>
      </w:r>
      <w:r w:rsidRPr="00487519">
        <w:rPr>
          <w:rFonts w:ascii="Times New Roman" w:eastAsiaTheme="minorEastAsia" w:hAnsi="Times New Roman"/>
          <w:b w:val="0"/>
          <w:noProof/>
          <w:lang w:eastAsia="ja-JP"/>
        </w:rPr>
        <w:tab/>
      </w:r>
      <w:r w:rsidRPr="00487519">
        <w:rPr>
          <w:rFonts w:ascii="Times New Roman" w:hAnsi="Times New Roman"/>
          <w:b w:val="0"/>
          <w:noProof/>
        </w:rPr>
        <w:t>Circumstances Making the Collection of Information Necessary</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_Toc314995096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6</w:t>
      </w:r>
      <w:r w:rsidRPr="00487519">
        <w:rPr>
          <w:rFonts w:ascii="Times New Roman" w:hAnsi="Times New Roman"/>
          <w:b w:val="0"/>
          <w:noProof/>
        </w:rPr>
        <w:fldChar w:fldCharType="end"/>
      </w:r>
    </w:p>
    <w:p w14:paraId="7A122930" w14:textId="3DE57381" w:rsidR="00487519" w:rsidRPr="00487519" w:rsidRDefault="00487519">
      <w:pPr>
        <w:pStyle w:val="TOC2"/>
        <w:tabs>
          <w:tab w:val="left" w:pos="973"/>
        </w:tabs>
        <w:rPr>
          <w:rFonts w:ascii="Times New Roman" w:eastAsiaTheme="minorEastAsia" w:hAnsi="Times New Roman"/>
          <w:b w:val="0"/>
          <w:noProof/>
          <w:lang w:eastAsia="ja-JP"/>
        </w:rPr>
      </w:pPr>
      <w:r w:rsidRPr="00487519">
        <w:rPr>
          <w:rFonts w:ascii="Times New Roman" w:hAnsi="Times New Roman"/>
          <w:b w:val="0"/>
          <w:noProof/>
        </w:rPr>
        <w:t xml:space="preserve">A.2 </w:t>
      </w:r>
      <w:r w:rsidRPr="00487519">
        <w:rPr>
          <w:rFonts w:ascii="Times New Roman" w:eastAsiaTheme="minorEastAsia" w:hAnsi="Times New Roman"/>
          <w:b w:val="0"/>
          <w:noProof/>
          <w:lang w:eastAsia="ja-JP"/>
        </w:rPr>
        <w:tab/>
      </w:r>
      <w:r w:rsidRPr="00487519">
        <w:rPr>
          <w:rFonts w:ascii="Times New Roman" w:hAnsi="Times New Roman"/>
          <w:b w:val="0"/>
          <w:noProof/>
        </w:rPr>
        <w:t>The Purpose and Use of the Information Collection</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_Toc314995097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9</w:t>
      </w:r>
      <w:r w:rsidRPr="00487519">
        <w:rPr>
          <w:rFonts w:ascii="Times New Roman" w:hAnsi="Times New Roman"/>
          <w:b w:val="0"/>
          <w:noProof/>
        </w:rPr>
        <w:fldChar w:fldCharType="end"/>
      </w:r>
    </w:p>
    <w:p w14:paraId="25C3145B" w14:textId="588A56B8" w:rsidR="00487519" w:rsidRPr="00487519" w:rsidRDefault="00487519">
      <w:pPr>
        <w:pStyle w:val="TOC2"/>
        <w:tabs>
          <w:tab w:val="left" w:pos="1100"/>
        </w:tabs>
        <w:rPr>
          <w:rFonts w:ascii="Times New Roman" w:eastAsiaTheme="minorEastAsia" w:hAnsi="Times New Roman"/>
          <w:b w:val="0"/>
          <w:noProof/>
          <w:lang w:eastAsia="ja-JP"/>
        </w:rPr>
      </w:pPr>
      <w:r w:rsidRPr="00487519">
        <w:rPr>
          <w:rFonts w:ascii="Times New Roman" w:hAnsi="Times New Roman"/>
          <w:b w:val="0"/>
          <w:noProof/>
        </w:rPr>
        <w:t xml:space="preserve">A.3.  </w:t>
      </w:r>
      <w:r w:rsidRPr="00487519">
        <w:rPr>
          <w:rFonts w:ascii="Times New Roman" w:eastAsiaTheme="minorEastAsia" w:hAnsi="Times New Roman"/>
          <w:b w:val="0"/>
          <w:noProof/>
          <w:lang w:eastAsia="ja-JP"/>
        </w:rPr>
        <w:tab/>
      </w:r>
      <w:r w:rsidRPr="00487519">
        <w:rPr>
          <w:rFonts w:ascii="Times New Roman" w:hAnsi="Times New Roman"/>
          <w:b w:val="0"/>
          <w:noProof/>
        </w:rPr>
        <w:t>Use of Information Technology and Burden Reduction</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_Toc314995098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9</w:t>
      </w:r>
      <w:r w:rsidRPr="00487519">
        <w:rPr>
          <w:rFonts w:ascii="Times New Roman" w:hAnsi="Times New Roman"/>
          <w:b w:val="0"/>
          <w:noProof/>
        </w:rPr>
        <w:fldChar w:fldCharType="end"/>
      </w:r>
    </w:p>
    <w:p w14:paraId="47F0B74E" w14:textId="4E2DBA6B" w:rsidR="00487519" w:rsidRPr="00487519" w:rsidRDefault="00487519">
      <w:pPr>
        <w:pStyle w:val="TOC2"/>
        <w:tabs>
          <w:tab w:val="left" w:pos="1100"/>
        </w:tabs>
        <w:rPr>
          <w:rFonts w:ascii="Times New Roman" w:eastAsiaTheme="minorEastAsia" w:hAnsi="Times New Roman"/>
          <w:b w:val="0"/>
          <w:noProof/>
          <w:lang w:eastAsia="ja-JP"/>
        </w:rPr>
      </w:pPr>
      <w:r w:rsidRPr="00487519">
        <w:rPr>
          <w:rFonts w:ascii="Times New Roman" w:hAnsi="Times New Roman"/>
          <w:b w:val="0"/>
          <w:noProof/>
        </w:rPr>
        <w:t xml:space="preserve">A.4.  </w:t>
      </w:r>
      <w:r w:rsidRPr="00487519">
        <w:rPr>
          <w:rFonts w:ascii="Times New Roman" w:eastAsiaTheme="minorEastAsia" w:hAnsi="Times New Roman"/>
          <w:b w:val="0"/>
          <w:noProof/>
          <w:lang w:eastAsia="ja-JP"/>
        </w:rPr>
        <w:tab/>
      </w:r>
      <w:r w:rsidRPr="00487519">
        <w:rPr>
          <w:rFonts w:ascii="Times New Roman" w:hAnsi="Times New Roman"/>
          <w:b w:val="0"/>
          <w:noProof/>
        </w:rPr>
        <w:t>Efforts to Identify Duplication and Use of Similar Information</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_Toc314995099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10</w:t>
      </w:r>
      <w:r w:rsidRPr="00487519">
        <w:rPr>
          <w:rFonts w:ascii="Times New Roman" w:hAnsi="Times New Roman"/>
          <w:b w:val="0"/>
          <w:noProof/>
        </w:rPr>
        <w:fldChar w:fldCharType="end"/>
      </w:r>
    </w:p>
    <w:p w14:paraId="78B519C7" w14:textId="4B557216"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A.5.  Impact on Small Businesses or Other Small Entities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_Toc314995100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10</w:t>
      </w:r>
      <w:r w:rsidRPr="00487519">
        <w:rPr>
          <w:rFonts w:ascii="Times New Roman" w:hAnsi="Times New Roman"/>
          <w:b w:val="0"/>
          <w:noProof/>
        </w:rPr>
        <w:fldChar w:fldCharType="end"/>
      </w:r>
    </w:p>
    <w:p w14:paraId="56AADD74" w14:textId="268CE8BE"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A.6.  Consequences of Collecting the Information Less Frequently</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_Toc314995101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11</w:t>
      </w:r>
      <w:r w:rsidRPr="00487519">
        <w:rPr>
          <w:rFonts w:ascii="Times New Roman" w:hAnsi="Times New Roman"/>
          <w:b w:val="0"/>
          <w:noProof/>
        </w:rPr>
        <w:fldChar w:fldCharType="end"/>
      </w:r>
    </w:p>
    <w:p w14:paraId="73FE9636" w14:textId="2141139A"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A.7.  Special Circumstances Relating to the Guidelines of 5 CFR 1320.5</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_Toc314995102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11</w:t>
      </w:r>
      <w:r w:rsidRPr="00487519">
        <w:rPr>
          <w:rFonts w:ascii="Times New Roman" w:hAnsi="Times New Roman"/>
          <w:b w:val="0"/>
          <w:noProof/>
        </w:rPr>
        <w:fldChar w:fldCharType="end"/>
      </w:r>
    </w:p>
    <w:p w14:paraId="08D5851D" w14:textId="5899BC0F"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A.8.  Comments in Response to the Federal Register Notice and Efforts to Consult Outside Agency</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_Toc314995103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11</w:t>
      </w:r>
      <w:r w:rsidRPr="00487519">
        <w:rPr>
          <w:rFonts w:ascii="Times New Roman" w:hAnsi="Times New Roman"/>
          <w:b w:val="0"/>
          <w:noProof/>
        </w:rPr>
        <w:fldChar w:fldCharType="end"/>
      </w:r>
    </w:p>
    <w:p w14:paraId="026067CE" w14:textId="06C98271"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A.9.  Explanation of Any Payment or Gift to Respondents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_Toc314995104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13</w:t>
      </w:r>
      <w:r w:rsidRPr="00487519">
        <w:rPr>
          <w:rFonts w:ascii="Times New Roman" w:hAnsi="Times New Roman"/>
          <w:b w:val="0"/>
          <w:noProof/>
        </w:rPr>
        <w:fldChar w:fldCharType="end"/>
      </w:r>
    </w:p>
    <w:p w14:paraId="477AFB23" w14:textId="7B9DCC1D"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A.10.  Assurance of Confidentiality Provided to Respondents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_Toc314995105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13</w:t>
      </w:r>
      <w:r w:rsidRPr="00487519">
        <w:rPr>
          <w:rFonts w:ascii="Times New Roman" w:hAnsi="Times New Roman"/>
          <w:b w:val="0"/>
          <w:noProof/>
        </w:rPr>
        <w:fldChar w:fldCharType="end"/>
      </w:r>
    </w:p>
    <w:p w14:paraId="54015B7C" w14:textId="6FAC7509"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A.11.  Justification for Sensitive Questions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_Toc314995106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14</w:t>
      </w:r>
      <w:r w:rsidRPr="00487519">
        <w:rPr>
          <w:rFonts w:ascii="Times New Roman" w:hAnsi="Times New Roman"/>
          <w:b w:val="0"/>
          <w:noProof/>
        </w:rPr>
        <w:fldChar w:fldCharType="end"/>
      </w:r>
    </w:p>
    <w:p w14:paraId="531F98DC" w14:textId="4612C7E4"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A.12.1  Estimated Annualized Burden Hours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_Toc314995107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14</w:t>
      </w:r>
      <w:r w:rsidRPr="00487519">
        <w:rPr>
          <w:rFonts w:ascii="Times New Roman" w:hAnsi="Times New Roman"/>
          <w:b w:val="0"/>
          <w:noProof/>
        </w:rPr>
        <w:fldChar w:fldCharType="end"/>
      </w:r>
    </w:p>
    <w:p w14:paraId="7E381093" w14:textId="598B45C6" w:rsidR="00487519" w:rsidRPr="00487519" w:rsidRDefault="00487519" w:rsidP="0070618E">
      <w:pPr>
        <w:pStyle w:val="TOC1"/>
        <w:rPr>
          <w:rFonts w:eastAsiaTheme="minorEastAsia"/>
          <w:noProof/>
          <w:lang w:eastAsia="ja-JP"/>
        </w:rPr>
      </w:pPr>
      <w:r w:rsidRPr="00487519">
        <w:rPr>
          <w:noProof/>
        </w:rPr>
        <w:t>A.12-1  Estimated Annualized Burden Hours</w:t>
      </w:r>
      <w:r w:rsidRPr="00487519">
        <w:rPr>
          <w:noProof/>
        </w:rPr>
        <w:tab/>
      </w:r>
      <w:r w:rsidRPr="00487519">
        <w:rPr>
          <w:noProof/>
        </w:rPr>
        <w:fldChar w:fldCharType="begin"/>
      </w:r>
      <w:r w:rsidRPr="00487519">
        <w:rPr>
          <w:noProof/>
        </w:rPr>
        <w:instrText xml:space="preserve"> PAGEREF _Toc314995108 \h </w:instrText>
      </w:r>
      <w:r w:rsidRPr="00487519">
        <w:rPr>
          <w:noProof/>
        </w:rPr>
      </w:r>
      <w:r w:rsidRPr="00487519">
        <w:rPr>
          <w:noProof/>
        </w:rPr>
        <w:fldChar w:fldCharType="separate"/>
      </w:r>
      <w:r w:rsidR="00C32AAA">
        <w:rPr>
          <w:noProof/>
        </w:rPr>
        <w:t>14</w:t>
      </w:r>
      <w:r w:rsidRPr="00487519">
        <w:rPr>
          <w:noProof/>
        </w:rPr>
        <w:fldChar w:fldCharType="end"/>
      </w:r>
    </w:p>
    <w:p w14:paraId="47E0E3BE" w14:textId="4F00B5DD" w:rsidR="00487519" w:rsidRPr="00487519" w:rsidRDefault="00487519" w:rsidP="0070618E">
      <w:pPr>
        <w:pStyle w:val="TOC1"/>
        <w:rPr>
          <w:rFonts w:eastAsiaTheme="minorEastAsia"/>
          <w:noProof/>
          <w:lang w:eastAsia="ja-JP"/>
        </w:rPr>
      </w:pPr>
      <w:r w:rsidRPr="00487519">
        <w:rPr>
          <w:noProof/>
        </w:rPr>
        <w:t>A.12-2</w:t>
      </w:r>
      <w:r w:rsidRPr="00487519">
        <w:rPr>
          <w:rFonts w:eastAsiaTheme="minorEastAsia"/>
          <w:noProof/>
          <w:lang w:eastAsia="ja-JP"/>
        </w:rPr>
        <w:tab/>
      </w:r>
      <w:r w:rsidRPr="00487519">
        <w:rPr>
          <w:noProof/>
        </w:rPr>
        <w:t>Annualized Cost to Respondents</w:t>
      </w:r>
      <w:r w:rsidRPr="00487519">
        <w:rPr>
          <w:noProof/>
        </w:rPr>
        <w:tab/>
      </w:r>
      <w:r w:rsidRPr="00487519">
        <w:rPr>
          <w:noProof/>
        </w:rPr>
        <w:fldChar w:fldCharType="begin"/>
      </w:r>
      <w:r w:rsidRPr="00487519">
        <w:rPr>
          <w:noProof/>
        </w:rPr>
        <w:instrText xml:space="preserve"> PAGEREF _Toc314995109 \h </w:instrText>
      </w:r>
      <w:r w:rsidRPr="00487519">
        <w:rPr>
          <w:noProof/>
        </w:rPr>
      </w:r>
      <w:r w:rsidRPr="00487519">
        <w:rPr>
          <w:noProof/>
        </w:rPr>
        <w:fldChar w:fldCharType="separate"/>
      </w:r>
      <w:r w:rsidR="00C32AAA">
        <w:rPr>
          <w:noProof/>
        </w:rPr>
        <w:t>15</w:t>
      </w:r>
      <w:r w:rsidRPr="00487519">
        <w:rPr>
          <w:noProof/>
        </w:rPr>
        <w:fldChar w:fldCharType="end"/>
      </w:r>
    </w:p>
    <w:p w14:paraId="198DD21B" w14:textId="694DBF91"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A.13.  Estimate of Other Total Annual Cost Burden to Respondents or Recordkeepers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_Toc314995110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15</w:t>
      </w:r>
      <w:r w:rsidRPr="00487519">
        <w:rPr>
          <w:rFonts w:ascii="Times New Roman" w:hAnsi="Times New Roman"/>
          <w:b w:val="0"/>
          <w:noProof/>
        </w:rPr>
        <w:fldChar w:fldCharType="end"/>
      </w:r>
    </w:p>
    <w:p w14:paraId="70C226BA" w14:textId="66BB072C"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A.14.  Annualized Cost to the Federal Government</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_Toc314995111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15</w:t>
      </w:r>
      <w:r w:rsidRPr="00487519">
        <w:rPr>
          <w:rFonts w:ascii="Times New Roman" w:hAnsi="Times New Roman"/>
          <w:b w:val="0"/>
          <w:noProof/>
        </w:rPr>
        <w:fldChar w:fldCharType="end"/>
      </w:r>
    </w:p>
    <w:p w14:paraId="6354B45D" w14:textId="300F1999"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A.15.  Explanation for Program Changes or Adjustments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_Toc314995112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18</w:t>
      </w:r>
      <w:r w:rsidRPr="00487519">
        <w:rPr>
          <w:rFonts w:ascii="Times New Roman" w:hAnsi="Times New Roman"/>
          <w:b w:val="0"/>
          <w:noProof/>
        </w:rPr>
        <w:fldChar w:fldCharType="end"/>
      </w:r>
    </w:p>
    <w:p w14:paraId="43984B4C" w14:textId="4E55CAAA"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A.16.  Plans for Tabulation and Publication and Project Time Schedule</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_Toc314995113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18</w:t>
      </w:r>
      <w:r w:rsidRPr="00487519">
        <w:rPr>
          <w:rFonts w:ascii="Times New Roman" w:hAnsi="Times New Roman"/>
          <w:b w:val="0"/>
          <w:noProof/>
        </w:rPr>
        <w:fldChar w:fldCharType="end"/>
      </w:r>
    </w:p>
    <w:p w14:paraId="448D7195" w14:textId="4C4CAB8E"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t>A.17.  Reason(s) Display of OMB Expiration Date is Inappropriate</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_Toc314995114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20</w:t>
      </w:r>
      <w:r w:rsidRPr="00487519">
        <w:rPr>
          <w:rFonts w:ascii="Times New Roman" w:hAnsi="Times New Roman"/>
          <w:b w:val="0"/>
          <w:noProof/>
        </w:rPr>
        <w:fldChar w:fldCharType="end"/>
      </w:r>
    </w:p>
    <w:p w14:paraId="014B4C35" w14:textId="345E5196" w:rsidR="00487519" w:rsidRPr="00487519" w:rsidRDefault="00487519">
      <w:pPr>
        <w:pStyle w:val="TOC2"/>
        <w:rPr>
          <w:rFonts w:ascii="Times New Roman" w:eastAsiaTheme="minorEastAsia" w:hAnsi="Times New Roman"/>
          <w:b w:val="0"/>
          <w:noProof/>
          <w:lang w:eastAsia="ja-JP"/>
        </w:rPr>
      </w:pPr>
      <w:r w:rsidRPr="00487519">
        <w:rPr>
          <w:rFonts w:ascii="Times New Roman" w:hAnsi="Times New Roman"/>
          <w:b w:val="0"/>
          <w:noProof/>
        </w:rPr>
        <w:lastRenderedPageBreak/>
        <w:t>A.18.  Exceptions to Certification for Paperwork Reduction Act Submissions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_Toc314995115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20</w:t>
      </w:r>
      <w:r w:rsidRPr="00487519">
        <w:rPr>
          <w:rFonts w:ascii="Times New Roman" w:hAnsi="Times New Roman"/>
          <w:b w:val="0"/>
          <w:noProof/>
        </w:rPr>
        <w:fldChar w:fldCharType="end"/>
      </w:r>
    </w:p>
    <w:p w14:paraId="40B73005" w14:textId="216CA9A8" w:rsidR="00487519" w:rsidRPr="00487519" w:rsidRDefault="00487519" w:rsidP="00487519">
      <w:pPr>
        <w:pStyle w:val="TOC2"/>
        <w:ind w:left="0" w:firstLine="0"/>
        <w:rPr>
          <w:rFonts w:ascii="Times New Roman" w:eastAsiaTheme="minorEastAsia" w:hAnsi="Times New Roman"/>
          <w:b w:val="0"/>
          <w:noProof/>
          <w:lang w:eastAsia="ja-JP"/>
        </w:rPr>
      </w:pPr>
      <w:r w:rsidRPr="00487519">
        <w:rPr>
          <w:rFonts w:ascii="Times New Roman" w:hAnsi="Times New Roman"/>
          <w:b w:val="0"/>
          <w:noProof/>
        </w:rPr>
        <w:t>References</w:t>
      </w:r>
      <w:r w:rsidRPr="00487519">
        <w:rPr>
          <w:rFonts w:ascii="Times New Roman" w:hAnsi="Times New Roman"/>
          <w:b w:val="0"/>
          <w:noProof/>
        </w:rPr>
        <w:tab/>
      </w:r>
      <w:r w:rsidRPr="00487519">
        <w:rPr>
          <w:rFonts w:ascii="Times New Roman" w:hAnsi="Times New Roman"/>
          <w:b w:val="0"/>
          <w:noProof/>
        </w:rPr>
        <w:fldChar w:fldCharType="begin"/>
      </w:r>
      <w:r w:rsidRPr="00487519">
        <w:rPr>
          <w:rFonts w:ascii="Times New Roman" w:hAnsi="Times New Roman"/>
          <w:b w:val="0"/>
          <w:noProof/>
        </w:rPr>
        <w:instrText xml:space="preserve"> PAGEREF _Toc314995116 \h </w:instrText>
      </w:r>
      <w:r w:rsidRPr="00487519">
        <w:rPr>
          <w:rFonts w:ascii="Times New Roman" w:hAnsi="Times New Roman"/>
          <w:b w:val="0"/>
          <w:noProof/>
        </w:rPr>
      </w:r>
      <w:r w:rsidRPr="00487519">
        <w:rPr>
          <w:rFonts w:ascii="Times New Roman" w:hAnsi="Times New Roman"/>
          <w:b w:val="0"/>
          <w:noProof/>
        </w:rPr>
        <w:fldChar w:fldCharType="separate"/>
      </w:r>
      <w:r w:rsidR="00C32AAA">
        <w:rPr>
          <w:rFonts w:ascii="Times New Roman" w:hAnsi="Times New Roman"/>
          <w:b w:val="0"/>
          <w:noProof/>
        </w:rPr>
        <w:t>21</w:t>
      </w:r>
      <w:r w:rsidRPr="00487519">
        <w:rPr>
          <w:rFonts w:ascii="Times New Roman" w:hAnsi="Times New Roman"/>
          <w:b w:val="0"/>
          <w:noProof/>
        </w:rPr>
        <w:fldChar w:fldCharType="end"/>
      </w:r>
    </w:p>
    <w:p w14:paraId="2C4D7022" w14:textId="7F435AFE" w:rsidR="00746AB2" w:rsidRDefault="000379CE" w:rsidP="00487519">
      <w:pPr>
        <w:tabs>
          <w:tab w:val="left" w:pos="3510"/>
        </w:tabs>
        <w:ind w:left="360" w:firstLine="0"/>
        <w:rPr>
          <w:smallCaps/>
          <w:noProof/>
        </w:rPr>
      </w:pPr>
      <w:r w:rsidRPr="000379CE">
        <w:rPr>
          <w:szCs w:val="22"/>
        </w:rPr>
        <w:fldChar w:fldCharType="end"/>
      </w:r>
      <w:r w:rsidR="00746AB2">
        <w:rPr>
          <w:smallCaps/>
          <w:noProof/>
        </w:rPr>
        <w:br w:type="page"/>
      </w:r>
      <w:r w:rsidR="00746AB2" w:rsidRPr="00746AB2">
        <w:rPr>
          <w:b/>
          <w:smallCaps/>
          <w:noProof/>
        </w:rPr>
        <w:lastRenderedPageBreak/>
        <w:t>List of Attachments</w:t>
      </w:r>
    </w:p>
    <w:p w14:paraId="31D388F1" w14:textId="0E6F3F3E" w:rsidR="00746AB2" w:rsidRPr="00BC00B9" w:rsidRDefault="00736807" w:rsidP="00736807">
      <w:pPr>
        <w:tabs>
          <w:tab w:val="left" w:pos="1800"/>
        </w:tabs>
        <w:rPr>
          <w:smallCaps/>
          <w:noProof/>
        </w:rPr>
      </w:pPr>
      <w:r w:rsidRPr="007352C6">
        <w:rPr>
          <w:b/>
          <w:smallCaps/>
          <w:noProof/>
        </w:rPr>
        <w:t>Attachment 1</w:t>
      </w:r>
      <w:r>
        <w:rPr>
          <w:smallCaps/>
          <w:noProof/>
        </w:rPr>
        <w:t>:</w:t>
      </w:r>
      <w:r>
        <w:rPr>
          <w:smallCaps/>
          <w:noProof/>
        </w:rPr>
        <w:tab/>
      </w:r>
      <w:r w:rsidR="009607A3">
        <w:rPr>
          <w:smallCaps/>
          <w:noProof/>
        </w:rPr>
        <w:t xml:space="preserve">LoC “Cards” </w:t>
      </w:r>
      <w:r w:rsidR="00F74E7D" w:rsidRPr="00EE76C8">
        <w:rPr>
          <w:smallCaps/>
          <w:noProof/>
        </w:rPr>
        <w:t>Web</w:t>
      </w:r>
      <w:r w:rsidR="00F74E7D">
        <w:rPr>
          <w:smallCaps/>
          <w:noProof/>
        </w:rPr>
        <w:t>site</w:t>
      </w:r>
      <w:r w:rsidR="00F74E7D" w:rsidRPr="00EE76C8">
        <w:rPr>
          <w:smallCaps/>
          <w:noProof/>
        </w:rPr>
        <w:t xml:space="preserve"> Screenshots</w:t>
      </w:r>
      <w:r w:rsidR="00F74E7D" w:rsidRPr="00972E80" w:rsidDel="00EE76C8">
        <w:rPr>
          <w:smallCaps/>
          <w:strike/>
          <w:noProof/>
        </w:rPr>
        <w:t xml:space="preserve"> </w:t>
      </w:r>
    </w:p>
    <w:p w14:paraId="0D578A66" w14:textId="7ED0C242" w:rsidR="00736807" w:rsidRDefault="00736807" w:rsidP="00736807">
      <w:pPr>
        <w:tabs>
          <w:tab w:val="left" w:pos="1800"/>
        </w:tabs>
        <w:rPr>
          <w:smallCaps/>
          <w:noProof/>
        </w:rPr>
      </w:pPr>
      <w:r w:rsidRPr="007352C6">
        <w:rPr>
          <w:b/>
          <w:smallCaps/>
          <w:noProof/>
        </w:rPr>
        <w:t xml:space="preserve">Attachment </w:t>
      </w:r>
      <w:r w:rsidR="00EE76C8">
        <w:rPr>
          <w:b/>
          <w:smallCaps/>
          <w:noProof/>
        </w:rPr>
        <w:t>2</w:t>
      </w:r>
      <w:r>
        <w:rPr>
          <w:smallCaps/>
          <w:noProof/>
        </w:rPr>
        <w:t>:</w:t>
      </w:r>
      <w:r>
        <w:rPr>
          <w:smallCaps/>
          <w:noProof/>
        </w:rPr>
        <w:tab/>
      </w:r>
      <w:r w:rsidR="005E717C">
        <w:rPr>
          <w:smallCaps/>
          <w:noProof/>
        </w:rPr>
        <w:t>Public Comment</w:t>
      </w:r>
      <w:r w:rsidR="00F74E7D">
        <w:rPr>
          <w:smallCaps/>
          <w:noProof/>
        </w:rPr>
        <w:t xml:space="preserve"> </w:t>
      </w:r>
    </w:p>
    <w:p w14:paraId="01579220" w14:textId="32BDCC54" w:rsidR="005E717C" w:rsidRDefault="005E717C" w:rsidP="005E717C">
      <w:pPr>
        <w:tabs>
          <w:tab w:val="left" w:pos="1800"/>
        </w:tabs>
        <w:rPr>
          <w:smallCaps/>
          <w:noProof/>
        </w:rPr>
      </w:pPr>
      <w:r w:rsidRPr="007352C6">
        <w:rPr>
          <w:b/>
          <w:smallCaps/>
          <w:noProof/>
        </w:rPr>
        <w:t xml:space="preserve">Attachment </w:t>
      </w:r>
      <w:r>
        <w:rPr>
          <w:b/>
          <w:smallCaps/>
          <w:noProof/>
        </w:rPr>
        <w:t>3</w:t>
      </w:r>
      <w:r>
        <w:rPr>
          <w:smallCaps/>
          <w:noProof/>
        </w:rPr>
        <w:t>:</w:t>
      </w:r>
      <w:r>
        <w:rPr>
          <w:smallCaps/>
          <w:noProof/>
        </w:rPr>
        <w:tab/>
        <w:t xml:space="preserve">Advisory Committees </w:t>
      </w:r>
    </w:p>
    <w:p w14:paraId="0E1F42C0" w14:textId="6365BE91" w:rsidR="00736807" w:rsidRDefault="00736807" w:rsidP="004857DB">
      <w:pPr>
        <w:tabs>
          <w:tab w:val="left" w:pos="1800"/>
        </w:tabs>
        <w:ind w:left="2880" w:hanging="2160"/>
        <w:rPr>
          <w:smallCaps/>
          <w:noProof/>
        </w:rPr>
      </w:pPr>
      <w:r w:rsidRPr="007352C6">
        <w:rPr>
          <w:b/>
          <w:smallCaps/>
          <w:noProof/>
        </w:rPr>
        <w:t xml:space="preserve">Attachment </w:t>
      </w:r>
      <w:r w:rsidR="005E717C">
        <w:rPr>
          <w:b/>
          <w:smallCaps/>
          <w:noProof/>
        </w:rPr>
        <w:t>4</w:t>
      </w:r>
      <w:r>
        <w:rPr>
          <w:smallCaps/>
          <w:noProof/>
        </w:rPr>
        <w:t>:</w:t>
      </w:r>
      <w:r>
        <w:rPr>
          <w:smallCaps/>
          <w:noProof/>
        </w:rPr>
        <w:tab/>
      </w:r>
      <w:r w:rsidR="00A12E60">
        <w:rPr>
          <w:smallCaps/>
          <w:noProof/>
        </w:rPr>
        <w:t>IRB Exemption Status (OHSR Response to Request for Review of Research Activity Involving Human Subjects)</w:t>
      </w:r>
    </w:p>
    <w:p w14:paraId="4E347B61" w14:textId="05968BAF" w:rsidR="00947B13" w:rsidRDefault="00230A54" w:rsidP="00455B35">
      <w:pPr>
        <w:tabs>
          <w:tab w:val="left" w:pos="1800"/>
        </w:tabs>
        <w:sectPr w:rsidR="00947B13" w:rsidSect="00D81793">
          <w:footerReference w:type="default" r:id="rId9"/>
          <w:footerReference w:type="first" r:id="rId10"/>
          <w:pgSz w:w="12240" w:h="15840" w:code="1"/>
          <w:pgMar w:top="1440" w:right="1440" w:bottom="1440" w:left="1440" w:header="720" w:footer="720" w:gutter="0"/>
          <w:cols w:space="720"/>
        </w:sectPr>
      </w:pPr>
      <w:r w:rsidRPr="00EE76C8">
        <w:rPr>
          <w:b/>
          <w:smallCaps/>
          <w:noProof/>
        </w:rPr>
        <w:t xml:space="preserve">Attachment </w:t>
      </w:r>
      <w:r w:rsidR="005E717C">
        <w:rPr>
          <w:b/>
          <w:smallCaps/>
          <w:noProof/>
        </w:rPr>
        <w:t>5</w:t>
      </w:r>
      <w:r w:rsidRPr="00EE76C8">
        <w:rPr>
          <w:b/>
          <w:smallCaps/>
          <w:noProof/>
        </w:rPr>
        <w:t xml:space="preserve">: </w:t>
      </w:r>
      <w:r w:rsidRPr="00EE76C8">
        <w:rPr>
          <w:b/>
          <w:smallCaps/>
          <w:noProof/>
        </w:rPr>
        <w:tab/>
      </w:r>
      <w:r w:rsidR="00455B35">
        <w:rPr>
          <w:smallCaps/>
          <w:noProof/>
        </w:rPr>
        <w:t xml:space="preserve">Study </w:t>
      </w:r>
      <w:r w:rsidR="00F74E7D">
        <w:rPr>
          <w:smallCaps/>
          <w:noProof/>
        </w:rPr>
        <w:t>Consent</w:t>
      </w:r>
      <w:r w:rsidR="00F74E7D" w:rsidRPr="00EE76C8" w:rsidDel="00F74E7D">
        <w:rPr>
          <w:smallCaps/>
          <w:noProof/>
        </w:rPr>
        <w:t xml:space="preserve"> </w:t>
      </w:r>
      <w:r w:rsidR="00455B35">
        <w:rPr>
          <w:smallCaps/>
          <w:noProof/>
        </w:rPr>
        <w:t>Form</w:t>
      </w:r>
    </w:p>
    <w:p w14:paraId="5D07B238" w14:textId="09A6B9BD" w:rsidR="006D061C" w:rsidRPr="00947B13" w:rsidRDefault="00947B13" w:rsidP="00C32AAA">
      <w:pPr>
        <w:pStyle w:val="Heading2"/>
      </w:pPr>
      <w:r>
        <w:br w:type="page"/>
      </w:r>
      <w:bookmarkStart w:id="2" w:name="_Toc314995094"/>
      <w:r w:rsidR="006D061C" w:rsidRPr="00947B13">
        <w:lastRenderedPageBreak/>
        <w:t>Summary</w:t>
      </w:r>
      <w:bookmarkEnd w:id="0"/>
      <w:bookmarkEnd w:id="1"/>
      <w:bookmarkEnd w:id="2"/>
    </w:p>
    <w:p w14:paraId="78741655" w14:textId="0C12C8BE" w:rsidR="00383892" w:rsidRDefault="00063ED4" w:rsidP="006715EE">
      <w:r w:rsidRPr="00063ED4">
        <w:t>The National Toxicology Program (NTP) conducts literature-based evaluations to identify substances in our environment that are hazards for human health.</w:t>
      </w:r>
      <w:r w:rsidR="00383892">
        <w:t xml:space="preserve"> NTP has used a five-point scale to communicate </w:t>
      </w:r>
      <w:r w:rsidR="00670356">
        <w:t>its</w:t>
      </w:r>
      <w:r w:rsidR="00383892">
        <w:t xml:space="preserve"> </w:t>
      </w:r>
      <w:r w:rsidR="00980A0C">
        <w:t>opinion</w:t>
      </w:r>
      <w:r w:rsidR="001A3F0A">
        <w:t xml:space="preserve">, or </w:t>
      </w:r>
      <w:r w:rsidR="000E5728">
        <w:t>“l</w:t>
      </w:r>
      <w:r w:rsidR="001A3F0A">
        <w:t xml:space="preserve">evel </w:t>
      </w:r>
      <w:r w:rsidR="00CB7668">
        <w:t>of</w:t>
      </w:r>
      <w:r w:rsidR="00383892">
        <w:t xml:space="preserve"> </w:t>
      </w:r>
      <w:r w:rsidR="000E5728">
        <w:t>c</w:t>
      </w:r>
      <w:r w:rsidR="001A3F0A">
        <w:t>oncern</w:t>
      </w:r>
      <w:r w:rsidR="000E5728">
        <w:t>”</w:t>
      </w:r>
      <w:r w:rsidR="001A3F0A">
        <w:t xml:space="preserve"> </w:t>
      </w:r>
      <w:r w:rsidR="00CB7668">
        <w:t>(LoC)</w:t>
      </w:r>
      <w:r w:rsidR="001A3F0A">
        <w:t xml:space="preserve"> conclusion,</w:t>
      </w:r>
      <w:r w:rsidR="00CB7668">
        <w:t xml:space="preserve"> </w:t>
      </w:r>
      <w:r w:rsidR="00383892">
        <w:t xml:space="preserve">regarding the potential </w:t>
      </w:r>
      <w:r w:rsidR="00660983">
        <w:t xml:space="preserve">for </w:t>
      </w:r>
      <w:r w:rsidR="00980A0C">
        <w:t xml:space="preserve">environmental </w:t>
      </w:r>
      <w:r w:rsidR="00660983">
        <w:t>substance</w:t>
      </w:r>
      <w:r w:rsidR="00980A0C">
        <w:t>s, physical agents, or mixtures (collectively referred to as “substances”)</w:t>
      </w:r>
      <w:r w:rsidR="00660983">
        <w:t xml:space="preserve"> to cause</w:t>
      </w:r>
      <w:r w:rsidR="00383892">
        <w:t xml:space="preserve"> </w:t>
      </w:r>
      <w:r w:rsidR="00980A0C">
        <w:t xml:space="preserve">adverse health </w:t>
      </w:r>
      <w:r w:rsidR="00383892">
        <w:t>effects</w:t>
      </w:r>
      <w:r w:rsidR="00CB7668">
        <w:t xml:space="preserve"> </w:t>
      </w:r>
      <w:r w:rsidR="00660983">
        <w:t xml:space="preserve">in humans under specific exposure conditions or for a specific population. </w:t>
      </w:r>
      <w:r w:rsidR="00070E9C">
        <w:t>Recently</w:t>
      </w:r>
      <w:r w:rsidR="00CB7668">
        <w:t xml:space="preserve">, NTP </w:t>
      </w:r>
      <w:r w:rsidR="00885A58">
        <w:t xml:space="preserve">implemented a new approach with systematic-review methodologies </w:t>
      </w:r>
      <w:r w:rsidR="00547EBA">
        <w:t xml:space="preserve">for </w:t>
      </w:r>
      <w:r w:rsidR="00885A58">
        <w:t>conduct</w:t>
      </w:r>
      <w:r w:rsidR="00980A0C">
        <w:t xml:space="preserve"> of these evaluations</w:t>
      </w:r>
      <w:r w:rsidR="00885A58">
        <w:t xml:space="preserve">. </w:t>
      </w:r>
      <w:r w:rsidR="00792958">
        <w:t>Although LoC categories have been a useful communication tool</w:t>
      </w:r>
      <w:r w:rsidR="00885A58">
        <w:t xml:space="preserve">, NTP </w:t>
      </w:r>
      <w:r w:rsidR="00792958">
        <w:t xml:space="preserve">has </w:t>
      </w:r>
      <w:r w:rsidR="00885A58">
        <w:t xml:space="preserve">identified confusion among </w:t>
      </w:r>
      <w:r w:rsidR="00547EBA">
        <w:t xml:space="preserve">some of </w:t>
      </w:r>
      <w:r w:rsidR="00885A58">
        <w:t>its scientific advisors and the public regarding what the LoC categories mean and how conclusions are reached</w:t>
      </w:r>
      <w:r w:rsidR="00CB7668">
        <w:t xml:space="preserve">. </w:t>
      </w:r>
      <w:r w:rsidR="00660983">
        <w:t xml:space="preserve">As part of its </w:t>
      </w:r>
      <w:r w:rsidR="00885A58">
        <w:t xml:space="preserve">implementation of </w:t>
      </w:r>
      <w:r w:rsidR="00660983">
        <w:t>systematic-review methodologies,</w:t>
      </w:r>
      <w:r w:rsidR="0044370E">
        <w:t xml:space="preserve"> NTP is now</w:t>
      </w:r>
      <w:r w:rsidR="002537D6">
        <w:t xml:space="preserve"> conducting preliminary work to facilitate the</w:t>
      </w:r>
      <w:r w:rsidR="00CB7668">
        <w:t xml:space="preserve"> </w:t>
      </w:r>
      <w:r w:rsidR="00960621">
        <w:t>updating</w:t>
      </w:r>
      <w:r w:rsidR="00CB7668">
        <w:t xml:space="preserve"> </w:t>
      </w:r>
      <w:r w:rsidR="002537D6">
        <w:t xml:space="preserve">of </w:t>
      </w:r>
      <w:r w:rsidR="00873395">
        <w:t>the</w:t>
      </w:r>
      <w:r w:rsidR="00CB7668">
        <w:t xml:space="preserve"> </w:t>
      </w:r>
      <w:r w:rsidR="00960621">
        <w:t>LoC framework</w:t>
      </w:r>
      <w:r w:rsidR="002537D6">
        <w:t>.  This</w:t>
      </w:r>
      <w:r w:rsidR="002F55A7">
        <w:t xml:space="preserve"> includ</w:t>
      </w:r>
      <w:r w:rsidR="002537D6">
        <w:t>es</w:t>
      </w:r>
      <w:r w:rsidR="002F55A7">
        <w:t xml:space="preserve"> re-assessing the LoC categories, </w:t>
      </w:r>
      <w:r w:rsidR="00CB7668">
        <w:t xml:space="preserve">to </w:t>
      </w:r>
      <w:r w:rsidR="00547EBA">
        <w:t xml:space="preserve">determine what changes are needed to </w:t>
      </w:r>
      <w:r w:rsidR="0047006C">
        <w:t xml:space="preserve">ensure integrated consideration of relevant and reliable data and </w:t>
      </w:r>
      <w:r w:rsidR="00CB7668">
        <w:t xml:space="preserve">enhance transparency </w:t>
      </w:r>
      <w:r w:rsidR="0047006C">
        <w:t xml:space="preserve">in describing how conclusions are reached. This </w:t>
      </w:r>
      <w:r w:rsidR="002537D6">
        <w:t xml:space="preserve"> exploratory study is intended to facilitate the effort toward</w:t>
      </w:r>
      <w:r w:rsidR="0047006C">
        <w:t xml:space="preserve"> improv</w:t>
      </w:r>
      <w:r w:rsidR="002537D6">
        <w:t>ing</w:t>
      </w:r>
      <w:r w:rsidR="0047006C">
        <w:t xml:space="preserve"> the LoC framework </w:t>
      </w:r>
      <w:r w:rsidR="00CB7668">
        <w:t>as a risk communication tool</w:t>
      </w:r>
      <w:r w:rsidR="00547EBA">
        <w:t>.</w:t>
      </w:r>
    </w:p>
    <w:p w14:paraId="374B4D68" w14:textId="6313EBCA" w:rsidR="00C366D8" w:rsidRPr="006B29B7" w:rsidRDefault="005E3BFC" w:rsidP="006B29B7">
      <w:pPr>
        <w:spacing w:line="240" w:lineRule="auto"/>
        <w:ind w:firstLine="0"/>
        <w:rPr>
          <w:rFonts w:ascii="Times New Roman Bold" w:hAnsi="Times New Roman Bold"/>
          <w:szCs w:val="22"/>
        </w:rPr>
      </w:pPr>
      <w:r>
        <w:br w:type="page"/>
      </w:r>
    </w:p>
    <w:p w14:paraId="15C389AA" w14:textId="721072CF" w:rsidR="00A46B0E" w:rsidRDefault="006D201E" w:rsidP="00C32AAA">
      <w:pPr>
        <w:pStyle w:val="Heading2"/>
      </w:pPr>
      <w:bookmarkStart w:id="3" w:name="_Toc314995095"/>
      <w:r>
        <w:lastRenderedPageBreak/>
        <w:t>A.</w:t>
      </w:r>
      <w:r w:rsidR="00767661">
        <w:tab/>
      </w:r>
      <w:r w:rsidR="00A46B0E" w:rsidRPr="009D0560">
        <w:t xml:space="preserve">Justification for </w:t>
      </w:r>
      <w:r w:rsidR="009D0560">
        <w:t>Collection of I</w:t>
      </w:r>
      <w:r w:rsidR="00A46B0E" w:rsidRPr="009D0560">
        <w:t>nformation</w:t>
      </w:r>
      <w:bookmarkEnd w:id="3"/>
    </w:p>
    <w:p w14:paraId="5296F050" w14:textId="0DB353D2" w:rsidR="006D201E" w:rsidRPr="00E554F9" w:rsidRDefault="009D0560" w:rsidP="00C448FD">
      <w:pPr>
        <w:pStyle w:val="Heading3"/>
        <w:ind w:left="1260" w:hanging="540"/>
      </w:pPr>
      <w:bookmarkStart w:id="4" w:name="_Toc314995096"/>
      <w:r w:rsidRPr="00E554F9">
        <w:t xml:space="preserve">A.1. </w:t>
      </w:r>
      <w:r w:rsidR="00C448FD">
        <w:tab/>
      </w:r>
      <w:r w:rsidR="00A46B0E" w:rsidRPr="00E554F9">
        <w:t>Circumstances Making the Collection</w:t>
      </w:r>
      <w:r w:rsidR="00A46B0E" w:rsidRPr="00577ACB">
        <w:t xml:space="preserve"> of Information Necessary</w:t>
      </w:r>
      <w:bookmarkEnd w:id="4"/>
    </w:p>
    <w:p w14:paraId="1091A148" w14:textId="78825689" w:rsidR="003E3702" w:rsidRDefault="003E3702" w:rsidP="00C65CA5">
      <w:r>
        <w:t xml:space="preserve">The NTP Level of Concern </w:t>
      </w:r>
      <w:r w:rsidR="00A6213A">
        <w:t xml:space="preserve">Categories </w:t>
      </w:r>
      <w:r>
        <w:t>Study is supported by NIEHS</w:t>
      </w:r>
      <w:r w:rsidR="00A70E43">
        <w:t>’</w:t>
      </w:r>
      <w:r>
        <w:t xml:space="preserve"> </w:t>
      </w:r>
      <w:r w:rsidR="002537D6">
        <w:t xml:space="preserve">general </w:t>
      </w:r>
      <w:r>
        <w:t xml:space="preserve">mandate as defined by U.S. Code Title 42, Chapter 6A, Subchapter III, Part </w:t>
      </w:r>
      <w:r w:rsidR="00A6213A">
        <w:t>C</w:t>
      </w:r>
      <w:r>
        <w:t xml:space="preserve">, </w:t>
      </w:r>
      <w:r w:rsidR="00A6213A">
        <w:t xml:space="preserve">Subpart 12, </w:t>
      </w:r>
      <w:r>
        <w:t>Section 28</w:t>
      </w:r>
      <w:r w:rsidR="00A6213A">
        <w:t>5</w:t>
      </w:r>
      <w:r w:rsidR="00A6213A">
        <w:rPr>
          <w:i/>
        </w:rPr>
        <w:t>l</w:t>
      </w:r>
      <w:r>
        <w:t>, as amended by the Health Research Extension Act of 1985, which states</w:t>
      </w:r>
      <w:r w:rsidR="00A6213A">
        <w:t xml:space="preserve"> the institute’s purpose is</w:t>
      </w:r>
      <w:r>
        <w:t xml:space="preserve"> “the conduct and support of research, training, health information dissemination, and other programs with respect to factors in the environment that affect human health, directly or indirectly.”</w:t>
      </w:r>
    </w:p>
    <w:p w14:paraId="7BED9831" w14:textId="10A15B8E" w:rsidR="00337953" w:rsidRDefault="00337953" w:rsidP="00C65CA5">
      <w:r>
        <w:t xml:space="preserve">We are all affected by our environment including </w:t>
      </w:r>
      <w:r w:rsidR="00CB54EC">
        <w:t xml:space="preserve">by </w:t>
      </w:r>
      <w:r>
        <w:t xml:space="preserve">the products and substances that we come in contact with at home, at work, and at play. </w:t>
      </w:r>
      <w:r w:rsidR="009F1433">
        <w:t>NTP</w:t>
      </w:r>
      <w:r w:rsidR="009E2953">
        <w:t xml:space="preserve"> </w:t>
      </w:r>
      <w:r>
        <w:t xml:space="preserve">was established in 1978 as </w:t>
      </w:r>
      <w:r w:rsidRPr="00337953">
        <w:t>a federal, interagency program whose goal is to safeguard the public by identifying substances in the environment that may affect human health</w:t>
      </w:r>
      <w:r w:rsidR="009E2953">
        <w:t xml:space="preserve"> </w:t>
      </w:r>
      <w:r w:rsidR="00C366D8">
        <w:fldChar w:fldCharType="begin"/>
      </w:r>
      <w:r w:rsidR="00C366D8">
        <w:instrText xml:space="preserve"> ADDIN EN.CITE &lt;EndNote&gt;&lt;Cite ExcludeAuth="1"&gt;&lt;Author&gt;National Toxicology Program (NTP)&lt;/Author&gt;&lt;Year&gt;1978&lt;/Year&gt;&lt;RecNum&gt;445&lt;/RecNum&gt;&lt;Prefix&gt;NTP &lt;/Prefix&gt;&lt;DisplayText&gt;(NTP 1978)&lt;/DisplayText&gt;&lt;record&gt;&lt;rec-number&gt;445&lt;/rec-number&gt;&lt;foreign-keys&gt;&lt;key app="EN" db-id="fpxw5dxzpwpda0ed29ppw9egt2p905paxaaa"&gt;445&lt;/key&gt;&lt;/foreign-keys&gt;&lt;ref-type name="Journal Article"&gt;17&lt;/ref-type&gt;&lt;contributors&gt;&lt;authors&gt;&lt;author&gt;National Toxicology Program (NTP),&lt;/author&gt;&lt;/authors&gt;&lt;/contributors&gt;&lt;titles&gt;&lt;title&gt;Jospeh A. Califano, Jr. Secretary, Health, Education, and Welfare. [43 (221) Fed. Reg. 53060-53061, Nov 15, 2978.]&lt;/title&gt;&lt;/titles&gt;&lt;dates&gt;&lt;year&gt;1978&lt;/year&gt;&lt;/dates&gt;&lt;urls&gt;&lt;/urls&gt;&lt;/record&gt;&lt;/Cite&gt;&lt;/EndNote&gt;</w:instrText>
      </w:r>
      <w:r w:rsidR="00C366D8">
        <w:fldChar w:fldCharType="separate"/>
      </w:r>
      <w:r w:rsidR="00C366D8">
        <w:rPr>
          <w:noProof/>
        </w:rPr>
        <w:t>(</w:t>
      </w:r>
      <w:hyperlink w:anchor="_ENREF_4" w:tooltip="National Toxicology Program (NTP), 1978 #445" w:history="1">
        <w:r w:rsidR="00C366D8">
          <w:rPr>
            <w:noProof/>
          </w:rPr>
          <w:t>NTP 1978</w:t>
        </w:r>
      </w:hyperlink>
      <w:r w:rsidR="00C366D8">
        <w:rPr>
          <w:noProof/>
        </w:rPr>
        <w:t>)</w:t>
      </w:r>
      <w:r w:rsidR="00C366D8">
        <w:fldChar w:fldCharType="end"/>
      </w:r>
      <w:r w:rsidR="00C366D8">
        <w:t xml:space="preserve">. </w:t>
      </w:r>
      <w:r w:rsidRPr="00337953">
        <w:t>NTP is headquartered at the National Institute of Environmental Health Sciences, which is part of the National Institutes of Health.</w:t>
      </w:r>
      <w:r w:rsidR="009E2953">
        <w:rPr>
          <w:rStyle w:val="FootnoteReference"/>
          <w:szCs w:val="22"/>
        </w:rPr>
        <w:footnoteReference w:id="1"/>
      </w:r>
      <w:r w:rsidRPr="00337953">
        <w:t xml:space="preserve"> </w:t>
      </w:r>
    </w:p>
    <w:p w14:paraId="351231F7" w14:textId="7F603101" w:rsidR="00B52351" w:rsidRDefault="00B52351" w:rsidP="00577ACB">
      <w:r>
        <w:t xml:space="preserve">For more than 37 years, the NTP has been the world leader in the design, conduct, analysis, and interpretation of studies to identify environmental hazards for human health and has studied over 2500 substances for a variety of health outcomes including cancer, reproductive and developmental toxicity, and effects on the immune and nervous systems. </w:t>
      </w:r>
      <w:r w:rsidR="003861E3">
        <w:t xml:space="preserve">NTP plays a critical role in providing a strong scientific basis for </w:t>
      </w:r>
      <w:r w:rsidR="00644A30">
        <w:t xml:space="preserve">the American public and </w:t>
      </w:r>
      <w:r w:rsidR="006E74A8">
        <w:t xml:space="preserve">U.S. </w:t>
      </w:r>
      <w:r w:rsidR="00644A30">
        <w:t xml:space="preserve">government agencies at the state and federal levels </w:t>
      </w:r>
      <w:r w:rsidR="009E2953">
        <w:t>to make</w:t>
      </w:r>
      <w:r w:rsidR="003861E3">
        <w:t xml:space="preserve"> credible decision</w:t>
      </w:r>
      <w:r w:rsidR="00644A30">
        <w:t>s</w:t>
      </w:r>
      <w:r w:rsidR="003861E3">
        <w:t xml:space="preserve"> that protect public </w:t>
      </w:r>
      <w:r w:rsidR="00644A30">
        <w:t>health. Its</w:t>
      </w:r>
      <w:r>
        <w:t xml:space="preserve"> work includes both laboratory</w:t>
      </w:r>
      <w:r w:rsidR="006E74A8">
        <w:t>-based</w:t>
      </w:r>
      <w:r>
        <w:t xml:space="preserve"> research and testing and literature-based evaluations </w:t>
      </w:r>
      <w:r w:rsidR="006E74A8">
        <w:t xml:space="preserve">of environmental substances </w:t>
      </w:r>
      <w:r w:rsidR="00644A30">
        <w:t>for a v</w:t>
      </w:r>
      <w:r w:rsidR="008165DF">
        <w:t>ariety of health-related effects including cancer, general toxicity, and effects on reproduction, development, and the immune and nervous systems</w:t>
      </w:r>
      <w:r w:rsidR="006E74A8">
        <w:t xml:space="preserve"> </w:t>
      </w:r>
      <w:r w:rsidR="00C366D8">
        <w:fldChar w:fldCharType="begin"/>
      </w:r>
      <w:r w:rsidR="00C366D8">
        <w:instrText xml:space="preserve"> ADDIN EN.CITE &lt;EndNote&gt;&lt;Cite ExcludeAuth="1"&gt;&lt;Author&gt;National Toxicology Program (NTP)&lt;/Author&gt;&lt;Year&gt;2014&lt;/Year&gt;&lt;RecNum&gt;446&lt;/RecNum&gt;&lt;Prefix&gt;NTP &lt;/Prefix&gt;&lt;DisplayText&gt;(NTP 2014)&lt;/DisplayText&gt;&lt;record&gt;&lt;rec-number&gt;446&lt;/rec-number&gt;&lt;foreign-keys&gt;&lt;key app="EN" db-id="fpxw5dxzpwpda0ed29ppw9egt2p905paxaaa"&gt;446&lt;/key&gt;&lt;/foreign-keys&gt;&lt;ref-type name="Journal Article"&gt;17&lt;/ref-type&gt;&lt;contributors&gt;&lt;authors&gt;&lt;author&gt;National Toxicology Program (NTP),&lt;/author&gt;&lt;/authors&gt;&lt;/contributors&gt;&lt;titles&gt;&lt;title&gt;Annual Report for Fiscal Year 2013. National Toxicology Program. US Department of Health and Human Service. NIH Pub No. 14-5955. 92 pgs.&lt;/title&gt;&lt;/titles&gt;&lt;dates&gt;&lt;year&gt;2014&lt;/year&gt;&lt;/dates&gt;&lt;urls&gt;&lt;/urls&gt;&lt;/record&gt;&lt;/Cite&gt;&lt;/EndNote&gt;</w:instrText>
      </w:r>
      <w:r w:rsidR="00C366D8">
        <w:fldChar w:fldCharType="separate"/>
      </w:r>
      <w:r w:rsidR="00C366D8">
        <w:rPr>
          <w:noProof/>
        </w:rPr>
        <w:t>(</w:t>
      </w:r>
      <w:hyperlink w:anchor="_ENREF_3" w:tooltip="National Toxicology Program (NTP), 2014 #446" w:history="1">
        <w:r w:rsidR="00C366D8">
          <w:rPr>
            <w:noProof/>
          </w:rPr>
          <w:t>NTP 2014</w:t>
        </w:r>
      </w:hyperlink>
      <w:r w:rsidR="00C366D8">
        <w:rPr>
          <w:noProof/>
        </w:rPr>
        <w:t>)</w:t>
      </w:r>
      <w:r w:rsidR="00C366D8">
        <w:fldChar w:fldCharType="end"/>
      </w:r>
      <w:r w:rsidR="00C366D8">
        <w:t>.</w:t>
      </w:r>
    </w:p>
    <w:p w14:paraId="61A7286A" w14:textId="4724F578" w:rsidR="00873395" w:rsidRPr="00B52351" w:rsidRDefault="003B367A" w:rsidP="00947B13">
      <w:pPr>
        <w:rPr>
          <w:szCs w:val="22"/>
        </w:rPr>
      </w:pPr>
      <w:r>
        <w:rPr>
          <w:szCs w:val="22"/>
        </w:rPr>
        <w:lastRenderedPageBreak/>
        <w:t xml:space="preserve">In 1998, </w:t>
      </w:r>
      <w:r w:rsidR="00070E9C">
        <w:rPr>
          <w:szCs w:val="22"/>
        </w:rPr>
        <w:t xml:space="preserve">NTP </w:t>
      </w:r>
      <w:r w:rsidR="006E74A8">
        <w:rPr>
          <w:szCs w:val="22"/>
        </w:rPr>
        <w:t xml:space="preserve">initiated literature-based evaluations to </w:t>
      </w:r>
      <w:r w:rsidR="00980A0C">
        <w:rPr>
          <w:szCs w:val="22"/>
        </w:rPr>
        <w:t xml:space="preserve">assess the </w:t>
      </w:r>
      <w:r w:rsidR="001A3F0A">
        <w:rPr>
          <w:szCs w:val="22"/>
        </w:rPr>
        <w:t xml:space="preserve">scientific </w:t>
      </w:r>
      <w:r w:rsidR="00980A0C">
        <w:rPr>
          <w:szCs w:val="22"/>
        </w:rPr>
        <w:t xml:space="preserve">evidence </w:t>
      </w:r>
      <w:r w:rsidR="001A3F0A">
        <w:rPr>
          <w:szCs w:val="22"/>
        </w:rPr>
        <w:t>on</w:t>
      </w:r>
      <w:r w:rsidR="00980A0C">
        <w:rPr>
          <w:szCs w:val="22"/>
        </w:rPr>
        <w:t xml:space="preserve"> </w:t>
      </w:r>
      <w:r w:rsidR="009E620B">
        <w:rPr>
          <w:szCs w:val="22"/>
        </w:rPr>
        <w:t>environmental</w:t>
      </w:r>
      <w:r w:rsidR="00980A0C">
        <w:rPr>
          <w:szCs w:val="22"/>
        </w:rPr>
        <w:t xml:space="preserve"> chemicals, physical agents, or mixtures (collectively referred to as “substances”) and provide its opinion on whether selected substances might be of concern for causing adverse effects on </w:t>
      </w:r>
      <w:r>
        <w:rPr>
          <w:szCs w:val="22"/>
        </w:rPr>
        <w:t>human reproduction</w:t>
      </w:r>
      <w:r w:rsidR="006E74A8">
        <w:rPr>
          <w:szCs w:val="22"/>
        </w:rPr>
        <w:t xml:space="preserve"> </w:t>
      </w:r>
      <w:r>
        <w:rPr>
          <w:szCs w:val="22"/>
        </w:rPr>
        <w:t>and development</w:t>
      </w:r>
      <w:r w:rsidR="006E74A8">
        <w:rPr>
          <w:szCs w:val="22"/>
        </w:rPr>
        <w:t xml:space="preserve"> </w:t>
      </w:r>
      <w:r w:rsidR="00980A0C" w:rsidRPr="00063ED4">
        <w:rPr>
          <w:szCs w:val="22"/>
        </w:rPr>
        <w:t>given what is known about their toxicity, level of human exposure, and pharmacokinetics</w:t>
      </w:r>
      <w:r w:rsidR="00980A0C">
        <w:rPr>
          <w:szCs w:val="22"/>
        </w:rPr>
        <w:t xml:space="preserve">. NTP opinions </w:t>
      </w:r>
      <w:r w:rsidR="000E5728">
        <w:rPr>
          <w:szCs w:val="22"/>
        </w:rPr>
        <w:t>are</w:t>
      </w:r>
      <w:r w:rsidR="00980A0C">
        <w:rPr>
          <w:szCs w:val="22"/>
        </w:rPr>
        <w:t xml:space="preserve"> referred to as </w:t>
      </w:r>
      <w:r w:rsidR="000E5728">
        <w:rPr>
          <w:szCs w:val="22"/>
        </w:rPr>
        <w:t>“l</w:t>
      </w:r>
      <w:r w:rsidR="00980A0C">
        <w:rPr>
          <w:szCs w:val="22"/>
        </w:rPr>
        <w:t xml:space="preserve">evel of </w:t>
      </w:r>
      <w:r w:rsidR="007D3D82">
        <w:rPr>
          <w:szCs w:val="22"/>
        </w:rPr>
        <w:t>concern?</w:t>
      </w:r>
      <w:r w:rsidR="000E5728">
        <w:rPr>
          <w:szCs w:val="22"/>
        </w:rPr>
        <w:t>”</w:t>
      </w:r>
      <w:r w:rsidR="00980A0C">
        <w:rPr>
          <w:szCs w:val="22"/>
        </w:rPr>
        <w:t xml:space="preserve"> (LoC) conclusions and expressed </w:t>
      </w:r>
      <w:r w:rsidR="00070E9C">
        <w:rPr>
          <w:szCs w:val="22"/>
        </w:rPr>
        <w:t xml:space="preserve">using </w:t>
      </w:r>
      <w:r w:rsidR="00070E9C" w:rsidRPr="00063ED4">
        <w:rPr>
          <w:szCs w:val="22"/>
        </w:rPr>
        <w:t>a 5-point LoC framework</w:t>
      </w:r>
      <w:r w:rsidR="001A3F0A">
        <w:rPr>
          <w:szCs w:val="22"/>
        </w:rPr>
        <w:t>.</w:t>
      </w:r>
      <w:r w:rsidR="00070E9C" w:rsidRPr="00063ED4">
        <w:rPr>
          <w:szCs w:val="22"/>
        </w:rPr>
        <w:t xml:space="preserve"> </w:t>
      </w:r>
      <w:r w:rsidR="00070E9C">
        <w:rPr>
          <w:szCs w:val="22"/>
        </w:rPr>
        <w:t>LoC conclusions are</w:t>
      </w:r>
      <w:r w:rsidR="00670356">
        <w:rPr>
          <w:szCs w:val="22"/>
        </w:rPr>
        <w:t xml:space="preserve"> qualitative in nature and range</w:t>
      </w:r>
      <w:r w:rsidR="00070E9C">
        <w:rPr>
          <w:szCs w:val="22"/>
        </w:rPr>
        <w:t xml:space="preserve"> from </w:t>
      </w:r>
      <w:r w:rsidR="00070E9C" w:rsidRPr="00F459F5">
        <w:rPr>
          <w:szCs w:val="22"/>
        </w:rPr>
        <w:t>“negligible concern” to “serious concern” for adverse effects, with an additional</w:t>
      </w:r>
      <w:r w:rsidR="00070E9C">
        <w:rPr>
          <w:szCs w:val="22"/>
        </w:rPr>
        <w:t xml:space="preserve"> category of “insufficient data</w:t>
      </w:r>
      <w:r w:rsidR="00070E9C" w:rsidRPr="00F459F5">
        <w:rPr>
          <w:szCs w:val="22"/>
        </w:rPr>
        <w:t xml:space="preserve">” </w:t>
      </w:r>
      <w:r w:rsidR="00070E9C">
        <w:rPr>
          <w:szCs w:val="22"/>
        </w:rPr>
        <w:t>that is</w:t>
      </w:r>
      <w:r w:rsidR="00070E9C" w:rsidRPr="00F459F5">
        <w:rPr>
          <w:szCs w:val="22"/>
        </w:rPr>
        <w:t xml:space="preserve"> used when information is lacking on hazard and/or exposure to reach a conclusion</w:t>
      </w:r>
      <w:r w:rsidR="00070E9C">
        <w:rPr>
          <w:szCs w:val="22"/>
        </w:rPr>
        <w:t xml:space="preserve"> </w:t>
      </w:r>
      <w:r w:rsidR="00070E9C" w:rsidRPr="00F459F5">
        <w:rPr>
          <w:szCs w:val="22"/>
        </w:rPr>
        <w:fldChar w:fldCharType="begin"/>
      </w:r>
      <w:r w:rsidR="00C366D8">
        <w:rPr>
          <w:szCs w:val="22"/>
        </w:rPr>
        <w:instrText xml:space="preserve"> ADDIN EN.CITE &lt;EndNote&gt;&lt;Cite&gt;&lt;Author&gt;Bucher&lt;/Author&gt;&lt;Year&gt;2011&lt;/Year&gt;&lt;RecNum&gt;260&lt;/RecNum&gt;&lt;DisplayText&gt;(Bucher et al. 2011)&lt;/DisplayText&gt;&lt;record&gt;&lt;rec-number&gt;260&lt;/rec-number&gt;&lt;foreign-keys&gt;&lt;key app="EN" db-id="fpxw5dxzpwpda0ed29ppw9egt2p905paxaaa"&gt;260&lt;/key&gt;&lt;/foreign-keys&gt;&lt;ref-type name="Journal Article"&gt;17&lt;/ref-type&gt;&lt;contributors&gt;&lt;authors&gt;&lt;author&gt;Bucher, J. R.&lt;/author&gt;&lt;author&gt;Thayer, K.&lt;/author&gt;&lt;author&gt;Birnbaum, L. S.&lt;/author&gt;&lt;/authors&gt;&lt;/contributors&gt;&lt;titles&gt;&lt;title&gt;The Office of Health Assessment and Translation: A problem-solving resource for the National Toxicology Program&lt;/title&gt;&lt;secondary-title&gt;Environ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perspectives&lt;/abbr-1&gt;&lt;/alt-periodical&gt;&lt;pages&gt;A196-7&lt;/pages&gt;&lt;volume&gt;119&lt;/volume&gt;&lt;number&gt;5&lt;/number&gt;&lt;edition&gt;2011/05/03&lt;/edition&gt;&lt;keywords&gt;&lt;keyword&gt;National Health Programs&lt;/keyword&gt;&lt;keyword&gt;Problem Solving&lt;/keyword&gt;&lt;keyword&gt;Toxicology/ methods&lt;/keyword&gt;&lt;/keywords&gt;&lt;dates&gt;&lt;year&gt;2011&lt;/year&gt;&lt;pub-dates&gt;&lt;date&gt;May&lt;/date&gt;&lt;/pub-dates&gt;&lt;/dates&gt;&lt;isbn&gt;1552-9924 (Electronic)&amp;#xD;0091-6765 (Linking)&lt;/isbn&gt;&lt;urls&gt;&lt;/urls&gt;&lt;custom2&gt;3094430&lt;/custom2&gt;&lt;remote-database-provider&gt;NLM&lt;/remote-database-provider&gt;&lt;language&gt;eng&lt;/language&gt;&lt;/record&gt;&lt;/Cite&gt;&lt;/EndNote&gt;</w:instrText>
      </w:r>
      <w:r w:rsidR="00070E9C" w:rsidRPr="00F459F5">
        <w:rPr>
          <w:szCs w:val="22"/>
        </w:rPr>
        <w:fldChar w:fldCharType="separate"/>
      </w:r>
      <w:r w:rsidR="00C366D8">
        <w:rPr>
          <w:noProof/>
          <w:szCs w:val="22"/>
        </w:rPr>
        <w:t>(</w:t>
      </w:r>
      <w:hyperlink w:anchor="_ENREF_2" w:tooltip="Bucher, 2011 #260" w:history="1">
        <w:r w:rsidR="00C366D8">
          <w:rPr>
            <w:noProof/>
            <w:szCs w:val="22"/>
          </w:rPr>
          <w:t>Bucher et al. 2011</w:t>
        </w:r>
      </w:hyperlink>
      <w:r w:rsidR="00C366D8">
        <w:rPr>
          <w:noProof/>
          <w:szCs w:val="22"/>
        </w:rPr>
        <w:t>)</w:t>
      </w:r>
      <w:r w:rsidR="00070E9C" w:rsidRPr="00F459F5">
        <w:rPr>
          <w:szCs w:val="22"/>
        </w:rPr>
        <w:fldChar w:fldCharType="end"/>
      </w:r>
      <w:r w:rsidR="00FC5785">
        <w:rPr>
          <w:szCs w:val="22"/>
        </w:rPr>
        <w:t xml:space="preserve">. </w:t>
      </w:r>
      <w:r w:rsidR="00873395">
        <w:rPr>
          <w:szCs w:val="22"/>
        </w:rPr>
        <w:t xml:space="preserve">NTP has used this LoC framework to describe concern for </w:t>
      </w:r>
      <w:r w:rsidR="00551CEB">
        <w:rPr>
          <w:szCs w:val="22"/>
        </w:rPr>
        <w:t xml:space="preserve">human </w:t>
      </w:r>
      <w:r w:rsidR="00873395">
        <w:rPr>
          <w:szCs w:val="22"/>
        </w:rPr>
        <w:t>reproductive or developmental effects for 20 en</w:t>
      </w:r>
      <w:r w:rsidR="00E1491F">
        <w:rPr>
          <w:szCs w:val="22"/>
        </w:rPr>
        <w:t>vironmental substances. In 2011</w:t>
      </w:r>
      <w:r w:rsidR="001A3F0A">
        <w:rPr>
          <w:szCs w:val="22"/>
        </w:rPr>
        <w:t>,</w:t>
      </w:r>
      <w:r w:rsidR="00873395">
        <w:rPr>
          <w:szCs w:val="22"/>
        </w:rPr>
        <w:t xml:space="preserve"> </w:t>
      </w:r>
      <w:r w:rsidR="00AD4602">
        <w:rPr>
          <w:szCs w:val="22"/>
        </w:rPr>
        <w:t xml:space="preserve">NTP </w:t>
      </w:r>
      <w:r w:rsidR="00873395">
        <w:rPr>
          <w:szCs w:val="22"/>
        </w:rPr>
        <w:t xml:space="preserve">expanded the scope of these evaluations </w:t>
      </w:r>
      <w:r w:rsidR="00553B07">
        <w:rPr>
          <w:szCs w:val="22"/>
        </w:rPr>
        <w:t>to be more comprehensive and i</w:t>
      </w:r>
      <w:r w:rsidR="00873395">
        <w:rPr>
          <w:szCs w:val="22"/>
        </w:rPr>
        <w:t xml:space="preserve">nclude all non-cancer health outcomes </w:t>
      </w:r>
      <w:r w:rsidR="00873395" w:rsidRPr="00F459F5">
        <w:rPr>
          <w:szCs w:val="22"/>
        </w:rPr>
        <w:fldChar w:fldCharType="begin"/>
      </w:r>
      <w:r w:rsidR="00873395" w:rsidRPr="00F459F5">
        <w:rPr>
          <w:szCs w:val="22"/>
        </w:rPr>
        <w:instrText xml:space="preserve"> ADDIN EN.CITE &lt;EndNote&gt;&lt;Cite&gt;&lt;Author&gt;Bucher&lt;/Author&gt;&lt;Year&gt;2011&lt;/Year&gt;&lt;RecNum&gt;260&lt;/RecNum&gt;&lt;DisplayText&gt;(Bucher et al. 2011)&lt;/DisplayText&gt;&lt;record&gt;&lt;rec-number&gt;260&lt;/rec-number&gt;&lt;foreign-keys&gt;&lt;key app="EN" db-id="fpxw5dxzpwpda0ed29ppw9egt2p905paxaaa"&gt;260&lt;/key&gt;&lt;/foreign-keys&gt;&lt;ref-type name="Journal Article"&gt;17&lt;/ref-type&gt;&lt;contributors&gt;&lt;authors&gt;&lt;author&gt;Bucher, J. R.&lt;/author&gt;&lt;author&gt;Thayer, K.&lt;/author&gt;&lt;author&gt;Birnbaum, L. S.&lt;/author&gt;&lt;/authors&gt;&lt;/contributors&gt;&lt;titles&gt;&lt;title&gt;The Office of Health Assessment and Translation: A problem-solving resource for the National Toxicology Program&lt;/title&gt;&lt;secondary-title&gt;Environ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perspectives&lt;/abbr-1&gt;&lt;/alt-periodical&gt;&lt;pages&gt;A196-7&lt;/pages&gt;&lt;volume&gt;119&lt;/volume&gt;&lt;number&gt;5&lt;/number&gt;&lt;edition&gt;2011/05/03&lt;/edition&gt;&lt;keywords&gt;&lt;keyword&gt;National Health Programs&lt;/keyword&gt;&lt;keyword&gt;Problem Solving&lt;/keyword&gt;&lt;keyword&gt;Toxicology/ methods&lt;/keyword&gt;&lt;/keywords&gt;&lt;dates&gt;&lt;year&gt;2011&lt;/year&gt;&lt;pub-dates&gt;&lt;date&gt;May&lt;/date&gt;&lt;/pub-dates&gt;&lt;/dates&gt;&lt;isbn&gt;1552-9924 (Electronic)&amp;#xD;0091-6765 (Linking)&lt;/isbn&gt;&lt;urls&gt;&lt;/urls&gt;&lt;custom2&gt;3094430&lt;/custom2&gt;&lt;remote-database-provider&gt;NLM&lt;/remote-database-provider&gt;&lt;language&gt;eng&lt;/language&gt;&lt;/record&gt;&lt;/Cite&gt;&lt;/EndNote&gt;</w:instrText>
      </w:r>
      <w:r w:rsidR="00873395" w:rsidRPr="00F459F5">
        <w:rPr>
          <w:szCs w:val="22"/>
        </w:rPr>
        <w:fldChar w:fldCharType="separate"/>
      </w:r>
      <w:r w:rsidR="00873395" w:rsidRPr="00F459F5">
        <w:rPr>
          <w:noProof/>
          <w:szCs w:val="22"/>
        </w:rPr>
        <w:t>(</w:t>
      </w:r>
      <w:hyperlink w:anchor="_ENREF_2" w:tooltip="Bucher, 2011 #260" w:history="1">
        <w:r w:rsidR="00C366D8" w:rsidRPr="00F459F5">
          <w:rPr>
            <w:noProof/>
            <w:szCs w:val="22"/>
          </w:rPr>
          <w:t>Bucher et al. 2011</w:t>
        </w:r>
      </w:hyperlink>
      <w:r w:rsidR="00873395" w:rsidRPr="00F459F5">
        <w:rPr>
          <w:noProof/>
          <w:szCs w:val="22"/>
        </w:rPr>
        <w:t>)</w:t>
      </w:r>
      <w:r w:rsidR="00873395" w:rsidRPr="00F459F5">
        <w:rPr>
          <w:szCs w:val="22"/>
        </w:rPr>
        <w:fldChar w:fldCharType="end"/>
      </w:r>
      <w:r w:rsidR="00B06548">
        <w:rPr>
          <w:szCs w:val="22"/>
        </w:rPr>
        <w:t>,</w:t>
      </w:r>
      <w:r w:rsidR="00E1491F">
        <w:rPr>
          <w:color w:val="000000"/>
          <w:szCs w:val="22"/>
        </w:rPr>
        <w:t xml:space="preserve"> and</w:t>
      </w:r>
      <w:r w:rsidR="00E1491F">
        <w:rPr>
          <w:szCs w:val="22"/>
        </w:rPr>
        <w:t xml:space="preserve"> </w:t>
      </w:r>
      <w:r w:rsidR="00E1491F">
        <w:rPr>
          <w:color w:val="000000"/>
          <w:szCs w:val="22"/>
        </w:rPr>
        <w:t>in</w:t>
      </w:r>
      <w:r w:rsidR="00E1491F">
        <w:rPr>
          <w:szCs w:val="22"/>
        </w:rPr>
        <w:t xml:space="preserve"> 2014</w:t>
      </w:r>
      <w:r w:rsidR="001A3F0A">
        <w:rPr>
          <w:szCs w:val="22"/>
        </w:rPr>
        <w:t>,</w:t>
      </w:r>
      <w:r w:rsidR="00E1491F">
        <w:rPr>
          <w:szCs w:val="22"/>
        </w:rPr>
        <w:t xml:space="preserve"> </w:t>
      </w:r>
      <w:r w:rsidR="00B06548">
        <w:rPr>
          <w:szCs w:val="22"/>
        </w:rPr>
        <w:t xml:space="preserve">NTP </w:t>
      </w:r>
      <w:r w:rsidR="00E1491F">
        <w:rPr>
          <w:color w:val="000000"/>
          <w:szCs w:val="22"/>
        </w:rPr>
        <w:t>implemented a new approach for conduct</w:t>
      </w:r>
      <w:r w:rsidR="00551CEB">
        <w:rPr>
          <w:color w:val="000000"/>
          <w:szCs w:val="22"/>
        </w:rPr>
        <w:t>ing</w:t>
      </w:r>
      <w:r w:rsidR="00E1491F">
        <w:rPr>
          <w:color w:val="000000"/>
          <w:szCs w:val="22"/>
        </w:rPr>
        <w:t xml:space="preserve"> </w:t>
      </w:r>
      <w:r w:rsidR="00551CEB">
        <w:rPr>
          <w:color w:val="000000"/>
          <w:szCs w:val="22"/>
        </w:rPr>
        <w:t>these</w:t>
      </w:r>
      <w:r w:rsidR="00E1491F">
        <w:rPr>
          <w:color w:val="000000"/>
          <w:szCs w:val="22"/>
        </w:rPr>
        <w:t xml:space="preserve"> literature-based evaluations that uses system</w:t>
      </w:r>
      <w:r w:rsidR="00E1491F">
        <w:rPr>
          <w:szCs w:val="22"/>
        </w:rPr>
        <w:t xml:space="preserve">-review methodologies </w:t>
      </w:r>
      <w:r w:rsidR="00E1491F" w:rsidRPr="00B94DFC">
        <w:rPr>
          <w:color w:val="000000"/>
        </w:rPr>
        <w:fldChar w:fldCharType="begin">
          <w:fldData xml:space="preserve">PEVuZE5vdGU+PENpdGU+PEF1dGhvcj5CaXJuYmF1bTwvQXV0aG9yPjxZZWFyPjIwMTM8L1llYXI+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</w:fldData>
        </w:fldChar>
      </w:r>
      <w:r w:rsidR="00E1491F" w:rsidRPr="007078F3">
        <w:rPr>
          <w:color w:val="000000"/>
        </w:rPr>
        <w:instrText xml:space="preserve"> ADDIN EN.CITE </w:instrText>
      </w:r>
      <w:r w:rsidR="00E1491F" w:rsidRPr="00B94DFC">
        <w:rPr>
          <w:color w:val="000000"/>
        </w:rPr>
        <w:fldChar w:fldCharType="begin">
          <w:fldData xml:space="preserve">PEVuZE5vdGU+PENpdGU+PEF1dGhvcj5CaXJuYmF1bTwvQXV0aG9yPjxZZWFyPjIwMTM8L1llYXI+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</w:fldData>
        </w:fldChar>
      </w:r>
      <w:r w:rsidR="00E1491F" w:rsidRPr="007078F3">
        <w:rPr>
          <w:color w:val="000000"/>
        </w:rPr>
        <w:instrText xml:space="preserve"> ADDIN EN.CITE.DATA </w:instrText>
      </w:r>
      <w:r w:rsidR="00E1491F" w:rsidRPr="00B94DFC">
        <w:rPr>
          <w:color w:val="000000"/>
        </w:rPr>
      </w:r>
      <w:r w:rsidR="00E1491F" w:rsidRPr="00B94DFC">
        <w:rPr>
          <w:color w:val="000000"/>
        </w:rPr>
        <w:fldChar w:fldCharType="end"/>
      </w:r>
      <w:r w:rsidR="00E1491F" w:rsidRPr="00B94DFC">
        <w:rPr>
          <w:color w:val="000000"/>
        </w:rPr>
      </w:r>
      <w:r w:rsidR="00E1491F" w:rsidRPr="00B94DFC">
        <w:rPr>
          <w:color w:val="000000"/>
        </w:rPr>
        <w:fldChar w:fldCharType="separate"/>
      </w:r>
      <w:r w:rsidR="00E1491F" w:rsidRPr="007078F3">
        <w:rPr>
          <w:noProof/>
          <w:color w:val="000000"/>
        </w:rPr>
        <w:t>(</w:t>
      </w:r>
      <w:hyperlink w:anchor="_ENREF_1" w:tooltip="Birnbaum, 2013 #325" w:history="1">
        <w:r w:rsidR="00C366D8" w:rsidRPr="007078F3">
          <w:rPr>
            <w:noProof/>
            <w:color w:val="000000"/>
          </w:rPr>
          <w:t>Birnbaum et al. 2013</w:t>
        </w:r>
      </w:hyperlink>
      <w:r w:rsidR="00E1491F" w:rsidRPr="007078F3">
        <w:rPr>
          <w:noProof/>
          <w:color w:val="000000"/>
        </w:rPr>
        <w:t xml:space="preserve">; </w:t>
      </w:r>
      <w:hyperlink w:anchor="_ENREF_5" w:tooltip="NTP (National Toxicology Program), 2013 #394" w:history="1">
        <w:r w:rsidR="00C366D8" w:rsidRPr="007078F3">
          <w:rPr>
            <w:noProof/>
            <w:color w:val="000000"/>
          </w:rPr>
          <w:t>NTP 2013</w:t>
        </w:r>
      </w:hyperlink>
      <w:r w:rsidR="00E1491F" w:rsidRPr="007078F3">
        <w:rPr>
          <w:noProof/>
          <w:color w:val="000000"/>
        </w:rPr>
        <w:t xml:space="preserve">; </w:t>
      </w:r>
      <w:hyperlink w:anchor="_ENREF_7" w:tooltip="Rooney, 2014 #381" w:history="1">
        <w:r w:rsidR="00C366D8" w:rsidRPr="007078F3">
          <w:rPr>
            <w:noProof/>
            <w:color w:val="000000"/>
          </w:rPr>
          <w:t>Rooney et al. 2014</w:t>
        </w:r>
      </w:hyperlink>
      <w:r w:rsidR="00E1491F" w:rsidRPr="007078F3">
        <w:rPr>
          <w:noProof/>
          <w:color w:val="000000"/>
        </w:rPr>
        <w:t>)</w:t>
      </w:r>
      <w:r w:rsidR="00E1491F" w:rsidRPr="00B94DFC">
        <w:rPr>
          <w:color w:val="000000"/>
        </w:rPr>
        <w:fldChar w:fldCharType="end"/>
      </w:r>
      <w:r w:rsidR="00E1491F">
        <w:rPr>
          <w:szCs w:val="22"/>
        </w:rPr>
        <w:t>.</w:t>
      </w:r>
    </w:p>
    <w:p w14:paraId="031173D6" w14:textId="48417F75" w:rsidR="00FC5785" w:rsidRDefault="00F459F5" w:rsidP="00947B13">
      <w:pPr>
        <w:rPr>
          <w:color w:val="000000"/>
          <w:szCs w:val="22"/>
        </w:rPr>
      </w:pPr>
      <w:r w:rsidRPr="00F459F5">
        <w:rPr>
          <w:color w:val="000000"/>
          <w:szCs w:val="22"/>
        </w:rPr>
        <w:t>LoC categories are not strictly defined, and conclusions regarding the appropriate category are based on a number of factors including the following:</w:t>
      </w:r>
      <w:r w:rsidR="00670356">
        <w:rPr>
          <w:color w:val="000000"/>
          <w:szCs w:val="22"/>
        </w:rPr>
        <w:t xml:space="preserve"> </w:t>
      </w:r>
      <w:r w:rsidRPr="00F459F5">
        <w:rPr>
          <w:color w:val="000000"/>
          <w:szCs w:val="22"/>
        </w:rPr>
        <w:t xml:space="preserve"> the </w:t>
      </w:r>
      <w:r w:rsidR="00A25E8A">
        <w:rPr>
          <w:color w:val="000000"/>
          <w:szCs w:val="22"/>
        </w:rPr>
        <w:t xml:space="preserve">hazard identification assessment of the </w:t>
      </w:r>
      <w:r w:rsidRPr="00F459F5">
        <w:rPr>
          <w:color w:val="000000"/>
          <w:szCs w:val="22"/>
        </w:rPr>
        <w:t>potential adversity to humans of the health outcomes(s) identified in animal and/or human studies, the extent and nature of exposure, and pharmacokinetic factors. The LoC framework has been very useful as an approach for integrating conclusions on hazard identification with what is known about human exposure without conducting a quantitative risk assessment, which falls outside the scope of NTP’s activities</w:t>
      </w:r>
      <w:r w:rsidR="00E1491F">
        <w:rPr>
          <w:color w:val="000000"/>
          <w:szCs w:val="22"/>
        </w:rPr>
        <w:t>.</w:t>
      </w:r>
    </w:p>
    <w:p w14:paraId="2D742400" w14:textId="77777777" w:rsidR="00C02F4A" w:rsidRDefault="00F459F5" w:rsidP="00947B13">
      <w:pPr>
        <w:rPr>
          <w:color w:val="000000"/>
          <w:szCs w:val="22"/>
        </w:rPr>
      </w:pPr>
      <w:r w:rsidRPr="00F459F5">
        <w:rPr>
          <w:color w:val="000000"/>
          <w:szCs w:val="22"/>
        </w:rPr>
        <w:t xml:space="preserve">NTP’s decision to update the LoC framework is influenced by several factors. First, it appears that the public and some of NTP’s scientific advisors </w:t>
      </w:r>
      <w:r w:rsidR="00140BD8">
        <w:rPr>
          <w:color w:val="000000"/>
          <w:szCs w:val="22"/>
        </w:rPr>
        <w:t xml:space="preserve">have </w:t>
      </w:r>
      <w:r w:rsidRPr="00F459F5">
        <w:rPr>
          <w:color w:val="000000"/>
          <w:szCs w:val="22"/>
        </w:rPr>
        <w:t>experience</w:t>
      </w:r>
      <w:r w:rsidR="00140BD8">
        <w:rPr>
          <w:color w:val="000000"/>
          <w:szCs w:val="22"/>
        </w:rPr>
        <w:t>d</w:t>
      </w:r>
      <w:r w:rsidRPr="00F459F5">
        <w:rPr>
          <w:color w:val="000000"/>
          <w:szCs w:val="22"/>
        </w:rPr>
        <w:t xml:space="preserve"> confusion regarding the meanings </w:t>
      </w:r>
      <w:r w:rsidR="00665BC7">
        <w:rPr>
          <w:color w:val="000000"/>
          <w:szCs w:val="22"/>
        </w:rPr>
        <w:t>of</w:t>
      </w:r>
      <w:r w:rsidR="00665BC7" w:rsidRPr="00F459F5">
        <w:rPr>
          <w:color w:val="000000"/>
          <w:szCs w:val="22"/>
        </w:rPr>
        <w:t xml:space="preserve"> </w:t>
      </w:r>
      <w:r w:rsidRPr="00F459F5">
        <w:rPr>
          <w:color w:val="000000"/>
          <w:szCs w:val="22"/>
        </w:rPr>
        <w:t>LoC categories, e.g. “negligible concern” versus “minimal concern” or “some concern” versus “concern”</w:t>
      </w:r>
      <w:r w:rsidRPr="00F459F5">
        <w:rPr>
          <w:szCs w:val="22"/>
        </w:rPr>
        <w:t xml:space="preserve"> </w:t>
      </w:r>
      <w:r w:rsidRPr="00F459F5">
        <w:rPr>
          <w:color w:val="000000"/>
          <w:szCs w:val="22"/>
        </w:rPr>
        <w:fldChar w:fldCharType="begin"/>
      </w:r>
      <w:r w:rsidRPr="00F459F5">
        <w:rPr>
          <w:color w:val="000000"/>
          <w:szCs w:val="22"/>
        </w:rPr>
        <w:instrText xml:space="preserve"> ADDIN EN.CITE &lt;EndNote&gt;&lt;Cite ExcludeAuth="1"&gt;&lt;Author&gt;NTP (National Toxicology Program)&lt;/Author&gt;&lt;Year&gt;2008&lt;/Year&gt;&lt;RecNum&gt;411&lt;/RecNum&gt;&lt;Prefix&gt;NTP &lt;/Prefix&gt;&lt;DisplayText&gt;(NTP 2008)&lt;/DisplayText&gt;&lt;record&gt;&lt;rec-number&gt;411&lt;/rec-number&gt;&lt;foreign-keys&gt;&lt;key app="EN" db-id="fpxw5dxzpwpda0ed29ppw9egt2p905paxaaa"&gt;411&lt;/key&gt;&lt;/foreign-keys&gt;&lt;ref-type name="Journal Article"&gt;17&lt;/ref-type&gt;&lt;contributors&gt;&lt;authors&gt;&lt;author&gt;NTP (National Toxicology Program),&lt;/author&gt;&lt;/authors&gt;&lt;/contributors&gt;&lt;titles&gt;&lt;title&gt;Peer review report for draft OHAT Monograph on Bisphenol A, June 11-12, 2008, http://ntp.niehs.nih.gov/ntp/about_ntp/bsc/2008/june/minutes20080612.pdf; [accessed 29 September 2014]&lt;/title&gt;&lt;/titles&gt;&lt;dates&gt;&lt;year&gt;2008&lt;/year&gt;&lt;/dates&gt;&lt;urls&gt;&lt;/urls&gt;&lt;/record&gt;&lt;/Cite&gt;&lt;/EndNote&gt;</w:instrText>
      </w:r>
      <w:r w:rsidRPr="00F459F5">
        <w:rPr>
          <w:color w:val="000000"/>
          <w:szCs w:val="22"/>
        </w:rPr>
        <w:fldChar w:fldCharType="separate"/>
      </w:r>
      <w:r w:rsidRPr="00F459F5">
        <w:rPr>
          <w:noProof/>
          <w:color w:val="000000"/>
          <w:szCs w:val="22"/>
        </w:rPr>
        <w:t>(</w:t>
      </w:r>
      <w:hyperlink w:anchor="_ENREF_6" w:tooltip="NTP (National Toxicology Program), 2008 #411" w:history="1">
        <w:r w:rsidR="00C366D8" w:rsidRPr="00F459F5">
          <w:rPr>
            <w:noProof/>
            <w:color w:val="000000"/>
            <w:szCs w:val="22"/>
          </w:rPr>
          <w:t>NTP 2008</w:t>
        </w:r>
      </w:hyperlink>
      <w:r w:rsidRPr="00F459F5">
        <w:rPr>
          <w:noProof/>
          <w:color w:val="000000"/>
          <w:szCs w:val="22"/>
        </w:rPr>
        <w:t>)</w:t>
      </w:r>
      <w:r w:rsidRPr="00F459F5">
        <w:rPr>
          <w:color w:val="000000"/>
          <w:szCs w:val="22"/>
        </w:rPr>
        <w:fldChar w:fldCharType="end"/>
      </w:r>
      <w:r w:rsidRPr="00F459F5">
        <w:rPr>
          <w:color w:val="000000"/>
          <w:szCs w:val="22"/>
        </w:rPr>
        <w:t xml:space="preserve">. This confusion indicates a need to clarify what the LoC categories mean and how NTP reaches conclusions about them, as well as to re-assess </w:t>
      </w:r>
      <w:r w:rsidRPr="00F459F5">
        <w:rPr>
          <w:color w:val="000000"/>
          <w:szCs w:val="22"/>
        </w:rPr>
        <w:lastRenderedPageBreak/>
        <w:t xml:space="preserve">whether the current 5-point </w:t>
      </w:r>
      <w:r w:rsidR="00985918">
        <w:rPr>
          <w:color w:val="000000"/>
          <w:szCs w:val="22"/>
        </w:rPr>
        <w:t xml:space="preserve">“concern” </w:t>
      </w:r>
      <w:r w:rsidRPr="00F459F5">
        <w:rPr>
          <w:color w:val="000000"/>
          <w:szCs w:val="22"/>
        </w:rPr>
        <w:t xml:space="preserve">scale is optimal or the most intuitive.  Second, </w:t>
      </w:r>
      <w:r w:rsidR="00134637">
        <w:rPr>
          <w:color w:val="000000"/>
          <w:szCs w:val="22"/>
        </w:rPr>
        <w:t xml:space="preserve">as part of </w:t>
      </w:r>
      <w:r w:rsidR="00665BC7">
        <w:rPr>
          <w:color w:val="000000"/>
          <w:szCs w:val="22"/>
        </w:rPr>
        <w:t xml:space="preserve">its </w:t>
      </w:r>
      <w:r w:rsidR="00134637">
        <w:rPr>
          <w:color w:val="000000"/>
          <w:szCs w:val="22"/>
        </w:rPr>
        <w:t>implement</w:t>
      </w:r>
      <w:r w:rsidR="00665BC7">
        <w:rPr>
          <w:color w:val="000000"/>
          <w:szCs w:val="22"/>
        </w:rPr>
        <w:t>ation of</w:t>
      </w:r>
      <w:r w:rsidR="00134637">
        <w:rPr>
          <w:color w:val="000000"/>
          <w:szCs w:val="22"/>
        </w:rPr>
        <w:t xml:space="preserve"> syst</w:t>
      </w:r>
      <w:r w:rsidR="00665BC7">
        <w:rPr>
          <w:color w:val="000000"/>
          <w:szCs w:val="22"/>
        </w:rPr>
        <w:t>ematic review methodologies in</w:t>
      </w:r>
      <w:r w:rsidR="00134637">
        <w:rPr>
          <w:color w:val="000000"/>
          <w:szCs w:val="22"/>
        </w:rPr>
        <w:t xml:space="preserve"> literature-based evaluations, NTP </w:t>
      </w:r>
      <w:r w:rsidR="00E14413">
        <w:rPr>
          <w:color w:val="000000"/>
          <w:szCs w:val="22"/>
        </w:rPr>
        <w:t xml:space="preserve">has </w:t>
      </w:r>
      <w:r w:rsidR="00134637">
        <w:rPr>
          <w:color w:val="000000"/>
          <w:szCs w:val="22"/>
        </w:rPr>
        <w:t>changed the</w:t>
      </w:r>
      <w:r w:rsidR="00E1491F">
        <w:rPr>
          <w:color w:val="000000"/>
          <w:szCs w:val="22"/>
        </w:rPr>
        <w:t xml:space="preserve"> </w:t>
      </w:r>
      <w:r w:rsidRPr="00F459F5">
        <w:rPr>
          <w:color w:val="000000"/>
          <w:szCs w:val="22"/>
        </w:rPr>
        <w:t xml:space="preserve">approach </w:t>
      </w:r>
      <w:r w:rsidR="00134637">
        <w:rPr>
          <w:color w:val="000000"/>
          <w:szCs w:val="22"/>
        </w:rPr>
        <w:t>and</w:t>
      </w:r>
      <w:r w:rsidRPr="00F459F5">
        <w:rPr>
          <w:color w:val="000000"/>
          <w:szCs w:val="22"/>
        </w:rPr>
        <w:t xml:space="preserve"> categories </w:t>
      </w:r>
      <w:r w:rsidR="00670356">
        <w:rPr>
          <w:color w:val="000000"/>
          <w:szCs w:val="22"/>
        </w:rPr>
        <w:t xml:space="preserve">it </w:t>
      </w:r>
      <w:r w:rsidR="00157303">
        <w:rPr>
          <w:color w:val="000000"/>
          <w:szCs w:val="22"/>
        </w:rPr>
        <w:t>uses</w:t>
      </w:r>
      <w:r w:rsidR="00670356">
        <w:rPr>
          <w:color w:val="000000"/>
          <w:szCs w:val="22"/>
        </w:rPr>
        <w:t xml:space="preserve"> </w:t>
      </w:r>
      <w:r w:rsidRPr="00F459F5">
        <w:rPr>
          <w:color w:val="000000"/>
          <w:szCs w:val="22"/>
        </w:rPr>
        <w:t xml:space="preserve">to </w:t>
      </w:r>
      <w:r w:rsidR="00670356">
        <w:rPr>
          <w:color w:val="000000"/>
          <w:szCs w:val="22"/>
        </w:rPr>
        <w:t xml:space="preserve">reach and </w:t>
      </w:r>
      <w:r w:rsidRPr="00F459F5">
        <w:rPr>
          <w:color w:val="000000"/>
          <w:szCs w:val="22"/>
        </w:rPr>
        <w:t xml:space="preserve">describe hazard conclusions </w:t>
      </w:r>
      <w:r w:rsidRPr="00F459F5">
        <w:rPr>
          <w:color w:val="000000"/>
          <w:szCs w:val="22"/>
        </w:rPr>
        <w:fldChar w:fldCharType="begin"/>
      </w:r>
      <w:r w:rsidRPr="00F459F5">
        <w:rPr>
          <w:color w:val="000000"/>
          <w:szCs w:val="22"/>
        </w:rPr>
        <w:instrText xml:space="preserve"> ADDIN EN.CITE &lt;EndNote&gt;&lt;Cite&gt;&lt;Author&gt;Rooney&lt;/Author&gt;&lt;Year&gt;2014&lt;/Year&gt;&lt;RecNum&gt;381&lt;/RecNum&gt;&lt;DisplayText&gt;(Rooney et al. 2014)&lt;/DisplayText&gt;&lt;record&gt;&lt;rec-number&gt;381&lt;/rec-number&gt;&lt;foreign-keys&gt;&lt;key app="EN" db-id="fpxw5dxzpwpda0ed29ppw9egt2p905paxaaa"&gt;381&lt;/key&gt;&lt;/foreign-keys&gt;&lt;ref-type name="Journal Article"&gt;17&lt;/ref-type&gt;&lt;contributors&gt;&lt;authors&gt;&lt;author&gt;Rooney, A. A.&lt;/author&gt;&lt;author&gt;Boyles, A. L.&lt;/author&gt;&lt;author&gt;Wolfe, M. S.&lt;/author&gt;&lt;author&gt;Bucher, J. R.&lt;/author&gt;&lt;author&gt;Thayer, K. A.&lt;/author&gt;&lt;/authors&gt;&lt;/contributors&gt;&lt;titles&gt;&lt;title&gt;Systematic review and evidence integration for literature-based environmental health science assessments&lt;/title&gt;&lt;secondary-title&gt;Environ Health Perspect&lt;/secondary-title&gt;&lt;/titles&gt;&lt;periodical&gt;&lt;full-title&gt;Environ Health Perspect&lt;/full-title&gt;&lt;abbr-1&gt;Environmental health perspectives&lt;/abbr-1&gt;&lt;/periodical&gt;&lt;dates&gt;&lt;year&gt;2014&lt;/year&gt;&lt;pub-dates&gt;&lt;date&gt;2014 Apr 22&lt;/date&gt;&lt;/pub-dates&gt;&lt;/dates&gt;&lt;isbn&gt;1552-9924 (Electronic)&amp;#xD;0091-6765 (Linking)&lt;/isbn&gt;&lt;accession-num&gt;24755067&lt;/accession-num&gt;&lt;work-type&gt;Journal article&lt;/work-type&gt;&lt;urls&gt;&lt;related-urls&gt;&lt;url&gt;http://www.ncbi.nlm.nih.gov/entrez/query.fcgi?cmd=Retrieve&amp;amp;db=pubmed&amp;amp;dopt=Citation&amp;amp;list_uids=24755067&lt;/url&gt;&lt;url&gt;file:///C|/Users/thayer/AppData/Local/Quosa/Data/My%20Citations/64e6r8t3ql5kbcrdv898mgqf1g.qpw&lt;/url&gt;&lt;/related-urls&gt;&lt;/urls&gt;&lt;electronic-resource-num&gt;10.1289/ehp.1307972&lt;/electronic-resource-num&gt;&lt;language&gt;Eng&lt;/language&gt;&lt;/record&gt;&lt;/Cite&gt;&lt;/EndNote&gt;</w:instrText>
      </w:r>
      <w:r w:rsidRPr="00F459F5">
        <w:rPr>
          <w:color w:val="000000"/>
          <w:szCs w:val="22"/>
        </w:rPr>
        <w:fldChar w:fldCharType="separate"/>
      </w:r>
      <w:r w:rsidRPr="00F459F5">
        <w:rPr>
          <w:noProof/>
          <w:color w:val="000000"/>
          <w:szCs w:val="22"/>
        </w:rPr>
        <w:t>(</w:t>
      </w:r>
      <w:hyperlink w:anchor="_ENREF_7" w:tooltip="Rooney, 2014 #381" w:history="1">
        <w:r w:rsidR="00C366D8" w:rsidRPr="00F459F5">
          <w:rPr>
            <w:noProof/>
            <w:color w:val="000000"/>
            <w:szCs w:val="22"/>
          </w:rPr>
          <w:t>Rooney et al. 2014</w:t>
        </w:r>
      </w:hyperlink>
      <w:r w:rsidRPr="00F459F5">
        <w:rPr>
          <w:noProof/>
          <w:color w:val="000000"/>
          <w:szCs w:val="22"/>
        </w:rPr>
        <w:t>)</w:t>
      </w:r>
      <w:r w:rsidRPr="00F459F5">
        <w:rPr>
          <w:color w:val="000000"/>
          <w:szCs w:val="22"/>
        </w:rPr>
        <w:fldChar w:fldCharType="end"/>
      </w:r>
      <w:r w:rsidR="0000007F">
        <w:rPr>
          <w:color w:val="000000"/>
          <w:szCs w:val="22"/>
        </w:rPr>
        <w:t>,</w:t>
      </w:r>
      <w:r w:rsidRPr="00F459F5">
        <w:rPr>
          <w:color w:val="000000"/>
          <w:szCs w:val="22"/>
        </w:rPr>
        <w:t xml:space="preserve"> and these changes need to be incorporated into the LoC framework. In particular, the </w:t>
      </w:r>
      <w:r w:rsidR="00A25E8A">
        <w:rPr>
          <w:color w:val="000000"/>
          <w:szCs w:val="22"/>
        </w:rPr>
        <w:t>current</w:t>
      </w:r>
      <w:r w:rsidR="00A25E8A" w:rsidRPr="00F459F5">
        <w:rPr>
          <w:color w:val="000000"/>
          <w:szCs w:val="22"/>
        </w:rPr>
        <w:t xml:space="preserve"> </w:t>
      </w:r>
      <w:r w:rsidRPr="00F459F5">
        <w:rPr>
          <w:color w:val="000000"/>
          <w:szCs w:val="22"/>
        </w:rPr>
        <w:t xml:space="preserve">approach for developing LoC conclusions </w:t>
      </w:r>
      <w:r w:rsidR="00A25E8A">
        <w:rPr>
          <w:color w:val="000000"/>
          <w:szCs w:val="22"/>
        </w:rPr>
        <w:t>is</w:t>
      </w:r>
      <w:r w:rsidR="00A25E8A" w:rsidRPr="00F459F5">
        <w:rPr>
          <w:color w:val="000000"/>
          <w:szCs w:val="22"/>
        </w:rPr>
        <w:t xml:space="preserve"> </w:t>
      </w:r>
      <w:r w:rsidRPr="00F459F5">
        <w:rPr>
          <w:color w:val="000000"/>
          <w:szCs w:val="22"/>
        </w:rPr>
        <w:t>based on separate hazard identification assessments of animal and human studies. The new approach</w:t>
      </w:r>
      <w:r w:rsidR="00C02F4A">
        <w:rPr>
          <w:color w:val="000000"/>
          <w:szCs w:val="22"/>
        </w:rPr>
        <w:t xml:space="preserve"> for reaching hazard conclusions</w:t>
      </w:r>
      <w:r w:rsidRPr="00F459F5">
        <w:rPr>
          <w:color w:val="000000"/>
          <w:szCs w:val="22"/>
        </w:rPr>
        <w:t xml:space="preserve"> </w:t>
      </w:r>
      <w:r w:rsidR="000529E4">
        <w:rPr>
          <w:color w:val="000000"/>
          <w:szCs w:val="22"/>
        </w:rPr>
        <w:t xml:space="preserve">identifies relevant and reliable data, </w:t>
      </w:r>
      <w:r w:rsidRPr="00F459F5">
        <w:rPr>
          <w:color w:val="000000"/>
          <w:szCs w:val="22"/>
        </w:rPr>
        <w:t>integrates across animal and human evidence</w:t>
      </w:r>
      <w:r w:rsidR="000529E4">
        <w:rPr>
          <w:color w:val="000000"/>
          <w:szCs w:val="22"/>
        </w:rPr>
        <w:t>,</w:t>
      </w:r>
      <w:r w:rsidRPr="00F459F5">
        <w:rPr>
          <w:color w:val="000000"/>
          <w:szCs w:val="22"/>
        </w:rPr>
        <w:t xml:space="preserve"> and considers the degree of support from in-vitro, cellular</w:t>
      </w:r>
      <w:r w:rsidR="00920F1D">
        <w:rPr>
          <w:color w:val="000000"/>
          <w:szCs w:val="22"/>
        </w:rPr>
        <w:t>,</w:t>
      </w:r>
      <w:r w:rsidRPr="00F459F5">
        <w:rPr>
          <w:color w:val="000000"/>
          <w:szCs w:val="22"/>
        </w:rPr>
        <w:t xml:space="preserve"> and molecular based studies, or mechanistic studies, to reach a single category for hazard identification.</w:t>
      </w:r>
      <w:r w:rsidR="00C02F4A" w:rsidRPr="00C02F4A">
        <w:rPr>
          <w:color w:val="000000"/>
          <w:szCs w:val="22"/>
        </w:rPr>
        <w:t xml:space="preserve"> </w:t>
      </w:r>
      <w:r w:rsidR="00C02F4A">
        <w:rPr>
          <w:color w:val="000000"/>
          <w:szCs w:val="22"/>
        </w:rPr>
        <w:t>The single category for hazard identification will be integrated with information about exposure to reach a LoC conclusion.</w:t>
      </w:r>
      <w:r w:rsidR="00134637">
        <w:rPr>
          <w:color w:val="000000"/>
          <w:szCs w:val="22"/>
        </w:rPr>
        <w:t xml:space="preserve"> As a result</w:t>
      </w:r>
      <w:r w:rsidR="00670356">
        <w:rPr>
          <w:color w:val="000000"/>
          <w:szCs w:val="22"/>
        </w:rPr>
        <w:t>,</w:t>
      </w:r>
      <w:r w:rsidR="00134637">
        <w:rPr>
          <w:color w:val="000000"/>
          <w:szCs w:val="22"/>
        </w:rPr>
        <w:t xml:space="preserve"> </w:t>
      </w:r>
      <w:r w:rsidR="009A5D27">
        <w:rPr>
          <w:color w:val="000000"/>
          <w:szCs w:val="22"/>
        </w:rPr>
        <w:t xml:space="preserve">NTP </w:t>
      </w:r>
      <w:r w:rsidR="00C235B9">
        <w:rPr>
          <w:color w:val="000000"/>
          <w:szCs w:val="22"/>
        </w:rPr>
        <w:t>now plans to conduct exploratory work into how the</w:t>
      </w:r>
      <w:r w:rsidR="00A25E8A">
        <w:rPr>
          <w:color w:val="000000"/>
          <w:szCs w:val="22"/>
        </w:rPr>
        <w:t xml:space="preserve"> LoC framework </w:t>
      </w:r>
      <w:r w:rsidR="00C235B9">
        <w:rPr>
          <w:color w:val="000000"/>
          <w:szCs w:val="22"/>
        </w:rPr>
        <w:t xml:space="preserve">may be updated in order </w:t>
      </w:r>
      <w:r w:rsidR="00A25E8A">
        <w:rPr>
          <w:color w:val="000000"/>
          <w:szCs w:val="22"/>
        </w:rPr>
        <w:t xml:space="preserve">to integrate the new hazard conclusions </w:t>
      </w:r>
      <w:r w:rsidR="00B37DCC">
        <w:rPr>
          <w:color w:val="000000"/>
          <w:szCs w:val="22"/>
        </w:rPr>
        <w:t>into the decision-making process</w:t>
      </w:r>
      <w:r w:rsidR="00C235B9">
        <w:rPr>
          <w:color w:val="000000"/>
          <w:szCs w:val="22"/>
        </w:rPr>
        <w:t xml:space="preserve">.  NTP is also </w:t>
      </w:r>
      <w:r w:rsidR="00665BC7">
        <w:rPr>
          <w:color w:val="000000"/>
          <w:szCs w:val="22"/>
        </w:rPr>
        <w:t>re-</w:t>
      </w:r>
      <w:r w:rsidR="00A25E8A">
        <w:rPr>
          <w:color w:val="000000"/>
          <w:szCs w:val="22"/>
        </w:rPr>
        <w:t>assess</w:t>
      </w:r>
      <w:r w:rsidR="00C235B9">
        <w:rPr>
          <w:color w:val="000000"/>
          <w:szCs w:val="22"/>
        </w:rPr>
        <w:t>ing</w:t>
      </w:r>
      <w:r w:rsidR="00A25E8A">
        <w:rPr>
          <w:color w:val="000000"/>
          <w:szCs w:val="22"/>
        </w:rPr>
        <w:t xml:space="preserve"> </w:t>
      </w:r>
      <w:r w:rsidR="00B37DCC">
        <w:rPr>
          <w:color w:val="000000"/>
          <w:szCs w:val="22"/>
        </w:rPr>
        <w:t>th</w:t>
      </w:r>
      <w:r w:rsidR="007C685F">
        <w:rPr>
          <w:color w:val="000000"/>
          <w:szCs w:val="22"/>
        </w:rPr>
        <w:t xml:space="preserve">e number and labels of LoC categories </w:t>
      </w:r>
      <w:r w:rsidR="00B37DCC">
        <w:rPr>
          <w:color w:val="000000"/>
          <w:szCs w:val="22"/>
        </w:rPr>
        <w:t xml:space="preserve">to determine </w:t>
      </w:r>
      <w:r w:rsidR="00A25E8A">
        <w:rPr>
          <w:color w:val="000000"/>
          <w:szCs w:val="22"/>
        </w:rPr>
        <w:t xml:space="preserve">what changes are needed to </w:t>
      </w:r>
      <w:r w:rsidR="00B37DCC">
        <w:rPr>
          <w:color w:val="000000"/>
          <w:szCs w:val="22"/>
        </w:rPr>
        <w:t>enhance</w:t>
      </w:r>
      <w:r w:rsidR="00A25E8A">
        <w:rPr>
          <w:color w:val="000000"/>
          <w:szCs w:val="22"/>
        </w:rPr>
        <w:t xml:space="preserve"> </w:t>
      </w:r>
      <w:r w:rsidR="007C685F">
        <w:rPr>
          <w:color w:val="000000"/>
          <w:szCs w:val="22"/>
        </w:rPr>
        <w:t xml:space="preserve">the framework’s </w:t>
      </w:r>
      <w:r w:rsidR="00A25E8A">
        <w:rPr>
          <w:color w:val="000000"/>
          <w:szCs w:val="22"/>
        </w:rPr>
        <w:t xml:space="preserve">transparency </w:t>
      </w:r>
      <w:r w:rsidR="000529E4">
        <w:rPr>
          <w:color w:val="000000"/>
          <w:szCs w:val="22"/>
        </w:rPr>
        <w:t xml:space="preserve">in </w:t>
      </w:r>
      <w:r w:rsidR="00556FE8">
        <w:rPr>
          <w:color w:val="000000"/>
          <w:szCs w:val="22"/>
        </w:rPr>
        <w:t xml:space="preserve">describing </w:t>
      </w:r>
      <w:r w:rsidR="000529E4">
        <w:rPr>
          <w:color w:val="000000"/>
          <w:szCs w:val="22"/>
        </w:rPr>
        <w:t xml:space="preserve">how conclusions are reached. This </w:t>
      </w:r>
      <w:r w:rsidR="00C235B9">
        <w:rPr>
          <w:color w:val="000000"/>
          <w:szCs w:val="22"/>
        </w:rPr>
        <w:t xml:space="preserve">information collection </w:t>
      </w:r>
      <w:r w:rsidR="000529E4">
        <w:rPr>
          <w:color w:val="000000"/>
          <w:szCs w:val="22"/>
        </w:rPr>
        <w:t xml:space="preserve">effort </w:t>
      </w:r>
      <w:r w:rsidR="00C235B9">
        <w:rPr>
          <w:color w:val="000000"/>
          <w:szCs w:val="22"/>
        </w:rPr>
        <w:t xml:space="preserve">is intended to be preliminary and to provide insight into how NTP may </w:t>
      </w:r>
      <w:r w:rsidR="000529E4">
        <w:rPr>
          <w:color w:val="000000"/>
          <w:szCs w:val="22"/>
        </w:rPr>
        <w:t xml:space="preserve">improve the LoC framework </w:t>
      </w:r>
      <w:r w:rsidR="00960621">
        <w:rPr>
          <w:color w:val="000000"/>
          <w:szCs w:val="22"/>
        </w:rPr>
        <w:t xml:space="preserve">as a </w:t>
      </w:r>
      <w:r w:rsidR="000529E4">
        <w:rPr>
          <w:color w:val="000000"/>
          <w:szCs w:val="22"/>
        </w:rPr>
        <w:t xml:space="preserve">risk </w:t>
      </w:r>
      <w:r w:rsidR="00960621">
        <w:rPr>
          <w:color w:val="000000"/>
          <w:szCs w:val="22"/>
        </w:rPr>
        <w:t>communication tool</w:t>
      </w:r>
      <w:r w:rsidR="00885A58">
        <w:rPr>
          <w:color w:val="000000"/>
          <w:szCs w:val="22"/>
        </w:rPr>
        <w:t>.</w:t>
      </w:r>
      <w:r w:rsidR="00C235B9">
        <w:rPr>
          <w:color w:val="000000"/>
          <w:szCs w:val="22"/>
        </w:rPr>
        <w:t xml:space="preserve">  Outcomes from this study will not directly result in a modified LoC framework intended for implementation. </w:t>
      </w:r>
    </w:p>
    <w:p w14:paraId="608F1169" w14:textId="5B95CE71" w:rsidR="00A25E8A" w:rsidRDefault="00C02F4A" w:rsidP="00947B13">
      <w:pPr>
        <w:rPr>
          <w:color w:val="000000"/>
          <w:szCs w:val="22"/>
        </w:rPr>
      </w:pPr>
      <w:r>
        <w:rPr>
          <w:color w:val="000000"/>
          <w:szCs w:val="22"/>
        </w:rPr>
        <w:t xml:space="preserve">Forthcoming work will include identifying multiple modalities for visual communication of LoC conclusions and formal evaluation of consumer/public perception and interpretation of the modified LoC framework </w:t>
      </w:r>
      <w:r>
        <w:t xml:space="preserve">via cognitive testing or focus group sessions composed of </w:t>
      </w:r>
      <w:r>
        <w:rPr>
          <w:color w:val="1F497D"/>
        </w:rPr>
        <w:t>members of the general public as well as experts from other stakeholder sectors</w:t>
      </w:r>
      <w:r>
        <w:rPr>
          <w:color w:val="000000"/>
          <w:szCs w:val="22"/>
        </w:rPr>
        <w:t>. That work is not part of the current study and</w:t>
      </w:r>
      <w:r>
        <w:rPr>
          <w:color w:val="1F497D"/>
        </w:rPr>
        <w:t xml:space="preserve"> will occur prior to any formal implementation or communication of an updated LoC framework. </w:t>
      </w:r>
      <w:r>
        <w:t>NTP will continue to engage experts in risk communication as advisors including Dr. David Budescu, Fordham University, and Dr. Thomas Wallsten, University of Maryland – College Park.</w:t>
      </w:r>
    </w:p>
    <w:p w14:paraId="64D02EF9" w14:textId="177E9783" w:rsidR="0072595B" w:rsidRDefault="009D0560" w:rsidP="00C448FD">
      <w:pPr>
        <w:pStyle w:val="Heading3"/>
        <w:ind w:left="1260" w:hanging="540"/>
      </w:pPr>
      <w:bookmarkStart w:id="5" w:name="_Toc314995097"/>
      <w:r>
        <w:lastRenderedPageBreak/>
        <w:t xml:space="preserve">A.2 </w:t>
      </w:r>
      <w:r w:rsidR="00C448FD">
        <w:tab/>
      </w:r>
      <w:r>
        <w:t>The Purpose and Use of the Information Collection</w:t>
      </w:r>
      <w:bookmarkEnd w:id="5"/>
    </w:p>
    <w:p w14:paraId="77E1D6B8" w14:textId="51EA42E2" w:rsidR="00771472" w:rsidRDefault="00D66265" w:rsidP="00947B13">
      <w:pPr>
        <w:rPr>
          <w:color w:val="000000"/>
          <w:szCs w:val="22"/>
        </w:rPr>
      </w:pPr>
      <w:r>
        <w:rPr>
          <w:color w:val="000000"/>
          <w:szCs w:val="22"/>
        </w:rPr>
        <w:t>Information collected in this study</w:t>
      </w:r>
      <w:r w:rsidR="00960621" w:rsidRPr="00636A83">
        <w:rPr>
          <w:color w:val="000000"/>
          <w:szCs w:val="22"/>
        </w:rPr>
        <w:t xml:space="preserve"> </w:t>
      </w:r>
      <w:r>
        <w:rPr>
          <w:color w:val="000000"/>
          <w:szCs w:val="22"/>
        </w:rPr>
        <w:t>will</w:t>
      </w:r>
      <w:r w:rsidR="00960621" w:rsidRPr="00636A83">
        <w:rPr>
          <w:color w:val="000000"/>
          <w:szCs w:val="22"/>
        </w:rPr>
        <w:t xml:space="preserve"> </w:t>
      </w:r>
      <w:r w:rsidR="00304BB7">
        <w:rPr>
          <w:color w:val="000000"/>
          <w:szCs w:val="22"/>
        </w:rPr>
        <w:t>provide insight into</w:t>
      </w:r>
      <w:r w:rsidR="00304BB7" w:rsidRPr="00636A83">
        <w:rPr>
          <w:color w:val="000000"/>
          <w:szCs w:val="22"/>
        </w:rPr>
        <w:t xml:space="preserve"> </w:t>
      </w:r>
      <w:r w:rsidR="00960621" w:rsidRPr="00636A83">
        <w:rPr>
          <w:color w:val="000000"/>
          <w:szCs w:val="22"/>
        </w:rPr>
        <w:t>NTP</w:t>
      </w:r>
      <w:r w:rsidR="00304BB7">
        <w:rPr>
          <w:color w:val="000000"/>
          <w:szCs w:val="22"/>
        </w:rPr>
        <w:t>’s</w:t>
      </w:r>
      <w:r w:rsidR="00960621" w:rsidRPr="00636A83">
        <w:rPr>
          <w:color w:val="000000"/>
          <w:szCs w:val="22"/>
        </w:rPr>
        <w:t xml:space="preserve"> </w:t>
      </w:r>
      <w:r w:rsidR="00304BB7">
        <w:rPr>
          <w:color w:val="000000"/>
          <w:szCs w:val="22"/>
        </w:rPr>
        <w:t>ongoing effort to update</w:t>
      </w:r>
      <w:r w:rsidR="00771472" w:rsidRPr="00636A83">
        <w:rPr>
          <w:color w:val="000000"/>
          <w:szCs w:val="22"/>
        </w:rPr>
        <w:t xml:space="preserve"> the LoC framework with respect to </w:t>
      </w:r>
      <w:r w:rsidR="00304BB7">
        <w:rPr>
          <w:color w:val="000000"/>
          <w:szCs w:val="22"/>
        </w:rPr>
        <w:t>exploring the</w:t>
      </w:r>
      <w:r w:rsidR="00771472" w:rsidRPr="00636A83">
        <w:rPr>
          <w:color w:val="000000"/>
          <w:szCs w:val="22"/>
        </w:rPr>
        <w:t xml:space="preserve"> number and </w:t>
      </w:r>
      <w:r w:rsidR="00985918">
        <w:rPr>
          <w:color w:val="000000"/>
          <w:szCs w:val="22"/>
        </w:rPr>
        <w:t>labels</w:t>
      </w:r>
      <w:r w:rsidR="00771472" w:rsidRPr="00636A83">
        <w:rPr>
          <w:color w:val="000000"/>
          <w:szCs w:val="22"/>
        </w:rPr>
        <w:t xml:space="preserve"> of LoC categories.</w:t>
      </w:r>
      <w:r>
        <w:rPr>
          <w:color w:val="000000"/>
          <w:szCs w:val="22"/>
        </w:rPr>
        <w:t>. NTP scientists at NIEHS and their collaborators at other institutions will be responsible for carrying out this study and disseminating results through the scientific literature. Results will be published in environmental heal</w:t>
      </w:r>
      <w:r w:rsidR="0036527D">
        <w:rPr>
          <w:color w:val="000000"/>
          <w:szCs w:val="22"/>
        </w:rPr>
        <w:t>th journals, posted to the NTP w</w:t>
      </w:r>
      <w:r>
        <w:rPr>
          <w:color w:val="000000"/>
          <w:szCs w:val="22"/>
        </w:rPr>
        <w:t>ebsite</w:t>
      </w:r>
      <w:r w:rsidR="00167995">
        <w:rPr>
          <w:color w:val="000000"/>
          <w:szCs w:val="22"/>
        </w:rPr>
        <w:t>,</w:t>
      </w:r>
      <w:r>
        <w:rPr>
          <w:rStyle w:val="FootnoteReference"/>
          <w:color w:val="000000"/>
          <w:szCs w:val="22"/>
        </w:rPr>
        <w:footnoteReference w:id="2"/>
      </w:r>
      <w:r w:rsidR="00167995">
        <w:rPr>
          <w:color w:val="000000"/>
          <w:szCs w:val="22"/>
        </w:rPr>
        <w:t xml:space="preserve"> presented at scientific meetings, and communicated to users of </w:t>
      </w:r>
      <w:r w:rsidR="00BE77EB">
        <w:rPr>
          <w:color w:val="000000"/>
          <w:szCs w:val="22"/>
        </w:rPr>
        <w:t>this information</w:t>
      </w:r>
      <w:r w:rsidR="00167995">
        <w:rPr>
          <w:color w:val="000000"/>
          <w:szCs w:val="22"/>
        </w:rPr>
        <w:t xml:space="preserve"> including medical and scientific communities, government health and regulatory agencies, and the public.</w:t>
      </w:r>
      <w:r w:rsidR="007E055D">
        <w:rPr>
          <w:color w:val="000000"/>
          <w:szCs w:val="22"/>
        </w:rPr>
        <w:t xml:space="preserve"> OMB approval is requested for </w:t>
      </w:r>
      <w:r w:rsidR="00C02F4A">
        <w:rPr>
          <w:color w:val="000000"/>
          <w:szCs w:val="22"/>
        </w:rPr>
        <w:t>three</w:t>
      </w:r>
      <w:r w:rsidR="007E055D">
        <w:rPr>
          <w:color w:val="000000"/>
          <w:szCs w:val="22"/>
        </w:rPr>
        <w:t xml:space="preserve"> years.</w:t>
      </w:r>
      <w:r w:rsidR="00304BB7">
        <w:rPr>
          <w:color w:val="000000"/>
          <w:szCs w:val="22"/>
        </w:rPr>
        <w:t xml:space="preserve">  Results communicated in any presentations, publications, or reports will clearly describe that findings from this collection are preliminary, and that outcomes are not intended to be implemented as an updated LoC framework.</w:t>
      </w:r>
    </w:p>
    <w:p w14:paraId="2E5D9E6C" w14:textId="573140F8" w:rsidR="006D061C" w:rsidRPr="001D040C" w:rsidRDefault="006D061C" w:rsidP="00C448FD">
      <w:pPr>
        <w:pStyle w:val="Heading3"/>
        <w:ind w:left="1260" w:hanging="540"/>
      </w:pPr>
      <w:bookmarkStart w:id="6" w:name="_Toc129590306"/>
      <w:bookmarkStart w:id="7" w:name="_Toc129668548"/>
      <w:bookmarkStart w:id="8" w:name="_Toc314995098"/>
      <w:r w:rsidRPr="001D040C">
        <w:t xml:space="preserve">A.3. </w:t>
      </w:r>
      <w:r w:rsidR="000606CA" w:rsidRPr="001D040C">
        <w:t xml:space="preserve"> </w:t>
      </w:r>
      <w:r w:rsidR="00C448FD">
        <w:tab/>
      </w:r>
      <w:r w:rsidRPr="001D040C">
        <w:t>Use of Information Technology and Burden Reduction</w:t>
      </w:r>
      <w:bookmarkEnd w:id="6"/>
      <w:bookmarkEnd w:id="7"/>
      <w:bookmarkEnd w:id="8"/>
    </w:p>
    <w:p w14:paraId="7EE68813" w14:textId="45D07B32" w:rsidR="00D74444" w:rsidRDefault="008F7ECD" w:rsidP="00D74444">
      <w:r w:rsidRPr="00636A83">
        <w:t xml:space="preserve">NTP </w:t>
      </w:r>
      <w:r w:rsidR="00B461C1">
        <w:t>has developed</w:t>
      </w:r>
      <w:r w:rsidRPr="00636A83">
        <w:t xml:space="preserve"> </w:t>
      </w:r>
      <w:r>
        <w:t xml:space="preserve">a </w:t>
      </w:r>
      <w:r w:rsidR="00AC3B00">
        <w:t>web-based application with a user interface (“</w:t>
      </w:r>
      <w:r w:rsidRPr="00636A83">
        <w:t xml:space="preserve">web-based </w:t>
      </w:r>
      <w:r w:rsidR="008A6228">
        <w:t>instrument</w:t>
      </w:r>
      <w:r w:rsidR="00AC3B00">
        <w:t xml:space="preserve">”) </w:t>
      </w:r>
      <w:r>
        <w:t xml:space="preserve">for </w:t>
      </w:r>
      <w:r w:rsidR="00627592">
        <w:t>participants</w:t>
      </w:r>
      <w:r w:rsidR="00366DB2">
        <w:t xml:space="preserve"> </w:t>
      </w:r>
      <w:r w:rsidR="00B461C1">
        <w:t xml:space="preserve">to use </w:t>
      </w:r>
      <w:r>
        <w:t xml:space="preserve">for </w:t>
      </w:r>
      <w:r w:rsidR="00AC3B00">
        <w:t xml:space="preserve">the LoC card sorting exercises for </w:t>
      </w:r>
      <w:r>
        <w:t xml:space="preserve">both Phases 1 and 2. </w:t>
      </w:r>
      <w:r w:rsidR="00AC3B00">
        <w:t xml:space="preserve">The </w:t>
      </w:r>
      <w:r w:rsidR="009E769D">
        <w:t xml:space="preserve">cards with LoC scenarios </w:t>
      </w:r>
      <w:r w:rsidR="00AC3B00">
        <w:t>will be presented in a standard format for consistency</w:t>
      </w:r>
      <w:r w:rsidR="009E769D">
        <w:t>,</w:t>
      </w:r>
      <w:r w:rsidR="00AC3B00">
        <w:t xml:space="preserve"> and both phases </w:t>
      </w:r>
      <w:r w:rsidR="009E769D">
        <w:t xml:space="preserve">of the study </w:t>
      </w:r>
      <w:r w:rsidR="00D74444">
        <w:t xml:space="preserve">will </w:t>
      </w:r>
      <w:r w:rsidR="00AC3B00">
        <w:t xml:space="preserve">use the same </w:t>
      </w:r>
      <w:r w:rsidR="00D74444">
        <w:t xml:space="preserve">sorting </w:t>
      </w:r>
      <w:r w:rsidR="00AC3B00">
        <w:t xml:space="preserve">process. </w:t>
      </w:r>
      <w:r w:rsidR="00985918">
        <w:t>A specific w</w:t>
      </w:r>
      <w:r w:rsidR="00D74444">
        <w:t>ebsite for this study will be set-up</w:t>
      </w:r>
      <w:r w:rsidR="009E769D">
        <w:t>, and p</w:t>
      </w:r>
      <w:r w:rsidR="00D74444">
        <w:t xml:space="preserve">articipants will be able </w:t>
      </w:r>
      <w:r w:rsidR="009E769D">
        <w:t xml:space="preserve">to </w:t>
      </w:r>
      <w:r w:rsidR="00985918">
        <w:t>access the w</w:t>
      </w:r>
      <w:r w:rsidR="00D74444">
        <w:t>ebsite remotely at any time during the experimental LoC card sorting phases using a va</w:t>
      </w:r>
      <w:r w:rsidR="009E769D">
        <w:t>riety of Internet browsers. I</w:t>
      </w:r>
      <w:r w:rsidR="00D74444">
        <w:t xml:space="preserve">nformation collection </w:t>
      </w:r>
      <w:r w:rsidR="009E769D">
        <w:t xml:space="preserve">of participants’ responses </w:t>
      </w:r>
      <w:r w:rsidR="00D74444">
        <w:t>will be automated and secure</w:t>
      </w:r>
      <w:r w:rsidR="00A15308">
        <w:t xml:space="preserve">, </w:t>
      </w:r>
      <w:r w:rsidR="003D4D11">
        <w:t xml:space="preserve">and </w:t>
      </w:r>
      <w:r w:rsidR="00A15308">
        <w:t>stored on NIEHS servers</w:t>
      </w:r>
      <w:r w:rsidR="00D74444">
        <w:t xml:space="preserve">. </w:t>
      </w:r>
      <w:r w:rsidR="00985918">
        <w:t>Screenshots of the w</w:t>
      </w:r>
      <w:r w:rsidR="00F74E7D">
        <w:t xml:space="preserve">ebsite are provided in </w:t>
      </w:r>
      <w:r w:rsidR="00F74E7D" w:rsidRPr="000759BE">
        <w:rPr>
          <w:b/>
          <w:bCs/>
          <w:smallCaps/>
          <w:szCs w:val="22"/>
        </w:rPr>
        <w:t>Attachment</w:t>
      </w:r>
      <w:r w:rsidR="00F74E7D" w:rsidRPr="00F74E7D">
        <w:rPr>
          <w:b/>
        </w:rPr>
        <w:t xml:space="preserve"> 1</w:t>
      </w:r>
      <w:r w:rsidR="00A70E43">
        <w:rPr>
          <w:b/>
        </w:rPr>
        <w:t xml:space="preserve"> –</w:t>
      </w:r>
      <w:r w:rsidR="00A70E43">
        <w:rPr>
          <w:b/>
          <w:bCs/>
          <w:smallCaps/>
          <w:szCs w:val="22"/>
        </w:rPr>
        <w:t xml:space="preserve"> Website Screenshots</w:t>
      </w:r>
      <w:r w:rsidR="00F74E7D">
        <w:t>.</w:t>
      </w:r>
      <w:r w:rsidR="00A349F4">
        <w:t xml:space="preserve"> </w:t>
      </w:r>
    </w:p>
    <w:p w14:paraId="602CB3B0" w14:textId="02C1EA4A" w:rsidR="008A6228" w:rsidRDefault="00BE2B91" w:rsidP="008A6228">
      <w:r>
        <w:t>Both Phase 1 will have two trials</w:t>
      </w:r>
      <w:r w:rsidR="00D77CE1">
        <w:t xml:space="preserve"> (Trial </w:t>
      </w:r>
      <w:r w:rsidR="00985918">
        <w:t>A and B) and Phase 2 will have two</w:t>
      </w:r>
      <w:r w:rsidR="00D77CE1">
        <w:t xml:space="preserve"> trial</w:t>
      </w:r>
      <w:r w:rsidR="00985918">
        <w:t>s</w:t>
      </w:r>
      <w:r w:rsidR="00D77CE1">
        <w:t xml:space="preserve"> (Trial C</w:t>
      </w:r>
      <w:r w:rsidR="00985918">
        <w:t xml:space="preserve"> and D</w:t>
      </w:r>
      <w:r w:rsidR="00D77CE1">
        <w:t>). P</w:t>
      </w:r>
      <w:r>
        <w:t xml:space="preserve">rior </w:t>
      </w:r>
      <w:r w:rsidR="00366DB2">
        <w:t xml:space="preserve">to beginning </w:t>
      </w:r>
      <w:r w:rsidR="00C02F4A">
        <w:t>Phase 1</w:t>
      </w:r>
      <w:r w:rsidR="00366DB2">
        <w:t>, e</w:t>
      </w:r>
      <w:r w:rsidR="008F7ECD">
        <w:t xml:space="preserve">xperts </w:t>
      </w:r>
      <w:r w:rsidR="00226D38">
        <w:t>will</w:t>
      </w:r>
      <w:r w:rsidR="00627592">
        <w:t xml:space="preserve"> be</w:t>
      </w:r>
      <w:r w:rsidR="00226D38">
        <w:t xml:space="preserve"> train</w:t>
      </w:r>
      <w:r w:rsidR="00627592">
        <w:t>ed</w:t>
      </w:r>
      <w:r w:rsidR="008F7ECD">
        <w:t xml:space="preserve"> using an on-line video</w:t>
      </w:r>
      <w:r w:rsidR="00226D38">
        <w:t xml:space="preserve"> and </w:t>
      </w:r>
      <w:r w:rsidR="00366DB2">
        <w:t xml:space="preserve">help </w:t>
      </w:r>
      <w:r w:rsidR="00627592">
        <w:t xml:space="preserve">via </w:t>
      </w:r>
      <w:r w:rsidR="009F21FB">
        <w:t>email</w:t>
      </w:r>
      <w:r w:rsidR="00627592">
        <w:t xml:space="preserve"> </w:t>
      </w:r>
      <w:r w:rsidR="00366DB2">
        <w:t>will be available to answer questions</w:t>
      </w:r>
      <w:r w:rsidR="00226D38">
        <w:t xml:space="preserve"> during the training</w:t>
      </w:r>
      <w:r w:rsidR="00366DB2">
        <w:t xml:space="preserve">. </w:t>
      </w:r>
      <w:r w:rsidR="008F7ECD">
        <w:t xml:space="preserve">Access to the </w:t>
      </w:r>
      <w:r w:rsidR="00390D9A">
        <w:t>w</w:t>
      </w:r>
      <w:r w:rsidR="00D74444">
        <w:t xml:space="preserve">ebsite </w:t>
      </w:r>
      <w:r w:rsidR="00EB5E4A">
        <w:t xml:space="preserve">for each </w:t>
      </w:r>
      <w:r w:rsidR="00EB5E4A">
        <w:lastRenderedPageBreak/>
        <w:t>participant</w:t>
      </w:r>
      <w:r w:rsidR="008F7ECD">
        <w:t xml:space="preserve"> will be </w:t>
      </w:r>
      <w:r w:rsidR="0094043E">
        <w:t xml:space="preserve">through </w:t>
      </w:r>
      <w:r w:rsidR="008F7ECD">
        <w:t xml:space="preserve">a unique </w:t>
      </w:r>
      <w:r w:rsidR="009F21FB">
        <w:t>Username and PIN-code</w:t>
      </w:r>
      <w:r w:rsidR="00366DB2">
        <w:t xml:space="preserve">, </w:t>
      </w:r>
      <w:r w:rsidR="001F5102">
        <w:t>everyone</w:t>
      </w:r>
      <w:r w:rsidR="00366DB2">
        <w:t xml:space="preserve"> will </w:t>
      </w:r>
      <w:r w:rsidR="00D74444">
        <w:t xml:space="preserve">do the card sorting exercises </w:t>
      </w:r>
      <w:r w:rsidR="00366DB2">
        <w:t>independently,</w:t>
      </w:r>
      <w:r w:rsidR="008F7ECD">
        <w:t xml:space="preserve"> and responses will not be shared among </w:t>
      </w:r>
      <w:r w:rsidR="00EB5E4A">
        <w:t>participants</w:t>
      </w:r>
      <w:r w:rsidR="008F7ECD">
        <w:t xml:space="preserve">. </w:t>
      </w:r>
    </w:p>
    <w:p w14:paraId="46DE5A67" w14:textId="6445B953" w:rsidR="00366DB2" w:rsidRPr="001D040C" w:rsidRDefault="008A6228" w:rsidP="00366DB2">
      <w:r>
        <w:t xml:space="preserve">At enrollment </w:t>
      </w:r>
      <w:r w:rsidR="003C2F93">
        <w:t>for</w:t>
      </w:r>
      <w:r>
        <w:t xml:space="preserve"> Phase 1, </w:t>
      </w:r>
      <w:r w:rsidR="0094043E">
        <w:t xml:space="preserve">the following personal identifiable information (PII) </w:t>
      </w:r>
      <w:r w:rsidR="002F54CA">
        <w:t xml:space="preserve">will be collected </w:t>
      </w:r>
      <w:r w:rsidR="0094043E">
        <w:t xml:space="preserve">via a web-based registration form: </w:t>
      </w:r>
      <w:r w:rsidR="007E1B7B">
        <w:t xml:space="preserve"> </w:t>
      </w:r>
      <w:r>
        <w:t xml:space="preserve">name, affiliation, </w:t>
      </w:r>
      <w:r w:rsidR="003C2F93">
        <w:t>contact information (telephone number and email)</w:t>
      </w:r>
      <w:r w:rsidR="00366DB2">
        <w:t xml:space="preserve">, scientific </w:t>
      </w:r>
      <w:r>
        <w:t xml:space="preserve">expertise, terminal degree(s), </w:t>
      </w:r>
      <w:r w:rsidR="0094043E">
        <w:t>sector (</w:t>
      </w:r>
      <w:r w:rsidR="0094043E" w:rsidRPr="00636A83">
        <w:t>academia, industry, non-government organizations, and federal and state agencies)</w:t>
      </w:r>
      <w:r w:rsidR="0094043E">
        <w:t xml:space="preserve">, </w:t>
      </w:r>
      <w:r>
        <w:t xml:space="preserve">and </w:t>
      </w:r>
      <w:r w:rsidR="00C02F4A">
        <w:t>self-report</w:t>
      </w:r>
      <w:r>
        <w:t xml:space="preserve"> of </w:t>
      </w:r>
      <w:r w:rsidR="00390D9A">
        <w:rPr>
          <w:color w:val="000000"/>
        </w:rPr>
        <w:t>three</w:t>
      </w:r>
      <w:r w:rsidRPr="00770F9E">
        <w:rPr>
          <w:color w:val="000000"/>
        </w:rPr>
        <w:t xml:space="preserve"> years’ </w:t>
      </w:r>
      <w:r>
        <w:rPr>
          <w:color w:val="000000"/>
        </w:rPr>
        <w:t>e</w:t>
      </w:r>
      <w:r w:rsidRPr="00770F9E">
        <w:rPr>
          <w:color w:val="000000"/>
        </w:rPr>
        <w:t>mployment working in public health or a risk assessment-related activit</w:t>
      </w:r>
      <w:r w:rsidR="007E1B7B">
        <w:rPr>
          <w:color w:val="000000"/>
        </w:rPr>
        <w:t>y. I</w:t>
      </w:r>
      <w:r w:rsidR="00F023D8">
        <w:rPr>
          <w:color w:val="000000"/>
        </w:rPr>
        <w:t xml:space="preserve">nformation </w:t>
      </w:r>
      <w:r w:rsidR="007E1B7B">
        <w:rPr>
          <w:color w:val="000000"/>
        </w:rPr>
        <w:t xml:space="preserve">will be </w:t>
      </w:r>
      <w:r w:rsidR="003C2F93">
        <w:rPr>
          <w:color w:val="000000"/>
        </w:rPr>
        <w:t xml:space="preserve">screened </w:t>
      </w:r>
      <w:r>
        <w:rPr>
          <w:color w:val="000000"/>
        </w:rPr>
        <w:t xml:space="preserve">to ensure eligibility </w:t>
      </w:r>
      <w:r w:rsidR="00366DB2">
        <w:rPr>
          <w:color w:val="000000"/>
        </w:rPr>
        <w:t>criteria are met</w:t>
      </w:r>
      <w:r w:rsidR="002F54CA">
        <w:rPr>
          <w:color w:val="000000"/>
        </w:rPr>
        <w:t>. Name and contact information will not be used in the screening process</w:t>
      </w:r>
      <w:r w:rsidR="00366DB2">
        <w:rPr>
          <w:color w:val="000000"/>
        </w:rPr>
        <w:t xml:space="preserve">. </w:t>
      </w:r>
      <w:r w:rsidR="00BC00B9">
        <w:t xml:space="preserve">PII </w:t>
      </w:r>
      <w:r w:rsidR="00366DB2">
        <w:t>will be</w:t>
      </w:r>
      <w:r w:rsidR="00366DB2" w:rsidRPr="001D040C">
        <w:t xml:space="preserve"> stored encrypted and s</w:t>
      </w:r>
      <w:r w:rsidR="00366DB2">
        <w:t xml:space="preserve">eparately from all other data. </w:t>
      </w:r>
      <w:r w:rsidR="003C2F93">
        <w:t>I</w:t>
      </w:r>
      <w:r w:rsidR="00366DB2" w:rsidRPr="001D040C">
        <w:t xml:space="preserve">n Phase 2, </w:t>
      </w:r>
      <w:r w:rsidR="007E1B7B">
        <w:t xml:space="preserve">the same </w:t>
      </w:r>
      <w:r w:rsidR="00366DB2" w:rsidRPr="001D040C">
        <w:t>PII</w:t>
      </w:r>
      <w:r w:rsidR="002F54CA">
        <w:t>, as noted above,</w:t>
      </w:r>
      <w:r w:rsidR="00366DB2" w:rsidRPr="001D040C">
        <w:t xml:space="preserve"> </w:t>
      </w:r>
      <w:r w:rsidR="00F023D8">
        <w:t>will be used</w:t>
      </w:r>
      <w:r w:rsidR="00366DB2" w:rsidRPr="001D040C">
        <w:t xml:space="preserve"> </w:t>
      </w:r>
      <w:r w:rsidR="002F54CA">
        <w:t xml:space="preserve">to screen registrants and </w:t>
      </w:r>
      <w:r w:rsidR="003C2F93">
        <w:t xml:space="preserve">identify the </w:t>
      </w:r>
      <w:r w:rsidR="002F54CA">
        <w:t xml:space="preserve">new </w:t>
      </w:r>
      <w:r w:rsidR="003C2F93">
        <w:t xml:space="preserve">group of eligible </w:t>
      </w:r>
      <w:r w:rsidR="00F023D8">
        <w:t>participants</w:t>
      </w:r>
      <w:r w:rsidR="00366DB2">
        <w:t>.</w:t>
      </w:r>
      <w:r w:rsidR="00366DB2" w:rsidRPr="001D040C">
        <w:t xml:space="preserve"> A Privacy Impact Assessment </w:t>
      </w:r>
      <w:r w:rsidR="00EF0ABE">
        <w:t>was</w:t>
      </w:r>
      <w:r w:rsidR="00A048D1">
        <w:t xml:space="preserve"> submitted</w:t>
      </w:r>
      <w:r w:rsidR="00366DB2" w:rsidRPr="001D040C">
        <w:t xml:space="preserve"> for the </w:t>
      </w:r>
      <w:r w:rsidR="00BC00B9">
        <w:t>LoC</w:t>
      </w:r>
      <w:r w:rsidR="00366DB2" w:rsidRPr="001D040C">
        <w:t xml:space="preserve"> information management system</w:t>
      </w:r>
      <w:r w:rsidR="00EF0ABE">
        <w:t xml:space="preserve"> on Dec. 15, 2015</w:t>
      </w:r>
      <w:r w:rsidR="00366DB2" w:rsidRPr="001D040C">
        <w:t>.</w:t>
      </w:r>
    </w:p>
    <w:p w14:paraId="33CA8F2D" w14:textId="17965F5C" w:rsidR="006D061C" w:rsidRPr="001D040C" w:rsidRDefault="006D061C" w:rsidP="00C448FD">
      <w:pPr>
        <w:pStyle w:val="Heading3"/>
        <w:ind w:left="1260" w:hanging="540"/>
      </w:pPr>
      <w:bookmarkStart w:id="9" w:name="_Toc129590307"/>
      <w:bookmarkStart w:id="10" w:name="_Toc129668549"/>
      <w:bookmarkStart w:id="11" w:name="_Toc314995099"/>
      <w:r w:rsidRPr="001D040C">
        <w:t>A.4</w:t>
      </w:r>
      <w:r w:rsidR="000606CA" w:rsidRPr="001D040C">
        <w:t>.</w:t>
      </w:r>
      <w:r w:rsidRPr="001D040C">
        <w:t xml:space="preserve">  </w:t>
      </w:r>
      <w:r w:rsidR="00C448FD">
        <w:tab/>
      </w:r>
      <w:r w:rsidRPr="001D040C">
        <w:t>Efforts to Identify Duplication and Use of Similar Information</w:t>
      </w:r>
      <w:bookmarkEnd w:id="9"/>
      <w:bookmarkEnd w:id="10"/>
      <w:bookmarkEnd w:id="11"/>
    </w:p>
    <w:p w14:paraId="72DE36A9" w14:textId="196DAAE7" w:rsidR="008D33AC" w:rsidRDefault="006D061C" w:rsidP="00DB7CB9">
      <w:pPr>
        <w:rPr>
          <w:color w:val="000000"/>
          <w:szCs w:val="22"/>
        </w:rPr>
      </w:pPr>
      <w:r w:rsidRPr="001D040C">
        <w:t xml:space="preserve">The information we </w:t>
      </w:r>
      <w:r w:rsidR="003E3FF3">
        <w:t xml:space="preserve">will </w:t>
      </w:r>
      <w:r w:rsidRPr="001D040C">
        <w:t>collect is not available from other sources.</w:t>
      </w:r>
      <w:r w:rsidR="003E3FF3">
        <w:t xml:space="preserve"> </w:t>
      </w:r>
      <w:r w:rsidR="008D33AC">
        <w:rPr>
          <w:color w:val="000000"/>
          <w:szCs w:val="22"/>
        </w:rPr>
        <w:t xml:space="preserve">NTP will collect information to </w:t>
      </w:r>
      <w:r w:rsidR="00C72BA3">
        <w:t xml:space="preserve">inform </w:t>
      </w:r>
      <w:r w:rsidR="00DB7CB9">
        <w:t xml:space="preserve">its LoC framework due to changes in </w:t>
      </w:r>
      <w:r w:rsidR="002058D6">
        <w:rPr>
          <w:color w:val="000000"/>
          <w:szCs w:val="22"/>
        </w:rPr>
        <w:t>its</w:t>
      </w:r>
      <w:r w:rsidR="00DB7CB9">
        <w:rPr>
          <w:color w:val="000000"/>
          <w:szCs w:val="22"/>
        </w:rPr>
        <w:t xml:space="preserve"> </w:t>
      </w:r>
      <w:r w:rsidR="003509BD">
        <w:rPr>
          <w:color w:val="000000"/>
          <w:szCs w:val="22"/>
        </w:rPr>
        <w:t xml:space="preserve">literature-based evaluation </w:t>
      </w:r>
      <w:r w:rsidR="00DB7CB9" w:rsidRPr="00F459F5">
        <w:rPr>
          <w:color w:val="000000"/>
          <w:szCs w:val="22"/>
        </w:rPr>
        <w:t xml:space="preserve">approach </w:t>
      </w:r>
      <w:r w:rsidR="00DB7CB9">
        <w:rPr>
          <w:color w:val="000000"/>
          <w:szCs w:val="22"/>
        </w:rPr>
        <w:t>and</w:t>
      </w:r>
      <w:r w:rsidR="00DB7CB9" w:rsidRPr="00F459F5">
        <w:rPr>
          <w:color w:val="000000"/>
          <w:szCs w:val="22"/>
        </w:rPr>
        <w:t xml:space="preserve"> </w:t>
      </w:r>
      <w:r w:rsidR="000332EB">
        <w:rPr>
          <w:color w:val="000000"/>
          <w:szCs w:val="22"/>
        </w:rPr>
        <w:t xml:space="preserve">the </w:t>
      </w:r>
      <w:r w:rsidR="00DB7CB9">
        <w:rPr>
          <w:color w:val="000000"/>
          <w:szCs w:val="22"/>
        </w:rPr>
        <w:t xml:space="preserve">hazard conclusion </w:t>
      </w:r>
      <w:r w:rsidR="00DB7CB9" w:rsidRPr="00F459F5">
        <w:rPr>
          <w:color w:val="000000"/>
          <w:szCs w:val="22"/>
        </w:rPr>
        <w:t xml:space="preserve">categories </w:t>
      </w:r>
      <w:r w:rsidR="008D33AC">
        <w:rPr>
          <w:color w:val="000000"/>
          <w:szCs w:val="22"/>
        </w:rPr>
        <w:t>.</w:t>
      </w:r>
      <w:r w:rsidR="00DB7CB9">
        <w:rPr>
          <w:color w:val="000000"/>
          <w:szCs w:val="22"/>
        </w:rPr>
        <w:t xml:space="preserve"> </w:t>
      </w:r>
    </w:p>
    <w:p w14:paraId="15FB8A06" w14:textId="646AF45A" w:rsidR="00947B13" w:rsidRDefault="001404CA" w:rsidP="00DB7CB9">
      <w:r>
        <w:rPr>
          <w:szCs w:val="22"/>
        </w:rPr>
        <w:t xml:space="preserve">For 17 years, </w:t>
      </w:r>
      <w:r w:rsidR="00D14AAA">
        <w:rPr>
          <w:szCs w:val="22"/>
        </w:rPr>
        <w:t xml:space="preserve">NTP </w:t>
      </w:r>
      <w:r>
        <w:rPr>
          <w:szCs w:val="22"/>
        </w:rPr>
        <w:t xml:space="preserve">has </w:t>
      </w:r>
      <w:r w:rsidR="00D14AAA">
        <w:rPr>
          <w:szCs w:val="22"/>
        </w:rPr>
        <w:t>prepare</w:t>
      </w:r>
      <w:r>
        <w:rPr>
          <w:szCs w:val="22"/>
        </w:rPr>
        <w:t>d</w:t>
      </w:r>
      <w:r w:rsidR="00D14AAA">
        <w:rPr>
          <w:szCs w:val="22"/>
        </w:rPr>
        <w:t xml:space="preserve"> </w:t>
      </w:r>
      <w:r w:rsidR="00D14AAA">
        <w:t xml:space="preserve">in-depth scientific </w:t>
      </w:r>
      <w:r>
        <w:t>evaluations</w:t>
      </w:r>
      <w:r w:rsidR="00D14AAA">
        <w:t xml:space="preserve"> and </w:t>
      </w:r>
      <w:r w:rsidR="0050303F">
        <w:t>use</w:t>
      </w:r>
      <w:r>
        <w:t>d</w:t>
      </w:r>
      <w:r w:rsidR="0050303F">
        <w:t xml:space="preserve"> a 5-point LoC framework to </w:t>
      </w:r>
      <w:r w:rsidR="001909A6">
        <w:t>communicate</w:t>
      </w:r>
      <w:r w:rsidR="00D14AAA">
        <w:t xml:space="preserve"> </w:t>
      </w:r>
      <w:r w:rsidR="0050303F">
        <w:t xml:space="preserve">NTP’s assessment of the degree of concern regarding the potential human health effects </w:t>
      </w:r>
      <w:r w:rsidR="00D14AAA">
        <w:t>of selected substances given what is known about their toxicity, level of human exposure, and pharmacokinetics effects</w:t>
      </w:r>
      <w:r w:rsidR="0050303F">
        <w:t xml:space="preserve">. These evaluations continue to be the only ones of their kind that consider toxicity findings in the context of human exposure to derive </w:t>
      </w:r>
      <w:r>
        <w:t>“level of concern”</w:t>
      </w:r>
      <w:r w:rsidR="0050303F">
        <w:t xml:space="preserve"> conclusions and </w:t>
      </w:r>
      <w:r w:rsidR="00AD4602">
        <w:t>ar</w:t>
      </w:r>
      <w:r w:rsidR="0050303F">
        <w:t>e a</w:t>
      </w:r>
      <w:r w:rsidR="00D14AAA">
        <w:rPr>
          <w:szCs w:val="22"/>
        </w:rPr>
        <w:t xml:space="preserve"> </w:t>
      </w:r>
      <w:r w:rsidR="00B576BE">
        <w:t xml:space="preserve">unique environmental resource </w:t>
      </w:r>
      <w:r w:rsidR="00786E83">
        <w:t>used by</w:t>
      </w:r>
      <w:r w:rsidR="00B576BE">
        <w:t xml:space="preserve"> government agencies, medical and scientific communities, and the public</w:t>
      </w:r>
      <w:r w:rsidR="00AD4602">
        <w:t>.</w:t>
      </w:r>
      <w:r w:rsidR="00B576BE">
        <w:t xml:space="preserve"> </w:t>
      </w:r>
    </w:p>
    <w:p w14:paraId="7CE1B3C1" w14:textId="77777777" w:rsidR="006D061C" w:rsidRPr="001D040C" w:rsidRDefault="006D061C" w:rsidP="00C65CA5">
      <w:pPr>
        <w:pStyle w:val="Heading3"/>
      </w:pPr>
      <w:bookmarkStart w:id="12" w:name="_Toc129590308"/>
      <w:bookmarkStart w:id="13" w:name="_Toc129668550"/>
      <w:bookmarkStart w:id="14" w:name="_Toc314995100"/>
      <w:r w:rsidRPr="001D040C">
        <w:t>A.5.</w:t>
      </w:r>
      <w:r w:rsidR="000606CA" w:rsidRPr="001D040C">
        <w:t xml:space="preserve">  </w:t>
      </w:r>
      <w:r w:rsidRPr="001D040C">
        <w:t>Impact on Small Businesses or Other Small Entities</w:t>
      </w:r>
      <w:bookmarkEnd w:id="12"/>
      <w:bookmarkEnd w:id="13"/>
      <w:bookmarkEnd w:id="14"/>
      <w:r w:rsidRPr="001D040C">
        <w:t xml:space="preserve"> </w:t>
      </w:r>
    </w:p>
    <w:p w14:paraId="79B9F735" w14:textId="61AC2666" w:rsidR="00DB4B17" w:rsidRDefault="00D77CE1" w:rsidP="005430EE">
      <w:r>
        <w:t>No small businesses will be involved in this study</w:t>
      </w:r>
      <w:r w:rsidR="00624506">
        <w:t>.</w:t>
      </w:r>
      <w:bookmarkStart w:id="15" w:name="_Toc129590309"/>
      <w:bookmarkStart w:id="16" w:name="_Toc129668551"/>
    </w:p>
    <w:p w14:paraId="3636C6BC" w14:textId="77777777" w:rsidR="006D061C" w:rsidRPr="001D040C" w:rsidRDefault="006D061C" w:rsidP="00C65CA5">
      <w:pPr>
        <w:pStyle w:val="Heading3"/>
      </w:pPr>
      <w:bookmarkStart w:id="17" w:name="_Toc314995101"/>
      <w:r w:rsidRPr="001D040C">
        <w:lastRenderedPageBreak/>
        <w:t xml:space="preserve">A.6. </w:t>
      </w:r>
      <w:r w:rsidR="000606CA" w:rsidRPr="001D040C">
        <w:t xml:space="preserve"> </w:t>
      </w:r>
      <w:r w:rsidRPr="001D040C">
        <w:t>Consequences of Collecting the Information Less Frequently</w:t>
      </w:r>
      <w:bookmarkEnd w:id="15"/>
      <w:bookmarkEnd w:id="16"/>
      <w:bookmarkEnd w:id="17"/>
    </w:p>
    <w:p w14:paraId="4932D4B3" w14:textId="3A79B8BB" w:rsidR="003C1C78" w:rsidRPr="003C1C78" w:rsidRDefault="005430EE" w:rsidP="00C65CA5">
      <w:r>
        <w:t xml:space="preserve">This study will collect information in two sequential phases. Phase 1 has </w:t>
      </w:r>
      <w:r w:rsidR="00DC02A9">
        <w:t xml:space="preserve">two </w:t>
      </w:r>
      <w:r>
        <w:t>trials (</w:t>
      </w:r>
      <w:r w:rsidR="00D77CE1">
        <w:t xml:space="preserve">Trials </w:t>
      </w:r>
      <w:r>
        <w:t xml:space="preserve">A and B) and each </w:t>
      </w:r>
      <w:r w:rsidR="00BE2B91">
        <w:t>participant</w:t>
      </w:r>
      <w:r w:rsidR="00BE2B91" w:rsidRPr="007078F3">
        <w:t xml:space="preserve"> </w:t>
      </w:r>
      <w:r>
        <w:t>will do the LoC sorting exercise</w:t>
      </w:r>
      <w:r w:rsidRPr="007078F3">
        <w:t xml:space="preserve"> twice with</w:t>
      </w:r>
      <w:r w:rsidR="00BE2B91">
        <w:t xml:space="preserve"> an </w:t>
      </w:r>
      <w:r w:rsidRPr="007078F3">
        <w:t>intervening interval of</w:t>
      </w:r>
      <w:r w:rsidR="00A16713">
        <w:t xml:space="preserve"> </w:t>
      </w:r>
      <w:r w:rsidR="0090211A">
        <w:t>~</w:t>
      </w:r>
      <w:r w:rsidR="00D44552">
        <w:t>2</w:t>
      </w:r>
      <w:r w:rsidRPr="007078F3">
        <w:t>-</w:t>
      </w:r>
      <w:r w:rsidR="00D44552">
        <w:t>4</w:t>
      </w:r>
      <w:r w:rsidR="00BE2B91" w:rsidRPr="007078F3">
        <w:t xml:space="preserve"> </w:t>
      </w:r>
      <w:r w:rsidRPr="007078F3">
        <w:t>weeks.</w:t>
      </w:r>
      <w:r>
        <w:t xml:space="preserve"> </w:t>
      </w:r>
      <w:r w:rsidR="00A16713">
        <w:t xml:space="preserve">This interval </w:t>
      </w:r>
      <w:r w:rsidR="0090211A">
        <w:t>should</w:t>
      </w:r>
      <w:r w:rsidR="00A16713">
        <w:t xml:space="preserve"> permit timely scheduling and prevent the need to retrain experts to use the web-based instrument. Once completed, Phase 1 will not be repeated</w:t>
      </w:r>
      <w:r>
        <w:t xml:space="preserve">. Phase 2 </w:t>
      </w:r>
      <w:r w:rsidR="00BE2B91">
        <w:t xml:space="preserve">will have </w:t>
      </w:r>
      <w:r w:rsidR="00390D9A">
        <w:t>two</w:t>
      </w:r>
      <w:r w:rsidR="00D77CE1">
        <w:t xml:space="preserve"> </w:t>
      </w:r>
      <w:r w:rsidR="00BE2B91">
        <w:t>trial</w:t>
      </w:r>
      <w:r w:rsidR="00390D9A">
        <w:t>s</w:t>
      </w:r>
      <w:r w:rsidR="00BE2B91">
        <w:t xml:space="preserve"> (</w:t>
      </w:r>
      <w:r w:rsidR="00D77CE1">
        <w:t>Trial</w:t>
      </w:r>
      <w:r w:rsidR="00390D9A">
        <w:t>s</w:t>
      </w:r>
      <w:r w:rsidR="00D77CE1">
        <w:t xml:space="preserve"> C</w:t>
      </w:r>
      <w:r w:rsidR="00390D9A">
        <w:t xml:space="preserve"> and D</w:t>
      </w:r>
      <w:r w:rsidR="00BE2B91">
        <w:t xml:space="preserve">). Phase 2, Trial </w:t>
      </w:r>
      <w:r w:rsidR="00D77CE1">
        <w:t xml:space="preserve">C </w:t>
      </w:r>
      <w:r>
        <w:t>will occur following complet</w:t>
      </w:r>
      <w:r w:rsidR="00A16713">
        <w:t>ion</w:t>
      </w:r>
      <w:r>
        <w:t xml:space="preserve"> </w:t>
      </w:r>
      <w:r w:rsidR="0090211A">
        <w:t xml:space="preserve">of Phase 1 </w:t>
      </w:r>
      <w:r>
        <w:t xml:space="preserve">and analysis of </w:t>
      </w:r>
      <w:r w:rsidR="0090211A">
        <w:t>the</w:t>
      </w:r>
      <w:r w:rsidR="00A16713">
        <w:t xml:space="preserve"> </w:t>
      </w:r>
      <w:r>
        <w:t xml:space="preserve">data to determine the optimal number of LoC categories. </w:t>
      </w:r>
      <w:r w:rsidR="00390D9A">
        <w:t xml:space="preserve">Phase 2, Trial D will occur following completion of Trial C and analysis of data to determine the appropriate labels for LoC categories. </w:t>
      </w:r>
      <w:r w:rsidR="00A16713">
        <w:t>Once completed, Phase 2 will not be repeated.</w:t>
      </w:r>
    </w:p>
    <w:p w14:paraId="46EAE3FB" w14:textId="77777777" w:rsidR="006D061C" w:rsidRPr="001D040C" w:rsidRDefault="006D061C" w:rsidP="00C65CA5">
      <w:pPr>
        <w:pStyle w:val="Heading3"/>
      </w:pPr>
      <w:bookmarkStart w:id="18" w:name="_Toc129590310"/>
      <w:bookmarkStart w:id="19" w:name="_Toc129668552"/>
      <w:bookmarkStart w:id="20" w:name="_Toc314995102"/>
      <w:r w:rsidRPr="001D040C">
        <w:t xml:space="preserve">A.7. </w:t>
      </w:r>
      <w:r w:rsidR="000606CA" w:rsidRPr="001D040C">
        <w:t xml:space="preserve"> </w:t>
      </w:r>
      <w:r w:rsidRPr="001D040C">
        <w:t>Special Circumstances Relating to the Guidelines of 5 CFR 1320.5</w:t>
      </w:r>
      <w:bookmarkEnd w:id="18"/>
      <w:bookmarkEnd w:id="19"/>
      <w:bookmarkEnd w:id="20"/>
    </w:p>
    <w:p w14:paraId="6A081C67" w14:textId="1B1CFA07" w:rsidR="003C1C78" w:rsidRPr="001D040C" w:rsidRDefault="006D061C" w:rsidP="00C65CA5">
      <w:r w:rsidRPr="001D040C">
        <w:t>There are no special circumstances relating to the guidelines of 5 CFR 1320.5 and the project complies</w:t>
      </w:r>
      <w:r w:rsidR="00994333">
        <w:t xml:space="preserve"> </w:t>
      </w:r>
      <w:r w:rsidR="00994333" w:rsidRPr="001D040C">
        <w:t>fully</w:t>
      </w:r>
      <w:r w:rsidRPr="001D040C">
        <w:t>.</w:t>
      </w:r>
    </w:p>
    <w:p w14:paraId="6C52CD68" w14:textId="77777777" w:rsidR="006D061C" w:rsidRPr="00F278A7" w:rsidRDefault="006D061C" w:rsidP="00C65CA5">
      <w:pPr>
        <w:pStyle w:val="Heading3"/>
      </w:pPr>
      <w:bookmarkStart w:id="21" w:name="_Toc129590311"/>
      <w:bookmarkStart w:id="22" w:name="_Toc129668553"/>
      <w:bookmarkStart w:id="23" w:name="_Toc314995103"/>
      <w:r w:rsidRPr="00F278A7">
        <w:t>A.8</w:t>
      </w:r>
      <w:r w:rsidR="000606CA" w:rsidRPr="00F278A7">
        <w:t>.</w:t>
      </w:r>
      <w:r w:rsidRPr="00F278A7">
        <w:t xml:space="preserve">  Comments in Response to the Federal Register Notice and Efforts to Consult Outside Agency</w:t>
      </w:r>
      <w:bookmarkEnd w:id="21"/>
      <w:bookmarkEnd w:id="22"/>
      <w:bookmarkEnd w:id="23"/>
    </w:p>
    <w:p w14:paraId="053040FE" w14:textId="55A6620F" w:rsidR="00C02F4A" w:rsidRDefault="00481BC6" w:rsidP="002E7403">
      <w:r w:rsidRPr="00F278A7">
        <w:t>A 60-</w:t>
      </w:r>
      <w:r w:rsidR="002E7403">
        <w:t>d</w:t>
      </w:r>
      <w:r w:rsidR="002E7403" w:rsidRPr="00F278A7">
        <w:t xml:space="preserve">ay </w:t>
      </w:r>
      <w:r w:rsidRPr="002E7403">
        <w:rPr>
          <w:i/>
        </w:rPr>
        <w:t>Federal Register</w:t>
      </w:r>
      <w:r w:rsidRPr="00F278A7">
        <w:t xml:space="preserve"> </w:t>
      </w:r>
      <w:r w:rsidR="002E7403">
        <w:t>n</w:t>
      </w:r>
      <w:r w:rsidR="002E7403" w:rsidRPr="00F278A7">
        <w:t xml:space="preserve">otice </w:t>
      </w:r>
      <w:r w:rsidR="008B5672">
        <w:t>(</w:t>
      </w:r>
      <w:r w:rsidR="008B5672" w:rsidRPr="008B5672">
        <w:t>HHS FRN 80 FR 50298</w:t>
      </w:r>
      <w:r w:rsidR="008B5672">
        <w:t xml:space="preserve">) </w:t>
      </w:r>
      <w:r w:rsidRPr="00F278A7">
        <w:t xml:space="preserve">was published on </w:t>
      </w:r>
      <w:r w:rsidR="00B124F7" w:rsidRPr="00B124F7">
        <w:t>August</w:t>
      </w:r>
      <w:r w:rsidR="0025382E" w:rsidRPr="00B124F7">
        <w:t xml:space="preserve"> </w:t>
      </w:r>
      <w:r w:rsidR="00B124F7" w:rsidRPr="00B124F7">
        <w:t>19</w:t>
      </w:r>
      <w:r w:rsidR="0025382E" w:rsidRPr="00B124F7">
        <w:t>, 201</w:t>
      </w:r>
      <w:r w:rsidR="00B124F7" w:rsidRPr="00B124F7">
        <w:t>5</w:t>
      </w:r>
      <w:r w:rsidR="0025382E">
        <w:t>.</w:t>
      </w:r>
      <w:r w:rsidRPr="00F278A7">
        <w:t xml:space="preserve"> </w:t>
      </w:r>
      <w:r w:rsidR="00C02F4A">
        <w:t>NTP received</w:t>
      </w:r>
      <w:r w:rsidR="002E7403" w:rsidRPr="00F278A7">
        <w:t xml:space="preserve"> </w:t>
      </w:r>
      <w:r w:rsidR="008E77CA">
        <w:t>on</w:t>
      </w:r>
      <w:r w:rsidR="008E77CA" w:rsidRPr="005E717C">
        <w:t>e</w:t>
      </w:r>
      <w:r w:rsidR="002E7403" w:rsidRPr="005E717C">
        <w:t xml:space="preserve"> </w:t>
      </w:r>
      <w:r w:rsidRPr="00F039CE">
        <w:t>public comment</w:t>
      </w:r>
      <w:r w:rsidR="00C02F4A">
        <w:t xml:space="preserve"> (dated October 16, 2015) from Dr. Nancy Beck, American Chemistry Council</w:t>
      </w:r>
      <w:r w:rsidR="004F3869">
        <w:t xml:space="preserve"> (</w:t>
      </w:r>
      <w:r w:rsidR="00BB595C">
        <w:t>see page</w:t>
      </w:r>
      <w:r w:rsidR="00FD27E6">
        <w:t>s</w:t>
      </w:r>
      <w:r w:rsidR="00BB595C">
        <w:t xml:space="preserve"> 4-10</w:t>
      </w:r>
      <w:r w:rsidR="00C02F4A">
        <w:t xml:space="preserve"> </w:t>
      </w:r>
      <w:r w:rsidR="004F3869" w:rsidRPr="000759BE">
        <w:rPr>
          <w:b/>
          <w:bCs/>
          <w:smallCaps/>
          <w:szCs w:val="22"/>
        </w:rPr>
        <w:t>Attachment</w:t>
      </w:r>
      <w:r w:rsidR="004F3869">
        <w:rPr>
          <w:b/>
        </w:rPr>
        <w:t xml:space="preserve"> 2 –</w:t>
      </w:r>
      <w:r w:rsidR="008B5672">
        <w:rPr>
          <w:b/>
          <w:bCs/>
          <w:smallCaps/>
          <w:szCs w:val="22"/>
        </w:rPr>
        <w:t xml:space="preserve"> Public Comment</w:t>
      </w:r>
      <w:r w:rsidR="004F3869" w:rsidRPr="00BB6C99">
        <w:rPr>
          <w:bCs/>
          <w:smallCaps/>
          <w:szCs w:val="22"/>
        </w:rPr>
        <w:t>)</w:t>
      </w:r>
      <w:r w:rsidRPr="00F039CE">
        <w:t>.</w:t>
      </w:r>
      <w:r w:rsidR="0066072A">
        <w:t xml:space="preserve"> </w:t>
      </w:r>
      <w:r w:rsidR="00C02F4A">
        <w:t xml:space="preserve">Dr. Beck had previously submitted written comments (dated June 15, 2016) for the NTP Board of Scientific Counselors meeting on June 16, 2015, and provided oral remarks at that meeting; she attached those comments to her October 16 submission. Dr. Beck’s </w:t>
      </w:r>
      <w:r w:rsidR="009D15A7">
        <w:t xml:space="preserve">comments addressed </w:t>
      </w:r>
      <w:r w:rsidR="009D15A7" w:rsidRPr="009D15A7">
        <w:t>the proposed collection and methodology</w:t>
      </w:r>
      <w:r w:rsidR="00C02F4A" w:rsidRPr="00C02F4A">
        <w:t xml:space="preserve"> </w:t>
      </w:r>
      <w:r w:rsidR="00C02F4A">
        <w:t>and NTP has prepared response</w:t>
      </w:r>
      <w:r w:rsidR="00BB595C">
        <w:t>s to those issues (see pages 1-2</w:t>
      </w:r>
      <w:r w:rsidR="00C02F4A">
        <w:t xml:space="preserve">, </w:t>
      </w:r>
      <w:r w:rsidR="00C02F4A" w:rsidRPr="000759BE">
        <w:rPr>
          <w:b/>
          <w:bCs/>
          <w:smallCaps/>
          <w:szCs w:val="22"/>
        </w:rPr>
        <w:t>Attachment</w:t>
      </w:r>
      <w:r w:rsidR="00C02F4A">
        <w:rPr>
          <w:b/>
        </w:rPr>
        <w:t xml:space="preserve"> 2 –</w:t>
      </w:r>
      <w:r w:rsidR="00C02F4A">
        <w:rPr>
          <w:b/>
          <w:bCs/>
          <w:smallCaps/>
          <w:szCs w:val="22"/>
        </w:rPr>
        <w:t xml:space="preserve"> Public Comment)</w:t>
      </w:r>
      <w:r w:rsidR="009D15A7" w:rsidRPr="009D15A7">
        <w:t xml:space="preserve">. </w:t>
      </w:r>
    </w:p>
    <w:p w14:paraId="3F9EF043" w14:textId="3816239F" w:rsidR="00481BC6" w:rsidRDefault="00F03EC3" w:rsidP="002E7403">
      <w:r w:rsidRPr="00F03EC3">
        <w:t xml:space="preserve"> </w:t>
      </w:r>
      <w:r>
        <w:t xml:space="preserve">In September 2015, NTP sent Dr. Beck via email materials about the LoC research project shared at the Board meeting. </w:t>
      </w:r>
      <w:r w:rsidR="009D15A7" w:rsidRPr="009D15A7">
        <w:t>Additional</w:t>
      </w:r>
      <w:r>
        <w:t xml:space="preserve">ly, in response to Dr. Beck’s submission for the 60-day </w:t>
      </w:r>
      <w:r>
        <w:rPr>
          <w:i/>
        </w:rPr>
        <w:t>Federal Register</w:t>
      </w:r>
      <w:r>
        <w:t xml:space="preserve"> notice, NTP shared</w:t>
      </w:r>
      <w:r w:rsidR="009D15A7" w:rsidRPr="009D15A7">
        <w:t xml:space="preserve"> information </w:t>
      </w:r>
      <w:r>
        <w:t xml:space="preserve">her and another American Chemistry Council </w:t>
      </w:r>
      <w:r>
        <w:lastRenderedPageBreak/>
        <w:t xml:space="preserve">staff </w:t>
      </w:r>
      <w:r w:rsidR="009D15A7">
        <w:t>via a web</w:t>
      </w:r>
      <w:r w:rsidR="004F3869">
        <w:t>inar</w:t>
      </w:r>
      <w:r>
        <w:t xml:space="preserve"> on November 13, 2015.</w:t>
      </w:r>
      <w:r w:rsidR="009D15A7">
        <w:t xml:space="preserve"> </w:t>
      </w:r>
      <w:r>
        <w:t>I</w:t>
      </w:r>
      <w:r w:rsidR="009D15A7" w:rsidRPr="009D15A7">
        <w:t>nformation in the</w:t>
      </w:r>
      <w:r w:rsidR="009D15A7">
        <w:t xml:space="preserve"> concept document for the study </w:t>
      </w:r>
      <w:r w:rsidR="009D15A7" w:rsidRPr="009D15A7">
        <w:t>(http://ntp.niehs.nih.gov/ntp/about_ntp/bsc/2015/june/bsc_loc_508.pdf) and information presented in slides at the NTP Board of Scientific Counselors meeting on June 16, 2015</w:t>
      </w:r>
      <w:r w:rsidR="009D15A7">
        <w:t xml:space="preserve"> </w:t>
      </w:r>
      <w:r w:rsidR="009D15A7" w:rsidRPr="009D15A7">
        <w:t>were presented and discussed</w:t>
      </w:r>
      <w:r>
        <w:t xml:space="preserve">, and questions from Dr. Beck were addressed. At close of the webinar, Dr. Beck noted having a better understanding of the research project and NTP felt that her concerns and questions had been addressed. </w:t>
      </w:r>
      <w:r w:rsidR="00624D18">
        <w:t>One comment from the American Chemistry Council was received</w:t>
      </w:r>
      <w:r>
        <w:t xml:space="preserve"> in response to the 30-day </w:t>
      </w:r>
      <w:r w:rsidRPr="00A21562">
        <w:rPr>
          <w:i/>
        </w:rPr>
        <w:t xml:space="preserve">Federal Register </w:t>
      </w:r>
      <w:r>
        <w:t>notice.</w:t>
      </w:r>
      <w:r w:rsidR="009D15A7" w:rsidRPr="009D15A7">
        <w:t xml:space="preserve"> </w:t>
      </w:r>
    </w:p>
    <w:p w14:paraId="4F742051" w14:textId="07BC81C3" w:rsidR="006D061C" w:rsidRPr="001D040C" w:rsidRDefault="00C91D97" w:rsidP="002E7403">
      <w:r>
        <w:t>R</w:t>
      </w:r>
      <w:r w:rsidRPr="001D040C">
        <w:t xml:space="preserve">esearchers both within NIH and in the extramural community were consulted during the planning of this study. </w:t>
      </w:r>
      <w:r w:rsidR="00C21E73" w:rsidRPr="00F278A7">
        <w:t>E</w:t>
      </w:r>
      <w:r w:rsidR="00C33BF5" w:rsidRPr="00F278A7">
        <w:t>arly d</w:t>
      </w:r>
      <w:r w:rsidR="006D061C" w:rsidRPr="00F278A7">
        <w:t xml:space="preserve">iscussions were held with </w:t>
      </w:r>
      <w:r>
        <w:t xml:space="preserve">NTP staff, the </w:t>
      </w:r>
      <w:r w:rsidR="00A048D1">
        <w:t>NTP Board of Scientific Counselors in public session, external technical advisors, and communication staff at the EPA</w:t>
      </w:r>
      <w:r w:rsidR="002E7403">
        <w:t xml:space="preserve"> to acquaint them with </w:t>
      </w:r>
      <w:r w:rsidR="00A048D1">
        <w:t xml:space="preserve">NTP’s plans to re-visit its LoC framework </w:t>
      </w:r>
      <w:r w:rsidR="002E7403">
        <w:t>and</w:t>
      </w:r>
      <w:r w:rsidR="00A048D1">
        <w:t>/or</w:t>
      </w:r>
      <w:r w:rsidR="002E7403">
        <w:t xml:space="preserve"> to seek input regarding conduct of the study. </w:t>
      </w:r>
      <w:r w:rsidR="006D061C" w:rsidRPr="001D040C">
        <w:t xml:space="preserve">Support for this study was overwhelmingly enthusiastic and the majority of comments were favorable. These discussions gave us specific and valuable feedback that was incorporated into our study protocol. </w:t>
      </w:r>
    </w:p>
    <w:p w14:paraId="5BFEDB41" w14:textId="6974C76D" w:rsidR="00083877" w:rsidRPr="001D040C" w:rsidRDefault="00BC00B9" w:rsidP="00C65CA5">
      <w:r>
        <w:t>The internal NTP Project Review Committee</w:t>
      </w:r>
      <w:r w:rsidR="001649FC">
        <w:t xml:space="preserve"> at NIEHS</w:t>
      </w:r>
      <w:r>
        <w:t xml:space="preserve"> formally reviewed o</w:t>
      </w:r>
      <w:r w:rsidR="00E92638" w:rsidRPr="001D040C">
        <w:t xml:space="preserve">ur study </w:t>
      </w:r>
      <w:r w:rsidR="00647A25">
        <w:t>concept</w:t>
      </w:r>
      <w:r w:rsidR="006B2637">
        <w:t xml:space="preserve"> on October 30, 2014. </w:t>
      </w:r>
      <w:r>
        <w:t xml:space="preserve">This project </w:t>
      </w:r>
      <w:r w:rsidR="00C707EB">
        <w:t>was</w:t>
      </w:r>
      <w:r w:rsidR="00C91D97">
        <w:t xml:space="preserve"> mentioned as </w:t>
      </w:r>
      <w:r w:rsidR="00881D32">
        <w:t xml:space="preserve">a </w:t>
      </w:r>
      <w:r w:rsidR="00C91D97">
        <w:t>research activity to the NTP Board of Scientific Counselors</w:t>
      </w:r>
      <w:r w:rsidR="00C91D97" w:rsidRPr="001D040C">
        <w:t xml:space="preserve"> </w:t>
      </w:r>
      <w:r w:rsidR="00C91D97">
        <w:t>on December 14, 2014</w:t>
      </w:r>
      <w:r w:rsidR="00390D9A">
        <w:t xml:space="preserve">, a public meeting. It was </w:t>
      </w:r>
      <w:r w:rsidR="006B2637">
        <w:t xml:space="preserve">presented </w:t>
      </w:r>
      <w:r w:rsidR="00C91D97">
        <w:t xml:space="preserve">in more detail </w:t>
      </w:r>
      <w:r w:rsidR="006B2637">
        <w:t>to</w:t>
      </w:r>
      <w:r w:rsidR="00647A25">
        <w:t xml:space="preserve"> the NTP </w:t>
      </w:r>
      <w:r w:rsidR="00390D9A">
        <w:t>board</w:t>
      </w:r>
      <w:r w:rsidR="00E92638" w:rsidRPr="001D040C">
        <w:t xml:space="preserve"> </w:t>
      </w:r>
      <w:r w:rsidR="00647A25">
        <w:t xml:space="preserve">at </w:t>
      </w:r>
      <w:r w:rsidR="006B2637">
        <w:t>its</w:t>
      </w:r>
      <w:r w:rsidR="00647A25">
        <w:t xml:space="preserve"> meeting </w:t>
      </w:r>
      <w:r w:rsidR="006B2637">
        <w:t xml:space="preserve">at NIEHS </w:t>
      </w:r>
      <w:r w:rsidR="00647A25">
        <w:t>on June 16, 2015</w:t>
      </w:r>
      <w:r w:rsidR="00390D9A">
        <w:t xml:space="preserve"> and they were very supportive of the project. Public comment received at the meeting was also supportive of NTP conducting this project. The project will also be </w:t>
      </w:r>
      <w:r w:rsidR="00DE525B">
        <w:t xml:space="preserve">communicated </w:t>
      </w:r>
      <w:r>
        <w:t xml:space="preserve">to </w:t>
      </w:r>
      <w:r w:rsidR="00DE525B">
        <w:t xml:space="preserve">agencies participating on </w:t>
      </w:r>
      <w:r w:rsidR="00647A25">
        <w:t>the NTP Executive Committee</w:t>
      </w:r>
      <w:r w:rsidR="00C448FD">
        <w:t xml:space="preserve"> through agency points of contact</w:t>
      </w:r>
      <w:r w:rsidR="00647A25">
        <w:t>. Me</w:t>
      </w:r>
      <w:r w:rsidR="005A613F">
        <w:t>mbership of the</w:t>
      </w:r>
      <w:r w:rsidR="0024535D">
        <w:t xml:space="preserve"> two </w:t>
      </w:r>
      <w:r w:rsidR="006B2637">
        <w:t xml:space="preserve">advisory </w:t>
      </w:r>
      <w:r w:rsidR="0024535D">
        <w:t xml:space="preserve">groups is listed in </w:t>
      </w:r>
      <w:r w:rsidR="0024535D" w:rsidRPr="009B3602">
        <w:rPr>
          <w:b/>
          <w:smallCaps/>
        </w:rPr>
        <w:t>Attachment</w:t>
      </w:r>
      <w:r w:rsidR="0024535D" w:rsidRPr="0024068F">
        <w:rPr>
          <w:b/>
        </w:rPr>
        <w:t xml:space="preserve"> </w:t>
      </w:r>
      <w:r w:rsidR="00BB6C99">
        <w:rPr>
          <w:b/>
        </w:rPr>
        <w:t>3</w:t>
      </w:r>
      <w:r w:rsidR="000A7AC0">
        <w:rPr>
          <w:b/>
          <w:bCs/>
          <w:smallCaps/>
          <w:szCs w:val="22"/>
        </w:rPr>
        <w:t xml:space="preserve"> </w:t>
      </w:r>
      <w:r w:rsidR="000A7AC0">
        <w:rPr>
          <w:b/>
        </w:rPr>
        <w:t>–</w:t>
      </w:r>
      <w:r w:rsidR="000A7AC0">
        <w:rPr>
          <w:b/>
          <w:bCs/>
          <w:smallCaps/>
          <w:szCs w:val="22"/>
        </w:rPr>
        <w:t xml:space="preserve"> Advisory Committee</w:t>
      </w:r>
      <w:r w:rsidR="00455B35">
        <w:rPr>
          <w:b/>
          <w:bCs/>
          <w:smallCaps/>
          <w:szCs w:val="22"/>
        </w:rPr>
        <w:t xml:space="preserve"> Membership</w:t>
      </w:r>
      <w:r w:rsidR="0024535D">
        <w:t xml:space="preserve">. </w:t>
      </w:r>
      <w:r w:rsidR="00D01954">
        <w:t xml:space="preserve">We </w:t>
      </w:r>
      <w:r w:rsidR="001649FC">
        <w:t xml:space="preserve">have also </w:t>
      </w:r>
      <w:r w:rsidR="00D01954">
        <w:t>convened an internal advisory group</w:t>
      </w:r>
      <w:r w:rsidR="001649FC">
        <w:t xml:space="preserve"> </w:t>
      </w:r>
      <w:r w:rsidR="00D01954">
        <w:t xml:space="preserve">for feedback on our proposed study plans and will continue to consult them during the study’s execution. </w:t>
      </w:r>
      <w:r w:rsidR="001649FC">
        <w:t xml:space="preserve">This outreach </w:t>
      </w:r>
      <w:r w:rsidR="00C91D97">
        <w:t>provide</w:t>
      </w:r>
      <w:r w:rsidR="008B6E42">
        <w:t>s</w:t>
      </w:r>
      <w:r w:rsidR="00C91D97">
        <w:t xml:space="preserve"> opportunities for input </w:t>
      </w:r>
      <w:r w:rsidR="005C4BC5">
        <w:t>from</w:t>
      </w:r>
      <w:r w:rsidR="005C4BC5" w:rsidRPr="001D040C">
        <w:t xml:space="preserve"> </w:t>
      </w:r>
      <w:r w:rsidR="00E92638" w:rsidRPr="001D040C">
        <w:t xml:space="preserve">the NIEHS intramural community, </w:t>
      </w:r>
      <w:r w:rsidR="00D1744C" w:rsidRPr="001D040C">
        <w:t>N</w:t>
      </w:r>
      <w:r w:rsidR="00D1744C">
        <w:t>TP</w:t>
      </w:r>
      <w:r w:rsidR="00D1744C" w:rsidRPr="001D040C">
        <w:t xml:space="preserve"> </w:t>
      </w:r>
      <w:r w:rsidR="00E92638" w:rsidRPr="001D040C">
        <w:t xml:space="preserve">advisory board, and externally by federal and academic experts. </w:t>
      </w:r>
    </w:p>
    <w:p w14:paraId="50BF9407" w14:textId="77777777" w:rsidR="006D061C" w:rsidRPr="001D040C" w:rsidRDefault="006D061C" w:rsidP="00C65CA5">
      <w:pPr>
        <w:pStyle w:val="Heading3"/>
      </w:pPr>
      <w:bookmarkStart w:id="24" w:name="_Toc129590312"/>
      <w:bookmarkStart w:id="25" w:name="_Toc129668554"/>
      <w:bookmarkStart w:id="26" w:name="_Toc314995104"/>
      <w:r w:rsidRPr="001D040C">
        <w:lastRenderedPageBreak/>
        <w:t>A.9</w:t>
      </w:r>
      <w:r w:rsidR="000606CA" w:rsidRPr="001D040C">
        <w:t>.</w:t>
      </w:r>
      <w:r w:rsidRPr="001D040C">
        <w:t xml:space="preserve">  Explanation of Any Payment or Gift to Respondents</w:t>
      </w:r>
      <w:bookmarkEnd w:id="24"/>
      <w:bookmarkEnd w:id="25"/>
      <w:bookmarkEnd w:id="26"/>
    </w:p>
    <w:p w14:paraId="44847B2C" w14:textId="61B36258" w:rsidR="00677E06" w:rsidRDefault="00460EB1" w:rsidP="00C65CA5">
      <w:r>
        <w:t>P</w:t>
      </w:r>
      <w:r w:rsidR="006D061C" w:rsidRPr="001D040C">
        <w:t>articipants</w:t>
      </w:r>
      <w:r w:rsidR="00083877">
        <w:t xml:space="preserve"> will</w:t>
      </w:r>
      <w:r w:rsidR="006D061C" w:rsidRPr="001D040C">
        <w:t xml:space="preserve"> </w:t>
      </w:r>
      <w:r>
        <w:t xml:space="preserve">not </w:t>
      </w:r>
      <w:r w:rsidR="006D061C" w:rsidRPr="001D040C">
        <w:t>receiv</w:t>
      </w:r>
      <w:r w:rsidR="00083877">
        <w:t xml:space="preserve">e </w:t>
      </w:r>
      <w:r w:rsidR="008A06B0">
        <w:t xml:space="preserve">an incentive to complete </w:t>
      </w:r>
      <w:r>
        <w:t>Phases 1 or 2</w:t>
      </w:r>
      <w:r w:rsidR="00881D32">
        <w:t xml:space="preserve">. </w:t>
      </w:r>
      <w:bookmarkStart w:id="27" w:name="_Toc129590313"/>
      <w:bookmarkStart w:id="28" w:name="_Toc129668555"/>
    </w:p>
    <w:p w14:paraId="13E1DE9E" w14:textId="77777777" w:rsidR="006D061C" w:rsidRPr="001D040C" w:rsidRDefault="006D061C" w:rsidP="00C65CA5">
      <w:pPr>
        <w:pStyle w:val="Heading3"/>
      </w:pPr>
      <w:bookmarkStart w:id="29" w:name="_Toc314995105"/>
      <w:r w:rsidRPr="001D040C">
        <w:t xml:space="preserve">A.10. </w:t>
      </w:r>
      <w:r w:rsidR="000606CA" w:rsidRPr="001D040C">
        <w:t xml:space="preserve"> </w:t>
      </w:r>
      <w:r w:rsidRPr="001D040C">
        <w:t>Assurance of Confidentiality Provided to Respondents</w:t>
      </w:r>
      <w:bookmarkEnd w:id="27"/>
      <w:bookmarkEnd w:id="28"/>
      <w:bookmarkEnd w:id="29"/>
    </w:p>
    <w:p w14:paraId="5B2600CE" w14:textId="77777777" w:rsidR="006D061C" w:rsidRPr="001D040C" w:rsidRDefault="006D061C" w:rsidP="00C65CA5">
      <w:r w:rsidRPr="001D040C">
        <w:t xml:space="preserve">Procedures to protect the confidentiality of the </w:t>
      </w:r>
      <w:r w:rsidRPr="00C65CA5">
        <w:t>s</w:t>
      </w:r>
      <w:r w:rsidRPr="001D040C">
        <w:t>tudy population a</w:t>
      </w:r>
      <w:r w:rsidR="00D455C9" w:rsidRPr="001D040C">
        <w:t>nd</w:t>
      </w:r>
      <w:r w:rsidRPr="001D040C">
        <w:t xml:space="preserve"> the data collected include</w:t>
      </w:r>
      <w:r w:rsidR="00D455C9" w:rsidRPr="001D040C">
        <w:t xml:space="preserve"> the following</w:t>
      </w:r>
      <w:r w:rsidRPr="001D040C">
        <w:t xml:space="preserve">: </w:t>
      </w:r>
    </w:p>
    <w:p w14:paraId="5BF9BB85" w14:textId="124F1119" w:rsidR="006D061C" w:rsidRPr="001D040C" w:rsidRDefault="006D061C" w:rsidP="001029C3">
      <w:pPr>
        <w:numPr>
          <w:ilvl w:val="0"/>
          <w:numId w:val="2"/>
        </w:numPr>
        <w:tabs>
          <w:tab w:val="clear" w:pos="360"/>
          <w:tab w:val="num" w:pos="720"/>
        </w:tabs>
        <w:spacing w:line="360" w:lineRule="auto"/>
        <w:ind w:left="720"/>
      </w:pPr>
      <w:r w:rsidRPr="001D040C">
        <w:t>The data constitute a system of records under the Privacy Act System (#09-25-</w:t>
      </w:r>
      <w:r w:rsidR="00DE525B" w:rsidRPr="001D040C">
        <w:t>0</w:t>
      </w:r>
      <w:r w:rsidR="00DE525B">
        <w:t>200</w:t>
      </w:r>
      <w:r w:rsidR="00AA41D2">
        <w:t>, Clinical, Basic and Population-based Research Studies of the National Institutes of Health (NIH), published 9/26/2002, FR 67, pgs. 60742-60784</w:t>
      </w:r>
      <w:r w:rsidRPr="001D040C">
        <w:t>)</w:t>
      </w:r>
      <w:r w:rsidR="0011485D">
        <w:t>.</w:t>
      </w:r>
      <w:r w:rsidR="00354F38">
        <w:t xml:space="preserve"> </w:t>
      </w:r>
      <w:r w:rsidRPr="001D040C">
        <w:t xml:space="preserve"> </w:t>
      </w:r>
    </w:p>
    <w:p w14:paraId="562ED091" w14:textId="69F7D479" w:rsidR="00EE5B0A" w:rsidRDefault="0094043E" w:rsidP="001029C3">
      <w:pPr>
        <w:numPr>
          <w:ilvl w:val="0"/>
          <w:numId w:val="2"/>
        </w:numPr>
        <w:tabs>
          <w:tab w:val="clear" w:pos="360"/>
          <w:tab w:val="num" w:pos="720"/>
        </w:tabs>
        <w:spacing w:line="360" w:lineRule="auto"/>
        <w:ind w:left="720"/>
      </w:pPr>
      <w:r>
        <w:t>At enrollment, e</w:t>
      </w:r>
      <w:r w:rsidR="00F55BEA">
        <w:t xml:space="preserve">ach potential </w:t>
      </w:r>
      <w:r>
        <w:t xml:space="preserve">study </w:t>
      </w:r>
      <w:r w:rsidR="00F55BEA">
        <w:t>participant</w:t>
      </w:r>
      <w:r w:rsidR="009F6670">
        <w:t xml:space="preserve"> or </w:t>
      </w:r>
      <w:r w:rsidR="00F55BEA">
        <w:t xml:space="preserve">“registrant” will provide the following personal identifiable information (PII): </w:t>
      </w:r>
      <w:r w:rsidR="00F55BEA" w:rsidRPr="001D040C">
        <w:t>name</w:t>
      </w:r>
      <w:r w:rsidR="00F55BEA">
        <w:t xml:space="preserve">, affiliation, </w:t>
      </w:r>
      <w:r>
        <w:t>contact information (telephone number and</w:t>
      </w:r>
      <w:r w:rsidRPr="001D040C">
        <w:t xml:space="preserve"> </w:t>
      </w:r>
      <w:r>
        <w:t xml:space="preserve">email), </w:t>
      </w:r>
      <w:r w:rsidR="002F54CA">
        <w:t xml:space="preserve">terminal degree(s), </w:t>
      </w:r>
      <w:r w:rsidR="00F55BEA">
        <w:t xml:space="preserve">scientific expertise, </w:t>
      </w:r>
      <w:r>
        <w:t>sector (</w:t>
      </w:r>
      <w:r w:rsidRPr="00636A83">
        <w:t>academia, industry, non-government organizations, and federal and state agencies)</w:t>
      </w:r>
      <w:r w:rsidR="00F55BEA">
        <w:t xml:space="preserve">, and </w:t>
      </w:r>
      <w:r>
        <w:t>whether they have 3 years’ employment</w:t>
      </w:r>
      <w:r w:rsidR="00F55BEA">
        <w:t xml:space="preserve"> </w:t>
      </w:r>
      <w:r>
        <w:t xml:space="preserve">working in public health or a </w:t>
      </w:r>
      <w:r w:rsidR="00F55BEA">
        <w:t>risk assessment</w:t>
      </w:r>
      <w:r>
        <w:t xml:space="preserve">-related </w:t>
      </w:r>
      <w:r w:rsidR="00F55BEA">
        <w:t>activit</w:t>
      </w:r>
      <w:r>
        <w:t>y</w:t>
      </w:r>
      <w:r w:rsidR="00F55BEA">
        <w:t xml:space="preserve">. </w:t>
      </w:r>
    </w:p>
    <w:p w14:paraId="4C2AEE69" w14:textId="2FDFBF64" w:rsidR="00F55BEA" w:rsidRDefault="00EE5B0A" w:rsidP="001029C3">
      <w:pPr>
        <w:numPr>
          <w:ilvl w:val="0"/>
          <w:numId w:val="2"/>
        </w:numPr>
        <w:tabs>
          <w:tab w:val="clear" w:pos="360"/>
          <w:tab w:val="num" w:pos="720"/>
        </w:tabs>
        <w:spacing w:line="360" w:lineRule="auto"/>
        <w:ind w:left="720"/>
      </w:pPr>
      <w:r>
        <w:t>All</w:t>
      </w:r>
      <w:r w:rsidR="00F55BEA">
        <w:t xml:space="preserve"> PII will</w:t>
      </w:r>
      <w:r w:rsidR="00F55BEA" w:rsidRPr="001D040C">
        <w:t xml:space="preserve"> </w:t>
      </w:r>
      <w:r w:rsidR="00F55BEA">
        <w:t>be</w:t>
      </w:r>
      <w:r w:rsidR="00F55BEA" w:rsidRPr="001D040C">
        <w:t xml:space="preserve"> stored </w:t>
      </w:r>
      <w:r w:rsidR="00F55BEA">
        <w:t xml:space="preserve">encrypted in a </w:t>
      </w:r>
      <w:r w:rsidR="00F55BEA" w:rsidRPr="001D040C">
        <w:t xml:space="preserve">password-protected, </w:t>
      </w:r>
      <w:r w:rsidR="000430B5" w:rsidRPr="001D040C">
        <w:t>restricted</w:t>
      </w:r>
      <w:r w:rsidR="000430B5">
        <w:t>-</w:t>
      </w:r>
      <w:r w:rsidR="00F55BEA" w:rsidRPr="001D040C">
        <w:t xml:space="preserve">access electronic </w:t>
      </w:r>
      <w:r w:rsidR="00F55BEA">
        <w:t>database</w:t>
      </w:r>
      <w:r w:rsidR="00F55BEA" w:rsidRPr="001D040C">
        <w:t xml:space="preserve"> </w:t>
      </w:r>
      <w:r w:rsidR="00F55BEA">
        <w:t>at the NIEHS</w:t>
      </w:r>
      <w:r w:rsidR="00F55BEA" w:rsidRPr="001D040C">
        <w:t>.</w:t>
      </w:r>
      <w:r w:rsidR="00F55BEA">
        <w:t xml:space="preserve"> Each registrant will be assigned a unique Registrant ID.</w:t>
      </w:r>
    </w:p>
    <w:p w14:paraId="2FA52587" w14:textId="2FB8E627" w:rsidR="00F55BEA" w:rsidRDefault="00EE5B0A" w:rsidP="00EE5B0A">
      <w:pPr>
        <w:numPr>
          <w:ilvl w:val="0"/>
          <w:numId w:val="2"/>
        </w:numPr>
        <w:tabs>
          <w:tab w:val="clear" w:pos="360"/>
          <w:tab w:val="num" w:pos="720"/>
        </w:tabs>
        <w:spacing w:line="360" w:lineRule="auto"/>
        <w:ind w:left="720"/>
      </w:pPr>
      <w:r>
        <w:t>Only the</w:t>
      </w:r>
      <w:r w:rsidR="00F55BEA">
        <w:t xml:space="preserve"> following </w:t>
      </w:r>
      <w:r>
        <w:t>data</w:t>
      </w:r>
      <w:r w:rsidR="00F55BEA">
        <w:t xml:space="preserve"> will be </w:t>
      </w:r>
      <w:r w:rsidR="0094043E">
        <w:t>screened</w:t>
      </w:r>
      <w:r w:rsidR="00F55BEA">
        <w:t xml:space="preserve"> </w:t>
      </w:r>
      <w:r w:rsidR="009F6670">
        <w:t xml:space="preserve">for eligibility </w:t>
      </w:r>
      <w:r w:rsidR="00F55BEA">
        <w:t xml:space="preserve">to select a subset of </w:t>
      </w:r>
      <w:r>
        <w:t>R</w:t>
      </w:r>
      <w:r w:rsidR="00F55BEA">
        <w:t>egistrant</w:t>
      </w:r>
      <w:r>
        <w:t xml:space="preserve"> IDs</w:t>
      </w:r>
      <w:r w:rsidR="00F55BEA">
        <w:t xml:space="preserve"> to participate in the study: </w:t>
      </w:r>
      <w:r w:rsidR="002F54CA">
        <w:t xml:space="preserve">affiliation, terminal </w:t>
      </w:r>
      <w:r w:rsidR="00F55BEA">
        <w:t>degree</w:t>
      </w:r>
      <w:r w:rsidR="002F54CA">
        <w:t>(s)</w:t>
      </w:r>
      <w:r w:rsidR="00F55BEA">
        <w:t xml:space="preserve">, scientific expertise, sector, and </w:t>
      </w:r>
      <w:r w:rsidR="002F54CA">
        <w:t>whether</w:t>
      </w:r>
      <w:r w:rsidR="00F55BEA">
        <w:t xml:space="preserve"> </w:t>
      </w:r>
      <w:r w:rsidR="00CD541C">
        <w:t>employed</w:t>
      </w:r>
      <w:r w:rsidR="00F55BEA">
        <w:t xml:space="preserve"> three or more years </w:t>
      </w:r>
      <w:r w:rsidR="00CD541C">
        <w:t xml:space="preserve">working in public health or a </w:t>
      </w:r>
      <w:r w:rsidR="00F55BEA">
        <w:t>risk assessmen</w:t>
      </w:r>
      <w:r>
        <w:t>t</w:t>
      </w:r>
      <w:r w:rsidR="00CD541C">
        <w:t>-related activity</w:t>
      </w:r>
      <w:r>
        <w:t xml:space="preserve">. </w:t>
      </w:r>
    </w:p>
    <w:p w14:paraId="169BD19C" w14:textId="4702AF27" w:rsidR="006D061C" w:rsidRDefault="006D061C" w:rsidP="001029C3">
      <w:pPr>
        <w:numPr>
          <w:ilvl w:val="0"/>
          <w:numId w:val="2"/>
        </w:numPr>
        <w:tabs>
          <w:tab w:val="clear" w:pos="360"/>
          <w:tab w:val="num" w:pos="720"/>
        </w:tabs>
        <w:spacing w:line="360" w:lineRule="auto"/>
        <w:ind w:left="720"/>
      </w:pPr>
      <w:r w:rsidRPr="001D040C">
        <w:t xml:space="preserve">Each </w:t>
      </w:r>
      <w:r w:rsidR="00EE5B0A">
        <w:t xml:space="preserve">study </w:t>
      </w:r>
      <w:r w:rsidRPr="001D040C">
        <w:t xml:space="preserve">participant </w:t>
      </w:r>
      <w:r w:rsidR="009560DC">
        <w:t>will be</w:t>
      </w:r>
      <w:r w:rsidR="009560DC" w:rsidRPr="001D040C">
        <w:t xml:space="preserve"> </w:t>
      </w:r>
      <w:r w:rsidRPr="001D040C">
        <w:t xml:space="preserve">assigned a </w:t>
      </w:r>
      <w:r w:rsidR="00F652F7">
        <w:t>User</w:t>
      </w:r>
      <w:r w:rsidR="001A59BD">
        <w:t xml:space="preserve"> </w:t>
      </w:r>
      <w:r w:rsidRPr="001D040C">
        <w:t xml:space="preserve">ID number. The </w:t>
      </w:r>
      <w:r w:rsidR="00EE5B0A">
        <w:t xml:space="preserve">User </w:t>
      </w:r>
      <w:r w:rsidRPr="001D040C">
        <w:t xml:space="preserve">ID alone </w:t>
      </w:r>
      <w:r w:rsidR="00994333">
        <w:t>will be</w:t>
      </w:r>
      <w:r w:rsidR="00994333" w:rsidRPr="001D040C">
        <w:t xml:space="preserve"> </w:t>
      </w:r>
      <w:r w:rsidRPr="001D040C">
        <w:t xml:space="preserve">used to identify all data </w:t>
      </w:r>
      <w:r w:rsidR="009560DC">
        <w:t xml:space="preserve">from the </w:t>
      </w:r>
      <w:r w:rsidR="00170A69">
        <w:t xml:space="preserve">LoC </w:t>
      </w:r>
      <w:r w:rsidR="00083877">
        <w:t>card</w:t>
      </w:r>
      <w:r w:rsidR="00170A69">
        <w:t>-</w:t>
      </w:r>
      <w:r w:rsidR="009560DC">
        <w:t>sorting exercises</w:t>
      </w:r>
      <w:r w:rsidRPr="001D040C">
        <w:t xml:space="preserve">. Only the </w:t>
      </w:r>
      <w:r w:rsidR="00EE5B0A">
        <w:t xml:space="preserve">User </w:t>
      </w:r>
      <w:r w:rsidRPr="001D040C">
        <w:t xml:space="preserve">ID number </w:t>
      </w:r>
      <w:r w:rsidR="00F55BEA">
        <w:t xml:space="preserve">will identify study participants </w:t>
      </w:r>
      <w:r w:rsidRPr="001D040C">
        <w:t xml:space="preserve">in the analysis of data. </w:t>
      </w:r>
    </w:p>
    <w:p w14:paraId="18FF1249" w14:textId="132E6B29" w:rsidR="00460EB1" w:rsidRPr="001D040C" w:rsidRDefault="00460EB1" w:rsidP="001029C3">
      <w:pPr>
        <w:numPr>
          <w:ilvl w:val="0"/>
          <w:numId w:val="2"/>
        </w:numPr>
        <w:tabs>
          <w:tab w:val="clear" w:pos="360"/>
          <w:tab w:val="num" w:pos="720"/>
        </w:tabs>
        <w:spacing w:line="360" w:lineRule="auto"/>
        <w:ind w:left="720"/>
      </w:pPr>
      <w:r>
        <w:t xml:space="preserve">Each participant will </w:t>
      </w:r>
      <w:r w:rsidR="00EE5B0A">
        <w:t xml:space="preserve">also </w:t>
      </w:r>
      <w:r>
        <w:t xml:space="preserve">be assigned a unique </w:t>
      </w:r>
      <w:r w:rsidR="00EE5B0A">
        <w:t>U</w:t>
      </w:r>
      <w:r w:rsidR="001A59BD">
        <w:t xml:space="preserve">sername and </w:t>
      </w:r>
      <w:r>
        <w:t>PIN-code</w:t>
      </w:r>
      <w:r w:rsidR="00073182">
        <w:t xml:space="preserve"> for accessing the </w:t>
      </w:r>
      <w:r w:rsidR="0036527D">
        <w:t>w</w:t>
      </w:r>
      <w:r w:rsidR="00073182">
        <w:t>ebsite for the LoC card-sorting exercises</w:t>
      </w:r>
      <w:r>
        <w:t>.</w:t>
      </w:r>
    </w:p>
    <w:p w14:paraId="0A3FE6B0" w14:textId="0CF19122" w:rsidR="006D061C" w:rsidRPr="001D040C" w:rsidRDefault="00932633" w:rsidP="001029C3">
      <w:pPr>
        <w:numPr>
          <w:ilvl w:val="0"/>
          <w:numId w:val="2"/>
        </w:numPr>
        <w:tabs>
          <w:tab w:val="clear" w:pos="360"/>
          <w:tab w:val="num" w:pos="720"/>
        </w:tabs>
        <w:spacing w:line="360" w:lineRule="auto"/>
        <w:ind w:left="720"/>
      </w:pPr>
      <w:r w:rsidRPr="001D040C">
        <w:t>E</w:t>
      </w:r>
      <w:r w:rsidR="006D061C" w:rsidRPr="001D040C">
        <w:t xml:space="preserve">mployees of </w:t>
      </w:r>
      <w:r w:rsidR="009560DC">
        <w:t>NIEHS</w:t>
      </w:r>
      <w:r w:rsidR="009560DC" w:rsidRPr="001D040C">
        <w:t xml:space="preserve"> </w:t>
      </w:r>
      <w:r w:rsidR="00D455C9" w:rsidRPr="001D040C">
        <w:t xml:space="preserve">undergo </w:t>
      </w:r>
      <w:r w:rsidRPr="001D040C">
        <w:t>background checks</w:t>
      </w:r>
      <w:r w:rsidR="00C91D97">
        <w:t xml:space="preserve"> and take required</w:t>
      </w:r>
      <w:r w:rsidR="00881D32">
        <w:t xml:space="preserve"> </w:t>
      </w:r>
      <w:r w:rsidR="00D455C9" w:rsidRPr="001D040C">
        <w:t>ethics training</w:t>
      </w:r>
      <w:r w:rsidR="006D061C" w:rsidRPr="001D040C">
        <w:t>.</w:t>
      </w:r>
    </w:p>
    <w:p w14:paraId="5081A71B" w14:textId="1F2071DE" w:rsidR="006D061C" w:rsidRPr="001D040C" w:rsidRDefault="006D061C" w:rsidP="001029C3">
      <w:pPr>
        <w:numPr>
          <w:ilvl w:val="0"/>
          <w:numId w:val="2"/>
        </w:numPr>
        <w:tabs>
          <w:tab w:val="clear" w:pos="360"/>
          <w:tab w:val="num" w:pos="720"/>
        </w:tabs>
        <w:spacing w:line="360" w:lineRule="auto"/>
        <w:ind w:left="720"/>
      </w:pPr>
      <w:r w:rsidRPr="001D040C">
        <w:t xml:space="preserve">Only </w:t>
      </w:r>
      <w:r w:rsidR="00083877">
        <w:t>LoC Categories</w:t>
      </w:r>
      <w:r w:rsidR="00083877" w:rsidRPr="001D040C">
        <w:t xml:space="preserve"> </w:t>
      </w:r>
      <w:r w:rsidR="00D455C9" w:rsidRPr="001D040C">
        <w:t xml:space="preserve">Study </w:t>
      </w:r>
      <w:r w:rsidRPr="001D040C">
        <w:t xml:space="preserve">research personnel </w:t>
      </w:r>
      <w:r w:rsidR="00C65CA5">
        <w:t xml:space="preserve">will </w:t>
      </w:r>
      <w:r w:rsidRPr="001D040C">
        <w:t>have access to study data.</w:t>
      </w:r>
    </w:p>
    <w:p w14:paraId="7CC4FACA" w14:textId="3D0D4BBF" w:rsidR="006D061C" w:rsidRPr="001D040C" w:rsidRDefault="006D061C" w:rsidP="001029C3">
      <w:pPr>
        <w:numPr>
          <w:ilvl w:val="0"/>
          <w:numId w:val="2"/>
        </w:numPr>
        <w:tabs>
          <w:tab w:val="clear" w:pos="360"/>
          <w:tab w:val="num" w:pos="720"/>
        </w:tabs>
        <w:spacing w:line="360" w:lineRule="auto"/>
        <w:ind w:left="720"/>
      </w:pPr>
      <w:r w:rsidRPr="001D040C">
        <w:t xml:space="preserve">Shared samples and data will be provided without </w:t>
      </w:r>
      <w:r w:rsidR="00EE5B0A">
        <w:t xml:space="preserve">PII </w:t>
      </w:r>
      <w:r w:rsidRPr="001D040C">
        <w:t>identifiers</w:t>
      </w:r>
      <w:r w:rsidR="00EE5B0A">
        <w:t xml:space="preserve"> of name, affiliation, phone, and email</w:t>
      </w:r>
      <w:r w:rsidRPr="001D040C">
        <w:t>.</w:t>
      </w:r>
    </w:p>
    <w:p w14:paraId="4C1AAC48" w14:textId="7D4D6FC7" w:rsidR="006D061C" w:rsidRPr="00C65CA5" w:rsidRDefault="006D061C" w:rsidP="00C65CA5">
      <w:pPr>
        <w:numPr>
          <w:ilvl w:val="0"/>
          <w:numId w:val="2"/>
        </w:numPr>
        <w:tabs>
          <w:tab w:val="clear" w:pos="360"/>
          <w:tab w:val="num" w:pos="720"/>
        </w:tabs>
        <w:spacing w:line="360" w:lineRule="auto"/>
        <w:ind w:left="720"/>
      </w:pPr>
      <w:r w:rsidRPr="00C65CA5">
        <w:t xml:space="preserve">The </w:t>
      </w:r>
      <w:r w:rsidR="00507A3E">
        <w:t xml:space="preserve">NIH Office of Human Subjects Research Protection designated this </w:t>
      </w:r>
      <w:r w:rsidRPr="00C65CA5">
        <w:t xml:space="preserve">proposal </w:t>
      </w:r>
      <w:r w:rsidR="00507A3E">
        <w:t xml:space="preserve">exempt </w:t>
      </w:r>
      <w:r w:rsidR="00505AFF" w:rsidRPr="00C65CA5">
        <w:t xml:space="preserve">on </w:t>
      </w:r>
      <w:r w:rsidR="00B5288B" w:rsidRPr="00C65CA5">
        <w:t xml:space="preserve">January 13, 2015 </w:t>
      </w:r>
      <w:r w:rsidRPr="00C65CA5">
        <w:t>(</w:t>
      </w:r>
      <w:r w:rsidR="00455B35" w:rsidRPr="009B3602">
        <w:rPr>
          <w:b/>
          <w:smallCaps/>
        </w:rPr>
        <w:t>Attachment</w:t>
      </w:r>
      <w:r w:rsidR="00455B35" w:rsidRPr="0024068F">
        <w:rPr>
          <w:b/>
        </w:rPr>
        <w:t xml:space="preserve"> </w:t>
      </w:r>
      <w:r w:rsidR="00BB6C99">
        <w:rPr>
          <w:b/>
        </w:rPr>
        <w:t>4</w:t>
      </w:r>
      <w:r w:rsidR="000A7AC0">
        <w:rPr>
          <w:b/>
        </w:rPr>
        <w:t xml:space="preserve"> –</w:t>
      </w:r>
      <w:r w:rsidR="000A7AC0">
        <w:rPr>
          <w:b/>
          <w:bCs/>
          <w:smallCaps/>
          <w:szCs w:val="22"/>
        </w:rPr>
        <w:t xml:space="preserve"> </w:t>
      </w:r>
      <w:r w:rsidR="00455B35">
        <w:rPr>
          <w:b/>
          <w:bCs/>
          <w:smallCaps/>
          <w:szCs w:val="22"/>
        </w:rPr>
        <w:t xml:space="preserve">NIEHS </w:t>
      </w:r>
      <w:r w:rsidR="000A7AC0">
        <w:rPr>
          <w:b/>
          <w:bCs/>
          <w:smallCaps/>
          <w:szCs w:val="22"/>
        </w:rPr>
        <w:t xml:space="preserve">IRB </w:t>
      </w:r>
      <w:r w:rsidR="00455B35">
        <w:rPr>
          <w:b/>
          <w:bCs/>
          <w:smallCaps/>
          <w:szCs w:val="22"/>
        </w:rPr>
        <w:t>Review</w:t>
      </w:r>
      <w:r w:rsidRPr="00C65CA5">
        <w:t>)</w:t>
      </w:r>
      <w:r w:rsidR="00881D32" w:rsidRPr="00C65CA5">
        <w:t>.</w:t>
      </w:r>
      <w:r w:rsidR="009B3602" w:rsidRPr="00C65CA5">
        <w:t xml:space="preserve"> </w:t>
      </w:r>
    </w:p>
    <w:p w14:paraId="36501907" w14:textId="71FA38E7" w:rsidR="006D061C" w:rsidRPr="001D040C" w:rsidRDefault="00994333" w:rsidP="00C65CA5">
      <w:pPr>
        <w:numPr>
          <w:ilvl w:val="0"/>
          <w:numId w:val="2"/>
        </w:numPr>
        <w:tabs>
          <w:tab w:val="clear" w:pos="360"/>
          <w:tab w:val="num" w:pos="720"/>
        </w:tabs>
        <w:spacing w:line="360" w:lineRule="auto"/>
        <w:ind w:left="720"/>
      </w:pPr>
      <w:r>
        <w:lastRenderedPageBreak/>
        <w:t>I</w:t>
      </w:r>
      <w:r w:rsidR="006D061C" w:rsidRPr="001D040C">
        <w:t>nformed consent</w:t>
      </w:r>
      <w:r w:rsidR="00853E69" w:rsidRPr="00C65CA5">
        <w:t xml:space="preserve"> </w:t>
      </w:r>
      <w:r w:rsidR="00590156">
        <w:t>form</w:t>
      </w:r>
      <w:r w:rsidR="00590156" w:rsidRPr="001D040C">
        <w:t xml:space="preserve"> </w:t>
      </w:r>
      <w:r w:rsidR="00881D32">
        <w:t xml:space="preserve">will </w:t>
      </w:r>
      <w:r w:rsidR="006D061C" w:rsidRPr="001D040C">
        <w:t>spell</w:t>
      </w:r>
      <w:r w:rsidR="00C65CA5">
        <w:t xml:space="preserve"> </w:t>
      </w:r>
      <w:r w:rsidR="006D061C" w:rsidRPr="001D040C">
        <w:t>out the steps taken to protect privacy</w:t>
      </w:r>
      <w:r>
        <w:t>, and</w:t>
      </w:r>
      <w:r w:rsidR="00254730">
        <w:t xml:space="preserve"> </w:t>
      </w:r>
      <w:r>
        <w:t xml:space="preserve">this form will be </w:t>
      </w:r>
      <w:r w:rsidR="006D061C" w:rsidRPr="001D040C">
        <w:t xml:space="preserve">provided </w:t>
      </w:r>
      <w:r w:rsidR="00C65CA5">
        <w:t xml:space="preserve">electronically </w:t>
      </w:r>
      <w:r w:rsidR="006D061C" w:rsidRPr="001D040C">
        <w:t xml:space="preserve">at the time of </w:t>
      </w:r>
      <w:r>
        <w:t xml:space="preserve">registration </w:t>
      </w:r>
      <w:r w:rsidR="0047301C">
        <w:t>(</w:t>
      </w:r>
      <w:r w:rsidR="00455B35" w:rsidRPr="009B3602">
        <w:rPr>
          <w:b/>
          <w:smallCaps/>
        </w:rPr>
        <w:t>Attachment</w:t>
      </w:r>
      <w:r w:rsidR="00F74E7D">
        <w:rPr>
          <w:b/>
        </w:rPr>
        <w:t xml:space="preserve"> </w:t>
      </w:r>
      <w:r w:rsidR="00BB6C99">
        <w:rPr>
          <w:b/>
        </w:rPr>
        <w:t>5</w:t>
      </w:r>
      <w:r w:rsidR="000A7AC0" w:rsidRPr="000A7AC0">
        <w:rPr>
          <w:b/>
          <w:bCs/>
          <w:smallCaps/>
          <w:szCs w:val="22"/>
        </w:rPr>
        <w:t xml:space="preserve"> </w:t>
      </w:r>
      <w:r w:rsidR="000A7AC0">
        <w:rPr>
          <w:b/>
        </w:rPr>
        <w:t>–</w:t>
      </w:r>
      <w:r w:rsidR="000A7AC0">
        <w:rPr>
          <w:b/>
          <w:bCs/>
          <w:smallCaps/>
          <w:szCs w:val="22"/>
        </w:rPr>
        <w:t xml:space="preserve"> Study</w:t>
      </w:r>
      <w:r w:rsidR="00455B35">
        <w:rPr>
          <w:b/>
          <w:bCs/>
          <w:smallCaps/>
          <w:szCs w:val="22"/>
        </w:rPr>
        <w:t xml:space="preserve"> Consent Form</w:t>
      </w:r>
      <w:r w:rsidR="0047301C">
        <w:t>)</w:t>
      </w:r>
      <w:r w:rsidR="00881D32">
        <w:t>.</w:t>
      </w:r>
    </w:p>
    <w:p w14:paraId="427C13EC" w14:textId="77777777" w:rsidR="009E6CF5" w:rsidRDefault="009E6CF5" w:rsidP="001F197A">
      <w:pPr>
        <w:ind w:firstLine="450"/>
      </w:pPr>
    </w:p>
    <w:p w14:paraId="6D097741" w14:textId="6F5CCB37" w:rsidR="006D061C" w:rsidRPr="001F197A" w:rsidRDefault="006D061C" w:rsidP="001F197A">
      <w:pPr>
        <w:ind w:firstLine="450"/>
        <w:rPr>
          <w:strike/>
        </w:rPr>
      </w:pPr>
      <w:r w:rsidRPr="001D040C">
        <w:t>Participants may elect to leave the study at any time.  As exp</w:t>
      </w:r>
      <w:r w:rsidR="00932633" w:rsidRPr="001D040C">
        <w:t xml:space="preserve">lained in the </w:t>
      </w:r>
      <w:r w:rsidR="00994333">
        <w:t>I</w:t>
      </w:r>
      <w:r w:rsidR="00994333" w:rsidRPr="001D040C">
        <w:t xml:space="preserve">nformed </w:t>
      </w:r>
      <w:r w:rsidR="00994333">
        <w:t>c</w:t>
      </w:r>
      <w:r w:rsidR="00994333" w:rsidRPr="001D040C">
        <w:t xml:space="preserve">onsent </w:t>
      </w:r>
      <w:r w:rsidR="00994333">
        <w:t>form</w:t>
      </w:r>
      <w:r w:rsidRPr="001D040C">
        <w:t xml:space="preserve">, no new data will be collected from </w:t>
      </w:r>
      <w:r w:rsidR="001F197A">
        <w:t>participants</w:t>
      </w:r>
      <w:r w:rsidR="001F197A" w:rsidRPr="001D040C">
        <w:t xml:space="preserve"> </w:t>
      </w:r>
      <w:r w:rsidRPr="001D040C">
        <w:t xml:space="preserve">who elect to drop out, </w:t>
      </w:r>
      <w:r w:rsidR="00994333">
        <w:t xml:space="preserve">and </w:t>
      </w:r>
      <w:r w:rsidRPr="001D040C">
        <w:t xml:space="preserve">the data already provided will continue to be used in some analyses unless a written request to destroy </w:t>
      </w:r>
      <w:r w:rsidR="00994333">
        <w:t xml:space="preserve">the </w:t>
      </w:r>
      <w:r w:rsidRPr="001D040C">
        <w:t xml:space="preserve">data is received.  </w:t>
      </w:r>
    </w:p>
    <w:p w14:paraId="1F30F0BA" w14:textId="77777777" w:rsidR="006D061C" w:rsidRPr="001D040C" w:rsidRDefault="006D061C" w:rsidP="00AD7BBB">
      <w:pPr>
        <w:pStyle w:val="Heading3"/>
      </w:pPr>
      <w:bookmarkStart w:id="30" w:name="_Toc129590314"/>
      <w:bookmarkStart w:id="31" w:name="_Toc129668556"/>
      <w:bookmarkStart w:id="32" w:name="_Toc314995106"/>
      <w:r w:rsidRPr="001D040C">
        <w:t xml:space="preserve">A.11. </w:t>
      </w:r>
      <w:r w:rsidR="000606CA" w:rsidRPr="001D040C">
        <w:t xml:space="preserve"> </w:t>
      </w:r>
      <w:r w:rsidRPr="001D040C">
        <w:t>Justification for Sensitive Questions</w:t>
      </w:r>
      <w:bookmarkEnd w:id="30"/>
      <w:bookmarkEnd w:id="31"/>
      <w:bookmarkEnd w:id="32"/>
    </w:p>
    <w:p w14:paraId="3744E3AA" w14:textId="3F70A8EA" w:rsidR="001F197A" w:rsidRPr="001F197A" w:rsidRDefault="001F197A" w:rsidP="001F197A">
      <w:r>
        <w:t>No questions addressing sensitive and personal issues will be asked.</w:t>
      </w:r>
    </w:p>
    <w:p w14:paraId="1EDCF3AD" w14:textId="17F5E9B4" w:rsidR="006D061C" w:rsidRPr="001D040C" w:rsidRDefault="006D061C" w:rsidP="00AD7BBB">
      <w:pPr>
        <w:pStyle w:val="Heading3"/>
      </w:pPr>
      <w:bookmarkStart w:id="33" w:name="_Toc129590315"/>
      <w:bookmarkStart w:id="34" w:name="_Toc129668557"/>
      <w:bookmarkStart w:id="35" w:name="_Toc314995107"/>
      <w:r w:rsidRPr="001D040C">
        <w:t>A.12.</w:t>
      </w:r>
      <w:r w:rsidR="008648CA">
        <w:t>1</w:t>
      </w:r>
      <w:r w:rsidRPr="001D040C">
        <w:t xml:space="preserve"> </w:t>
      </w:r>
      <w:r w:rsidR="000606CA" w:rsidRPr="001D040C">
        <w:t xml:space="preserve"> </w:t>
      </w:r>
      <w:r w:rsidRPr="001D040C">
        <w:t>Estimate</w:t>
      </w:r>
      <w:r w:rsidR="008648CA">
        <w:t>d</w:t>
      </w:r>
      <w:r w:rsidRPr="001D040C">
        <w:t xml:space="preserve"> </w:t>
      </w:r>
      <w:bookmarkEnd w:id="33"/>
      <w:bookmarkEnd w:id="34"/>
      <w:r w:rsidR="008648CA">
        <w:t>Annualized Burden Hours</w:t>
      </w:r>
      <w:bookmarkEnd w:id="35"/>
    </w:p>
    <w:p w14:paraId="26EB4793" w14:textId="23FBCF24" w:rsidR="00C4599A" w:rsidRDefault="00DC3B22" w:rsidP="003454DA">
      <w:pPr>
        <w:shd w:val="clear" w:color="auto" w:fill="FFFFFF"/>
      </w:pPr>
      <w:r>
        <w:t xml:space="preserve">It is anticipated to take 6 minutes to read the LoC Study Consent Form </w:t>
      </w:r>
      <w:r w:rsidRPr="00DC3B22">
        <w:rPr>
          <w:b/>
        </w:rPr>
        <w:t>(</w:t>
      </w:r>
      <w:r w:rsidRPr="009B3602">
        <w:rPr>
          <w:b/>
          <w:smallCaps/>
        </w:rPr>
        <w:t>Attachment</w:t>
      </w:r>
      <w:r>
        <w:rPr>
          <w:b/>
        </w:rPr>
        <w:t xml:space="preserve"> 5</w:t>
      </w:r>
      <w:r w:rsidRPr="000A7AC0">
        <w:rPr>
          <w:b/>
          <w:bCs/>
          <w:smallCaps/>
          <w:szCs w:val="22"/>
        </w:rPr>
        <w:t xml:space="preserve"> </w:t>
      </w:r>
      <w:r>
        <w:rPr>
          <w:b/>
        </w:rPr>
        <w:t>–</w:t>
      </w:r>
      <w:r>
        <w:rPr>
          <w:b/>
          <w:bCs/>
          <w:smallCaps/>
          <w:szCs w:val="22"/>
        </w:rPr>
        <w:t xml:space="preserve"> Study Consent Form</w:t>
      </w:r>
      <w:r>
        <w:t xml:space="preserve">). </w:t>
      </w:r>
      <w:r w:rsidR="00C4599A">
        <w:t xml:space="preserve">The LoC </w:t>
      </w:r>
      <w:r w:rsidR="00B44FBF">
        <w:t>card-</w:t>
      </w:r>
      <w:r w:rsidR="00C4599A">
        <w:t>sorting exercises in Phases 1</w:t>
      </w:r>
      <w:r w:rsidR="00130DC2">
        <w:t>,</w:t>
      </w:r>
      <w:r w:rsidR="00C4599A">
        <w:t xml:space="preserve"> </w:t>
      </w:r>
      <w:r w:rsidR="00460EB1">
        <w:t>Trial</w:t>
      </w:r>
      <w:r w:rsidR="00130DC2">
        <w:t>s</w:t>
      </w:r>
      <w:r w:rsidR="00460EB1">
        <w:t xml:space="preserve"> A and B</w:t>
      </w:r>
      <w:r w:rsidR="00130DC2">
        <w:t xml:space="preserve"> and Phase 2, Trials C and D</w:t>
      </w:r>
      <w:r w:rsidR="00C4599A">
        <w:t xml:space="preserve"> will be self-administered and </w:t>
      </w:r>
      <w:r w:rsidR="00994333">
        <w:t xml:space="preserve">it </w:t>
      </w:r>
      <w:r w:rsidR="00C4599A">
        <w:t xml:space="preserve">is anticipated to take </w:t>
      </w:r>
      <w:r w:rsidR="009E1B2B">
        <w:t>1.5</w:t>
      </w:r>
      <w:r w:rsidR="00C4599A">
        <w:t xml:space="preserve"> hours for participants to complete</w:t>
      </w:r>
      <w:r w:rsidR="00B5288B">
        <w:t xml:space="preserve"> per phase</w:t>
      </w:r>
      <w:r w:rsidR="00460EB1">
        <w:t xml:space="preserve"> per trial</w:t>
      </w:r>
      <w:r w:rsidR="00C4599A">
        <w:t>.</w:t>
      </w:r>
    </w:p>
    <w:p w14:paraId="08AF0FC6" w14:textId="47003E94" w:rsidR="00507A3E" w:rsidRDefault="00D3772B" w:rsidP="00507A3E">
      <w:pPr>
        <w:shd w:val="clear" w:color="auto" w:fill="FFFFFF"/>
      </w:pPr>
      <w:r w:rsidRPr="00E72110">
        <w:t xml:space="preserve">The annual reporting burden is as follows:  </w:t>
      </w:r>
      <w:r w:rsidRPr="00E72110">
        <w:rPr>
          <w:i/>
        </w:rPr>
        <w:t xml:space="preserve">Estimated Number of </w:t>
      </w:r>
      <w:r w:rsidR="00977FF6">
        <w:rPr>
          <w:i/>
        </w:rPr>
        <w:t>Participants</w:t>
      </w:r>
      <w:r w:rsidRPr="00E72110">
        <w:rPr>
          <w:i/>
        </w:rPr>
        <w:t xml:space="preserve">: </w:t>
      </w:r>
      <w:r w:rsidR="00D5007A">
        <w:t>200</w:t>
      </w:r>
      <w:r w:rsidR="00977FF6">
        <w:t xml:space="preserve"> </w:t>
      </w:r>
      <w:bookmarkStart w:id="36" w:name="_Toc129590316"/>
      <w:bookmarkStart w:id="37" w:name="_Toc129668558"/>
      <w:r w:rsidR="00507A3E">
        <w:t>study participants.</w:t>
      </w:r>
    </w:p>
    <w:p w14:paraId="2F5E06C4" w14:textId="44616DE5" w:rsidR="00CA33C8" w:rsidRDefault="00CA33C8">
      <w:pPr>
        <w:spacing w:line="240" w:lineRule="auto"/>
        <w:ind w:firstLine="0"/>
        <w:rPr>
          <w:i/>
          <w:szCs w:val="22"/>
        </w:rPr>
      </w:pPr>
    </w:p>
    <w:p w14:paraId="66DF9A10" w14:textId="49831FDD" w:rsidR="008648CA" w:rsidRDefault="003454DA" w:rsidP="00DC3B22">
      <w:pPr>
        <w:shd w:val="clear" w:color="auto" w:fill="FFFFFF"/>
        <w:rPr>
          <w:szCs w:val="22"/>
        </w:rPr>
      </w:pPr>
      <w:r w:rsidRPr="000C219C">
        <w:rPr>
          <w:i/>
          <w:szCs w:val="22"/>
        </w:rPr>
        <w:t xml:space="preserve">Estimated Number of Responses per </w:t>
      </w:r>
      <w:r w:rsidR="00977FF6">
        <w:rPr>
          <w:i/>
          <w:szCs w:val="22"/>
        </w:rPr>
        <w:t>Participant</w:t>
      </w:r>
      <w:r w:rsidRPr="000C219C">
        <w:rPr>
          <w:i/>
          <w:szCs w:val="22"/>
        </w:rPr>
        <w:t xml:space="preserve">:  </w:t>
      </w:r>
      <w:r w:rsidRPr="000C219C">
        <w:rPr>
          <w:szCs w:val="22"/>
        </w:rPr>
        <w:t>See</w:t>
      </w:r>
      <w:r>
        <w:rPr>
          <w:szCs w:val="22"/>
        </w:rPr>
        <w:t xml:space="preserve"> annualized</w:t>
      </w:r>
      <w:r w:rsidRPr="000C219C">
        <w:rPr>
          <w:szCs w:val="22"/>
        </w:rPr>
        <w:t xml:space="preserve"> table below:</w:t>
      </w:r>
    </w:p>
    <w:p w14:paraId="2781A160" w14:textId="466A36C7" w:rsidR="008648CA" w:rsidRPr="00507A3E" w:rsidDel="008C5655" w:rsidRDefault="008648CA" w:rsidP="00C32AAA">
      <w:pPr>
        <w:pStyle w:val="Heading2"/>
      </w:pPr>
      <w:bookmarkStart w:id="38" w:name="_Toc314995108"/>
      <w:r w:rsidRPr="0048666F">
        <w:t xml:space="preserve">A.12-1 </w:t>
      </w:r>
      <w:r>
        <w:t xml:space="preserve"> </w:t>
      </w:r>
      <w:r w:rsidRPr="0048666F">
        <w:t>Estimated Annualized Burden Hours</w:t>
      </w:r>
      <w:bookmarkEnd w:id="38"/>
    </w:p>
    <w:tbl>
      <w:tblPr>
        <w:tblStyle w:val="TableGrid"/>
        <w:tblW w:w="8562" w:type="dxa"/>
        <w:tblLayout w:type="fixed"/>
        <w:tblLook w:val="0000" w:firstRow="0" w:lastRow="0" w:firstColumn="0" w:lastColumn="0" w:noHBand="0" w:noVBand="0"/>
      </w:tblPr>
      <w:tblGrid>
        <w:gridCol w:w="1491"/>
        <w:gridCol w:w="1350"/>
        <w:gridCol w:w="1682"/>
        <w:gridCol w:w="1578"/>
        <w:gridCol w:w="1315"/>
        <w:gridCol w:w="1146"/>
      </w:tblGrid>
      <w:tr w:rsidR="008D55F8" w:rsidRPr="002250C3" w14:paraId="753B10D3" w14:textId="77777777" w:rsidTr="00FF090D">
        <w:trPr>
          <w:trHeight w:val="372"/>
        </w:trPr>
        <w:tc>
          <w:tcPr>
            <w:tcW w:w="1491" w:type="dxa"/>
          </w:tcPr>
          <w:p w14:paraId="1F2630DF" w14:textId="5DBC84DF" w:rsidR="008D55F8" w:rsidRDefault="008D55F8" w:rsidP="008D55F8">
            <w:pPr>
              <w:spacing w:line="240" w:lineRule="auto"/>
              <w:ind w:firstLine="0"/>
              <w:jc w:val="center"/>
            </w:pPr>
            <w:r>
              <w:t>Form name</w:t>
            </w:r>
          </w:p>
        </w:tc>
        <w:tc>
          <w:tcPr>
            <w:tcW w:w="1350" w:type="dxa"/>
          </w:tcPr>
          <w:p w14:paraId="172D9D7A" w14:textId="77777777" w:rsidR="008D55F8" w:rsidRPr="005D5C15" w:rsidRDefault="008D55F8" w:rsidP="008D55F8">
            <w:pPr>
              <w:spacing w:line="240" w:lineRule="auto"/>
              <w:ind w:firstLine="0"/>
              <w:jc w:val="center"/>
            </w:pPr>
            <w:r>
              <w:t>Type of respondent</w:t>
            </w:r>
          </w:p>
        </w:tc>
        <w:tc>
          <w:tcPr>
            <w:tcW w:w="1682" w:type="dxa"/>
          </w:tcPr>
          <w:p w14:paraId="4BFF179A" w14:textId="77777777" w:rsidR="008D55F8" w:rsidRPr="005D5C15" w:rsidRDefault="008D55F8" w:rsidP="008D55F8">
            <w:pPr>
              <w:spacing w:line="240" w:lineRule="auto"/>
              <w:ind w:firstLine="0"/>
              <w:jc w:val="center"/>
            </w:pPr>
            <w:r>
              <w:t xml:space="preserve">Number </w:t>
            </w:r>
            <w:r w:rsidRPr="005D5C15">
              <w:t xml:space="preserve">of </w:t>
            </w:r>
            <w:r>
              <w:t>r</w:t>
            </w:r>
            <w:r w:rsidRPr="005D5C15">
              <w:t>espondents</w:t>
            </w:r>
          </w:p>
        </w:tc>
        <w:tc>
          <w:tcPr>
            <w:tcW w:w="1578" w:type="dxa"/>
          </w:tcPr>
          <w:p w14:paraId="14395753" w14:textId="77777777" w:rsidR="008D55F8" w:rsidRPr="005D5C15" w:rsidRDefault="008D55F8" w:rsidP="008D55F8">
            <w:pPr>
              <w:spacing w:line="240" w:lineRule="auto"/>
              <w:ind w:firstLine="0"/>
              <w:jc w:val="center"/>
            </w:pPr>
            <w:r w:rsidRPr="005D5C15">
              <w:t xml:space="preserve">Number of </w:t>
            </w:r>
            <w:r>
              <w:t>r</w:t>
            </w:r>
            <w:r w:rsidRPr="005D5C15">
              <w:t xml:space="preserve">esponses per </w:t>
            </w:r>
            <w:r>
              <w:t>r</w:t>
            </w:r>
            <w:r w:rsidRPr="005D5C15">
              <w:t>espondent</w:t>
            </w:r>
          </w:p>
        </w:tc>
        <w:tc>
          <w:tcPr>
            <w:tcW w:w="1315" w:type="dxa"/>
          </w:tcPr>
          <w:p w14:paraId="76D7BF99" w14:textId="77777777" w:rsidR="008D55F8" w:rsidRDefault="008D55F8" w:rsidP="008D55F8">
            <w:pPr>
              <w:spacing w:line="240" w:lineRule="auto"/>
              <w:ind w:firstLine="0"/>
              <w:jc w:val="center"/>
            </w:pPr>
            <w:r>
              <w:t>Average burden</w:t>
            </w:r>
          </w:p>
          <w:p w14:paraId="4DDE567A" w14:textId="0CBBE9C4" w:rsidR="008D55F8" w:rsidRDefault="008D55F8" w:rsidP="008D55F8">
            <w:pPr>
              <w:spacing w:line="240" w:lineRule="auto"/>
              <w:ind w:firstLine="0"/>
              <w:jc w:val="center"/>
            </w:pPr>
            <w:r>
              <w:t>p</w:t>
            </w:r>
            <w:r w:rsidRPr="005D5C15">
              <w:t xml:space="preserve">er </w:t>
            </w:r>
            <w:r>
              <w:t>r</w:t>
            </w:r>
            <w:r w:rsidRPr="005D5C15">
              <w:t>esponse</w:t>
            </w:r>
          </w:p>
          <w:p w14:paraId="65A876F0" w14:textId="2003C638" w:rsidR="008D55F8" w:rsidRPr="005D5C15" w:rsidRDefault="008D55F8" w:rsidP="008D55F8">
            <w:pPr>
              <w:spacing w:line="240" w:lineRule="auto"/>
              <w:ind w:firstLine="0"/>
              <w:jc w:val="center"/>
            </w:pPr>
            <w:r>
              <w:t>(in hours)</w:t>
            </w:r>
          </w:p>
        </w:tc>
        <w:tc>
          <w:tcPr>
            <w:tcW w:w="1146" w:type="dxa"/>
          </w:tcPr>
          <w:p w14:paraId="0AE7AF41" w14:textId="4BD806CB" w:rsidR="008D55F8" w:rsidRPr="005D5C15" w:rsidRDefault="008D55F8" w:rsidP="008D55F8">
            <w:pPr>
              <w:spacing w:line="240" w:lineRule="auto"/>
              <w:ind w:firstLine="0"/>
              <w:jc w:val="center"/>
            </w:pPr>
            <w:r>
              <w:t>Total annual</w:t>
            </w:r>
            <w:r w:rsidRPr="005D5C15">
              <w:t xml:space="preserve"> </w:t>
            </w:r>
            <w:r>
              <w:t>b</w:t>
            </w:r>
            <w:r w:rsidRPr="005D5C15">
              <w:t xml:space="preserve">urden </w:t>
            </w:r>
            <w:r>
              <w:t>h</w:t>
            </w:r>
            <w:r w:rsidRPr="005D5C15">
              <w:t>our</w:t>
            </w:r>
          </w:p>
        </w:tc>
      </w:tr>
      <w:tr w:rsidR="0087491B" w:rsidRPr="002250C3" w14:paraId="07A0F628" w14:textId="77777777" w:rsidTr="00FF090D">
        <w:trPr>
          <w:trHeight w:val="372"/>
        </w:trPr>
        <w:tc>
          <w:tcPr>
            <w:tcW w:w="1491" w:type="dxa"/>
          </w:tcPr>
          <w:p w14:paraId="64F0EF8D" w14:textId="15125A30" w:rsidR="0087491B" w:rsidRDefault="0087491B" w:rsidP="008D55F8">
            <w:pPr>
              <w:spacing w:line="240" w:lineRule="auto"/>
              <w:ind w:firstLine="0"/>
              <w:jc w:val="center"/>
            </w:pPr>
            <w:r>
              <w:t>Study Consent</w:t>
            </w:r>
          </w:p>
        </w:tc>
        <w:tc>
          <w:tcPr>
            <w:tcW w:w="1350" w:type="dxa"/>
          </w:tcPr>
          <w:p w14:paraId="0A22E36B" w14:textId="3BF133B4" w:rsidR="0087491B" w:rsidRDefault="00FF090D" w:rsidP="008D55F8">
            <w:pPr>
              <w:spacing w:line="240" w:lineRule="auto"/>
              <w:ind w:firstLine="0"/>
              <w:jc w:val="center"/>
            </w:pPr>
            <w:r>
              <w:t>Experts</w:t>
            </w:r>
          </w:p>
        </w:tc>
        <w:tc>
          <w:tcPr>
            <w:tcW w:w="1682" w:type="dxa"/>
          </w:tcPr>
          <w:p w14:paraId="777B48A0" w14:textId="6E571343" w:rsidR="0087491B" w:rsidRDefault="003E0D4B" w:rsidP="008D55F8">
            <w:pPr>
              <w:spacing w:line="240" w:lineRule="auto"/>
              <w:ind w:firstLine="0"/>
              <w:jc w:val="center"/>
            </w:pPr>
            <w:r>
              <w:t>200</w:t>
            </w:r>
          </w:p>
        </w:tc>
        <w:tc>
          <w:tcPr>
            <w:tcW w:w="1578" w:type="dxa"/>
          </w:tcPr>
          <w:p w14:paraId="4F9E0A46" w14:textId="79124CFF" w:rsidR="0087491B" w:rsidRDefault="00FF090D" w:rsidP="008D55F8">
            <w:pPr>
              <w:spacing w:line="240" w:lineRule="auto"/>
              <w:ind w:firstLine="0"/>
              <w:jc w:val="center"/>
            </w:pPr>
            <w:r>
              <w:t>1</w:t>
            </w:r>
          </w:p>
        </w:tc>
        <w:tc>
          <w:tcPr>
            <w:tcW w:w="1315" w:type="dxa"/>
          </w:tcPr>
          <w:p w14:paraId="7CFD0BB3" w14:textId="63DFEC6B" w:rsidR="0087491B" w:rsidRDefault="00FF090D" w:rsidP="008D55F8">
            <w:pPr>
              <w:spacing w:line="240" w:lineRule="auto"/>
              <w:ind w:firstLine="0"/>
              <w:jc w:val="center"/>
            </w:pPr>
            <w:r>
              <w:t>6/60</w:t>
            </w:r>
          </w:p>
        </w:tc>
        <w:tc>
          <w:tcPr>
            <w:tcW w:w="1146" w:type="dxa"/>
          </w:tcPr>
          <w:p w14:paraId="12B6BDED" w14:textId="1D8AF0B8" w:rsidR="0087491B" w:rsidRDefault="003E0D4B" w:rsidP="008D55F8">
            <w:pPr>
              <w:spacing w:line="240" w:lineRule="auto"/>
              <w:ind w:firstLine="0"/>
              <w:jc w:val="center"/>
            </w:pPr>
            <w:r>
              <w:t>20</w:t>
            </w:r>
          </w:p>
        </w:tc>
      </w:tr>
      <w:tr w:rsidR="008D55F8" w:rsidRPr="002250C3" w14:paraId="47944897" w14:textId="77777777" w:rsidTr="00FF090D">
        <w:trPr>
          <w:trHeight w:val="372"/>
        </w:trPr>
        <w:tc>
          <w:tcPr>
            <w:tcW w:w="1491" w:type="dxa"/>
          </w:tcPr>
          <w:p w14:paraId="7601620A" w14:textId="01D00814" w:rsidR="008D55F8" w:rsidRPr="002250C3" w:rsidRDefault="008D55F8" w:rsidP="008D55F8">
            <w:pPr>
              <w:spacing w:line="240" w:lineRule="auto"/>
              <w:ind w:firstLine="0"/>
              <w:jc w:val="center"/>
            </w:pPr>
            <w:r>
              <w:t>LoC “Cards”</w:t>
            </w:r>
          </w:p>
        </w:tc>
        <w:tc>
          <w:tcPr>
            <w:tcW w:w="1350" w:type="dxa"/>
          </w:tcPr>
          <w:p w14:paraId="2E1B0F59" w14:textId="77777777" w:rsidR="008D55F8" w:rsidRPr="002250C3" w:rsidRDefault="008D55F8" w:rsidP="008D55F8">
            <w:pPr>
              <w:spacing w:line="240" w:lineRule="auto"/>
              <w:ind w:firstLine="0"/>
              <w:jc w:val="center"/>
            </w:pPr>
            <w:r>
              <w:t>Experts</w:t>
            </w:r>
          </w:p>
        </w:tc>
        <w:tc>
          <w:tcPr>
            <w:tcW w:w="1682" w:type="dxa"/>
          </w:tcPr>
          <w:p w14:paraId="5F288A98" w14:textId="77777777" w:rsidR="008D55F8" w:rsidRPr="002250C3" w:rsidRDefault="008D55F8" w:rsidP="008D55F8">
            <w:pPr>
              <w:spacing w:line="240" w:lineRule="auto"/>
              <w:ind w:firstLine="0"/>
              <w:jc w:val="center"/>
            </w:pPr>
            <w:r>
              <w:t>200</w:t>
            </w:r>
          </w:p>
        </w:tc>
        <w:tc>
          <w:tcPr>
            <w:tcW w:w="1578" w:type="dxa"/>
          </w:tcPr>
          <w:p w14:paraId="3159CB14" w14:textId="77777777" w:rsidR="008D55F8" w:rsidRPr="002250C3" w:rsidRDefault="008D55F8" w:rsidP="008D55F8">
            <w:pPr>
              <w:spacing w:line="240" w:lineRule="auto"/>
              <w:ind w:firstLine="0"/>
              <w:jc w:val="center"/>
            </w:pPr>
            <w:r>
              <w:t>2</w:t>
            </w:r>
          </w:p>
        </w:tc>
        <w:tc>
          <w:tcPr>
            <w:tcW w:w="1315" w:type="dxa"/>
          </w:tcPr>
          <w:p w14:paraId="5CD07A48" w14:textId="77777777" w:rsidR="008D55F8" w:rsidRPr="002250C3" w:rsidRDefault="008D55F8" w:rsidP="008D55F8">
            <w:pPr>
              <w:spacing w:line="240" w:lineRule="auto"/>
              <w:ind w:firstLine="0"/>
              <w:jc w:val="center"/>
            </w:pPr>
            <w:r>
              <w:t>90/60</w:t>
            </w:r>
          </w:p>
        </w:tc>
        <w:tc>
          <w:tcPr>
            <w:tcW w:w="1146" w:type="dxa"/>
          </w:tcPr>
          <w:p w14:paraId="44F008F4" w14:textId="77777777" w:rsidR="008D55F8" w:rsidRPr="002250C3" w:rsidRDefault="008D55F8" w:rsidP="008D55F8">
            <w:pPr>
              <w:spacing w:line="240" w:lineRule="auto"/>
              <w:ind w:firstLine="0"/>
              <w:jc w:val="center"/>
            </w:pPr>
            <w:r>
              <w:t>600</w:t>
            </w:r>
          </w:p>
        </w:tc>
      </w:tr>
      <w:tr w:rsidR="0087491B" w:rsidRPr="002250C3" w14:paraId="0AAE5B61" w14:textId="77777777" w:rsidTr="00562684">
        <w:trPr>
          <w:trHeight w:val="372"/>
        </w:trPr>
        <w:tc>
          <w:tcPr>
            <w:tcW w:w="1491" w:type="dxa"/>
          </w:tcPr>
          <w:p w14:paraId="4EFBF8DE" w14:textId="5DF7B1F1" w:rsidR="0087491B" w:rsidRDefault="0087491B" w:rsidP="008D55F8">
            <w:pPr>
              <w:spacing w:line="240" w:lineRule="auto"/>
              <w:ind w:firstLine="0"/>
              <w:jc w:val="center"/>
            </w:pPr>
            <w:r>
              <w:t>Total</w:t>
            </w:r>
          </w:p>
        </w:tc>
        <w:tc>
          <w:tcPr>
            <w:tcW w:w="1350" w:type="dxa"/>
            <w:shd w:val="clear" w:color="auto" w:fill="BFBFBF" w:themeFill="background1" w:themeFillShade="BF"/>
          </w:tcPr>
          <w:p w14:paraId="33873AD6" w14:textId="6CC2F0D7" w:rsidR="0087491B" w:rsidRDefault="0087491B" w:rsidP="008D55F8">
            <w:pPr>
              <w:spacing w:line="240" w:lineRule="auto"/>
              <w:ind w:firstLine="0"/>
              <w:jc w:val="center"/>
            </w:pPr>
          </w:p>
        </w:tc>
        <w:tc>
          <w:tcPr>
            <w:tcW w:w="1682" w:type="dxa"/>
            <w:shd w:val="clear" w:color="auto" w:fill="auto"/>
          </w:tcPr>
          <w:p w14:paraId="65E8E394" w14:textId="183730DB" w:rsidR="0087491B" w:rsidRDefault="0002690B" w:rsidP="008D55F8">
            <w:pPr>
              <w:spacing w:line="240" w:lineRule="auto"/>
              <w:ind w:firstLine="0"/>
              <w:jc w:val="center"/>
            </w:pPr>
            <w:r>
              <w:t>200</w:t>
            </w:r>
          </w:p>
        </w:tc>
        <w:tc>
          <w:tcPr>
            <w:tcW w:w="1578" w:type="dxa"/>
          </w:tcPr>
          <w:p w14:paraId="326F9BAE" w14:textId="4CEE4536" w:rsidR="0087491B" w:rsidRPr="00FF090D" w:rsidRDefault="003E0D4B" w:rsidP="00FF090D">
            <w:pPr>
              <w:spacing w:line="240" w:lineRule="auto"/>
              <w:ind w:firstLine="0"/>
              <w:jc w:val="center"/>
              <w:rPr>
                <w:szCs w:val="22"/>
              </w:rPr>
            </w:pPr>
            <w:r>
              <w:rPr>
                <w:rStyle w:val="CommentReference"/>
                <w:sz w:val="22"/>
                <w:szCs w:val="22"/>
              </w:rPr>
              <w:t>600</w:t>
            </w:r>
          </w:p>
        </w:tc>
        <w:tc>
          <w:tcPr>
            <w:tcW w:w="1315" w:type="dxa"/>
            <w:shd w:val="clear" w:color="auto" w:fill="BFBFBF" w:themeFill="background1" w:themeFillShade="BF"/>
          </w:tcPr>
          <w:p w14:paraId="7EB41FCC" w14:textId="118D2B04" w:rsidR="0087491B" w:rsidRDefault="0087491B" w:rsidP="008D55F8">
            <w:pPr>
              <w:spacing w:line="240" w:lineRule="auto"/>
              <w:ind w:firstLine="0"/>
              <w:jc w:val="center"/>
            </w:pPr>
          </w:p>
        </w:tc>
        <w:tc>
          <w:tcPr>
            <w:tcW w:w="1146" w:type="dxa"/>
          </w:tcPr>
          <w:p w14:paraId="5F34E126" w14:textId="5BEEECDC" w:rsidR="003E0D4B" w:rsidRDefault="003E0D4B" w:rsidP="003E0D4B">
            <w:pPr>
              <w:spacing w:line="240" w:lineRule="auto"/>
              <w:ind w:firstLine="0"/>
              <w:jc w:val="center"/>
            </w:pPr>
            <w:r>
              <w:t>620</w:t>
            </w:r>
          </w:p>
        </w:tc>
      </w:tr>
    </w:tbl>
    <w:p w14:paraId="4C76F31D" w14:textId="349169EC" w:rsidR="00507A3E" w:rsidRDefault="00507A3E" w:rsidP="008571B5">
      <w:pPr>
        <w:shd w:val="clear" w:color="auto" w:fill="FFFFFF"/>
        <w:spacing w:line="240" w:lineRule="auto"/>
        <w:ind w:firstLine="0"/>
      </w:pPr>
    </w:p>
    <w:p w14:paraId="07CC3DD2" w14:textId="630BC03A" w:rsidR="008648CA" w:rsidRDefault="008648CA" w:rsidP="003D3EF9">
      <w:pPr>
        <w:shd w:val="clear" w:color="auto" w:fill="FFFFFF"/>
        <w:ind w:firstLine="0"/>
        <w:rPr>
          <w:szCs w:val="22"/>
        </w:rPr>
      </w:pPr>
    </w:p>
    <w:p w14:paraId="5BE27773" w14:textId="77777777" w:rsidR="008648CA" w:rsidRPr="00C32AAA" w:rsidRDefault="008648CA" w:rsidP="003D3EF9">
      <w:pPr>
        <w:shd w:val="clear" w:color="auto" w:fill="FFFFFF"/>
        <w:ind w:firstLine="0"/>
        <w:rPr>
          <w:szCs w:val="22"/>
        </w:rPr>
      </w:pPr>
    </w:p>
    <w:p w14:paraId="3781D43A" w14:textId="68C1B50B" w:rsidR="008648CA" w:rsidRDefault="00C32AAA" w:rsidP="00C32AAA">
      <w:pPr>
        <w:pStyle w:val="Heading2"/>
      </w:pPr>
      <w:bookmarkStart w:id="39" w:name="_Toc426116283"/>
      <w:bookmarkStart w:id="40" w:name="_Toc314995109"/>
      <w:r w:rsidRPr="00C32AAA">
        <w:rPr>
          <w:rFonts w:ascii="Times New Roman" w:hAnsi="Times New Roman"/>
        </w:rPr>
        <w:tab/>
      </w:r>
      <w:r w:rsidR="008648CA" w:rsidRPr="00C32AAA">
        <w:rPr>
          <w:rFonts w:ascii="Times New Roman" w:hAnsi="Times New Roman"/>
        </w:rPr>
        <w:t>A.12-2</w:t>
      </w:r>
      <w:r w:rsidR="008648CA" w:rsidRPr="00C32AAA">
        <w:rPr>
          <w:rFonts w:ascii="Times New Roman" w:hAnsi="Times New Roman"/>
        </w:rPr>
        <w:tab/>
        <w:t>Annualized Cost to Respondents</w:t>
      </w:r>
      <w:bookmarkEnd w:id="39"/>
      <w:bookmarkEnd w:id="40"/>
    </w:p>
    <w:p w14:paraId="1917A2A6" w14:textId="425CDB6D" w:rsidR="008648CA" w:rsidRDefault="003454DA" w:rsidP="003D3EF9">
      <w:pPr>
        <w:shd w:val="clear" w:color="auto" w:fill="FFFFFF"/>
        <w:ind w:firstLine="0"/>
        <w:rPr>
          <w:szCs w:val="22"/>
        </w:rPr>
      </w:pPr>
      <w:r w:rsidRPr="00E2520D">
        <w:rPr>
          <w:szCs w:val="22"/>
        </w:rPr>
        <w:t xml:space="preserve">The estimated total annualized cost to </w:t>
      </w:r>
      <w:r w:rsidRPr="005A7ECC">
        <w:rPr>
          <w:szCs w:val="22"/>
        </w:rPr>
        <w:t>respondents</w:t>
      </w:r>
      <w:r w:rsidR="00130DC2">
        <w:rPr>
          <w:szCs w:val="22"/>
        </w:rPr>
        <w:t xml:space="preserve"> is</w:t>
      </w:r>
      <w:r w:rsidRPr="005A7ECC">
        <w:rPr>
          <w:szCs w:val="22"/>
        </w:rPr>
        <w:t xml:space="preserve"> </w:t>
      </w:r>
      <w:r w:rsidR="00FE466D">
        <w:rPr>
          <w:szCs w:val="22"/>
        </w:rPr>
        <w:t>$</w:t>
      </w:r>
      <w:r w:rsidR="00DC3B22">
        <w:rPr>
          <w:szCs w:val="22"/>
        </w:rPr>
        <w:t>34,</w:t>
      </w:r>
      <w:r w:rsidR="00D5007A">
        <w:rPr>
          <w:szCs w:val="22"/>
        </w:rPr>
        <w:t>360.40</w:t>
      </w:r>
      <w:r w:rsidR="009F2055">
        <w:rPr>
          <w:szCs w:val="22"/>
        </w:rPr>
        <w:t xml:space="preserve"> </w:t>
      </w:r>
      <w:r w:rsidRPr="00E2520D">
        <w:rPr>
          <w:szCs w:val="22"/>
        </w:rPr>
        <w:t>(assuming $</w:t>
      </w:r>
      <w:r w:rsidR="00B5288B">
        <w:rPr>
          <w:szCs w:val="22"/>
        </w:rPr>
        <w:t>5</w:t>
      </w:r>
      <w:r w:rsidR="00DC3B22">
        <w:rPr>
          <w:szCs w:val="22"/>
        </w:rPr>
        <w:t>5.42</w:t>
      </w:r>
      <w:r w:rsidRPr="00E2520D">
        <w:rPr>
          <w:szCs w:val="22"/>
        </w:rPr>
        <w:t xml:space="preserve"> hourly wage X </w:t>
      </w:r>
      <w:r w:rsidR="002A1B22">
        <w:rPr>
          <w:szCs w:val="22"/>
        </w:rPr>
        <w:t>6</w:t>
      </w:r>
      <w:r w:rsidR="00D5007A">
        <w:rPr>
          <w:szCs w:val="22"/>
        </w:rPr>
        <w:t>20</w:t>
      </w:r>
      <w:r w:rsidR="002A1B22">
        <w:rPr>
          <w:szCs w:val="22"/>
        </w:rPr>
        <w:t xml:space="preserve"> </w:t>
      </w:r>
      <w:r w:rsidR="00FA6643">
        <w:rPr>
          <w:szCs w:val="22"/>
        </w:rPr>
        <w:t>hours</w:t>
      </w:r>
      <w:r w:rsidRPr="00E2520D">
        <w:rPr>
          <w:szCs w:val="22"/>
        </w:rPr>
        <w:t>). There are no capital, operating, or mainte</w:t>
      </w:r>
      <w:r w:rsidRPr="008C5655">
        <w:rPr>
          <w:szCs w:val="22"/>
        </w:rPr>
        <w:t xml:space="preserve">nance costs. </w:t>
      </w:r>
    </w:p>
    <w:p w14:paraId="371D28FC" w14:textId="4AC17B57" w:rsidR="008648CA" w:rsidRDefault="008648CA" w:rsidP="008A6CC8">
      <w:pPr>
        <w:spacing w:after="20"/>
        <w:jc w:val="center"/>
        <w:rPr>
          <w:szCs w:val="22"/>
        </w:rPr>
      </w:pPr>
      <w:r w:rsidRPr="0048666F">
        <w:rPr>
          <w:rFonts w:asciiTheme="minorHAnsi" w:hAnsiTheme="minorHAnsi"/>
        </w:rPr>
        <w:t>A.12-2 Annualized Cost to the Respondents</w:t>
      </w:r>
    </w:p>
    <w:tbl>
      <w:tblPr>
        <w:tblW w:w="8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634"/>
        <w:gridCol w:w="2037"/>
        <w:gridCol w:w="1911"/>
        <w:gridCol w:w="1388"/>
        <w:gridCol w:w="1388"/>
      </w:tblGrid>
      <w:tr w:rsidR="00D85635" w:rsidRPr="005D5C15" w14:paraId="24C72D48" w14:textId="77777777" w:rsidTr="00D85635">
        <w:trPr>
          <w:cantSplit/>
          <w:trHeight w:val="372"/>
        </w:trPr>
        <w:tc>
          <w:tcPr>
            <w:tcW w:w="1634" w:type="dxa"/>
            <w:vAlign w:val="center"/>
          </w:tcPr>
          <w:p w14:paraId="4B9628A3" w14:textId="77777777" w:rsidR="00D85635" w:rsidRPr="005D5C15" w:rsidRDefault="00D85635" w:rsidP="000F1FE7">
            <w:pPr>
              <w:spacing w:line="240" w:lineRule="auto"/>
              <w:ind w:firstLine="0"/>
              <w:jc w:val="center"/>
            </w:pPr>
            <w:r>
              <w:t>Type of respondent</w:t>
            </w:r>
          </w:p>
        </w:tc>
        <w:tc>
          <w:tcPr>
            <w:tcW w:w="2037" w:type="dxa"/>
            <w:vAlign w:val="center"/>
          </w:tcPr>
          <w:p w14:paraId="5AA1D532" w14:textId="77777777" w:rsidR="00D85635" w:rsidRPr="005D5C15" w:rsidRDefault="00D85635" w:rsidP="000F1FE7">
            <w:pPr>
              <w:spacing w:line="240" w:lineRule="auto"/>
              <w:ind w:firstLine="0"/>
              <w:jc w:val="center"/>
            </w:pPr>
            <w:r>
              <w:t xml:space="preserve">Number </w:t>
            </w:r>
            <w:r w:rsidRPr="005D5C15">
              <w:t xml:space="preserve">of </w:t>
            </w:r>
            <w:r>
              <w:t>r</w:t>
            </w:r>
            <w:r w:rsidRPr="005D5C15">
              <w:t>espondents</w:t>
            </w:r>
          </w:p>
        </w:tc>
        <w:tc>
          <w:tcPr>
            <w:tcW w:w="1911" w:type="dxa"/>
            <w:vAlign w:val="center"/>
          </w:tcPr>
          <w:p w14:paraId="0D7CD328" w14:textId="78399D5B" w:rsidR="00D85635" w:rsidRPr="005D5C15" w:rsidRDefault="00D85635" w:rsidP="000F1FE7">
            <w:pPr>
              <w:spacing w:line="240" w:lineRule="auto"/>
              <w:ind w:firstLine="0"/>
              <w:jc w:val="center"/>
            </w:pPr>
            <w:r>
              <w:t>Total Annual Burden Hours</w:t>
            </w:r>
          </w:p>
        </w:tc>
        <w:tc>
          <w:tcPr>
            <w:tcW w:w="1388" w:type="dxa"/>
          </w:tcPr>
          <w:p w14:paraId="03571E83" w14:textId="497950DD" w:rsidR="00D85635" w:rsidRDefault="00D85635" w:rsidP="000F1FE7">
            <w:pPr>
              <w:spacing w:line="240" w:lineRule="auto"/>
              <w:ind w:firstLine="0"/>
              <w:jc w:val="center"/>
            </w:pPr>
            <w:r>
              <w:t>Hourly Wage Rate*</w:t>
            </w:r>
          </w:p>
        </w:tc>
        <w:tc>
          <w:tcPr>
            <w:tcW w:w="1388" w:type="dxa"/>
            <w:vAlign w:val="center"/>
          </w:tcPr>
          <w:p w14:paraId="137C5B4C" w14:textId="1D171087" w:rsidR="00D85635" w:rsidRPr="005D5C15" w:rsidRDefault="00D85635" w:rsidP="000F1FE7">
            <w:pPr>
              <w:spacing w:line="240" w:lineRule="auto"/>
              <w:ind w:firstLine="0"/>
              <w:jc w:val="center"/>
            </w:pPr>
            <w:r>
              <w:t>Respondent Cost</w:t>
            </w:r>
          </w:p>
        </w:tc>
      </w:tr>
      <w:tr w:rsidR="00D85635" w:rsidRPr="005D5C15" w14:paraId="7CA1C127" w14:textId="77777777" w:rsidTr="00782009">
        <w:trPr>
          <w:cantSplit/>
          <w:trHeight w:val="372"/>
        </w:trPr>
        <w:tc>
          <w:tcPr>
            <w:tcW w:w="1634" w:type="dxa"/>
            <w:vAlign w:val="center"/>
          </w:tcPr>
          <w:p w14:paraId="5EC9C83D" w14:textId="12F670A2" w:rsidR="00D85635" w:rsidRDefault="004D0CD2" w:rsidP="000F1FE7">
            <w:pPr>
              <w:spacing w:line="240" w:lineRule="auto"/>
              <w:ind w:firstLine="0"/>
              <w:jc w:val="center"/>
            </w:pPr>
            <w:r>
              <w:t>Experts</w:t>
            </w:r>
          </w:p>
        </w:tc>
        <w:tc>
          <w:tcPr>
            <w:tcW w:w="2037" w:type="dxa"/>
            <w:vAlign w:val="center"/>
          </w:tcPr>
          <w:p w14:paraId="7E13B6DB" w14:textId="78019AA5" w:rsidR="00D85635" w:rsidRDefault="003E0D4B" w:rsidP="000F1FE7">
            <w:pPr>
              <w:spacing w:line="240" w:lineRule="auto"/>
              <w:ind w:firstLine="0"/>
              <w:jc w:val="center"/>
            </w:pPr>
            <w:r>
              <w:t>200</w:t>
            </w:r>
          </w:p>
        </w:tc>
        <w:tc>
          <w:tcPr>
            <w:tcW w:w="1911" w:type="dxa"/>
            <w:vAlign w:val="center"/>
          </w:tcPr>
          <w:p w14:paraId="555AE293" w14:textId="5F81F752" w:rsidR="00D85635" w:rsidRPr="005D5C15" w:rsidRDefault="003E0D4B" w:rsidP="003E0D4B">
            <w:pPr>
              <w:spacing w:line="240" w:lineRule="auto"/>
              <w:ind w:firstLine="0"/>
              <w:jc w:val="center"/>
            </w:pPr>
            <w:r>
              <w:t>620</w:t>
            </w:r>
          </w:p>
        </w:tc>
        <w:tc>
          <w:tcPr>
            <w:tcW w:w="1388" w:type="dxa"/>
            <w:vAlign w:val="center"/>
          </w:tcPr>
          <w:p w14:paraId="5E54D717" w14:textId="6FAB61CF" w:rsidR="00D85635" w:rsidRDefault="000D535F" w:rsidP="004D0CD2">
            <w:pPr>
              <w:spacing w:line="240" w:lineRule="auto"/>
              <w:ind w:firstLine="0"/>
              <w:jc w:val="center"/>
            </w:pPr>
            <w:r>
              <w:t>$</w:t>
            </w:r>
            <w:r w:rsidR="004D0CD2">
              <w:t>55.42</w:t>
            </w:r>
          </w:p>
        </w:tc>
        <w:tc>
          <w:tcPr>
            <w:tcW w:w="1388" w:type="dxa"/>
            <w:vAlign w:val="center"/>
          </w:tcPr>
          <w:p w14:paraId="77CC889C" w14:textId="120564BD" w:rsidR="00D85635" w:rsidRDefault="004D0CD2" w:rsidP="003E0D4B">
            <w:pPr>
              <w:spacing w:line="240" w:lineRule="auto"/>
              <w:ind w:firstLine="0"/>
              <w:jc w:val="center"/>
            </w:pPr>
            <w:r>
              <w:t>$34,</w:t>
            </w:r>
            <w:r w:rsidR="003E0D4B">
              <w:t>360.40</w:t>
            </w:r>
          </w:p>
        </w:tc>
      </w:tr>
    </w:tbl>
    <w:p w14:paraId="23C86D0F" w14:textId="5C71B018" w:rsidR="008648CA" w:rsidRPr="00E2520D" w:rsidRDefault="00D85635" w:rsidP="003D3EF9">
      <w:pPr>
        <w:shd w:val="clear" w:color="auto" w:fill="FFFFFF"/>
        <w:ind w:firstLine="0"/>
        <w:rPr>
          <w:szCs w:val="22"/>
        </w:rPr>
      </w:pPr>
      <w:r>
        <w:rPr>
          <w:szCs w:val="22"/>
        </w:rPr>
        <w:t>*</w:t>
      </w:r>
      <w:r w:rsidRPr="008E4D3D">
        <w:rPr>
          <w:rFonts w:eastAsia="MS Mincho"/>
          <w:sz w:val="20"/>
          <w:lang w:eastAsia="ja-JP"/>
        </w:rPr>
        <w:t>Hourly wage rates for 19-1029 Biologic Scientist</w:t>
      </w:r>
      <w:r w:rsidR="008A6CC8">
        <w:rPr>
          <w:rFonts w:eastAsia="MS Mincho"/>
          <w:sz w:val="20"/>
          <w:lang w:eastAsia="ja-JP"/>
        </w:rPr>
        <w:t>, (experienced, 90 percentile)</w:t>
      </w:r>
      <w:r w:rsidR="004D0CD2">
        <w:rPr>
          <w:rFonts w:eastAsia="MS Mincho"/>
          <w:sz w:val="20"/>
          <w:lang w:eastAsia="ja-JP"/>
        </w:rPr>
        <w:t xml:space="preserve"> </w:t>
      </w:r>
      <w:r w:rsidRPr="008E4D3D">
        <w:rPr>
          <w:rFonts w:eastAsia="MS Mincho"/>
          <w:sz w:val="20"/>
          <w:lang w:eastAsia="ja-JP"/>
        </w:rPr>
        <w:t>is $</w:t>
      </w:r>
      <w:r w:rsidR="004D0CD2">
        <w:rPr>
          <w:rFonts w:eastAsia="MS Mincho"/>
          <w:sz w:val="20"/>
          <w:lang w:eastAsia="ja-JP"/>
        </w:rPr>
        <w:t>55.42</w:t>
      </w:r>
      <w:r w:rsidRPr="00327B6E">
        <w:rPr>
          <w:rFonts w:eastAsia="MS Mincho"/>
          <w:sz w:val="24"/>
          <w:szCs w:val="24"/>
          <w:lang w:eastAsia="ja-JP"/>
        </w:rPr>
        <w:t xml:space="preserve"> </w:t>
      </w:r>
      <w:r w:rsidRPr="00965C60">
        <w:rPr>
          <w:rFonts w:eastAsia="MS Mincho"/>
          <w:sz w:val="18"/>
          <w:szCs w:val="24"/>
          <w:lang w:eastAsia="ja-JP"/>
        </w:rPr>
        <w:t>(based on</w:t>
      </w:r>
      <w:r>
        <w:rPr>
          <w:rFonts w:eastAsia="MS Mincho"/>
          <w:sz w:val="18"/>
          <w:szCs w:val="24"/>
          <w:lang w:eastAsia="ja-JP"/>
        </w:rPr>
        <w:t xml:space="preserve"> </w:t>
      </w:r>
      <w:hyperlink r:id="rId11" w:history="1">
        <w:r w:rsidRPr="00ED6D55">
          <w:rPr>
            <w:rStyle w:val="Hyperlink"/>
            <w:rFonts w:eastAsia="MS Mincho"/>
            <w:sz w:val="18"/>
            <w:szCs w:val="24"/>
            <w:lang w:eastAsia="ja-JP"/>
          </w:rPr>
          <w:t>http://www.bls.gov/oes/current/oes191029.htm</w:t>
        </w:r>
      </w:hyperlink>
      <w:r w:rsidRPr="00965C60">
        <w:rPr>
          <w:rFonts w:eastAsia="MS Mincho"/>
          <w:sz w:val="18"/>
          <w:szCs w:val="24"/>
          <w:lang w:eastAsia="ja-JP"/>
        </w:rPr>
        <w:t xml:space="preserve">).  </w:t>
      </w:r>
    </w:p>
    <w:p w14:paraId="6D7EEBAC" w14:textId="77777777" w:rsidR="006D061C" w:rsidRPr="001D040C" w:rsidRDefault="006D061C" w:rsidP="00507A3E">
      <w:pPr>
        <w:pStyle w:val="Heading3"/>
        <w:ind w:left="1350" w:hanging="630"/>
      </w:pPr>
      <w:bookmarkStart w:id="41" w:name="_Toc314995110"/>
      <w:r w:rsidRPr="001D040C">
        <w:t xml:space="preserve">A.13. </w:t>
      </w:r>
      <w:r w:rsidR="000606CA" w:rsidRPr="001D040C">
        <w:t xml:space="preserve"> </w:t>
      </w:r>
      <w:r w:rsidRPr="001D040C">
        <w:t>Estimate of Other Total Annual Cost Burden to Respondents or Recordkeepers</w:t>
      </w:r>
      <w:bookmarkEnd w:id="36"/>
      <w:bookmarkEnd w:id="37"/>
      <w:bookmarkEnd w:id="41"/>
    </w:p>
    <w:p w14:paraId="39242623" w14:textId="256F6DD3" w:rsidR="006D061C" w:rsidRPr="001D040C" w:rsidRDefault="006D061C" w:rsidP="00767661">
      <w:r w:rsidRPr="001D040C">
        <w:t>There is no other total annual cost burden to respondents or record</w:t>
      </w:r>
      <w:r w:rsidR="00B5288B">
        <w:t xml:space="preserve"> </w:t>
      </w:r>
      <w:r w:rsidRPr="001D040C">
        <w:t>keepers.</w:t>
      </w:r>
      <w:r w:rsidR="00FB1FF0">
        <w:t xml:space="preserve"> </w:t>
      </w:r>
    </w:p>
    <w:p w14:paraId="3AD7E1E9" w14:textId="77777777" w:rsidR="006D061C" w:rsidRPr="001D040C" w:rsidRDefault="006D061C" w:rsidP="00767661">
      <w:pPr>
        <w:pStyle w:val="Heading3"/>
      </w:pPr>
      <w:bookmarkStart w:id="42" w:name="_Toc129590317"/>
      <w:bookmarkStart w:id="43" w:name="_Toc129668559"/>
      <w:bookmarkStart w:id="44" w:name="_Toc314995111"/>
      <w:r w:rsidRPr="001D040C">
        <w:t xml:space="preserve">A.14. </w:t>
      </w:r>
      <w:r w:rsidR="000606CA" w:rsidRPr="001D040C">
        <w:t xml:space="preserve"> </w:t>
      </w:r>
      <w:r w:rsidRPr="001D040C">
        <w:t>Annualized Cost to the Federal Government</w:t>
      </w:r>
      <w:bookmarkEnd w:id="42"/>
      <w:bookmarkEnd w:id="43"/>
      <w:bookmarkEnd w:id="44"/>
    </w:p>
    <w:p w14:paraId="61596578" w14:textId="2AC1854C" w:rsidR="00166ADD" w:rsidRDefault="005277DC" w:rsidP="00D215BA">
      <w:r>
        <w:t xml:space="preserve">The annualized cost to the Federal government is  </w:t>
      </w:r>
      <w:r w:rsidR="00A12DBD">
        <w:t>$156,606</w:t>
      </w:r>
      <w:r w:rsidR="00A12DBD" w:rsidRPr="00A12DBD">
        <w:t xml:space="preserve"> </w:t>
      </w:r>
      <w:r w:rsidR="00A12DBD">
        <w:t xml:space="preserve">with </w:t>
      </w:r>
      <w:r w:rsidR="00A12DBD" w:rsidRPr="001D040C">
        <w:t xml:space="preserve">Federal </w:t>
      </w:r>
      <w:r w:rsidR="00A12DBD">
        <w:t>s</w:t>
      </w:r>
      <w:r w:rsidR="00A12DBD" w:rsidRPr="001D040C">
        <w:t>alary</w:t>
      </w:r>
      <w:r w:rsidR="00A12DBD">
        <w:t xml:space="preserve"> (including benefits)</w:t>
      </w:r>
      <w:r w:rsidR="00A12DBD" w:rsidRPr="001D040C">
        <w:t xml:space="preserve"> </w:t>
      </w:r>
      <w:r w:rsidR="00A12DBD">
        <w:t>s</w:t>
      </w:r>
      <w:r w:rsidR="00A12DBD" w:rsidRPr="001D040C">
        <w:t xml:space="preserve">upport </w:t>
      </w:r>
      <w:r w:rsidR="00A12DBD">
        <w:t xml:space="preserve">of $93,193 per year.  </w:t>
      </w:r>
      <w:r w:rsidR="008C1864" w:rsidRPr="001D040C">
        <w:t xml:space="preserve">The estimated cost of </w:t>
      </w:r>
      <w:r w:rsidR="00D5158B">
        <w:t>the study is $</w:t>
      </w:r>
      <w:r w:rsidR="009C4650">
        <w:t>233,503</w:t>
      </w:r>
      <w:r w:rsidR="008B4291">
        <w:t xml:space="preserve"> (start-up costs plus implementation costs)</w:t>
      </w:r>
      <w:r w:rsidR="008C1864" w:rsidRPr="001D040C">
        <w:t xml:space="preserve">. </w:t>
      </w:r>
      <w:r w:rsidR="00A55A01">
        <w:t>The start-up costs to plan</w:t>
      </w:r>
      <w:r w:rsidR="00222963">
        <w:t xml:space="preserve"> and develop</w:t>
      </w:r>
      <w:r w:rsidR="00A55A01">
        <w:t xml:space="preserve"> the project </w:t>
      </w:r>
      <w:r w:rsidR="00222963">
        <w:t>were</w:t>
      </w:r>
      <w:r w:rsidR="00A55A01">
        <w:t xml:space="preserve"> $76,897 over a 10-month period, including $69,179 for Federal salary support. </w:t>
      </w:r>
    </w:p>
    <w:p w14:paraId="79CAF65A" w14:textId="7A59E0E3" w:rsidR="00C32AAA" w:rsidRDefault="00C32AAA">
      <w:pPr>
        <w:spacing w:line="240" w:lineRule="auto"/>
        <w:ind w:firstLine="0"/>
      </w:pPr>
      <w:r>
        <w:br w:type="page"/>
      </w:r>
    </w:p>
    <w:p w14:paraId="651570F4" w14:textId="77777777" w:rsidR="00C32AAA" w:rsidRDefault="00C32AAA" w:rsidP="00D215BA"/>
    <w:tbl>
      <w:tblPr>
        <w:tblW w:w="8000" w:type="dxa"/>
        <w:tblInd w:w="93" w:type="dxa"/>
        <w:tblLook w:val="04A0" w:firstRow="1" w:lastRow="0" w:firstColumn="1" w:lastColumn="0" w:noHBand="0" w:noVBand="1"/>
      </w:tblPr>
      <w:tblGrid>
        <w:gridCol w:w="1268"/>
        <w:gridCol w:w="1304"/>
        <w:gridCol w:w="1329"/>
        <w:gridCol w:w="791"/>
        <w:gridCol w:w="1109"/>
        <w:gridCol w:w="946"/>
        <w:gridCol w:w="1253"/>
      </w:tblGrid>
      <w:tr w:rsidR="00342AB1" w:rsidRPr="00342AB1" w14:paraId="01ECCB0E" w14:textId="77777777" w:rsidTr="00342AB1">
        <w:trPr>
          <w:trHeight w:val="260"/>
        </w:trPr>
        <w:tc>
          <w:tcPr>
            <w:tcW w:w="8000" w:type="dxa"/>
            <w:gridSpan w:val="7"/>
            <w:tcBorders>
              <w:top w:val="nil"/>
              <w:left w:val="nil"/>
              <w:bottom w:val="nil"/>
              <w:right w:val="nil"/>
            </w:tcBorders>
            <w:shd w:val="clear" w:color="auto" w:fill="auto"/>
            <w:vAlign w:val="bottom"/>
            <w:hideMark/>
          </w:tcPr>
          <w:p w14:paraId="18D6C268" w14:textId="77777777" w:rsidR="00342AB1" w:rsidRPr="00342AB1" w:rsidRDefault="00342AB1" w:rsidP="00342AB1">
            <w:pPr>
              <w:spacing w:line="240" w:lineRule="auto"/>
              <w:ind w:firstLine="0"/>
              <w:jc w:val="center"/>
              <w:rPr>
                <w:b/>
                <w:bCs/>
                <w:i/>
                <w:iCs/>
                <w:color w:val="000000"/>
                <w:szCs w:val="22"/>
              </w:rPr>
            </w:pPr>
            <w:r w:rsidRPr="00342AB1">
              <w:rPr>
                <w:b/>
                <w:bCs/>
                <w:i/>
                <w:iCs/>
                <w:color w:val="000000"/>
                <w:szCs w:val="22"/>
              </w:rPr>
              <w:t>Start-up Cost (10 months)</w:t>
            </w:r>
          </w:p>
        </w:tc>
      </w:tr>
      <w:tr w:rsidR="00342AB1" w:rsidRPr="00342AB1" w14:paraId="0102D830" w14:textId="77777777" w:rsidTr="00797B12">
        <w:trPr>
          <w:trHeight w:val="540"/>
        </w:trPr>
        <w:tc>
          <w:tcPr>
            <w:tcW w:w="1268"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74367F32"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Staff</w:t>
            </w:r>
          </w:p>
        </w:tc>
        <w:tc>
          <w:tcPr>
            <w:tcW w:w="1304" w:type="dxa"/>
            <w:tcBorders>
              <w:top w:val="single" w:sz="4" w:space="0" w:color="auto"/>
              <w:left w:val="nil"/>
              <w:bottom w:val="single" w:sz="12" w:space="0" w:color="auto"/>
              <w:right w:val="single" w:sz="4" w:space="0" w:color="auto"/>
            </w:tcBorders>
            <w:shd w:val="clear" w:color="auto" w:fill="auto"/>
            <w:vAlign w:val="bottom"/>
            <w:hideMark/>
          </w:tcPr>
          <w:p w14:paraId="69BA9A53"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Grade/Step</w:t>
            </w:r>
          </w:p>
        </w:tc>
        <w:tc>
          <w:tcPr>
            <w:tcW w:w="1329" w:type="dxa"/>
            <w:tcBorders>
              <w:top w:val="single" w:sz="4" w:space="0" w:color="auto"/>
              <w:left w:val="nil"/>
              <w:bottom w:val="single" w:sz="12" w:space="0" w:color="auto"/>
              <w:right w:val="single" w:sz="4" w:space="0" w:color="auto"/>
            </w:tcBorders>
            <w:shd w:val="clear" w:color="auto" w:fill="auto"/>
            <w:vAlign w:val="bottom"/>
            <w:hideMark/>
          </w:tcPr>
          <w:p w14:paraId="36BF47FB"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 xml:space="preserve"> Salary </w:t>
            </w:r>
          </w:p>
        </w:tc>
        <w:tc>
          <w:tcPr>
            <w:tcW w:w="791" w:type="dxa"/>
            <w:tcBorders>
              <w:top w:val="single" w:sz="4" w:space="0" w:color="auto"/>
              <w:left w:val="nil"/>
              <w:bottom w:val="single" w:sz="12" w:space="0" w:color="auto"/>
              <w:right w:val="single" w:sz="4" w:space="0" w:color="auto"/>
            </w:tcBorders>
            <w:shd w:val="clear" w:color="auto" w:fill="auto"/>
            <w:vAlign w:val="bottom"/>
            <w:hideMark/>
          </w:tcPr>
          <w:p w14:paraId="63393C40"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 of Effort</w:t>
            </w:r>
          </w:p>
        </w:tc>
        <w:tc>
          <w:tcPr>
            <w:tcW w:w="1109" w:type="dxa"/>
            <w:tcBorders>
              <w:top w:val="single" w:sz="4" w:space="0" w:color="auto"/>
              <w:left w:val="nil"/>
              <w:bottom w:val="single" w:sz="12" w:space="0" w:color="auto"/>
              <w:right w:val="single" w:sz="4" w:space="0" w:color="auto"/>
            </w:tcBorders>
            <w:shd w:val="clear" w:color="auto" w:fill="auto"/>
            <w:vAlign w:val="bottom"/>
            <w:hideMark/>
          </w:tcPr>
          <w:p w14:paraId="25C95BD0"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Fringe</w:t>
            </w:r>
          </w:p>
        </w:tc>
        <w:tc>
          <w:tcPr>
            <w:tcW w:w="946" w:type="dxa"/>
            <w:tcBorders>
              <w:top w:val="single" w:sz="4" w:space="0" w:color="auto"/>
              <w:left w:val="nil"/>
              <w:bottom w:val="single" w:sz="12" w:space="0" w:color="auto"/>
              <w:right w:val="single" w:sz="4" w:space="0" w:color="auto"/>
            </w:tcBorders>
            <w:shd w:val="clear" w:color="auto" w:fill="auto"/>
            <w:vAlign w:val="bottom"/>
            <w:hideMark/>
          </w:tcPr>
          <w:p w14:paraId="38D3F801"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Travel</w:t>
            </w:r>
          </w:p>
        </w:tc>
        <w:tc>
          <w:tcPr>
            <w:tcW w:w="1253" w:type="dxa"/>
            <w:tcBorders>
              <w:top w:val="single" w:sz="4" w:space="0" w:color="auto"/>
              <w:left w:val="nil"/>
              <w:bottom w:val="single" w:sz="12" w:space="0" w:color="auto"/>
              <w:right w:val="single" w:sz="4" w:space="0" w:color="auto"/>
            </w:tcBorders>
            <w:shd w:val="clear" w:color="auto" w:fill="auto"/>
            <w:vAlign w:val="bottom"/>
            <w:hideMark/>
          </w:tcPr>
          <w:p w14:paraId="36DE161B"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Total Cost to Gov't</w:t>
            </w:r>
          </w:p>
        </w:tc>
      </w:tr>
      <w:tr w:rsidR="00342AB1" w:rsidRPr="00342AB1" w14:paraId="76FC3164" w14:textId="77777777" w:rsidTr="00797B12">
        <w:trPr>
          <w:trHeight w:val="54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652C5CC3"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Federal Oversight</w:t>
            </w:r>
          </w:p>
        </w:tc>
        <w:tc>
          <w:tcPr>
            <w:tcW w:w="1304" w:type="dxa"/>
            <w:tcBorders>
              <w:top w:val="nil"/>
              <w:left w:val="nil"/>
              <w:bottom w:val="single" w:sz="4" w:space="0" w:color="auto"/>
              <w:right w:val="single" w:sz="4" w:space="0" w:color="auto"/>
            </w:tcBorders>
            <w:shd w:val="clear" w:color="000000" w:fill="BFBFBF"/>
            <w:vAlign w:val="bottom"/>
            <w:hideMark/>
          </w:tcPr>
          <w:p w14:paraId="71EF8EF0"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9" w:type="dxa"/>
            <w:tcBorders>
              <w:top w:val="nil"/>
              <w:left w:val="nil"/>
              <w:bottom w:val="single" w:sz="4" w:space="0" w:color="auto"/>
              <w:right w:val="single" w:sz="4" w:space="0" w:color="auto"/>
            </w:tcBorders>
            <w:shd w:val="clear" w:color="000000" w:fill="BFBFBF"/>
            <w:vAlign w:val="bottom"/>
            <w:hideMark/>
          </w:tcPr>
          <w:p w14:paraId="0E4B7A49"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009F07FB"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109" w:type="dxa"/>
            <w:tcBorders>
              <w:top w:val="nil"/>
              <w:left w:val="nil"/>
              <w:bottom w:val="single" w:sz="4" w:space="0" w:color="auto"/>
              <w:right w:val="single" w:sz="4" w:space="0" w:color="auto"/>
            </w:tcBorders>
            <w:shd w:val="clear" w:color="000000" w:fill="BFBFBF"/>
            <w:vAlign w:val="bottom"/>
            <w:hideMark/>
          </w:tcPr>
          <w:p w14:paraId="7001EA45"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single" w:sz="4" w:space="0" w:color="auto"/>
            </w:tcBorders>
            <w:shd w:val="clear" w:color="000000" w:fill="BFBFBF"/>
            <w:vAlign w:val="bottom"/>
            <w:hideMark/>
          </w:tcPr>
          <w:p w14:paraId="14853ADA"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000000" w:fill="BFBFBF"/>
            <w:vAlign w:val="bottom"/>
            <w:hideMark/>
          </w:tcPr>
          <w:p w14:paraId="562F7DDB"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r>
      <w:tr w:rsidR="00342AB1" w:rsidRPr="00342AB1" w14:paraId="1150A045" w14:textId="77777777" w:rsidTr="00797B12">
        <w:trPr>
          <w:trHeight w:val="269"/>
        </w:trPr>
        <w:tc>
          <w:tcPr>
            <w:tcW w:w="1268" w:type="dxa"/>
            <w:tcBorders>
              <w:top w:val="nil"/>
              <w:left w:val="single" w:sz="4" w:space="0" w:color="auto"/>
              <w:bottom w:val="single" w:sz="4" w:space="0" w:color="auto"/>
              <w:right w:val="single" w:sz="4" w:space="0" w:color="auto"/>
            </w:tcBorders>
            <w:shd w:val="clear" w:color="auto" w:fill="auto"/>
            <w:vAlign w:val="bottom"/>
          </w:tcPr>
          <w:p w14:paraId="43FFCCAD" w14:textId="11AD6DE9" w:rsidR="00342AB1" w:rsidRPr="00FE0809" w:rsidRDefault="00FE0809" w:rsidP="00FE0809">
            <w:pPr>
              <w:spacing w:line="240" w:lineRule="auto"/>
              <w:ind w:firstLine="0"/>
              <w:rPr>
                <w:color w:val="000000"/>
                <w:szCs w:val="22"/>
              </w:rPr>
            </w:pPr>
            <w:r w:rsidRPr="00FE0809">
              <w:rPr>
                <w:bCs/>
                <w:color w:val="000000"/>
                <w:szCs w:val="22"/>
              </w:rPr>
              <w:t xml:space="preserve">Deputy Division Director for Policy </w:t>
            </w:r>
          </w:p>
        </w:tc>
        <w:tc>
          <w:tcPr>
            <w:tcW w:w="1304" w:type="dxa"/>
            <w:tcBorders>
              <w:top w:val="nil"/>
              <w:left w:val="nil"/>
              <w:bottom w:val="single" w:sz="4" w:space="0" w:color="auto"/>
              <w:right w:val="single" w:sz="4" w:space="0" w:color="auto"/>
            </w:tcBorders>
            <w:shd w:val="clear" w:color="auto" w:fill="auto"/>
            <w:vAlign w:val="bottom"/>
            <w:hideMark/>
          </w:tcPr>
          <w:p w14:paraId="475BF2B9" w14:textId="77777777" w:rsidR="00342AB1" w:rsidRPr="00342AB1" w:rsidRDefault="00342AB1" w:rsidP="007141FF">
            <w:pPr>
              <w:spacing w:line="240" w:lineRule="auto"/>
              <w:ind w:firstLine="0"/>
              <w:rPr>
                <w:color w:val="000000"/>
                <w:szCs w:val="22"/>
              </w:rPr>
            </w:pPr>
            <w:r w:rsidRPr="00342AB1">
              <w:rPr>
                <w:color w:val="000000"/>
                <w:szCs w:val="22"/>
              </w:rPr>
              <w:t>GS 15/9</w:t>
            </w:r>
          </w:p>
        </w:tc>
        <w:tc>
          <w:tcPr>
            <w:tcW w:w="1329" w:type="dxa"/>
            <w:tcBorders>
              <w:top w:val="nil"/>
              <w:left w:val="nil"/>
              <w:bottom w:val="single" w:sz="4" w:space="0" w:color="auto"/>
              <w:right w:val="single" w:sz="4" w:space="0" w:color="auto"/>
            </w:tcBorders>
            <w:shd w:val="clear" w:color="auto" w:fill="auto"/>
            <w:vAlign w:val="bottom"/>
            <w:hideMark/>
          </w:tcPr>
          <w:p w14:paraId="2D7B6FEF"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$149,427.00 </w:t>
            </w:r>
          </w:p>
        </w:tc>
        <w:tc>
          <w:tcPr>
            <w:tcW w:w="791" w:type="dxa"/>
            <w:tcBorders>
              <w:top w:val="nil"/>
              <w:left w:val="nil"/>
              <w:bottom w:val="single" w:sz="4" w:space="0" w:color="auto"/>
              <w:right w:val="single" w:sz="4" w:space="0" w:color="auto"/>
            </w:tcBorders>
            <w:shd w:val="clear" w:color="auto" w:fill="auto"/>
            <w:vAlign w:val="bottom"/>
            <w:hideMark/>
          </w:tcPr>
          <w:p w14:paraId="7381FDA9" w14:textId="77777777" w:rsidR="00342AB1" w:rsidRPr="00342AB1" w:rsidRDefault="00342AB1" w:rsidP="00342AB1">
            <w:pPr>
              <w:spacing w:line="240" w:lineRule="auto"/>
              <w:ind w:firstLine="0"/>
              <w:jc w:val="center"/>
              <w:rPr>
                <w:color w:val="000000"/>
                <w:szCs w:val="22"/>
              </w:rPr>
            </w:pPr>
            <w:r w:rsidRPr="00342AB1">
              <w:rPr>
                <w:color w:val="000000"/>
                <w:szCs w:val="22"/>
              </w:rPr>
              <w:t>7.2%</w:t>
            </w:r>
          </w:p>
        </w:tc>
        <w:tc>
          <w:tcPr>
            <w:tcW w:w="1109" w:type="dxa"/>
            <w:tcBorders>
              <w:top w:val="nil"/>
              <w:left w:val="nil"/>
              <w:bottom w:val="single" w:sz="4" w:space="0" w:color="auto"/>
              <w:right w:val="single" w:sz="4" w:space="0" w:color="auto"/>
            </w:tcBorders>
            <w:shd w:val="clear" w:color="auto" w:fill="auto"/>
            <w:vAlign w:val="bottom"/>
            <w:hideMark/>
          </w:tcPr>
          <w:p w14:paraId="5CED346E"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$3,987.11 </w:t>
            </w:r>
          </w:p>
        </w:tc>
        <w:tc>
          <w:tcPr>
            <w:tcW w:w="946" w:type="dxa"/>
            <w:tcBorders>
              <w:top w:val="nil"/>
              <w:left w:val="nil"/>
              <w:bottom w:val="single" w:sz="4" w:space="0" w:color="auto"/>
              <w:right w:val="single" w:sz="4" w:space="0" w:color="auto"/>
            </w:tcBorders>
            <w:shd w:val="clear" w:color="000000" w:fill="BFBFBF"/>
            <w:vAlign w:val="bottom"/>
            <w:hideMark/>
          </w:tcPr>
          <w:p w14:paraId="13013981"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3107BFAA"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$14,763.10 </w:t>
            </w:r>
          </w:p>
        </w:tc>
      </w:tr>
      <w:tr w:rsidR="00342AB1" w:rsidRPr="00342AB1" w14:paraId="11EC330C" w14:textId="77777777" w:rsidTr="00797B12">
        <w:trPr>
          <w:trHeight w:val="260"/>
        </w:trPr>
        <w:tc>
          <w:tcPr>
            <w:tcW w:w="1268" w:type="dxa"/>
            <w:tcBorders>
              <w:top w:val="nil"/>
              <w:left w:val="single" w:sz="4" w:space="0" w:color="auto"/>
              <w:bottom w:val="single" w:sz="4" w:space="0" w:color="auto"/>
              <w:right w:val="single" w:sz="4" w:space="0" w:color="auto"/>
            </w:tcBorders>
            <w:shd w:val="clear" w:color="auto" w:fill="auto"/>
            <w:vAlign w:val="bottom"/>
          </w:tcPr>
          <w:p w14:paraId="5D2143CB" w14:textId="58495E24" w:rsidR="00342AB1" w:rsidRPr="00342AB1" w:rsidRDefault="00FE0809" w:rsidP="00FE0809">
            <w:pPr>
              <w:spacing w:line="240" w:lineRule="auto"/>
              <w:ind w:firstLine="0"/>
              <w:rPr>
                <w:color w:val="000000"/>
                <w:szCs w:val="22"/>
              </w:rPr>
            </w:pPr>
            <w:r w:rsidRPr="00FE0809">
              <w:rPr>
                <w:bCs/>
                <w:color w:val="000000"/>
                <w:szCs w:val="22"/>
              </w:rPr>
              <w:t>Deputy Division Director for Policy</w:t>
            </w:r>
          </w:p>
        </w:tc>
        <w:tc>
          <w:tcPr>
            <w:tcW w:w="1304" w:type="dxa"/>
            <w:tcBorders>
              <w:top w:val="nil"/>
              <w:left w:val="nil"/>
              <w:bottom w:val="single" w:sz="4" w:space="0" w:color="auto"/>
              <w:right w:val="single" w:sz="4" w:space="0" w:color="auto"/>
            </w:tcBorders>
            <w:shd w:val="clear" w:color="auto" w:fill="auto"/>
            <w:vAlign w:val="bottom"/>
            <w:hideMark/>
          </w:tcPr>
          <w:p w14:paraId="60329C95" w14:textId="77777777" w:rsidR="00342AB1" w:rsidRPr="00342AB1" w:rsidRDefault="00342AB1" w:rsidP="007141FF">
            <w:pPr>
              <w:spacing w:line="240" w:lineRule="auto"/>
              <w:ind w:firstLine="0"/>
              <w:rPr>
                <w:color w:val="000000"/>
                <w:szCs w:val="22"/>
              </w:rPr>
            </w:pPr>
            <w:r w:rsidRPr="00342AB1">
              <w:rPr>
                <w:color w:val="000000"/>
                <w:szCs w:val="22"/>
              </w:rPr>
              <w:t>GS 15/9</w:t>
            </w:r>
          </w:p>
        </w:tc>
        <w:tc>
          <w:tcPr>
            <w:tcW w:w="1329" w:type="dxa"/>
            <w:tcBorders>
              <w:top w:val="nil"/>
              <w:left w:val="nil"/>
              <w:bottom w:val="single" w:sz="4" w:space="0" w:color="auto"/>
              <w:right w:val="single" w:sz="4" w:space="0" w:color="auto"/>
            </w:tcBorders>
            <w:shd w:val="clear" w:color="auto" w:fill="auto"/>
            <w:vAlign w:val="bottom"/>
            <w:hideMark/>
          </w:tcPr>
          <w:p w14:paraId="10ADF82B"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$150,925.00 </w:t>
            </w:r>
          </w:p>
        </w:tc>
        <w:tc>
          <w:tcPr>
            <w:tcW w:w="791" w:type="dxa"/>
            <w:tcBorders>
              <w:top w:val="nil"/>
              <w:left w:val="nil"/>
              <w:bottom w:val="single" w:sz="4" w:space="0" w:color="auto"/>
              <w:right w:val="single" w:sz="4" w:space="0" w:color="auto"/>
            </w:tcBorders>
            <w:shd w:val="clear" w:color="auto" w:fill="auto"/>
            <w:vAlign w:val="bottom"/>
            <w:hideMark/>
          </w:tcPr>
          <w:p w14:paraId="7D163CA5" w14:textId="77777777" w:rsidR="00342AB1" w:rsidRPr="00342AB1" w:rsidRDefault="00342AB1" w:rsidP="00342AB1">
            <w:pPr>
              <w:spacing w:line="240" w:lineRule="auto"/>
              <w:ind w:firstLine="0"/>
              <w:jc w:val="center"/>
              <w:rPr>
                <w:color w:val="000000"/>
                <w:szCs w:val="22"/>
              </w:rPr>
            </w:pPr>
            <w:r w:rsidRPr="00342AB1">
              <w:rPr>
                <w:color w:val="000000"/>
                <w:szCs w:val="22"/>
              </w:rPr>
              <w:t>6.3%</w:t>
            </w:r>
          </w:p>
        </w:tc>
        <w:tc>
          <w:tcPr>
            <w:tcW w:w="1109" w:type="dxa"/>
            <w:tcBorders>
              <w:top w:val="nil"/>
              <w:left w:val="nil"/>
              <w:bottom w:val="single" w:sz="4" w:space="0" w:color="auto"/>
              <w:right w:val="single" w:sz="4" w:space="0" w:color="auto"/>
            </w:tcBorders>
            <w:shd w:val="clear" w:color="auto" w:fill="auto"/>
            <w:vAlign w:val="bottom"/>
            <w:hideMark/>
          </w:tcPr>
          <w:p w14:paraId="59217A87"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$3,490.14 </w:t>
            </w:r>
          </w:p>
        </w:tc>
        <w:tc>
          <w:tcPr>
            <w:tcW w:w="946" w:type="dxa"/>
            <w:tcBorders>
              <w:top w:val="nil"/>
              <w:left w:val="nil"/>
              <w:bottom w:val="single" w:sz="4" w:space="0" w:color="auto"/>
              <w:right w:val="single" w:sz="4" w:space="0" w:color="auto"/>
            </w:tcBorders>
            <w:shd w:val="clear" w:color="000000" w:fill="BFBFBF"/>
            <w:vAlign w:val="bottom"/>
            <w:hideMark/>
          </w:tcPr>
          <w:p w14:paraId="74667F28"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1B2913E0"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$12,922.95 </w:t>
            </w:r>
          </w:p>
        </w:tc>
      </w:tr>
      <w:tr w:rsidR="00342AB1" w:rsidRPr="00342AB1" w14:paraId="4032751E"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2D6F0F74" w14:textId="6C14FC78" w:rsidR="00342AB1" w:rsidRPr="00342AB1" w:rsidRDefault="00FE0809" w:rsidP="00FE0809">
            <w:pPr>
              <w:spacing w:line="240" w:lineRule="auto"/>
              <w:ind w:firstLine="0"/>
              <w:rPr>
                <w:color w:val="000000"/>
                <w:szCs w:val="22"/>
              </w:rPr>
            </w:pPr>
            <w:r w:rsidRPr="00FE0809">
              <w:rPr>
                <w:bCs/>
                <w:color w:val="000000"/>
                <w:szCs w:val="22"/>
              </w:rPr>
              <w:t>Deputy Division Director for Analysis </w:t>
            </w:r>
          </w:p>
        </w:tc>
        <w:tc>
          <w:tcPr>
            <w:tcW w:w="1304" w:type="dxa"/>
            <w:tcBorders>
              <w:top w:val="nil"/>
              <w:left w:val="nil"/>
              <w:bottom w:val="single" w:sz="4" w:space="0" w:color="auto"/>
              <w:right w:val="single" w:sz="4" w:space="0" w:color="auto"/>
            </w:tcBorders>
            <w:shd w:val="clear" w:color="auto" w:fill="auto"/>
            <w:vAlign w:val="bottom"/>
            <w:hideMark/>
          </w:tcPr>
          <w:p w14:paraId="18B0A28B" w14:textId="77777777" w:rsidR="00342AB1" w:rsidRPr="00342AB1" w:rsidRDefault="00342AB1" w:rsidP="007141FF">
            <w:pPr>
              <w:spacing w:line="240" w:lineRule="auto"/>
              <w:ind w:firstLine="0"/>
              <w:rPr>
                <w:color w:val="000000"/>
                <w:szCs w:val="22"/>
              </w:rPr>
            </w:pPr>
            <w:r w:rsidRPr="00342AB1">
              <w:rPr>
                <w:color w:val="000000"/>
                <w:szCs w:val="22"/>
              </w:rPr>
              <w:t>T42</w:t>
            </w:r>
          </w:p>
        </w:tc>
        <w:tc>
          <w:tcPr>
            <w:tcW w:w="1329" w:type="dxa"/>
            <w:tcBorders>
              <w:top w:val="nil"/>
              <w:left w:val="nil"/>
              <w:bottom w:val="single" w:sz="4" w:space="0" w:color="auto"/>
              <w:right w:val="single" w:sz="4" w:space="0" w:color="auto"/>
            </w:tcBorders>
            <w:shd w:val="clear" w:color="auto" w:fill="auto"/>
            <w:vAlign w:val="bottom"/>
            <w:hideMark/>
          </w:tcPr>
          <w:p w14:paraId="4B587A53"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$185,120.00 </w:t>
            </w:r>
          </w:p>
        </w:tc>
        <w:tc>
          <w:tcPr>
            <w:tcW w:w="791" w:type="dxa"/>
            <w:tcBorders>
              <w:top w:val="nil"/>
              <w:left w:val="nil"/>
              <w:bottom w:val="single" w:sz="4" w:space="0" w:color="auto"/>
              <w:right w:val="single" w:sz="4" w:space="0" w:color="auto"/>
            </w:tcBorders>
            <w:shd w:val="clear" w:color="auto" w:fill="auto"/>
            <w:vAlign w:val="bottom"/>
            <w:hideMark/>
          </w:tcPr>
          <w:p w14:paraId="1C59951A" w14:textId="77777777" w:rsidR="00342AB1" w:rsidRPr="00342AB1" w:rsidRDefault="00342AB1" w:rsidP="00342AB1">
            <w:pPr>
              <w:spacing w:line="240" w:lineRule="auto"/>
              <w:ind w:firstLine="0"/>
              <w:jc w:val="center"/>
              <w:rPr>
                <w:color w:val="000000"/>
                <w:szCs w:val="22"/>
              </w:rPr>
            </w:pPr>
            <w:r w:rsidRPr="00342AB1">
              <w:rPr>
                <w:color w:val="000000"/>
                <w:szCs w:val="22"/>
              </w:rPr>
              <w:t>6.3%</w:t>
            </w:r>
          </w:p>
        </w:tc>
        <w:tc>
          <w:tcPr>
            <w:tcW w:w="1109" w:type="dxa"/>
            <w:tcBorders>
              <w:top w:val="nil"/>
              <w:left w:val="nil"/>
              <w:bottom w:val="single" w:sz="4" w:space="0" w:color="auto"/>
              <w:right w:val="single" w:sz="4" w:space="0" w:color="auto"/>
            </w:tcBorders>
            <w:shd w:val="clear" w:color="auto" w:fill="auto"/>
            <w:vAlign w:val="bottom"/>
            <w:hideMark/>
          </w:tcPr>
          <w:p w14:paraId="33B9BCD8"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$4,280.90 </w:t>
            </w:r>
          </w:p>
        </w:tc>
        <w:tc>
          <w:tcPr>
            <w:tcW w:w="946" w:type="dxa"/>
            <w:tcBorders>
              <w:top w:val="nil"/>
              <w:left w:val="nil"/>
              <w:bottom w:val="single" w:sz="4" w:space="0" w:color="auto"/>
              <w:right w:val="single" w:sz="4" w:space="0" w:color="auto"/>
            </w:tcBorders>
            <w:shd w:val="clear" w:color="000000" w:fill="BFBFBF"/>
            <w:vAlign w:val="bottom"/>
            <w:hideMark/>
          </w:tcPr>
          <w:p w14:paraId="778E7F5C"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30B8E4E8"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$15,850.90 </w:t>
            </w:r>
          </w:p>
        </w:tc>
      </w:tr>
      <w:tr w:rsidR="00342AB1" w:rsidRPr="00342AB1" w14:paraId="1A5999D6"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6AC3DBC2" w14:textId="6AFB4876" w:rsidR="00342AB1" w:rsidRPr="00342AB1" w:rsidRDefault="00FE0809" w:rsidP="00092889">
            <w:pPr>
              <w:spacing w:line="240" w:lineRule="auto"/>
              <w:ind w:firstLine="0"/>
              <w:rPr>
                <w:color w:val="000000"/>
                <w:szCs w:val="22"/>
              </w:rPr>
            </w:pPr>
            <w:r w:rsidRPr="00FE0809">
              <w:rPr>
                <w:bCs/>
                <w:color w:val="000000"/>
                <w:szCs w:val="22"/>
              </w:rPr>
              <w:t>Deputy Division Director for Analysis </w:t>
            </w:r>
          </w:p>
        </w:tc>
        <w:tc>
          <w:tcPr>
            <w:tcW w:w="1304" w:type="dxa"/>
            <w:tcBorders>
              <w:top w:val="nil"/>
              <w:left w:val="nil"/>
              <w:bottom w:val="single" w:sz="4" w:space="0" w:color="auto"/>
              <w:right w:val="single" w:sz="4" w:space="0" w:color="auto"/>
            </w:tcBorders>
            <w:shd w:val="clear" w:color="auto" w:fill="auto"/>
            <w:vAlign w:val="bottom"/>
            <w:hideMark/>
          </w:tcPr>
          <w:p w14:paraId="76D295D6" w14:textId="77777777" w:rsidR="00342AB1" w:rsidRPr="00342AB1" w:rsidRDefault="00342AB1" w:rsidP="007141FF">
            <w:pPr>
              <w:spacing w:line="240" w:lineRule="auto"/>
              <w:ind w:firstLine="0"/>
              <w:rPr>
                <w:color w:val="000000"/>
                <w:szCs w:val="22"/>
              </w:rPr>
            </w:pPr>
            <w:r w:rsidRPr="00342AB1">
              <w:rPr>
                <w:color w:val="000000"/>
                <w:szCs w:val="22"/>
              </w:rPr>
              <w:t>GS 15/5</w:t>
            </w:r>
          </w:p>
        </w:tc>
        <w:tc>
          <w:tcPr>
            <w:tcW w:w="1329" w:type="dxa"/>
            <w:tcBorders>
              <w:top w:val="nil"/>
              <w:left w:val="nil"/>
              <w:bottom w:val="single" w:sz="4" w:space="0" w:color="auto"/>
              <w:right w:val="single" w:sz="4" w:space="0" w:color="auto"/>
            </w:tcBorders>
            <w:shd w:val="clear" w:color="auto" w:fill="auto"/>
            <w:vAlign w:val="bottom"/>
            <w:hideMark/>
          </w:tcPr>
          <w:p w14:paraId="07CB3652"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$133,702.00 </w:t>
            </w:r>
          </w:p>
        </w:tc>
        <w:tc>
          <w:tcPr>
            <w:tcW w:w="791" w:type="dxa"/>
            <w:tcBorders>
              <w:top w:val="nil"/>
              <w:left w:val="nil"/>
              <w:bottom w:val="single" w:sz="4" w:space="0" w:color="auto"/>
              <w:right w:val="single" w:sz="4" w:space="0" w:color="auto"/>
            </w:tcBorders>
            <w:shd w:val="clear" w:color="auto" w:fill="auto"/>
            <w:vAlign w:val="bottom"/>
            <w:hideMark/>
          </w:tcPr>
          <w:p w14:paraId="19EF99C5" w14:textId="77777777" w:rsidR="00342AB1" w:rsidRPr="00342AB1" w:rsidRDefault="00342AB1" w:rsidP="00342AB1">
            <w:pPr>
              <w:spacing w:line="240" w:lineRule="auto"/>
              <w:ind w:firstLine="0"/>
              <w:jc w:val="center"/>
              <w:rPr>
                <w:color w:val="000000"/>
                <w:szCs w:val="22"/>
              </w:rPr>
            </w:pPr>
            <w:r w:rsidRPr="00342AB1">
              <w:rPr>
                <w:color w:val="000000"/>
                <w:szCs w:val="22"/>
              </w:rPr>
              <w:t>7.2%</w:t>
            </w:r>
          </w:p>
        </w:tc>
        <w:tc>
          <w:tcPr>
            <w:tcW w:w="1109" w:type="dxa"/>
            <w:tcBorders>
              <w:top w:val="nil"/>
              <w:left w:val="nil"/>
              <w:bottom w:val="single" w:sz="4" w:space="0" w:color="auto"/>
              <w:right w:val="single" w:sz="4" w:space="0" w:color="auto"/>
            </w:tcBorders>
            <w:shd w:val="clear" w:color="auto" w:fill="auto"/>
            <w:vAlign w:val="bottom"/>
            <w:hideMark/>
          </w:tcPr>
          <w:p w14:paraId="17EAD3F7"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$3,567.53 </w:t>
            </w:r>
          </w:p>
        </w:tc>
        <w:tc>
          <w:tcPr>
            <w:tcW w:w="946" w:type="dxa"/>
            <w:tcBorders>
              <w:top w:val="nil"/>
              <w:left w:val="nil"/>
              <w:bottom w:val="single" w:sz="4" w:space="0" w:color="auto"/>
              <w:right w:val="single" w:sz="4" w:space="0" w:color="auto"/>
            </w:tcBorders>
            <w:shd w:val="clear" w:color="000000" w:fill="BFBFBF"/>
            <w:vAlign w:val="bottom"/>
            <w:hideMark/>
          </w:tcPr>
          <w:p w14:paraId="26D26374"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703E1FDF"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$13,209.50 </w:t>
            </w:r>
          </w:p>
        </w:tc>
      </w:tr>
      <w:tr w:rsidR="00342AB1" w:rsidRPr="00342AB1" w14:paraId="1D2AA31F" w14:textId="77777777" w:rsidTr="00797B12">
        <w:trPr>
          <w:trHeight w:val="521"/>
        </w:trPr>
        <w:tc>
          <w:tcPr>
            <w:tcW w:w="1268" w:type="dxa"/>
            <w:tcBorders>
              <w:top w:val="nil"/>
              <w:left w:val="single" w:sz="4" w:space="0" w:color="auto"/>
              <w:bottom w:val="single" w:sz="4" w:space="0" w:color="auto"/>
              <w:right w:val="single" w:sz="4" w:space="0" w:color="auto"/>
            </w:tcBorders>
            <w:shd w:val="clear" w:color="auto" w:fill="auto"/>
            <w:vAlign w:val="bottom"/>
          </w:tcPr>
          <w:p w14:paraId="7A6F68E7" w14:textId="4517C1A4" w:rsidR="00342AB1" w:rsidRPr="00342AB1" w:rsidRDefault="00FE0809" w:rsidP="00FE0809">
            <w:pPr>
              <w:spacing w:line="240" w:lineRule="auto"/>
              <w:ind w:firstLine="0"/>
              <w:rPr>
                <w:color w:val="000000"/>
                <w:szCs w:val="22"/>
              </w:rPr>
            </w:pPr>
            <w:r>
              <w:rPr>
                <w:color w:val="000000"/>
                <w:szCs w:val="22"/>
              </w:rPr>
              <w:t>Health Scientist</w:t>
            </w:r>
          </w:p>
        </w:tc>
        <w:tc>
          <w:tcPr>
            <w:tcW w:w="1304" w:type="dxa"/>
            <w:tcBorders>
              <w:top w:val="nil"/>
              <w:left w:val="nil"/>
              <w:bottom w:val="single" w:sz="4" w:space="0" w:color="auto"/>
              <w:right w:val="single" w:sz="4" w:space="0" w:color="auto"/>
            </w:tcBorders>
            <w:shd w:val="clear" w:color="auto" w:fill="auto"/>
            <w:vAlign w:val="bottom"/>
            <w:hideMark/>
          </w:tcPr>
          <w:p w14:paraId="1F184EAC" w14:textId="77777777" w:rsidR="00342AB1" w:rsidRPr="00342AB1" w:rsidRDefault="00342AB1" w:rsidP="007141FF">
            <w:pPr>
              <w:spacing w:line="240" w:lineRule="auto"/>
              <w:ind w:firstLine="0"/>
              <w:rPr>
                <w:color w:val="000000"/>
                <w:szCs w:val="22"/>
              </w:rPr>
            </w:pPr>
            <w:r w:rsidRPr="00342AB1">
              <w:rPr>
                <w:color w:val="000000"/>
                <w:szCs w:val="22"/>
              </w:rPr>
              <w:t>GS 12/3</w:t>
            </w:r>
          </w:p>
        </w:tc>
        <w:tc>
          <w:tcPr>
            <w:tcW w:w="1329" w:type="dxa"/>
            <w:tcBorders>
              <w:top w:val="nil"/>
              <w:left w:val="nil"/>
              <w:bottom w:val="single" w:sz="4" w:space="0" w:color="auto"/>
              <w:right w:val="single" w:sz="4" w:space="0" w:color="auto"/>
            </w:tcBorders>
            <w:shd w:val="clear" w:color="auto" w:fill="auto"/>
            <w:vAlign w:val="bottom"/>
            <w:hideMark/>
          </w:tcPr>
          <w:p w14:paraId="028ECD91"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$76,897.60 </w:t>
            </w:r>
          </w:p>
        </w:tc>
        <w:tc>
          <w:tcPr>
            <w:tcW w:w="791" w:type="dxa"/>
            <w:tcBorders>
              <w:top w:val="nil"/>
              <w:left w:val="nil"/>
              <w:bottom w:val="single" w:sz="4" w:space="0" w:color="auto"/>
              <w:right w:val="single" w:sz="4" w:space="0" w:color="auto"/>
            </w:tcBorders>
            <w:shd w:val="clear" w:color="auto" w:fill="auto"/>
            <w:vAlign w:val="bottom"/>
            <w:hideMark/>
          </w:tcPr>
          <w:p w14:paraId="3B70E62E" w14:textId="77777777" w:rsidR="00342AB1" w:rsidRPr="00342AB1" w:rsidRDefault="00342AB1" w:rsidP="00342AB1">
            <w:pPr>
              <w:spacing w:line="240" w:lineRule="auto"/>
              <w:ind w:firstLine="0"/>
              <w:jc w:val="center"/>
              <w:rPr>
                <w:color w:val="000000"/>
                <w:szCs w:val="22"/>
              </w:rPr>
            </w:pPr>
            <w:r w:rsidRPr="00342AB1">
              <w:rPr>
                <w:color w:val="000000"/>
                <w:szCs w:val="22"/>
              </w:rPr>
              <w:t>1.9%</w:t>
            </w:r>
          </w:p>
        </w:tc>
        <w:tc>
          <w:tcPr>
            <w:tcW w:w="1109" w:type="dxa"/>
            <w:tcBorders>
              <w:top w:val="nil"/>
              <w:left w:val="nil"/>
              <w:bottom w:val="single" w:sz="4" w:space="0" w:color="auto"/>
              <w:right w:val="single" w:sz="4" w:space="0" w:color="auto"/>
            </w:tcBorders>
            <w:shd w:val="clear" w:color="auto" w:fill="auto"/>
            <w:vAlign w:val="bottom"/>
            <w:hideMark/>
          </w:tcPr>
          <w:p w14:paraId="753B3685" w14:textId="77777777" w:rsidR="00342AB1" w:rsidRPr="00342AB1" w:rsidRDefault="00342AB1" w:rsidP="00342AB1">
            <w:pPr>
              <w:spacing w:line="240" w:lineRule="auto"/>
              <w:ind w:firstLine="0"/>
              <w:jc w:val="center"/>
              <w:rPr>
                <w:szCs w:val="22"/>
              </w:rPr>
            </w:pPr>
            <w:r w:rsidRPr="00342AB1">
              <w:rPr>
                <w:szCs w:val="22"/>
              </w:rPr>
              <w:t xml:space="preserve"> $547.16 </w:t>
            </w:r>
          </w:p>
        </w:tc>
        <w:tc>
          <w:tcPr>
            <w:tcW w:w="946" w:type="dxa"/>
            <w:tcBorders>
              <w:top w:val="nil"/>
              <w:left w:val="nil"/>
              <w:bottom w:val="single" w:sz="4" w:space="0" w:color="auto"/>
              <w:right w:val="single" w:sz="4" w:space="0" w:color="auto"/>
            </w:tcBorders>
            <w:shd w:val="clear" w:color="000000" w:fill="BFBFBF"/>
            <w:vAlign w:val="bottom"/>
            <w:hideMark/>
          </w:tcPr>
          <w:p w14:paraId="7BA78BEA" w14:textId="77777777" w:rsidR="00342AB1" w:rsidRPr="00342AB1" w:rsidRDefault="00342AB1" w:rsidP="00342AB1">
            <w:pPr>
              <w:spacing w:line="240" w:lineRule="auto"/>
              <w:ind w:firstLine="0"/>
              <w:jc w:val="center"/>
              <w:rPr>
                <w:szCs w:val="22"/>
              </w:rPr>
            </w:pPr>
            <w:r w:rsidRPr="00342AB1">
              <w:rPr>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65AF9D19"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$2,025.96 </w:t>
            </w:r>
          </w:p>
        </w:tc>
      </w:tr>
      <w:tr w:rsidR="00342AB1" w:rsidRPr="00342AB1" w14:paraId="26A066D1" w14:textId="77777777" w:rsidTr="00797B12">
        <w:trPr>
          <w:trHeight w:val="521"/>
        </w:trPr>
        <w:tc>
          <w:tcPr>
            <w:tcW w:w="1268" w:type="dxa"/>
            <w:tcBorders>
              <w:top w:val="nil"/>
              <w:left w:val="single" w:sz="4" w:space="0" w:color="auto"/>
              <w:bottom w:val="single" w:sz="4" w:space="0" w:color="auto"/>
              <w:right w:val="single" w:sz="4" w:space="0" w:color="auto"/>
            </w:tcBorders>
            <w:shd w:val="clear" w:color="auto" w:fill="auto"/>
            <w:vAlign w:val="bottom"/>
          </w:tcPr>
          <w:p w14:paraId="07C0AA57" w14:textId="2A854EDA" w:rsidR="00342AB1" w:rsidRPr="00342AB1" w:rsidRDefault="00FE0809" w:rsidP="00FE0809">
            <w:pPr>
              <w:spacing w:line="240" w:lineRule="auto"/>
              <w:ind w:firstLine="0"/>
              <w:rPr>
                <w:color w:val="000000"/>
                <w:szCs w:val="22"/>
              </w:rPr>
            </w:pPr>
            <w:r>
              <w:rPr>
                <w:color w:val="000000"/>
                <w:szCs w:val="22"/>
              </w:rPr>
              <w:t>Health Scientist</w:t>
            </w:r>
          </w:p>
        </w:tc>
        <w:tc>
          <w:tcPr>
            <w:tcW w:w="1304" w:type="dxa"/>
            <w:tcBorders>
              <w:top w:val="nil"/>
              <w:left w:val="nil"/>
              <w:bottom w:val="single" w:sz="4" w:space="0" w:color="auto"/>
              <w:right w:val="single" w:sz="4" w:space="0" w:color="auto"/>
            </w:tcBorders>
            <w:shd w:val="clear" w:color="auto" w:fill="auto"/>
            <w:vAlign w:val="bottom"/>
            <w:hideMark/>
          </w:tcPr>
          <w:p w14:paraId="0553896D" w14:textId="77777777" w:rsidR="00342AB1" w:rsidRPr="00342AB1" w:rsidRDefault="00342AB1" w:rsidP="007141FF">
            <w:pPr>
              <w:spacing w:line="240" w:lineRule="auto"/>
              <w:ind w:firstLine="0"/>
              <w:rPr>
                <w:color w:val="000000"/>
                <w:szCs w:val="22"/>
              </w:rPr>
            </w:pPr>
            <w:r w:rsidRPr="00342AB1">
              <w:rPr>
                <w:color w:val="000000"/>
                <w:szCs w:val="22"/>
              </w:rPr>
              <w:t>GS 12/3</w:t>
            </w:r>
          </w:p>
        </w:tc>
        <w:tc>
          <w:tcPr>
            <w:tcW w:w="1329" w:type="dxa"/>
            <w:tcBorders>
              <w:top w:val="nil"/>
              <w:left w:val="nil"/>
              <w:bottom w:val="single" w:sz="4" w:space="0" w:color="auto"/>
              <w:right w:val="single" w:sz="4" w:space="0" w:color="auto"/>
            </w:tcBorders>
            <w:shd w:val="clear" w:color="auto" w:fill="auto"/>
            <w:vAlign w:val="bottom"/>
            <w:hideMark/>
          </w:tcPr>
          <w:p w14:paraId="70CBC873"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$76,128.00 </w:t>
            </w:r>
          </w:p>
        </w:tc>
        <w:tc>
          <w:tcPr>
            <w:tcW w:w="791" w:type="dxa"/>
            <w:tcBorders>
              <w:top w:val="nil"/>
              <w:left w:val="nil"/>
              <w:bottom w:val="single" w:sz="4" w:space="0" w:color="auto"/>
              <w:right w:val="single" w:sz="4" w:space="0" w:color="auto"/>
            </w:tcBorders>
            <w:shd w:val="clear" w:color="auto" w:fill="auto"/>
            <w:vAlign w:val="bottom"/>
            <w:hideMark/>
          </w:tcPr>
          <w:p w14:paraId="54D5EA46" w14:textId="77777777" w:rsidR="00342AB1" w:rsidRPr="00342AB1" w:rsidRDefault="00342AB1" w:rsidP="00342AB1">
            <w:pPr>
              <w:spacing w:line="240" w:lineRule="auto"/>
              <w:ind w:firstLine="0"/>
              <w:jc w:val="center"/>
              <w:rPr>
                <w:color w:val="000000"/>
                <w:szCs w:val="22"/>
              </w:rPr>
            </w:pPr>
            <w:r w:rsidRPr="00342AB1">
              <w:rPr>
                <w:color w:val="000000"/>
                <w:szCs w:val="22"/>
              </w:rPr>
              <w:t>1.9%</w:t>
            </w:r>
          </w:p>
        </w:tc>
        <w:tc>
          <w:tcPr>
            <w:tcW w:w="1109" w:type="dxa"/>
            <w:tcBorders>
              <w:top w:val="nil"/>
              <w:left w:val="nil"/>
              <w:bottom w:val="single" w:sz="4" w:space="0" w:color="auto"/>
              <w:right w:val="single" w:sz="4" w:space="0" w:color="auto"/>
            </w:tcBorders>
            <w:shd w:val="clear" w:color="auto" w:fill="auto"/>
            <w:vAlign w:val="bottom"/>
            <w:hideMark/>
          </w:tcPr>
          <w:p w14:paraId="2D895B12" w14:textId="77777777" w:rsidR="00342AB1" w:rsidRPr="00342AB1" w:rsidRDefault="00342AB1" w:rsidP="00342AB1">
            <w:pPr>
              <w:spacing w:line="240" w:lineRule="auto"/>
              <w:ind w:firstLine="0"/>
              <w:jc w:val="center"/>
              <w:rPr>
                <w:szCs w:val="22"/>
              </w:rPr>
            </w:pPr>
            <w:r w:rsidRPr="00342AB1">
              <w:rPr>
                <w:szCs w:val="22"/>
              </w:rPr>
              <w:t xml:space="preserve"> $541.68 </w:t>
            </w:r>
          </w:p>
        </w:tc>
        <w:tc>
          <w:tcPr>
            <w:tcW w:w="946" w:type="dxa"/>
            <w:tcBorders>
              <w:top w:val="nil"/>
              <w:left w:val="nil"/>
              <w:bottom w:val="single" w:sz="4" w:space="0" w:color="auto"/>
              <w:right w:val="single" w:sz="4" w:space="0" w:color="auto"/>
            </w:tcBorders>
            <w:shd w:val="clear" w:color="000000" w:fill="BFBFBF"/>
            <w:vAlign w:val="bottom"/>
            <w:hideMark/>
          </w:tcPr>
          <w:p w14:paraId="09777AA3" w14:textId="77777777" w:rsidR="00342AB1" w:rsidRPr="00342AB1" w:rsidRDefault="00342AB1" w:rsidP="00342AB1">
            <w:pPr>
              <w:spacing w:line="240" w:lineRule="auto"/>
              <w:ind w:firstLine="0"/>
              <w:jc w:val="center"/>
              <w:rPr>
                <w:szCs w:val="22"/>
              </w:rPr>
            </w:pPr>
            <w:r w:rsidRPr="00342AB1">
              <w:rPr>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47A8826D"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$2,005.68 </w:t>
            </w:r>
          </w:p>
        </w:tc>
      </w:tr>
      <w:tr w:rsidR="00342AB1" w:rsidRPr="00342AB1" w14:paraId="05ECAEC1"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729523E2" w14:textId="572ED710" w:rsidR="00342AB1" w:rsidRPr="00342AB1" w:rsidRDefault="00FE0809" w:rsidP="00FE0809">
            <w:pPr>
              <w:spacing w:line="240" w:lineRule="auto"/>
              <w:ind w:firstLine="0"/>
              <w:rPr>
                <w:color w:val="000000"/>
                <w:szCs w:val="22"/>
              </w:rPr>
            </w:pPr>
            <w:r>
              <w:rPr>
                <w:color w:val="000000"/>
                <w:szCs w:val="22"/>
              </w:rPr>
              <w:t>Data Scientist</w:t>
            </w:r>
          </w:p>
        </w:tc>
        <w:tc>
          <w:tcPr>
            <w:tcW w:w="1304" w:type="dxa"/>
            <w:tcBorders>
              <w:top w:val="nil"/>
              <w:left w:val="nil"/>
              <w:bottom w:val="single" w:sz="4" w:space="0" w:color="auto"/>
              <w:right w:val="single" w:sz="4" w:space="0" w:color="auto"/>
            </w:tcBorders>
            <w:shd w:val="clear" w:color="auto" w:fill="auto"/>
            <w:vAlign w:val="bottom"/>
            <w:hideMark/>
          </w:tcPr>
          <w:p w14:paraId="5E8E8BA3" w14:textId="77777777" w:rsidR="00342AB1" w:rsidRPr="00342AB1" w:rsidRDefault="00342AB1" w:rsidP="007141FF">
            <w:pPr>
              <w:spacing w:line="240" w:lineRule="auto"/>
              <w:ind w:firstLine="0"/>
              <w:rPr>
                <w:color w:val="000000"/>
                <w:szCs w:val="22"/>
              </w:rPr>
            </w:pPr>
            <w:r w:rsidRPr="00342AB1">
              <w:rPr>
                <w:color w:val="000000"/>
                <w:szCs w:val="22"/>
              </w:rPr>
              <w:t>GS 11/10</w:t>
            </w:r>
          </w:p>
        </w:tc>
        <w:tc>
          <w:tcPr>
            <w:tcW w:w="1329" w:type="dxa"/>
            <w:tcBorders>
              <w:top w:val="nil"/>
              <w:left w:val="nil"/>
              <w:bottom w:val="single" w:sz="4" w:space="0" w:color="auto"/>
              <w:right w:val="single" w:sz="4" w:space="0" w:color="auto"/>
            </w:tcBorders>
            <w:shd w:val="clear" w:color="auto" w:fill="auto"/>
            <w:vAlign w:val="bottom"/>
            <w:hideMark/>
          </w:tcPr>
          <w:p w14:paraId="1D8FD3D8"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$78,187.00 </w:t>
            </w:r>
          </w:p>
        </w:tc>
        <w:tc>
          <w:tcPr>
            <w:tcW w:w="791" w:type="dxa"/>
            <w:tcBorders>
              <w:top w:val="nil"/>
              <w:left w:val="nil"/>
              <w:bottom w:val="single" w:sz="4" w:space="0" w:color="auto"/>
              <w:right w:val="single" w:sz="4" w:space="0" w:color="auto"/>
            </w:tcBorders>
            <w:shd w:val="clear" w:color="auto" w:fill="auto"/>
            <w:vAlign w:val="bottom"/>
            <w:hideMark/>
          </w:tcPr>
          <w:p w14:paraId="31BEC0F7" w14:textId="77777777" w:rsidR="00342AB1" w:rsidRPr="00342AB1" w:rsidRDefault="00342AB1" w:rsidP="00342AB1">
            <w:pPr>
              <w:spacing w:line="240" w:lineRule="auto"/>
              <w:ind w:firstLine="0"/>
              <w:jc w:val="center"/>
              <w:rPr>
                <w:color w:val="000000"/>
                <w:szCs w:val="22"/>
              </w:rPr>
            </w:pPr>
            <w:r w:rsidRPr="00342AB1">
              <w:rPr>
                <w:color w:val="000000"/>
                <w:szCs w:val="22"/>
              </w:rPr>
              <w:t>6.4%</w:t>
            </w:r>
          </w:p>
        </w:tc>
        <w:tc>
          <w:tcPr>
            <w:tcW w:w="1109" w:type="dxa"/>
            <w:tcBorders>
              <w:top w:val="nil"/>
              <w:left w:val="nil"/>
              <w:bottom w:val="single" w:sz="4" w:space="0" w:color="auto"/>
              <w:right w:val="single" w:sz="4" w:space="0" w:color="auto"/>
            </w:tcBorders>
            <w:shd w:val="clear" w:color="auto" w:fill="auto"/>
            <w:vAlign w:val="bottom"/>
            <w:hideMark/>
          </w:tcPr>
          <w:p w14:paraId="7DFD7FBF"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$1,863.71 </w:t>
            </w:r>
          </w:p>
        </w:tc>
        <w:tc>
          <w:tcPr>
            <w:tcW w:w="946" w:type="dxa"/>
            <w:tcBorders>
              <w:top w:val="nil"/>
              <w:left w:val="nil"/>
              <w:bottom w:val="single" w:sz="4" w:space="0" w:color="auto"/>
              <w:right w:val="single" w:sz="4" w:space="0" w:color="auto"/>
            </w:tcBorders>
            <w:shd w:val="clear" w:color="000000" w:fill="BFBFBF"/>
            <w:vAlign w:val="bottom"/>
            <w:hideMark/>
          </w:tcPr>
          <w:p w14:paraId="011AAF30"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77BF6E05"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$6,900.75 </w:t>
            </w:r>
          </w:p>
        </w:tc>
      </w:tr>
      <w:tr w:rsidR="00342AB1" w:rsidRPr="00342AB1" w14:paraId="30756957"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63F8E792" w14:textId="3AFD60CC" w:rsidR="00342AB1" w:rsidRPr="00342AB1" w:rsidRDefault="00FE0809" w:rsidP="00FE0809">
            <w:pPr>
              <w:spacing w:line="240" w:lineRule="auto"/>
              <w:ind w:firstLine="0"/>
              <w:rPr>
                <w:color w:val="000000"/>
                <w:szCs w:val="22"/>
              </w:rPr>
            </w:pPr>
            <w:r>
              <w:rPr>
                <w:color w:val="000000"/>
                <w:szCs w:val="22"/>
              </w:rPr>
              <w:t>Staff Scientist</w:t>
            </w:r>
          </w:p>
        </w:tc>
        <w:tc>
          <w:tcPr>
            <w:tcW w:w="1304" w:type="dxa"/>
            <w:tcBorders>
              <w:top w:val="nil"/>
              <w:left w:val="nil"/>
              <w:bottom w:val="single" w:sz="4" w:space="0" w:color="auto"/>
              <w:right w:val="single" w:sz="4" w:space="0" w:color="auto"/>
            </w:tcBorders>
            <w:shd w:val="clear" w:color="auto" w:fill="auto"/>
            <w:vAlign w:val="bottom"/>
            <w:hideMark/>
          </w:tcPr>
          <w:p w14:paraId="5ED8B47D" w14:textId="77777777" w:rsidR="00342AB1" w:rsidRPr="00342AB1" w:rsidRDefault="00342AB1" w:rsidP="007141FF">
            <w:pPr>
              <w:spacing w:line="240" w:lineRule="auto"/>
              <w:ind w:firstLine="0"/>
              <w:rPr>
                <w:color w:val="000000"/>
                <w:szCs w:val="22"/>
              </w:rPr>
            </w:pPr>
            <w:r w:rsidRPr="00342AB1">
              <w:rPr>
                <w:color w:val="000000"/>
                <w:szCs w:val="22"/>
              </w:rPr>
              <w:t>T42</w:t>
            </w:r>
          </w:p>
        </w:tc>
        <w:tc>
          <w:tcPr>
            <w:tcW w:w="1329" w:type="dxa"/>
            <w:tcBorders>
              <w:top w:val="nil"/>
              <w:left w:val="nil"/>
              <w:bottom w:val="single" w:sz="4" w:space="0" w:color="auto"/>
              <w:right w:val="single" w:sz="4" w:space="0" w:color="auto"/>
            </w:tcBorders>
            <w:shd w:val="clear" w:color="auto" w:fill="auto"/>
            <w:vAlign w:val="bottom"/>
            <w:hideMark/>
          </w:tcPr>
          <w:p w14:paraId="3A910131"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$151,840.00 </w:t>
            </w:r>
          </w:p>
        </w:tc>
        <w:tc>
          <w:tcPr>
            <w:tcW w:w="791" w:type="dxa"/>
            <w:tcBorders>
              <w:top w:val="nil"/>
              <w:left w:val="nil"/>
              <w:bottom w:val="single" w:sz="4" w:space="0" w:color="auto"/>
              <w:right w:val="single" w:sz="4" w:space="0" w:color="auto"/>
            </w:tcBorders>
            <w:shd w:val="clear" w:color="auto" w:fill="auto"/>
            <w:vAlign w:val="bottom"/>
            <w:hideMark/>
          </w:tcPr>
          <w:p w14:paraId="67E79036" w14:textId="77777777" w:rsidR="00342AB1" w:rsidRPr="00342AB1" w:rsidRDefault="00342AB1" w:rsidP="00342AB1">
            <w:pPr>
              <w:spacing w:line="240" w:lineRule="auto"/>
              <w:ind w:firstLine="0"/>
              <w:jc w:val="center"/>
              <w:rPr>
                <w:color w:val="000000"/>
                <w:szCs w:val="22"/>
              </w:rPr>
            </w:pPr>
            <w:r w:rsidRPr="00342AB1">
              <w:rPr>
                <w:color w:val="000000"/>
                <w:szCs w:val="22"/>
              </w:rPr>
              <w:t>0.7%</w:t>
            </w:r>
          </w:p>
        </w:tc>
        <w:tc>
          <w:tcPr>
            <w:tcW w:w="1109" w:type="dxa"/>
            <w:tcBorders>
              <w:top w:val="nil"/>
              <w:left w:val="nil"/>
              <w:bottom w:val="single" w:sz="4" w:space="0" w:color="auto"/>
              <w:right w:val="single" w:sz="4" w:space="0" w:color="auto"/>
            </w:tcBorders>
            <w:shd w:val="clear" w:color="auto" w:fill="auto"/>
            <w:vAlign w:val="bottom"/>
            <w:hideMark/>
          </w:tcPr>
          <w:p w14:paraId="39945889"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$405.15 </w:t>
            </w:r>
          </w:p>
        </w:tc>
        <w:tc>
          <w:tcPr>
            <w:tcW w:w="946" w:type="dxa"/>
            <w:tcBorders>
              <w:top w:val="nil"/>
              <w:left w:val="nil"/>
              <w:bottom w:val="single" w:sz="4" w:space="0" w:color="auto"/>
              <w:right w:val="single" w:sz="4" w:space="0" w:color="auto"/>
            </w:tcBorders>
            <w:shd w:val="clear" w:color="000000" w:fill="BFBFBF"/>
            <w:vAlign w:val="bottom"/>
            <w:hideMark/>
          </w:tcPr>
          <w:p w14:paraId="0B154F59"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4B91B910"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$1,500.15 </w:t>
            </w:r>
          </w:p>
        </w:tc>
      </w:tr>
      <w:tr w:rsidR="00342AB1" w:rsidRPr="00342AB1" w14:paraId="6A9F3DCB" w14:textId="77777777" w:rsidTr="00797B12">
        <w:trPr>
          <w:trHeight w:val="800"/>
        </w:trPr>
        <w:tc>
          <w:tcPr>
            <w:tcW w:w="1268" w:type="dxa"/>
            <w:tcBorders>
              <w:top w:val="nil"/>
              <w:left w:val="single" w:sz="4" w:space="0" w:color="auto"/>
              <w:bottom w:val="single" w:sz="8" w:space="0" w:color="auto"/>
              <w:right w:val="single" w:sz="4" w:space="0" w:color="auto"/>
            </w:tcBorders>
            <w:shd w:val="clear" w:color="auto" w:fill="auto"/>
            <w:vAlign w:val="bottom"/>
            <w:hideMark/>
          </w:tcPr>
          <w:p w14:paraId="2356EFDF" w14:textId="77777777" w:rsidR="00342AB1" w:rsidRPr="00342AB1" w:rsidRDefault="00342AB1" w:rsidP="00342AB1">
            <w:pPr>
              <w:spacing w:line="240" w:lineRule="auto"/>
              <w:ind w:firstLine="0"/>
              <w:jc w:val="center"/>
              <w:rPr>
                <w:color w:val="000000"/>
                <w:szCs w:val="22"/>
              </w:rPr>
            </w:pPr>
            <w:r w:rsidRPr="00342AB1">
              <w:rPr>
                <w:color w:val="000000"/>
                <w:szCs w:val="22"/>
              </w:rPr>
              <w:t>Federal Oversight Total</w:t>
            </w:r>
          </w:p>
        </w:tc>
        <w:tc>
          <w:tcPr>
            <w:tcW w:w="1304" w:type="dxa"/>
            <w:tcBorders>
              <w:top w:val="nil"/>
              <w:left w:val="nil"/>
              <w:bottom w:val="single" w:sz="8" w:space="0" w:color="auto"/>
              <w:right w:val="single" w:sz="4" w:space="0" w:color="auto"/>
            </w:tcBorders>
            <w:shd w:val="clear" w:color="000000" w:fill="BFBFBF"/>
            <w:vAlign w:val="bottom"/>
            <w:hideMark/>
          </w:tcPr>
          <w:p w14:paraId="593CF981"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9" w:type="dxa"/>
            <w:tcBorders>
              <w:top w:val="nil"/>
              <w:left w:val="nil"/>
              <w:bottom w:val="single" w:sz="8" w:space="0" w:color="auto"/>
              <w:right w:val="single" w:sz="4" w:space="0" w:color="auto"/>
            </w:tcBorders>
            <w:shd w:val="clear" w:color="000000" w:fill="BFBFBF"/>
            <w:vAlign w:val="bottom"/>
            <w:hideMark/>
          </w:tcPr>
          <w:p w14:paraId="133CAC3F"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8" w:space="0" w:color="auto"/>
              <w:right w:val="single" w:sz="4" w:space="0" w:color="auto"/>
            </w:tcBorders>
            <w:shd w:val="clear" w:color="000000" w:fill="BFBFBF"/>
            <w:vAlign w:val="bottom"/>
            <w:hideMark/>
          </w:tcPr>
          <w:p w14:paraId="19A8B352"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109" w:type="dxa"/>
            <w:tcBorders>
              <w:top w:val="nil"/>
              <w:left w:val="nil"/>
              <w:bottom w:val="single" w:sz="8" w:space="0" w:color="auto"/>
              <w:right w:val="single" w:sz="4" w:space="0" w:color="auto"/>
            </w:tcBorders>
            <w:shd w:val="clear" w:color="000000" w:fill="BFBFBF"/>
            <w:vAlign w:val="bottom"/>
            <w:hideMark/>
          </w:tcPr>
          <w:p w14:paraId="77F420BC"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8" w:space="0" w:color="auto"/>
              <w:right w:val="single" w:sz="4" w:space="0" w:color="auto"/>
            </w:tcBorders>
            <w:shd w:val="clear" w:color="000000" w:fill="BFBFBF"/>
            <w:vAlign w:val="bottom"/>
            <w:hideMark/>
          </w:tcPr>
          <w:p w14:paraId="6B98C53B"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8" w:space="0" w:color="auto"/>
              <w:right w:val="single" w:sz="4" w:space="0" w:color="auto"/>
            </w:tcBorders>
            <w:shd w:val="clear" w:color="auto" w:fill="auto"/>
            <w:vAlign w:val="bottom"/>
            <w:hideMark/>
          </w:tcPr>
          <w:p w14:paraId="5ED348DD"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 xml:space="preserve"> $69,178.99 </w:t>
            </w:r>
          </w:p>
        </w:tc>
      </w:tr>
      <w:tr w:rsidR="00342AB1" w:rsidRPr="00342AB1" w14:paraId="4272B379"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7A128A15"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Contractor Cost</w:t>
            </w:r>
          </w:p>
        </w:tc>
        <w:tc>
          <w:tcPr>
            <w:tcW w:w="1304" w:type="dxa"/>
            <w:tcBorders>
              <w:top w:val="nil"/>
              <w:left w:val="nil"/>
              <w:bottom w:val="single" w:sz="4" w:space="0" w:color="auto"/>
              <w:right w:val="single" w:sz="4" w:space="0" w:color="auto"/>
            </w:tcBorders>
            <w:shd w:val="clear" w:color="000000" w:fill="BFBFBF"/>
            <w:vAlign w:val="bottom"/>
            <w:hideMark/>
          </w:tcPr>
          <w:p w14:paraId="344832B4"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9" w:type="dxa"/>
            <w:tcBorders>
              <w:top w:val="nil"/>
              <w:left w:val="nil"/>
              <w:bottom w:val="single" w:sz="4" w:space="0" w:color="auto"/>
              <w:right w:val="single" w:sz="4" w:space="0" w:color="auto"/>
            </w:tcBorders>
            <w:shd w:val="clear" w:color="000000" w:fill="BFBFBF"/>
            <w:vAlign w:val="bottom"/>
            <w:hideMark/>
          </w:tcPr>
          <w:p w14:paraId="50CDEC98"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06FA6ED2"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109" w:type="dxa"/>
            <w:tcBorders>
              <w:top w:val="nil"/>
              <w:left w:val="nil"/>
              <w:bottom w:val="single" w:sz="4" w:space="0" w:color="auto"/>
              <w:right w:val="single" w:sz="4" w:space="0" w:color="auto"/>
            </w:tcBorders>
            <w:shd w:val="clear" w:color="000000" w:fill="BFBFBF"/>
            <w:vAlign w:val="bottom"/>
            <w:hideMark/>
          </w:tcPr>
          <w:p w14:paraId="507A1B78"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single" w:sz="4" w:space="0" w:color="auto"/>
            </w:tcBorders>
            <w:shd w:val="clear" w:color="000000" w:fill="BFBFBF"/>
            <w:vAlign w:val="bottom"/>
            <w:hideMark/>
          </w:tcPr>
          <w:p w14:paraId="777CB8BC"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000000" w:fill="BFBFBF"/>
            <w:vAlign w:val="bottom"/>
            <w:hideMark/>
          </w:tcPr>
          <w:p w14:paraId="06C804F4"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r>
      <w:tr w:rsidR="00797B12" w:rsidRPr="00342AB1" w14:paraId="4EB9E690"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455BF097" w14:textId="0F6C9DD1" w:rsidR="00797B12" w:rsidRPr="00342AB1" w:rsidRDefault="00797B12" w:rsidP="00797B12">
            <w:pPr>
              <w:spacing w:line="240" w:lineRule="auto"/>
              <w:ind w:firstLine="0"/>
              <w:rPr>
                <w:color w:val="000000"/>
                <w:szCs w:val="22"/>
              </w:rPr>
            </w:pPr>
            <w:r>
              <w:rPr>
                <w:color w:val="000000"/>
                <w:szCs w:val="22"/>
              </w:rPr>
              <w:t>Consultant</w:t>
            </w:r>
          </w:p>
        </w:tc>
        <w:tc>
          <w:tcPr>
            <w:tcW w:w="1304" w:type="dxa"/>
            <w:tcBorders>
              <w:top w:val="nil"/>
              <w:left w:val="nil"/>
              <w:bottom w:val="single" w:sz="4" w:space="0" w:color="auto"/>
              <w:right w:val="single" w:sz="4" w:space="0" w:color="auto"/>
            </w:tcBorders>
            <w:shd w:val="clear" w:color="auto" w:fill="auto"/>
            <w:vAlign w:val="bottom"/>
            <w:hideMark/>
          </w:tcPr>
          <w:p w14:paraId="73299D34" w14:textId="77777777" w:rsidR="00797B12" w:rsidRPr="00342AB1" w:rsidRDefault="00797B12" w:rsidP="007141FF">
            <w:pPr>
              <w:spacing w:line="240" w:lineRule="auto"/>
              <w:ind w:firstLine="0"/>
              <w:rPr>
                <w:color w:val="000000"/>
                <w:szCs w:val="22"/>
              </w:rPr>
            </w:pPr>
            <w:r w:rsidRPr="00342AB1">
              <w:rPr>
                <w:color w:val="000000"/>
                <w:szCs w:val="22"/>
              </w:rPr>
              <w:t>Independent Contractor</w:t>
            </w:r>
          </w:p>
        </w:tc>
        <w:tc>
          <w:tcPr>
            <w:tcW w:w="1329" w:type="dxa"/>
            <w:tcBorders>
              <w:top w:val="nil"/>
              <w:left w:val="nil"/>
              <w:bottom w:val="single" w:sz="4" w:space="0" w:color="auto"/>
              <w:right w:val="single" w:sz="4" w:space="0" w:color="auto"/>
            </w:tcBorders>
            <w:shd w:val="clear" w:color="auto" w:fill="auto"/>
            <w:vAlign w:val="bottom"/>
            <w:hideMark/>
          </w:tcPr>
          <w:p w14:paraId="1E80D79E"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$312,000.00 </w:t>
            </w:r>
          </w:p>
        </w:tc>
        <w:tc>
          <w:tcPr>
            <w:tcW w:w="791" w:type="dxa"/>
            <w:tcBorders>
              <w:top w:val="nil"/>
              <w:left w:val="nil"/>
              <w:bottom w:val="single" w:sz="4" w:space="0" w:color="auto"/>
              <w:right w:val="single" w:sz="4" w:space="0" w:color="auto"/>
            </w:tcBorders>
            <w:shd w:val="clear" w:color="auto" w:fill="auto"/>
            <w:vAlign w:val="bottom"/>
            <w:hideMark/>
          </w:tcPr>
          <w:p w14:paraId="4FDC8876" w14:textId="77777777" w:rsidR="00797B12" w:rsidRPr="00342AB1" w:rsidRDefault="00797B12" w:rsidP="00342AB1">
            <w:pPr>
              <w:spacing w:line="240" w:lineRule="auto"/>
              <w:ind w:firstLine="0"/>
              <w:jc w:val="center"/>
              <w:rPr>
                <w:color w:val="000000"/>
                <w:szCs w:val="22"/>
              </w:rPr>
            </w:pPr>
            <w:r w:rsidRPr="00342AB1">
              <w:rPr>
                <w:color w:val="000000"/>
                <w:szCs w:val="22"/>
              </w:rPr>
              <w:t>0.5%</w:t>
            </w:r>
          </w:p>
        </w:tc>
        <w:tc>
          <w:tcPr>
            <w:tcW w:w="1109" w:type="dxa"/>
            <w:tcBorders>
              <w:top w:val="nil"/>
              <w:left w:val="nil"/>
              <w:bottom w:val="single" w:sz="4" w:space="0" w:color="auto"/>
              <w:right w:val="single" w:sz="4" w:space="0" w:color="auto"/>
            </w:tcBorders>
            <w:shd w:val="clear" w:color="000000" w:fill="BFBFBF"/>
            <w:vAlign w:val="bottom"/>
            <w:hideMark/>
          </w:tcPr>
          <w:p w14:paraId="5A6BFC52"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single" w:sz="4" w:space="0" w:color="auto"/>
            </w:tcBorders>
            <w:shd w:val="clear" w:color="auto" w:fill="auto"/>
            <w:vAlign w:val="bottom"/>
            <w:hideMark/>
          </w:tcPr>
          <w:p w14:paraId="7BBBAD60"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$288.00 </w:t>
            </w:r>
          </w:p>
        </w:tc>
        <w:tc>
          <w:tcPr>
            <w:tcW w:w="1253" w:type="dxa"/>
            <w:tcBorders>
              <w:top w:val="nil"/>
              <w:left w:val="nil"/>
              <w:bottom w:val="single" w:sz="4" w:space="0" w:color="auto"/>
              <w:right w:val="single" w:sz="4" w:space="0" w:color="auto"/>
            </w:tcBorders>
            <w:shd w:val="clear" w:color="auto" w:fill="auto"/>
            <w:vAlign w:val="bottom"/>
            <w:hideMark/>
          </w:tcPr>
          <w:p w14:paraId="69F7490A"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$1,788.00 </w:t>
            </w:r>
          </w:p>
        </w:tc>
      </w:tr>
      <w:tr w:rsidR="00797B12" w:rsidRPr="00342AB1" w14:paraId="0AE7B8B1"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4CCF0BA9" w14:textId="54EF204F" w:rsidR="00797B12" w:rsidRPr="00342AB1" w:rsidRDefault="00797B12" w:rsidP="00797B12">
            <w:pPr>
              <w:spacing w:line="240" w:lineRule="auto"/>
              <w:ind w:firstLine="0"/>
              <w:rPr>
                <w:color w:val="000000"/>
                <w:szCs w:val="22"/>
              </w:rPr>
            </w:pPr>
            <w:r>
              <w:rPr>
                <w:color w:val="000000"/>
                <w:szCs w:val="22"/>
              </w:rPr>
              <w:t>Consultant</w:t>
            </w:r>
          </w:p>
        </w:tc>
        <w:tc>
          <w:tcPr>
            <w:tcW w:w="1304" w:type="dxa"/>
            <w:tcBorders>
              <w:top w:val="nil"/>
              <w:left w:val="nil"/>
              <w:bottom w:val="single" w:sz="4" w:space="0" w:color="auto"/>
              <w:right w:val="single" w:sz="4" w:space="0" w:color="auto"/>
            </w:tcBorders>
            <w:shd w:val="clear" w:color="auto" w:fill="auto"/>
            <w:vAlign w:val="bottom"/>
            <w:hideMark/>
          </w:tcPr>
          <w:p w14:paraId="3DFF3B12" w14:textId="77777777" w:rsidR="00797B12" w:rsidRPr="00342AB1" w:rsidRDefault="00797B12" w:rsidP="007141FF">
            <w:pPr>
              <w:spacing w:line="240" w:lineRule="auto"/>
              <w:ind w:firstLine="0"/>
              <w:rPr>
                <w:color w:val="000000"/>
                <w:szCs w:val="22"/>
              </w:rPr>
            </w:pPr>
            <w:r w:rsidRPr="00342AB1">
              <w:rPr>
                <w:color w:val="000000"/>
                <w:szCs w:val="22"/>
              </w:rPr>
              <w:t>Independent Contractor</w:t>
            </w:r>
          </w:p>
        </w:tc>
        <w:tc>
          <w:tcPr>
            <w:tcW w:w="1329" w:type="dxa"/>
            <w:tcBorders>
              <w:top w:val="nil"/>
              <w:left w:val="nil"/>
              <w:bottom w:val="single" w:sz="4" w:space="0" w:color="auto"/>
              <w:right w:val="single" w:sz="4" w:space="0" w:color="auto"/>
            </w:tcBorders>
            <w:shd w:val="clear" w:color="auto" w:fill="auto"/>
            <w:vAlign w:val="bottom"/>
            <w:hideMark/>
          </w:tcPr>
          <w:p w14:paraId="0389F1DE"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$312,000.00 </w:t>
            </w:r>
          </w:p>
        </w:tc>
        <w:tc>
          <w:tcPr>
            <w:tcW w:w="791" w:type="dxa"/>
            <w:tcBorders>
              <w:top w:val="nil"/>
              <w:left w:val="nil"/>
              <w:bottom w:val="single" w:sz="4" w:space="0" w:color="auto"/>
              <w:right w:val="single" w:sz="4" w:space="0" w:color="auto"/>
            </w:tcBorders>
            <w:shd w:val="clear" w:color="auto" w:fill="auto"/>
            <w:vAlign w:val="bottom"/>
            <w:hideMark/>
          </w:tcPr>
          <w:p w14:paraId="5E107A55" w14:textId="77777777" w:rsidR="00797B12" w:rsidRPr="00342AB1" w:rsidRDefault="00797B12" w:rsidP="00342AB1">
            <w:pPr>
              <w:spacing w:line="240" w:lineRule="auto"/>
              <w:ind w:firstLine="0"/>
              <w:jc w:val="center"/>
              <w:rPr>
                <w:color w:val="000000"/>
                <w:szCs w:val="22"/>
              </w:rPr>
            </w:pPr>
            <w:r w:rsidRPr="00342AB1">
              <w:rPr>
                <w:color w:val="000000"/>
                <w:szCs w:val="22"/>
              </w:rPr>
              <w:t>0.5%</w:t>
            </w:r>
          </w:p>
        </w:tc>
        <w:tc>
          <w:tcPr>
            <w:tcW w:w="1109" w:type="dxa"/>
            <w:tcBorders>
              <w:top w:val="nil"/>
              <w:left w:val="nil"/>
              <w:bottom w:val="single" w:sz="4" w:space="0" w:color="auto"/>
              <w:right w:val="single" w:sz="4" w:space="0" w:color="auto"/>
            </w:tcBorders>
            <w:shd w:val="clear" w:color="000000" w:fill="BFBFBF"/>
            <w:vAlign w:val="bottom"/>
            <w:hideMark/>
          </w:tcPr>
          <w:p w14:paraId="393200EC"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single" w:sz="4" w:space="0" w:color="auto"/>
            </w:tcBorders>
            <w:shd w:val="clear" w:color="auto" w:fill="auto"/>
            <w:vAlign w:val="bottom"/>
            <w:hideMark/>
          </w:tcPr>
          <w:p w14:paraId="4E5A22BE"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$322.00 </w:t>
            </w:r>
          </w:p>
        </w:tc>
        <w:tc>
          <w:tcPr>
            <w:tcW w:w="1253" w:type="dxa"/>
            <w:tcBorders>
              <w:top w:val="nil"/>
              <w:left w:val="nil"/>
              <w:bottom w:val="single" w:sz="4" w:space="0" w:color="auto"/>
              <w:right w:val="single" w:sz="4" w:space="0" w:color="auto"/>
            </w:tcBorders>
            <w:shd w:val="clear" w:color="auto" w:fill="auto"/>
            <w:vAlign w:val="bottom"/>
            <w:hideMark/>
          </w:tcPr>
          <w:p w14:paraId="72F3B806"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$1,822.00 </w:t>
            </w:r>
          </w:p>
        </w:tc>
      </w:tr>
      <w:tr w:rsidR="00797B12" w:rsidRPr="00342AB1" w14:paraId="6F0C940C" w14:textId="77777777" w:rsidTr="00797B12">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76A5112D" w14:textId="74B7582E" w:rsidR="00797B12" w:rsidRPr="00342AB1" w:rsidRDefault="00797B12" w:rsidP="00797B12">
            <w:pPr>
              <w:spacing w:line="240" w:lineRule="auto"/>
              <w:ind w:firstLine="0"/>
              <w:rPr>
                <w:color w:val="000000"/>
                <w:szCs w:val="22"/>
              </w:rPr>
            </w:pPr>
            <w:r>
              <w:rPr>
                <w:color w:val="000000"/>
                <w:szCs w:val="22"/>
              </w:rPr>
              <w:t>Consultant</w:t>
            </w:r>
          </w:p>
        </w:tc>
        <w:tc>
          <w:tcPr>
            <w:tcW w:w="1304" w:type="dxa"/>
            <w:tcBorders>
              <w:top w:val="nil"/>
              <w:left w:val="nil"/>
              <w:bottom w:val="single" w:sz="4" w:space="0" w:color="auto"/>
              <w:right w:val="single" w:sz="4" w:space="0" w:color="auto"/>
            </w:tcBorders>
            <w:shd w:val="clear" w:color="auto" w:fill="auto"/>
            <w:vAlign w:val="bottom"/>
            <w:hideMark/>
          </w:tcPr>
          <w:p w14:paraId="3590D200" w14:textId="77777777" w:rsidR="00797B12" w:rsidRPr="00342AB1" w:rsidRDefault="00797B12" w:rsidP="007141FF">
            <w:pPr>
              <w:spacing w:line="240" w:lineRule="auto"/>
              <w:ind w:firstLine="0"/>
              <w:rPr>
                <w:color w:val="000000"/>
                <w:szCs w:val="22"/>
              </w:rPr>
            </w:pPr>
            <w:r w:rsidRPr="00342AB1">
              <w:rPr>
                <w:color w:val="000000"/>
                <w:szCs w:val="22"/>
              </w:rPr>
              <w:t>Independent Contractor</w:t>
            </w:r>
          </w:p>
        </w:tc>
        <w:tc>
          <w:tcPr>
            <w:tcW w:w="1329" w:type="dxa"/>
            <w:tcBorders>
              <w:top w:val="nil"/>
              <w:left w:val="nil"/>
              <w:bottom w:val="single" w:sz="4" w:space="0" w:color="auto"/>
              <w:right w:val="single" w:sz="4" w:space="0" w:color="auto"/>
            </w:tcBorders>
            <w:shd w:val="clear" w:color="auto" w:fill="auto"/>
            <w:vAlign w:val="bottom"/>
            <w:hideMark/>
          </w:tcPr>
          <w:p w14:paraId="0FD51E26"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$187,200.00 </w:t>
            </w:r>
          </w:p>
        </w:tc>
        <w:tc>
          <w:tcPr>
            <w:tcW w:w="791" w:type="dxa"/>
            <w:tcBorders>
              <w:top w:val="nil"/>
              <w:left w:val="nil"/>
              <w:bottom w:val="single" w:sz="4" w:space="0" w:color="auto"/>
              <w:right w:val="single" w:sz="4" w:space="0" w:color="auto"/>
            </w:tcBorders>
            <w:shd w:val="clear" w:color="auto" w:fill="auto"/>
            <w:vAlign w:val="bottom"/>
            <w:hideMark/>
          </w:tcPr>
          <w:p w14:paraId="7DF24A9A" w14:textId="77777777" w:rsidR="00797B12" w:rsidRPr="00342AB1" w:rsidRDefault="00797B12" w:rsidP="00342AB1">
            <w:pPr>
              <w:spacing w:line="240" w:lineRule="auto"/>
              <w:ind w:firstLine="0"/>
              <w:jc w:val="center"/>
              <w:rPr>
                <w:color w:val="000000"/>
                <w:szCs w:val="22"/>
              </w:rPr>
            </w:pPr>
            <w:r w:rsidRPr="00342AB1">
              <w:rPr>
                <w:color w:val="000000"/>
                <w:szCs w:val="22"/>
              </w:rPr>
              <w:t>2.2%</w:t>
            </w:r>
          </w:p>
        </w:tc>
        <w:tc>
          <w:tcPr>
            <w:tcW w:w="1109" w:type="dxa"/>
            <w:tcBorders>
              <w:top w:val="nil"/>
              <w:left w:val="nil"/>
              <w:bottom w:val="single" w:sz="4" w:space="0" w:color="auto"/>
              <w:right w:val="single" w:sz="4" w:space="0" w:color="auto"/>
            </w:tcBorders>
            <w:shd w:val="clear" w:color="000000" w:fill="BFBFBF"/>
            <w:vAlign w:val="bottom"/>
            <w:hideMark/>
          </w:tcPr>
          <w:p w14:paraId="5324FBFE"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single" w:sz="4" w:space="0" w:color="auto"/>
            </w:tcBorders>
            <w:shd w:val="clear" w:color="000000" w:fill="BFBFBF"/>
            <w:vAlign w:val="bottom"/>
            <w:hideMark/>
          </w:tcPr>
          <w:p w14:paraId="4CE41777"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6565020D" w14:textId="77777777" w:rsidR="00797B12" w:rsidRPr="00342AB1" w:rsidRDefault="00797B12" w:rsidP="00342AB1">
            <w:pPr>
              <w:spacing w:line="240" w:lineRule="auto"/>
              <w:ind w:firstLine="0"/>
              <w:jc w:val="center"/>
              <w:rPr>
                <w:color w:val="000000"/>
                <w:szCs w:val="22"/>
              </w:rPr>
            </w:pPr>
            <w:r w:rsidRPr="00342AB1">
              <w:rPr>
                <w:color w:val="000000"/>
                <w:szCs w:val="22"/>
              </w:rPr>
              <w:t xml:space="preserve"> $4,108.00 </w:t>
            </w:r>
          </w:p>
        </w:tc>
      </w:tr>
      <w:tr w:rsidR="00797B12" w:rsidRPr="00342AB1" w14:paraId="25FFF90E" w14:textId="77777777" w:rsidTr="00797B12">
        <w:trPr>
          <w:trHeight w:val="540"/>
        </w:trPr>
        <w:tc>
          <w:tcPr>
            <w:tcW w:w="1268" w:type="dxa"/>
            <w:tcBorders>
              <w:top w:val="nil"/>
              <w:left w:val="single" w:sz="4" w:space="0" w:color="auto"/>
              <w:bottom w:val="single" w:sz="12" w:space="0" w:color="auto"/>
              <w:right w:val="single" w:sz="4" w:space="0" w:color="auto"/>
            </w:tcBorders>
            <w:shd w:val="clear" w:color="auto" w:fill="auto"/>
            <w:vAlign w:val="bottom"/>
            <w:hideMark/>
          </w:tcPr>
          <w:p w14:paraId="50987CB4" w14:textId="77777777" w:rsidR="00797B12" w:rsidRPr="00342AB1" w:rsidRDefault="00797B12" w:rsidP="00342AB1">
            <w:pPr>
              <w:spacing w:line="240" w:lineRule="auto"/>
              <w:ind w:firstLine="0"/>
              <w:jc w:val="center"/>
              <w:rPr>
                <w:color w:val="000000"/>
                <w:szCs w:val="22"/>
              </w:rPr>
            </w:pPr>
            <w:r w:rsidRPr="00342AB1">
              <w:rPr>
                <w:color w:val="000000"/>
                <w:szCs w:val="22"/>
              </w:rPr>
              <w:t>Contractor Cost Total</w:t>
            </w:r>
          </w:p>
        </w:tc>
        <w:tc>
          <w:tcPr>
            <w:tcW w:w="1304" w:type="dxa"/>
            <w:tcBorders>
              <w:top w:val="nil"/>
              <w:left w:val="nil"/>
              <w:bottom w:val="single" w:sz="12" w:space="0" w:color="auto"/>
              <w:right w:val="single" w:sz="4" w:space="0" w:color="auto"/>
            </w:tcBorders>
            <w:shd w:val="clear" w:color="000000" w:fill="BFBFBF"/>
            <w:vAlign w:val="bottom"/>
            <w:hideMark/>
          </w:tcPr>
          <w:p w14:paraId="04F4F869"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329" w:type="dxa"/>
            <w:tcBorders>
              <w:top w:val="nil"/>
              <w:left w:val="nil"/>
              <w:bottom w:val="single" w:sz="12" w:space="0" w:color="auto"/>
              <w:right w:val="single" w:sz="4" w:space="0" w:color="auto"/>
            </w:tcBorders>
            <w:shd w:val="clear" w:color="000000" w:fill="BFBFBF"/>
            <w:vAlign w:val="bottom"/>
            <w:hideMark/>
          </w:tcPr>
          <w:p w14:paraId="44EA80A7"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12" w:space="0" w:color="auto"/>
              <w:right w:val="single" w:sz="4" w:space="0" w:color="auto"/>
            </w:tcBorders>
            <w:shd w:val="clear" w:color="000000" w:fill="BFBFBF"/>
            <w:vAlign w:val="bottom"/>
            <w:hideMark/>
          </w:tcPr>
          <w:p w14:paraId="73565C75"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109" w:type="dxa"/>
            <w:tcBorders>
              <w:top w:val="nil"/>
              <w:left w:val="nil"/>
              <w:bottom w:val="single" w:sz="12" w:space="0" w:color="auto"/>
              <w:right w:val="single" w:sz="4" w:space="0" w:color="auto"/>
            </w:tcBorders>
            <w:shd w:val="clear" w:color="000000" w:fill="BFBFBF"/>
            <w:vAlign w:val="bottom"/>
            <w:hideMark/>
          </w:tcPr>
          <w:p w14:paraId="5325F3E2"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12" w:space="0" w:color="auto"/>
              <w:right w:val="single" w:sz="4" w:space="0" w:color="auto"/>
            </w:tcBorders>
            <w:shd w:val="clear" w:color="000000" w:fill="BFBFBF"/>
            <w:vAlign w:val="bottom"/>
            <w:hideMark/>
          </w:tcPr>
          <w:p w14:paraId="7209F6D8"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253" w:type="dxa"/>
            <w:tcBorders>
              <w:top w:val="nil"/>
              <w:left w:val="nil"/>
              <w:bottom w:val="single" w:sz="12" w:space="0" w:color="auto"/>
              <w:right w:val="single" w:sz="4" w:space="0" w:color="auto"/>
            </w:tcBorders>
            <w:shd w:val="clear" w:color="auto" w:fill="auto"/>
            <w:vAlign w:val="bottom"/>
            <w:hideMark/>
          </w:tcPr>
          <w:p w14:paraId="034FC332" w14:textId="77777777" w:rsidR="00797B12" w:rsidRPr="00342AB1" w:rsidRDefault="00797B12" w:rsidP="00342AB1">
            <w:pPr>
              <w:spacing w:line="240" w:lineRule="auto"/>
              <w:ind w:firstLine="0"/>
              <w:jc w:val="center"/>
              <w:rPr>
                <w:b/>
                <w:bCs/>
                <w:color w:val="000000"/>
                <w:szCs w:val="22"/>
              </w:rPr>
            </w:pPr>
            <w:r w:rsidRPr="00342AB1">
              <w:rPr>
                <w:b/>
                <w:bCs/>
                <w:color w:val="000000"/>
                <w:szCs w:val="22"/>
              </w:rPr>
              <w:t xml:space="preserve"> $7,718.00 </w:t>
            </w:r>
          </w:p>
        </w:tc>
      </w:tr>
      <w:tr w:rsidR="00797B12" w:rsidRPr="00342AB1" w14:paraId="06C64D0A" w14:textId="77777777" w:rsidTr="00797B12">
        <w:trPr>
          <w:trHeight w:val="30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68026826" w14:textId="77777777" w:rsidR="00797B12" w:rsidRPr="00342AB1" w:rsidRDefault="00797B12" w:rsidP="00342AB1">
            <w:pPr>
              <w:spacing w:line="240" w:lineRule="auto"/>
              <w:ind w:firstLine="0"/>
              <w:jc w:val="right"/>
              <w:rPr>
                <w:b/>
                <w:bCs/>
                <w:color w:val="000000"/>
                <w:szCs w:val="22"/>
              </w:rPr>
            </w:pPr>
            <w:r w:rsidRPr="00342AB1">
              <w:rPr>
                <w:b/>
                <w:bCs/>
                <w:color w:val="000000"/>
                <w:szCs w:val="22"/>
              </w:rPr>
              <w:t>TOTAL</w:t>
            </w:r>
          </w:p>
        </w:tc>
        <w:tc>
          <w:tcPr>
            <w:tcW w:w="1304" w:type="dxa"/>
            <w:tcBorders>
              <w:top w:val="nil"/>
              <w:left w:val="nil"/>
              <w:bottom w:val="single" w:sz="4" w:space="0" w:color="auto"/>
              <w:right w:val="single" w:sz="4" w:space="0" w:color="auto"/>
            </w:tcBorders>
            <w:shd w:val="clear" w:color="000000" w:fill="BFBFBF"/>
            <w:vAlign w:val="bottom"/>
            <w:hideMark/>
          </w:tcPr>
          <w:p w14:paraId="3F627763"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329" w:type="dxa"/>
            <w:tcBorders>
              <w:top w:val="nil"/>
              <w:left w:val="nil"/>
              <w:bottom w:val="single" w:sz="4" w:space="0" w:color="auto"/>
              <w:right w:val="single" w:sz="4" w:space="0" w:color="auto"/>
            </w:tcBorders>
            <w:shd w:val="clear" w:color="000000" w:fill="BFBFBF"/>
            <w:vAlign w:val="bottom"/>
            <w:hideMark/>
          </w:tcPr>
          <w:p w14:paraId="3F8AD4ED"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4C175845"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109" w:type="dxa"/>
            <w:tcBorders>
              <w:top w:val="nil"/>
              <w:left w:val="nil"/>
              <w:bottom w:val="single" w:sz="4" w:space="0" w:color="auto"/>
              <w:right w:val="single" w:sz="4" w:space="0" w:color="auto"/>
            </w:tcBorders>
            <w:shd w:val="clear" w:color="000000" w:fill="BFBFBF"/>
            <w:vAlign w:val="bottom"/>
            <w:hideMark/>
          </w:tcPr>
          <w:p w14:paraId="36A2368B"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946" w:type="dxa"/>
            <w:tcBorders>
              <w:top w:val="nil"/>
              <w:left w:val="nil"/>
              <w:bottom w:val="single" w:sz="4" w:space="0" w:color="auto"/>
              <w:right w:val="nil"/>
            </w:tcBorders>
            <w:shd w:val="clear" w:color="000000" w:fill="BFBFBF"/>
            <w:vAlign w:val="bottom"/>
            <w:hideMark/>
          </w:tcPr>
          <w:p w14:paraId="0813466B" w14:textId="77777777" w:rsidR="00797B12" w:rsidRPr="00342AB1" w:rsidRDefault="00797B12" w:rsidP="00342AB1">
            <w:pPr>
              <w:spacing w:line="240" w:lineRule="auto"/>
              <w:ind w:firstLine="0"/>
              <w:jc w:val="center"/>
              <w:rPr>
                <w:color w:val="000000"/>
                <w:szCs w:val="22"/>
              </w:rPr>
            </w:pPr>
            <w:r w:rsidRPr="00342AB1">
              <w:rPr>
                <w:color w:val="000000"/>
                <w:szCs w:val="22"/>
              </w:rPr>
              <w:t> </w:t>
            </w:r>
          </w:p>
        </w:tc>
        <w:tc>
          <w:tcPr>
            <w:tcW w:w="1253" w:type="dxa"/>
            <w:tcBorders>
              <w:top w:val="nil"/>
              <w:left w:val="single" w:sz="12" w:space="0" w:color="auto"/>
              <w:bottom w:val="single" w:sz="12" w:space="0" w:color="auto"/>
              <w:right w:val="single" w:sz="12" w:space="0" w:color="auto"/>
            </w:tcBorders>
            <w:shd w:val="clear" w:color="auto" w:fill="auto"/>
            <w:vAlign w:val="bottom"/>
            <w:hideMark/>
          </w:tcPr>
          <w:p w14:paraId="66813B21" w14:textId="77777777" w:rsidR="00797B12" w:rsidRPr="00342AB1" w:rsidRDefault="00797B12" w:rsidP="00342AB1">
            <w:pPr>
              <w:spacing w:line="240" w:lineRule="auto"/>
              <w:ind w:firstLine="0"/>
              <w:jc w:val="center"/>
              <w:rPr>
                <w:b/>
                <w:bCs/>
                <w:color w:val="000000"/>
                <w:szCs w:val="22"/>
              </w:rPr>
            </w:pPr>
            <w:r w:rsidRPr="00342AB1">
              <w:rPr>
                <w:b/>
                <w:bCs/>
                <w:color w:val="000000"/>
                <w:szCs w:val="22"/>
              </w:rPr>
              <w:t xml:space="preserve"> $76,896.99 </w:t>
            </w:r>
          </w:p>
        </w:tc>
      </w:tr>
    </w:tbl>
    <w:p w14:paraId="24DA31D3" w14:textId="74DE6156" w:rsidR="00507A3E" w:rsidRDefault="00507A3E" w:rsidP="00166ADD">
      <w:pPr>
        <w:rPr>
          <w:b/>
        </w:rPr>
      </w:pPr>
      <w:r>
        <w:rPr>
          <w:b/>
        </w:rPr>
        <w:br w:type="page"/>
      </w:r>
    </w:p>
    <w:tbl>
      <w:tblPr>
        <w:tblW w:w="8000" w:type="dxa"/>
        <w:tblInd w:w="93" w:type="dxa"/>
        <w:tblLook w:val="04A0" w:firstRow="1" w:lastRow="0" w:firstColumn="1" w:lastColumn="0" w:noHBand="0" w:noVBand="1"/>
      </w:tblPr>
      <w:tblGrid>
        <w:gridCol w:w="1720"/>
        <w:gridCol w:w="1316"/>
        <w:gridCol w:w="1316"/>
        <w:gridCol w:w="791"/>
        <w:gridCol w:w="1096"/>
        <w:gridCol w:w="840"/>
        <w:gridCol w:w="1316"/>
      </w:tblGrid>
      <w:tr w:rsidR="00342AB1" w:rsidRPr="00342AB1" w14:paraId="12AC8442" w14:textId="77777777" w:rsidTr="00342AB1">
        <w:trPr>
          <w:trHeight w:val="260"/>
        </w:trPr>
        <w:tc>
          <w:tcPr>
            <w:tcW w:w="8000" w:type="dxa"/>
            <w:gridSpan w:val="7"/>
            <w:tcBorders>
              <w:top w:val="nil"/>
              <w:left w:val="nil"/>
              <w:bottom w:val="nil"/>
              <w:right w:val="nil"/>
            </w:tcBorders>
            <w:shd w:val="clear" w:color="auto" w:fill="auto"/>
            <w:vAlign w:val="bottom"/>
            <w:hideMark/>
          </w:tcPr>
          <w:p w14:paraId="007B3BA9" w14:textId="77777777" w:rsidR="00342AB1" w:rsidRPr="00342AB1" w:rsidRDefault="00342AB1" w:rsidP="00342AB1">
            <w:pPr>
              <w:spacing w:line="240" w:lineRule="auto"/>
              <w:ind w:firstLine="0"/>
              <w:jc w:val="center"/>
              <w:rPr>
                <w:b/>
                <w:bCs/>
                <w:i/>
                <w:iCs/>
                <w:color w:val="000000"/>
                <w:szCs w:val="22"/>
              </w:rPr>
            </w:pPr>
            <w:r w:rsidRPr="00342AB1">
              <w:rPr>
                <w:b/>
                <w:bCs/>
                <w:i/>
                <w:iCs/>
                <w:color w:val="000000"/>
                <w:szCs w:val="22"/>
              </w:rPr>
              <w:lastRenderedPageBreak/>
              <w:t>Annualized Implementation Cost (3 years)</w:t>
            </w:r>
          </w:p>
        </w:tc>
      </w:tr>
      <w:tr w:rsidR="00342AB1" w:rsidRPr="00342AB1" w14:paraId="18F96CD1" w14:textId="77777777" w:rsidTr="003505B6">
        <w:trPr>
          <w:trHeight w:val="520"/>
        </w:trPr>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AA4DA"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Staff</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14:paraId="53733279"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Grade/Step</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14:paraId="05642427"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 xml:space="preserve"> Salary </w:t>
            </w:r>
          </w:p>
        </w:tc>
        <w:tc>
          <w:tcPr>
            <w:tcW w:w="791" w:type="dxa"/>
            <w:tcBorders>
              <w:top w:val="single" w:sz="4" w:space="0" w:color="auto"/>
              <w:left w:val="nil"/>
              <w:bottom w:val="single" w:sz="4" w:space="0" w:color="auto"/>
              <w:right w:val="single" w:sz="4" w:space="0" w:color="auto"/>
            </w:tcBorders>
            <w:shd w:val="clear" w:color="auto" w:fill="auto"/>
            <w:vAlign w:val="bottom"/>
            <w:hideMark/>
          </w:tcPr>
          <w:p w14:paraId="6DCB97A0"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 of Effort</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14:paraId="3684BC74"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Fringe</w:t>
            </w:r>
          </w:p>
        </w:tc>
        <w:tc>
          <w:tcPr>
            <w:tcW w:w="870" w:type="dxa"/>
            <w:tcBorders>
              <w:top w:val="single" w:sz="4" w:space="0" w:color="auto"/>
              <w:left w:val="nil"/>
              <w:bottom w:val="single" w:sz="4" w:space="0" w:color="auto"/>
              <w:right w:val="single" w:sz="4" w:space="0" w:color="auto"/>
            </w:tcBorders>
            <w:shd w:val="clear" w:color="auto" w:fill="auto"/>
            <w:vAlign w:val="bottom"/>
            <w:hideMark/>
          </w:tcPr>
          <w:p w14:paraId="1D3E7433"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Travel</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14:paraId="7FFC9BFE"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Total Cost to Gov't</w:t>
            </w:r>
          </w:p>
        </w:tc>
      </w:tr>
      <w:tr w:rsidR="00342AB1" w:rsidRPr="00342AB1" w14:paraId="3E803516"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33D0460C" w14:textId="77777777" w:rsidR="00342AB1" w:rsidRPr="00342AB1" w:rsidRDefault="00342AB1" w:rsidP="00342AB1">
            <w:pPr>
              <w:spacing w:line="240" w:lineRule="auto"/>
              <w:ind w:firstLine="0"/>
              <w:jc w:val="center"/>
              <w:rPr>
                <w:b/>
                <w:bCs/>
                <w:color w:val="000000"/>
                <w:szCs w:val="22"/>
              </w:rPr>
            </w:pPr>
            <w:r w:rsidRPr="00342AB1">
              <w:rPr>
                <w:b/>
                <w:bCs/>
                <w:color w:val="000000"/>
                <w:szCs w:val="22"/>
              </w:rPr>
              <w:t>Federal Oversight</w:t>
            </w:r>
          </w:p>
        </w:tc>
        <w:tc>
          <w:tcPr>
            <w:tcW w:w="1316" w:type="dxa"/>
            <w:tcBorders>
              <w:top w:val="nil"/>
              <w:left w:val="nil"/>
              <w:bottom w:val="single" w:sz="4" w:space="0" w:color="auto"/>
              <w:right w:val="single" w:sz="4" w:space="0" w:color="auto"/>
            </w:tcBorders>
            <w:shd w:val="clear" w:color="000000" w:fill="BFBFBF"/>
            <w:vAlign w:val="bottom"/>
            <w:hideMark/>
          </w:tcPr>
          <w:p w14:paraId="581C1612"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000000" w:fill="BFBFBF"/>
            <w:vAlign w:val="bottom"/>
            <w:hideMark/>
          </w:tcPr>
          <w:p w14:paraId="488796F7"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14B76730"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4" w:space="0" w:color="auto"/>
              <w:right w:val="single" w:sz="4" w:space="0" w:color="auto"/>
            </w:tcBorders>
            <w:shd w:val="clear" w:color="000000" w:fill="BFBFBF"/>
            <w:vAlign w:val="bottom"/>
            <w:hideMark/>
          </w:tcPr>
          <w:p w14:paraId="5AFE4DAA"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68F6598F"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000000" w:fill="BFBFBF"/>
            <w:vAlign w:val="bottom"/>
            <w:hideMark/>
          </w:tcPr>
          <w:p w14:paraId="4DD6A4E1"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r>
      <w:tr w:rsidR="00342AB1" w:rsidRPr="00342AB1" w14:paraId="7A326069" w14:textId="77777777" w:rsidTr="003505B6">
        <w:trPr>
          <w:trHeight w:val="260"/>
        </w:trPr>
        <w:tc>
          <w:tcPr>
            <w:tcW w:w="1268" w:type="dxa"/>
            <w:tcBorders>
              <w:top w:val="nil"/>
              <w:left w:val="single" w:sz="4" w:space="0" w:color="auto"/>
              <w:bottom w:val="single" w:sz="4" w:space="0" w:color="auto"/>
              <w:right w:val="single" w:sz="4" w:space="0" w:color="auto"/>
            </w:tcBorders>
            <w:shd w:val="clear" w:color="auto" w:fill="auto"/>
            <w:vAlign w:val="bottom"/>
          </w:tcPr>
          <w:p w14:paraId="578175AA" w14:textId="0038EB5B" w:rsidR="00342AB1" w:rsidRPr="00342AB1" w:rsidRDefault="00D063EF" w:rsidP="003505B6">
            <w:pPr>
              <w:spacing w:line="240" w:lineRule="auto"/>
              <w:ind w:firstLine="0"/>
              <w:rPr>
                <w:color w:val="000000"/>
                <w:szCs w:val="22"/>
              </w:rPr>
            </w:pPr>
            <w:r w:rsidRPr="00FE0809">
              <w:rPr>
                <w:bCs/>
                <w:color w:val="000000"/>
                <w:szCs w:val="22"/>
              </w:rPr>
              <w:t xml:space="preserve"> Deputy Division Director for Policy</w:t>
            </w:r>
          </w:p>
        </w:tc>
        <w:tc>
          <w:tcPr>
            <w:tcW w:w="1316" w:type="dxa"/>
            <w:tcBorders>
              <w:top w:val="nil"/>
              <w:left w:val="nil"/>
              <w:bottom w:val="single" w:sz="4" w:space="0" w:color="auto"/>
              <w:right w:val="single" w:sz="4" w:space="0" w:color="auto"/>
            </w:tcBorders>
            <w:shd w:val="clear" w:color="auto" w:fill="auto"/>
            <w:vAlign w:val="bottom"/>
            <w:hideMark/>
          </w:tcPr>
          <w:p w14:paraId="1C8BF172" w14:textId="77777777" w:rsidR="00342AB1" w:rsidRPr="00342AB1" w:rsidRDefault="00342AB1" w:rsidP="00621F39">
            <w:pPr>
              <w:spacing w:line="240" w:lineRule="auto"/>
              <w:ind w:firstLine="0"/>
              <w:rPr>
                <w:color w:val="000000"/>
                <w:szCs w:val="22"/>
              </w:rPr>
            </w:pPr>
            <w:r w:rsidRPr="00342AB1">
              <w:rPr>
                <w:color w:val="000000"/>
                <w:szCs w:val="22"/>
              </w:rPr>
              <w:t>GS 15/10</w:t>
            </w:r>
          </w:p>
        </w:tc>
        <w:tc>
          <w:tcPr>
            <w:tcW w:w="1325" w:type="dxa"/>
            <w:tcBorders>
              <w:top w:val="nil"/>
              <w:left w:val="nil"/>
              <w:bottom w:val="single" w:sz="4" w:space="0" w:color="auto"/>
              <w:right w:val="single" w:sz="4" w:space="0" w:color="auto"/>
            </w:tcBorders>
            <w:shd w:val="clear" w:color="auto" w:fill="auto"/>
            <w:vAlign w:val="bottom"/>
            <w:hideMark/>
          </w:tcPr>
          <w:p w14:paraId="3FBA7177"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$155,428.00 </w:t>
            </w:r>
          </w:p>
        </w:tc>
        <w:tc>
          <w:tcPr>
            <w:tcW w:w="791" w:type="dxa"/>
            <w:tcBorders>
              <w:top w:val="nil"/>
              <w:left w:val="nil"/>
              <w:bottom w:val="single" w:sz="4" w:space="0" w:color="auto"/>
              <w:right w:val="single" w:sz="4" w:space="0" w:color="auto"/>
            </w:tcBorders>
            <w:shd w:val="clear" w:color="auto" w:fill="auto"/>
            <w:vAlign w:val="bottom"/>
            <w:hideMark/>
          </w:tcPr>
          <w:p w14:paraId="6E9FADE8" w14:textId="77777777" w:rsidR="00342AB1" w:rsidRPr="00342AB1" w:rsidRDefault="00342AB1" w:rsidP="00342AB1">
            <w:pPr>
              <w:spacing w:line="240" w:lineRule="auto"/>
              <w:ind w:firstLine="0"/>
              <w:jc w:val="center"/>
              <w:rPr>
                <w:color w:val="000000"/>
                <w:szCs w:val="22"/>
              </w:rPr>
            </w:pPr>
            <w:r w:rsidRPr="00342AB1">
              <w:rPr>
                <w:color w:val="000000"/>
                <w:szCs w:val="22"/>
              </w:rPr>
              <w:t>13.5%</w:t>
            </w:r>
          </w:p>
        </w:tc>
        <w:tc>
          <w:tcPr>
            <w:tcW w:w="1105" w:type="dxa"/>
            <w:tcBorders>
              <w:top w:val="nil"/>
              <w:left w:val="nil"/>
              <w:bottom w:val="single" w:sz="4" w:space="0" w:color="auto"/>
              <w:right w:val="single" w:sz="4" w:space="0" w:color="auto"/>
            </w:tcBorders>
            <w:shd w:val="clear" w:color="auto" w:fill="auto"/>
            <w:vAlign w:val="bottom"/>
            <w:hideMark/>
          </w:tcPr>
          <w:p w14:paraId="7EDF88A6"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$7,741.51 </w:t>
            </w:r>
          </w:p>
        </w:tc>
        <w:tc>
          <w:tcPr>
            <w:tcW w:w="870" w:type="dxa"/>
            <w:tcBorders>
              <w:top w:val="nil"/>
              <w:left w:val="nil"/>
              <w:bottom w:val="single" w:sz="4" w:space="0" w:color="auto"/>
              <w:right w:val="single" w:sz="4" w:space="0" w:color="auto"/>
            </w:tcBorders>
            <w:shd w:val="clear" w:color="000000" w:fill="BFBFBF"/>
            <w:vAlign w:val="bottom"/>
            <w:hideMark/>
          </w:tcPr>
          <w:p w14:paraId="608A53BF"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35BBA193"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$28,664.51 </w:t>
            </w:r>
          </w:p>
        </w:tc>
      </w:tr>
      <w:tr w:rsidR="00342AB1" w:rsidRPr="00342AB1" w14:paraId="196F1BDB"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79A99E71" w14:textId="48C016C1" w:rsidR="00342AB1" w:rsidRPr="00342AB1" w:rsidRDefault="00D063EF" w:rsidP="003505B6">
            <w:pPr>
              <w:spacing w:line="240" w:lineRule="auto"/>
              <w:ind w:firstLine="0"/>
              <w:rPr>
                <w:color w:val="000000"/>
                <w:szCs w:val="22"/>
              </w:rPr>
            </w:pPr>
            <w:r w:rsidRPr="00FE0809">
              <w:rPr>
                <w:bCs/>
                <w:color w:val="000000"/>
                <w:szCs w:val="22"/>
              </w:rPr>
              <w:t>Deputy Division Director for Analysis </w:t>
            </w:r>
          </w:p>
        </w:tc>
        <w:tc>
          <w:tcPr>
            <w:tcW w:w="1316" w:type="dxa"/>
            <w:tcBorders>
              <w:top w:val="nil"/>
              <w:left w:val="nil"/>
              <w:bottom w:val="single" w:sz="4" w:space="0" w:color="auto"/>
              <w:right w:val="single" w:sz="4" w:space="0" w:color="auto"/>
            </w:tcBorders>
            <w:shd w:val="clear" w:color="auto" w:fill="auto"/>
            <w:vAlign w:val="bottom"/>
            <w:hideMark/>
          </w:tcPr>
          <w:p w14:paraId="7B305074" w14:textId="77777777" w:rsidR="00342AB1" w:rsidRPr="00342AB1" w:rsidRDefault="00342AB1" w:rsidP="00621F39">
            <w:pPr>
              <w:spacing w:line="240" w:lineRule="auto"/>
              <w:ind w:firstLine="0"/>
              <w:rPr>
                <w:color w:val="000000"/>
                <w:szCs w:val="22"/>
              </w:rPr>
            </w:pPr>
            <w:r w:rsidRPr="00342AB1">
              <w:rPr>
                <w:color w:val="000000"/>
                <w:szCs w:val="22"/>
              </w:rPr>
              <w:t>T42</w:t>
            </w:r>
          </w:p>
        </w:tc>
        <w:tc>
          <w:tcPr>
            <w:tcW w:w="1325" w:type="dxa"/>
            <w:tcBorders>
              <w:top w:val="nil"/>
              <w:left w:val="nil"/>
              <w:bottom w:val="single" w:sz="4" w:space="0" w:color="auto"/>
              <w:right w:val="single" w:sz="4" w:space="0" w:color="auto"/>
            </w:tcBorders>
            <w:shd w:val="clear" w:color="auto" w:fill="auto"/>
            <w:vAlign w:val="bottom"/>
            <w:hideMark/>
          </w:tcPr>
          <w:p w14:paraId="078B78A4"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$185,120.00 </w:t>
            </w:r>
          </w:p>
        </w:tc>
        <w:tc>
          <w:tcPr>
            <w:tcW w:w="791" w:type="dxa"/>
            <w:tcBorders>
              <w:top w:val="nil"/>
              <w:left w:val="nil"/>
              <w:bottom w:val="single" w:sz="4" w:space="0" w:color="auto"/>
              <w:right w:val="single" w:sz="4" w:space="0" w:color="auto"/>
            </w:tcBorders>
            <w:shd w:val="clear" w:color="auto" w:fill="auto"/>
            <w:vAlign w:val="bottom"/>
            <w:hideMark/>
          </w:tcPr>
          <w:p w14:paraId="0C9FE0DB" w14:textId="77777777" w:rsidR="00342AB1" w:rsidRPr="00342AB1" w:rsidRDefault="00342AB1" w:rsidP="00342AB1">
            <w:pPr>
              <w:spacing w:line="240" w:lineRule="auto"/>
              <w:ind w:firstLine="0"/>
              <w:jc w:val="center"/>
              <w:rPr>
                <w:color w:val="000000"/>
                <w:szCs w:val="22"/>
              </w:rPr>
            </w:pPr>
            <w:r w:rsidRPr="00342AB1">
              <w:rPr>
                <w:color w:val="000000"/>
                <w:szCs w:val="22"/>
              </w:rPr>
              <w:t>13.5%</w:t>
            </w:r>
          </w:p>
        </w:tc>
        <w:tc>
          <w:tcPr>
            <w:tcW w:w="1105" w:type="dxa"/>
            <w:tcBorders>
              <w:top w:val="nil"/>
              <w:left w:val="nil"/>
              <w:bottom w:val="single" w:sz="4" w:space="0" w:color="auto"/>
              <w:right w:val="single" w:sz="4" w:space="0" w:color="auto"/>
            </w:tcBorders>
            <w:shd w:val="clear" w:color="auto" w:fill="auto"/>
            <w:vAlign w:val="bottom"/>
            <w:hideMark/>
          </w:tcPr>
          <w:p w14:paraId="6C81EAA7"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$9,220.40 </w:t>
            </w:r>
          </w:p>
        </w:tc>
        <w:tc>
          <w:tcPr>
            <w:tcW w:w="870" w:type="dxa"/>
            <w:tcBorders>
              <w:top w:val="nil"/>
              <w:left w:val="nil"/>
              <w:bottom w:val="single" w:sz="4" w:space="0" w:color="auto"/>
              <w:right w:val="single" w:sz="4" w:space="0" w:color="auto"/>
            </w:tcBorders>
            <w:shd w:val="clear" w:color="000000" w:fill="BFBFBF"/>
            <w:vAlign w:val="bottom"/>
            <w:hideMark/>
          </w:tcPr>
          <w:p w14:paraId="4F13F23E" w14:textId="77777777" w:rsidR="00342AB1" w:rsidRPr="00342AB1" w:rsidRDefault="00342AB1"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4B410BD1"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$34,140.40 </w:t>
            </w:r>
          </w:p>
        </w:tc>
      </w:tr>
      <w:tr w:rsidR="00342AB1" w:rsidRPr="00342AB1" w14:paraId="62F767EC" w14:textId="77777777" w:rsidTr="003505B6">
        <w:trPr>
          <w:trHeight w:val="260"/>
        </w:trPr>
        <w:tc>
          <w:tcPr>
            <w:tcW w:w="1268" w:type="dxa"/>
            <w:tcBorders>
              <w:top w:val="nil"/>
              <w:left w:val="single" w:sz="4" w:space="0" w:color="auto"/>
              <w:bottom w:val="single" w:sz="4" w:space="0" w:color="auto"/>
              <w:right w:val="single" w:sz="4" w:space="0" w:color="auto"/>
            </w:tcBorders>
            <w:shd w:val="clear" w:color="auto" w:fill="auto"/>
            <w:vAlign w:val="bottom"/>
          </w:tcPr>
          <w:p w14:paraId="568C6C9C" w14:textId="2D13D261" w:rsidR="00342AB1" w:rsidRPr="00342AB1" w:rsidRDefault="003505B6" w:rsidP="003505B6">
            <w:pPr>
              <w:spacing w:line="240" w:lineRule="auto"/>
              <w:ind w:firstLine="0"/>
              <w:rPr>
                <w:color w:val="000000"/>
                <w:szCs w:val="22"/>
              </w:rPr>
            </w:pPr>
            <w:r>
              <w:rPr>
                <w:color w:val="000000"/>
                <w:szCs w:val="22"/>
              </w:rPr>
              <w:t>Health Scientist</w:t>
            </w:r>
          </w:p>
        </w:tc>
        <w:tc>
          <w:tcPr>
            <w:tcW w:w="1316" w:type="dxa"/>
            <w:tcBorders>
              <w:top w:val="nil"/>
              <w:left w:val="nil"/>
              <w:bottom w:val="single" w:sz="4" w:space="0" w:color="auto"/>
              <w:right w:val="single" w:sz="4" w:space="0" w:color="auto"/>
            </w:tcBorders>
            <w:shd w:val="clear" w:color="auto" w:fill="auto"/>
            <w:vAlign w:val="bottom"/>
            <w:hideMark/>
          </w:tcPr>
          <w:p w14:paraId="642F8485" w14:textId="77777777" w:rsidR="00342AB1" w:rsidRPr="00342AB1" w:rsidRDefault="00342AB1" w:rsidP="00621F39">
            <w:pPr>
              <w:spacing w:line="240" w:lineRule="auto"/>
              <w:ind w:firstLine="0"/>
              <w:rPr>
                <w:color w:val="000000"/>
                <w:szCs w:val="22"/>
              </w:rPr>
            </w:pPr>
            <w:r w:rsidRPr="00342AB1">
              <w:rPr>
                <w:color w:val="000000"/>
                <w:szCs w:val="22"/>
              </w:rPr>
              <w:t>GS 12/3</w:t>
            </w:r>
          </w:p>
        </w:tc>
        <w:tc>
          <w:tcPr>
            <w:tcW w:w="1325" w:type="dxa"/>
            <w:tcBorders>
              <w:top w:val="nil"/>
              <w:left w:val="nil"/>
              <w:bottom w:val="single" w:sz="4" w:space="0" w:color="auto"/>
              <w:right w:val="single" w:sz="4" w:space="0" w:color="auto"/>
            </w:tcBorders>
            <w:shd w:val="clear" w:color="auto" w:fill="auto"/>
            <w:vAlign w:val="bottom"/>
            <w:hideMark/>
          </w:tcPr>
          <w:p w14:paraId="0DFBD915"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$76,897.60 </w:t>
            </w:r>
          </w:p>
        </w:tc>
        <w:tc>
          <w:tcPr>
            <w:tcW w:w="791" w:type="dxa"/>
            <w:tcBorders>
              <w:top w:val="nil"/>
              <w:left w:val="nil"/>
              <w:bottom w:val="single" w:sz="4" w:space="0" w:color="auto"/>
              <w:right w:val="single" w:sz="4" w:space="0" w:color="auto"/>
            </w:tcBorders>
            <w:shd w:val="clear" w:color="auto" w:fill="auto"/>
            <w:vAlign w:val="bottom"/>
            <w:hideMark/>
          </w:tcPr>
          <w:p w14:paraId="11C3AA49" w14:textId="77777777" w:rsidR="00342AB1" w:rsidRPr="00342AB1" w:rsidRDefault="00342AB1" w:rsidP="00342AB1">
            <w:pPr>
              <w:spacing w:line="240" w:lineRule="auto"/>
              <w:ind w:firstLine="0"/>
              <w:jc w:val="center"/>
              <w:rPr>
                <w:color w:val="000000"/>
                <w:szCs w:val="22"/>
              </w:rPr>
            </w:pPr>
            <w:r w:rsidRPr="00342AB1">
              <w:rPr>
                <w:color w:val="000000"/>
                <w:szCs w:val="22"/>
              </w:rPr>
              <w:t>15.4%</w:t>
            </w:r>
          </w:p>
        </w:tc>
        <w:tc>
          <w:tcPr>
            <w:tcW w:w="1105" w:type="dxa"/>
            <w:tcBorders>
              <w:top w:val="nil"/>
              <w:left w:val="nil"/>
              <w:bottom w:val="single" w:sz="4" w:space="0" w:color="auto"/>
              <w:right w:val="single" w:sz="4" w:space="0" w:color="auto"/>
            </w:tcBorders>
            <w:shd w:val="clear" w:color="auto" w:fill="auto"/>
            <w:vAlign w:val="bottom"/>
            <w:hideMark/>
          </w:tcPr>
          <w:p w14:paraId="1A687A14" w14:textId="77777777" w:rsidR="00342AB1" w:rsidRPr="00342AB1" w:rsidRDefault="00342AB1" w:rsidP="00342AB1">
            <w:pPr>
              <w:spacing w:line="240" w:lineRule="auto"/>
              <w:ind w:firstLine="0"/>
              <w:jc w:val="center"/>
              <w:rPr>
                <w:szCs w:val="22"/>
              </w:rPr>
            </w:pPr>
            <w:r w:rsidRPr="00342AB1">
              <w:rPr>
                <w:szCs w:val="22"/>
              </w:rPr>
              <w:t xml:space="preserve"> $4,377.25 </w:t>
            </w:r>
          </w:p>
        </w:tc>
        <w:tc>
          <w:tcPr>
            <w:tcW w:w="870" w:type="dxa"/>
            <w:tcBorders>
              <w:top w:val="nil"/>
              <w:left w:val="nil"/>
              <w:bottom w:val="single" w:sz="4" w:space="0" w:color="auto"/>
              <w:right w:val="single" w:sz="4" w:space="0" w:color="auto"/>
            </w:tcBorders>
            <w:shd w:val="clear" w:color="000000" w:fill="BFBFBF"/>
            <w:vAlign w:val="bottom"/>
            <w:hideMark/>
          </w:tcPr>
          <w:p w14:paraId="352016A6" w14:textId="77777777" w:rsidR="00342AB1" w:rsidRPr="00342AB1" w:rsidRDefault="00342AB1" w:rsidP="00342AB1">
            <w:pPr>
              <w:spacing w:line="240" w:lineRule="auto"/>
              <w:ind w:firstLine="0"/>
              <w:jc w:val="center"/>
              <w:rPr>
                <w:szCs w:val="22"/>
              </w:rPr>
            </w:pPr>
            <w:r w:rsidRPr="00342AB1">
              <w:rPr>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2B11BFCA" w14:textId="77777777" w:rsidR="00342AB1" w:rsidRPr="00342AB1" w:rsidRDefault="00342AB1" w:rsidP="00342AB1">
            <w:pPr>
              <w:spacing w:line="240" w:lineRule="auto"/>
              <w:ind w:firstLine="0"/>
              <w:jc w:val="center"/>
              <w:rPr>
                <w:color w:val="000000"/>
                <w:szCs w:val="22"/>
              </w:rPr>
            </w:pPr>
            <w:r w:rsidRPr="00342AB1">
              <w:rPr>
                <w:color w:val="000000"/>
                <w:szCs w:val="22"/>
              </w:rPr>
              <w:t xml:space="preserve"> $16,207.65 </w:t>
            </w:r>
          </w:p>
        </w:tc>
      </w:tr>
      <w:tr w:rsidR="003505B6" w:rsidRPr="00342AB1" w14:paraId="470B6EFA"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485AA3C6" w14:textId="631BB7FC" w:rsidR="003505B6" w:rsidRPr="00342AB1" w:rsidRDefault="003505B6" w:rsidP="003505B6">
            <w:pPr>
              <w:spacing w:line="240" w:lineRule="auto"/>
              <w:ind w:firstLine="0"/>
              <w:rPr>
                <w:color w:val="000000"/>
                <w:szCs w:val="22"/>
              </w:rPr>
            </w:pPr>
            <w:r>
              <w:rPr>
                <w:color w:val="000000"/>
                <w:szCs w:val="22"/>
              </w:rPr>
              <w:t>Data Scientist</w:t>
            </w:r>
          </w:p>
        </w:tc>
        <w:tc>
          <w:tcPr>
            <w:tcW w:w="1316" w:type="dxa"/>
            <w:tcBorders>
              <w:top w:val="nil"/>
              <w:left w:val="nil"/>
              <w:bottom w:val="single" w:sz="4" w:space="0" w:color="auto"/>
              <w:right w:val="single" w:sz="4" w:space="0" w:color="auto"/>
            </w:tcBorders>
            <w:shd w:val="clear" w:color="auto" w:fill="auto"/>
            <w:vAlign w:val="bottom"/>
            <w:hideMark/>
          </w:tcPr>
          <w:p w14:paraId="5849B101" w14:textId="77777777" w:rsidR="003505B6" w:rsidRPr="00342AB1" w:rsidRDefault="003505B6" w:rsidP="00621F39">
            <w:pPr>
              <w:spacing w:line="240" w:lineRule="auto"/>
              <w:ind w:firstLine="0"/>
              <w:rPr>
                <w:color w:val="000000"/>
                <w:szCs w:val="22"/>
              </w:rPr>
            </w:pPr>
            <w:r w:rsidRPr="00342AB1">
              <w:rPr>
                <w:color w:val="000000"/>
                <w:szCs w:val="22"/>
              </w:rPr>
              <w:t>GS 11/10</w:t>
            </w:r>
          </w:p>
        </w:tc>
        <w:tc>
          <w:tcPr>
            <w:tcW w:w="1325" w:type="dxa"/>
            <w:tcBorders>
              <w:top w:val="nil"/>
              <w:left w:val="nil"/>
              <w:bottom w:val="single" w:sz="4" w:space="0" w:color="auto"/>
              <w:right w:val="single" w:sz="4" w:space="0" w:color="auto"/>
            </w:tcBorders>
            <w:shd w:val="clear" w:color="auto" w:fill="auto"/>
            <w:vAlign w:val="bottom"/>
            <w:hideMark/>
          </w:tcPr>
          <w:p w14:paraId="1E18578B"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$78,187.00 </w:t>
            </w:r>
          </w:p>
        </w:tc>
        <w:tc>
          <w:tcPr>
            <w:tcW w:w="791" w:type="dxa"/>
            <w:tcBorders>
              <w:top w:val="nil"/>
              <w:left w:val="nil"/>
              <w:bottom w:val="single" w:sz="4" w:space="0" w:color="auto"/>
              <w:right w:val="single" w:sz="4" w:space="0" w:color="auto"/>
            </w:tcBorders>
            <w:shd w:val="clear" w:color="auto" w:fill="auto"/>
            <w:vAlign w:val="bottom"/>
            <w:hideMark/>
          </w:tcPr>
          <w:p w14:paraId="26E343B8" w14:textId="77777777" w:rsidR="003505B6" w:rsidRPr="00342AB1" w:rsidRDefault="003505B6" w:rsidP="00342AB1">
            <w:pPr>
              <w:spacing w:line="240" w:lineRule="auto"/>
              <w:ind w:firstLine="0"/>
              <w:jc w:val="center"/>
              <w:rPr>
                <w:color w:val="000000"/>
                <w:szCs w:val="22"/>
              </w:rPr>
            </w:pPr>
            <w:r w:rsidRPr="00342AB1">
              <w:rPr>
                <w:color w:val="000000"/>
                <w:szCs w:val="22"/>
              </w:rPr>
              <w:t>5.8%</w:t>
            </w:r>
          </w:p>
        </w:tc>
        <w:tc>
          <w:tcPr>
            <w:tcW w:w="1105" w:type="dxa"/>
            <w:tcBorders>
              <w:top w:val="nil"/>
              <w:left w:val="nil"/>
              <w:bottom w:val="single" w:sz="4" w:space="0" w:color="auto"/>
              <w:right w:val="single" w:sz="4" w:space="0" w:color="auto"/>
            </w:tcBorders>
            <w:shd w:val="clear" w:color="auto" w:fill="auto"/>
            <w:vAlign w:val="bottom"/>
            <w:hideMark/>
          </w:tcPr>
          <w:p w14:paraId="77A9A39C"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$1,668.99 </w:t>
            </w:r>
          </w:p>
        </w:tc>
        <w:tc>
          <w:tcPr>
            <w:tcW w:w="870" w:type="dxa"/>
            <w:tcBorders>
              <w:top w:val="nil"/>
              <w:left w:val="nil"/>
              <w:bottom w:val="single" w:sz="4" w:space="0" w:color="auto"/>
              <w:right w:val="single" w:sz="4" w:space="0" w:color="auto"/>
            </w:tcBorders>
            <w:shd w:val="clear" w:color="000000" w:fill="BFBFBF"/>
            <w:vAlign w:val="bottom"/>
            <w:hideMark/>
          </w:tcPr>
          <w:p w14:paraId="41F69999"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2C6F5B39"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$6,179.78 </w:t>
            </w:r>
          </w:p>
        </w:tc>
      </w:tr>
      <w:tr w:rsidR="003505B6" w:rsidRPr="00342AB1" w14:paraId="058C37B3"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1CAD3B6C" w14:textId="396E1AA2" w:rsidR="003505B6" w:rsidRPr="00342AB1" w:rsidRDefault="003505B6" w:rsidP="003505B6">
            <w:pPr>
              <w:spacing w:line="240" w:lineRule="auto"/>
              <w:ind w:firstLine="0"/>
              <w:rPr>
                <w:color w:val="000000"/>
                <w:szCs w:val="22"/>
              </w:rPr>
            </w:pPr>
            <w:r>
              <w:rPr>
                <w:color w:val="000000"/>
                <w:szCs w:val="22"/>
              </w:rPr>
              <w:t>Staff Scientist</w:t>
            </w:r>
          </w:p>
        </w:tc>
        <w:tc>
          <w:tcPr>
            <w:tcW w:w="1316" w:type="dxa"/>
            <w:tcBorders>
              <w:top w:val="nil"/>
              <w:left w:val="nil"/>
              <w:bottom w:val="single" w:sz="4" w:space="0" w:color="auto"/>
              <w:right w:val="single" w:sz="4" w:space="0" w:color="auto"/>
            </w:tcBorders>
            <w:shd w:val="clear" w:color="auto" w:fill="auto"/>
            <w:vAlign w:val="bottom"/>
            <w:hideMark/>
          </w:tcPr>
          <w:p w14:paraId="3CCD6677" w14:textId="77777777" w:rsidR="003505B6" w:rsidRPr="00342AB1" w:rsidRDefault="003505B6" w:rsidP="00621F39">
            <w:pPr>
              <w:spacing w:line="240" w:lineRule="auto"/>
              <w:ind w:firstLine="0"/>
              <w:rPr>
                <w:color w:val="000000"/>
                <w:szCs w:val="22"/>
              </w:rPr>
            </w:pPr>
            <w:r w:rsidRPr="00342AB1">
              <w:rPr>
                <w:color w:val="000000"/>
                <w:szCs w:val="22"/>
              </w:rPr>
              <w:t>T42</w:t>
            </w:r>
          </w:p>
        </w:tc>
        <w:tc>
          <w:tcPr>
            <w:tcW w:w="1325" w:type="dxa"/>
            <w:tcBorders>
              <w:top w:val="nil"/>
              <w:left w:val="nil"/>
              <w:bottom w:val="single" w:sz="4" w:space="0" w:color="auto"/>
              <w:right w:val="single" w:sz="4" w:space="0" w:color="auto"/>
            </w:tcBorders>
            <w:shd w:val="clear" w:color="auto" w:fill="auto"/>
            <w:vAlign w:val="bottom"/>
            <w:hideMark/>
          </w:tcPr>
          <w:p w14:paraId="2EE0C0F8"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$151,840.00 </w:t>
            </w:r>
          </w:p>
        </w:tc>
        <w:tc>
          <w:tcPr>
            <w:tcW w:w="791" w:type="dxa"/>
            <w:tcBorders>
              <w:top w:val="nil"/>
              <w:left w:val="nil"/>
              <w:bottom w:val="single" w:sz="4" w:space="0" w:color="auto"/>
              <w:right w:val="single" w:sz="4" w:space="0" w:color="auto"/>
            </w:tcBorders>
            <w:shd w:val="clear" w:color="auto" w:fill="auto"/>
            <w:vAlign w:val="bottom"/>
            <w:hideMark/>
          </w:tcPr>
          <w:p w14:paraId="7F57A67B" w14:textId="77777777" w:rsidR="003505B6" w:rsidRPr="00342AB1" w:rsidRDefault="003505B6" w:rsidP="00342AB1">
            <w:pPr>
              <w:spacing w:line="240" w:lineRule="auto"/>
              <w:ind w:firstLine="0"/>
              <w:jc w:val="center"/>
              <w:rPr>
                <w:color w:val="000000"/>
                <w:szCs w:val="22"/>
              </w:rPr>
            </w:pPr>
            <w:r w:rsidRPr="00342AB1">
              <w:rPr>
                <w:color w:val="000000"/>
                <w:szCs w:val="22"/>
              </w:rPr>
              <w:t>3.8%</w:t>
            </w:r>
          </w:p>
        </w:tc>
        <w:tc>
          <w:tcPr>
            <w:tcW w:w="1105" w:type="dxa"/>
            <w:tcBorders>
              <w:top w:val="nil"/>
              <w:left w:val="nil"/>
              <w:bottom w:val="single" w:sz="4" w:space="0" w:color="auto"/>
              <w:right w:val="single" w:sz="4" w:space="0" w:color="auto"/>
            </w:tcBorders>
            <w:shd w:val="clear" w:color="auto" w:fill="auto"/>
            <w:vAlign w:val="bottom"/>
            <w:hideMark/>
          </w:tcPr>
          <w:p w14:paraId="609ACC52"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$2,160.80 </w:t>
            </w:r>
          </w:p>
        </w:tc>
        <w:tc>
          <w:tcPr>
            <w:tcW w:w="870" w:type="dxa"/>
            <w:tcBorders>
              <w:top w:val="nil"/>
              <w:left w:val="nil"/>
              <w:bottom w:val="single" w:sz="4" w:space="0" w:color="auto"/>
              <w:right w:val="single" w:sz="4" w:space="0" w:color="auto"/>
            </w:tcBorders>
            <w:shd w:val="clear" w:color="000000" w:fill="BFBFBF"/>
            <w:vAlign w:val="bottom"/>
            <w:hideMark/>
          </w:tcPr>
          <w:p w14:paraId="2D9D4792"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05CF8775"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$8,000.80 </w:t>
            </w:r>
          </w:p>
        </w:tc>
      </w:tr>
      <w:tr w:rsidR="003505B6" w:rsidRPr="00342AB1" w14:paraId="37C9546E" w14:textId="77777777" w:rsidTr="003505B6">
        <w:trPr>
          <w:trHeight w:val="800"/>
        </w:trPr>
        <w:tc>
          <w:tcPr>
            <w:tcW w:w="1268" w:type="dxa"/>
            <w:tcBorders>
              <w:top w:val="nil"/>
              <w:left w:val="single" w:sz="4" w:space="0" w:color="auto"/>
              <w:bottom w:val="single" w:sz="8" w:space="0" w:color="auto"/>
              <w:right w:val="single" w:sz="4" w:space="0" w:color="auto"/>
            </w:tcBorders>
            <w:shd w:val="clear" w:color="auto" w:fill="auto"/>
            <w:vAlign w:val="bottom"/>
            <w:hideMark/>
          </w:tcPr>
          <w:p w14:paraId="6F41773C" w14:textId="77777777" w:rsidR="003505B6" w:rsidRPr="00342AB1" w:rsidRDefault="003505B6" w:rsidP="00342AB1">
            <w:pPr>
              <w:spacing w:line="240" w:lineRule="auto"/>
              <w:ind w:firstLine="0"/>
              <w:jc w:val="center"/>
              <w:rPr>
                <w:color w:val="000000"/>
                <w:szCs w:val="22"/>
              </w:rPr>
            </w:pPr>
            <w:r w:rsidRPr="00342AB1">
              <w:rPr>
                <w:color w:val="000000"/>
                <w:szCs w:val="22"/>
              </w:rPr>
              <w:t>Federal Oversight Total</w:t>
            </w:r>
          </w:p>
        </w:tc>
        <w:tc>
          <w:tcPr>
            <w:tcW w:w="1316" w:type="dxa"/>
            <w:tcBorders>
              <w:top w:val="nil"/>
              <w:left w:val="nil"/>
              <w:bottom w:val="single" w:sz="8" w:space="0" w:color="auto"/>
              <w:right w:val="single" w:sz="4" w:space="0" w:color="auto"/>
            </w:tcBorders>
            <w:shd w:val="clear" w:color="000000" w:fill="BFBFBF"/>
            <w:vAlign w:val="bottom"/>
            <w:hideMark/>
          </w:tcPr>
          <w:p w14:paraId="3D883541"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8" w:space="0" w:color="auto"/>
              <w:right w:val="single" w:sz="4" w:space="0" w:color="auto"/>
            </w:tcBorders>
            <w:shd w:val="clear" w:color="000000" w:fill="BFBFBF"/>
            <w:vAlign w:val="bottom"/>
            <w:hideMark/>
          </w:tcPr>
          <w:p w14:paraId="2D6FCD37"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8" w:space="0" w:color="auto"/>
              <w:right w:val="single" w:sz="4" w:space="0" w:color="auto"/>
            </w:tcBorders>
            <w:shd w:val="clear" w:color="000000" w:fill="BFBFBF"/>
            <w:vAlign w:val="bottom"/>
            <w:hideMark/>
          </w:tcPr>
          <w:p w14:paraId="35207F36"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8" w:space="0" w:color="auto"/>
              <w:right w:val="single" w:sz="4" w:space="0" w:color="auto"/>
            </w:tcBorders>
            <w:shd w:val="clear" w:color="000000" w:fill="BFBFBF"/>
            <w:vAlign w:val="bottom"/>
            <w:hideMark/>
          </w:tcPr>
          <w:p w14:paraId="3ABD185A"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8" w:space="0" w:color="auto"/>
              <w:right w:val="single" w:sz="4" w:space="0" w:color="auto"/>
            </w:tcBorders>
            <w:shd w:val="clear" w:color="000000" w:fill="BFBFBF"/>
            <w:vAlign w:val="bottom"/>
            <w:hideMark/>
          </w:tcPr>
          <w:p w14:paraId="035C1774"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8" w:space="0" w:color="auto"/>
              <w:right w:val="single" w:sz="4" w:space="0" w:color="auto"/>
            </w:tcBorders>
            <w:shd w:val="clear" w:color="auto" w:fill="auto"/>
            <w:vAlign w:val="bottom"/>
            <w:hideMark/>
          </w:tcPr>
          <w:p w14:paraId="7EFC800C" w14:textId="77777777" w:rsidR="003505B6" w:rsidRPr="00342AB1" w:rsidRDefault="003505B6" w:rsidP="00342AB1">
            <w:pPr>
              <w:spacing w:line="240" w:lineRule="auto"/>
              <w:ind w:firstLine="0"/>
              <w:jc w:val="center"/>
              <w:rPr>
                <w:b/>
                <w:bCs/>
                <w:color w:val="000000"/>
                <w:szCs w:val="22"/>
              </w:rPr>
            </w:pPr>
            <w:r w:rsidRPr="00342AB1">
              <w:rPr>
                <w:b/>
                <w:bCs/>
                <w:color w:val="000000"/>
                <w:szCs w:val="22"/>
              </w:rPr>
              <w:t xml:space="preserve"> $93,193.14 </w:t>
            </w:r>
          </w:p>
        </w:tc>
      </w:tr>
      <w:tr w:rsidR="003505B6" w:rsidRPr="00342AB1" w14:paraId="6867ABC2"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41B8D468" w14:textId="77777777" w:rsidR="003505B6" w:rsidRPr="00342AB1" w:rsidRDefault="003505B6" w:rsidP="00342AB1">
            <w:pPr>
              <w:spacing w:line="240" w:lineRule="auto"/>
              <w:ind w:firstLine="0"/>
              <w:jc w:val="center"/>
              <w:rPr>
                <w:b/>
                <w:bCs/>
                <w:color w:val="000000"/>
                <w:szCs w:val="22"/>
              </w:rPr>
            </w:pPr>
            <w:r w:rsidRPr="00342AB1">
              <w:rPr>
                <w:b/>
                <w:bCs/>
                <w:color w:val="000000"/>
                <w:szCs w:val="22"/>
              </w:rPr>
              <w:t>Contractor Cost</w:t>
            </w:r>
          </w:p>
        </w:tc>
        <w:tc>
          <w:tcPr>
            <w:tcW w:w="1316" w:type="dxa"/>
            <w:tcBorders>
              <w:top w:val="nil"/>
              <w:left w:val="nil"/>
              <w:bottom w:val="single" w:sz="4" w:space="0" w:color="auto"/>
              <w:right w:val="single" w:sz="4" w:space="0" w:color="auto"/>
            </w:tcBorders>
            <w:shd w:val="clear" w:color="000000" w:fill="BFBFBF"/>
            <w:vAlign w:val="bottom"/>
            <w:hideMark/>
          </w:tcPr>
          <w:p w14:paraId="6AB96874"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000000" w:fill="BFBFBF"/>
            <w:vAlign w:val="bottom"/>
            <w:hideMark/>
          </w:tcPr>
          <w:p w14:paraId="65E91FB3"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3B721601"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4" w:space="0" w:color="auto"/>
              <w:right w:val="single" w:sz="4" w:space="0" w:color="auto"/>
            </w:tcBorders>
            <w:shd w:val="clear" w:color="000000" w:fill="BFBFBF"/>
            <w:vAlign w:val="bottom"/>
            <w:hideMark/>
          </w:tcPr>
          <w:p w14:paraId="22C3077F"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2F035287"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000000" w:fill="BFBFBF"/>
            <w:vAlign w:val="bottom"/>
            <w:hideMark/>
          </w:tcPr>
          <w:p w14:paraId="2D81D225"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r>
      <w:tr w:rsidR="003505B6" w:rsidRPr="00342AB1" w14:paraId="52EB1618" w14:textId="77777777" w:rsidTr="003505B6">
        <w:trPr>
          <w:trHeight w:val="780"/>
        </w:trPr>
        <w:tc>
          <w:tcPr>
            <w:tcW w:w="1268" w:type="dxa"/>
            <w:tcBorders>
              <w:top w:val="nil"/>
              <w:left w:val="single" w:sz="4" w:space="0" w:color="auto"/>
              <w:bottom w:val="single" w:sz="4" w:space="0" w:color="auto"/>
              <w:right w:val="single" w:sz="4" w:space="0" w:color="auto"/>
            </w:tcBorders>
            <w:shd w:val="clear" w:color="auto" w:fill="auto"/>
            <w:vAlign w:val="bottom"/>
          </w:tcPr>
          <w:p w14:paraId="6C3514E7" w14:textId="50009BC2" w:rsidR="003505B6" w:rsidRPr="00342AB1" w:rsidRDefault="003505B6" w:rsidP="003505B6">
            <w:pPr>
              <w:spacing w:line="240" w:lineRule="auto"/>
              <w:ind w:firstLine="0"/>
              <w:rPr>
                <w:color w:val="000000"/>
                <w:szCs w:val="22"/>
              </w:rPr>
            </w:pPr>
            <w:r>
              <w:rPr>
                <w:color w:val="000000"/>
                <w:szCs w:val="22"/>
              </w:rPr>
              <w:t>Science Communications Editor</w:t>
            </w:r>
          </w:p>
        </w:tc>
        <w:tc>
          <w:tcPr>
            <w:tcW w:w="1316" w:type="dxa"/>
            <w:tcBorders>
              <w:top w:val="nil"/>
              <w:left w:val="nil"/>
              <w:bottom w:val="single" w:sz="4" w:space="0" w:color="auto"/>
              <w:right w:val="single" w:sz="4" w:space="0" w:color="auto"/>
            </w:tcBorders>
            <w:shd w:val="clear" w:color="auto" w:fill="auto"/>
            <w:vAlign w:val="bottom"/>
            <w:hideMark/>
          </w:tcPr>
          <w:p w14:paraId="4B6FE38B" w14:textId="77777777" w:rsidR="003505B6" w:rsidRPr="00342AB1" w:rsidRDefault="003505B6" w:rsidP="00621F39">
            <w:pPr>
              <w:spacing w:line="240" w:lineRule="auto"/>
              <w:ind w:firstLine="0"/>
              <w:rPr>
                <w:color w:val="000000"/>
                <w:szCs w:val="22"/>
              </w:rPr>
            </w:pPr>
            <w:r w:rsidRPr="00342AB1">
              <w:rPr>
                <w:color w:val="000000"/>
                <w:szCs w:val="22"/>
              </w:rPr>
              <w:t>Kelly Government Solutions</w:t>
            </w:r>
          </w:p>
        </w:tc>
        <w:tc>
          <w:tcPr>
            <w:tcW w:w="1325" w:type="dxa"/>
            <w:tcBorders>
              <w:top w:val="nil"/>
              <w:left w:val="nil"/>
              <w:bottom w:val="single" w:sz="4" w:space="0" w:color="auto"/>
              <w:right w:val="single" w:sz="4" w:space="0" w:color="auto"/>
            </w:tcBorders>
            <w:shd w:val="clear" w:color="auto" w:fill="auto"/>
            <w:vAlign w:val="bottom"/>
            <w:hideMark/>
          </w:tcPr>
          <w:p w14:paraId="1E792EA1"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$59,488.00 </w:t>
            </w:r>
          </w:p>
        </w:tc>
        <w:tc>
          <w:tcPr>
            <w:tcW w:w="791" w:type="dxa"/>
            <w:tcBorders>
              <w:top w:val="nil"/>
              <w:left w:val="nil"/>
              <w:bottom w:val="single" w:sz="4" w:space="0" w:color="auto"/>
              <w:right w:val="single" w:sz="4" w:space="0" w:color="auto"/>
            </w:tcBorders>
            <w:shd w:val="clear" w:color="auto" w:fill="auto"/>
            <w:vAlign w:val="bottom"/>
            <w:hideMark/>
          </w:tcPr>
          <w:p w14:paraId="29FE95E1" w14:textId="77777777" w:rsidR="003505B6" w:rsidRPr="00342AB1" w:rsidRDefault="003505B6" w:rsidP="00342AB1">
            <w:pPr>
              <w:spacing w:line="240" w:lineRule="auto"/>
              <w:ind w:firstLine="0"/>
              <w:jc w:val="center"/>
              <w:rPr>
                <w:color w:val="000000"/>
                <w:szCs w:val="22"/>
              </w:rPr>
            </w:pPr>
            <w:r w:rsidRPr="00342AB1">
              <w:rPr>
                <w:color w:val="000000"/>
                <w:szCs w:val="22"/>
              </w:rPr>
              <w:t>60.0%</w:t>
            </w:r>
          </w:p>
        </w:tc>
        <w:tc>
          <w:tcPr>
            <w:tcW w:w="1105" w:type="dxa"/>
            <w:tcBorders>
              <w:top w:val="nil"/>
              <w:left w:val="nil"/>
              <w:bottom w:val="single" w:sz="4" w:space="0" w:color="auto"/>
              <w:right w:val="single" w:sz="4" w:space="0" w:color="auto"/>
            </w:tcBorders>
            <w:shd w:val="clear" w:color="000000" w:fill="BFBFBF"/>
            <w:vAlign w:val="bottom"/>
            <w:hideMark/>
          </w:tcPr>
          <w:p w14:paraId="26C8A5D7"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7A8EFF6B"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5AE9B5AA"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$35,692.80 </w:t>
            </w:r>
          </w:p>
        </w:tc>
      </w:tr>
      <w:tr w:rsidR="003505B6" w:rsidRPr="00342AB1" w14:paraId="04B6C49C" w14:textId="77777777" w:rsidTr="003505B6">
        <w:trPr>
          <w:trHeight w:val="780"/>
        </w:trPr>
        <w:tc>
          <w:tcPr>
            <w:tcW w:w="1268" w:type="dxa"/>
            <w:tcBorders>
              <w:top w:val="nil"/>
              <w:left w:val="single" w:sz="4" w:space="0" w:color="auto"/>
              <w:bottom w:val="single" w:sz="4" w:space="0" w:color="auto"/>
              <w:right w:val="single" w:sz="4" w:space="0" w:color="auto"/>
            </w:tcBorders>
            <w:shd w:val="clear" w:color="auto" w:fill="auto"/>
            <w:vAlign w:val="bottom"/>
          </w:tcPr>
          <w:p w14:paraId="1FBB80AB" w14:textId="37415E8C" w:rsidR="003505B6" w:rsidRPr="00342AB1" w:rsidRDefault="00BF1476" w:rsidP="00BF1476">
            <w:pPr>
              <w:spacing w:line="240" w:lineRule="auto"/>
              <w:ind w:firstLine="0"/>
              <w:rPr>
                <w:color w:val="000000"/>
                <w:szCs w:val="22"/>
              </w:rPr>
            </w:pPr>
            <w:r>
              <w:rPr>
                <w:color w:val="000000"/>
                <w:szCs w:val="22"/>
              </w:rPr>
              <w:t>Computer Programmer</w:t>
            </w:r>
          </w:p>
        </w:tc>
        <w:tc>
          <w:tcPr>
            <w:tcW w:w="1316" w:type="dxa"/>
            <w:tcBorders>
              <w:top w:val="nil"/>
              <w:left w:val="nil"/>
              <w:bottom w:val="single" w:sz="4" w:space="0" w:color="auto"/>
              <w:right w:val="single" w:sz="4" w:space="0" w:color="auto"/>
            </w:tcBorders>
            <w:shd w:val="clear" w:color="auto" w:fill="auto"/>
            <w:vAlign w:val="bottom"/>
            <w:hideMark/>
          </w:tcPr>
          <w:p w14:paraId="7743F3D0" w14:textId="77777777" w:rsidR="003505B6" w:rsidRPr="00342AB1" w:rsidRDefault="003505B6" w:rsidP="00621F39">
            <w:pPr>
              <w:spacing w:line="240" w:lineRule="auto"/>
              <w:ind w:firstLine="0"/>
              <w:rPr>
                <w:color w:val="000000"/>
                <w:szCs w:val="22"/>
              </w:rPr>
            </w:pPr>
            <w:r w:rsidRPr="00342AB1">
              <w:rPr>
                <w:color w:val="000000"/>
                <w:szCs w:val="22"/>
              </w:rPr>
              <w:t>Kelly Government Solutions</w:t>
            </w:r>
          </w:p>
        </w:tc>
        <w:tc>
          <w:tcPr>
            <w:tcW w:w="1325" w:type="dxa"/>
            <w:tcBorders>
              <w:top w:val="nil"/>
              <w:left w:val="nil"/>
              <w:bottom w:val="single" w:sz="4" w:space="0" w:color="auto"/>
              <w:right w:val="single" w:sz="4" w:space="0" w:color="auto"/>
            </w:tcBorders>
            <w:shd w:val="clear" w:color="auto" w:fill="auto"/>
            <w:vAlign w:val="bottom"/>
            <w:hideMark/>
          </w:tcPr>
          <w:p w14:paraId="04ED6EA6"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$68,640.00 </w:t>
            </w:r>
          </w:p>
        </w:tc>
        <w:tc>
          <w:tcPr>
            <w:tcW w:w="791" w:type="dxa"/>
            <w:tcBorders>
              <w:top w:val="nil"/>
              <w:left w:val="nil"/>
              <w:bottom w:val="single" w:sz="4" w:space="0" w:color="auto"/>
              <w:right w:val="single" w:sz="4" w:space="0" w:color="auto"/>
            </w:tcBorders>
            <w:shd w:val="clear" w:color="auto" w:fill="auto"/>
            <w:vAlign w:val="bottom"/>
            <w:hideMark/>
          </w:tcPr>
          <w:p w14:paraId="23BA81FD" w14:textId="77777777" w:rsidR="003505B6" w:rsidRPr="00342AB1" w:rsidRDefault="003505B6" w:rsidP="00342AB1">
            <w:pPr>
              <w:spacing w:line="240" w:lineRule="auto"/>
              <w:ind w:firstLine="0"/>
              <w:jc w:val="center"/>
              <w:rPr>
                <w:color w:val="000000"/>
                <w:szCs w:val="22"/>
              </w:rPr>
            </w:pPr>
            <w:r w:rsidRPr="00342AB1">
              <w:rPr>
                <w:color w:val="000000"/>
                <w:szCs w:val="22"/>
              </w:rPr>
              <w:t>19.2%</w:t>
            </w:r>
          </w:p>
        </w:tc>
        <w:tc>
          <w:tcPr>
            <w:tcW w:w="1105" w:type="dxa"/>
            <w:tcBorders>
              <w:top w:val="nil"/>
              <w:left w:val="nil"/>
              <w:bottom w:val="single" w:sz="4" w:space="0" w:color="auto"/>
              <w:right w:val="single" w:sz="4" w:space="0" w:color="auto"/>
            </w:tcBorders>
            <w:shd w:val="clear" w:color="000000" w:fill="BFBFBF"/>
            <w:vAlign w:val="bottom"/>
            <w:hideMark/>
          </w:tcPr>
          <w:p w14:paraId="45199CC7"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02A05E48"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5D4D976B"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$13,200.00 </w:t>
            </w:r>
          </w:p>
        </w:tc>
      </w:tr>
      <w:tr w:rsidR="003505B6" w:rsidRPr="00342AB1" w14:paraId="46C50292"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72A14BE4" w14:textId="411F3AFC" w:rsidR="003505B6" w:rsidRPr="00342AB1" w:rsidRDefault="00797B12" w:rsidP="00797B12">
            <w:pPr>
              <w:spacing w:line="240" w:lineRule="auto"/>
              <w:ind w:firstLine="0"/>
              <w:rPr>
                <w:color w:val="000000"/>
                <w:szCs w:val="22"/>
              </w:rPr>
            </w:pPr>
            <w:r>
              <w:rPr>
                <w:color w:val="000000"/>
                <w:szCs w:val="22"/>
              </w:rPr>
              <w:t>Consultant</w:t>
            </w:r>
          </w:p>
        </w:tc>
        <w:tc>
          <w:tcPr>
            <w:tcW w:w="1316" w:type="dxa"/>
            <w:tcBorders>
              <w:top w:val="nil"/>
              <w:left w:val="nil"/>
              <w:bottom w:val="single" w:sz="4" w:space="0" w:color="auto"/>
              <w:right w:val="single" w:sz="4" w:space="0" w:color="auto"/>
            </w:tcBorders>
            <w:shd w:val="clear" w:color="auto" w:fill="auto"/>
            <w:vAlign w:val="bottom"/>
            <w:hideMark/>
          </w:tcPr>
          <w:p w14:paraId="30E96503" w14:textId="77777777" w:rsidR="003505B6" w:rsidRPr="00342AB1" w:rsidRDefault="003505B6" w:rsidP="00621F39">
            <w:pPr>
              <w:spacing w:line="240" w:lineRule="auto"/>
              <w:ind w:firstLine="0"/>
              <w:rPr>
                <w:color w:val="000000"/>
                <w:szCs w:val="22"/>
              </w:rPr>
            </w:pPr>
            <w:r w:rsidRPr="00342AB1">
              <w:rPr>
                <w:color w:val="000000"/>
                <w:szCs w:val="22"/>
              </w:rPr>
              <w:t>Independent Contractor</w:t>
            </w:r>
          </w:p>
        </w:tc>
        <w:tc>
          <w:tcPr>
            <w:tcW w:w="1325" w:type="dxa"/>
            <w:tcBorders>
              <w:top w:val="nil"/>
              <w:left w:val="nil"/>
              <w:bottom w:val="single" w:sz="4" w:space="0" w:color="auto"/>
              <w:right w:val="single" w:sz="4" w:space="0" w:color="auto"/>
            </w:tcBorders>
            <w:shd w:val="clear" w:color="auto" w:fill="auto"/>
            <w:vAlign w:val="bottom"/>
            <w:hideMark/>
          </w:tcPr>
          <w:p w14:paraId="04D4EF3F"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$312,000.00 </w:t>
            </w:r>
          </w:p>
        </w:tc>
        <w:tc>
          <w:tcPr>
            <w:tcW w:w="791" w:type="dxa"/>
            <w:tcBorders>
              <w:top w:val="nil"/>
              <w:left w:val="nil"/>
              <w:bottom w:val="single" w:sz="4" w:space="0" w:color="auto"/>
              <w:right w:val="single" w:sz="4" w:space="0" w:color="auto"/>
            </w:tcBorders>
            <w:shd w:val="clear" w:color="auto" w:fill="auto"/>
            <w:vAlign w:val="bottom"/>
            <w:hideMark/>
          </w:tcPr>
          <w:p w14:paraId="77EAFE7A" w14:textId="77777777" w:rsidR="003505B6" w:rsidRPr="00342AB1" w:rsidRDefault="003505B6" w:rsidP="00342AB1">
            <w:pPr>
              <w:spacing w:line="240" w:lineRule="auto"/>
              <w:ind w:firstLine="0"/>
              <w:jc w:val="center"/>
              <w:rPr>
                <w:color w:val="000000"/>
                <w:szCs w:val="22"/>
              </w:rPr>
            </w:pPr>
            <w:r w:rsidRPr="00342AB1">
              <w:rPr>
                <w:color w:val="000000"/>
                <w:szCs w:val="22"/>
              </w:rPr>
              <w:t>1.9%</w:t>
            </w:r>
          </w:p>
        </w:tc>
        <w:tc>
          <w:tcPr>
            <w:tcW w:w="1105" w:type="dxa"/>
            <w:tcBorders>
              <w:top w:val="nil"/>
              <w:left w:val="nil"/>
              <w:bottom w:val="single" w:sz="4" w:space="0" w:color="auto"/>
              <w:right w:val="single" w:sz="4" w:space="0" w:color="auto"/>
            </w:tcBorders>
            <w:shd w:val="clear" w:color="000000" w:fill="BFBFBF"/>
            <w:vAlign w:val="bottom"/>
            <w:hideMark/>
          </w:tcPr>
          <w:p w14:paraId="0D31902D"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4174B995"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36005B8D"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$6,000.00 </w:t>
            </w:r>
          </w:p>
        </w:tc>
      </w:tr>
      <w:tr w:rsidR="003505B6" w:rsidRPr="00342AB1" w14:paraId="1BB9D4B5"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0F00666C" w14:textId="6626BA79" w:rsidR="003505B6" w:rsidRPr="00342AB1" w:rsidRDefault="00797B12" w:rsidP="00797B12">
            <w:pPr>
              <w:spacing w:line="240" w:lineRule="auto"/>
              <w:ind w:firstLine="0"/>
              <w:rPr>
                <w:color w:val="000000"/>
                <w:szCs w:val="22"/>
              </w:rPr>
            </w:pPr>
            <w:r>
              <w:rPr>
                <w:color w:val="000000"/>
                <w:szCs w:val="22"/>
              </w:rPr>
              <w:t>Consultant</w:t>
            </w:r>
          </w:p>
        </w:tc>
        <w:tc>
          <w:tcPr>
            <w:tcW w:w="1316" w:type="dxa"/>
            <w:tcBorders>
              <w:top w:val="nil"/>
              <w:left w:val="nil"/>
              <w:bottom w:val="single" w:sz="4" w:space="0" w:color="auto"/>
              <w:right w:val="single" w:sz="4" w:space="0" w:color="auto"/>
            </w:tcBorders>
            <w:shd w:val="clear" w:color="auto" w:fill="auto"/>
            <w:vAlign w:val="bottom"/>
            <w:hideMark/>
          </w:tcPr>
          <w:p w14:paraId="1D65E65F" w14:textId="77777777" w:rsidR="003505B6" w:rsidRPr="00342AB1" w:rsidRDefault="003505B6" w:rsidP="00621F39">
            <w:pPr>
              <w:spacing w:line="240" w:lineRule="auto"/>
              <w:ind w:firstLine="0"/>
              <w:rPr>
                <w:color w:val="000000"/>
                <w:szCs w:val="22"/>
              </w:rPr>
            </w:pPr>
            <w:r w:rsidRPr="00342AB1">
              <w:rPr>
                <w:color w:val="000000"/>
                <w:szCs w:val="22"/>
              </w:rPr>
              <w:t>Independent Contractor</w:t>
            </w:r>
          </w:p>
        </w:tc>
        <w:tc>
          <w:tcPr>
            <w:tcW w:w="1325" w:type="dxa"/>
            <w:tcBorders>
              <w:top w:val="nil"/>
              <w:left w:val="nil"/>
              <w:bottom w:val="single" w:sz="4" w:space="0" w:color="auto"/>
              <w:right w:val="single" w:sz="4" w:space="0" w:color="auto"/>
            </w:tcBorders>
            <w:shd w:val="clear" w:color="auto" w:fill="auto"/>
            <w:vAlign w:val="bottom"/>
            <w:hideMark/>
          </w:tcPr>
          <w:p w14:paraId="694399A2"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$312,000.00 </w:t>
            </w:r>
          </w:p>
        </w:tc>
        <w:tc>
          <w:tcPr>
            <w:tcW w:w="791" w:type="dxa"/>
            <w:tcBorders>
              <w:top w:val="nil"/>
              <w:left w:val="nil"/>
              <w:bottom w:val="single" w:sz="4" w:space="0" w:color="auto"/>
              <w:right w:val="single" w:sz="4" w:space="0" w:color="auto"/>
            </w:tcBorders>
            <w:shd w:val="clear" w:color="auto" w:fill="auto"/>
            <w:vAlign w:val="bottom"/>
            <w:hideMark/>
          </w:tcPr>
          <w:p w14:paraId="6169D4DC" w14:textId="77777777" w:rsidR="003505B6" w:rsidRPr="00342AB1" w:rsidRDefault="003505B6" w:rsidP="00342AB1">
            <w:pPr>
              <w:spacing w:line="240" w:lineRule="auto"/>
              <w:ind w:firstLine="0"/>
              <w:jc w:val="center"/>
              <w:rPr>
                <w:color w:val="000000"/>
                <w:szCs w:val="22"/>
              </w:rPr>
            </w:pPr>
            <w:r w:rsidRPr="00342AB1">
              <w:rPr>
                <w:color w:val="000000"/>
                <w:szCs w:val="22"/>
              </w:rPr>
              <w:t>1.9%</w:t>
            </w:r>
          </w:p>
        </w:tc>
        <w:tc>
          <w:tcPr>
            <w:tcW w:w="1105" w:type="dxa"/>
            <w:tcBorders>
              <w:top w:val="nil"/>
              <w:left w:val="nil"/>
              <w:bottom w:val="single" w:sz="4" w:space="0" w:color="auto"/>
              <w:right w:val="single" w:sz="4" w:space="0" w:color="auto"/>
            </w:tcBorders>
            <w:shd w:val="clear" w:color="000000" w:fill="BFBFBF"/>
            <w:vAlign w:val="bottom"/>
            <w:hideMark/>
          </w:tcPr>
          <w:p w14:paraId="3417E32D"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1372F45E"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3C156469"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$6,000.00 </w:t>
            </w:r>
          </w:p>
        </w:tc>
      </w:tr>
      <w:tr w:rsidR="003505B6" w:rsidRPr="00342AB1" w14:paraId="10F09D54" w14:textId="77777777" w:rsidTr="003505B6">
        <w:trPr>
          <w:trHeight w:val="520"/>
        </w:trPr>
        <w:tc>
          <w:tcPr>
            <w:tcW w:w="1268" w:type="dxa"/>
            <w:tcBorders>
              <w:top w:val="nil"/>
              <w:left w:val="single" w:sz="4" w:space="0" w:color="auto"/>
              <w:bottom w:val="single" w:sz="4" w:space="0" w:color="auto"/>
              <w:right w:val="single" w:sz="4" w:space="0" w:color="auto"/>
            </w:tcBorders>
            <w:shd w:val="clear" w:color="auto" w:fill="auto"/>
            <w:vAlign w:val="bottom"/>
          </w:tcPr>
          <w:p w14:paraId="4321DEF3" w14:textId="76CCA77E" w:rsidR="003505B6" w:rsidRPr="00342AB1" w:rsidRDefault="00797B12" w:rsidP="00797B12">
            <w:pPr>
              <w:spacing w:line="240" w:lineRule="auto"/>
              <w:ind w:firstLine="0"/>
              <w:rPr>
                <w:color w:val="000000"/>
                <w:szCs w:val="22"/>
              </w:rPr>
            </w:pPr>
            <w:r>
              <w:rPr>
                <w:color w:val="000000"/>
                <w:szCs w:val="22"/>
              </w:rPr>
              <w:t>Consultant</w:t>
            </w:r>
          </w:p>
        </w:tc>
        <w:tc>
          <w:tcPr>
            <w:tcW w:w="1316" w:type="dxa"/>
            <w:tcBorders>
              <w:top w:val="nil"/>
              <w:left w:val="nil"/>
              <w:bottom w:val="single" w:sz="4" w:space="0" w:color="auto"/>
              <w:right w:val="single" w:sz="4" w:space="0" w:color="auto"/>
            </w:tcBorders>
            <w:shd w:val="clear" w:color="auto" w:fill="auto"/>
            <w:vAlign w:val="bottom"/>
            <w:hideMark/>
          </w:tcPr>
          <w:p w14:paraId="0572D6CA" w14:textId="77777777" w:rsidR="003505B6" w:rsidRPr="00342AB1" w:rsidRDefault="003505B6" w:rsidP="00621F39">
            <w:pPr>
              <w:spacing w:line="240" w:lineRule="auto"/>
              <w:ind w:firstLine="0"/>
              <w:rPr>
                <w:color w:val="000000"/>
                <w:szCs w:val="22"/>
              </w:rPr>
            </w:pPr>
            <w:r w:rsidRPr="00342AB1">
              <w:rPr>
                <w:color w:val="000000"/>
                <w:szCs w:val="22"/>
              </w:rPr>
              <w:t>Independent Contractor</w:t>
            </w:r>
          </w:p>
        </w:tc>
        <w:tc>
          <w:tcPr>
            <w:tcW w:w="1325" w:type="dxa"/>
            <w:tcBorders>
              <w:top w:val="nil"/>
              <w:left w:val="nil"/>
              <w:bottom w:val="single" w:sz="4" w:space="0" w:color="auto"/>
              <w:right w:val="single" w:sz="4" w:space="0" w:color="auto"/>
            </w:tcBorders>
            <w:shd w:val="clear" w:color="auto" w:fill="auto"/>
            <w:vAlign w:val="bottom"/>
            <w:hideMark/>
          </w:tcPr>
          <w:p w14:paraId="21A6B3F0"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$158,080.00 </w:t>
            </w:r>
          </w:p>
        </w:tc>
        <w:tc>
          <w:tcPr>
            <w:tcW w:w="791" w:type="dxa"/>
            <w:tcBorders>
              <w:top w:val="nil"/>
              <w:left w:val="nil"/>
              <w:bottom w:val="single" w:sz="4" w:space="0" w:color="auto"/>
              <w:right w:val="single" w:sz="4" w:space="0" w:color="auto"/>
            </w:tcBorders>
            <w:shd w:val="clear" w:color="auto" w:fill="auto"/>
            <w:vAlign w:val="bottom"/>
            <w:hideMark/>
          </w:tcPr>
          <w:p w14:paraId="1351CCA4" w14:textId="77777777" w:rsidR="003505B6" w:rsidRPr="00342AB1" w:rsidRDefault="003505B6" w:rsidP="00342AB1">
            <w:pPr>
              <w:spacing w:line="240" w:lineRule="auto"/>
              <w:ind w:firstLine="0"/>
              <w:jc w:val="center"/>
              <w:rPr>
                <w:color w:val="000000"/>
                <w:szCs w:val="22"/>
              </w:rPr>
            </w:pPr>
            <w:r w:rsidRPr="00342AB1">
              <w:rPr>
                <w:color w:val="000000"/>
                <w:szCs w:val="22"/>
              </w:rPr>
              <w:t>1.0%</w:t>
            </w:r>
          </w:p>
        </w:tc>
        <w:tc>
          <w:tcPr>
            <w:tcW w:w="1105" w:type="dxa"/>
            <w:tcBorders>
              <w:top w:val="nil"/>
              <w:left w:val="nil"/>
              <w:bottom w:val="single" w:sz="4" w:space="0" w:color="auto"/>
              <w:right w:val="single" w:sz="4" w:space="0" w:color="auto"/>
            </w:tcBorders>
            <w:shd w:val="clear" w:color="000000" w:fill="BFBFBF"/>
            <w:vAlign w:val="bottom"/>
            <w:hideMark/>
          </w:tcPr>
          <w:p w14:paraId="442469DF"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single" w:sz="4" w:space="0" w:color="auto"/>
            </w:tcBorders>
            <w:shd w:val="clear" w:color="000000" w:fill="BFBFBF"/>
            <w:vAlign w:val="bottom"/>
            <w:hideMark/>
          </w:tcPr>
          <w:p w14:paraId="43FE75FD"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auto" w:fill="auto"/>
            <w:vAlign w:val="bottom"/>
            <w:hideMark/>
          </w:tcPr>
          <w:p w14:paraId="14014CEB" w14:textId="77777777" w:rsidR="003505B6" w:rsidRPr="00342AB1" w:rsidRDefault="003505B6" w:rsidP="00342AB1">
            <w:pPr>
              <w:spacing w:line="240" w:lineRule="auto"/>
              <w:ind w:firstLine="0"/>
              <w:jc w:val="center"/>
              <w:rPr>
                <w:color w:val="000000"/>
                <w:szCs w:val="22"/>
              </w:rPr>
            </w:pPr>
            <w:r w:rsidRPr="00342AB1">
              <w:rPr>
                <w:color w:val="000000"/>
                <w:szCs w:val="22"/>
              </w:rPr>
              <w:t xml:space="preserve"> $1,520.00 </w:t>
            </w:r>
          </w:p>
        </w:tc>
      </w:tr>
      <w:tr w:rsidR="003505B6" w:rsidRPr="00342AB1" w14:paraId="04CB393B" w14:textId="77777777" w:rsidTr="003505B6">
        <w:trPr>
          <w:trHeight w:val="540"/>
        </w:trPr>
        <w:tc>
          <w:tcPr>
            <w:tcW w:w="1268" w:type="dxa"/>
            <w:tcBorders>
              <w:top w:val="nil"/>
              <w:left w:val="single" w:sz="4" w:space="0" w:color="auto"/>
              <w:bottom w:val="single" w:sz="8" w:space="0" w:color="auto"/>
              <w:right w:val="single" w:sz="4" w:space="0" w:color="auto"/>
            </w:tcBorders>
            <w:shd w:val="clear" w:color="auto" w:fill="auto"/>
            <w:vAlign w:val="bottom"/>
            <w:hideMark/>
          </w:tcPr>
          <w:p w14:paraId="79D05DB4" w14:textId="77777777" w:rsidR="003505B6" w:rsidRPr="00342AB1" w:rsidRDefault="003505B6" w:rsidP="00342AB1">
            <w:pPr>
              <w:spacing w:line="240" w:lineRule="auto"/>
              <w:ind w:firstLine="0"/>
              <w:jc w:val="center"/>
              <w:rPr>
                <w:color w:val="000000"/>
                <w:szCs w:val="22"/>
              </w:rPr>
            </w:pPr>
            <w:r w:rsidRPr="00342AB1">
              <w:rPr>
                <w:color w:val="000000"/>
                <w:szCs w:val="22"/>
              </w:rPr>
              <w:t>Contractor Cost Total</w:t>
            </w:r>
          </w:p>
        </w:tc>
        <w:tc>
          <w:tcPr>
            <w:tcW w:w="1316" w:type="dxa"/>
            <w:tcBorders>
              <w:top w:val="nil"/>
              <w:left w:val="nil"/>
              <w:bottom w:val="single" w:sz="8" w:space="0" w:color="auto"/>
              <w:right w:val="single" w:sz="4" w:space="0" w:color="auto"/>
            </w:tcBorders>
            <w:shd w:val="clear" w:color="000000" w:fill="BFBFBF"/>
            <w:vAlign w:val="bottom"/>
            <w:hideMark/>
          </w:tcPr>
          <w:p w14:paraId="49A7B974"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8" w:space="0" w:color="auto"/>
              <w:right w:val="single" w:sz="4" w:space="0" w:color="auto"/>
            </w:tcBorders>
            <w:shd w:val="clear" w:color="000000" w:fill="BFBFBF"/>
            <w:vAlign w:val="bottom"/>
            <w:hideMark/>
          </w:tcPr>
          <w:p w14:paraId="428262BE"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8" w:space="0" w:color="auto"/>
              <w:right w:val="single" w:sz="4" w:space="0" w:color="auto"/>
            </w:tcBorders>
            <w:shd w:val="clear" w:color="000000" w:fill="BFBFBF"/>
            <w:vAlign w:val="bottom"/>
            <w:hideMark/>
          </w:tcPr>
          <w:p w14:paraId="1F12F76E"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8" w:space="0" w:color="auto"/>
              <w:right w:val="single" w:sz="4" w:space="0" w:color="auto"/>
            </w:tcBorders>
            <w:shd w:val="clear" w:color="000000" w:fill="BFBFBF"/>
            <w:vAlign w:val="bottom"/>
            <w:hideMark/>
          </w:tcPr>
          <w:p w14:paraId="35AAF9B9"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8" w:space="0" w:color="auto"/>
              <w:right w:val="single" w:sz="4" w:space="0" w:color="auto"/>
            </w:tcBorders>
            <w:shd w:val="clear" w:color="000000" w:fill="BFBFBF"/>
            <w:vAlign w:val="bottom"/>
            <w:hideMark/>
          </w:tcPr>
          <w:p w14:paraId="7B3B01F9"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8" w:space="0" w:color="auto"/>
              <w:right w:val="single" w:sz="4" w:space="0" w:color="auto"/>
            </w:tcBorders>
            <w:shd w:val="clear" w:color="auto" w:fill="auto"/>
            <w:vAlign w:val="bottom"/>
            <w:hideMark/>
          </w:tcPr>
          <w:p w14:paraId="21C7B082" w14:textId="77777777" w:rsidR="003505B6" w:rsidRPr="00342AB1" w:rsidRDefault="003505B6" w:rsidP="00342AB1">
            <w:pPr>
              <w:spacing w:line="240" w:lineRule="auto"/>
              <w:ind w:firstLine="0"/>
              <w:jc w:val="center"/>
              <w:rPr>
                <w:b/>
                <w:bCs/>
                <w:color w:val="000000"/>
                <w:szCs w:val="22"/>
              </w:rPr>
            </w:pPr>
            <w:r w:rsidRPr="00342AB1">
              <w:rPr>
                <w:b/>
                <w:bCs/>
                <w:color w:val="000000"/>
                <w:szCs w:val="22"/>
              </w:rPr>
              <w:t xml:space="preserve"> $62,412.80 </w:t>
            </w:r>
          </w:p>
        </w:tc>
      </w:tr>
      <w:tr w:rsidR="003505B6" w:rsidRPr="00342AB1" w14:paraId="7B8F20E3" w14:textId="77777777" w:rsidTr="003505B6">
        <w:trPr>
          <w:trHeight w:val="511"/>
        </w:trPr>
        <w:tc>
          <w:tcPr>
            <w:tcW w:w="1268" w:type="dxa"/>
            <w:tcBorders>
              <w:top w:val="nil"/>
              <w:left w:val="single" w:sz="4" w:space="0" w:color="auto"/>
              <w:bottom w:val="single" w:sz="12" w:space="0" w:color="auto"/>
              <w:right w:val="single" w:sz="4" w:space="0" w:color="auto"/>
            </w:tcBorders>
            <w:shd w:val="clear" w:color="auto" w:fill="auto"/>
            <w:vAlign w:val="bottom"/>
            <w:hideMark/>
          </w:tcPr>
          <w:p w14:paraId="035F4349" w14:textId="77777777" w:rsidR="003505B6" w:rsidRPr="00342AB1" w:rsidRDefault="003505B6" w:rsidP="00342AB1">
            <w:pPr>
              <w:spacing w:line="240" w:lineRule="auto"/>
              <w:ind w:firstLine="0"/>
              <w:jc w:val="center"/>
              <w:rPr>
                <w:color w:val="000000"/>
                <w:szCs w:val="22"/>
              </w:rPr>
            </w:pPr>
            <w:r w:rsidRPr="00342AB1">
              <w:rPr>
                <w:color w:val="000000"/>
                <w:szCs w:val="22"/>
              </w:rPr>
              <w:t>Other Cost</w:t>
            </w:r>
          </w:p>
        </w:tc>
        <w:tc>
          <w:tcPr>
            <w:tcW w:w="1316" w:type="dxa"/>
            <w:tcBorders>
              <w:top w:val="nil"/>
              <w:left w:val="nil"/>
              <w:bottom w:val="single" w:sz="12" w:space="0" w:color="auto"/>
              <w:right w:val="single" w:sz="4" w:space="0" w:color="auto"/>
            </w:tcBorders>
            <w:shd w:val="clear" w:color="000000" w:fill="BFBFBF"/>
            <w:vAlign w:val="bottom"/>
            <w:hideMark/>
          </w:tcPr>
          <w:p w14:paraId="78A4F97E"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12" w:space="0" w:color="auto"/>
              <w:right w:val="single" w:sz="4" w:space="0" w:color="auto"/>
            </w:tcBorders>
            <w:shd w:val="clear" w:color="000000" w:fill="BFBFBF"/>
            <w:vAlign w:val="bottom"/>
            <w:hideMark/>
          </w:tcPr>
          <w:p w14:paraId="6C045CE5"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12" w:space="0" w:color="auto"/>
              <w:right w:val="single" w:sz="4" w:space="0" w:color="auto"/>
            </w:tcBorders>
            <w:shd w:val="clear" w:color="000000" w:fill="BFBFBF"/>
            <w:vAlign w:val="bottom"/>
            <w:hideMark/>
          </w:tcPr>
          <w:p w14:paraId="7E6C9C6C"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12" w:space="0" w:color="auto"/>
              <w:right w:val="single" w:sz="4" w:space="0" w:color="auto"/>
            </w:tcBorders>
            <w:shd w:val="clear" w:color="000000" w:fill="BFBFBF"/>
            <w:vAlign w:val="bottom"/>
            <w:hideMark/>
          </w:tcPr>
          <w:p w14:paraId="27B9D658"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12" w:space="0" w:color="auto"/>
              <w:right w:val="single" w:sz="4" w:space="0" w:color="auto"/>
            </w:tcBorders>
            <w:shd w:val="clear" w:color="000000" w:fill="BFBFBF"/>
            <w:vAlign w:val="bottom"/>
            <w:hideMark/>
          </w:tcPr>
          <w:p w14:paraId="1F60B23B"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12" w:space="0" w:color="auto"/>
              <w:right w:val="single" w:sz="4" w:space="0" w:color="auto"/>
            </w:tcBorders>
            <w:shd w:val="clear" w:color="auto" w:fill="auto"/>
            <w:vAlign w:val="bottom"/>
            <w:hideMark/>
          </w:tcPr>
          <w:p w14:paraId="5BA2471E" w14:textId="77777777" w:rsidR="003505B6" w:rsidRPr="00342AB1" w:rsidRDefault="003505B6" w:rsidP="00342AB1">
            <w:pPr>
              <w:spacing w:line="240" w:lineRule="auto"/>
              <w:ind w:firstLine="0"/>
              <w:jc w:val="center"/>
              <w:rPr>
                <w:b/>
                <w:bCs/>
                <w:color w:val="000000"/>
                <w:szCs w:val="22"/>
              </w:rPr>
            </w:pPr>
            <w:r w:rsidRPr="00342AB1">
              <w:rPr>
                <w:b/>
                <w:bCs/>
                <w:color w:val="000000"/>
                <w:szCs w:val="22"/>
              </w:rPr>
              <w:t xml:space="preserve"> $1,000.00 </w:t>
            </w:r>
          </w:p>
        </w:tc>
      </w:tr>
      <w:tr w:rsidR="003505B6" w:rsidRPr="00342AB1" w14:paraId="0FA6C84C" w14:textId="77777777" w:rsidTr="003505B6">
        <w:trPr>
          <w:trHeight w:val="300"/>
        </w:trPr>
        <w:tc>
          <w:tcPr>
            <w:tcW w:w="1268" w:type="dxa"/>
            <w:tcBorders>
              <w:top w:val="nil"/>
              <w:left w:val="single" w:sz="4" w:space="0" w:color="auto"/>
              <w:bottom w:val="single" w:sz="4" w:space="0" w:color="auto"/>
              <w:right w:val="single" w:sz="4" w:space="0" w:color="auto"/>
            </w:tcBorders>
            <w:shd w:val="clear" w:color="auto" w:fill="auto"/>
            <w:vAlign w:val="bottom"/>
            <w:hideMark/>
          </w:tcPr>
          <w:p w14:paraId="3CEDA03F" w14:textId="77777777" w:rsidR="003505B6" w:rsidRPr="00342AB1" w:rsidRDefault="003505B6" w:rsidP="00342AB1">
            <w:pPr>
              <w:spacing w:line="240" w:lineRule="auto"/>
              <w:ind w:firstLine="0"/>
              <w:jc w:val="right"/>
              <w:rPr>
                <w:b/>
                <w:bCs/>
                <w:color w:val="000000"/>
                <w:szCs w:val="22"/>
              </w:rPr>
            </w:pPr>
            <w:r w:rsidRPr="00342AB1">
              <w:rPr>
                <w:b/>
                <w:bCs/>
                <w:color w:val="000000"/>
                <w:szCs w:val="22"/>
              </w:rPr>
              <w:t>TOTAL</w:t>
            </w:r>
          </w:p>
        </w:tc>
        <w:tc>
          <w:tcPr>
            <w:tcW w:w="1316" w:type="dxa"/>
            <w:tcBorders>
              <w:top w:val="nil"/>
              <w:left w:val="nil"/>
              <w:bottom w:val="single" w:sz="4" w:space="0" w:color="auto"/>
              <w:right w:val="single" w:sz="4" w:space="0" w:color="auto"/>
            </w:tcBorders>
            <w:shd w:val="clear" w:color="000000" w:fill="BFBFBF"/>
            <w:vAlign w:val="bottom"/>
            <w:hideMark/>
          </w:tcPr>
          <w:p w14:paraId="03296D6D"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nil"/>
              <w:bottom w:val="single" w:sz="4" w:space="0" w:color="auto"/>
              <w:right w:val="single" w:sz="4" w:space="0" w:color="auto"/>
            </w:tcBorders>
            <w:shd w:val="clear" w:color="000000" w:fill="BFBFBF"/>
            <w:vAlign w:val="bottom"/>
            <w:hideMark/>
          </w:tcPr>
          <w:p w14:paraId="6757AE96"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791" w:type="dxa"/>
            <w:tcBorders>
              <w:top w:val="nil"/>
              <w:left w:val="nil"/>
              <w:bottom w:val="single" w:sz="4" w:space="0" w:color="auto"/>
              <w:right w:val="single" w:sz="4" w:space="0" w:color="auto"/>
            </w:tcBorders>
            <w:shd w:val="clear" w:color="000000" w:fill="BFBFBF"/>
            <w:vAlign w:val="bottom"/>
            <w:hideMark/>
          </w:tcPr>
          <w:p w14:paraId="29D18EFB"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105" w:type="dxa"/>
            <w:tcBorders>
              <w:top w:val="nil"/>
              <w:left w:val="nil"/>
              <w:bottom w:val="single" w:sz="4" w:space="0" w:color="auto"/>
              <w:right w:val="single" w:sz="4" w:space="0" w:color="auto"/>
            </w:tcBorders>
            <w:shd w:val="clear" w:color="000000" w:fill="BFBFBF"/>
            <w:vAlign w:val="bottom"/>
            <w:hideMark/>
          </w:tcPr>
          <w:p w14:paraId="6766FF89"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870" w:type="dxa"/>
            <w:tcBorders>
              <w:top w:val="nil"/>
              <w:left w:val="nil"/>
              <w:bottom w:val="single" w:sz="4" w:space="0" w:color="auto"/>
              <w:right w:val="nil"/>
            </w:tcBorders>
            <w:shd w:val="clear" w:color="000000" w:fill="BFBFBF"/>
            <w:vAlign w:val="bottom"/>
            <w:hideMark/>
          </w:tcPr>
          <w:p w14:paraId="75660821" w14:textId="77777777" w:rsidR="003505B6" w:rsidRPr="00342AB1" w:rsidRDefault="003505B6" w:rsidP="00342AB1">
            <w:pPr>
              <w:spacing w:line="240" w:lineRule="auto"/>
              <w:ind w:firstLine="0"/>
              <w:jc w:val="center"/>
              <w:rPr>
                <w:color w:val="000000"/>
                <w:szCs w:val="22"/>
              </w:rPr>
            </w:pPr>
            <w:r w:rsidRPr="00342AB1">
              <w:rPr>
                <w:color w:val="000000"/>
                <w:szCs w:val="22"/>
              </w:rPr>
              <w:t> </w:t>
            </w:r>
          </w:p>
        </w:tc>
        <w:tc>
          <w:tcPr>
            <w:tcW w:w="1325" w:type="dxa"/>
            <w:tcBorders>
              <w:top w:val="nil"/>
              <w:left w:val="single" w:sz="12" w:space="0" w:color="auto"/>
              <w:bottom w:val="single" w:sz="12" w:space="0" w:color="auto"/>
              <w:right w:val="single" w:sz="12" w:space="0" w:color="auto"/>
            </w:tcBorders>
            <w:shd w:val="clear" w:color="auto" w:fill="auto"/>
            <w:vAlign w:val="bottom"/>
            <w:hideMark/>
          </w:tcPr>
          <w:p w14:paraId="6652C043" w14:textId="77777777" w:rsidR="003505B6" w:rsidRPr="00342AB1" w:rsidRDefault="003505B6" w:rsidP="00342AB1">
            <w:pPr>
              <w:spacing w:line="240" w:lineRule="auto"/>
              <w:ind w:firstLine="0"/>
              <w:jc w:val="center"/>
              <w:rPr>
                <w:b/>
                <w:bCs/>
                <w:color w:val="000000"/>
                <w:szCs w:val="22"/>
              </w:rPr>
            </w:pPr>
            <w:r w:rsidRPr="00342AB1">
              <w:rPr>
                <w:b/>
                <w:bCs/>
                <w:color w:val="000000"/>
                <w:szCs w:val="22"/>
              </w:rPr>
              <w:t xml:space="preserve"> $156,605.94 </w:t>
            </w:r>
          </w:p>
        </w:tc>
      </w:tr>
    </w:tbl>
    <w:p w14:paraId="40F569C0" w14:textId="77777777" w:rsidR="00342AB1" w:rsidRPr="00166ADD" w:rsidRDefault="00342AB1" w:rsidP="00342AB1">
      <w:pPr>
        <w:ind w:firstLine="0"/>
      </w:pPr>
    </w:p>
    <w:p w14:paraId="4FCC41E2" w14:textId="0A597495" w:rsidR="00D50F71" w:rsidRPr="00D50F71" w:rsidRDefault="00D50F71" w:rsidP="008B6E42">
      <w:pPr>
        <w:spacing w:line="360" w:lineRule="auto"/>
        <w:ind w:firstLine="0"/>
        <w:rPr>
          <w:b/>
        </w:rPr>
      </w:pPr>
      <w:r w:rsidRPr="00D50F71">
        <w:rPr>
          <w:b/>
        </w:rPr>
        <w:t>Cost Calculations</w:t>
      </w:r>
    </w:p>
    <w:p w14:paraId="09D486B4" w14:textId="1E9B4254" w:rsidR="006D1CBB" w:rsidRDefault="00D50F71" w:rsidP="00D50F71">
      <w:pPr>
        <w:pStyle w:val="ListParagraph"/>
        <w:numPr>
          <w:ilvl w:val="0"/>
          <w:numId w:val="26"/>
        </w:numPr>
        <w:spacing w:line="360" w:lineRule="auto"/>
      </w:pPr>
      <w:r w:rsidRPr="00D50F71">
        <w:t>Costs</w:t>
      </w:r>
      <w:r>
        <w:t xml:space="preserve"> for federal staff were calculated based upon hourly rate and estimated hours for project.</w:t>
      </w:r>
    </w:p>
    <w:p w14:paraId="1B07228D" w14:textId="555DBFE0" w:rsidR="00D50F71" w:rsidRDefault="00D50F71" w:rsidP="00DE17EC">
      <w:pPr>
        <w:pStyle w:val="ListParagraph"/>
        <w:numPr>
          <w:ilvl w:val="0"/>
          <w:numId w:val="26"/>
        </w:numPr>
        <w:spacing w:line="360" w:lineRule="auto"/>
      </w:pPr>
      <w:r>
        <w:lastRenderedPageBreak/>
        <w:t>Consultant costs were calculated based upon hourly rate (including fees) a</w:t>
      </w:r>
      <w:r w:rsidR="008B4291">
        <w:t>nd estimated hours for project.</w:t>
      </w:r>
    </w:p>
    <w:p w14:paraId="2E0B4CA0" w14:textId="43485FFC" w:rsidR="00D50F71" w:rsidRDefault="00D50F71" w:rsidP="00D50F71">
      <w:pPr>
        <w:pStyle w:val="ListParagraph"/>
        <w:numPr>
          <w:ilvl w:val="0"/>
          <w:numId w:val="26"/>
        </w:numPr>
        <w:spacing w:line="360" w:lineRule="auto"/>
      </w:pPr>
      <w:r>
        <w:t xml:space="preserve">Total Cost is calculated as sum of </w:t>
      </w:r>
      <w:r w:rsidR="00DE17EC">
        <w:t>all individual cost categories</w:t>
      </w:r>
      <w:r w:rsidR="009F6670">
        <w:t>.</w:t>
      </w:r>
    </w:p>
    <w:p w14:paraId="72849DC5" w14:textId="70927BDD" w:rsidR="00D50F71" w:rsidRPr="00DE17EC" w:rsidRDefault="008B4291" w:rsidP="00D50F71">
      <w:pPr>
        <w:pStyle w:val="ListParagraph"/>
        <w:numPr>
          <w:ilvl w:val="0"/>
          <w:numId w:val="26"/>
        </w:numPr>
        <w:spacing w:line="360" w:lineRule="auto"/>
      </w:pPr>
      <w:r>
        <w:t xml:space="preserve">Total Annual Cost Burden </w:t>
      </w:r>
      <w:r w:rsidR="00674ED3">
        <w:t xml:space="preserve">for start-up is the same as the </w:t>
      </w:r>
      <w:r>
        <w:t>10-month</w:t>
      </w:r>
      <w:r w:rsidR="00674ED3">
        <w:t xml:space="preserve"> cost since the start-up period is less than one year.</w:t>
      </w:r>
      <w:r>
        <w:t xml:space="preserve"> </w:t>
      </w:r>
      <w:r w:rsidR="00674ED3">
        <w:t xml:space="preserve">Total </w:t>
      </w:r>
      <w:r>
        <w:t xml:space="preserve">Annualized </w:t>
      </w:r>
      <w:r w:rsidR="00674ED3">
        <w:t>Cost Burden for</w:t>
      </w:r>
      <w:r>
        <w:t xml:space="preserve"> implementation </w:t>
      </w:r>
      <w:r w:rsidR="00674ED3">
        <w:t xml:space="preserve">is calculated </w:t>
      </w:r>
      <w:r w:rsidR="00D50F71" w:rsidRPr="00DE17EC">
        <w:t xml:space="preserve">as total cost </w:t>
      </w:r>
      <w:r w:rsidR="00DE17EC" w:rsidRPr="00DE17EC">
        <w:t>divided by 3 years</w:t>
      </w:r>
      <w:r w:rsidR="00674ED3">
        <w:t>.</w:t>
      </w:r>
    </w:p>
    <w:p w14:paraId="3388925B" w14:textId="7DE58690" w:rsidR="006D061C" w:rsidRPr="001D040C" w:rsidRDefault="006D061C" w:rsidP="00B44FBF">
      <w:pPr>
        <w:pStyle w:val="Heading3"/>
      </w:pPr>
      <w:bookmarkStart w:id="45" w:name="_Toc129590318"/>
      <w:bookmarkStart w:id="46" w:name="_Toc129668560"/>
      <w:bookmarkStart w:id="47" w:name="_Toc314995112"/>
      <w:r w:rsidRPr="001D040C">
        <w:t xml:space="preserve">A.15. </w:t>
      </w:r>
      <w:r w:rsidR="00B64409" w:rsidRPr="001D040C">
        <w:t xml:space="preserve"> </w:t>
      </w:r>
      <w:r w:rsidRPr="001D040C">
        <w:t>Explanation for Program Changes or Adjustments</w:t>
      </w:r>
      <w:bookmarkEnd w:id="45"/>
      <w:bookmarkEnd w:id="46"/>
      <w:bookmarkEnd w:id="47"/>
    </w:p>
    <w:p w14:paraId="19636FBF" w14:textId="67AE25CF" w:rsidR="006D061C" w:rsidRPr="001D040C" w:rsidRDefault="00722768" w:rsidP="00B44FBF">
      <w:pPr>
        <w:rPr>
          <w:szCs w:val="22"/>
        </w:rPr>
      </w:pPr>
      <w:r w:rsidRPr="008942E9">
        <w:rPr>
          <w:color w:val="000000"/>
        </w:rPr>
        <w:t>This is a new collection of information</w:t>
      </w:r>
      <w:r>
        <w:rPr>
          <w:color w:val="000000"/>
        </w:rPr>
        <w:t>.</w:t>
      </w:r>
      <w:r w:rsidR="002E16F1" w:rsidRPr="002E16F1">
        <w:rPr>
          <w:color w:val="000000"/>
        </w:rPr>
        <w:t xml:space="preserve"> </w:t>
      </w:r>
      <w:r w:rsidR="002E16F1">
        <w:rPr>
          <w:color w:val="000000"/>
        </w:rPr>
        <w:t>Currently, this work is anticipated to take almost two years. The projected time schedule is provided below in Table A.16. Because the project time schedules for various activities are estimates, it is possible that some activities may take longer than anticipated. Conduct of Phase 2 cannot occur until Phase 1 is completed and the data analyzed. Therefore, we are asking for OMB approval for 3 years. If the work is completed sooner, NIH will notify OMB</w:t>
      </w:r>
      <w:r w:rsidR="00F9701A">
        <w:rPr>
          <w:color w:val="000000"/>
        </w:rPr>
        <w:t xml:space="preserve"> </w:t>
      </w:r>
      <w:r w:rsidR="00F9701A" w:rsidRPr="00C32AAA">
        <w:rPr>
          <w:color w:val="000000"/>
        </w:rPr>
        <w:t>and submit a request for discontinuation of the ICR</w:t>
      </w:r>
      <w:r w:rsidR="002E16F1" w:rsidRPr="00C32AAA">
        <w:rPr>
          <w:color w:val="000000"/>
        </w:rPr>
        <w:t>.</w:t>
      </w:r>
    </w:p>
    <w:p w14:paraId="16C2BF31" w14:textId="77777777" w:rsidR="006D061C" w:rsidRDefault="00B64409" w:rsidP="00B44FBF">
      <w:pPr>
        <w:pStyle w:val="Heading3"/>
      </w:pPr>
      <w:bookmarkStart w:id="48" w:name="_Toc129590319"/>
      <w:bookmarkStart w:id="49" w:name="_Toc129668561"/>
      <w:bookmarkStart w:id="50" w:name="_Toc314995113"/>
      <w:r w:rsidRPr="001D040C">
        <w:t>A.</w:t>
      </w:r>
      <w:r w:rsidR="006D061C" w:rsidRPr="001D040C">
        <w:t xml:space="preserve">16. </w:t>
      </w:r>
      <w:r w:rsidRPr="001D040C">
        <w:t xml:space="preserve"> </w:t>
      </w:r>
      <w:r w:rsidR="006D061C" w:rsidRPr="001D040C">
        <w:t>Plans for Tabulation and Publication and Project Time Schedule</w:t>
      </w:r>
      <w:bookmarkEnd w:id="48"/>
      <w:bookmarkEnd w:id="49"/>
      <w:bookmarkEnd w:id="50"/>
    </w:p>
    <w:tbl>
      <w:tblPr>
        <w:tblStyle w:val="TableClassic1"/>
        <w:tblW w:w="0" w:type="auto"/>
        <w:tblLook w:val="04A0" w:firstRow="1" w:lastRow="0" w:firstColumn="1" w:lastColumn="0" w:noHBand="0" w:noVBand="1"/>
      </w:tblPr>
      <w:tblGrid>
        <w:gridCol w:w="3123"/>
        <w:gridCol w:w="5085"/>
        <w:gridCol w:w="180"/>
      </w:tblGrid>
      <w:tr w:rsidR="001D4AB7" w:rsidRPr="001D4AB7" w14:paraId="6608816E" w14:textId="77777777" w:rsidTr="00D27464">
        <w:trPr>
          <w:gridAfter w:val="1"/>
          <w:cnfStyle w:val="100000000000" w:firstRow="1" w:lastRow="0" w:firstColumn="0" w:lastColumn="0" w:oddVBand="0" w:evenVBand="0" w:oddHBand="0" w:evenHBand="0" w:firstRowFirstColumn="0" w:firstRowLastColumn="0" w:lastRowFirstColumn="0" w:lastRowLastColumn="0"/>
          <w:wAfter w:w="180" w:type="dxa"/>
        </w:trPr>
        <w:tc>
          <w:tcPr>
            <w:cnfStyle w:val="001000000000" w:firstRow="0" w:lastRow="0" w:firstColumn="1" w:lastColumn="0" w:oddVBand="0" w:evenVBand="0" w:oddHBand="0" w:evenHBand="0" w:firstRowFirstColumn="0" w:firstRowLastColumn="0" w:lastRowFirstColumn="0" w:lastRowLastColumn="0"/>
            <w:tcW w:w="8208" w:type="dxa"/>
            <w:gridSpan w:val="2"/>
            <w:tcBorders>
              <w:top w:val="single" w:sz="24" w:space="0" w:color="auto"/>
              <w:bottom w:val="single" w:sz="24" w:space="0" w:color="auto"/>
              <w:right w:val="nil"/>
            </w:tcBorders>
            <w:vAlign w:val="center"/>
          </w:tcPr>
          <w:p w14:paraId="37A8E93C" w14:textId="1065696A" w:rsidR="001D4AB7" w:rsidRPr="001D4AB7" w:rsidRDefault="001D4AB7" w:rsidP="00134593">
            <w:pPr>
              <w:ind w:firstLine="0"/>
              <w:rPr>
                <w:b/>
                <w:sz w:val="20"/>
              </w:rPr>
            </w:pPr>
            <w:r w:rsidRPr="001D4AB7">
              <w:rPr>
                <w:b/>
                <w:i w:val="0"/>
                <w:sz w:val="20"/>
              </w:rPr>
              <w:t>Project Time Schedule</w:t>
            </w:r>
          </w:p>
        </w:tc>
      </w:tr>
      <w:tr w:rsidR="001D4AB7" w14:paraId="27240FD6"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6F5A429B" w14:textId="471E3DA2" w:rsidR="001D4AB7" w:rsidRPr="00134593" w:rsidRDefault="001D4AB7" w:rsidP="001D4AB7">
            <w:pPr>
              <w:ind w:firstLine="0"/>
              <w:rPr>
                <w:b/>
                <w:sz w:val="20"/>
              </w:rPr>
            </w:pPr>
            <w:r w:rsidRPr="00134593">
              <w:rPr>
                <w:b/>
                <w:sz w:val="20"/>
              </w:rPr>
              <w:t>Activity</w:t>
            </w:r>
          </w:p>
        </w:tc>
        <w:tc>
          <w:tcPr>
            <w:tcW w:w="5265" w:type="dxa"/>
            <w:gridSpan w:val="2"/>
            <w:tcBorders>
              <w:top w:val="single" w:sz="4" w:space="0" w:color="auto"/>
              <w:left w:val="single" w:sz="4" w:space="0" w:color="auto"/>
              <w:bottom w:val="single" w:sz="4" w:space="0" w:color="auto"/>
              <w:right w:val="nil"/>
            </w:tcBorders>
          </w:tcPr>
          <w:p w14:paraId="74BA38DB" w14:textId="6E2F39A7" w:rsidR="001D4AB7" w:rsidRPr="00134593" w:rsidRDefault="001D4AB7" w:rsidP="001D4AB7">
            <w:pPr>
              <w:ind w:left="27" w:firstLine="0"/>
              <w:cnfStyle w:val="000000000000" w:firstRow="0" w:lastRow="0" w:firstColumn="0" w:lastColumn="0" w:oddVBand="0" w:evenVBand="0" w:oddHBand="0" w:evenHBand="0" w:firstRowFirstColumn="0" w:firstRowLastColumn="0" w:lastRowFirstColumn="0" w:lastRowLastColumn="0"/>
              <w:rPr>
                <w:b/>
                <w:sz w:val="20"/>
              </w:rPr>
            </w:pPr>
            <w:r w:rsidRPr="00134593">
              <w:rPr>
                <w:b/>
                <w:sz w:val="20"/>
              </w:rPr>
              <w:t>Time Schedule</w:t>
            </w:r>
          </w:p>
        </w:tc>
      </w:tr>
      <w:tr w:rsidR="001D4AB7" w14:paraId="635D6824"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2D805C56" w14:textId="35C3E8AB" w:rsidR="001D4AB7" w:rsidRPr="001D4AB7" w:rsidRDefault="001D4AB7" w:rsidP="001D4AB7">
            <w:pPr>
              <w:ind w:firstLine="0"/>
              <w:rPr>
                <w:sz w:val="20"/>
              </w:rPr>
            </w:pPr>
            <w:r w:rsidRPr="001D4AB7">
              <w:rPr>
                <w:sz w:val="20"/>
              </w:rPr>
              <w:t>Project concept and development</w:t>
            </w:r>
          </w:p>
        </w:tc>
        <w:tc>
          <w:tcPr>
            <w:tcW w:w="5265" w:type="dxa"/>
            <w:gridSpan w:val="2"/>
            <w:tcBorders>
              <w:top w:val="single" w:sz="4" w:space="0" w:color="auto"/>
              <w:left w:val="single" w:sz="4" w:space="0" w:color="auto"/>
              <w:bottom w:val="single" w:sz="4" w:space="0" w:color="auto"/>
              <w:right w:val="nil"/>
            </w:tcBorders>
          </w:tcPr>
          <w:p w14:paraId="30630FAF" w14:textId="6DF44A61" w:rsidR="001D4AB7" w:rsidRPr="001D4AB7" w:rsidRDefault="001D4AB7"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sidRPr="001D4AB7">
              <w:rPr>
                <w:sz w:val="20"/>
              </w:rPr>
              <w:t>September 2014 – June 2015</w:t>
            </w:r>
          </w:p>
        </w:tc>
      </w:tr>
      <w:tr w:rsidR="001D4AB7" w14:paraId="64F319C0"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1171166E" w14:textId="0A4E7CEE" w:rsidR="001D4AB7" w:rsidRPr="001D4AB7" w:rsidRDefault="001D4AB7" w:rsidP="001D4AB7">
            <w:pPr>
              <w:ind w:firstLine="0"/>
              <w:rPr>
                <w:sz w:val="20"/>
              </w:rPr>
            </w:pPr>
            <w:r w:rsidRPr="001D4AB7">
              <w:rPr>
                <w:sz w:val="20"/>
              </w:rPr>
              <w:t>Begin enrollment for Phase 1</w:t>
            </w:r>
          </w:p>
        </w:tc>
        <w:tc>
          <w:tcPr>
            <w:tcW w:w="5265" w:type="dxa"/>
            <w:gridSpan w:val="2"/>
            <w:tcBorders>
              <w:top w:val="single" w:sz="4" w:space="0" w:color="auto"/>
              <w:left w:val="single" w:sz="4" w:space="0" w:color="auto"/>
              <w:bottom w:val="single" w:sz="4" w:space="0" w:color="auto"/>
              <w:right w:val="nil"/>
            </w:tcBorders>
          </w:tcPr>
          <w:p w14:paraId="3A763C46" w14:textId="001B7F38" w:rsidR="001D4AB7" w:rsidRPr="001D4AB7" w:rsidRDefault="001D4AB7"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sidRPr="001D4AB7">
              <w:rPr>
                <w:sz w:val="20"/>
              </w:rPr>
              <w:t>1 month after OMB approval</w:t>
            </w:r>
          </w:p>
        </w:tc>
      </w:tr>
      <w:tr w:rsidR="001D4AB7" w14:paraId="6D7E0A32"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5D2FD029" w14:textId="39EC4922" w:rsidR="001D4AB7" w:rsidRPr="001D4AB7" w:rsidRDefault="001D4AB7" w:rsidP="001D4AB7">
            <w:pPr>
              <w:ind w:firstLine="0"/>
              <w:rPr>
                <w:sz w:val="20"/>
              </w:rPr>
            </w:pPr>
            <w:r w:rsidRPr="001D4AB7">
              <w:rPr>
                <w:sz w:val="20"/>
              </w:rPr>
              <w:t>Complete Phase 1 enrollment</w:t>
            </w:r>
          </w:p>
        </w:tc>
        <w:tc>
          <w:tcPr>
            <w:tcW w:w="5265" w:type="dxa"/>
            <w:gridSpan w:val="2"/>
            <w:tcBorders>
              <w:top w:val="single" w:sz="4" w:space="0" w:color="auto"/>
              <w:left w:val="single" w:sz="4" w:space="0" w:color="auto"/>
              <w:bottom w:val="single" w:sz="4" w:space="0" w:color="auto"/>
              <w:right w:val="nil"/>
            </w:tcBorders>
          </w:tcPr>
          <w:p w14:paraId="0E51A6F0" w14:textId="38BE6343" w:rsidR="001D4AB7" w:rsidRPr="001D4AB7" w:rsidRDefault="001D4AB7"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sidRPr="001D4AB7">
              <w:rPr>
                <w:sz w:val="20"/>
              </w:rPr>
              <w:t>3-4 months after enrollment begins</w:t>
            </w:r>
          </w:p>
        </w:tc>
      </w:tr>
      <w:tr w:rsidR="001D4AB7" w14:paraId="53C7365E"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175A052C" w14:textId="467BB03F" w:rsidR="001D4AB7" w:rsidRPr="001D4AB7" w:rsidRDefault="001D4AB7" w:rsidP="004B3979">
            <w:pPr>
              <w:ind w:firstLine="0"/>
              <w:rPr>
                <w:sz w:val="20"/>
              </w:rPr>
            </w:pPr>
            <w:r w:rsidRPr="001D4AB7">
              <w:rPr>
                <w:sz w:val="20"/>
              </w:rPr>
              <w:t>Conduct Phase 1, Trials A</w:t>
            </w:r>
            <w:r w:rsidR="004B3979">
              <w:rPr>
                <w:sz w:val="20"/>
              </w:rPr>
              <w:t xml:space="preserve"> and </w:t>
            </w:r>
            <w:r w:rsidRPr="001D4AB7">
              <w:rPr>
                <w:sz w:val="20"/>
              </w:rPr>
              <w:t>B</w:t>
            </w:r>
          </w:p>
        </w:tc>
        <w:tc>
          <w:tcPr>
            <w:tcW w:w="5265" w:type="dxa"/>
            <w:gridSpan w:val="2"/>
            <w:tcBorders>
              <w:top w:val="single" w:sz="4" w:space="0" w:color="auto"/>
              <w:left w:val="single" w:sz="4" w:space="0" w:color="auto"/>
              <w:bottom w:val="single" w:sz="4" w:space="0" w:color="auto"/>
              <w:right w:val="nil"/>
            </w:tcBorders>
          </w:tcPr>
          <w:p w14:paraId="738516C3" w14:textId="6B8114BF" w:rsidR="001D4AB7" w:rsidRPr="001D4AB7" w:rsidRDefault="00B52EB8"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 xml:space="preserve">Start </w:t>
            </w:r>
            <w:r w:rsidR="001D4AB7" w:rsidRPr="001D4AB7">
              <w:rPr>
                <w:sz w:val="20"/>
              </w:rPr>
              <w:t>1-2 months after Phase 1 enrollment is completed</w:t>
            </w:r>
          </w:p>
        </w:tc>
      </w:tr>
      <w:tr w:rsidR="001D4AB7" w14:paraId="3D00E8C6"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1C7D93FC" w14:textId="651D427A" w:rsidR="001D4AB7" w:rsidRPr="001D4AB7" w:rsidRDefault="001D4AB7" w:rsidP="001D4AB7">
            <w:pPr>
              <w:ind w:firstLine="0"/>
              <w:rPr>
                <w:sz w:val="20"/>
              </w:rPr>
            </w:pPr>
            <w:r w:rsidRPr="001D4AB7">
              <w:rPr>
                <w:sz w:val="20"/>
              </w:rPr>
              <w:t>Begin enrollment for Phase 2</w:t>
            </w:r>
          </w:p>
        </w:tc>
        <w:tc>
          <w:tcPr>
            <w:tcW w:w="5265" w:type="dxa"/>
            <w:gridSpan w:val="2"/>
            <w:tcBorders>
              <w:top w:val="single" w:sz="4" w:space="0" w:color="auto"/>
              <w:left w:val="single" w:sz="4" w:space="0" w:color="auto"/>
              <w:bottom w:val="single" w:sz="4" w:space="0" w:color="auto"/>
              <w:right w:val="nil"/>
            </w:tcBorders>
          </w:tcPr>
          <w:p w14:paraId="18A2EA3D" w14:textId="52267B9F" w:rsidR="001D4AB7" w:rsidRPr="001D4AB7" w:rsidRDefault="00222963"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8</w:t>
            </w:r>
            <w:r w:rsidR="001D4AB7" w:rsidRPr="001D4AB7">
              <w:rPr>
                <w:sz w:val="20"/>
              </w:rPr>
              <w:t>-9 months after OMB approval</w:t>
            </w:r>
          </w:p>
        </w:tc>
      </w:tr>
      <w:tr w:rsidR="001D4AB7" w14:paraId="40DE6092"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666F5CFA" w14:textId="2D125EA0" w:rsidR="001D4AB7" w:rsidRPr="001D4AB7" w:rsidRDefault="009A04F6" w:rsidP="009A04F6">
            <w:pPr>
              <w:ind w:firstLine="0"/>
              <w:rPr>
                <w:sz w:val="20"/>
              </w:rPr>
            </w:pPr>
            <w:r>
              <w:rPr>
                <w:sz w:val="20"/>
              </w:rPr>
              <w:t xml:space="preserve">Analyze </w:t>
            </w:r>
            <w:r w:rsidR="001D4AB7" w:rsidRPr="001D4AB7">
              <w:rPr>
                <w:sz w:val="20"/>
              </w:rPr>
              <w:t>Phase 1</w:t>
            </w:r>
            <w:r>
              <w:rPr>
                <w:sz w:val="20"/>
              </w:rPr>
              <w:t xml:space="preserve"> data</w:t>
            </w:r>
          </w:p>
        </w:tc>
        <w:tc>
          <w:tcPr>
            <w:tcW w:w="5265" w:type="dxa"/>
            <w:gridSpan w:val="2"/>
            <w:tcBorders>
              <w:top w:val="single" w:sz="4" w:space="0" w:color="auto"/>
              <w:left w:val="single" w:sz="4" w:space="0" w:color="auto"/>
              <w:bottom w:val="single" w:sz="4" w:space="0" w:color="auto"/>
              <w:right w:val="nil"/>
            </w:tcBorders>
          </w:tcPr>
          <w:p w14:paraId="594ED8C2" w14:textId="4746862F" w:rsidR="001D4AB7" w:rsidRPr="001D4AB7" w:rsidRDefault="00B52EB8"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w:t>
            </w:r>
            <w:r w:rsidR="009A04F6">
              <w:rPr>
                <w:sz w:val="20"/>
              </w:rPr>
              <w:t xml:space="preserve"> 1 month after completing Phase 1, Trial B</w:t>
            </w:r>
          </w:p>
        </w:tc>
      </w:tr>
      <w:tr w:rsidR="001D4AB7" w14:paraId="50C91CBE"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66EEB9C3" w14:textId="08C6B33D" w:rsidR="001D4AB7" w:rsidRPr="001D4AB7" w:rsidRDefault="001D4AB7" w:rsidP="001D4AB7">
            <w:pPr>
              <w:ind w:firstLine="0"/>
              <w:rPr>
                <w:sz w:val="20"/>
              </w:rPr>
            </w:pPr>
            <w:r w:rsidRPr="001D4AB7">
              <w:rPr>
                <w:sz w:val="20"/>
              </w:rPr>
              <w:t>Complete Phase 2 enrollment</w:t>
            </w:r>
          </w:p>
        </w:tc>
        <w:tc>
          <w:tcPr>
            <w:tcW w:w="5265" w:type="dxa"/>
            <w:gridSpan w:val="2"/>
            <w:tcBorders>
              <w:top w:val="single" w:sz="4" w:space="0" w:color="auto"/>
              <w:left w:val="single" w:sz="4" w:space="0" w:color="auto"/>
              <w:bottom w:val="single" w:sz="4" w:space="0" w:color="auto"/>
              <w:right w:val="nil"/>
            </w:tcBorders>
          </w:tcPr>
          <w:p w14:paraId="6F5952C4" w14:textId="49D6DD23" w:rsidR="001D4AB7" w:rsidRPr="001D4AB7" w:rsidRDefault="001D4AB7"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sidRPr="001D4AB7">
              <w:rPr>
                <w:sz w:val="20"/>
              </w:rPr>
              <w:t>3-4 months after enrollment begins</w:t>
            </w:r>
          </w:p>
        </w:tc>
      </w:tr>
      <w:tr w:rsidR="001D4AB7" w14:paraId="42582C25"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4E608275" w14:textId="52691C34" w:rsidR="001D4AB7" w:rsidRPr="001D4AB7" w:rsidRDefault="009A04F6" w:rsidP="001D4AB7">
            <w:pPr>
              <w:ind w:firstLine="0"/>
              <w:rPr>
                <w:sz w:val="20"/>
              </w:rPr>
            </w:pPr>
            <w:r>
              <w:rPr>
                <w:sz w:val="20"/>
              </w:rPr>
              <w:t>Conduct Phase 2, Trial C</w:t>
            </w:r>
          </w:p>
        </w:tc>
        <w:tc>
          <w:tcPr>
            <w:tcW w:w="5265" w:type="dxa"/>
            <w:gridSpan w:val="2"/>
            <w:tcBorders>
              <w:top w:val="single" w:sz="4" w:space="0" w:color="auto"/>
              <w:left w:val="single" w:sz="4" w:space="0" w:color="auto"/>
              <w:bottom w:val="single" w:sz="4" w:space="0" w:color="auto"/>
              <w:right w:val="nil"/>
            </w:tcBorders>
          </w:tcPr>
          <w:p w14:paraId="6779AFBF" w14:textId="11D6559E" w:rsidR="001D4AB7" w:rsidRPr="001D4AB7" w:rsidRDefault="00B52EB8" w:rsidP="006119F0">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w:t>
            </w:r>
            <w:r w:rsidR="001D4AB7" w:rsidRPr="001D4AB7">
              <w:rPr>
                <w:sz w:val="20"/>
              </w:rPr>
              <w:t xml:space="preserve"> 1-2 months after Phase 2 enrollment </w:t>
            </w:r>
            <w:r w:rsidR="006119F0">
              <w:rPr>
                <w:sz w:val="20"/>
              </w:rPr>
              <w:t>and data analysis for Phase 1 are completed</w:t>
            </w:r>
          </w:p>
        </w:tc>
      </w:tr>
      <w:tr w:rsidR="009A04F6" w14:paraId="764CC6F8"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046C51EB" w14:textId="27CE541A" w:rsidR="009A04F6" w:rsidRPr="001D4AB7" w:rsidRDefault="009A04F6" w:rsidP="001D4AB7">
            <w:pPr>
              <w:ind w:firstLine="0"/>
              <w:rPr>
                <w:sz w:val="20"/>
              </w:rPr>
            </w:pPr>
            <w:r>
              <w:rPr>
                <w:sz w:val="20"/>
              </w:rPr>
              <w:t>Analyze Phase 2, Trial C data</w:t>
            </w:r>
          </w:p>
        </w:tc>
        <w:tc>
          <w:tcPr>
            <w:tcW w:w="5265" w:type="dxa"/>
            <w:gridSpan w:val="2"/>
            <w:tcBorders>
              <w:top w:val="single" w:sz="4" w:space="0" w:color="auto"/>
              <w:left w:val="single" w:sz="4" w:space="0" w:color="auto"/>
              <w:bottom w:val="single" w:sz="4" w:space="0" w:color="auto"/>
              <w:right w:val="nil"/>
            </w:tcBorders>
          </w:tcPr>
          <w:p w14:paraId="4A8F4B69" w14:textId="12253C74" w:rsidR="009A04F6" w:rsidRPr="001D4AB7" w:rsidRDefault="00B52EB8"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w:t>
            </w:r>
            <w:r w:rsidR="009A04F6">
              <w:rPr>
                <w:sz w:val="20"/>
              </w:rPr>
              <w:t xml:space="preserve"> 1 month after Phase 2, Trial C is completed</w:t>
            </w:r>
          </w:p>
        </w:tc>
      </w:tr>
      <w:tr w:rsidR="009A04F6" w14:paraId="179FA6D7"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0F93E185" w14:textId="39EE4BFA" w:rsidR="009A04F6" w:rsidRDefault="009A04F6" w:rsidP="001D4AB7">
            <w:pPr>
              <w:ind w:firstLine="0"/>
              <w:rPr>
                <w:sz w:val="20"/>
              </w:rPr>
            </w:pPr>
            <w:r>
              <w:rPr>
                <w:sz w:val="20"/>
              </w:rPr>
              <w:lastRenderedPageBreak/>
              <w:t>Conduct Phase 2, Trial D</w:t>
            </w:r>
          </w:p>
        </w:tc>
        <w:tc>
          <w:tcPr>
            <w:tcW w:w="5265" w:type="dxa"/>
            <w:gridSpan w:val="2"/>
            <w:tcBorders>
              <w:top w:val="single" w:sz="4" w:space="0" w:color="auto"/>
              <w:left w:val="single" w:sz="4" w:space="0" w:color="auto"/>
              <w:bottom w:val="single" w:sz="4" w:space="0" w:color="auto"/>
              <w:right w:val="nil"/>
            </w:tcBorders>
          </w:tcPr>
          <w:p w14:paraId="373F6F5A" w14:textId="256BE111" w:rsidR="009A04F6" w:rsidRDefault="009A04F6"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 1-2 months after Phase 2, Trial C data analysis is completed</w:t>
            </w:r>
          </w:p>
        </w:tc>
      </w:tr>
      <w:tr w:rsidR="009A04F6" w14:paraId="30A47FBB"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6977B374" w14:textId="282767B3" w:rsidR="009A04F6" w:rsidRDefault="009A04F6" w:rsidP="001D4AB7">
            <w:pPr>
              <w:ind w:firstLine="0"/>
              <w:rPr>
                <w:sz w:val="20"/>
              </w:rPr>
            </w:pPr>
            <w:r>
              <w:rPr>
                <w:sz w:val="20"/>
              </w:rPr>
              <w:t>Analyze Phase 2, Trial D data</w:t>
            </w:r>
          </w:p>
        </w:tc>
        <w:tc>
          <w:tcPr>
            <w:tcW w:w="5265" w:type="dxa"/>
            <w:gridSpan w:val="2"/>
            <w:tcBorders>
              <w:top w:val="single" w:sz="4" w:space="0" w:color="auto"/>
              <w:left w:val="single" w:sz="4" w:space="0" w:color="auto"/>
              <w:bottom w:val="single" w:sz="4" w:space="0" w:color="auto"/>
              <w:right w:val="nil"/>
            </w:tcBorders>
          </w:tcPr>
          <w:p w14:paraId="302C5ACF" w14:textId="44447F3A" w:rsidR="009A04F6" w:rsidRDefault="00B52EB8" w:rsidP="009A04F6">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w:t>
            </w:r>
            <w:r w:rsidR="009A04F6">
              <w:rPr>
                <w:sz w:val="20"/>
              </w:rPr>
              <w:t xml:space="preserve"> 1 month after Phase 2, Trial D is completed</w:t>
            </w:r>
          </w:p>
        </w:tc>
      </w:tr>
      <w:tr w:rsidR="009A04F6" w14:paraId="657EB5AC" w14:textId="77777777" w:rsidTr="00D361CB">
        <w:tc>
          <w:tcPr>
            <w:cnfStyle w:val="001000000000" w:firstRow="0" w:lastRow="0" w:firstColumn="1" w:lastColumn="0" w:oddVBand="0" w:evenVBand="0" w:oddHBand="0" w:evenHBand="0" w:firstRowFirstColumn="0" w:firstRowLastColumn="0" w:lastRowFirstColumn="0" w:lastRowLastColumn="0"/>
            <w:tcW w:w="3123" w:type="dxa"/>
            <w:tcBorders>
              <w:top w:val="single" w:sz="4" w:space="0" w:color="auto"/>
              <w:left w:val="nil"/>
              <w:bottom w:val="single" w:sz="4" w:space="0" w:color="auto"/>
              <w:right w:val="single" w:sz="4" w:space="0" w:color="auto"/>
            </w:tcBorders>
          </w:tcPr>
          <w:p w14:paraId="0D31E7CA" w14:textId="490C746E" w:rsidR="009A04F6" w:rsidRDefault="009A04F6" w:rsidP="001D4AB7">
            <w:pPr>
              <w:ind w:firstLine="0"/>
              <w:rPr>
                <w:sz w:val="20"/>
              </w:rPr>
            </w:pPr>
            <w:r>
              <w:rPr>
                <w:sz w:val="20"/>
              </w:rPr>
              <w:t>Publication</w:t>
            </w:r>
          </w:p>
        </w:tc>
        <w:tc>
          <w:tcPr>
            <w:tcW w:w="5265" w:type="dxa"/>
            <w:gridSpan w:val="2"/>
            <w:tcBorders>
              <w:top w:val="single" w:sz="4" w:space="0" w:color="auto"/>
              <w:left w:val="single" w:sz="4" w:space="0" w:color="auto"/>
              <w:bottom w:val="single" w:sz="4" w:space="0" w:color="auto"/>
              <w:right w:val="nil"/>
            </w:tcBorders>
          </w:tcPr>
          <w:p w14:paraId="4E95D7A5" w14:textId="44000F47" w:rsidR="009A04F6" w:rsidRDefault="00B52EB8" w:rsidP="001D4AB7">
            <w:pPr>
              <w:ind w:left="27" w:firstLine="0"/>
              <w:cnfStyle w:val="000000000000" w:firstRow="0" w:lastRow="0" w:firstColumn="0" w:lastColumn="0" w:oddVBand="0" w:evenVBand="0" w:oddHBand="0" w:evenHBand="0" w:firstRowFirstColumn="0" w:firstRowLastColumn="0" w:lastRowFirstColumn="0" w:lastRowLastColumn="0"/>
              <w:rPr>
                <w:sz w:val="20"/>
              </w:rPr>
            </w:pPr>
            <w:r>
              <w:rPr>
                <w:sz w:val="20"/>
              </w:rPr>
              <w:t>Start</w:t>
            </w:r>
            <w:r w:rsidR="009A04F6">
              <w:rPr>
                <w:sz w:val="20"/>
              </w:rPr>
              <w:t xml:space="preserve"> </w:t>
            </w:r>
            <w:r>
              <w:rPr>
                <w:sz w:val="20"/>
              </w:rPr>
              <w:t>manuscript preparation</w:t>
            </w:r>
            <w:r w:rsidR="009A04F6">
              <w:rPr>
                <w:sz w:val="20"/>
              </w:rPr>
              <w:t xml:space="preserve"> 1-2 months after all data analysis is completed</w:t>
            </w:r>
          </w:p>
        </w:tc>
      </w:tr>
    </w:tbl>
    <w:p w14:paraId="7B0EEDB4" w14:textId="77777777" w:rsidR="00D27464" w:rsidRDefault="00D27464" w:rsidP="008A120A"/>
    <w:p w14:paraId="56B175CC" w14:textId="7ECCEA27" w:rsidR="002E16F1" w:rsidRDefault="00F379A5" w:rsidP="00853BB7">
      <w:pPr>
        <w:rPr>
          <w:color w:val="1F497D"/>
        </w:rPr>
      </w:pPr>
      <w:r>
        <w:t xml:space="preserve">The primary goal of this study is to </w:t>
      </w:r>
      <w:r w:rsidR="007724E4">
        <w:t xml:space="preserve">explore alternate </w:t>
      </w:r>
      <w:r>
        <w:t>LoC framework</w:t>
      </w:r>
      <w:r w:rsidR="007724E4">
        <w:t>s</w:t>
      </w:r>
      <w:r>
        <w:t xml:space="preserve"> </w:t>
      </w:r>
      <w:r w:rsidR="007724E4">
        <w:t>that seek to integrate the</w:t>
      </w:r>
      <w:r>
        <w:t xml:space="preserve"> new hazard conclusions into the decision-making process and </w:t>
      </w:r>
      <w:r w:rsidR="007724E4">
        <w:t xml:space="preserve">to </w:t>
      </w:r>
      <w:r>
        <w:t>re-asse</w:t>
      </w:r>
      <w:r w:rsidR="00D27464">
        <w:t>ss the number and labels of LoC</w:t>
      </w:r>
      <w:r w:rsidR="004B3979">
        <w:t xml:space="preserve"> </w:t>
      </w:r>
      <w:r>
        <w:t>categories</w:t>
      </w:r>
      <w:r w:rsidR="007724E4">
        <w:t xml:space="preserve">.  This study will serve as a preliminary </w:t>
      </w:r>
      <w:r w:rsidR="00B6535A" w:rsidRPr="00C32AAA">
        <w:t>step in the larger effort</w:t>
      </w:r>
      <w:r w:rsidR="00B6535A">
        <w:t xml:space="preserve"> </w:t>
      </w:r>
      <w:r w:rsidR="007724E4">
        <w:t xml:space="preserve">toward </w:t>
      </w:r>
      <w:r w:rsidR="002E16F1">
        <w:t>modifying the LoC fram</w:t>
      </w:r>
      <w:r w:rsidR="00C32AAA">
        <w:t>e</w:t>
      </w:r>
      <w:r w:rsidR="002E16F1">
        <w:t>work</w:t>
      </w:r>
      <w:r>
        <w:t xml:space="preserve"> to enhance </w:t>
      </w:r>
      <w:r w:rsidR="002E16F1">
        <w:t xml:space="preserve">its </w:t>
      </w:r>
      <w:r>
        <w:t>transparency and use as a communication tool</w:t>
      </w:r>
      <w:r w:rsidR="00861190">
        <w:t xml:space="preserve">—which will be tested in the future using cognitive testing of focus groups composed of experts </w:t>
      </w:r>
      <w:r w:rsidR="002E16F1">
        <w:t xml:space="preserve">from the five stakeholder sectors </w:t>
      </w:r>
      <w:r w:rsidR="00861190">
        <w:t>and members of the general public</w:t>
      </w:r>
      <w:r>
        <w:t xml:space="preserve">. </w:t>
      </w:r>
      <w:r w:rsidR="002E16F1">
        <w:t xml:space="preserve">In particular, the study results will help determine the number of categories and potential category labels according to </w:t>
      </w:r>
      <w:r w:rsidR="00B6535A" w:rsidRPr="00C32AAA">
        <w:t>a sorting tasking using a sample of</w:t>
      </w:r>
      <w:r w:rsidR="002E16F1">
        <w:t xml:space="preserve"> hypothetical LoC scenarios. Future testing will review and refine these results to ensure clarity and facilitate risk communication. </w:t>
      </w:r>
      <w:r w:rsidR="00853BB7" w:rsidRPr="002E16F1">
        <w:rPr>
          <w:color w:val="000000" w:themeColor="text1"/>
        </w:rPr>
        <w:t xml:space="preserve">Results communicated in any presentations, publications, or reports will clearly describe that findings from this exploratory study are preliminary and based on a convenience sample of respondents examining hazard situations that may not be representative of the universe of hazard and exposure scenarios for all substances.  All communications and reports will detail that outcomes are not intended to be implemented as an updated Level of Concern framework.  Future cognitive testing of any alternate LoC models will be conducted using respondents from the general public as well as experts from </w:t>
      </w:r>
      <w:r w:rsidR="002E16F1">
        <w:rPr>
          <w:color w:val="000000" w:themeColor="text1"/>
        </w:rPr>
        <w:t>the five stakeholder sectors</w:t>
      </w:r>
      <w:r w:rsidR="00853BB7" w:rsidRPr="002E16F1">
        <w:rPr>
          <w:color w:val="000000" w:themeColor="text1"/>
        </w:rPr>
        <w:t xml:space="preserve"> prior to any formal implementation or communication of an updated LoC framework.</w:t>
      </w:r>
      <w:r w:rsidR="002E16F1" w:rsidRPr="002E16F1">
        <w:rPr>
          <w:color w:val="1F497D"/>
        </w:rPr>
        <w:t xml:space="preserve"> </w:t>
      </w:r>
    </w:p>
    <w:p w14:paraId="2700CA22" w14:textId="163FD19B" w:rsidR="006D061C" w:rsidRDefault="002E16F1" w:rsidP="002E16F1">
      <w:r>
        <w:rPr>
          <w:color w:val="1F497D"/>
        </w:rPr>
        <w:t xml:space="preserve">There are several limitations to this exploratory study. Because a complete sampling frame (list of all possible participants) is not readily available, an approximate sampling frame will be formed through communications with federal and state agencies, non-government organizations, </w:t>
      </w:r>
      <w:r>
        <w:rPr>
          <w:color w:val="1F497D"/>
        </w:rPr>
        <w:lastRenderedPageBreak/>
        <w:t>and professional societies, as well as NTP listserv and advisory groups. Using this list, participants will be selected from each of the five stakeholder sectors. It is possible that this approximate sampling frame may not adequately represent the stakeholders, although every effort will be made to include as many potential participants in this list as feasible. In addition, the 40 LoC scenario cards are, by necessity, brief and may not span the entire range of possible scenarios; however, these cards have been reviewed by scientists</w:t>
      </w:r>
      <w:bookmarkStart w:id="51" w:name="_GoBack"/>
      <w:bookmarkEnd w:id="51"/>
      <w:r>
        <w:rPr>
          <w:color w:val="1F497D"/>
        </w:rPr>
        <w:t xml:space="preserve"> with expertise in toxicology, epidemiology, and risk assessment to ensure that they adequately cover the scenarios typically encountered in NTP hazard assessment activities. Although the general public is an important stakeholder sector, this sector’s opinions are not being solicited in this exploratory study. Instead, the outcomes of this study will be used to formulate potential updates to the LoC framework, which would then be evaluated in a separate forthcoming study that includes the general public. The results from the proposed exploratory study will not be used to directly update the LoC framework. Rather, it will provide data on potential changes to the LoC framework that can be used to plan a focused evaluation of consumer/public perception and interpretation of the framework that involves all stakeholder sectors, including the general public.</w:t>
      </w:r>
    </w:p>
    <w:p w14:paraId="645730E6" w14:textId="77777777" w:rsidR="006D061C" w:rsidRPr="001D040C" w:rsidRDefault="006D061C" w:rsidP="00B44FBF">
      <w:pPr>
        <w:pStyle w:val="Heading3"/>
      </w:pPr>
      <w:bookmarkStart w:id="52" w:name="_Toc129590322"/>
      <w:bookmarkStart w:id="53" w:name="_Toc129668564"/>
      <w:bookmarkStart w:id="54" w:name="_Toc314995114"/>
      <w:r w:rsidRPr="001D040C">
        <w:t xml:space="preserve">A.17. </w:t>
      </w:r>
      <w:r w:rsidR="000606CA" w:rsidRPr="001D040C">
        <w:t xml:space="preserve"> </w:t>
      </w:r>
      <w:r w:rsidRPr="001D040C">
        <w:t>Reason(s) Display of OMB Expiration Date is Inappropriate</w:t>
      </w:r>
      <w:bookmarkEnd w:id="52"/>
      <w:bookmarkEnd w:id="53"/>
      <w:bookmarkEnd w:id="54"/>
    </w:p>
    <w:p w14:paraId="7D0CA2EE" w14:textId="0C96914D" w:rsidR="00942F29" w:rsidRDefault="00F379A5" w:rsidP="00B44FBF">
      <w:r>
        <w:t>Not applicable. We anticipate completion of this study prior to the expiration date of the OMB control number.</w:t>
      </w:r>
    </w:p>
    <w:p w14:paraId="799001D7" w14:textId="77777777" w:rsidR="006D061C" w:rsidRPr="001D040C" w:rsidRDefault="00B64409" w:rsidP="00B44FBF">
      <w:pPr>
        <w:pStyle w:val="Heading3"/>
      </w:pPr>
      <w:bookmarkStart w:id="55" w:name="_Toc129590323"/>
      <w:bookmarkStart w:id="56" w:name="_Toc129668565"/>
      <w:bookmarkStart w:id="57" w:name="_Toc314995115"/>
      <w:r w:rsidRPr="001D040C">
        <w:t>A.</w:t>
      </w:r>
      <w:r w:rsidR="006D061C" w:rsidRPr="001D040C">
        <w:t xml:space="preserve">18. </w:t>
      </w:r>
      <w:r w:rsidRPr="001D040C">
        <w:t xml:space="preserve"> </w:t>
      </w:r>
      <w:r w:rsidR="006D061C" w:rsidRPr="001D040C">
        <w:t>Exceptions to Certification for Paperwork Reduction Act Submissions</w:t>
      </w:r>
      <w:bookmarkEnd w:id="55"/>
      <w:bookmarkEnd w:id="56"/>
      <w:bookmarkEnd w:id="57"/>
    </w:p>
    <w:p w14:paraId="4EE9B8A7" w14:textId="77777777" w:rsidR="00C366D8" w:rsidRDefault="006D061C" w:rsidP="00B44FBF">
      <w:r w:rsidRPr="001D040C">
        <w:t>There are no exceptions to certification for this submission.</w:t>
      </w:r>
    </w:p>
    <w:p w14:paraId="57EBA577" w14:textId="063799B4" w:rsidR="006B29B7" w:rsidRDefault="006B29B7">
      <w:pPr>
        <w:spacing w:line="240" w:lineRule="auto"/>
        <w:ind w:firstLine="0"/>
      </w:pPr>
      <w:r>
        <w:br w:type="page"/>
      </w:r>
    </w:p>
    <w:p w14:paraId="72BB5C4C" w14:textId="77777777" w:rsidR="006B29B7" w:rsidRPr="00E554F9" w:rsidRDefault="006B29B7" w:rsidP="006B29B7">
      <w:pPr>
        <w:pStyle w:val="Heading3"/>
        <w:ind w:left="0" w:firstLine="18"/>
      </w:pPr>
      <w:bookmarkStart w:id="58" w:name="_Toc314995116"/>
      <w:r>
        <w:lastRenderedPageBreak/>
        <w:t>References</w:t>
      </w:r>
      <w:bookmarkEnd w:id="58"/>
    </w:p>
    <w:p w14:paraId="18D0CAB8" w14:textId="77777777" w:rsidR="006B29B7" w:rsidRDefault="006B29B7" w:rsidP="006B29B7">
      <w:pPr>
        <w:ind w:left="720" w:hanging="720"/>
        <w:rPr>
          <w:noProof/>
        </w:rPr>
      </w:pPr>
      <w:r>
        <w:fldChar w:fldCharType="begin"/>
      </w:r>
      <w:r>
        <w:instrText xml:space="preserve"> ADDIN EN.REFLIST </w:instrText>
      </w:r>
      <w:r>
        <w:fldChar w:fldCharType="separate"/>
      </w:r>
      <w:r>
        <w:rPr>
          <w:noProof/>
        </w:rPr>
        <w:t>Birnbaum LS, Thayer KA, Bucher JR, Wolfe MS. 2013. Implementing systematic review at the National Toxicology Program: Status and next steps. Environmental health perspectives 121(4):A108-109.</w:t>
      </w:r>
    </w:p>
    <w:p w14:paraId="1CFDB91B" w14:textId="77777777" w:rsidR="006B29B7" w:rsidRDefault="006B29B7" w:rsidP="006B29B7">
      <w:pPr>
        <w:ind w:left="720" w:hanging="720"/>
        <w:rPr>
          <w:noProof/>
        </w:rPr>
      </w:pPr>
      <w:r>
        <w:rPr>
          <w:noProof/>
        </w:rPr>
        <w:t>Bucher JR, Thayer K, Birnbaum LS. 2011. The Office of Health Assessment and Translation: A problem-solving resource for the National Toxicology Program. Environmental health perspectives 119(5):A196-197.</w:t>
      </w:r>
    </w:p>
    <w:p w14:paraId="4CB3067E" w14:textId="77777777" w:rsidR="006B29B7" w:rsidRDefault="006B29B7" w:rsidP="006B29B7">
      <w:pPr>
        <w:ind w:left="720" w:hanging="720"/>
        <w:rPr>
          <w:noProof/>
        </w:rPr>
      </w:pPr>
      <w:r>
        <w:rPr>
          <w:noProof/>
        </w:rPr>
        <w:t>National Toxicology Program (NTP). 2014. Annual Report for Fiscal Year 2013. National Toxicology Program. US Department of Health and Human Service. NIH Pub No. 14-5955. 92 pgs.</w:t>
      </w:r>
    </w:p>
    <w:p w14:paraId="0B0CE6C5" w14:textId="77777777" w:rsidR="006B29B7" w:rsidRDefault="006B29B7" w:rsidP="006B29B7">
      <w:pPr>
        <w:ind w:left="720" w:hanging="720"/>
        <w:rPr>
          <w:noProof/>
        </w:rPr>
      </w:pPr>
      <w:r>
        <w:rPr>
          <w:noProof/>
        </w:rPr>
        <w:t>National Toxicology Program (NTP). 1978. Jospeh A. Califano, Jr. Secretary, Health, Education, and Welfare. [43 (221) Fed. Reg. 53060-53061, Nov 15, 2978.].</w:t>
      </w:r>
    </w:p>
    <w:p w14:paraId="08FDC2A0" w14:textId="77777777" w:rsidR="006B29B7" w:rsidRDefault="006B29B7" w:rsidP="006B29B7">
      <w:pPr>
        <w:ind w:left="720" w:hanging="720"/>
        <w:rPr>
          <w:noProof/>
        </w:rPr>
      </w:pPr>
      <w:r>
        <w:rPr>
          <w:noProof/>
        </w:rPr>
        <w:t xml:space="preserve">NTP (National Toxicology Program). 2013. Board of Scientific Counselors June 25, 2013  meeting. Meeting materials available at </w:t>
      </w:r>
      <w:hyperlink r:id="rId12" w:history="1">
        <w:r w:rsidRPr="00C366D8">
          <w:rPr>
            <w:rStyle w:val="Hyperlink"/>
            <w:noProof/>
          </w:rPr>
          <w:t>http://ntp.niehs.nih.gov/go/40246</w:t>
        </w:r>
      </w:hyperlink>
      <w:r>
        <w:rPr>
          <w:noProof/>
        </w:rPr>
        <w:t xml:space="preserve"> [accessed 9 August 2014].</w:t>
      </w:r>
    </w:p>
    <w:p w14:paraId="0A202A4D" w14:textId="77777777" w:rsidR="006B29B7" w:rsidRDefault="006B29B7" w:rsidP="006B29B7">
      <w:pPr>
        <w:ind w:left="720" w:hanging="720"/>
        <w:rPr>
          <w:noProof/>
        </w:rPr>
      </w:pPr>
      <w:r>
        <w:rPr>
          <w:noProof/>
        </w:rPr>
        <w:t xml:space="preserve">NTP (National Toxicology Program). 2008. Peer review report for draft OHAT Monograph on Bisphenol A, June 11-12, 2008, </w:t>
      </w:r>
      <w:hyperlink r:id="rId13" w:history="1">
        <w:r w:rsidRPr="00C366D8">
          <w:rPr>
            <w:rStyle w:val="Hyperlink"/>
            <w:noProof/>
          </w:rPr>
          <w:t>http://ntp.niehs.nih.gov/ntp/about_ntp/bsc/2008/june/minutes20080612.pdf;</w:t>
        </w:r>
      </w:hyperlink>
      <w:r>
        <w:rPr>
          <w:noProof/>
        </w:rPr>
        <w:t xml:space="preserve"> [accessed 29 September 2014].</w:t>
      </w:r>
    </w:p>
    <w:p w14:paraId="0F038BF7" w14:textId="77777777" w:rsidR="006B29B7" w:rsidRDefault="006B29B7" w:rsidP="006B29B7">
      <w:pPr>
        <w:ind w:left="720" w:hanging="720"/>
        <w:rPr>
          <w:noProof/>
        </w:rPr>
      </w:pPr>
      <w:r>
        <w:rPr>
          <w:noProof/>
        </w:rPr>
        <w:t>Rooney AA, Boyles AL, Wolfe MS, Bucher JR, Thayer KA. 2014. Systematic review and evidence integration for literature-based environmental health science assessments. Environmental health perspectives.</w:t>
      </w:r>
    </w:p>
    <w:p w14:paraId="1E104F35" w14:textId="161D3ADB" w:rsidR="006B29B7" w:rsidRDefault="006B29B7" w:rsidP="006B29B7">
      <w:r>
        <w:fldChar w:fldCharType="end"/>
      </w:r>
    </w:p>
    <w:sectPr w:rsidR="006B29B7" w:rsidSect="00820DE1">
      <w:type w:val="continuous"/>
      <w:pgSz w:w="12240" w:h="15840" w:code="1"/>
      <w:pgMar w:top="1440" w:right="207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3DEE6" w14:textId="77777777" w:rsidR="00C30375" w:rsidRDefault="00C30375">
      <w:r>
        <w:separator/>
      </w:r>
    </w:p>
  </w:endnote>
  <w:endnote w:type="continuationSeparator" w:id="0">
    <w:p w14:paraId="3DE46E20" w14:textId="77777777" w:rsidR="00C30375" w:rsidRDefault="00C3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A43F" w14:textId="40AC3FEF" w:rsidR="00610A7F" w:rsidRDefault="00610A7F" w:rsidP="00CD79C7">
    <w:pPr>
      <w:pStyle w:val="Footer"/>
      <w:tabs>
        <w:tab w:val="clear" w:pos="8640"/>
        <w:tab w:val="right" w:pos="9360"/>
      </w:tabs>
      <w:spacing w:line="240" w:lineRule="auto"/>
      <w:ind w:firstLine="0"/>
      <w:rPr>
        <w:rStyle w:val="PageNumber"/>
        <w:i/>
        <w:sz w:val="18"/>
        <w:szCs w:val="18"/>
      </w:rPr>
    </w:pPr>
    <w:r>
      <w:rPr>
        <w:i/>
        <w:sz w:val="18"/>
        <w:szCs w:val="18"/>
      </w:rPr>
      <w:t>Level of Concern Study—OMB 2015</w:t>
    </w:r>
    <w:r w:rsidRPr="00C57D52">
      <w:rPr>
        <w:i/>
        <w:sz w:val="18"/>
        <w:szCs w:val="18"/>
      </w:rPr>
      <w:t>: Supporting Statement A</w:t>
    </w:r>
    <w:r>
      <w:rPr>
        <w:i/>
        <w:sz w:val="18"/>
        <w:szCs w:val="18"/>
      </w:rPr>
      <w:tab/>
    </w:r>
    <w:r w:rsidRPr="00C57D52">
      <w:rPr>
        <w:i/>
        <w:sz w:val="18"/>
        <w:szCs w:val="18"/>
      </w:rPr>
      <w:t xml:space="preserve">page </w:t>
    </w:r>
    <w:r w:rsidRPr="00C57D52">
      <w:rPr>
        <w:rStyle w:val="PageNumber"/>
        <w:i/>
        <w:sz w:val="18"/>
        <w:szCs w:val="18"/>
      </w:rPr>
      <w:fldChar w:fldCharType="begin"/>
    </w:r>
    <w:r w:rsidRPr="00C57D52">
      <w:rPr>
        <w:rStyle w:val="PageNumber"/>
        <w:i/>
        <w:sz w:val="18"/>
        <w:szCs w:val="18"/>
      </w:rPr>
      <w:instrText xml:space="preserve"> PAGE </w:instrText>
    </w:r>
    <w:r w:rsidRPr="00C57D52">
      <w:rPr>
        <w:rStyle w:val="PageNumber"/>
        <w:i/>
        <w:sz w:val="18"/>
        <w:szCs w:val="18"/>
      </w:rPr>
      <w:fldChar w:fldCharType="separate"/>
    </w:r>
    <w:r w:rsidR="008D4363">
      <w:rPr>
        <w:rStyle w:val="PageNumber"/>
        <w:i/>
        <w:noProof/>
        <w:sz w:val="18"/>
        <w:szCs w:val="18"/>
      </w:rPr>
      <w:t>21</w:t>
    </w:r>
    <w:r w:rsidRPr="00C57D52">
      <w:rPr>
        <w:rStyle w:val="PageNumber"/>
        <w:i/>
        <w:sz w:val="18"/>
        <w:szCs w:val="18"/>
      </w:rPr>
      <w:fldChar w:fldCharType="end"/>
    </w:r>
    <w:r w:rsidRPr="00C57D52">
      <w:rPr>
        <w:rStyle w:val="PageNumber"/>
        <w:i/>
        <w:sz w:val="18"/>
        <w:szCs w:val="18"/>
      </w:rPr>
      <w:t xml:space="preserve"> of </w:t>
    </w:r>
    <w:r w:rsidRPr="00C57D52">
      <w:rPr>
        <w:rStyle w:val="PageNumber"/>
        <w:i/>
        <w:sz w:val="18"/>
        <w:szCs w:val="18"/>
      </w:rPr>
      <w:fldChar w:fldCharType="begin"/>
    </w:r>
    <w:r w:rsidRPr="00C57D52">
      <w:rPr>
        <w:rStyle w:val="PageNumber"/>
        <w:i/>
        <w:sz w:val="18"/>
        <w:szCs w:val="18"/>
      </w:rPr>
      <w:instrText xml:space="preserve"> NUMPAGES </w:instrText>
    </w:r>
    <w:r w:rsidRPr="00C57D52">
      <w:rPr>
        <w:rStyle w:val="PageNumber"/>
        <w:i/>
        <w:sz w:val="18"/>
        <w:szCs w:val="18"/>
      </w:rPr>
      <w:fldChar w:fldCharType="separate"/>
    </w:r>
    <w:r w:rsidR="008D4363">
      <w:rPr>
        <w:rStyle w:val="PageNumber"/>
        <w:i/>
        <w:noProof/>
        <w:sz w:val="18"/>
        <w:szCs w:val="18"/>
      </w:rPr>
      <w:t>21</w:t>
    </w:r>
    <w:r w:rsidRPr="00C57D52">
      <w:rPr>
        <w:rStyle w:val="PageNumber"/>
        <w:i/>
        <w:sz w:val="18"/>
        <w:szCs w:val="18"/>
      </w:rPr>
      <w:fldChar w:fldCharType="end"/>
    </w:r>
  </w:p>
  <w:p w14:paraId="6B46FBE7" w14:textId="14D5443A" w:rsidR="00610A7F" w:rsidRPr="00C57D52" w:rsidRDefault="00610A7F" w:rsidP="00CD79C7">
    <w:pPr>
      <w:pStyle w:val="Footer"/>
      <w:tabs>
        <w:tab w:val="clear" w:pos="8640"/>
        <w:tab w:val="right" w:pos="9360"/>
      </w:tabs>
      <w:spacing w:line="240" w:lineRule="auto"/>
      <w:ind w:firstLine="0"/>
      <w:rPr>
        <w:i/>
        <w:sz w:val="18"/>
        <w:szCs w:val="18"/>
      </w:rPr>
    </w:pPr>
    <w:r>
      <w:rPr>
        <w:rStyle w:val="PageNumber"/>
        <w:i/>
        <w:sz w:val="18"/>
        <w:szCs w:val="18"/>
      </w:rPr>
      <w:t>063015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4DD2" w14:textId="2958EF77" w:rsidR="00610A7F" w:rsidRPr="00D51D6C" w:rsidRDefault="00610A7F" w:rsidP="00D51D6C">
    <w:pPr>
      <w:pStyle w:val="Footer"/>
      <w:tabs>
        <w:tab w:val="clear" w:pos="4320"/>
        <w:tab w:val="clear" w:pos="8640"/>
        <w:tab w:val="center" w:pos="5040"/>
        <w:tab w:val="right" w:pos="9360"/>
      </w:tabs>
      <w:rPr>
        <w:i/>
        <w:sz w:val="18"/>
        <w:szCs w:val="18"/>
      </w:rPr>
    </w:pPr>
    <w:r w:rsidRPr="00D51D6C">
      <w:rPr>
        <w:i/>
        <w:snapToGrid w:val="0"/>
        <w:sz w:val="18"/>
        <w:szCs w:val="18"/>
      </w:rPr>
      <w:t>Sister Study OMB Supporting Statement</w:t>
    </w:r>
    <w:r w:rsidRPr="00D51D6C">
      <w:rPr>
        <w:i/>
        <w:snapToGrid w:val="0"/>
        <w:sz w:val="18"/>
        <w:szCs w:val="18"/>
      </w:rPr>
      <w:tab/>
      <w:t>08 March 2006</w:t>
    </w:r>
    <w:r w:rsidRPr="00D51D6C">
      <w:rPr>
        <w:i/>
        <w:snapToGrid w:val="0"/>
        <w:sz w:val="18"/>
        <w:szCs w:val="18"/>
      </w:rPr>
      <w:tab/>
      <w:t xml:space="preserve">page </w:t>
    </w:r>
    <w:r w:rsidRPr="00D51D6C">
      <w:rPr>
        <w:rStyle w:val="PageNumber"/>
        <w:i/>
        <w:sz w:val="18"/>
        <w:szCs w:val="18"/>
      </w:rPr>
      <w:fldChar w:fldCharType="begin"/>
    </w:r>
    <w:r w:rsidRPr="00D51D6C">
      <w:rPr>
        <w:rStyle w:val="PageNumber"/>
        <w:i/>
        <w:sz w:val="18"/>
        <w:szCs w:val="18"/>
      </w:rPr>
      <w:instrText xml:space="preserve"> PAGE </w:instrText>
    </w:r>
    <w:r w:rsidRPr="00D51D6C">
      <w:rPr>
        <w:rStyle w:val="PageNumber"/>
        <w:i/>
        <w:sz w:val="18"/>
        <w:szCs w:val="18"/>
      </w:rPr>
      <w:fldChar w:fldCharType="separate"/>
    </w:r>
    <w:r>
      <w:rPr>
        <w:rStyle w:val="PageNumber"/>
        <w:i/>
        <w:noProof/>
        <w:sz w:val="18"/>
        <w:szCs w:val="18"/>
      </w:rPr>
      <w:t>2</w:t>
    </w:r>
    <w:r w:rsidRPr="00D51D6C">
      <w:rPr>
        <w:rStyle w:val="PageNumber"/>
        <w:i/>
        <w:sz w:val="18"/>
        <w:szCs w:val="18"/>
      </w:rPr>
      <w:fldChar w:fldCharType="end"/>
    </w:r>
    <w:r w:rsidRPr="00D51D6C">
      <w:rPr>
        <w:rStyle w:val="PageNumber"/>
        <w:i/>
        <w:sz w:val="18"/>
        <w:szCs w:val="18"/>
      </w:rPr>
      <w:t xml:space="preserve"> of </w:t>
    </w:r>
    <w:r w:rsidRPr="00D51D6C">
      <w:rPr>
        <w:rStyle w:val="PageNumber"/>
        <w:i/>
        <w:sz w:val="18"/>
        <w:szCs w:val="18"/>
      </w:rPr>
      <w:fldChar w:fldCharType="begin"/>
    </w:r>
    <w:r w:rsidRPr="00D51D6C">
      <w:rPr>
        <w:rStyle w:val="PageNumber"/>
        <w:i/>
        <w:sz w:val="18"/>
        <w:szCs w:val="18"/>
      </w:rPr>
      <w:instrText xml:space="preserve"> NUMPAGES </w:instrText>
    </w:r>
    <w:r w:rsidRPr="00D51D6C">
      <w:rPr>
        <w:rStyle w:val="PageNumber"/>
        <w:i/>
        <w:sz w:val="18"/>
        <w:szCs w:val="18"/>
      </w:rPr>
      <w:fldChar w:fldCharType="separate"/>
    </w:r>
    <w:r>
      <w:rPr>
        <w:rStyle w:val="PageNumber"/>
        <w:i/>
        <w:noProof/>
        <w:sz w:val="18"/>
        <w:szCs w:val="18"/>
      </w:rPr>
      <w:t>19</w:t>
    </w:r>
    <w:r w:rsidRPr="00D51D6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578F7" w14:textId="77777777" w:rsidR="00C30375" w:rsidRDefault="00C30375">
      <w:r>
        <w:separator/>
      </w:r>
    </w:p>
  </w:footnote>
  <w:footnote w:type="continuationSeparator" w:id="0">
    <w:p w14:paraId="7965062F" w14:textId="77777777" w:rsidR="00C30375" w:rsidRDefault="00C30375">
      <w:r>
        <w:continuationSeparator/>
      </w:r>
    </w:p>
  </w:footnote>
  <w:footnote w:id="1">
    <w:p w14:paraId="0232C271" w14:textId="77777777" w:rsidR="00610A7F" w:rsidRPr="00D66265" w:rsidRDefault="00610A7F" w:rsidP="009E2953">
      <w:pPr>
        <w:spacing w:before="100" w:beforeAutospacing="1" w:after="100" w:afterAutospacing="1"/>
        <w:ind w:firstLine="0"/>
        <w:rPr>
          <w:sz w:val="20"/>
        </w:rPr>
      </w:pPr>
      <w:r w:rsidRPr="00D66265">
        <w:rPr>
          <w:rStyle w:val="FootnoteReference"/>
          <w:sz w:val="20"/>
        </w:rPr>
        <w:footnoteRef/>
      </w:r>
      <w:r w:rsidRPr="00D66265">
        <w:rPr>
          <w:sz w:val="20"/>
        </w:rPr>
        <w:t xml:space="preserve"> For more information about NTP and its programs, visit http://ntp.niehs.nih.gov/ </w:t>
      </w:r>
    </w:p>
    <w:p w14:paraId="298E7C45" w14:textId="36812BFC" w:rsidR="00610A7F" w:rsidRDefault="00610A7F">
      <w:pPr>
        <w:pStyle w:val="FootnoteText"/>
      </w:pPr>
    </w:p>
  </w:footnote>
  <w:footnote w:id="2">
    <w:p w14:paraId="5A6427A0" w14:textId="2CD8BCE6" w:rsidR="00610A7F" w:rsidRPr="00D66265" w:rsidRDefault="00610A7F" w:rsidP="00D66265">
      <w:pPr>
        <w:pStyle w:val="FootnoteText"/>
        <w:ind w:firstLine="0"/>
        <w:rPr>
          <w:sz w:val="20"/>
          <w:szCs w:val="20"/>
        </w:rPr>
      </w:pPr>
      <w:r w:rsidRPr="00D66265">
        <w:rPr>
          <w:rStyle w:val="FootnoteReference"/>
          <w:sz w:val="20"/>
          <w:szCs w:val="20"/>
        </w:rPr>
        <w:footnoteRef/>
      </w:r>
      <w:r w:rsidRPr="00D66265">
        <w:rPr>
          <w:sz w:val="20"/>
          <w:szCs w:val="20"/>
        </w:rPr>
        <w:t xml:space="preserve"> </w:t>
      </w:r>
      <w:r w:rsidRPr="00014365">
        <w:rPr>
          <w:i/>
          <w:sz w:val="20"/>
          <w:szCs w:val="20"/>
        </w:rPr>
        <w:t>ibid</w:t>
      </w:r>
      <w:r w:rsidRPr="00D66265">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2E28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6DE6D6D"/>
    <w:multiLevelType w:val="hybridMultilevel"/>
    <w:tmpl w:val="FF76F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4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FC0E1B"/>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5" w15:restartNumberingAfterBreak="0">
    <w:nsid w:val="1E030AAB"/>
    <w:multiLevelType w:val="hybridMultilevel"/>
    <w:tmpl w:val="2F9E1ADE"/>
    <w:lvl w:ilvl="0" w:tplc="A71431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647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997773"/>
    <w:multiLevelType w:val="hybridMultilevel"/>
    <w:tmpl w:val="E46CB29A"/>
    <w:lvl w:ilvl="0" w:tplc="F6B40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BF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300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2914FD"/>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2" w15:restartNumberingAfterBreak="0">
    <w:nsid w:val="4B6E79E9"/>
    <w:multiLevelType w:val="hybridMultilevel"/>
    <w:tmpl w:val="B3E611C4"/>
    <w:lvl w:ilvl="0" w:tplc="F5882276">
      <w:start w:val="1"/>
      <w:numFmt w:val="decimal"/>
      <w:lvlText w:val="%1."/>
      <w:lvlJc w:val="left"/>
      <w:pPr>
        <w:tabs>
          <w:tab w:val="num" w:pos="756"/>
        </w:tabs>
        <w:ind w:left="756" w:hanging="576"/>
      </w:pPr>
      <w:rPr>
        <w:rFonts w:hint="default"/>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E8634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4" w15:restartNumberingAfterBreak="0">
    <w:nsid w:val="54B3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200265"/>
    <w:multiLevelType w:val="hybridMultilevel"/>
    <w:tmpl w:val="0BB0C33C"/>
    <w:lvl w:ilvl="0" w:tplc="2914638A">
      <w:start w:val="1"/>
      <w:numFmt w:val="bullet"/>
      <w:lvlText w:val=""/>
      <w:lvlJc w:val="left"/>
      <w:pPr>
        <w:tabs>
          <w:tab w:val="num" w:pos="1560"/>
        </w:tabs>
        <w:ind w:left="1560" w:hanging="360"/>
      </w:pPr>
      <w:rPr>
        <w:rFonts w:ascii="Symbol" w:hAnsi="Symbol" w:hint="default"/>
      </w:rPr>
    </w:lvl>
    <w:lvl w:ilvl="1" w:tplc="137AB602" w:tentative="1">
      <w:start w:val="1"/>
      <w:numFmt w:val="bullet"/>
      <w:lvlText w:val="o"/>
      <w:lvlJc w:val="left"/>
      <w:pPr>
        <w:tabs>
          <w:tab w:val="num" w:pos="2280"/>
        </w:tabs>
        <w:ind w:left="2280" w:hanging="360"/>
      </w:pPr>
      <w:rPr>
        <w:rFonts w:ascii="Courier New" w:hAnsi="Courier New" w:hint="default"/>
      </w:rPr>
    </w:lvl>
    <w:lvl w:ilvl="2" w:tplc="E2C677BE" w:tentative="1">
      <w:start w:val="1"/>
      <w:numFmt w:val="bullet"/>
      <w:lvlText w:val=""/>
      <w:lvlJc w:val="left"/>
      <w:pPr>
        <w:tabs>
          <w:tab w:val="num" w:pos="3000"/>
        </w:tabs>
        <w:ind w:left="3000" w:hanging="360"/>
      </w:pPr>
      <w:rPr>
        <w:rFonts w:ascii="Wingdings" w:hAnsi="Wingdings" w:hint="default"/>
      </w:rPr>
    </w:lvl>
    <w:lvl w:ilvl="3" w:tplc="33442404" w:tentative="1">
      <w:start w:val="1"/>
      <w:numFmt w:val="bullet"/>
      <w:lvlText w:val=""/>
      <w:lvlJc w:val="left"/>
      <w:pPr>
        <w:tabs>
          <w:tab w:val="num" w:pos="3720"/>
        </w:tabs>
        <w:ind w:left="3720" w:hanging="360"/>
      </w:pPr>
      <w:rPr>
        <w:rFonts w:ascii="Symbol" w:hAnsi="Symbol" w:hint="default"/>
      </w:rPr>
    </w:lvl>
    <w:lvl w:ilvl="4" w:tplc="138409AE" w:tentative="1">
      <w:start w:val="1"/>
      <w:numFmt w:val="bullet"/>
      <w:lvlText w:val="o"/>
      <w:lvlJc w:val="left"/>
      <w:pPr>
        <w:tabs>
          <w:tab w:val="num" w:pos="4440"/>
        </w:tabs>
        <w:ind w:left="4440" w:hanging="360"/>
      </w:pPr>
      <w:rPr>
        <w:rFonts w:ascii="Courier New" w:hAnsi="Courier New" w:hint="default"/>
      </w:rPr>
    </w:lvl>
    <w:lvl w:ilvl="5" w:tplc="C074C32A" w:tentative="1">
      <w:start w:val="1"/>
      <w:numFmt w:val="bullet"/>
      <w:lvlText w:val=""/>
      <w:lvlJc w:val="left"/>
      <w:pPr>
        <w:tabs>
          <w:tab w:val="num" w:pos="5160"/>
        </w:tabs>
        <w:ind w:left="5160" w:hanging="360"/>
      </w:pPr>
      <w:rPr>
        <w:rFonts w:ascii="Wingdings" w:hAnsi="Wingdings" w:hint="default"/>
      </w:rPr>
    </w:lvl>
    <w:lvl w:ilvl="6" w:tplc="B9C0A9AE" w:tentative="1">
      <w:start w:val="1"/>
      <w:numFmt w:val="bullet"/>
      <w:lvlText w:val=""/>
      <w:lvlJc w:val="left"/>
      <w:pPr>
        <w:tabs>
          <w:tab w:val="num" w:pos="5880"/>
        </w:tabs>
        <w:ind w:left="5880" w:hanging="360"/>
      </w:pPr>
      <w:rPr>
        <w:rFonts w:ascii="Symbol" w:hAnsi="Symbol" w:hint="default"/>
      </w:rPr>
    </w:lvl>
    <w:lvl w:ilvl="7" w:tplc="F25C6CF8" w:tentative="1">
      <w:start w:val="1"/>
      <w:numFmt w:val="bullet"/>
      <w:lvlText w:val="o"/>
      <w:lvlJc w:val="left"/>
      <w:pPr>
        <w:tabs>
          <w:tab w:val="num" w:pos="6600"/>
        </w:tabs>
        <w:ind w:left="6600" w:hanging="360"/>
      </w:pPr>
      <w:rPr>
        <w:rFonts w:ascii="Courier New" w:hAnsi="Courier New" w:hint="default"/>
      </w:rPr>
    </w:lvl>
    <w:lvl w:ilvl="8" w:tplc="FB102984" w:tentative="1">
      <w:start w:val="1"/>
      <w:numFmt w:val="bullet"/>
      <w:lvlText w:val=""/>
      <w:lvlJc w:val="left"/>
      <w:pPr>
        <w:tabs>
          <w:tab w:val="num" w:pos="7320"/>
        </w:tabs>
        <w:ind w:left="7320" w:hanging="360"/>
      </w:pPr>
      <w:rPr>
        <w:rFonts w:ascii="Wingdings" w:hAnsi="Wingdings" w:hint="default"/>
      </w:rPr>
    </w:lvl>
  </w:abstractNum>
  <w:abstractNum w:abstractNumId="16" w15:restartNumberingAfterBreak="0">
    <w:nsid w:val="5A5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FC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B04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7437D3"/>
    <w:multiLevelType w:val="hybridMultilevel"/>
    <w:tmpl w:val="CFEC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875B9"/>
    <w:multiLevelType w:val="singleLevel"/>
    <w:tmpl w:val="0409000F"/>
    <w:lvl w:ilvl="0">
      <w:start w:val="19"/>
      <w:numFmt w:val="decimal"/>
      <w:lvlText w:val="%1."/>
      <w:lvlJc w:val="left"/>
      <w:pPr>
        <w:tabs>
          <w:tab w:val="num" w:pos="360"/>
        </w:tabs>
        <w:ind w:left="360" w:hanging="360"/>
      </w:pPr>
      <w:rPr>
        <w:rFonts w:hint="default"/>
      </w:rPr>
    </w:lvl>
  </w:abstractNum>
  <w:abstractNum w:abstractNumId="21" w15:restartNumberingAfterBreak="0">
    <w:nsid w:val="65343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625A95"/>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15:restartNumberingAfterBreak="0">
    <w:nsid w:val="6A22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D3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D82E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A601186"/>
    <w:multiLevelType w:val="singleLevel"/>
    <w:tmpl w:val="FC480D8E"/>
    <w:lvl w:ilvl="0">
      <w:start w:val="1"/>
      <w:numFmt w:val="upperLetter"/>
      <w:lvlText w:val="%1."/>
      <w:lvlJc w:val="left"/>
      <w:pPr>
        <w:tabs>
          <w:tab w:val="num" w:pos="720"/>
        </w:tabs>
        <w:ind w:left="720" w:hanging="720"/>
      </w:pPr>
      <w:rPr>
        <w:rFonts w:hint="default"/>
      </w:rPr>
    </w:lvl>
  </w:abstractNum>
  <w:num w:numId="1">
    <w:abstractNumId w:val="26"/>
  </w:num>
  <w:num w:numId="2">
    <w:abstractNumId w:val="23"/>
  </w:num>
  <w:num w:numId="3">
    <w:abstractNumId w:val="13"/>
  </w:num>
  <w:num w:numId="4">
    <w:abstractNumId w:val="3"/>
  </w:num>
  <w:num w:numId="5">
    <w:abstractNumId w:val="24"/>
  </w:num>
  <w:num w:numId="6">
    <w:abstractNumId w:val="4"/>
  </w:num>
  <w:num w:numId="7">
    <w:abstractNumId w:val="22"/>
  </w:num>
  <w:num w:numId="8">
    <w:abstractNumId w:val="11"/>
  </w:num>
  <w:num w:numId="9">
    <w:abstractNumId w:val="20"/>
  </w:num>
  <w:num w:numId="10">
    <w:abstractNumId w:val="7"/>
  </w:num>
  <w:num w:numId="11">
    <w:abstractNumId w:val="14"/>
  </w:num>
  <w:num w:numId="12">
    <w:abstractNumId w:val="6"/>
  </w:num>
  <w:num w:numId="13">
    <w:abstractNumId w:val="16"/>
  </w:num>
  <w:num w:numId="14">
    <w:abstractNumId w:val="18"/>
  </w:num>
  <w:num w:numId="15">
    <w:abstractNumId w:val="25"/>
  </w:num>
  <w:num w:numId="16">
    <w:abstractNumId w:val="21"/>
  </w:num>
  <w:num w:numId="17">
    <w:abstractNumId w:val="1"/>
    <w:lvlOverride w:ilvl="0">
      <w:lvl w:ilvl="0">
        <w:numFmt w:val="bullet"/>
        <w:lvlText w:val="·"/>
        <w:legacy w:legacy="1" w:legacySpace="0" w:legacyIndent="720"/>
        <w:lvlJc w:val="left"/>
        <w:pPr>
          <w:ind w:left="720" w:hanging="720"/>
        </w:pPr>
        <w:rPr>
          <w:rFonts w:ascii="Times New Roman" w:hAnsi="Times New Roman" w:hint="default"/>
        </w:rPr>
      </w:lvl>
    </w:lvlOverride>
  </w:num>
  <w:num w:numId="18">
    <w:abstractNumId w:val="10"/>
  </w:num>
  <w:num w:numId="19">
    <w:abstractNumId w:val="9"/>
  </w:num>
  <w:num w:numId="20">
    <w:abstractNumId w:val="17"/>
  </w:num>
  <w:num w:numId="21">
    <w:abstractNumId w:val="1"/>
    <w:lvlOverride w:ilvl="0">
      <w:lvl w:ilvl="0">
        <w:numFmt w:val="bullet"/>
        <w:lvlText w:val=""/>
        <w:legacy w:legacy="1" w:legacySpace="0" w:legacyIndent="0"/>
        <w:lvlJc w:val="left"/>
        <w:rPr>
          <w:rFonts w:ascii="Symbol" w:hAnsi="Symbol" w:hint="default"/>
        </w:rPr>
      </w:lvl>
    </w:lvlOverride>
  </w:num>
  <w:num w:numId="22">
    <w:abstractNumId w:val="15"/>
  </w:num>
  <w:num w:numId="23">
    <w:abstractNumId w:val="12"/>
  </w:num>
  <w:num w:numId="24">
    <w:abstractNumId w:val="0"/>
  </w:num>
  <w:num w:numId="25">
    <w:abstractNumId w:val="5"/>
  </w:num>
  <w:num w:numId="26">
    <w:abstractNumId w:val="19"/>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Environ Health Persp Aug2011 EndNote downloa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xw5dxzpwpda0ed29ppw9egt2p905paxaaa&quot;&gt;SR LoC&lt;record-ids&gt;&lt;item&gt;260&lt;/item&gt;&lt;item&gt;325&lt;/item&gt;&lt;item&gt;381&lt;/item&gt;&lt;item&gt;394&lt;/item&gt;&lt;item&gt;411&lt;/item&gt;&lt;item&gt;445&lt;/item&gt;&lt;item&gt;446&lt;/item&gt;&lt;/record-ids&gt;&lt;/item&gt;&lt;/Libraries&gt;"/>
  </w:docVars>
  <w:rsids>
    <w:rsidRoot w:val="00F10148"/>
    <w:rsid w:val="0000007F"/>
    <w:rsid w:val="000032CF"/>
    <w:rsid w:val="00006BEE"/>
    <w:rsid w:val="00007351"/>
    <w:rsid w:val="00011BF8"/>
    <w:rsid w:val="00011DEF"/>
    <w:rsid w:val="00012733"/>
    <w:rsid w:val="00014365"/>
    <w:rsid w:val="0001677B"/>
    <w:rsid w:val="000177EC"/>
    <w:rsid w:val="0002690B"/>
    <w:rsid w:val="000276C1"/>
    <w:rsid w:val="00027D20"/>
    <w:rsid w:val="0003311A"/>
    <w:rsid w:val="000332EB"/>
    <w:rsid w:val="000379CE"/>
    <w:rsid w:val="00041B20"/>
    <w:rsid w:val="000430B5"/>
    <w:rsid w:val="00045759"/>
    <w:rsid w:val="000468E5"/>
    <w:rsid w:val="00051C2F"/>
    <w:rsid w:val="000529E4"/>
    <w:rsid w:val="00057294"/>
    <w:rsid w:val="000606CA"/>
    <w:rsid w:val="00061D71"/>
    <w:rsid w:val="000636D5"/>
    <w:rsid w:val="00063ED4"/>
    <w:rsid w:val="000702EA"/>
    <w:rsid w:val="0007064F"/>
    <w:rsid w:val="00070E9C"/>
    <w:rsid w:val="00073182"/>
    <w:rsid w:val="00074BA2"/>
    <w:rsid w:val="000759BE"/>
    <w:rsid w:val="00075C61"/>
    <w:rsid w:val="000801A3"/>
    <w:rsid w:val="0008088E"/>
    <w:rsid w:val="0008213E"/>
    <w:rsid w:val="00082300"/>
    <w:rsid w:val="00082986"/>
    <w:rsid w:val="00083877"/>
    <w:rsid w:val="0008405E"/>
    <w:rsid w:val="000910C9"/>
    <w:rsid w:val="000917D5"/>
    <w:rsid w:val="00092889"/>
    <w:rsid w:val="00093DB8"/>
    <w:rsid w:val="00095636"/>
    <w:rsid w:val="00095B90"/>
    <w:rsid w:val="000979CD"/>
    <w:rsid w:val="000A0AC3"/>
    <w:rsid w:val="000A4927"/>
    <w:rsid w:val="000A7AC0"/>
    <w:rsid w:val="000B5A29"/>
    <w:rsid w:val="000B74E2"/>
    <w:rsid w:val="000C070E"/>
    <w:rsid w:val="000C088E"/>
    <w:rsid w:val="000C0BC5"/>
    <w:rsid w:val="000C13A1"/>
    <w:rsid w:val="000C3A61"/>
    <w:rsid w:val="000C73DF"/>
    <w:rsid w:val="000D535F"/>
    <w:rsid w:val="000D7526"/>
    <w:rsid w:val="000E01C9"/>
    <w:rsid w:val="000E198B"/>
    <w:rsid w:val="000E5728"/>
    <w:rsid w:val="000E6F72"/>
    <w:rsid w:val="000F1FE7"/>
    <w:rsid w:val="000F45AE"/>
    <w:rsid w:val="000F762E"/>
    <w:rsid w:val="000F7AEE"/>
    <w:rsid w:val="00100EEB"/>
    <w:rsid w:val="001029C3"/>
    <w:rsid w:val="001077D5"/>
    <w:rsid w:val="00110A18"/>
    <w:rsid w:val="0011485D"/>
    <w:rsid w:val="00117B3D"/>
    <w:rsid w:val="00121061"/>
    <w:rsid w:val="00121B41"/>
    <w:rsid w:val="00126AF1"/>
    <w:rsid w:val="00127031"/>
    <w:rsid w:val="001305B9"/>
    <w:rsid w:val="00130DC2"/>
    <w:rsid w:val="00131980"/>
    <w:rsid w:val="00134593"/>
    <w:rsid w:val="00134637"/>
    <w:rsid w:val="0013477D"/>
    <w:rsid w:val="00137ABE"/>
    <w:rsid w:val="001404CA"/>
    <w:rsid w:val="00140BD8"/>
    <w:rsid w:val="0014179A"/>
    <w:rsid w:val="00141BA6"/>
    <w:rsid w:val="001431E4"/>
    <w:rsid w:val="00150158"/>
    <w:rsid w:val="001508CE"/>
    <w:rsid w:val="001518C8"/>
    <w:rsid w:val="001556C8"/>
    <w:rsid w:val="00157303"/>
    <w:rsid w:val="00160D85"/>
    <w:rsid w:val="00163157"/>
    <w:rsid w:val="00163272"/>
    <w:rsid w:val="001649FC"/>
    <w:rsid w:val="00165842"/>
    <w:rsid w:val="00165BEE"/>
    <w:rsid w:val="0016660F"/>
    <w:rsid w:val="00166ADD"/>
    <w:rsid w:val="00167995"/>
    <w:rsid w:val="00170A69"/>
    <w:rsid w:val="00175D56"/>
    <w:rsid w:val="0018337B"/>
    <w:rsid w:val="00183E77"/>
    <w:rsid w:val="00184F98"/>
    <w:rsid w:val="00185A3B"/>
    <w:rsid w:val="00186AF6"/>
    <w:rsid w:val="00186DF7"/>
    <w:rsid w:val="00187E90"/>
    <w:rsid w:val="001909A6"/>
    <w:rsid w:val="001A063F"/>
    <w:rsid w:val="001A3374"/>
    <w:rsid w:val="001A3F0A"/>
    <w:rsid w:val="001A59BD"/>
    <w:rsid w:val="001B31ED"/>
    <w:rsid w:val="001B3A37"/>
    <w:rsid w:val="001B47BA"/>
    <w:rsid w:val="001B4D03"/>
    <w:rsid w:val="001C38A4"/>
    <w:rsid w:val="001C4958"/>
    <w:rsid w:val="001C5EC3"/>
    <w:rsid w:val="001D01D8"/>
    <w:rsid w:val="001D040C"/>
    <w:rsid w:val="001D4AB7"/>
    <w:rsid w:val="001D6818"/>
    <w:rsid w:val="001D7673"/>
    <w:rsid w:val="001D79E2"/>
    <w:rsid w:val="001E236B"/>
    <w:rsid w:val="001E5A3D"/>
    <w:rsid w:val="001E6A31"/>
    <w:rsid w:val="001F197A"/>
    <w:rsid w:val="001F5102"/>
    <w:rsid w:val="001F74EF"/>
    <w:rsid w:val="0020142C"/>
    <w:rsid w:val="00201D1E"/>
    <w:rsid w:val="002042E2"/>
    <w:rsid w:val="00204BE5"/>
    <w:rsid w:val="002058D6"/>
    <w:rsid w:val="00207D1C"/>
    <w:rsid w:val="00210393"/>
    <w:rsid w:val="00215A1F"/>
    <w:rsid w:val="00222963"/>
    <w:rsid w:val="00223BC3"/>
    <w:rsid w:val="00225FC3"/>
    <w:rsid w:val="00226D38"/>
    <w:rsid w:val="00230A54"/>
    <w:rsid w:val="00232CA9"/>
    <w:rsid w:val="00234231"/>
    <w:rsid w:val="002343F5"/>
    <w:rsid w:val="0023605F"/>
    <w:rsid w:val="0024065E"/>
    <w:rsid w:val="0024068F"/>
    <w:rsid w:val="002443CF"/>
    <w:rsid w:val="00244552"/>
    <w:rsid w:val="0024535D"/>
    <w:rsid w:val="00251279"/>
    <w:rsid w:val="0025129D"/>
    <w:rsid w:val="002537D6"/>
    <w:rsid w:val="0025382E"/>
    <w:rsid w:val="00253CC8"/>
    <w:rsid w:val="00254730"/>
    <w:rsid w:val="00257143"/>
    <w:rsid w:val="0026407E"/>
    <w:rsid w:val="002674D3"/>
    <w:rsid w:val="00267D01"/>
    <w:rsid w:val="0027529E"/>
    <w:rsid w:val="00275375"/>
    <w:rsid w:val="002825C1"/>
    <w:rsid w:val="00290F8E"/>
    <w:rsid w:val="00295CF9"/>
    <w:rsid w:val="002966AA"/>
    <w:rsid w:val="002A1B22"/>
    <w:rsid w:val="002A1C7C"/>
    <w:rsid w:val="002A226A"/>
    <w:rsid w:val="002A4FCE"/>
    <w:rsid w:val="002A601C"/>
    <w:rsid w:val="002B0F02"/>
    <w:rsid w:val="002B1015"/>
    <w:rsid w:val="002B1556"/>
    <w:rsid w:val="002B2718"/>
    <w:rsid w:val="002B4945"/>
    <w:rsid w:val="002C1E88"/>
    <w:rsid w:val="002D2087"/>
    <w:rsid w:val="002D782E"/>
    <w:rsid w:val="002E16F1"/>
    <w:rsid w:val="002E21D0"/>
    <w:rsid w:val="002E60F5"/>
    <w:rsid w:val="002E7403"/>
    <w:rsid w:val="002F054D"/>
    <w:rsid w:val="002F54CA"/>
    <w:rsid w:val="002F55A7"/>
    <w:rsid w:val="00302C4B"/>
    <w:rsid w:val="00304BB7"/>
    <w:rsid w:val="0030525B"/>
    <w:rsid w:val="0030611D"/>
    <w:rsid w:val="00306151"/>
    <w:rsid w:val="00310019"/>
    <w:rsid w:val="00310747"/>
    <w:rsid w:val="00311396"/>
    <w:rsid w:val="00313D98"/>
    <w:rsid w:val="00321AB1"/>
    <w:rsid w:val="00322AB3"/>
    <w:rsid w:val="00324688"/>
    <w:rsid w:val="00325102"/>
    <w:rsid w:val="0032764C"/>
    <w:rsid w:val="0033159D"/>
    <w:rsid w:val="00337953"/>
    <w:rsid w:val="00337ACC"/>
    <w:rsid w:val="00340DE0"/>
    <w:rsid w:val="00342AB1"/>
    <w:rsid w:val="003443AA"/>
    <w:rsid w:val="003445F7"/>
    <w:rsid w:val="003454DA"/>
    <w:rsid w:val="00345C5E"/>
    <w:rsid w:val="003505B6"/>
    <w:rsid w:val="003509BD"/>
    <w:rsid w:val="00354F38"/>
    <w:rsid w:val="00357F85"/>
    <w:rsid w:val="00364449"/>
    <w:rsid w:val="0036527D"/>
    <w:rsid w:val="00365306"/>
    <w:rsid w:val="003665E2"/>
    <w:rsid w:val="0036689F"/>
    <w:rsid w:val="00366DB2"/>
    <w:rsid w:val="00367D61"/>
    <w:rsid w:val="0037329C"/>
    <w:rsid w:val="00383892"/>
    <w:rsid w:val="00383A90"/>
    <w:rsid w:val="003861E3"/>
    <w:rsid w:val="00387FE1"/>
    <w:rsid w:val="00390D9A"/>
    <w:rsid w:val="00394E69"/>
    <w:rsid w:val="003A06B4"/>
    <w:rsid w:val="003A38B4"/>
    <w:rsid w:val="003A3FBD"/>
    <w:rsid w:val="003A7D36"/>
    <w:rsid w:val="003B0D8C"/>
    <w:rsid w:val="003B367A"/>
    <w:rsid w:val="003B5AB4"/>
    <w:rsid w:val="003C1C78"/>
    <w:rsid w:val="003C2F93"/>
    <w:rsid w:val="003C36B5"/>
    <w:rsid w:val="003C6465"/>
    <w:rsid w:val="003C7950"/>
    <w:rsid w:val="003D3EF9"/>
    <w:rsid w:val="003D490E"/>
    <w:rsid w:val="003D4D11"/>
    <w:rsid w:val="003E0D4B"/>
    <w:rsid w:val="003E3702"/>
    <w:rsid w:val="003E3FF3"/>
    <w:rsid w:val="003E45A7"/>
    <w:rsid w:val="003E53BF"/>
    <w:rsid w:val="003E5608"/>
    <w:rsid w:val="003E6B0E"/>
    <w:rsid w:val="003F0C59"/>
    <w:rsid w:val="003F203F"/>
    <w:rsid w:val="003F2937"/>
    <w:rsid w:val="003F68C1"/>
    <w:rsid w:val="003F7DF7"/>
    <w:rsid w:val="004012CC"/>
    <w:rsid w:val="004033C3"/>
    <w:rsid w:val="00410125"/>
    <w:rsid w:val="00410C9B"/>
    <w:rsid w:val="00410E88"/>
    <w:rsid w:val="004129AB"/>
    <w:rsid w:val="004228A1"/>
    <w:rsid w:val="004240BE"/>
    <w:rsid w:val="0042515D"/>
    <w:rsid w:val="00427549"/>
    <w:rsid w:val="00430617"/>
    <w:rsid w:val="00435AB8"/>
    <w:rsid w:val="004404F1"/>
    <w:rsid w:val="00441A6F"/>
    <w:rsid w:val="00443648"/>
    <w:rsid w:val="0044370E"/>
    <w:rsid w:val="00444DDC"/>
    <w:rsid w:val="004453DB"/>
    <w:rsid w:val="004453E4"/>
    <w:rsid w:val="00450BF4"/>
    <w:rsid w:val="00454937"/>
    <w:rsid w:val="00455B35"/>
    <w:rsid w:val="00460EB1"/>
    <w:rsid w:val="004631F9"/>
    <w:rsid w:val="00464B6E"/>
    <w:rsid w:val="0046784E"/>
    <w:rsid w:val="0047006C"/>
    <w:rsid w:val="00471FE8"/>
    <w:rsid w:val="0047301C"/>
    <w:rsid w:val="0047409D"/>
    <w:rsid w:val="00474199"/>
    <w:rsid w:val="00475653"/>
    <w:rsid w:val="00477957"/>
    <w:rsid w:val="00477BF4"/>
    <w:rsid w:val="00481BC6"/>
    <w:rsid w:val="00481EB0"/>
    <w:rsid w:val="004841AF"/>
    <w:rsid w:val="004849F6"/>
    <w:rsid w:val="004857DB"/>
    <w:rsid w:val="00486BD6"/>
    <w:rsid w:val="00487519"/>
    <w:rsid w:val="00493868"/>
    <w:rsid w:val="0049418E"/>
    <w:rsid w:val="0049595E"/>
    <w:rsid w:val="004A0E8A"/>
    <w:rsid w:val="004A21E6"/>
    <w:rsid w:val="004A2793"/>
    <w:rsid w:val="004A53CC"/>
    <w:rsid w:val="004B08F7"/>
    <w:rsid w:val="004B203B"/>
    <w:rsid w:val="004B3979"/>
    <w:rsid w:val="004B7F3F"/>
    <w:rsid w:val="004C0466"/>
    <w:rsid w:val="004C4F7D"/>
    <w:rsid w:val="004C5D32"/>
    <w:rsid w:val="004C72B8"/>
    <w:rsid w:val="004D0CD2"/>
    <w:rsid w:val="004D12B6"/>
    <w:rsid w:val="004D58F4"/>
    <w:rsid w:val="004E1B5B"/>
    <w:rsid w:val="004E2897"/>
    <w:rsid w:val="004E4D5A"/>
    <w:rsid w:val="004F19ED"/>
    <w:rsid w:val="004F3869"/>
    <w:rsid w:val="004F51B7"/>
    <w:rsid w:val="004F5FBC"/>
    <w:rsid w:val="0050274A"/>
    <w:rsid w:val="0050303F"/>
    <w:rsid w:val="00503AC1"/>
    <w:rsid w:val="00505AFF"/>
    <w:rsid w:val="00507A3E"/>
    <w:rsid w:val="00511C2D"/>
    <w:rsid w:val="0051257E"/>
    <w:rsid w:val="005137A6"/>
    <w:rsid w:val="00514117"/>
    <w:rsid w:val="00516115"/>
    <w:rsid w:val="00523397"/>
    <w:rsid w:val="005277DC"/>
    <w:rsid w:val="00541DAF"/>
    <w:rsid w:val="005430EE"/>
    <w:rsid w:val="00545487"/>
    <w:rsid w:val="0054592C"/>
    <w:rsid w:val="00547943"/>
    <w:rsid w:val="00547EBA"/>
    <w:rsid w:val="00551CEB"/>
    <w:rsid w:val="00552483"/>
    <w:rsid w:val="00552718"/>
    <w:rsid w:val="00552A53"/>
    <w:rsid w:val="00552BA9"/>
    <w:rsid w:val="00553B07"/>
    <w:rsid w:val="00556FE8"/>
    <w:rsid w:val="005607C3"/>
    <w:rsid w:val="00562684"/>
    <w:rsid w:val="0056661F"/>
    <w:rsid w:val="0056784D"/>
    <w:rsid w:val="0057194F"/>
    <w:rsid w:val="00572078"/>
    <w:rsid w:val="00572D4A"/>
    <w:rsid w:val="005742DD"/>
    <w:rsid w:val="00577ACB"/>
    <w:rsid w:val="00582A79"/>
    <w:rsid w:val="00587DEB"/>
    <w:rsid w:val="00590156"/>
    <w:rsid w:val="00596522"/>
    <w:rsid w:val="005A0CF5"/>
    <w:rsid w:val="005A1E61"/>
    <w:rsid w:val="005A30C3"/>
    <w:rsid w:val="005A613F"/>
    <w:rsid w:val="005A6E82"/>
    <w:rsid w:val="005B02E6"/>
    <w:rsid w:val="005B18AE"/>
    <w:rsid w:val="005B423F"/>
    <w:rsid w:val="005C4BC5"/>
    <w:rsid w:val="005C5E19"/>
    <w:rsid w:val="005D26B3"/>
    <w:rsid w:val="005D4F51"/>
    <w:rsid w:val="005D5D3C"/>
    <w:rsid w:val="005E3BFC"/>
    <w:rsid w:val="005E45CC"/>
    <w:rsid w:val="005E6008"/>
    <w:rsid w:val="005E6066"/>
    <w:rsid w:val="005E717C"/>
    <w:rsid w:val="005F2033"/>
    <w:rsid w:val="005F74AA"/>
    <w:rsid w:val="006058DA"/>
    <w:rsid w:val="00605BA0"/>
    <w:rsid w:val="00610A7F"/>
    <w:rsid w:val="00610E57"/>
    <w:rsid w:val="006119F0"/>
    <w:rsid w:val="00612FC5"/>
    <w:rsid w:val="00621F39"/>
    <w:rsid w:val="00624506"/>
    <w:rsid w:val="00624D18"/>
    <w:rsid w:val="006252AF"/>
    <w:rsid w:val="00627592"/>
    <w:rsid w:val="00627E38"/>
    <w:rsid w:val="006334F5"/>
    <w:rsid w:val="00636A83"/>
    <w:rsid w:val="00636D16"/>
    <w:rsid w:val="00644A30"/>
    <w:rsid w:val="00645FE1"/>
    <w:rsid w:val="00647A25"/>
    <w:rsid w:val="006540E4"/>
    <w:rsid w:val="0066072A"/>
    <w:rsid w:val="00660983"/>
    <w:rsid w:val="00665BC7"/>
    <w:rsid w:val="00670356"/>
    <w:rsid w:val="006715EE"/>
    <w:rsid w:val="00672451"/>
    <w:rsid w:val="006726F7"/>
    <w:rsid w:val="00674ED3"/>
    <w:rsid w:val="00676939"/>
    <w:rsid w:val="00677D18"/>
    <w:rsid w:val="00677E06"/>
    <w:rsid w:val="00685750"/>
    <w:rsid w:val="00686A93"/>
    <w:rsid w:val="00686EF2"/>
    <w:rsid w:val="00690990"/>
    <w:rsid w:val="00691387"/>
    <w:rsid w:val="006918CD"/>
    <w:rsid w:val="00692054"/>
    <w:rsid w:val="0069288E"/>
    <w:rsid w:val="00692A3F"/>
    <w:rsid w:val="00694A6D"/>
    <w:rsid w:val="00695FDB"/>
    <w:rsid w:val="0069710A"/>
    <w:rsid w:val="006A1273"/>
    <w:rsid w:val="006A4A4E"/>
    <w:rsid w:val="006B2637"/>
    <w:rsid w:val="006B29B7"/>
    <w:rsid w:val="006B2A5D"/>
    <w:rsid w:val="006B5DC6"/>
    <w:rsid w:val="006C238C"/>
    <w:rsid w:val="006C35A3"/>
    <w:rsid w:val="006C50E8"/>
    <w:rsid w:val="006D061C"/>
    <w:rsid w:val="006D1CBB"/>
    <w:rsid w:val="006D201E"/>
    <w:rsid w:val="006D6390"/>
    <w:rsid w:val="006E7335"/>
    <w:rsid w:val="006E74A8"/>
    <w:rsid w:val="006F2D99"/>
    <w:rsid w:val="006F7B8F"/>
    <w:rsid w:val="007037D8"/>
    <w:rsid w:val="0070466B"/>
    <w:rsid w:val="00705132"/>
    <w:rsid w:val="0070600B"/>
    <w:rsid w:val="0070618E"/>
    <w:rsid w:val="007128AA"/>
    <w:rsid w:val="007141FF"/>
    <w:rsid w:val="00715800"/>
    <w:rsid w:val="00717365"/>
    <w:rsid w:val="00722768"/>
    <w:rsid w:val="00723E43"/>
    <w:rsid w:val="0072452E"/>
    <w:rsid w:val="0072595B"/>
    <w:rsid w:val="00726F74"/>
    <w:rsid w:val="00732F55"/>
    <w:rsid w:val="00734794"/>
    <w:rsid w:val="0073493C"/>
    <w:rsid w:val="007352C6"/>
    <w:rsid w:val="00736807"/>
    <w:rsid w:val="00746AB2"/>
    <w:rsid w:val="00746B3D"/>
    <w:rsid w:val="00746BB9"/>
    <w:rsid w:val="0075048A"/>
    <w:rsid w:val="007516EB"/>
    <w:rsid w:val="007527E1"/>
    <w:rsid w:val="007550F9"/>
    <w:rsid w:val="00760CB3"/>
    <w:rsid w:val="007658B9"/>
    <w:rsid w:val="00766A0B"/>
    <w:rsid w:val="00767661"/>
    <w:rsid w:val="00767F00"/>
    <w:rsid w:val="00771472"/>
    <w:rsid w:val="00771642"/>
    <w:rsid w:val="007724E4"/>
    <w:rsid w:val="00782009"/>
    <w:rsid w:val="00786E83"/>
    <w:rsid w:val="00787E49"/>
    <w:rsid w:val="00790E00"/>
    <w:rsid w:val="007913E7"/>
    <w:rsid w:val="00792919"/>
    <w:rsid w:val="00792958"/>
    <w:rsid w:val="0079593E"/>
    <w:rsid w:val="00797B12"/>
    <w:rsid w:val="007A3835"/>
    <w:rsid w:val="007A3E2D"/>
    <w:rsid w:val="007B0336"/>
    <w:rsid w:val="007B29B3"/>
    <w:rsid w:val="007B3F26"/>
    <w:rsid w:val="007B6452"/>
    <w:rsid w:val="007B75CD"/>
    <w:rsid w:val="007B781D"/>
    <w:rsid w:val="007C685F"/>
    <w:rsid w:val="007D196D"/>
    <w:rsid w:val="007D3D82"/>
    <w:rsid w:val="007D3EBD"/>
    <w:rsid w:val="007D4C9D"/>
    <w:rsid w:val="007D5956"/>
    <w:rsid w:val="007D620E"/>
    <w:rsid w:val="007E055D"/>
    <w:rsid w:val="007E1B7B"/>
    <w:rsid w:val="007E6510"/>
    <w:rsid w:val="007F1D79"/>
    <w:rsid w:val="007F4C84"/>
    <w:rsid w:val="007F6978"/>
    <w:rsid w:val="007F6D41"/>
    <w:rsid w:val="0080057B"/>
    <w:rsid w:val="0081173E"/>
    <w:rsid w:val="00812FCB"/>
    <w:rsid w:val="0081479E"/>
    <w:rsid w:val="008165DF"/>
    <w:rsid w:val="00820DE1"/>
    <w:rsid w:val="008353FE"/>
    <w:rsid w:val="008374DC"/>
    <w:rsid w:val="00837F68"/>
    <w:rsid w:val="008424F9"/>
    <w:rsid w:val="00847A16"/>
    <w:rsid w:val="0085203D"/>
    <w:rsid w:val="00853BB7"/>
    <w:rsid w:val="00853E69"/>
    <w:rsid w:val="008571B5"/>
    <w:rsid w:val="00860A53"/>
    <w:rsid w:val="00861190"/>
    <w:rsid w:val="008644C8"/>
    <w:rsid w:val="008648CA"/>
    <w:rsid w:val="00864FC6"/>
    <w:rsid w:val="00866591"/>
    <w:rsid w:val="0086687E"/>
    <w:rsid w:val="0087106D"/>
    <w:rsid w:val="00872366"/>
    <w:rsid w:val="00873395"/>
    <w:rsid w:val="0087491B"/>
    <w:rsid w:val="00880DFE"/>
    <w:rsid w:val="008819D1"/>
    <w:rsid w:val="00881D32"/>
    <w:rsid w:val="00883494"/>
    <w:rsid w:val="00885A58"/>
    <w:rsid w:val="008914BD"/>
    <w:rsid w:val="00891F8B"/>
    <w:rsid w:val="00895106"/>
    <w:rsid w:val="008A06B0"/>
    <w:rsid w:val="008A120A"/>
    <w:rsid w:val="008A12A8"/>
    <w:rsid w:val="008A17DF"/>
    <w:rsid w:val="008A4F11"/>
    <w:rsid w:val="008A6228"/>
    <w:rsid w:val="008A66C3"/>
    <w:rsid w:val="008A6CC8"/>
    <w:rsid w:val="008B092E"/>
    <w:rsid w:val="008B4291"/>
    <w:rsid w:val="008B5672"/>
    <w:rsid w:val="008B6E42"/>
    <w:rsid w:val="008C1864"/>
    <w:rsid w:val="008C337D"/>
    <w:rsid w:val="008C5655"/>
    <w:rsid w:val="008D0737"/>
    <w:rsid w:val="008D33AC"/>
    <w:rsid w:val="008D4363"/>
    <w:rsid w:val="008D5008"/>
    <w:rsid w:val="008D55F8"/>
    <w:rsid w:val="008E11E4"/>
    <w:rsid w:val="008E77CA"/>
    <w:rsid w:val="008F76DF"/>
    <w:rsid w:val="008F7ECD"/>
    <w:rsid w:val="0090211A"/>
    <w:rsid w:val="00904FE1"/>
    <w:rsid w:val="00916192"/>
    <w:rsid w:val="00916B14"/>
    <w:rsid w:val="00920F1D"/>
    <w:rsid w:val="009215AB"/>
    <w:rsid w:val="00926EEF"/>
    <w:rsid w:val="0093079F"/>
    <w:rsid w:val="00932633"/>
    <w:rsid w:val="0094043E"/>
    <w:rsid w:val="00940900"/>
    <w:rsid w:val="00942D9F"/>
    <w:rsid w:val="00942E38"/>
    <w:rsid w:val="00942F29"/>
    <w:rsid w:val="00947B13"/>
    <w:rsid w:val="00952BC6"/>
    <w:rsid w:val="009560DC"/>
    <w:rsid w:val="00960621"/>
    <w:rsid w:val="009606FA"/>
    <w:rsid w:val="009607A3"/>
    <w:rsid w:val="0096287C"/>
    <w:rsid w:val="009658FC"/>
    <w:rsid w:val="00970C49"/>
    <w:rsid w:val="00972E25"/>
    <w:rsid w:val="00972E80"/>
    <w:rsid w:val="00977812"/>
    <w:rsid w:val="00977FF6"/>
    <w:rsid w:val="00980A0C"/>
    <w:rsid w:val="00985918"/>
    <w:rsid w:val="00986AFA"/>
    <w:rsid w:val="0099082E"/>
    <w:rsid w:val="009909FA"/>
    <w:rsid w:val="00992575"/>
    <w:rsid w:val="00993939"/>
    <w:rsid w:val="00994333"/>
    <w:rsid w:val="00997336"/>
    <w:rsid w:val="009A04F6"/>
    <w:rsid w:val="009A39E1"/>
    <w:rsid w:val="009A5D27"/>
    <w:rsid w:val="009A6E17"/>
    <w:rsid w:val="009A7F8A"/>
    <w:rsid w:val="009B27B3"/>
    <w:rsid w:val="009B2FA1"/>
    <w:rsid w:val="009B3602"/>
    <w:rsid w:val="009B6016"/>
    <w:rsid w:val="009C4650"/>
    <w:rsid w:val="009C5358"/>
    <w:rsid w:val="009D0560"/>
    <w:rsid w:val="009D15A7"/>
    <w:rsid w:val="009D2250"/>
    <w:rsid w:val="009D41C4"/>
    <w:rsid w:val="009D43BD"/>
    <w:rsid w:val="009D7FA5"/>
    <w:rsid w:val="009E105B"/>
    <w:rsid w:val="009E1B2B"/>
    <w:rsid w:val="009E1FE4"/>
    <w:rsid w:val="009E2953"/>
    <w:rsid w:val="009E4E7E"/>
    <w:rsid w:val="009E620B"/>
    <w:rsid w:val="009E6560"/>
    <w:rsid w:val="009E6CF5"/>
    <w:rsid w:val="009E769D"/>
    <w:rsid w:val="009F070D"/>
    <w:rsid w:val="009F1433"/>
    <w:rsid w:val="009F2055"/>
    <w:rsid w:val="009F21FB"/>
    <w:rsid w:val="009F42A0"/>
    <w:rsid w:val="009F6670"/>
    <w:rsid w:val="009F7EBC"/>
    <w:rsid w:val="00A03139"/>
    <w:rsid w:val="00A048D1"/>
    <w:rsid w:val="00A119F9"/>
    <w:rsid w:val="00A1221F"/>
    <w:rsid w:val="00A12DBD"/>
    <w:rsid w:val="00A12E60"/>
    <w:rsid w:val="00A131AA"/>
    <w:rsid w:val="00A15308"/>
    <w:rsid w:val="00A16713"/>
    <w:rsid w:val="00A21856"/>
    <w:rsid w:val="00A21C86"/>
    <w:rsid w:val="00A21FA5"/>
    <w:rsid w:val="00A239CA"/>
    <w:rsid w:val="00A24579"/>
    <w:rsid w:val="00A25241"/>
    <w:rsid w:val="00A25E8A"/>
    <w:rsid w:val="00A271E2"/>
    <w:rsid w:val="00A30E64"/>
    <w:rsid w:val="00A31043"/>
    <w:rsid w:val="00A33882"/>
    <w:rsid w:val="00A349F4"/>
    <w:rsid w:val="00A41A74"/>
    <w:rsid w:val="00A41B4E"/>
    <w:rsid w:val="00A462F3"/>
    <w:rsid w:val="00A46B0E"/>
    <w:rsid w:val="00A501BF"/>
    <w:rsid w:val="00A55A01"/>
    <w:rsid w:val="00A55E4D"/>
    <w:rsid w:val="00A576F6"/>
    <w:rsid w:val="00A60D9B"/>
    <w:rsid w:val="00A6107F"/>
    <w:rsid w:val="00A6213A"/>
    <w:rsid w:val="00A634CE"/>
    <w:rsid w:val="00A634F7"/>
    <w:rsid w:val="00A64977"/>
    <w:rsid w:val="00A67597"/>
    <w:rsid w:val="00A67E4B"/>
    <w:rsid w:val="00A70E43"/>
    <w:rsid w:val="00A86B43"/>
    <w:rsid w:val="00A90929"/>
    <w:rsid w:val="00A96E92"/>
    <w:rsid w:val="00A97F5F"/>
    <w:rsid w:val="00AA41D2"/>
    <w:rsid w:val="00AB07C3"/>
    <w:rsid w:val="00AB1338"/>
    <w:rsid w:val="00AB1A60"/>
    <w:rsid w:val="00AB1A71"/>
    <w:rsid w:val="00AB6AC5"/>
    <w:rsid w:val="00AC3B00"/>
    <w:rsid w:val="00AD08D4"/>
    <w:rsid w:val="00AD0F19"/>
    <w:rsid w:val="00AD13BC"/>
    <w:rsid w:val="00AD1529"/>
    <w:rsid w:val="00AD17A3"/>
    <w:rsid w:val="00AD1F96"/>
    <w:rsid w:val="00AD4602"/>
    <w:rsid w:val="00AD6C9E"/>
    <w:rsid w:val="00AD712A"/>
    <w:rsid w:val="00AD7BBB"/>
    <w:rsid w:val="00AE1CF4"/>
    <w:rsid w:val="00AF2992"/>
    <w:rsid w:val="00AF2C8F"/>
    <w:rsid w:val="00AF6699"/>
    <w:rsid w:val="00AF6D8A"/>
    <w:rsid w:val="00AF76BF"/>
    <w:rsid w:val="00AF7AC3"/>
    <w:rsid w:val="00B06548"/>
    <w:rsid w:val="00B11A2C"/>
    <w:rsid w:val="00B124F7"/>
    <w:rsid w:val="00B2062B"/>
    <w:rsid w:val="00B20937"/>
    <w:rsid w:val="00B22530"/>
    <w:rsid w:val="00B23ADD"/>
    <w:rsid w:val="00B25744"/>
    <w:rsid w:val="00B30AA6"/>
    <w:rsid w:val="00B3402F"/>
    <w:rsid w:val="00B35EB0"/>
    <w:rsid w:val="00B35F76"/>
    <w:rsid w:val="00B37DCC"/>
    <w:rsid w:val="00B37E97"/>
    <w:rsid w:val="00B40FBD"/>
    <w:rsid w:val="00B41E27"/>
    <w:rsid w:val="00B4460E"/>
    <w:rsid w:val="00B44FBF"/>
    <w:rsid w:val="00B461C1"/>
    <w:rsid w:val="00B51C83"/>
    <w:rsid w:val="00B52351"/>
    <w:rsid w:val="00B5288B"/>
    <w:rsid w:val="00B52EB8"/>
    <w:rsid w:val="00B5469F"/>
    <w:rsid w:val="00B563A3"/>
    <w:rsid w:val="00B576BE"/>
    <w:rsid w:val="00B60412"/>
    <w:rsid w:val="00B64409"/>
    <w:rsid w:val="00B6535A"/>
    <w:rsid w:val="00B70CD5"/>
    <w:rsid w:val="00B70FBE"/>
    <w:rsid w:val="00B72E8F"/>
    <w:rsid w:val="00B77074"/>
    <w:rsid w:val="00B86934"/>
    <w:rsid w:val="00B91A3D"/>
    <w:rsid w:val="00B91BE2"/>
    <w:rsid w:val="00B928FB"/>
    <w:rsid w:val="00B94EE1"/>
    <w:rsid w:val="00B95442"/>
    <w:rsid w:val="00BA0F8A"/>
    <w:rsid w:val="00BA2320"/>
    <w:rsid w:val="00BA3150"/>
    <w:rsid w:val="00BA4BB6"/>
    <w:rsid w:val="00BA745A"/>
    <w:rsid w:val="00BA7526"/>
    <w:rsid w:val="00BB0D0B"/>
    <w:rsid w:val="00BB16A8"/>
    <w:rsid w:val="00BB595C"/>
    <w:rsid w:val="00BB6C99"/>
    <w:rsid w:val="00BC00B9"/>
    <w:rsid w:val="00BC02E4"/>
    <w:rsid w:val="00BC6654"/>
    <w:rsid w:val="00BD3AEE"/>
    <w:rsid w:val="00BE0BD2"/>
    <w:rsid w:val="00BE0E53"/>
    <w:rsid w:val="00BE2B91"/>
    <w:rsid w:val="00BE335D"/>
    <w:rsid w:val="00BE475E"/>
    <w:rsid w:val="00BE77EB"/>
    <w:rsid w:val="00BF1476"/>
    <w:rsid w:val="00BF17C4"/>
    <w:rsid w:val="00BF1FBD"/>
    <w:rsid w:val="00BF6618"/>
    <w:rsid w:val="00BF66BB"/>
    <w:rsid w:val="00BF6869"/>
    <w:rsid w:val="00BF78B1"/>
    <w:rsid w:val="00C025A9"/>
    <w:rsid w:val="00C02F4A"/>
    <w:rsid w:val="00C203E3"/>
    <w:rsid w:val="00C216A8"/>
    <w:rsid w:val="00C21E73"/>
    <w:rsid w:val="00C235B9"/>
    <w:rsid w:val="00C30375"/>
    <w:rsid w:val="00C32AAA"/>
    <w:rsid w:val="00C33933"/>
    <w:rsid w:val="00C339F3"/>
    <w:rsid w:val="00C33BF5"/>
    <w:rsid w:val="00C366D8"/>
    <w:rsid w:val="00C40754"/>
    <w:rsid w:val="00C40B8A"/>
    <w:rsid w:val="00C448FD"/>
    <w:rsid w:val="00C44F7C"/>
    <w:rsid w:val="00C4599A"/>
    <w:rsid w:val="00C50F3A"/>
    <w:rsid w:val="00C5293E"/>
    <w:rsid w:val="00C5314A"/>
    <w:rsid w:val="00C548AE"/>
    <w:rsid w:val="00C57D52"/>
    <w:rsid w:val="00C603E0"/>
    <w:rsid w:val="00C634D6"/>
    <w:rsid w:val="00C65CA5"/>
    <w:rsid w:val="00C702EE"/>
    <w:rsid w:val="00C707EB"/>
    <w:rsid w:val="00C72BA3"/>
    <w:rsid w:val="00C74131"/>
    <w:rsid w:val="00C757AE"/>
    <w:rsid w:val="00C76834"/>
    <w:rsid w:val="00C771D0"/>
    <w:rsid w:val="00C81F14"/>
    <w:rsid w:val="00C822C6"/>
    <w:rsid w:val="00C907CE"/>
    <w:rsid w:val="00C912B2"/>
    <w:rsid w:val="00C91D97"/>
    <w:rsid w:val="00C9409E"/>
    <w:rsid w:val="00C94F4E"/>
    <w:rsid w:val="00C9510C"/>
    <w:rsid w:val="00C96BA1"/>
    <w:rsid w:val="00CA2883"/>
    <w:rsid w:val="00CA2A56"/>
    <w:rsid w:val="00CA3102"/>
    <w:rsid w:val="00CA33C8"/>
    <w:rsid w:val="00CA4914"/>
    <w:rsid w:val="00CA5049"/>
    <w:rsid w:val="00CA6186"/>
    <w:rsid w:val="00CB032F"/>
    <w:rsid w:val="00CB0A31"/>
    <w:rsid w:val="00CB2AD7"/>
    <w:rsid w:val="00CB2F18"/>
    <w:rsid w:val="00CB54EC"/>
    <w:rsid w:val="00CB7668"/>
    <w:rsid w:val="00CC1F8F"/>
    <w:rsid w:val="00CC207B"/>
    <w:rsid w:val="00CC3F7B"/>
    <w:rsid w:val="00CC5DA1"/>
    <w:rsid w:val="00CD127C"/>
    <w:rsid w:val="00CD137F"/>
    <w:rsid w:val="00CD16E3"/>
    <w:rsid w:val="00CD32DD"/>
    <w:rsid w:val="00CD386A"/>
    <w:rsid w:val="00CD541C"/>
    <w:rsid w:val="00CD73E2"/>
    <w:rsid w:val="00CD79C7"/>
    <w:rsid w:val="00CE3644"/>
    <w:rsid w:val="00CF040A"/>
    <w:rsid w:val="00CF07C1"/>
    <w:rsid w:val="00CF0959"/>
    <w:rsid w:val="00CF2645"/>
    <w:rsid w:val="00CF2D76"/>
    <w:rsid w:val="00CF4B1F"/>
    <w:rsid w:val="00CF5EA6"/>
    <w:rsid w:val="00CF67BE"/>
    <w:rsid w:val="00CF7F87"/>
    <w:rsid w:val="00D01954"/>
    <w:rsid w:val="00D063EF"/>
    <w:rsid w:val="00D10458"/>
    <w:rsid w:val="00D12C5D"/>
    <w:rsid w:val="00D13C63"/>
    <w:rsid w:val="00D14AAA"/>
    <w:rsid w:val="00D15883"/>
    <w:rsid w:val="00D1744C"/>
    <w:rsid w:val="00D20EC5"/>
    <w:rsid w:val="00D215BA"/>
    <w:rsid w:val="00D2357E"/>
    <w:rsid w:val="00D26C4E"/>
    <w:rsid w:val="00D27464"/>
    <w:rsid w:val="00D3254D"/>
    <w:rsid w:val="00D342CD"/>
    <w:rsid w:val="00D361CB"/>
    <w:rsid w:val="00D3772B"/>
    <w:rsid w:val="00D42DD4"/>
    <w:rsid w:val="00D44552"/>
    <w:rsid w:val="00D455C9"/>
    <w:rsid w:val="00D4564E"/>
    <w:rsid w:val="00D46F15"/>
    <w:rsid w:val="00D5007A"/>
    <w:rsid w:val="00D50F71"/>
    <w:rsid w:val="00D5158B"/>
    <w:rsid w:val="00D51D6C"/>
    <w:rsid w:val="00D60B4E"/>
    <w:rsid w:val="00D66265"/>
    <w:rsid w:val="00D67A32"/>
    <w:rsid w:val="00D67CD8"/>
    <w:rsid w:val="00D729E2"/>
    <w:rsid w:val="00D74444"/>
    <w:rsid w:val="00D75944"/>
    <w:rsid w:val="00D77CE1"/>
    <w:rsid w:val="00D81793"/>
    <w:rsid w:val="00D82D92"/>
    <w:rsid w:val="00D832E8"/>
    <w:rsid w:val="00D8485A"/>
    <w:rsid w:val="00D85635"/>
    <w:rsid w:val="00D86A9E"/>
    <w:rsid w:val="00D87D6A"/>
    <w:rsid w:val="00D92115"/>
    <w:rsid w:val="00D926A7"/>
    <w:rsid w:val="00D949DD"/>
    <w:rsid w:val="00DA02E4"/>
    <w:rsid w:val="00DB4B17"/>
    <w:rsid w:val="00DB58E8"/>
    <w:rsid w:val="00DB718D"/>
    <w:rsid w:val="00DB7CB9"/>
    <w:rsid w:val="00DC0029"/>
    <w:rsid w:val="00DC02A9"/>
    <w:rsid w:val="00DC3B22"/>
    <w:rsid w:val="00DC3EA4"/>
    <w:rsid w:val="00DC548D"/>
    <w:rsid w:val="00DD4340"/>
    <w:rsid w:val="00DE057B"/>
    <w:rsid w:val="00DE17EC"/>
    <w:rsid w:val="00DE2082"/>
    <w:rsid w:val="00DE42E3"/>
    <w:rsid w:val="00DE525B"/>
    <w:rsid w:val="00DF2185"/>
    <w:rsid w:val="00DF6692"/>
    <w:rsid w:val="00DF69C6"/>
    <w:rsid w:val="00DF6A91"/>
    <w:rsid w:val="00E0279A"/>
    <w:rsid w:val="00E109AE"/>
    <w:rsid w:val="00E13E11"/>
    <w:rsid w:val="00E13E42"/>
    <w:rsid w:val="00E14413"/>
    <w:rsid w:val="00E1491F"/>
    <w:rsid w:val="00E20461"/>
    <w:rsid w:val="00E21A9D"/>
    <w:rsid w:val="00E221FB"/>
    <w:rsid w:val="00E276AE"/>
    <w:rsid w:val="00E27A08"/>
    <w:rsid w:val="00E30774"/>
    <w:rsid w:val="00E31BC2"/>
    <w:rsid w:val="00E3484A"/>
    <w:rsid w:val="00E34C33"/>
    <w:rsid w:val="00E34CCD"/>
    <w:rsid w:val="00E4157F"/>
    <w:rsid w:val="00E441EF"/>
    <w:rsid w:val="00E4498F"/>
    <w:rsid w:val="00E4547D"/>
    <w:rsid w:val="00E52DD8"/>
    <w:rsid w:val="00E546E5"/>
    <w:rsid w:val="00E554F9"/>
    <w:rsid w:val="00E56C48"/>
    <w:rsid w:val="00E60E3E"/>
    <w:rsid w:val="00E61D91"/>
    <w:rsid w:val="00E61E34"/>
    <w:rsid w:val="00E62759"/>
    <w:rsid w:val="00E63DA7"/>
    <w:rsid w:val="00E64B98"/>
    <w:rsid w:val="00E65E3E"/>
    <w:rsid w:val="00E66C4A"/>
    <w:rsid w:val="00E67C9B"/>
    <w:rsid w:val="00E72110"/>
    <w:rsid w:val="00E74B63"/>
    <w:rsid w:val="00E74CA1"/>
    <w:rsid w:val="00E74E95"/>
    <w:rsid w:val="00E77F45"/>
    <w:rsid w:val="00E84BD2"/>
    <w:rsid w:val="00E84DA6"/>
    <w:rsid w:val="00E85183"/>
    <w:rsid w:val="00E915F7"/>
    <w:rsid w:val="00E92638"/>
    <w:rsid w:val="00E9441A"/>
    <w:rsid w:val="00E94AD1"/>
    <w:rsid w:val="00E9535F"/>
    <w:rsid w:val="00E95AB9"/>
    <w:rsid w:val="00E95F32"/>
    <w:rsid w:val="00EA0A56"/>
    <w:rsid w:val="00EA1030"/>
    <w:rsid w:val="00EA1478"/>
    <w:rsid w:val="00EA489C"/>
    <w:rsid w:val="00EA7553"/>
    <w:rsid w:val="00EA7D64"/>
    <w:rsid w:val="00EB0E82"/>
    <w:rsid w:val="00EB3238"/>
    <w:rsid w:val="00EB5A34"/>
    <w:rsid w:val="00EB5E4A"/>
    <w:rsid w:val="00EB65F2"/>
    <w:rsid w:val="00EB6796"/>
    <w:rsid w:val="00EC4D45"/>
    <w:rsid w:val="00EC51B7"/>
    <w:rsid w:val="00ED4DCD"/>
    <w:rsid w:val="00EE5B0A"/>
    <w:rsid w:val="00EE71A3"/>
    <w:rsid w:val="00EE76C8"/>
    <w:rsid w:val="00EF0ABE"/>
    <w:rsid w:val="00EF2C01"/>
    <w:rsid w:val="00F023D8"/>
    <w:rsid w:val="00F039CE"/>
    <w:rsid w:val="00F03EC3"/>
    <w:rsid w:val="00F0578E"/>
    <w:rsid w:val="00F10148"/>
    <w:rsid w:val="00F11565"/>
    <w:rsid w:val="00F145BB"/>
    <w:rsid w:val="00F155C8"/>
    <w:rsid w:val="00F20814"/>
    <w:rsid w:val="00F2142D"/>
    <w:rsid w:val="00F25C8E"/>
    <w:rsid w:val="00F26B3F"/>
    <w:rsid w:val="00F278A7"/>
    <w:rsid w:val="00F328C9"/>
    <w:rsid w:val="00F35B0F"/>
    <w:rsid w:val="00F379A5"/>
    <w:rsid w:val="00F37B62"/>
    <w:rsid w:val="00F37F5B"/>
    <w:rsid w:val="00F44855"/>
    <w:rsid w:val="00F459F5"/>
    <w:rsid w:val="00F50931"/>
    <w:rsid w:val="00F55BEA"/>
    <w:rsid w:val="00F61895"/>
    <w:rsid w:val="00F61E02"/>
    <w:rsid w:val="00F62654"/>
    <w:rsid w:val="00F652F7"/>
    <w:rsid w:val="00F66F44"/>
    <w:rsid w:val="00F714E5"/>
    <w:rsid w:val="00F71769"/>
    <w:rsid w:val="00F71899"/>
    <w:rsid w:val="00F7285C"/>
    <w:rsid w:val="00F73AFB"/>
    <w:rsid w:val="00F74AA3"/>
    <w:rsid w:val="00F74E7D"/>
    <w:rsid w:val="00F76F2A"/>
    <w:rsid w:val="00F76F8C"/>
    <w:rsid w:val="00F77004"/>
    <w:rsid w:val="00F77A2A"/>
    <w:rsid w:val="00F82987"/>
    <w:rsid w:val="00F83D0F"/>
    <w:rsid w:val="00F84CF5"/>
    <w:rsid w:val="00F84D54"/>
    <w:rsid w:val="00F85BEA"/>
    <w:rsid w:val="00F87B1B"/>
    <w:rsid w:val="00F90B72"/>
    <w:rsid w:val="00F91833"/>
    <w:rsid w:val="00F925C8"/>
    <w:rsid w:val="00F92D2C"/>
    <w:rsid w:val="00F9701A"/>
    <w:rsid w:val="00FA614E"/>
    <w:rsid w:val="00FA620E"/>
    <w:rsid w:val="00FA6412"/>
    <w:rsid w:val="00FA6643"/>
    <w:rsid w:val="00FA6685"/>
    <w:rsid w:val="00FA69C5"/>
    <w:rsid w:val="00FA78DB"/>
    <w:rsid w:val="00FB1622"/>
    <w:rsid w:val="00FB1FF0"/>
    <w:rsid w:val="00FB548F"/>
    <w:rsid w:val="00FC1BA1"/>
    <w:rsid w:val="00FC5785"/>
    <w:rsid w:val="00FC6388"/>
    <w:rsid w:val="00FC7E5A"/>
    <w:rsid w:val="00FD1967"/>
    <w:rsid w:val="00FD27E6"/>
    <w:rsid w:val="00FD50E3"/>
    <w:rsid w:val="00FD53E9"/>
    <w:rsid w:val="00FD57E7"/>
    <w:rsid w:val="00FE0809"/>
    <w:rsid w:val="00FE2CC5"/>
    <w:rsid w:val="00FE3A0D"/>
    <w:rsid w:val="00FE466D"/>
    <w:rsid w:val="00FE6862"/>
    <w:rsid w:val="00FE68A7"/>
    <w:rsid w:val="00FE79F9"/>
    <w:rsid w:val="00FF090D"/>
    <w:rsid w:val="00FF1013"/>
    <w:rsid w:val="00FF20D3"/>
    <w:rsid w:val="00FF4984"/>
    <w:rsid w:val="00FF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674AE"/>
  <w15:docId w15:val="{9CBC8853-72F6-4FEF-82AE-3DFEFBA9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CB"/>
    <w:pPr>
      <w:spacing w:line="480" w:lineRule="auto"/>
      <w:ind w:firstLine="720"/>
    </w:pPr>
    <w:rPr>
      <w:sz w:val="22"/>
    </w:rPr>
  </w:style>
  <w:style w:type="paragraph" w:styleId="Heading1">
    <w:name w:val="heading 1"/>
    <w:basedOn w:val="Normal"/>
    <w:next w:val="Normal"/>
    <w:autoRedefine/>
    <w:qFormat/>
    <w:rsid w:val="00767661"/>
    <w:pPr>
      <w:keepNext/>
      <w:tabs>
        <w:tab w:val="left" w:pos="1800"/>
      </w:tabs>
      <w:spacing w:after="120"/>
      <w:ind w:firstLine="432"/>
      <w:outlineLvl w:val="0"/>
    </w:pPr>
    <w:rPr>
      <w:b/>
      <w:noProof/>
    </w:rPr>
  </w:style>
  <w:style w:type="paragraph" w:styleId="Heading2">
    <w:name w:val="heading 2"/>
    <w:aliases w:val="Heading 2_OMB"/>
    <w:basedOn w:val="Normal"/>
    <w:next w:val="Normal"/>
    <w:autoRedefine/>
    <w:qFormat/>
    <w:rsid w:val="00C32AAA"/>
    <w:pPr>
      <w:keepNext/>
      <w:tabs>
        <w:tab w:val="left" w:pos="720"/>
      </w:tabs>
      <w:ind w:firstLine="0"/>
      <w:outlineLvl w:val="1"/>
    </w:pPr>
    <w:rPr>
      <w:rFonts w:asciiTheme="minorHAnsi" w:hAnsiTheme="minorHAnsi"/>
      <w:szCs w:val="22"/>
    </w:rPr>
  </w:style>
  <w:style w:type="paragraph" w:styleId="Heading3">
    <w:name w:val="heading 3"/>
    <w:aliases w:val="Heading 3_OMB"/>
    <w:basedOn w:val="Normal"/>
    <w:next w:val="Normal"/>
    <w:qFormat/>
    <w:rsid w:val="00577ACB"/>
    <w:pPr>
      <w:keepNext/>
      <w:spacing w:before="120"/>
      <w:ind w:left="1152" w:hanging="432"/>
      <w:outlineLvl w:val="2"/>
    </w:pPr>
    <w:rPr>
      <w:rFonts w:ascii="Times New Roman Bold" w:hAnsi="Times New Roman Bold"/>
      <w:szCs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style>
  <w:style w:type="paragraph" w:styleId="BodyTextIndent">
    <w:name w:val="Body Text Indent"/>
    <w:basedOn w:val="Normal"/>
    <w:pPr>
      <w:ind w:firstLine="360"/>
    </w:pPr>
  </w:style>
  <w:style w:type="paragraph" w:styleId="BodyTextIndent2">
    <w:name w:val="Body Text Indent 2"/>
    <w:basedOn w:val="Normal"/>
    <w:pPr>
      <w:ind w:left="7200" w:hanging="2880"/>
    </w:p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ind w:left="450" w:firstLine="27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uiPriority w:val="99"/>
    <w:rsid w:val="00F82987"/>
    <w:rPr>
      <w:sz w:val="16"/>
      <w:szCs w:val="16"/>
    </w:rPr>
  </w:style>
  <w:style w:type="paragraph" w:styleId="CommentText">
    <w:name w:val="annotation text"/>
    <w:basedOn w:val="Normal"/>
    <w:link w:val="CommentTextChar"/>
    <w:uiPriority w:val="99"/>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uiPriority w:val="99"/>
    <w:rsid w:val="00B35F76"/>
    <w:pPr>
      <w:spacing w:before="100" w:beforeAutospacing="1" w:after="100" w:afterAutospacing="1"/>
    </w:pPr>
    <w:rPr>
      <w:sz w:val="24"/>
      <w:szCs w:val="24"/>
    </w:rPr>
  </w:style>
  <w:style w:type="paragraph" w:styleId="TOC1">
    <w:name w:val="toc 1"/>
    <w:basedOn w:val="Normal"/>
    <w:next w:val="Normal"/>
    <w:autoRedefine/>
    <w:uiPriority w:val="39"/>
    <w:rsid w:val="0070618E"/>
    <w:pPr>
      <w:tabs>
        <w:tab w:val="left" w:pos="360"/>
        <w:tab w:val="right" w:leader="dot" w:pos="9350"/>
      </w:tabs>
      <w:spacing w:before="120"/>
      <w:ind w:firstLine="0"/>
    </w:pPr>
    <w:rPr>
      <w:rFonts w:asciiTheme="minorHAnsi" w:hAnsiTheme="minorHAnsi"/>
      <w:b/>
      <w:sz w:val="24"/>
      <w:szCs w:val="24"/>
    </w:rPr>
  </w:style>
  <w:style w:type="paragraph" w:styleId="TOC3">
    <w:name w:val="toc 3"/>
    <w:basedOn w:val="Normal"/>
    <w:next w:val="Normal"/>
    <w:autoRedefine/>
    <w:semiHidden/>
    <w:rsid w:val="00B77074"/>
    <w:pPr>
      <w:ind w:left="440"/>
    </w:pPr>
    <w:rPr>
      <w:rFonts w:asciiTheme="minorHAnsi" w:hAnsiTheme="minorHAnsi"/>
      <w:szCs w:val="22"/>
    </w:rPr>
  </w:style>
  <w:style w:type="paragraph" w:styleId="TOC2">
    <w:name w:val="toc 2"/>
    <w:basedOn w:val="Normal"/>
    <w:next w:val="Normal"/>
    <w:autoRedefine/>
    <w:uiPriority w:val="39"/>
    <w:rsid w:val="000379CE"/>
    <w:pPr>
      <w:tabs>
        <w:tab w:val="left" w:pos="810"/>
        <w:tab w:val="right" w:leader="dot" w:pos="9350"/>
      </w:tabs>
      <w:ind w:left="810" w:hanging="450"/>
    </w:pPr>
    <w:rPr>
      <w:rFonts w:asciiTheme="minorHAnsi" w:hAnsiTheme="minorHAnsi"/>
      <w:b/>
      <w:szCs w:val="22"/>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72"/>
    <w:rsid w:val="00A46B0E"/>
    <w:pPr>
      <w:ind w:left="720"/>
      <w:contextualSpacing/>
    </w:pPr>
  </w:style>
  <w:style w:type="paragraph" w:styleId="Revision">
    <w:name w:val="Revision"/>
    <w:hidden/>
    <w:uiPriority w:val="71"/>
    <w:rsid w:val="001E236B"/>
  </w:style>
  <w:style w:type="paragraph" w:styleId="FootnoteText">
    <w:name w:val="footnote text"/>
    <w:basedOn w:val="Normal"/>
    <w:link w:val="FootnoteTextChar"/>
    <w:rsid w:val="009E2953"/>
    <w:pPr>
      <w:spacing w:line="240" w:lineRule="auto"/>
    </w:pPr>
    <w:rPr>
      <w:sz w:val="24"/>
      <w:szCs w:val="24"/>
    </w:rPr>
  </w:style>
  <w:style w:type="character" w:customStyle="1" w:styleId="FootnoteTextChar">
    <w:name w:val="Footnote Text Char"/>
    <w:basedOn w:val="DefaultParagraphFont"/>
    <w:link w:val="FootnoteText"/>
    <w:rsid w:val="009E2953"/>
    <w:rPr>
      <w:sz w:val="24"/>
      <w:szCs w:val="24"/>
    </w:rPr>
  </w:style>
  <w:style w:type="character" w:styleId="FootnoteReference">
    <w:name w:val="footnote reference"/>
    <w:basedOn w:val="DefaultParagraphFont"/>
    <w:rsid w:val="009E2953"/>
    <w:rPr>
      <w:vertAlign w:val="superscript"/>
    </w:rPr>
  </w:style>
  <w:style w:type="character" w:customStyle="1" w:styleId="CommentTextChar">
    <w:name w:val="Comment Text Char"/>
    <w:link w:val="CommentText"/>
    <w:uiPriority w:val="99"/>
    <w:rsid w:val="004012CC"/>
    <w:rPr>
      <w:sz w:val="22"/>
    </w:rPr>
  </w:style>
  <w:style w:type="table" w:styleId="TableGrid">
    <w:name w:val="Table Grid"/>
    <w:basedOn w:val="TableNormal"/>
    <w:rsid w:val="00F9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F91833"/>
    <w:pPr>
      <w:spacing w:line="480" w:lineRule="auto"/>
      <w:ind w:firstLine="720"/>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Columns4">
    <w:name w:val="Table Columns 4"/>
    <w:basedOn w:val="TableNormal"/>
    <w:rsid w:val="0069710A"/>
    <w:pPr>
      <w:spacing w:line="480" w:lineRule="auto"/>
      <w:ind w:firstLine="720"/>
    </w:pPr>
    <w:tblPr>
      <w:tblStyleColBandSize w:val="1"/>
    </w:tblPr>
    <w:tcPr>
      <w:shd w:val="pct50" w:color="008080" w:fill="FFFFFF"/>
    </w:tcPr>
    <w:tblStylePr w:type="firstRow">
      <w:rPr>
        <w:color w:val="FFFFFF"/>
      </w:rPr>
      <w:tblPr/>
      <w:tcPr>
        <w:shd w:val="solid" w:color="000000" w:fill="FFFFFF"/>
      </w:tcPr>
    </w:tblStylePr>
    <w:tblStylePr w:type="lastRow">
      <w:rPr>
        <w:b/>
        <w:bCs/>
      </w:rPr>
    </w:tblStylePr>
    <w:tblStylePr w:type="lastCol">
      <w:rPr>
        <w:b/>
        <w:bCs/>
      </w:rPr>
    </w:tblStylePr>
    <w:tblStylePr w:type="band2Vert">
      <w:rPr>
        <w:color w:val="auto"/>
      </w:rPr>
      <w:tblPr/>
      <w:tcPr>
        <w:shd w:val="pct10" w:color="000000" w:fill="FFFFFF"/>
      </w:tcPr>
    </w:tblStylePr>
  </w:style>
  <w:style w:type="table" w:styleId="TableList4">
    <w:name w:val="Table List 4"/>
    <w:basedOn w:val="TableNormal"/>
    <w:rsid w:val="0069710A"/>
    <w:pPr>
      <w:spacing w:line="48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Professional">
    <w:name w:val="Table Professional"/>
    <w:basedOn w:val="TableNormal"/>
    <w:rsid w:val="0069710A"/>
    <w:pPr>
      <w:spacing w:line="48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TableText">
    <w:name w:val="Table Text"/>
    <w:basedOn w:val="Normal"/>
    <w:qFormat/>
    <w:rsid w:val="00170A69"/>
    <w:pPr>
      <w:ind w:firstLine="0"/>
    </w:pPr>
    <w:rPr>
      <w:b/>
    </w:rPr>
  </w:style>
  <w:style w:type="paragraph" w:styleId="TOC4">
    <w:name w:val="toc 4"/>
    <w:basedOn w:val="Normal"/>
    <w:next w:val="Normal"/>
    <w:autoRedefine/>
    <w:rsid w:val="000379CE"/>
    <w:pPr>
      <w:ind w:left="660"/>
    </w:pPr>
    <w:rPr>
      <w:rFonts w:asciiTheme="minorHAnsi" w:hAnsiTheme="minorHAnsi"/>
      <w:sz w:val="20"/>
    </w:rPr>
  </w:style>
  <w:style w:type="paragraph" w:styleId="TOC5">
    <w:name w:val="toc 5"/>
    <w:basedOn w:val="Normal"/>
    <w:next w:val="Normal"/>
    <w:autoRedefine/>
    <w:rsid w:val="000379CE"/>
    <w:pPr>
      <w:ind w:left="880"/>
    </w:pPr>
    <w:rPr>
      <w:rFonts w:asciiTheme="minorHAnsi" w:hAnsiTheme="minorHAnsi"/>
      <w:sz w:val="20"/>
    </w:rPr>
  </w:style>
  <w:style w:type="paragraph" w:styleId="TOC6">
    <w:name w:val="toc 6"/>
    <w:basedOn w:val="Normal"/>
    <w:next w:val="Normal"/>
    <w:autoRedefine/>
    <w:rsid w:val="000379CE"/>
    <w:pPr>
      <w:ind w:left="1100"/>
    </w:pPr>
    <w:rPr>
      <w:rFonts w:asciiTheme="minorHAnsi" w:hAnsiTheme="minorHAnsi"/>
      <w:sz w:val="20"/>
    </w:rPr>
  </w:style>
  <w:style w:type="paragraph" w:styleId="TOC7">
    <w:name w:val="toc 7"/>
    <w:basedOn w:val="Normal"/>
    <w:next w:val="Normal"/>
    <w:autoRedefine/>
    <w:rsid w:val="000379CE"/>
    <w:pPr>
      <w:ind w:left="1320"/>
    </w:pPr>
    <w:rPr>
      <w:rFonts w:asciiTheme="minorHAnsi" w:hAnsiTheme="minorHAnsi"/>
      <w:sz w:val="20"/>
    </w:rPr>
  </w:style>
  <w:style w:type="paragraph" w:styleId="TOC8">
    <w:name w:val="toc 8"/>
    <w:basedOn w:val="Normal"/>
    <w:next w:val="Normal"/>
    <w:autoRedefine/>
    <w:rsid w:val="000379CE"/>
    <w:pPr>
      <w:ind w:left="1540"/>
    </w:pPr>
    <w:rPr>
      <w:rFonts w:asciiTheme="minorHAnsi" w:hAnsiTheme="minorHAnsi"/>
      <w:sz w:val="20"/>
    </w:rPr>
  </w:style>
  <w:style w:type="paragraph" w:styleId="TOC9">
    <w:name w:val="toc 9"/>
    <w:basedOn w:val="Normal"/>
    <w:next w:val="Normal"/>
    <w:autoRedefine/>
    <w:rsid w:val="000379CE"/>
    <w:pPr>
      <w:ind w:left="1760"/>
    </w:pPr>
    <w:rPr>
      <w:rFonts w:asciiTheme="minorHAnsi" w:hAnsiTheme="minorHAnsi"/>
      <w:sz w:val="20"/>
    </w:rPr>
  </w:style>
  <w:style w:type="table" w:styleId="TableClassic3">
    <w:name w:val="Table Classic 3"/>
    <w:basedOn w:val="TableNormal"/>
    <w:rsid w:val="001D4AB7"/>
    <w:pPr>
      <w:spacing w:line="480" w:lineRule="auto"/>
      <w:ind w:firstLine="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1D4AB7"/>
    <w:pPr>
      <w:spacing w:line="480" w:lineRule="auto"/>
      <w:ind w:firstLine="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lassic1">
    <w:name w:val="Table Classic 1"/>
    <w:basedOn w:val="TableNormal"/>
    <w:rsid w:val="001D4AB7"/>
    <w:pPr>
      <w:spacing w:line="480" w:lineRule="auto"/>
      <w:ind w:firstLine="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styleId="LineNumber">
    <w:name w:val="line number"/>
    <w:basedOn w:val="DefaultParagraphFont"/>
    <w:rsid w:val="0089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4568">
      <w:bodyDiv w:val="1"/>
      <w:marLeft w:val="0"/>
      <w:marRight w:val="0"/>
      <w:marTop w:val="0"/>
      <w:marBottom w:val="0"/>
      <w:divBdr>
        <w:top w:val="none" w:sz="0" w:space="0" w:color="auto"/>
        <w:left w:val="none" w:sz="0" w:space="0" w:color="auto"/>
        <w:bottom w:val="none" w:sz="0" w:space="0" w:color="auto"/>
        <w:right w:val="none" w:sz="0" w:space="0" w:color="auto"/>
      </w:divBdr>
    </w:div>
    <w:div w:id="215512295">
      <w:bodyDiv w:val="1"/>
      <w:marLeft w:val="0"/>
      <w:marRight w:val="0"/>
      <w:marTop w:val="0"/>
      <w:marBottom w:val="0"/>
      <w:divBdr>
        <w:top w:val="none" w:sz="0" w:space="0" w:color="auto"/>
        <w:left w:val="none" w:sz="0" w:space="0" w:color="auto"/>
        <w:bottom w:val="none" w:sz="0" w:space="0" w:color="auto"/>
        <w:right w:val="none" w:sz="0" w:space="0" w:color="auto"/>
      </w:divBdr>
    </w:div>
    <w:div w:id="683291901">
      <w:bodyDiv w:val="1"/>
      <w:marLeft w:val="0"/>
      <w:marRight w:val="0"/>
      <w:marTop w:val="0"/>
      <w:marBottom w:val="0"/>
      <w:divBdr>
        <w:top w:val="none" w:sz="0" w:space="0" w:color="auto"/>
        <w:left w:val="none" w:sz="0" w:space="0" w:color="auto"/>
        <w:bottom w:val="none" w:sz="0" w:space="0" w:color="auto"/>
        <w:right w:val="none" w:sz="0" w:space="0" w:color="auto"/>
      </w:divBdr>
      <w:divsChild>
        <w:div w:id="626813173">
          <w:marLeft w:val="0"/>
          <w:marRight w:val="0"/>
          <w:marTop w:val="0"/>
          <w:marBottom w:val="0"/>
          <w:divBdr>
            <w:top w:val="none" w:sz="0" w:space="0" w:color="auto"/>
            <w:left w:val="none" w:sz="0" w:space="0" w:color="auto"/>
            <w:bottom w:val="none" w:sz="0" w:space="0" w:color="auto"/>
            <w:right w:val="none" w:sz="0" w:space="0" w:color="auto"/>
          </w:divBdr>
        </w:div>
      </w:divsChild>
    </w:div>
    <w:div w:id="897663907">
      <w:bodyDiv w:val="1"/>
      <w:marLeft w:val="0"/>
      <w:marRight w:val="0"/>
      <w:marTop w:val="0"/>
      <w:marBottom w:val="0"/>
      <w:divBdr>
        <w:top w:val="none" w:sz="0" w:space="0" w:color="auto"/>
        <w:left w:val="none" w:sz="0" w:space="0" w:color="auto"/>
        <w:bottom w:val="none" w:sz="0" w:space="0" w:color="auto"/>
        <w:right w:val="none" w:sz="0" w:space="0" w:color="auto"/>
      </w:divBdr>
      <w:divsChild>
        <w:div w:id="583225775">
          <w:marLeft w:val="0"/>
          <w:marRight w:val="0"/>
          <w:marTop w:val="0"/>
          <w:marBottom w:val="0"/>
          <w:divBdr>
            <w:top w:val="none" w:sz="0" w:space="0" w:color="auto"/>
            <w:left w:val="none" w:sz="0" w:space="0" w:color="auto"/>
            <w:bottom w:val="none" w:sz="0" w:space="0" w:color="auto"/>
            <w:right w:val="none" w:sz="0" w:space="0" w:color="auto"/>
          </w:divBdr>
          <w:divsChild>
            <w:div w:id="389231587">
              <w:marLeft w:val="0"/>
              <w:marRight w:val="0"/>
              <w:marTop w:val="0"/>
              <w:marBottom w:val="0"/>
              <w:divBdr>
                <w:top w:val="none" w:sz="0" w:space="0" w:color="auto"/>
                <w:left w:val="none" w:sz="0" w:space="0" w:color="auto"/>
                <w:bottom w:val="none" w:sz="0" w:space="0" w:color="auto"/>
                <w:right w:val="none" w:sz="0" w:space="0" w:color="auto"/>
              </w:divBdr>
              <w:divsChild>
                <w:div w:id="16249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4070">
      <w:bodyDiv w:val="1"/>
      <w:marLeft w:val="0"/>
      <w:marRight w:val="0"/>
      <w:marTop w:val="0"/>
      <w:marBottom w:val="0"/>
      <w:divBdr>
        <w:top w:val="none" w:sz="0" w:space="0" w:color="auto"/>
        <w:left w:val="none" w:sz="0" w:space="0" w:color="auto"/>
        <w:bottom w:val="none" w:sz="0" w:space="0" w:color="auto"/>
        <w:right w:val="none" w:sz="0" w:space="0" w:color="auto"/>
      </w:divBdr>
    </w:div>
    <w:div w:id="1176263445">
      <w:bodyDiv w:val="1"/>
      <w:marLeft w:val="0"/>
      <w:marRight w:val="0"/>
      <w:marTop w:val="0"/>
      <w:marBottom w:val="0"/>
      <w:divBdr>
        <w:top w:val="none" w:sz="0" w:space="0" w:color="auto"/>
        <w:left w:val="none" w:sz="0" w:space="0" w:color="auto"/>
        <w:bottom w:val="none" w:sz="0" w:space="0" w:color="auto"/>
        <w:right w:val="none" w:sz="0" w:space="0" w:color="auto"/>
      </w:divBdr>
      <w:divsChild>
        <w:div w:id="339087119">
          <w:marLeft w:val="0"/>
          <w:marRight w:val="0"/>
          <w:marTop w:val="0"/>
          <w:marBottom w:val="0"/>
          <w:divBdr>
            <w:top w:val="none" w:sz="0" w:space="0" w:color="auto"/>
            <w:left w:val="none" w:sz="0" w:space="0" w:color="auto"/>
            <w:bottom w:val="none" w:sz="0" w:space="0" w:color="auto"/>
            <w:right w:val="none" w:sz="0" w:space="0" w:color="auto"/>
          </w:divBdr>
          <w:divsChild>
            <w:div w:id="1062218288">
              <w:marLeft w:val="0"/>
              <w:marRight w:val="0"/>
              <w:marTop w:val="0"/>
              <w:marBottom w:val="0"/>
              <w:divBdr>
                <w:top w:val="none" w:sz="0" w:space="0" w:color="auto"/>
                <w:left w:val="none" w:sz="0" w:space="0" w:color="auto"/>
                <w:bottom w:val="none" w:sz="0" w:space="0" w:color="auto"/>
                <w:right w:val="none" w:sz="0" w:space="0" w:color="auto"/>
              </w:divBdr>
              <w:divsChild>
                <w:div w:id="925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99494">
      <w:bodyDiv w:val="1"/>
      <w:marLeft w:val="0"/>
      <w:marRight w:val="0"/>
      <w:marTop w:val="0"/>
      <w:marBottom w:val="0"/>
      <w:divBdr>
        <w:top w:val="none" w:sz="0" w:space="0" w:color="auto"/>
        <w:left w:val="none" w:sz="0" w:space="0" w:color="auto"/>
        <w:bottom w:val="none" w:sz="0" w:space="0" w:color="auto"/>
        <w:right w:val="none" w:sz="0" w:space="0" w:color="auto"/>
      </w:divBdr>
    </w:div>
    <w:div w:id="1269702944">
      <w:bodyDiv w:val="1"/>
      <w:marLeft w:val="0"/>
      <w:marRight w:val="0"/>
      <w:marTop w:val="0"/>
      <w:marBottom w:val="0"/>
      <w:divBdr>
        <w:top w:val="none" w:sz="0" w:space="0" w:color="auto"/>
        <w:left w:val="none" w:sz="0" w:space="0" w:color="auto"/>
        <w:bottom w:val="none" w:sz="0" w:space="0" w:color="auto"/>
        <w:right w:val="none" w:sz="0" w:space="0" w:color="auto"/>
      </w:divBdr>
    </w:div>
    <w:div w:id="1316762417">
      <w:bodyDiv w:val="1"/>
      <w:marLeft w:val="0"/>
      <w:marRight w:val="0"/>
      <w:marTop w:val="0"/>
      <w:marBottom w:val="0"/>
      <w:divBdr>
        <w:top w:val="none" w:sz="0" w:space="0" w:color="auto"/>
        <w:left w:val="none" w:sz="0" w:space="0" w:color="auto"/>
        <w:bottom w:val="none" w:sz="0" w:space="0" w:color="auto"/>
        <w:right w:val="none" w:sz="0" w:space="0" w:color="auto"/>
      </w:divBdr>
      <w:divsChild>
        <w:div w:id="939609110">
          <w:marLeft w:val="0"/>
          <w:marRight w:val="0"/>
          <w:marTop w:val="0"/>
          <w:marBottom w:val="0"/>
          <w:divBdr>
            <w:top w:val="none" w:sz="0" w:space="0" w:color="auto"/>
            <w:left w:val="none" w:sz="0" w:space="0" w:color="auto"/>
            <w:bottom w:val="none" w:sz="0" w:space="0" w:color="auto"/>
            <w:right w:val="none" w:sz="0" w:space="0" w:color="auto"/>
          </w:divBdr>
        </w:div>
        <w:div w:id="252783590">
          <w:marLeft w:val="0"/>
          <w:marRight w:val="0"/>
          <w:marTop w:val="0"/>
          <w:marBottom w:val="0"/>
          <w:divBdr>
            <w:top w:val="none" w:sz="0" w:space="0" w:color="auto"/>
            <w:left w:val="none" w:sz="0" w:space="0" w:color="auto"/>
            <w:bottom w:val="none" w:sz="0" w:space="0" w:color="auto"/>
            <w:right w:val="none" w:sz="0" w:space="0" w:color="auto"/>
          </w:divBdr>
        </w:div>
        <w:div w:id="722296041">
          <w:marLeft w:val="0"/>
          <w:marRight w:val="0"/>
          <w:marTop w:val="0"/>
          <w:marBottom w:val="0"/>
          <w:divBdr>
            <w:top w:val="none" w:sz="0" w:space="0" w:color="auto"/>
            <w:left w:val="none" w:sz="0" w:space="0" w:color="auto"/>
            <w:bottom w:val="none" w:sz="0" w:space="0" w:color="auto"/>
            <w:right w:val="none" w:sz="0" w:space="0" w:color="auto"/>
          </w:divBdr>
        </w:div>
        <w:div w:id="1934630011">
          <w:marLeft w:val="0"/>
          <w:marRight w:val="0"/>
          <w:marTop w:val="0"/>
          <w:marBottom w:val="0"/>
          <w:divBdr>
            <w:top w:val="none" w:sz="0" w:space="0" w:color="auto"/>
            <w:left w:val="none" w:sz="0" w:space="0" w:color="auto"/>
            <w:bottom w:val="none" w:sz="0" w:space="0" w:color="auto"/>
            <w:right w:val="none" w:sz="0" w:space="0" w:color="auto"/>
          </w:divBdr>
        </w:div>
        <w:div w:id="524945306">
          <w:marLeft w:val="0"/>
          <w:marRight w:val="0"/>
          <w:marTop w:val="0"/>
          <w:marBottom w:val="0"/>
          <w:divBdr>
            <w:top w:val="none" w:sz="0" w:space="0" w:color="auto"/>
            <w:left w:val="none" w:sz="0" w:space="0" w:color="auto"/>
            <w:bottom w:val="none" w:sz="0" w:space="0" w:color="auto"/>
            <w:right w:val="none" w:sz="0" w:space="0" w:color="auto"/>
          </w:divBdr>
        </w:div>
        <w:div w:id="388697836">
          <w:marLeft w:val="0"/>
          <w:marRight w:val="0"/>
          <w:marTop w:val="0"/>
          <w:marBottom w:val="0"/>
          <w:divBdr>
            <w:top w:val="none" w:sz="0" w:space="0" w:color="auto"/>
            <w:left w:val="none" w:sz="0" w:space="0" w:color="auto"/>
            <w:bottom w:val="none" w:sz="0" w:space="0" w:color="auto"/>
            <w:right w:val="none" w:sz="0" w:space="0" w:color="auto"/>
          </w:divBdr>
        </w:div>
        <w:div w:id="1958676725">
          <w:marLeft w:val="0"/>
          <w:marRight w:val="0"/>
          <w:marTop w:val="0"/>
          <w:marBottom w:val="0"/>
          <w:divBdr>
            <w:top w:val="none" w:sz="0" w:space="0" w:color="auto"/>
            <w:left w:val="none" w:sz="0" w:space="0" w:color="auto"/>
            <w:bottom w:val="none" w:sz="0" w:space="0" w:color="auto"/>
            <w:right w:val="none" w:sz="0" w:space="0" w:color="auto"/>
          </w:divBdr>
        </w:div>
        <w:div w:id="610167739">
          <w:marLeft w:val="0"/>
          <w:marRight w:val="0"/>
          <w:marTop w:val="0"/>
          <w:marBottom w:val="0"/>
          <w:divBdr>
            <w:top w:val="none" w:sz="0" w:space="0" w:color="auto"/>
            <w:left w:val="none" w:sz="0" w:space="0" w:color="auto"/>
            <w:bottom w:val="none" w:sz="0" w:space="0" w:color="auto"/>
            <w:right w:val="none" w:sz="0" w:space="0" w:color="auto"/>
          </w:divBdr>
        </w:div>
        <w:div w:id="389234688">
          <w:marLeft w:val="0"/>
          <w:marRight w:val="0"/>
          <w:marTop w:val="0"/>
          <w:marBottom w:val="0"/>
          <w:divBdr>
            <w:top w:val="none" w:sz="0" w:space="0" w:color="auto"/>
            <w:left w:val="none" w:sz="0" w:space="0" w:color="auto"/>
            <w:bottom w:val="none" w:sz="0" w:space="0" w:color="auto"/>
            <w:right w:val="none" w:sz="0" w:space="0" w:color="auto"/>
          </w:divBdr>
        </w:div>
        <w:div w:id="1584997174">
          <w:marLeft w:val="0"/>
          <w:marRight w:val="0"/>
          <w:marTop w:val="0"/>
          <w:marBottom w:val="0"/>
          <w:divBdr>
            <w:top w:val="none" w:sz="0" w:space="0" w:color="auto"/>
            <w:left w:val="none" w:sz="0" w:space="0" w:color="auto"/>
            <w:bottom w:val="none" w:sz="0" w:space="0" w:color="auto"/>
            <w:right w:val="none" w:sz="0" w:space="0" w:color="auto"/>
          </w:divBdr>
        </w:div>
        <w:div w:id="1533029246">
          <w:marLeft w:val="0"/>
          <w:marRight w:val="0"/>
          <w:marTop w:val="0"/>
          <w:marBottom w:val="0"/>
          <w:divBdr>
            <w:top w:val="none" w:sz="0" w:space="0" w:color="auto"/>
            <w:left w:val="none" w:sz="0" w:space="0" w:color="auto"/>
            <w:bottom w:val="none" w:sz="0" w:space="0" w:color="auto"/>
            <w:right w:val="none" w:sz="0" w:space="0" w:color="auto"/>
          </w:divBdr>
        </w:div>
        <w:div w:id="646668966">
          <w:marLeft w:val="0"/>
          <w:marRight w:val="0"/>
          <w:marTop w:val="0"/>
          <w:marBottom w:val="0"/>
          <w:divBdr>
            <w:top w:val="none" w:sz="0" w:space="0" w:color="auto"/>
            <w:left w:val="none" w:sz="0" w:space="0" w:color="auto"/>
            <w:bottom w:val="none" w:sz="0" w:space="0" w:color="auto"/>
            <w:right w:val="none" w:sz="0" w:space="0" w:color="auto"/>
          </w:divBdr>
        </w:div>
        <w:div w:id="478956768">
          <w:marLeft w:val="0"/>
          <w:marRight w:val="0"/>
          <w:marTop w:val="0"/>
          <w:marBottom w:val="0"/>
          <w:divBdr>
            <w:top w:val="none" w:sz="0" w:space="0" w:color="auto"/>
            <w:left w:val="none" w:sz="0" w:space="0" w:color="auto"/>
            <w:bottom w:val="none" w:sz="0" w:space="0" w:color="auto"/>
            <w:right w:val="none" w:sz="0" w:space="0" w:color="auto"/>
          </w:divBdr>
        </w:div>
        <w:div w:id="1013797153">
          <w:marLeft w:val="0"/>
          <w:marRight w:val="0"/>
          <w:marTop w:val="0"/>
          <w:marBottom w:val="0"/>
          <w:divBdr>
            <w:top w:val="none" w:sz="0" w:space="0" w:color="auto"/>
            <w:left w:val="none" w:sz="0" w:space="0" w:color="auto"/>
            <w:bottom w:val="none" w:sz="0" w:space="0" w:color="auto"/>
            <w:right w:val="none" w:sz="0" w:space="0" w:color="auto"/>
          </w:divBdr>
        </w:div>
        <w:div w:id="1934167296">
          <w:marLeft w:val="0"/>
          <w:marRight w:val="0"/>
          <w:marTop w:val="0"/>
          <w:marBottom w:val="0"/>
          <w:divBdr>
            <w:top w:val="none" w:sz="0" w:space="0" w:color="auto"/>
            <w:left w:val="none" w:sz="0" w:space="0" w:color="auto"/>
            <w:bottom w:val="none" w:sz="0" w:space="0" w:color="auto"/>
            <w:right w:val="none" w:sz="0" w:space="0" w:color="auto"/>
          </w:divBdr>
        </w:div>
      </w:divsChild>
    </w:div>
    <w:div w:id="1388257779">
      <w:bodyDiv w:val="1"/>
      <w:marLeft w:val="0"/>
      <w:marRight w:val="0"/>
      <w:marTop w:val="0"/>
      <w:marBottom w:val="0"/>
      <w:divBdr>
        <w:top w:val="none" w:sz="0" w:space="0" w:color="auto"/>
        <w:left w:val="none" w:sz="0" w:space="0" w:color="auto"/>
        <w:bottom w:val="none" w:sz="0" w:space="0" w:color="auto"/>
        <w:right w:val="none" w:sz="0" w:space="0" w:color="auto"/>
      </w:divBdr>
      <w:divsChild>
        <w:div w:id="1600672298">
          <w:marLeft w:val="0"/>
          <w:marRight w:val="0"/>
          <w:marTop w:val="0"/>
          <w:marBottom w:val="0"/>
          <w:divBdr>
            <w:top w:val="none" w:sz="0" w:space="0" w:color="auto"/>
            <w:left w:val="none" w:sz="0" w:space="0" w:color="auto"/>
            <w:bottom w:val="none" w:sz="0" w:space="0" w:color="auto"/>
            <w:right w:val="none" w:sz="0" w:space="0" w:color="auto"/>
          </w:divBdr>
          <w:divsChild>
            <w:div w:id="682973592">
              <w:marLeft w:val="0"/>
              <w:marRight w:val="0"/>
              <w:marTop w:val="0"/>
              <w:marBottom w:val="0"/>
              <w:divBdr>
                <w:top w:val="none" w:sz="0" w:space="0" w:color="auto"/>
                <w:left w:val="none" w:sz="0" w:space="0" w:color="auto"/>
                <w:bottom w:val="none" w:sz="0" w:space="0" w:color="auto"/>
                <w:right w:val="none" w:sz="0" w:space="0" w:color="auto"/>
              </w:divBdr>
              <w:divsChild>
                <w:div w:id="767578742">
                  <w:marLeft w:val="0"/>
                  <w:marRight w:val="0"/>
                  <w:marTop w:val="0"/>
                  <w:marBottom w:val="0"/>
                  <w:divBdr>
                    <w:top w:val="none" w:sz="0" w:space="0" w:color="auto"/>
                    <w:left w:val="none" w:sz="0" w:space="0" w:color="auto"/>
                    <w:bottom w:val="none" w:sz="0" w:space="0" w:color="auto"/>
                    <w:right w:val="none" w:sz="0" w:space="0" w:color="auto"/>
                  </w:divBdr>
                </w:div>
              </w:divsChild>
            </w:div>
            <w:div w:id="1273513504">
              <w:marLeft w:val="0"/>
              <w:marRight w:val="0"/>
              <w:marTop w:val="0"/>
              <w:marBottom w:val="0"/>
              <w:divBdr>
                <w:top w:val="none" w:sz="0" w:space="0" w:color="auto"/>
                <w:left w:val="none" w:sz="0" w:space="0" w:color="auto"/>
                <w:bottom w:val="none" w:sz="0" w:space="0" w:color="auto"/>
                <w:right w:val="none" w:sz="0" w:space="0" w:color="auto"/>
              </w:divBdr>
              <w:divsChild>
                <w:div w:id="985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7034">
          <w:marLeft w:val="0"/>
          <w:marRight w:val="0"/>
          <w:marTop w:val="0"/>
          <w:marBottom w:val="0"/>
          <w:divBdr>
            <w:top w:val="none" w:sz="0" w:space="0" w:color="auto"/>
            <w:left w:val="none" w:sz="0" w:space="0" w:color="auto"/>
            <w:bottom w:val="none" w:sz="0" w:space="0" w:color="auto"/>
            <w:right w:val="none" w:sz="0" w:space="0" w:color="auto"/>
          </w:divBdr>
          <w:divsChild>
            <w:div w:id="595284102">
              <w:marLeft w:val="0"/>
              <w:marRight w:val="0"/>
              <w:marTop w:val="0"/>
              <w:marBottom w:val="0"/>
              <w:divBdr>
                <w:top w:val="none" w:sz="0" w:space="0" w:color="auto"/>
                <w:left w:val="none" w:sz="0" w:space="0" w:color="auto"/>
                <w:bottom w:val="none" w:sz="0" w:space="0" w:color="auto"/>
                <w:right w:val="none" w:sz="0" w:space="0" w:color="auto"/>
              </w:divBdr>
              <w:divsChild>
                <w:div w:id="10930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86">
      <w:bodyDiv w:val="1"/>
      <w:marLeft w:val="0"/>
      <w:marRight w:val="0"/>
      <w:marTop w:val="0"/>
      <w:marBottom w:val="0"/>
      <w:divBdr>
        <w:top w:val="none" w:sz="0" w:space="0" w:color="auto"/>
        <w:left w:val="none" w:sz="0" w:space="0" w:color="auto"/>
        <w:bottom w:val="none" w:sz="0" w:space="0" w:color="auto"/>
        <w:right w:val="none" w:sz="0" w:space="0" w:color="auto"/>
      </w:divBdr>
      <w:divsChild>
        <w:div w:id="1445154767">
          <w:marLeft w:val="0"/>
          <w:marRight w:val="0"/>
          <w:marTop w:val="0"/>
          <w:marBottom w:val="0"/>
          <w:divBdr>
            <w:top w:val="none" w:sz="0" w:space="0" w:color="auto"/>
            <w:left w:val="none" w:sz="0" w:space="0" w:color="auto"/>
            <w:bottom w:val="none" w:sz="0" w:space="0" w:color="auto"/>
            <w:right w:val="none" w:sz="0" w:space="0" w:color="auto"/>
          </w:divBdr>
          <w:divsChild>
            <w:div w:id="1487622946">
              <w:marLeft w:val="0"/>
              <w:marRight w:val="0"/>
              <w:marTop w:val="0"/>
              <w:marBottom w:val="0"/>
              <w:divBdr>
                <w:top w:val="none" w:sz="0" w:space="0" w:color="auto"/>
                <w:left w:val="none" w:sz="0" w:space="0" w:color="auto"/>
                <w:bottom w:val="none" w:sz="0" w:space="0" w:color="auto"/>
                <w:right w:val="none" w:sz="0" w:space="0" w:color="auto"/>
              </w:divBdr>
              <w:divsChild>
                <w:div w:id="1206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28103">
      <w:bodyDiv w:val="1"/>
      <w:marLeft w:val="0"/>
      <w:marRight w:val="0"/>
      <w:marTop w:val="0"/>
      <w:marBottom w:val="0"/>
      <w:divBdr>
        <w:top w:val="none" w:sz="0" w:space="0" w:color="auto"/>
        <w:left w:val="none" w:sz="0" w:space="0" w:color="auto"/>
        <w:bottom w:val="none" w:sz="0" w:space="0" w:color="auto"/>
        <w:right w:val="none" w:sz="0" w:space="0" w:color="auto"/>
      </w:divBdr>
    </w:div>
    <w:div w:id="1637104849">
      <w:bodyDiv w:val="1"/>
      <w:marLeft w:val="0"/>
      <w:marRight w:val="0"/>
      <w:marTop w:val="0"/>
      <w:marBottom w:val="0"/>
      <w:divBdr>
        <w:top w:val="none" w:sz="0" w:space="0" w:color="auto"/>
        <w:left w:val="none" w:sz="0" w:space="0" w:color="auto"/>
        <w:bottom w:val="none" w:sz="0" w:space="0" w:color="auto"/>
        <w:right w:val="none" w:sz="0" w:space="0" w:color="auto"/>
      </w:divBdr>
    </w:div>
    <w:div w:id="1648388557">
      <w:bodyDiv w:val="1"/>
      <w:marLeft w:val="0"/>
      <w:marRight w:val="0"/>
      <w:marTop w:val="0"/>
      <w:marBottom w:val="0"/>
      <w:divBdr>
        <w:top w:val="none" w:sz="0" w:space="0" w:color="auto"/>
        <w:left w:val="none" w:sz="0" w:space="0" w:color="auto"/>
        <w:bottom w:val="none" w:sz="0" w:space="0" w:color="auto"/>
        <w:right w:val="none" w:sz="0" w:space="0" w:color="auto"/>
      </w:divBdr>
    </w:div>
    <w:div w:id="1983926615">
      <w:bodyDiv w:val="1"/>
      <w:marLeft w:val="0"/>
      <w:marRight w:val="0"/>
      <w:marTop w:val="0"/>
      <w:marBottom w:val="0"/>
      <w:divBdr>
        <w:top w:val="none" w:sz="0" w:space="0" w:color="auto"/>
        <w:left w:val="none" w:sz="0" w:space="0" w:color="auto"/>
        <w:bottom w:val="none" w:sz="0" w:space="0" w:color="auto"/>
        <w:right w:val="none" w:sz="0" w:space="0" w:color="auto"/>
      </w:divBdr>
      <w:divsChild>
        <w:div w:id="37630299">
          <w:marLeft w:val="0"/>
          <w:marRight w:val="0"/>
          <w:marTop w:val="0"/>
          <w:marBottom w:val="0"/>
          <w:divBdr>
            <w:top w:val="none" w:sz="0" w:space="0" w:color="auto"/>
            <w:left w:val="none" w:sz="0" w:space="0" w:color="auto"/>
            <w:bottom w:val="none" w:sz="0" w:space="0" w:color="auto"/>
            <w:right w:val="none" w:sz="0" w:space="0" w:color="auto"/>
          </w:divBdr>
          <w:divsChild>
            <w:div w:id="785075322">
              <w:marLeft w:val="0"/>
              <w:marRight w:val="0"/>
              <w:marTop w:val="0"/>
              <w:marBottom w:val="0"/>
              <w:divBdr>
                <w:top w:val="none" w:sz="0" w:space="0" w:color="auto"/>
                <w:left w:val="none" w:sz="0" w:space="0" w:color="auto"/>
                <w:bottom w:val="none" w:sz="0" w:space="0" w:color="auto"/>
                <w:right w:val="none" w:sz="0" w:space="0" w:color="auto"/>
              </w:divBdr>
              <w:divsChild>
                <w:div w:id="129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6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a.taylor@niehs.nih.gov" TargetMode="External"/><Relationship Id="rId13" Type="http://schemas.openxmlformats.org/officeDocument/2006/relationships/hyperlink" Target="http://ntp.niehs.nih.gov/ntp/about_ntp/bsc/2008/june/minutes200806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tp.niehs.nih.gov/go/40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9102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1181D-7BA4-4935-BB78-104581EA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6105</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40828</CharactersWithSpaces>
  <SharedDoc>false</SharedDoc>
  <HLinks>
    <vt:vector size="12" baseType="variant">
      <vt:variant>
        <vt:i4>3342376</vt:i4>
      </vt:variant>
      <vt:variant>
        <vt:i4>6</vt:i4>
      </vt:variant>
      <vt:variant>
        <vt:i4>0</vt:i4>
      </vt:variant>
      <vt:variant>
        <vt:i4>5</vt:i4>
      </vt:variant>
      <vt:variant>
        <vt:lpwstr>http://www.ncbi.nlm.nih.gov/pubmed/22152926</vt:lpwstr>
      </vt:variant>
      <vt:variant>
        <vt:lpwstr/>
      </vt:variant>
      <vt:variant>
        <vt:i4>3342371</vt:i4>
      </vt:variant>
      <vt:variant>
        <vt:i4>3</vt:i4>
      </vt:variant>
      <vt:variant>
        <vt:i4>0</vt:i4>
      </vt:variant>
      <vt:variant>
        <vt:i4>5</vt:i4>
      </vt:variant>
      <vt:variant>
        <vt:lpwstr>http://www.ncbi.nlm.nih.gov/pubmed/22049383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NIEHS</dc:creator>
  <cp:lastModifiedBy>Fountain, Marisa (NIH/OD) [E]</cp:lastModifiedBy>
  <cp:revision>3</cp:revision>
  <cp:lastPrinted>2016-06-23T18:28:00Z</cp:lastPrinted>
  <dcterms:created xsi:type="dcterms:W3CDTF">2016-08-01T16:16:00Z</dcterms:created>
  <dcterms:modified xsi:type="dcterms:W3CDTF">2016-08-01T16:16:00Z</dcterms:modified>
</cp:coreProperties>
</file>