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01FD1" w14:textId="77777777" w:rsidR="000D7526" w:rsidRPr="007F66BB" w:rsidRDefault="000D7526" w:rsidP="00DF6D84">
      <w:pPr>
        <w:pStyle w:val="BodyText"/>
        <w:spacing w:line="360" w:lineRule="auto"/>
        <w:ind w:firstLine="0"/>
        <w:jc w:val="center"/>
        <w:rPr>
          <w:szCs w:val="24"/>
        </w:rPr>
      </w:pPr>
      <w:r w:rsidRPr="007F66BB">
        <w:rPr>
          <w:szCs w:val="24"/>
        </w:rPr>
        <w:t>Supporting Statement</w:t>
      </w:r>
      <w:r w:rsidR="00185A3B" w:rsidRPr="007F66BB">
        <w:rPr>
          <w:szCs w:val="24"/>
        </w:rPr>
        <w:t xml:space="preserve"> </w:t>
      </w:r>
      <w:r w:rsidR="00943B6C" w:rsidRPr="007F66BB">
        <w:rPr>
          <w:szCs w:val="24"/>
        </w:rPr>
        <w:t>B</w:t>
      </w:r>
    </w:p>
    <w:p w14:paraId="0B314F4C" w14:textId="77777777" w:rsidR="006D061C" w:rsidRPr="007F66BB" w:rsidRDefault="00B23ADD" w:rsidP="00DF6D84">
      <w:pPr>
        <w:pStyle w:val="BodyText"/>
        <w:spacing w:line="360" w:lineRule="auto"/>
        <w:ind w:firstLine="0"/>
        <w:jc w:val="center"/>
        <w:rPr>
          <w:i/>
          <w:szCs w:val="24"/>
        </w:rPr>
      </w:pPr>
      <w:r w:rsidRPr="007F66BB">
        <w:rPr>
          <w:i/>
          <w:szCs w:val="24"/>
        </w:rPr>
        <w:t>National Toxicology Program Level of Concern Categories</w:t>
      </w:r>
      <w:r w:rsidR="00972E80" w:rsidRPr="007F66BB">
        <w:rPr>
          <w:i/>
          <w:szCs w:val="24"/>
        </w:rPr>
        <w:t xml:space="preserve"> Study</w:t>
      </w:r>
    </w:p>
    <w:p w14:paraId="7DBBDD30" w14:textId="6366056C" w:rsidR="00A1221F" w:rsidRPr="007F66BB" w:rsidRDefault="00A1221F" w:rsidP="00DF6D84">
      <w:pPr>
        <w:pStyle w:val="BodyText"/>
        <w:spacing w:line="360" w:lineRule="auto"/>
        <w:ind w:firstLine="0"/>
        <w:jc w:val="center"/>
        <w:rPr>
          <w:i/>
          <w:szCs w:val="24"/>
        </w:rPr>
      </w:pPr>
      <w:r w:rsidRPr="007F66BB">
        <w:rPr>
          <w:i/>
          <w:szCs w:val="24"/>
        </w:rPr>
        <w:t>(NIH/NIEHS)</w:t>
      </w:r>
    </w:p>
    <w:p w14:paraId="63429B94" w14:textId="77777777" w:rsidR="00DF6D84" w:rsidRDefault="00DF6D84" w:rsidP="00DF6D84">
      <w:pPr>
        <w:pStyle w:val="BodyText"/>
        <w:spacing w:line="360" w:lineRule="auto"/>
        <w:ind w:firstLine="0"/>
        <w:jc w:val="center"/>
        <w:rPr>
          <w:szCs w:val="24"/>
        </w:rPr>
      </w:pPr>
      <w:r w:rsidRPr="001C5EC3">
        <w:rPr>
          <w:szCs w:val="24"/>
        </w:rPr>
        <w:t>NEW</w:t>
      </w:r>
    </w:p>
    <w:p w14:paraId="0D577002" w14:textId="77777777" w:rsidR="00DF6D84" w:rsidRPr="001C5EC3" w:rsidRDefault="00DF6D84" w:rsidP="00DF6D84">
      <w:pPr>
        <w:pStyle w:val="BodyText"/>
        <w:spacing w:line="360" w:lineRule="auto"/>
        <w:ind w:firstLine="0"/>
        <w:jc w:val="center"/>
        <w:rPr>
          <w:szCs w:val="24"/>
        </w:rPr>
      </w:pPr>
      <w:r w:rsidRPr="0048666F">
        <w:rPr>
          <w:rFonts w:asciiTheme="minorHAnsi" w:hAnsiTheme="minorHAnsi"/>
          <w:szCs w:val="22"/>
        </w:rPr>
        <w:t>(OMB NO. 0925-</w:t>
      </w:r>
      <w:r>
        <w:rPr>
          <w:rFonts w:asciiTheme="minorHAnsi" w:hAnsiTheme="minorHAnsi"/>
          <w:szCs w:val="22"/>
        </w:rPr>
        <w:t>XXXX)</w:t>
      </w:r>
    </w:p>
    <w:p w14:paraId="2B217EB0" w14:textId="77777777" w:rsidR="00A1221F" w:rsidRPr="001D040C" w:rsidRDefault="00A1221F">
      <w:pPr>
        <w:pStyle w:val="BodyText"/>
        <w:spacing w:line="360" w:lineRule="auto"/>
        <w:jc w:val="center"/>
        <w:rPr>
          <w:i/>
          <w:sz w:val="28"/>
        </w:rPr>
      </w:pPr>
    </w:p>
    <w:p w14:paraId="61E2219B" w14:textId="4A0DE124" w:rsidR="006D061C" w:rsidRPr="001D040C" w:rsidRDefault="00A1221F" w:rsidP="007F66BB">
      <w:pPr>
        <w:pStyle w:val="BodyText"/>
        <w:spacing w:line="360" w:lineRule="auto"/>
        <w:ind w:firstLine="0"/>
        <w:jc w:val="center"/>
        <w:rPr>
          <w:sz w:val="20"/>
        </w:rPr>
      </w:pPr>
      <w:r w:rsidRPr="007F66BB">
        <w:rPr>
          <w:i/>
          <w:szCs w:val="24"/>
        </w:rPr>
        <w:t xml:space="preserve">Submitted: </w:t>
      </w:r>
      <w:r w:rsidR="0041151F">
        <w:rPr>
          <w:i/>
          <w:szCs w:val="24"/>
        </w:rPr>
        <w:t>Day Month Year</w:t>
      </w:r>
    </w:p>
    <w:p w14:paraId="3B3015A5" w14:textId="77777777" w:rsidR="00F10148" w:rsidRPr="001D040C" w:rsidRDefault="006D061C" w:rsidP="00061D71">
      <w:pPr>
        <w:pStyle w:val="BodyText"/>
        <w:spacing w:line="320" w:lineRule="exact"/>
        <w:rPr>
          <w:sz w:val="22"/>
        </w:rPr>
      </w:pPr>
      <w:r w:rsidRPr="001D040C">
        <w:rPr>
          <w:sz w:val="22"/>
        </w:rPr>
        <w:t>P</w:t>
      </w:r>
      <w:r w:rsidR="00F10148" w:rsidRPr="001D040C">
        <w:rPr>
          <w:sz w:val="22"/>
        </w:rPr>
        <w:t>rincipal Investigator</w:t>
      </w:r>
      <w:r w:rsidRPr="001D040C">
        <w:rPr>
          <w:sz w:val="22"/>
        </w:rPr>
        <w:t>:</w:t>
      </w:r>
    </w:p>
    <w:p w14:paraId="3EBB28B8" w14:textId="77777777" w:rsidR="00F10148" w:rsidRPr="00CD73E2" w:rsidRDefault="00CD73E2" w:rsidP="00061D71">
      <w:pPr>
        <w:pStyle w:val="BodyText"/>
        <w:tabs>
          <w:tab w:val="left" w:pos="1440"/>
        </w:tabs>
        <w:spacing w:line="320" w:lineRule="exact"/>
        <w:ind w:left="360"/>
        <w:rPr>
          <w:b w:val="0"/>
          <w:sz w:val="22"/>
          <w:szCs w:val="22"/>
        </w:rPr>
      </w:pPr>
      <w:r w:rsidRPr="00CD73E2">
        <w:rPr>
          <w:b w:val="0"/>
          <w:sz w:val="22"/>
          <w:szCs w:val="22"/>
        </w:rPr>
        <w:t>Mary S Wolfe,</w:t>
      </w:r>
      <w:r w:rsidR="006D061C" w:rsidRPr="00CD73E2">
        <w:rPr>
          <w:b w:val="0"/>
          <w:sz w:val="22"/>
          <w:szCs w:val="22"/>
        </w:rPr>
        <w:t xml:space="preserve"> Ph</w:t>
      </w:r>
      <w:r w:rsidR="00F10148" w:rsidRPr="00CD73E2">
        <w:rPr>
          <w:b w:val="0"/>
          <w:sz w:val="22"/>
          <w:szCs w:val="22"/>
        </w:rPr>
        <w:t>D</w:t>
      </w:r>
    </w:p>
    <w:p w14:paraId="2D15E327" w14:textId="77777777" w:rsidR="006D061C" w:rsidRPr="00CD73E2" w:rsidRDefault="00CD73E2" w:rsidP="00061D71">
      <w:pPr>
        <w:pStyle w:val="BodyText"/>
        <w:tabs>
          <w:tab w:val="left" w:pos="1440"/>
        </w:tabs>
        <w:spacing w:line="320" w:lineRule="exact"/>
        <w:ind w:left="360"/>
        <w:rPr>
          <w:b w:val="0"/>
          <w:sz w:val="22"/>
          <w:szCs w:val="22"/>
        </w:rPr>
      </w:pPr>
      <w:r w:rsidRPr="00CD73E2">
        <w:rPr>
          <w:b w:val="0"/>
          <w:sz w:val="22"/>
          <w:szCs w:val="22"/>
        </w:rPr>
        <w:t>Deputy Division Director</w:t>
      </w:r>
      <w:r w:rsidR="00F10148" w:rsidRPr="00CD73E2">
        <w:rPr>
          <w:b w:val="0"/>
          <w:sz w:val="22"/>
          <w:szCs w:val="22"/>
        </w:rPr>
        <w:t xml:space="preserve">, </w:t>
      </w:r>
      <w:r>
        <w:rPr>
          <w:b w:val="0"/>
          <w:sz w:val="22"/>
          <w:szCs w:val="22"/>
        </w:rPr>
        <w:t>Division of NTP</w:t>
      </w:r>
    </w:p>
    <w:p w14:paraId="3BB80D82" w14:textId="77777777" w:rsidR="006D061C" w:rsidRPr="00CD73E2" w:rsidRDefault="006D061C" w:rsidP="00061D71">
      <w:pPr>
        <w:pStyle w:val="BodyText"/>
        <w:tabs>
          <w:tab w:val="left" w:pos="1440"/>
        </w:tabs>
        <w:spacing w:line="320" w:lineRule="exact"/>
        <w:ind w:left="360"/>
        <w:rPr>
          <w:b w:val="0"/>
          <w:sz w:val="22"/>
          <w:szCs w:val="22"/>
        </w:rPr>
      </w:pPr>
      <w:r w:rsidRPr="00CD73E2">
        <w:rPr>
          <w:b w:val="0"/>
          <w:sz w:val="22"/>
          <w:szCs w:val="22"/>
        </w:rPr>
        <w:t>National Institute of Environmental Health Sciences</w:t>
      </w:r>
    </w:p>
    <w:p w14:paraId="1EEB12DD" w14:textId="77777777" w:rsidR="006D061C" w:rsidRPr="00CD73E2" w:rsidRDefault="00F10148" w:rsidP="00061D71">
      <w:pPr>
        <w:pStyle w:val="BodyText"/>
        <w:tabs>
          <w:tab w:val="left" w:pos="1440"/>
        </w:tabs>
        <w:spacing w:line="320" w:lineRule="exact"/>
        <w:ind w:left="360"/>
        <w:rPr>
          <w:b w:val="0"/>
          <w:sz w:val="22"/>
          <w:szCs w:val="22"/>
        </w:rPr>
      </w:pPr>
      <w:r w:rsidRPr="00CD73E2">
        <w:rPr>
          <w:b w:val="0"/>
          <w:sz w:val="22"/>
          <w:szCs w:val="22"/>
        </w:rPr>
        <w:t>PO</w:t>
      </w:r>
      <w:r w:rsidR="006D061C" w:rsidRPr="00CD73E2">
        <w:rPr>
          <w:b w:val="0"/>
          <w:sz w:val="22"/>
          <w:szCs w:val="22"/>
        </w:rPr>
        <w:t xml:space="preserve"> Box 12233</w:t>
      </w:r>
    </w:p>
    <w:p w14:paraId="3B3F6B92" w14:textId="77777777" w:rsidR="006D061C" w:rsidRPr="00CD73E2" w:rsidRDefault="006D061C" w:rsidP="00061D71">
      <w:pPr>
        <w:pStyle w:val="BodyText"/>
        <w:tabs>
          <w:tab w:val="left" w:pos="1440"/>
        </w:tabs>
        <w:spacing w:line="320" w:lineRule="exact"/>
        <w:ind w:left="360"/>
        <w:rPr>
          <w:b w:val="0"/>
          <w:sz w:val="22"/>
          <w:szCs w:val="22"/>
        </w:rPr>
      </w:pPr>
      <w:r w:rsidRPr="00CD73E2">
        <w:rPr>
          <w:b w:val="0"/>
          <w:sz w:val="22"/>
          <w:szCs w:val="22"/>
        </w:rPr>
        <w:t>Research Triangle Pa</w:t>
      </w:r>
      <w:r w:rsidR="00061D71" w:rsidRPr="00CD73E2">
        <w:rPr>
          <w:b w:val="0"/>
          <w:sz w:val="22"/>
          <w:szCs w:val="22"/>
        </w:rPr>
        <w:t>rk</w:t>
      </w:r>
      <w:r w:rsidRPr="00CD73E2">
        <w:rPr>
          <w:b w:val="0"/>
          <w:sz w:val="22"/>
          <w:szCs w:val="22"/>
        </w:rPr>
        <w:t xml:space="preserve"> NC 27709</w:t>
      </w:r>
    </w:p>
    <w:p w14:paraId="0B0E9E3A" w14:textId="77777777" w:rsidR="006D061C" w:rsidRPr="00CD73E2" w:rsidRDefault="00061D71" w:rsidP="00024224">
      <w:pPr>
        <w:pStyle w:val="BodyText"/>
        <w:tabs>
          <w:tab w:val="left" w:pos="1980"/>
        </w:tabs>
        <w:spacing w:line="320" w:lineRule="exact"/>
        <w:ind w:left="360"/>
        <w:rPr>
          <w:b w:val="0"/>
          <w:sz w:val="22"/>
          <w:szCs w:val="22"/>
        </w:rPr>
      </w:pPr>
      <w:r w:rsidRPr="00CD73E2">
        <w:rPr>
          <w:b w:val="0"/>
          <w:sz w:val="22"/>
          <w:szCs w:val="22"/>
        </w:rPr>
        <w:t>P</w:t>
      </w:r>
      <w:r w:rsidR="006D061C" w:rsidRPr="00CD73E2">
        <w:rPr>
          <w:b w:val="0"/>
          <w:sz w:val="22"/>
          <w:szCs w:val="22"/>
        </w:rPr>
        <w:t>hone:</w:t>
      </w:r>
      <w:r w:rsidRPr="00CD73E2">
        <w:rPr>
          <w:b w:val="0"/>
          <w:sz w:val="22"/>
          <w:szCs w:val="22"/>
        </w:rPr>
        <w:tab/>
      </w:r>
      <w:r w:rsidR="00CD73E2" w:rsidRPr="00CD73E2">
        <w:rPr>
          <w:b w:val="0"/>
          <w:sz w:val="22"/>
          <w:szCs w:val="22"/>
        </w:rPr>
        <w:t>919-541-7539</w:t>
      </w:r>
    </w:p>
    <w:p w14:paraId="4AD8D6E9" w14:textId="77777777" w:rsidR="006D061C" w:rsidRPr="00CD73E2" w:rsidRDefault="006D061C" w:rsidP="00024224">
      <w:pPr>
        <w:pStyle w:val="BodyText"/>
        <w:tabs>
          <w:tab w:val="left" w:pos="1980"/>
        </w:tabs>
        <w:spacing w:line="320" w:lineRule="exact"/>
        <w:ind w:left="360"/>
        <w:rPr>
          <w:b w:val="0"/>
          <w:sz w:val="22"/>
          <w:szCs w:val="22"/>
        </w:rPr>
      </w:pPr>
      <w:r w:rsidRPr="00CD73E2">
        <w:rPr>
          <w:b w:val="0"/>
          <w:sz w:val="22"/>
          <w:szCs w:val="22"/>
        </w:rPr>
        <w:t>Fax:</w:t>
      </w:r>
      <w:r w:rsidR="00061D71" w:rsidRPr="00CD73E2">
        <w:rPr>
          <w:b w:val="0"/>
          <w:sz w:val="22"/>
          <w:szCs w:val="22"/>
        </w:rPr>
        <w:tab/>
      </w:r>
      <w:r w:rsidR="00CD73E2">
        <w:rPr>
          <w:b w:val="0"/>
          <w:sz w:val="22"/>
          <w:szCs w:val="22"/>
        </w:rPr>
        <w:t>301-451-</w:t>
      </w:r>
      <w:r w:rsidR="00CD73E2" w:rsidRPr="00CD73E2">
        <w:rPr>
          <w:b w:val="0"/>
          <w:sz w:val="22"/>
          <w:szCs w:val="22"/>
        </w:rPr>
        <w:t>5759</w:t>
      </w:r>
      <w:r w:rsidR="00CD73E2">
        <w:rPr>
          <w:b w:val="0"/>
          <w:sz w:val="22"/>
          <w:szCs w:val="22"/>
        </w:rPr>
        <w:t xml:space="preserve"> and wolfe%3014515759@fax.nih.gov</w:t>
      </w:r>
    </w:p>
    <w:p w14:paraId="7BB97930" w14:textId="77777777" w:rsidR="006D061C" w:rsidRPr="00CD73E2" w:rsidRDefault="006D061C" w:rsidP="00024224">
      <w:pPr>
        <w:pStyle w:val="BodyText"/>
        <w:tabs>
          <w:tab w:val="left" w:pos="1980"/>
        </w:tabs>
        <w:spacing w:line="320" w:lineRule="exact"/>
        <w:ind w:left="360"/>
        <w:rPr>
          <w:b w:val="0"/>
          <w:sz w:val="22"/>
          <w:szCs w:val="22"/>
        </w:rPr>
      </w:pPr>
      <w:r w:rsidRPr="00CD73E2">
        <w:rPr>
          <w:b w:val="0"/>
          <w:sz w:val="22"/>
          <w:szCs w:val="22"/>
        </w:rPr>
        <w:t>Email:</w:t>
      </w:r>
      <w:r w:rsidR="00061D71" w:rsidRPr="00CD73E2">
        <w:rPr>
          <w:b w:val="0"/>
          <w:sz w:val="22"/>
          <w:szCs w:val="22"/>
        </w:rPr>
        <w:tab/>
      </w:r>
      <w:r w:rsidR="00CD73E2">
        <w:rPr>
          <w:b w:val="0"/>
          <w:sz w:val="22"/>
          <w:szCs w:val="22"/>
        </w:rPr>
        <w:t>wolfe</w:t>
      </w:r>
      <w:r w:rsidR="00C203E3" w:rsidRPr="00CD73E2">
        <w:rPr>
          <w:b w:val="0"/>
          <w:sz w:val="22"/>
          <w:szCs w:val="22"/>
        </w:rPr>
        <w:t>@niehs.nih.gov</w:t>
      </w:r>
    </w:p>
    <w:p w14:paraId="156B30C2" w14:textId="77777777" w:rsidR="00C203E3" w:rsidRPr="001D040C" w:rsidRDefault="00C203E3" w:rsidP="00061D71">
      <w:pPr>
        <w:pStyle w:val="BodyText"/>
        <w:tabs>
          <w:tab w:val="left" w:pos="1440"/>
        </w:tabs>
        <w:spacing w:line="320" w:lineRule="exact"/>
        <w:ind w:left="360"/>
        <w:rPr>
          <w:b w:val="0"/>
          <w:sz w:val="22"/>
        </w:rPr>
      </w:pPr>
    </w:p>
    <w:p w14:paraId="4C3A41F1" w14:textId="77777777" w:rsidR="009E6560" w:rsidRPr="001D040C" w:rsidRDefault="009E6560" w:rsidP="009E6560">
      <w:pPr>
        <w:pStyle w:val="BodyText"/>
        <w:spacing w:line="320" w:lineRule="exact"/>
        <w:rPr>
          <w:sz w:val="22"/>
        </w:rPr>
      </w:pPr>
      <w:r w:rsidRPr="001D040C">
        <w:rPr>
          <w:sz w:val="22"/>
        </w:rPr>
        <w:t>Co-Principal Investigator:</w:t>
      </w:r>
    </w:p>
    <w:p w14:paraId="72008E9E" w14:textId="77777777" w:rsidR="009E6560" w:rsidRPr="001D040C" w:rsidRDefault="00CD73E2" w:rsidP="009E6560">
      <w:pPr>
        <w:pStyle w:val="BodyText"/>
        <w:tabs>
          <w:tab w:val="left" w:pos="1440"/>
        </w:tabs>
        <w:spacing w:line="320" w:lineRule="exact"/>
        <w:ind w:left="360"/>
        <w:rPr>
          <w:b w:val="0"/>
          <w:sz w:val="22"/>
        </w:rPr>
      </w:pPr>
      <w:r>
        <w:rPr>
          <w:b w:val="0"/>
          <w:sz w:val="22"/>
        </w:rPr>
        <w:t>Kristina Thayer,</w:t>
      </w:r>
      <w:r w:rsidR="009E6560" w:rsidRPr="001D040C">
        <w:rPr>
          <w:b w:val="0"/>
          <w:sz w:val="22"/>
        </w:rPr>
        <w:t xml:space="preserve"> PhD</w:t>
      </w:r>
    </w:p>
    <w:p w14:paraId="1A6C3BF6" w14:textId="77777777" w:rsidR="009E6560" w:rsidRDefault="00CD73E2" w:rsidP="009E6560">
      <w:pPr>
        <w:pStyle w:val="BodyText"/>
        <w:tabs>
          <w:tab w:val="left" w:pos="1440"/>
        </w:tabs>
        <w:spacing w:line="320" w:lineRule="exact"/>
        <w:ind w:left="360"/>
        <w:rPr>
          <w:b w:val="0"/>
          <w:sz w:val="22"/>
        </w:rPr>
      </w:pPr>
      <w:r>
        <w:rPr>
          <w:b w:val="0"/>
          <w:sz w:val="22"/>
        </w:rPr>
        <w:t>Director</w:t>
      </w:r>
      <w:r w:rsidR="009E6560" w:rsidRPr="001D040C">
        <w:rPr>
          <w:b w:val="0"/>
          <w:sz w:val="22"/>
        </w:rPr>
        <w:t xml:space="preserve">, </w:t>
      </w:r>
      <w:r>
        <w:rPr>
          <w:b w:val="0"/>
          <w:sz w:val="22"/>
        </w:rPr>
        <w:t>Office of Health Assessment and Translation</w:t>
      </w:r>
    </w:p>
    <w:p w14:paraId="454509E2" w14:textId="77777777" w:rsidR="00CD73E2" w:rsidRDefault="00CD73E2" w:rsidP="009E6560">
      <w:pPr>
        <w:pStyle w:val="BodyText"/>
        <w:tabs>
          <w:tab w:val="left" w:pos="1440"/>
        </w:tabs>
        <w:spacing w:line="320" w:lineRule="exact"/>
        <w:ind w:left="360"/>
        <w:rPr>
          <w:b w:val="0"/>
          <w:sz w:val="22"/>
        </w:rPr>
      </w:pPr>
      <w:r>
        <w:rPr>
          <w:b w:val="0"/>
          <w:sz w:val="22"/>
        </w:rPr>
        <w:t>Division of NTP</w:t>
      </w:r>
    </w:p>
    <w:p w14:paraId="049901D1" w14:textId="77777777" w:rsidR="00CD73E2" w:rsidRPr="00CD73E2" w:rsidRDefault="00CD73E2" w:rsidP="00CD73E2">
      <w:pPr>
        <w:pStyle w:val="BodyText"/>
        <w:tabs>
          <w:tab w:val="left" w:pos="1440"/>
        </w:tabs>
        <w:spacing w:line="320" w:lineRule="exact"/>
        <w:ind w:left="360"/>
        <w:rPr>
          <w:b w:val="0"/>
          <w:sz w:val="22"/>
          <w:szCs w:val="22"/>
        </w:rPr>
      </w:pPr>
      <w:r w:rsidRPr="00CD73E2">
        <w:rPr>
          <w:b w:val="0"/>
          <w:sz w:val="22"/>
          <w:szCs w:val="22"/>
        </w:rPr>
        <w:t>National Institute of Environmental Health Sciences</w:t>
      </w:r>
    </w:p>
    <w:p w14:paraId="7CE752D0" w14:textId="77777777" w:rsidR="00CD73E2" w:rsidRPr="00CD73E2" w:rsidRDefault="00CD73E2" w:rsidP="00CD73E2">
      <w:pPr>
        <w:pStyle w:val="BodyText"/>
        <w:tabs>
          <w:tab w:val="left" w:pos="1440"/>
        </w:tabs>
        <w:spacing w:line="320" w:lineRule="exact"/>
        <w:ind w:left="360"/>
        <w:rPr>
          <w:b w:val="0"/>
          <w:sz w:val="22"/>
          <w:szCs w:val="22"/>
        </w:rPr>
      </w:pPr>
      <w:r w:rsidRPr="00CD73E2">
        <w:rPr>
          <w:b w:val="0"/>
          <w:sz w:val="22"/>
          <w:szCs w:val="22"/>
        </w:rPr>
        <w:t>PO Box 12233</w:t>
      </w:r>
    </w:p>
    <w:p w14:paraId="5160F5FD" w14:textId="77777777" w:rsidR="009E6560" w:rsidRPr="001D040C" w:rsidRDefault="009E6560" w:rsidP="009E6560">
      <w:pPr>
        <w:pStyle w:val="BodyText"/>
        <w:tabs>
          <w:tab w:val="left" w:pos="1440"/>
        </w:tabs>
        <w:spacing w:line="320" w:lineRule="exact"/>
        <w:ind w:left="360"/>
        <w:rPr>
          <w:b w:val="0"/>
          <w:sz w:val="22"/>
        </w:rPr>
      </w:pPr>
      <w:r w:rsidRPr="001D040C">
        <w:rPr>
          <w:b w:val="0"/>
          <w:sz w:val="22"/>
        </w:rPr>
        <w:t>Research Triangle Park NC 27709</w:t>
      </w:r>
    </w:p>
    <w:p w14:paraId="0FC9D1A4" w14:textId="77777777" w:rsidR="009E6560" w:rsidRPr="001D040C" w:rsidRDefault="00CD73E2" w:rsidP="00024224">
      <w:pPr>
        <w:pStyle w:val="BodyText"/>
        <w:tabs>
          <w:tab w:val="left" w:pos="1980"/>
        </w:tabs>
        <w:spacing w:line="320" w:lineRule="exact"/>
        <w:ind w:left="360"/>
        <w:rPr>
          <w:b w:val="0"/>
          <w:sz w:val="22"/>
        </w:rPr>
      </w:pPr>
      <w:r>
        <w:rPr>
          <w:b w:val="0"/>
          <w:sz w:val="22"/>
        </w:rPr>
        <w:t>Phone:</w:t>
      </w:r>
      <w:r>
        <w:rPr>
          <w:b w:val="0"/>
          <w:sz w:val="22"/>
        </w:rPr>
        <w:tab/>
        <w:t>919-541-5021</w:t>
      </w:r>
    </w:p>
    <w:p w14:paraId="4C7C352D" w14:textId="77777777" w:rsidR="009E6560" w:rsidRPr="00CD73E2" w:rsidRDefault="009E6560" w:rsidP="00024224">
      <w:pPr>
        <w:pStyle w:val="BodyText"/>
        <w:tabs>
          <w:tab w:val="left" w:pos="1980"/>
        </w:tabs>
        <w:spacing w:line="320" w:lineRule="exact"/>
        <w:ind w:left="360"/>
        <w:rPr>
          <w:b w:val="0"/>
          <w:sz w:val="22"/>
          <w:szCs w:val="22"/>
        </w:rPr>
      </w:pPr>
      <w:r w:rsidRPr="00CD73E2">
        <w:rPr>
          <w:b w:val="0"/>
          <w:sz w:val="22"/>
          <w:szCs w:val="22"/>
        </w:rPr>
        <w:t>Fax:</w:t>
      </w:r>
      <w:r w:rsidRPr="00CD73E2">
        <w:rPr>
          <w:b w:val="0"/>
          <w:sz w:val="22"/>
          <w:szCs w:val="22"/>
        </w:rPr>
        <w:tab/>
      </w:r>
      <w:r w:rsidR="00CD73E2">
        <w:rPr>
          <w:b w:val="0"/>
          <w:color w:val="000000"/>
          <w:sz w:val="22"/>
          <w:szCs w:val="22"/>
        </w:rPr>
        <w:t>919-541-</w:t>
      </w:r>
      <w:r w:rsidR="00CD73E2" w:rsidRPr="00CD73E2">
        <w:rPr>
          <w:b w:val="0"/>
          <w:color w:val="000000"/>
          <w:sz w:val="22"/>
          <w:szCs w:val="22"/>
        </w:rPr>
        <w:t>1994</w:t>
      </w:r>
    </w:p>
    <w:p w14:paraId="5410ECD1" w14:textId="77777777" w:rsidR="009E6560" w:rsidRPr="001D040C" w:rsidRDefault="009E6560" w:rsidP="00024224">
      <w:pPr>
        <w:pStyle w:val="BodyText"/>
        <w:tabs>
          <w:tab w:val="left" w:pos="1980"/>
        </w:tabs>
        <w:spacing w:line="320" w:lineRule="exact"/>
        <w:ind w:left="360"/>
        <w:rPr>
          <w:b w:val="0"/>
          <w:sz w:val="22"/>
        </w:rPr>
      </w:pPr>
      <w:r w:rsidRPr="001D040C">
        <w:rPr>
          <w:b w:val="0"/>
          <w:sz w:val="22"/>
        </w:rPr>
        <w:t>Email:</w:t>
      </w:r>
      <w:r w:rsidRPr="001D040C">
        <w:rPr>
          <w:b w:val="0"/>
          <w:sz w:val="22"/>
        </w:rPr>
        <w:tab/>
      </w:r>
      <w:r w:rsidR="00CD73E2">
        <w:rPr>
          <w:b w:val="0"/>
          <w:sz w:val="22"/>
        </w:rPr>
        <w:t>thayer</w:t>
      </w:r>
      <w:r w:rsidRPr="001D040C">
        <w:rPr>
          <w:b w:val="0"/>
          <w:sz w:val="22"/>
        </w:rPr>
        <w:t>@niehs.nih.gov</w:t>
      </w:r>
    </w:p>
    <w:p w14:paraId="2859F63A" w14:textId="77777777" w:rsidR="009E6560" w:rsidRPr="001D040C" w:rsidRDefault="009E6560" w:rsidP="009E6560">
      <w:pPr>
        <w:pStyle w:val="BodyText"/>
        <w:spacing w:line="320" w:lineRule="exact"/>
        <w:rPr>
          <w:b w:val="0"/>
          <w:sz w:val="22"/>
        </w:rPr>
      </w:pPr>
    </w:p>
    <w:p w14:paraId="1E47E2EB" w14:textId="77777777" w:rsidR="00C203E3" w:rsidRPr="001D040C" w:rsidRDefault="008D0F4B" w:rsidP="00C203E3">
      <w:pPr>
        <w:pStyle w:val="BodyText"/>
        <w:spacing w:line="320" w:lineRule="exact"/>
        <w:rPr>
          <w:sz w:val="22"/>
        </w:rPr>
      </w:pPr>
      <w:r>
        <w:rPr>
          <w:sz w:val="22"/>
        </w:rPr>
        <w:t>Associate Investigator</w:t>
      </w:r>
      <w:r w:rsidR="00C203E3" w:rsidRPr="001D040C">
        <w:rPr>
          <w:sz w:val="22"/>
        </w:rPr>
        <w:t>:</w:t>
      </w:r>
    </w:p>
    <w:p w14:paraId="46D90EAA" w14:textId="77777777" w:rsidR="00C203E3" w:rsidRPr="001D040C" w:rsidRDefault="00CD73E2" w:rsidP="00C203E3">
      <w:pPr>
        <w:pStyle w:val="BodyText"/>
        <w:tabs>
          <w:tab w:val="left" w:pos="1440"/>
        </w:tabs>
        <w:spacing w:line="320" w:lineRule="exact"/>
        <w:ind w:left="360"/>
        <w:rPr>
          <w:b w:val="0"/>
          <w:sz w:val="22"/>
        </w:rPr>
      </w:pPr>
      <w:r>
        <w:rPr>
          <w:b w:val="0"/>
          <w:sz w:val="22"/>
        </w:rPr>
        <w:t>Kyla Taylor, MS</w:t>
      </w:r>
    </w:p>
    <w:p w14:paraId="10145991" w14:textId="77777777" w:rsidR="00CD73E2" w:rsidRDefault="00CD73E2" w:rsidP="00CD73E2">
      <w:pPr>
        <w:pStyle w:val="BodyText"/>
        <w:tabs>
          <w:tab w:val="left" w:pos="1440"/>
        </w:tabs>
        <w:spacing w:line="320" w:lineRule="exact"/>
        <w:ind w:left="360"/>
        <w:rPr>
          <w:b w:val="0"/>
          <w:sz w:val="22"/>
        </w:rPr>
      </w:pPr>
      <w:r>
        <w:rPr>
          <w:b w:val="0"/>
          <w:sz w:val="22"/>
        </w:rPr>
        <w:t>Office of Health Assessment and Translation</w:t>
      </w:r>
    </w:p>
    <w:p w14:paraId="77BCBFED" w14:textId="77777777" w:rsidR="00CD73E2" w:rsidRDefault="00CD73E2" w:rsidP="00CD73E2">
      <w:pPr>
        <w:pStyle w:val="BodyText"/>
        <w:tabs>
          <w:tab w:val="left" w:pos="1440"/>
        </w:tabs>
        <w:spacing w:line="320" w:lineRule="exact"/>
        <w:ind w:left="360"/>
        <w:rPr>
          <w:b w:val="0"/>
          <w:sz w:val="22"/>
        </w:rPr>
      </w:pPr>
      <w:r>
        <w:rPr>
          <w:b w:val="0"/>
          <w:sz w:val="22"/>
        </w:rPr>
        <w:t>Division of NTP</w:t>
      </w:r>
    </w:p>
    <w:p w14:paraId="1F1BE667" w14:textId="77777777" w:rsidR="00C203E3" w:rsidRPr="001D040C" w:rsidRDefault="00C203E3" w:rsidP="00C203E3">
      <w:pPr>
        <w:pStyle w:val="BodyText"/>
        <w:tabs>
          <w:tab w:val="left" w:pos="1440"/>
        </w:tabs>
        <w:spacing w:line="320" w:lineRule="exact"/>
        <w:ind w:left="360"/>
        <w:rPr>
          <w:b w:val="0"/>
          <w:sz w:val="22"/>
        </w:rPr>
      </w:pPr>
      <w:r w:rsidRPr="001D040C">
        <w:rPr>
          <w:b w:val="0"/>
          <w:sz w:val="22"/>
        </w:rPr>
        <w:t>National Institute of Environmental Health Sciences</w:t>
      </w:r>
    </w:p>
    <w:p w14:paraId="0C62C846" w14:textId="77777777" w:rsidR="00C203E3" w:rsidRPr="001D040C" w:rsidRDefault="00C203E3" w:rsidP="00C203E3">
      <w:pPr>
        <w:pStyle w:val="BodyText"/>
        <w:tabs>
          <w:tab w:val="left" w:pos="1440"/>
        </w:tabs>
        <w:spacing w:line="320" w:lineRule="exact"/>
        <w:ind w:left="360"/>
        <w:rPr>
          <w:b w:val="0"/>
          <w:sz w:val="22"/>
        </w:rPr>
      </w:pPr>
      <w:r w:rsidRPr="001D040C">
        <w:rPr>
          <w:b w:val="0"/>
          <w:sz w:val="22"/>
        </w:rPr>
        <w:t>PO Box 12233</w:t>
      </w:r>
    </w:p>
    <w:p w14:paraId="44A9EA83" w14:textId="77777777" w:rsidR="00C203E3" w:rsidRPr="001D040C" w:rsidRDefault="00C203E3" w:rsidP="00C203E3">
      <w:pPr>
        <w:pStyle w:val="BodyText"/>
        <w:tabs>
          <w:tab w:val="left" w:pos="1440"/>
        </w:tabs>
        <w:spacing w:line="320" w:lineRule="exact"/>
        <w:ind w:left="360"/>
        <w:rPr>
          <w:b w:val="0"/>
          <w:sz w:val="22"/>
        </w:rPr>
      </w:pPr>
      <w:r w:rsidRPr="001D040C">
        <w:rPr>
          <w:b w:val="0"/>
          <w:sz w:val="22"/>
        </w:rPr>
        <w:t>Research Triangle Park NC 27709</w:t>
      </w:r>
    </w:p>
    <w:p w14:paraId="45968F90" w14:textId="77777777" w:rsidR="00C203E3" w:rsidRPr="001D040C" w:rsidRDefault="00CD73E2" w:rsidP="00024224">
      <w:pPr>
        <w:pStyle w:val="BodyText"/>
        <w:tabs>
          <w:tab w:val="left" w:pos="1980"/>
          <w:tab w:val="left" w:pos="3240"/>
        </w:tabs>
        <w:spacing w:line="320" w:lineRule="exact"/>
        <w:ind w:left="360"/>
        <w:rPr>
          <w:b w:val="0"/>
          <w:sz w:val="22"/>
        </w:rPr>
      </w:pPr>
      <w:r>
        <w:rPr>
          <w:b w:val="0"/>
          <w:sz w:val="22"/>
        </w:rPr>
        <w:t>Phone:</w:t>
      </w:r>
      <w:r>
        <w:rPr>
          <w:b w:val="0"/>
          <w:sz w:val="22"/>
        </w:rPr>
        <w:tab/>
        <w:t>919-316-4707</w:t>
      </w:r>
    </w:p>
    <w:p w14:paraId="3C0E5756" w14:textId="77777777" w:rsidR="00516115" w:rsidRPr="00CD73E2" w:rsidRDefault="00516115" w:rsidP="00024224">
      <w:pPr>
        <w:pStyle w:val="BodyText"/>
        <w:tabs>
          <w:tab w:val="left" w:pos="1440"/>
          <w:tab w:val="left" w:pos="1980"/>
        </w:tabs>
        <w:spacing w:line="320" w:lineRule="exact"/>
        <w:ind w:left="360"/>
        <w:rPr>
          <w:b w:val="0"/>
          <w:sz w:val="22"/>
          <w:szCs w:val="22"/>
        </w:rPr>
      </w:pPr>
      <w:r w:rsidRPr="00CD73E2">
        <w:rPr>
          <w:b w:val="0"/>
          <w:sz w:val="22"/>
          <w:szCs w:val="22"/>
        </w:rPr>
        <w:t>Fax:</w:t>
      </w:r>
      <w:r w:rsidRPr="00CD73E2">
        <w:rPr>
          <w:b w:val="0"/>
          <w:sz w:val="22"/>
          <w:szCs w:val="22"/>
        </w:rPr>
        <w:tab/>
      </w:r>
      <w:r>
        <w:rPr>
          <w:b w:val="0"/>
          <w:color w:val="000000"/>
          <w:sz w:val="22"/>
          <w:szCs w:val="22"/>
        </w:rPr>
        <w:t>919-541-</w:t>
      </w:r>
      <w:r w:rsidRPr="00CD73E2">
        <w:rPr>
          <w:b w:val="0"/>
          <w:color w:val="000000"/>
          <w:sz w:val="22"/>
          <w:szCs w:val="22"/>
        </w:rPr>
        <w:t>1994</w:t>
      </w:r>
    </w:p>
    <w:p w14:paraId="0D3957C9" w14:textId="219411F4" w:rsidR="00AB07C3" w:rsidRPr="00B60333" w:rsidRDefault="00C203E3" w:rsidP="00AF7122">
      <w:pPr>
        <w:pStyle w:val="BodyText"/>
        <w:tabs>
          <w:tab w:val="left" w:pos="1980"/>
          <w:tab w:val="left" w:pos="3240"/>
        </w:tabs>
        <w:spacing w:line="320" w:lineRule="exact"/>
        <w:ind w:left="360"/>
        <w:rPr>
          <w:b w:val="0"/>
          <w:sz w:val="22"/>
          <w:szCs w:val="22"/>
        </w:rPr>
      </w:pPr>
      <w:r w:rsidRPr="001D040C">
        <w:rPr>
          <w:b w:val="0"/>
          <w:sz w:val="22"/>
        </w:rPr>
        <w:t>Email:</w:t>
      </w:r>
      <w:r w:rsidRPr="001D040C">
        <w:rPr>
          <w:b w:val="0"/>
          <w:sz w:val="22"/>
        </w:rPr>
        <w:tab/>
      </w:r>
      <w:hyperlink r:id="rId8" w:history="1">
        <w:r w:rsidR="007F66BB" w:rsidRPr="00775A50">
          <w:rPr>
            <w:rStyle w:val="Hyperlink"/>
            <w:b w:val="0"/>
            <w:sz w:val="22"/>
          </w:rPr>
          <w:t>kyla.taylor@niehs.nih.gov</w:t>
        </w:r>
      </w:hyperlink>
      <w:bookmarkStart w:id="0" w:name="_Toc129590302"/>
      <w:bookmarkStart w:id="1" w:name="_Toc129668544"/>
      <w:r w:rsidR="00CD386A" w:rsidRPr="00B60333">
        <w:rPr>
          <w:b w:val="0"/>
          <w:sz w:val="22"/>
          <w:szCs w:val="22"/>
        </w:rPr>
        <w:br w:type="page"/>
      </w:r>
    </w:p>
    <w:p w14:paraId="6BE96FD1" w14:textId="77777777" w:rsidR="00AB07C3" w:rsidRDefault="00AB07C3" w:rsidP="00EB1AFB">
      <w:pPr>
        <w:tabs>
          <w:tab w:val="left" w:pos="3510"/>
        </w:tabs>
        <w:ind w:firstLine="0"/>
        <w:jc w:val="center"/>
        <w:rPr>
          <w:b/>
        </w:rPr>
      </w:pPr>
      <w:r w:rsidRPr="00AB07C3">
        <w:rPr>
          <w:b/>
        </w:rPr>
        <w:lastRenderedPageBreak/>
        <w:t>TABLE OF CONTENTS</w:t>
      </w:r>
    </w:p>
    <w:p w14:paraId="75738ECC" w14:textId="77777777" w:rsidR="00F30E3B" w:rsidRDefault="00F30E3B" w:rsidP="00F30E3B">
      <w:pPr>
        <w:rPr>
          <w:noProof/>
        </w:rPr>
      </w:pPr>
    </w:p>
    <w:p w14:paraId="1F91C8B1" w14:textId="62C912FB" w:rsidR="00CD5DE9" w:rsidRDefault="00A96D5B">
      <w:pPr>
        <w:pStyle w:val="TOC1"/>
        <w:tabs>
          <w:tab w:val="left" w:pos="802"/>
        </w:tabs>
        <w:rPr>
          <w:rFonts w:asciiTheme="minorHAnsi" w:eastAsiaTheme="minorEastAsia" w:hAnsiTheme="minorHAnsi" w:cstheme="minorBidi"/>
          <w:b w:val="0"/>
          <w:smallCaps w:val="0"/>
          <w:noProof/>
          <w:sz w:val="24"/>
          <w:szCs w:val="24"/>
          <w:lang w:eastAsia="ja-JP"/>
        </w:rPr>
      </w:pPr>
      <w:r>
        <w:rPr>
          <w:noProof/>
        </w:rPr>
        <w:fldChar w:fldCharType="begin"/>
      </w:r>
      <w:r w:rsidR="00F30E3B">
        <w:rPr>
          <w:noProof/>
        </w:rPr>
        <w:instrText xml:space="preserve"> TOC \t "Heading 2,1,Heading 3,2" </w:instrText>
      </w:r>
      <w:r>
        <w:rPr>
          <w:noProof/>
        </w:rPr>
        <w:fldChar w:fldCharType="separate"/>
      </w:r>
      <w:r w:rsidR="00CD5DE9">
        <w:rPr>
          <w:noProof/>
        </w:rPr>
        <w:t>B.</w:t>
      </w:r>
      <w:r w:rsidR="00CD5DE9">
        <w:rPr>
          <w:rFonts w:asciiTheme="minorHAnsi" w:eastAsiaTheme="minorEastAsia" w:hAnsiTheme="minorHAnsi" w:cstheme="minorBidi"/>
          <w:b w:val="0"/>
          <w:smallCaps w:val="0"/>
          <w:noProof/>
          <w:sz w:val="24"/>
          <w:szCs w:val="24"/>
          <w:lang w:eastAsia="ja-JP"/>
        </w:rPr>
        <w:tab/>
      </w:r>
      <w:r w:rsidR="00CD5DE9">
        <w:rPr>
          <w:noProof/>
        </w:rPr>
        <w:t>Collections of Information Employing Statistical Methods</w:t>
      </w:r>
      <w:r w:rsidR="00CD5DE9">
        <w:rPr>
          <w:noProof/>
        </w:rPr>
        <w:tab/>
      </w:r>
      <w:r w:rsidR="00CD5DE9">
        <w:rPr>
          <w:noProof/>
        </w:rPr>
        <w:fldChar w:fldCharType="begin"/>
      </w:r>
      <w:r w:rsidR="00CD5DE9">
        <w:rPr>
          <w:noProof/>
        </w:rPr>
        <w:instrText xml:space="preserve"> PAGEREF _Toc313191777 \h </w:instrText>
      </w:r>
      <w:r w:rsidR="00CD5DE9">
        <w:rPr>
          <w:noProof/>
        </w:rPr>
      </w:r>
      <w:r w:rsidR="00CD5DE9">
        <w:rPr>
          <w:noProof/>
        </w:rPr>
        <w:fldChar w:fldCharType="separate"/>
      </w:r>
      <w:r w:rsidR="003B2632">
        <w:rPr>
          <w:noProof/>
        </w:rPr>
        <w:t>4</w:t>
      </w:r>
      <w:r w:rsidR="00CD5DE9">
        <w:rPr>
          <w:noProof/>
        </w:rPr>
        <w:fldChar w:fldCharType="end"/>
      </w:r>
    </w:p>
    <w:p w14:paraId="36CCE945" w14:textId="56EA0DE9" w:rsidR="00CD5DE9" w:rsidRDefault="00CD5DE9">
      <w:pPr>
        <w:pStyle w:val="TOC2"/>
        <w:tabs>
          <w:tab w:val="left" w:pos="1382"/>
        </w:tabs>
        <w:rPr>
          <w:rFonts w:asciiTheme="minorHAnsi" w:eastAsiaTheme="minorEastAsia" w:hAnsiTheme="minorHAnsi" w:cstheme="minorBidi"/>
          <w:color w:val="auto"/>
          <w:sz w:val="24"/>
          <w:szCs w:val="24"/>
          <w:lang w:eastAsia="ja-JP"/>
        </w:rPr>
      </w:pPr>
      <w:r>
        <w:t xml:space="preserve">B.1. </w:t>
      </w:r>
      <w:r>
        <w:rPr>
          <w:rFonts w:asciiTheme="minorHAnsi" w:eastAsiaTheme="minorEastAsia" w:hAnsiTheme="minorHAnsi" w:cstheme="minorBidi"/>
          <w:color w:val="auto"/>
          <w:sz w:val="24"/>
          <w:szCs w:val="24"/>
          <w:lang w:eastAsia="ja-JP"/>
        </w:rPr>
        <w:tab/>
      </w:r>
      <w:r>
        <w:t>Respondent Universe and Sampling Methods</w:t>
      </w:r>
      <w:r>
        <w:tab/>
      </w:r>
      <w:r>
        <w:fldChar w:fldCharType="begin"/>
      </w:r>
      <w:r>
        <w:instrText xml:space="preserve"> PAGEREF _Toc313191778 \h </w:instrText>
      </w:r>
      <w:r>
        <w:fldChar w:fldCharType="separate"/>
      </w:r>
      <w:r w:rsidR="003B2632">
        <w:t>4</w:t>
      </w:r>
      <w:r>
        <w:fldChar w:fldCharType="end"/>
      </w:r>
    </w:p>
    <w:p w14:paraId="6E1DD408" w14:textId="6C247E9B" w:rsidR="00CD5DE9" w:rsidRDefault="00CD5DE9">
      <w:pPr>
        <w:pStyle w:val="TOC2"/>
        <w:tabs>
          <w:tab w:val="left" w:pos="1382"/>
        </w:tabs>
        <w:rPr>
          <w:rFonts w:asciiTheme="minorHAnsi" w:eastAsiaTheme="minorEastAsia" w:hAnsiTheme="minorHAnsi" w:cstheme="minorBidi"/>
          <w:color w:val="auto"/>
          <w:sz w:val="24"/>
          <w:szCs w:val="24"/>
          <w:lang w:eastAsia="ja-JP"/>
        </w:rPr>
      </w:pPr>
      <w:r>
        <w:t xml:space="preserve">B.2. </w:t>
      </w:r>
      <w:r>
        <w:rPr>
          <w:rFonts w:asciiTheme="minorHAnsi" w:eastAsiaTheme="minorEastAsia" w:hAnsiTheme="minorHAnsi" w:cstheme="minorBidi"/>
          <w:color w:val="auto"/>
          <w:sz w:val="24"/>
          <w:szCs w:val="24"/>
          <w:lang w:eastAsia="ja-JP"/>
        </w:rPr>
        <w:tab/>
      </w:r>
      <w:r>
        <w:t>Procedures for the Collection of Information</w:t>
      </w:r>
      <w:r>
        <w:tab/>
      </w:r>
      <w:r>
        <w:fldChar w:fldCharType="begin"/>
      </w:r>
      <w:r>
        <w:instrText xml:space="preserve"> PAGEREF _Toc313191779 \h </w:instrText>
      </w:r>
      <w:r>
        <w:fldChar w:fldCharType="separate"/>
      </w:r>
      <w:r w:rsidR="003B2632">
        <w:t>5</w:t>
      </w:r>
      <w:r>
        <w:fldChar w:fldCharType="end"/>
      </w:r>
    </w:p>
    <w:p w14:paraId="095C1A31" w14:textId="0BD0A15A" w:rsidR="00CD5DE9" w:rsidRDefault="00CD5DE9">
      <w:pPr>
        <w:pStyle w:val="TOC2"/>
        <w:tabs>
          <w:tab w:val="left" w:pos="1382"/>
        </w:tabs>
        <w:rPr>
          <w:rFonts w:asciiTheme="minorHAnsi" w:eastAsiaTheme="minorEastAsia" w:hAnsiTheme="minorHAnsi" w:cstheme="minorBidi"/>
          <w:color w:val="auto"/>
          <w:sz w:val="24"/>
          <w:szCs w:val="24"/>
          <w:lang w:eastAsia="ja-JP"/>
        </w:rPr>
      </w:pPr>
      <w:r>
        <w:t xml:space="preserve">B.3. </w:t>
      </w:r>
      <w:r>
        <w:rPr>
          <w:rFonts w:asciiTheme="minorHAnsi" w:eastAsiaTheme="minorEastAsia" w:hAnsiTheme="minorHAnsi" w:cstheme="minorBidi"/>
          <w:color w:val="auto"/>
          <w:sz w:val="24"/>
          <w:szCs w:val="24"/>
          <w:lang w:eastAsia="ja-JP"/>
        </w:rPr>
        <w:tab/>
      </w:r>
      <w:r>
        <w:t>Methods to Maximize Response Rates and Deal with Nonresponse</w:t>
      </w:r>
      <w:r>
        <w:tab/>
      </w:r>
      <w:r>
        <w:fldChar w:fldCharType="begin"/>
      </w:r>
      <w:r>
        <w:instrText xml:space="preserve"> PAGEREF _Toc313191780 \h </w:instrText>
      </w:r>
      <w:r>
        <w:fldChar w:fldCharType="separate"/>
      </w:r>
      <w:r w:rsidR="003B2632">
        <w:t>9</w:t>
      </w:r>
      <w:r>
        <w:fldChar w:fldCharType="end"/>
      </w:r>
    </w:p>
    <w:p w14:paraId="2D6570D7" w14:textId="40DBD908" w:rsidR="00CD5DE9" w:rsidRDefault="00CD5DE9">
      <w:pPr>
        <w:pStyle w:val="TOC2"/>
        <w:tabs>
          <w:tab w:val="left" w:pos="1437"/>
        </w:tabs>
        <w:rPr>
          <w:rFonts w:asciiTheme="minorHAnsi" w:eastAsiaTheme="minorEastAsia" w:hAnsiTheme="minorHAnsi" w:cstheme="minorBidi"/>
          <w:color w:val="auto"/>
          <w:sz w:val="24"/>
          <w:szCs w:val="24"/>
          <w:lang w:eastAsia="ja-JP"/>
        </w:rPr>
      </w:pPr>
      <w:r>
        <w:t xml:space="preserve">B.4.  </w:t>
      </w:r>
      <w:r>
        <w:rPr>
          <w:rFonts w:asciiTheme="minorHAnsi" w:eastAsiaTheme="minorEastAsia" w:hAnsiTheme="minorHAnsi" w:cstheme="minorBidi"/>
          <w:color w:val="auto"/>
          <w:sz w:val="24"/>
          <w:szCs w:val="24"/>
          <w:lang w:eastAsia="ja-JP"/>
        </w:rPr>
        <w:tab/>
      </w:r>
      <w:r>
        <w:t>Test of Procedures or Methods to be Undertaken</w:t>
      </w:r>
      <w:r>
        <w:tab/>
      </w:r>
      <w:r>
        <w:fldChar w:fldCharType="begin"/>
      </w:r>
      <w:r>
        <w:instrText xml:space="preserve"> PAGEREF _Toc313191781 \h </w:instrText>
      </w:r>
      <w:r>
        <w:fldChar w:fldCharType="separate"/>
      </w:r>
      <w:r w:rsidR="003B2632">
        <w:t>10</w:t>
      </w:r>
      <w:r>
        <w:fldChar w:fldCharType="end"/>
      </w:r>
    </w:p>
    <w:p w14:paraId="27A6B3EF" w14:textId="4D21D708" w:rsidR="00CD5DE9" w:rsidRDefault="00CD5DE9">
      <w:pPr>
        <w:pStyle w:val="TOC2"/>
        <w:tabs>
          <w:tab w:val="left" w:pos="1437"/>
        </w:tabs>
        <w:rPr>
          <w:rFonts w:asciiTheme="minorHAnsi" w:eastAsiaTheme="minorEastAsia" w:hAnsiTheme="minorHAnsi" w:cstheme="minorBidi"/>
          <w:color w:val="auto"/>
          <w:sz w:val="24"/>
          <w:szCs w:val="24"/>
          <w:lang w:eastAsia="ja-JP"/>
        </w:rPr>
      </w:pPr>
      <w:r>
        <w:t xml:space="preserve">B.5.  </w:t>
      </w:r>
      <w:r>
        <w:rPr>
          <w:rFonts w:asciiTheme="minorHAnsi" w:eastAsiaTheme="minorEastAsia" w:hAnsiTheme="minorHAnsi" w:cstheme="minorBidi"/>
          <w:color w:val="auto"/>
          <w:sz w:val="24"/>
          <w:szCs w:val="24"/>
          <w:lang w:eastAsia="ja-JP"/>
        </w:rPr>
        <w:tab/>
      </w:r>
      <w:r>
        <w:t>Individuals Consulted on Statistical Aspects and Individuals Collecting and/or Analyzing Data</w:t>
      </w:r>
      <w:r>
        <w:tab/>
      </w:r>
      <w:r>
        <w:fldChar w:fldCharType="begin"/>
      </w:r>
      <w:r>
        <w:instrText xml:space="preserve"> PAGEREF _Toc313191782 \h </w:instrText>
      </w:r>
      <w:r>
        <w:fldChar w:fldCharType="separate"/>
      </w:r>
      <w:r w:rsidR="003B2632">
        <w:t>11</w:t>
      </w:r>
      <w:r>
        <w:fldChar w:fldCharType="end"/>
      </w:r>
    </w:p>
    <w:p w14:paraId="6FBE7775" w14:textId="77777777" w:rsidR="009F188F" w:rsidRDefault="00A96D5B" w:rsidP="00F30E3B">
      <w:pPr>
        <w:pStyle w:val="Heading2"/>
        <w:rPr>
          <w:noProof/>
        </w:rPr>
      </w:pPr>
      <w:r>
        <w:rPr>
          <w:noProof/>
        </w:rPr>
        <w:fldChar w:fldCharType="end"/>
      </w:r>
      <w:r w:rsidR="009F188F">
        <w:rPr>
          <w:noProof/>
        </w:rPr>
        <w:br w:type="page"/>
      </w:r>
    </w:p>
    <w:p w14:paraId="78F9A668" w14:textId="77777777" w:rsidR="00F30E3B" w:rsidRPr="00F30E3B" w:rsidRDefault="00F30E3B" w:rsidP="00F30E3B"/>
    <w:p w14:paraId="56EB1BD0" w14:textId="722F9472" w:rsidR="00746AB2" w:rsidRDefault="00746AB2" w:rsidP="00B60333">
      <w:pPr>
        <w:ind w:firstLine="0"/>
        <w:jc w:val="center"/>
        <w:rPr>
          <w:smallCaps/>
          <w:noProof/>
        </w:rPr>
      </w:pPr>
      <w:r w:rsidRPr="00746AB2">
        <w:rPr>
          <w:b/>
          <w:smallCaps/>
          <w:noProof/>
        </w:rPr>
        <w:t>List of Attachments</w:t>
      </w:r>
    </w:p>
    <w:p w14:paraId="1496D6BA" w14:textId="77777777" w:rsidR="00947B13" w:rsidRDefault="00947B13">
      <w:pPr>
        <w:spacing w:line="240" w:lineRule="auto"/>
        <w:ind w:firstLine="0"/>
        <w:sectPr w:rsidR="00947B13" w:rsidSect="00D81793">
          <w:headerReference w:type="default" r:id="rId9"/>
          <w:footerReference w:type="default" r:id="rId10"/>
          <w:footerReference w:type="first" r:id="rId11"/>
          <w:pgSz w:w="12240" w:h="15840" w:code="1"/>
          <w:pgMar w:top="1440" w:right="1440" w:bottom="1440" w:left="1440" w:header="720" w:footer="720" w:gutter="0"/>
          <w:cols w:space="720"/>
        </w:sectPr>
      </w:pPr>
    </w:p>
    <w:p w14:paraId="79B86114" w14:textId="1781A1E1" w:rsidR="009F188F" w:rsidRPr="00BC00B9" w:rsidRDefault="009F188F" w:rsidP="009F188F">
      <w:pPr>
        <w:tabs>
          <w:tab w:val="left" w:pos="1800"/>
        </w:tabs>
        <w:rPr>
          <w:smallCaps/>
          <w:noProof/>
        </w:rPr>
      </w:pPr>
      <w:r w:rsidRPr="007352C6">
        <w:rPr>
          <w:b/>
          <w:smallCaps/>
          <w:noProof/>
        </w:rPr>
        <w:t>Attachment 1</w:t>
      </w:r>
      <w:r>
        <w:rPr>
          <w:smallCaps/>
          <w:noProof/>
        </w:rPr>
        <w:t>:</w:t>
      </w:r>
      <w:r>
        <w:rPr>
          <w:smallCaps/>
          <w:noProof/>
        </w:rPr>
        <w:tab/>
        <w:t>Level of Concern</w:t>
      </w:r>
      <w:r w:rsidR="008128C3">
        <w:rPr>
          <w:smallCaps/>
          <w:noProof/>
        </w:rPr>
        <w:t xml:space="preserve"> “Cards</w:t>
      </w:r>
      <w:r w:rsidR="00AD15EB">
        <w:rPr>
          <w:smallCaps/>
          <w:noProof/>
        </w:rPr>
        <w:t>”</w:t>
      </w:r>
      <w:r>
        <w:rPr>
          <w:smallCaps/>
          <w:noProof/>
        </w:rPr>
        <w:t xml:space="preserve"> Scenarios</w:t>
      </w:r>
      <w:r w:rsidRPr="00972E80" w:rsidDel="00EE76C8">
        <w:rPr>
          <w:smallCaps/>
          <w:strike/>
          <w:noProof/>
        </w:rPr>
        <w:t xml:space="preserve"> </w:t>
      </w:r>
    </w:p>
    <w:p w14:paraId="31712F5B" w14:textId="77777777" w:rsidR="009F188F" w:rsidRDefault="00947B13" w:rsidP="00F30E3B">
      <w:pPr>
        <w:pStyle w:val="Heading2"/>
      </w:pPr>
      <w:r>
        <w:br w:type="page"/>
      </w:r>
    </w:p>
    <w:p w14:paraId="5E328FE5" w14:textId="77777777" w:rsidR="009F188F" w:rsidRDefault="009F188F" w:rsidP="00F30E3B">
      <w:pPr>
        <w:pStyle w:val="Heading2"/>
      </w:pPr>
      <w:bookmarkStart w:id="2" w:name="_Toc313191777"/>
      <w:r>
        <w:lastRenderedPageBreak/>
        <w:t>B.</w:t>
      </w:r>
      <w:r>
        <w:tab/>
        <w:t>Collections of Information Employing Statistical Methods</w:t>
      </w:r>
      <w:bookmarkEnd w:id="2"/>
    </w:p>
    <w:p w14:paraId="54C73C3A" w14:textId="525FA83A" w:rsidR="009F188F" w:rsidRPr="00E554F9" w:rsidRDefault="009F188F" w:rsidP="00BA4EC3">
      <w:pPr>
        <w:pStyle w:val="Heading3"/>
        <w:ind w:left="1260" w:hanging="540"/>
      </w:pPr>
      <w:bookmarkStart w:id="3" w:name="_Toc313191778"/>
      <w:r>
        <w:t>B</w:t>
      </w:r>
      <w:r w:rsidRPr="00E554F9">
        <w:t xml:space="preserve">.1. </w:t>
      </w:r>
      <w:r w:rsidR="00BA4EC3">
        <w:tab/>
      </w:r>
      <w:r>
        <w:t>Respondent Universe and Sampling Methods</w:t>
      </w:r>
      <w:bookmarkEnd w:id="3"/>
    </w:p>
    <w:p w14:paraId="7A5E5675" w14:textId="4667D93B" w:rsidR="009F188F" w:rsidRDefault="009F188F" w:rsidP="009F188F">
      <w:r>
        <w:t>The National Toxicology Program (</w:t>
      </w:r>
      <w:r w:rsidRPr="00636A83">
        <w:t>NTP</w:t>
      </w:r>
      <w:r>
        <w:t>)</w:t>
      </w:r>
      <w:r w:rsidRPr="00636A83">
        <w:t xml:space="preserve"> will use web-based expert solicitation from five NTP stakeholder sectors (academia, industry, non-government organizations, and federal and state agencies)</w:t>
      </w:r>
      <w:r>
        <w:t xml:space="preserve"> to collect information</w:t>
      </w:r>
      <w:r w:rsidRPr="00636A83">
        <w:t xml:space="preserve">. </w:t>
      </w:r>
      <w:r>
        <w:t>The participants will include</w:t>
      </w:r>
      <w:r w:rsidRPr="00636A83">
        <w:t xml:space="preserve"> experts in toxicology, epidemiology, and risk assessment from each of the five stakeholder sectors</w:t>
      </w:r>
      <w:r>
        <w:t>. These sectors were chosen because they use</w:t>
      </w:r>
      <w:r w:rsidRPr="00636A83">
        <w:t xml:space="preserve"> </w:t>
      </w:r>
      <w:r>
        <w:t xml:space="preserve">Level of Concern (LoC) </w:t>
      </w:r>
      <w:r w:rsidRPr="00636A83">
        <w:t>conclusions from NTP literature-based evaluations</w:t>
      </w:r>
      <w:r>
        <w:t>, are familiar with NTP and its research and analysis activities,</w:t>
      </w:r>
      <w:r w:rsidRPr="00636A83">
        <w:t xml:space="preserve"> and/or are familiar with the conduct</w:t>
      </w:r>
      <w:r>
        <w:t xml:space="preserve">, </w:t>
      </w:r>
      <w:r w:rsidRPr="00636A83">
        <w:t>analysis</w:t>
      </w:r>
      <w:r>
        <w:t>, interpretation, and use</w:t>
      </w:r>
      <w:r w:rsidRPr="00636A83">
        <w:t xml:space="preserve"> of data from environ</w:t>
      </w:r>
      <w:r>
        <w:t xml:space="preserve">mental health hazard assessments. </w:t>
      </w:r>
      <w:r w:rsidR="00972F22">
        <w:t xml:space="preserve">Forthcoming studies will evaluate consumer/public perception and interpretation via cognitive testing or focus group sessions with members of the general public and experts from the stakeholder sectors. </w:t>
      </w:r>
      <w:r>
        <w:t xml:space="preserve">NTP will use targeted advertisement to recruit participants through communications </w:t>
      </w:r>
      <w:r w:rsidR="00D953D8">
        <w:t>with federal and state agencies;</w:t>
      </w:r>
      <w:r>
        <w:t xml:space="preserve"> announcements through professional societies </w:t>
      </w:r>
      <w:r w:rsidRPr="00770F9E">
        <w:t>(e.g., Society of Toxicology, American Public Health Association</w:t>
      </w:r>
      <w:r>
        <w:t>,</w:t>
      </w:r>
      <w:r w:rsidR="00972F22">
        <w:t xml:space="preserve"> International Society of Environmental Epidemiology,</w:t>
      </w:r>
      <w:r>
        <w:t xml:space="preserve"> Association of Occupational and Environmental Medicine</w:t>
      </w:r>
      <w:r w:rsidRPr="00770F9E">
        <w:t>),</w:t>
      </w:r>
      <w:r>
        <w:t xml:space="preserve"> NTP </w:t>
      </w:r>
      <w:r w:rsidR="00D953D8">
        <w:t>listserv,</w:t>
      </w:r>
      <w:r>
        <w:t xml:space="preserve"> and outreach to individuals who have served on NTP advisory groups in </w:t>
      </w:r>
      <w:r w:rsidR="00D953D8">
        <w:t xml:space="preserve">the </w:t>
      </w:r>
      <w:r>
        <w:t>past five years</w:t>
      </w:r>
      <w:r w:rsidR="00972F22">
        <w:t xml:space="preserve"> or provided comments on NTP’s research</w:t>
      </w:r>
      <w:r>
        <w:t xml:space="preserve">. </w:t>
      </w:r>
    </w:p>
    <w:p w14:paraId="1027BB18" w14:textId="19057A5D" w:rsidR="009F188F" w:rsidRDefault="009F188F" w:rsidP="009F188F">
      <w:r w:rsidRPr="00770F9E">
        <w:t xml:space="preserve">Eligible </w:t>
      </w:r>
      <w:r w:rsidRPr="00227DF0">
        <w:t xml:space="preserve">participants will be men or women who have a Masters of Science, PhD, MD, or equivalent degree and at least 3 years’ </w:t>
      </w:r>
      <w:r w:rsidR="00972F22">
        <w:t>self-reported</w:t>
      </w:r>
      <w:r w:rsidR="00972F22" w:rsidRPr="00227DF0">
        <w:t xml:space="preserve"> </w:t>
      </w:r>
      <w:r w:rsidRPr="00227DF0">
        <w:t>employment working in public health or a risk assessment-related activity, such</w:t>
      </w:r>
      <w:r w:rsidRPr="00770F9E">
        <w:t xml:space="preserve"> as developing hazard identification conclusions based on human and/or animal data or conducting qualitative or quantitative characterizations of risk. </w:t>
      </w:r>
      <w:r>
        <w:t>IRB exemption status was granted for this study on January 13, 2015, and all participants will give informed consent.</w:t>
      </w:r>
    </w:p>
    <w:p w14:paraId="5F415378" w14:textId="4A2AB18B" w:rsidR="009F188F" w:rsidRDefault="009F188F" w:rsidP="009F188F">
      <w:r>
        <w:t xml:space="preserve">For Phase 1, NTP will recruit 100 participants (~20 per stakeholder sector). For Phase 2, NTP will ask a </w:t>
      </w:r>
      <w:r w:rsidR="00972F22">
        <w:t xml:space="preserve">second </w:t>
      </w:r>
      <w:r>
        <w:t>group of 10</w:t>
      </w:r>
      <w:r w:rsidRPr="007078F3">
        <w:t xml:space="preserve">0 </w:t>
      </w:r>
      <w:r>
        <w:t xml:space="preserve">participants to sort LoC cards. </w:t>
      </w:r>
      <w:r w:rsidR="00972F22">
        <w:t xml:space="preserve">That </w:t>
      </w:r>
      <w:r>
        <w:t xml:space="preserve">group will include </w:t>
      </w:r>
      <w:r w:rsidR="00972F22">
        <w:t>60</w:t>
      </w:r>
      <w:r>
        <w:t xml:space="preserve"> new participants and </w:t>
      </w:r>
      <w:r w:rsidR="00972F22">
        <w:t>/40</w:t>
      </w:r>
      <w:r>
        <w:t xml:space="preserve"> repeat participants from Phase 1. </w:t>
      </w:r>
      <w:r w:rsidR="00972F22">
        <w:t>The 40 repeat participants for</w:t>
      </w:r>
      <w:r>
        <w:t xml:space="preserve"> </w:t>
      </w:r>
      <w:r w:rsidR="00F777B3">
        <w:t xml:space="preserve">will be selected from among the </w:t>
      </w:r>
      <w:r>
        <w:t xml:space="preserve">Phase 1 </w:t>
      </w:r>
      <w:r w:rsidRPr="00F777B3">
        <w:t>experts, based upon their responses in Phase 1 (see below).</w:t>
      </w:r>
      <w:r w:rsidR="00972F22">
        <w:t xml:space="preserve"> Because this is a</w:t>
      </w:r>
      <w:r w:rsidR="00A05CB5">
        <w:t xml:space="preserve"> </w:t>
      </w:r>
      <w:r w:rsidR="00A05CB5" w:rsidRPr="007D2979">
        <w:t xml:space="preserve">preliminary, </w:t>
      </w:r>
      <w:r w:rsidR="00972F22">
        <w:t xml:space="preserve"> </w:t>
      </w:r>
      <w:r w:rsidR="00972F22">
        <w:lastRenderedPageBreak/>
        <w:t xml:space="preserve">exploratory study </w:t>
      </w:r>
      <w:r w:rsidR="00972F22" w:rsidRPr="007D2979">
        <w:t xml:space="preserve">that </w:t>
      </w:r>
      <w:r w:rsidR="00A05CB5" w:rsidRPr="007D2979">
        <w:t xml:space="preserve">does not </w:t>
      </w:r>
      <w:r w:rsidR="00972F22" w:rsidRPr="007D2979">
        <w:t xml:space="preserve">aim to </w:t>
      </w:r>
      <w:r w:rsidR="00A05CB5" w:rsidRPr="007D2979">
        <w:t xml:space="preserve">directly </w:t>
      </w:r>
      <w:r w:rsidR="00972F22" w:rsidRPr="007D2979">
        <w:t xml:space="preserve">identify </w:t>
      </w:r>
      <w:r w:rsidR="00972F22">
        <w:t xml:space="preserve">updates to the LoC framework, power calculations </w:t>
      </w:r>
      <w:r w:rsidR="002A7242" w:rsidRPr="007D2979">
        <w:t>have not been conducted</w:t>
      </w:r>
      <w:r w:rsidR="00972F22" w:rsidRPr="007D2979">
        <w:t>.</w:t>
      </w:r>
      <w:r w:rsidR="00972F22">
        <w:t xml:space="preserve"> Instead, sizes of 95% confidence intervals were used to determine sample sizes; 20 participants from each of five stakeholder sectors will provide 95% confidence intervals for percentages that are, at most, ± 20% for individual sectors and ± 5% for the entire sample.  </w:t>
      </w:r>
    </w:p>
    <w:p w14:paraId="682C14EF" w14:textId="3AC59F20" w:rsidR="009F188F" w:rsidRDefault="009F188F" w:rsidP="00BA4EC3">
      <w:pPr>
        <w:pStyle w:val="Heading3"/>
        <w:tabs>
          <w:tab w:val="left" w:pos="1260"/>
        </w:tabs>
        <w:ind w:left="1260" w:hanging="540"/>
      </w:pPr>
      <w:bookmarkStart w:id="4" w:name="_Toc313191779"/>
      <w:r>
        <w:t xml:space="preserve">B.2. </w:t>
      </w:r>
      <w:r w:rsidR="00BA4EC3">
        <w:tab/>
      </w:r>
      <w:r>
        <w:t>Procedures for the Collection of Information</w:t>
      </w:r>
      <w:bookmarkEnd w:id="4"/>
    </w:p>
    <w:p w14:paraId="262C0B47" w14:textId="5DFCF6E9" w:rsidR="00972F22" w:rsidRDefault="009F188F" w:rsidP="00972F22">
      <w:pPr>
        <w:tabs>
          <w:tab w:val="left" w:pos="2610"/>
        </w:tabs>
      </w:pPr>
      <w:r>
        <w:t xml:space="preserve">NTP will develop </w:t>
      </w:r>
      <w:r w:rsidR="00C064C0">
        <w:t xml:space="preserve">40 </w:t>
      </w:r>
      <w:r>
        <w:t>hypothetical LoC scenarios (</w:t>
      </w:r>
      <w:r w:rsidR="00BE5167">
        <w:rPr>
          <w:b/>
          <w:bCs/>
          <w:smallCaps/>
          <w:szCs w:val="22"/>
        </w:rPr>
        <w:t>Attachment</w:t>
      </w:r>
      <w:r w:rsidR="00BE5167" w:rsidRPr="00AB1A71">
        <w:rPr>
          <w:b/>
          <w:bCs/>
          <w:smallCaps/>
          <w:szCs w:val="22"/>
        </w:rPr>
        <w:t xml:space="preserve"> </w:t>
      </w:r>
      <w:r w:rsidRPr="00AB1A71">
        <w:rPr>
          <w:b/>
          <w:bCs/>
          <w:smallCaps/>
          <w:szCs w:val="22"/>
        </w:rPr>
        <w:t>1</w:t>
      </w:r>
      <w:r w:rsidR="00BE5167">
        <w:rPr>
          <w:b/>
          <w:bCs/>
          <w:smallCaps/>
          <w:szCs w:val="22"/>
        </w:rPr>
        <w:t xml:space="preserve"> – Level of Concern Scenarios</w:t>
      </w:r>
      <w:r>
        <w:t>) with each presented in a standard</w:t>
      </w:r>
      <w:r w:rsidR="00B80CB8">
        <w:t xml:space="preserve"> format on an electronic “card”</w:t>
      </w:r>
      <w:r>
        <w:t xml:space="preserve">. </w:t>
      </w:r>
      <w:r w:rsidR="00972F22">
        <w:t>Each LoC card contains a hypothetical scenario</w:t>
      </w:r>
      <w:r w:rsidR="00972F22" w:rsidRPr="00873C4E">
        <w:t xml:space="preserve"> that present</w:t>
      </w:r>
      <w:r w:rsidR="00972F22">
        <w:t>s</w:t>
      </w:r>
      <w:r w:rsidR="00972F22" w:rsidRPr="00873C4E">
        <w:t xml:space="preserve"> information about </w:t>
      </w:r>
      <w:r w:rsidR="00972F22">
        <w:t>toxicity</w:t>
      </w:r>
      <w:r w:rsidR="00972F22" w:rsidRPr="00873C4E">
        <w:t xml:space="preserve"> and level of human exposur</w:t>
      </w:r>
      <w:r w:rsidR="00972F22" w:rsidRPr="007D2979">
        <w:t xml:space="preserve">e </w:t>
      </w:r>
      <w:r w:rsidR="002A7242" w:rsidRPr="007D2979">
        <w:t xml:space="preserve">(without identification of a specific chemical) </w:t>
      </w:r>
      <w:r w:rsidR="00972F22" w:rsidRPr="007D2979">
        <w:t>and asks a question regarding the perceived LoC for a specific population group</w:t>
      </w:r>
      <w:r w:rsidR="002A7242" w:rsidRPr="007D2979">
        <w:t xml:space="preserve"> (e.g., NICU infants, women of childbearing age, men, exposed workers, general population)</w:t>
      </w:r>
      <w:r w:rsidR="00972F22" w:rsidRPr="007D2979">
        <w:t xml:space="preserve">. The cards </w:t>
      </w:r>
      <w:r w:rsidR="002A7242" w:rsidRPr="007D2979">
        <w:t>do not specify a particular</w:t>
      </w:r>
      <w:r w:rsidR="00972F22">
        <w:t xml:space="preserve"> chemical. The cards are, by necessity, brief and </w:t>
      </w:r>
      <w:r w:rsidR="00972F22">
        <w:rPr>
          <w:color w:val="1F497D"/>
        </w:rPr>
        <w:t xml:space="preserve">may not span the entire range of possible scenarios; however, </w:t>
      </w:r>
      <w:r w:rsidR="007D2979">
        <w:rPr>
          <w:color w:val="1F497D"/>
        </w:rPr>
        <w:t xml:space="preserve">seven </w:t>
      </w:r>
      <w:r w:rsidR="00972F22">
        <w:rPr>
          <w:color w:val="1F497D"/>
        </w:rPr>
        <w:t>scientists with expertise in toxicology, epidemiology, and risk assessment have reviewed the cards to ensure that they adequately cover the scenarios typically encountered in NTP hazard assessment activities.</w:t>
      </w:r>
      <w:r w:rsidR="007D2979">
        <w:rPr>
          <w:color w:val="1F497D"/>
        </w:rPr>
        <w:t xml:space="preserve"> </w:t>
      </w:r>
    </w:p>
    <w:p w14:paraId="02B97332" w14:textId="44B10233" w:rsidR="00972F22" w:rsidRDefault="00972F22" w:rsidP="003B2632">
      <w:pPr>
        <w:tabs>
          <w:tab w:val="left" w:pos="2610"/>
        </w:tabs>
      </w:pPr>
      <w:r>
        <w:t>As shown on the sample card (</w:t>
      </w:r>
      <w:r>
        <w:rPr>
          <w:b/>
          <w:bCs/>
          <w:smallCaps/>
          <w:szCs w:val="22"/>
        </w:rPr>
        <w:t>Attachment</w:t>
      </w:r>
      <w:r w:rsidRPr="00AB1A71">
        <w:rPr>
          <w:b/>
          <w:bCs/>
          <w:smallCaps/>
          <w:szCs w:val="22"/>
        </w:rPr>
        <w:t xml:space="preserve"> 1</w:t>
      </w:r>
      <w:r>
        <w:rPr>
          <w:b/>
          <w:bCs/>
          <w:smallCaps/>
          <w:szCs w:val="22"/>
        </w:rPr>
        <w:t xml:space="preserve"> – Level of Concern Scenarios)</w:t>
      </w:r>
      <w:r>
        <w:t>, the LoC scenario</w:t>
      </w:r>
      <w:r w:rsidR="007B649F">
        <w:t xml:space="preserve"> has separate headers for hazard and exposure. It</w:t>
      </w:r>
      <w:r>
        <w:t xml:space="preserve"> uses the hazard classification scheme (“known,” “presumed,” “suspected,” and “not classifiable”) presented in </w:t>
      </w:r>
      <w:hyperlink w:anchor="_ENREF_7" w:tooltip="Rooney, 2014 #381" w:history="1">
        <w:r w:rsidRPr="00F459F5">
          <w:rPr>
            <w:noProof/>
            <w:color w:val="000000"/>
            <w:szCs w:val="22"/>
          </w:rPr>
          <w:t xml:space="preserve">Rooney et al. </w:t>
        </w:r>
      </w:hyperlink>
      <w:r>
        <w:rPr>
          <w:noProof/>
          <w:color w:val="000000"/>
          <w:szCs w:val="22"/>
        </w:rPr>
        <w:fldChar w:fldCharType="begin"/>
      </w:r>
      <w:r>
        <w:rPr>
          <w:noProof/>
          <w:color w:val="000000"/>
          <w:szCs w:val="22"/>
        </w:rPr>
        <w:instrText xml:space="preserve"> ADDIN EN.CITE &lt;EndNote&gt;&lt;Cite ExcludeAuth="1"&gt;&lt;Author&gt;Rooney&lt;/Author&gt;&lt;Year&gt;2014&lt;/Year&gt;&lt;RecNum&gt;15&lt;/RecNum&gt;&lt;DisplayText&gt;(2014)&lt;/DisplayText&gt;&lt;record&gt;&lt;rec-number&gt;15&lt;/rec-number&gt;&lt;foreign-keys&gt;&lt;key app="EN" db-id="ar2rdf2e42atf4expea5d9ddrwd25e9ep2sv" timestamp="1467538930"&gt;15&lt;/key&gt;&lt;/foreign-keys&gt;&lt;ref-type name="Journal Article"&gt;17&lt;/ref-type&gt;&lt;contributors&gt;&lt;authors&gt;&lt;author&gt;Rooney, A. A.&lt;/author&gt;&lt;author&gt;Boyles, A. L.&lt;/author&gt;&lt;author&gt;Wolfe, M. S.&lt;/author&gt;&lt;author&gt;Bucher, J. R.&lt;/author&gt;&lt;author&gt;Thayer, K. A.&lt;/author&gt;&lt;/authors&gt;&lt;/contributors&gt;&lt;auth-address&gt;Office of Health Assessment and Translation, Division of the National Toxicology Program, National Institute of Environmental Health Sciences, National Institutes of Health, Department of Health and Human Services, Research Triangle Park, North Carolina, USA.&lt;/auth-address&gt;&lt;titles&gt;&lt;title&gt;Systematic review and evidence integration for literature-based environmental health science assessments&lt;/title&gt;&lt;secondary-title&gt;Environ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perspectives&lt;/abbr-1&gt;&lt;/alt-periodical&gt;&lt;pages&gt;711-8&lt;/pages&gt;&lt;volume&gt;122&lt;/volume&gt;&lt;number&gt;7&lt;/number&gt;&lt;edition&gt;2014/04/24&lt;/edition&gt;&lt;keywords&gt;&lt;keyword&gt;Animals&lt;/keyword&gt;&lt;keyword&gt;Environmental Health/*methods&lt;/keyword&gt;&lt;keyword&gt;*Evidence-Based Medicine&lt;/keyword&gt;&lt;keyword&gt;Humans&lt;/keyword&gt;&lt;keyword&gt;*Review Literature as Topic&lt;/keyword&gt;&lt;keyword&gt;United States&lt;/keyword&gt;&lt;/keywords&gt;&lt;dates&gt;&lt;year&gt;2014&lt;/year&gt;&lt;pub-dates&gt;&lt;date&gt;Jul&lt;/date&gt;&lt;/pub-dates&gt;&lt;/dates&gt;&lt;isbn&gt;0091-6765&lt;/isbn&gt;&lt;accession-num&gt;24755067&lt;/accession-num&gt;&lt;urls&gt;&lt;/urls&gt;&lt;custom1&gt;Journal article&lt;/custom1&gt;&lt;custom2&gt;Pmc4080517&lt;/custom2&gt;&lt;electronic-resource-num&gt;10.1289/ehp.1307972&lt;/electronic-resource-num&gt;&lt;remote-database-provider&gt;NLM&lt;/remote-database-provider&gt;&lt;language&gt;eng&lt;/language&gt;&lt;/record&gt;&lt;/Cite&gt;&lt;/EndNote&gt;</w:instrText>
      </w:r>
      <w:r>
        <w:rPr>
          <w:noProof/>
          <w:color w:val="000000"/>
          <w:szCs w:val="22"/>
        </w:rPr>
        <w:fldChar w:fldCharType="separate"/>
      </w:r>
      <w:r>
        <w:rPr>
          <w:noProof/>
          <w:color w:val="000000"/>
          <w:szCs w:val="22"/>
        </w:rPr>
        <w:t>(2014)</w:t>
      </w:r>
      <w:r>
        <w:rPr>
          <w:noProof/>
          <w:color w:val="000000"/>
          <w:szCs w:val="22"/>
        </w:rPr>
        <w:fldChar w:fldCharType="end"/>
      </w:r>
      <w:r>
        <w:t xml:space="preserve">. Additional information in support of the hazard category includes human evidence, animal evidence, and mechanistic/other evidence </w:t>
      </w:r>
      <w:r w:rsidR="007B649F">
        <w:t xml:space="preserve">and is presented to aid participants in evaluating the information about toxicity. The exposure section provides information about level of human exposure for participants to integrate with the hazard category to answer the LoC question for a specific population group. Information about exposure in a LoC scenario is not as rigorous and robust as the toxicity information. This is because it is meant to reflect real world situations where information about human exposure is often limited or nonexistent. </w:t>
      </w:r>
      <w:r w:rsidR="003B2632">
        <w:t xml:space="preserve">However, </w:t>
      </w:r>
      <w:r w:rsidR="003B2632">
        <w:rPr>
          <w:color w:val="1F497D"/>
        </w:rPr>
        <w:t xml:space="preserve">as a point of clarification, relevant exposure studies are identified using systematic review process and the potential bias of those studies can be assessed using relevant </w:t>
      </w:r>
      <w:r w:rsidR="003B2632">
        <w:rPr>
          <w:color w:val="1F497D"/>
        </w:rPr>
        <w:lastRenderedPageBreak/>
        <w:t>items from the risk of bias tool used to evaluate health outcome studies. The risk of bias tool used by NTP includes questions to evaluate the quality of the exposure measurement. Thus, relevant exposure studies are identified using objective and transparent methodology. Assessing the potential bias in these studies is of course more subjective but the NTP systematic review process has processes in place to address this, i.e., independent assessment by 2-3 individuals.</w:t>
      </w:r>
      <w:r w:rsidR="003B2632">
        <w:t xml:space="preserve"> </w:t>
      </w:r>
      <w:r>
        <w:rPr>
          <w:b/>
          <w:bCs/>
          <w:smallCaps/>
          <w:szCs w:val="22"/>
        </w:rPr>
        <w:t>Attachment</w:t>
      </w:r>
      <w:r w:rsidRPr="00AB1A71">
        <w:rPr>
          <w:b/>
          <w:bCs/>
          <w:smallCaps/>
          <w:szCs w:val="22"/>
        </w:rPr>
        <w:t xml:space="preserve"> 1</w:t>
      </w:r>
      <w:r>
        <w:rPr>
          <w:b/>
          <w:bCs/>
          <w:smallCaps/>
          <w:szCs w:val="22"/>
        </w:rPr>
        <w:t xml:space="preserve"> </w:t>
      </w:r>
      <w:r>
        <w:t>presents the hypothetical scenarios for all 40 LoC cards</w:t>
      </w:r>
      <w:r w:rsidR="00A05CB5">
        <w:t xml:space="preserve"> </w:t>
      </w:r>
      <w:r w:rsidR="00A05CB5" w:rsidRPr="007B649F">
        <w:t>employed in this study</w:t>
      </w:r>
      <w:r>
        <w:t>.</w:t>
      </w:r>
    </w:p>
    <w:p w14:paraId="7E2BF5B4" w14:textId="204F7BE2" w:rsidR="009F188F" w:rsidRDefault="009F188F" w:rsidP="009F188F">
      <w:r>
        <w:t>NTP will use a web-based</w:t>
      </w:r>
      <w:r w:rsidRPr="0028328D">
        <w:t xml:space="preserve"> </w:t>
      </w:r>
      <w:r>
        <w:t xml:space="preserve">application with a user interface (“web-based instrument”) for the LoC card sorting exercises in Phases 1 and 2. NTP will host the web-based instrument on a secure, password-protected </w:t>
      </w:r>
      <w:r w:rsidR="006B4BC6">
        <w:t>website</w:t>
      </w:r>
      <w:r>
        <w:t xml:space="preserve">. Each participant will use a unique </w:t>
      </w:r>
      <w:r w:rsidR="00C064C0">
        <w:t>User</w:t>
      </w:r>
      <w:r w:rsidR="00826AE4">
        <w:t>name</w:t>
      </w:r>
      <w:r w:rsidR="00C064C0">
        <w:t xml:space="preserve"> and </w:t>
      </w:r>
      <w:r w:rsidR="00826AE4">
        <w:t xml:space="preserve">PIN-code </w:t>
      </w:r>
      <w:r>
        <w:t xml:space="preserve">for accessing the </w:t>
      </w:r>
      <w:r w:rsidR="006B4BC6">
        <w:t>website</w:t>
      </w:r>
      <w:r>
        <w:t xml:space="preserve">. Both phases of the study will use the same sorting process. </w:t>
      </w:r>
      <w:r w:rsidR="00C659B7">
        <w:t>Participant</w:t>
      </w:r>
      <w:r>
        <w:t xml:space="preserve">s will be trained to use the tool and work independently. NTP will monitor the amount of time required for </w:t>
      </w:r>
      <w:r w:rsidR="00C659B7">
        <w:t>participant</w:t>
      </w:r>
      <w:r>
        <w:t>s to complete each phase</w:t>
      </w:r>
      <w:r w:rsidR="008D0F4B">
        <w:t xml:space="preserve">, </w:t>
      </w:r>
      <w:r w:rsidR="00D953D8">
        <w:t>although</w:t>
      </w:r>
      <w:r w:rsidR="008D0F4B">
        <w:t xml:space="preserve"> we estimate it will </w:t>
      </w:r>
      <w:r w:rsidR="006A5EE2">
        <w:t>take</w:t>
      </w:r>
      <w:r w:rsidR="00B33FE7">
        <w:t xml:space="preserve"> approximately</w:t>
      </w:r>
      <w:r w:rsidR="006A5EE2">
        <w:t xml:space="preserve"> </w:t>
      </w:r>
      <w:r w:rsidR="006B4BC6">
        <w:t>6</w:t>
      </w:r>
      <w:r w:rsidR="003B21CB">
        <w:t xml:space="preserve"> </w:t>
      </w:r>
      <w:r w:rsidR="006A5EE2">
        <w:t xml:space="preserve">hours </w:t>
      </w:r>
      <w:r w:rsidR="00BA4EC3">
        <w:t xml:space="preserve">total </w:t>
      </w:r>
      <w:r w:rsidR="00042688">
        <w:t xml:space="preserve">per participant </w:t>
      </w:r>
      <w:r w:rsidR="006A5EE2">
        <w:t xml:space="preserve">for </w:t>
      </w:r>
      <w:r w:rsidR="00B33FE7">
        <w:t>the</w:t>
      </w:r>
      <w:r w:rsidR="006A5EE2">
        <w:t xml:space="preserve"> Phase 1 and 2 sessions</w:t>
      </w:r>
      <w:r w:rsidR="00042688">
        <w:t xml:space="preserve"> (total of 4 sessions)</w:t>
      </w:r>
      <w:r>
        <w:t xml:space="preserve">. Participants will be able to access the </w:t>
      </w:r>
      <w:r w:rsidR="006B4BC6">
        <w:t xml:space="preserve">website </w:t>
      </w:r>
      <w:r>
        <w:t>remotely at any time during the experimental LoC card sorting phases using a variety of Internet browsers. Information collection of participants’ responses will be automated and secure, and stored on NIEHS servers. Responses will not be shared among participants.</w:t>
      </w:r>
    </w:p>
    <w:p w14:paraId="777DF545" w14:textId="3DD6A55F" w:rsidR="009F188F" w:rsidRDefault="009F188F" w:rsidP="009F188F">
      <w:r>
        <w:t>Phase 1 will have two trials</w:t>
      </w:r>
      <w:r w:rsidR="00F1486B">
        <w:t>, A and B</w:t>
      </w:r>
      <w:r w:rsidR="00C967CA">
        <w:t xml:space="preserve">, for the purpose of establishing consensus on the number of LoC categories to be used and evaluating </w:t>
      </w:r>
      <w:r w:rsidR="00E72F41">
        <w:t xml:space="preserve">the </w:t>
      </w:r>
      <w:r w:rsidR="00C967CA">
        <w:t>reliability of this number</w:t>
      </w:r>
      <w:r>
        <w:t>. For Phase 1</w:t>
      </w:r>
      <w:r w:rsidR="00F1486B">
        <w:t xml:space="preserve"> Trial </w:t>
      </w:r>
      <w:r>
        <w:t xml:space="preserve">A, </w:t>
      </w:r>
      <w:r w:rsidR="003B21CB">
        <w:t>100 participants will</w:t>
      </w:r>
      <w:r w:rsidR="00972F22">
        <w:t xml:space="preserve"> conduct open</w:t>
      </w:r>
      <w:r w:rsidR="003B21CB">
        <w:t xml:space="preserve"> sort</w:t>
      </w:r>
      <w:r w:rsidR="00972F22">
        <w:t>s into participant-defined</w:t>
      </w:r>
      <w:r w:rsidR="00E73715">
        <w:t xml:space="preserve"> </w:t>
      </w:r>
      <w:r w:rsidR="00972F22">
        <w:t>categories. This will involve sorting</w:t>
      </w:r>
      <w:r w:rsidR="00D079AE">
        <w:t xml:space="preserve"> </w:t>
      </w:r>
      <w:r w:rsidR="003B21CB">
        <w:t xml:space="preserve">30 </w:t>
      </w:r>
      <w:r w:rsidR="00D079AE">
        <w:t>cards</w:t>
      </w:r>
      <w:r w:rsidR="00F777B3">
        <w:t xml:space="preserve"> </w:t>
      </w:r>
      <w:r w:rsidR="00995148">
        <w:t xml:space="preserve">defined by hazard identification and level of exposure </w:t>
      </w:r>
      <w:r>
        <w:t xml:space="preserve">into </w:t>
      </w:r>
      <w:r w:rsidR="00042688">
        <w:t xml:space="preserve">undefined </w:t>
      </w:r>
      <w:r>
        <w:t xml:space="preserve">LoC categories </w:t>
      </w:r>
      <w:r w:rsidR="00042688">
        <w:t xml:space="preserve">(where </w:t>
      </w:r>
      <w:r w:rsidR="00972F22">
        <w:t>c</w:t>
      </w:r>
      <w:r w:rsidR="00042688">
        <w:t xml:space="preserve">ategory 1= lowest level of concern; category 10 = highest level of concern) </w:t>
      </w:r>
      <w:r>
        <w:t xml:space="preserve">using the web-based </w:t>
      </w:r>
      <w:r w:rsidRPr="00AC3B00">
        <w:t>instrument</w:t>
      </w:r>
      <w:r>
        <w:t xml:space="preserve">. </w:t>
      </w:r>
      <w:r w:rsidR="00972F22">
        <w:t>In card sorting tasks, it is best practice to use no more than 30 to 40 cards for an open sort (</w:t>
      </w:r>
      <w:hyperlink r:id="rId12" w:history="1">
        <w:r w:rsidR="00972F22" w:rsidRPr="00B94724">
          <w:rPr>
            <w:rStyle w:val="Hyperlink"/>
          </w:rPr>
          <w:t>https://www.usability.gov/how-to-and-tools/methods/card-sorting.html</w:t>
        </w:r>
      </w:hyperlink>
      <w:r w:rsidR="00972F22">
        <w:t xml:space="preserve">). </w:t>
      </w:r>
      <w:r w:rsidR="003B21CB">
        <w:t xml:space="preserve">The 30 cards selected from the set of 40 </w:t>
      </w:r>
      <w:r w:rsidR="00941B20" w:rsidRPr="00174A9A">
        <w:t xml:space="preserve">are chosen with the intent that they </w:t>
      </w:r>
      <w:r w:rsidR="003B21CB" w:rsidRPr="00174A9A">
        <w:t xml:space="preserve">span the range of variability in </w:t>
      </w:r>
      <w:r w:rsidR="00941B20" w:rsidRPr="00174A9A">
        <w:t xml:space="preserve">potential </w:t>
      </w:r>
      <w:r w:rsidR="003B21CB" w:rsidRPr="00174A9A">
        <w:t>LoC scenarios</w:t>
      </w:r>
      <w:r w:rsidR="00941B20" w:rsidRPr="00174A9A">
        <w:t>, though it is acknowledged in this study that the LoC cards utilized in this project may not represent the universe of LoC scenarios possible</w:t>
      </w:r>
      <w:r w:rsidR="003B21CB" w:rsidRPr="00174A9A">
        <w:t>.</w:t>
      </w:r>
      <w:r w:rsidR="003B21CB">
        <w:t xml:space="preserve"> </w:t>
      </w:r>
      <w:r w:rsidR="008C14D4">
        <w:t>I</w:t>
      </w:r>
      <w:r w:rsidR="008C14D4" w:rsidRPr="007078F3">
        <w:t xml:space="preserve">n order to assess their level of discrimination between the various </w:t>
      </w:r>
      <w:r w:rsidR="008C14D4">
        <w:lastRenderedPageBreak/>
        <w:t>scenarios</w:t>
      </w:r>
      <w:r w:rsidR="008C14D4" w:rsidRPr="007078F3">
        <w:t xml:space="preserve"> and identify the most commonly selected number of categories</w:t>
      </w:r>
      <w:r w:rsidR="008C14D4">
        <w:t>, t</w:t>
      </w:r>
      <w:r w:rsidRPr="007078F3">
        <w:t xml:space="preserve">he number of LoC categories </w:t>
      </w:r>
      <w:r w:rsidR="003B21CB">
        <w:t>is</w:t>
      </w:r>
      <w:r w:rsidR="003B21CB" w:rsidRPr="007078F3">
        <w:t xml:space="preserve"> </w:t>
      </w:r>
      <w:r w:rsidRPr="007078F3">
        <w:t>not</w:t>
      </w:r>
      <w:r w:rsidR="003B21CB">
        <w:t xml:space="preserve"> </w:t>
      </w:r>
      <w:r w:rsidRPr="007078F3">
        <w:t>pre-determined</w:t>
      </w:r>
      <w:r w:rsidR="003B21CB">
        <w:t xml:space="preserve"> and</w:t>
      </w:r>
      <w:r w:rsidRPr="007078F3">
        <w:t xml:space="preserve"> rather left to each </w:t>
      </w:r>
      <w:r w:rsidR="00C659B7">
        <w:t>participant</w:t>
      </w:r>
      <w:r w:rsidR="00C659B7" w:rsidRPr="007078F3">
        <w:t xml:space="preserve"> </w:t>
      </w:r>
      <w:r w:rsidRPr="007078F3">
        <w:t>to decide</w:t>
      </w:r>
      <w:r w:rsidR="003B21CB">
        <w:t>; the maximum number of categories is 10</w:t>
      </w:r>
      <w:r w:rsidR="008C14D4">
        <w:t>.</w:t>
      </w:r>
      <w:r w:rsidRPr="007078F3">
        <w:t xml:space="preserve"> </w:t>
      </w:r>
      <w:r>
        <w:t xml:space="preserve">Each </w:t>
      </w:r>
      <w:r w:rsidR="00C659B7">
        <w:t>participant</w:t>
      </w:r>
      <w:r w:rsidR="00C659B7" w:rsidRPr="007078F3">
        <w:t xml:space="preserve"> </w:t>
      </w:r>
      <w:r>
        <w:t>will do the sorting exercise</w:t>
      </w:r>
      <w:r w:rsidRPr="007078F3">
        <w:t xml:space="preserve"> twice with</w:t>
      </w:r>
      <w:r w:rsidR="005426D6">
        <w:t xml:space="preserve"> an</w:t>
      </w:r>
      <w:r w:rsidRPr="007078F3">
        <w:t xml:space="preserve"> intervening interval</w:t>
      </w:r>
      <w:r w:rsidR="00C659B7">
        <w:t xml:space="preserve"> </w:t>
      </w:r>
      <w:r w:rsidRPr="007078F3">
        <w:t xml:space="preserve">of </w:t>
      </w:r>
      <w:r>
        <w:t>~</w:t>
      </w:r>
      <w:r w:rsidR="007C532F">
        <w:t>2-4</w:t>
      </w:r>
      <w:r w:rsidRPr="007078F3">
        <w:t xml:space="preserve"> weeks</w:t>
      </w:r>
      <w:r>
        <w:t xml:space="preserve"> to </w:t>
      </w:r>
      <w:r w:rsidRPr="003329C9">
        <w:rPr>
          <w:rFonts w:cstheme="minorBidi"/>
        </w:rPr>
        <w:t>evaluate</w:t>
      </w:r>
      <w:r w:rsidR="008C14D4">
        <w:rPr>
          <w:rFonts w:cstheme="minorBidi"/>
        </w:rPr>
        <w:t xml:space="preserve"> the</w:t>
      </w:r>
      <w:r w:rsidRPr="003329C9">
        <w:rPr>
          <w:rFonts w:cstheme="minorBidi"/>
        </w:rPr>
        <w:t xml:space="preserve"> </w:t>
      </w:r>
      <w:r>
        <w:rPr>
          <w:rFonts w:cstheme="minorBidi"/>
        </w:rPr>
        <w:t>r</w:t>
      </w:r>
      <w:r w:rsidRPr="00B82381">
        <w:t xml:space="preserve">eliability </w:t>
      </w:r>
      <w:r>
        <w:t>of</w:t>
      </w:r>
      <w:r w:rsidRPr="00B82381">
        <w:t xml:space="preserve"> </w:t>
      </w:r>
      <w:r>
        <w:t xml:space="preserve">the </w:t>
      </w:r>
      <w:r w:rsidR="00C659B7">
        <w:t>participant</w:t>
      </w:r>
      <w:r w:rsidR="00C659B7" w:rsidRPr="00B82381">
        <w:t>s</w:t>
      </w:r>
      <w:r w:rsidR="00C659B7">
        <w:t>’</w:t>
      </w:r>
      <w:r w:rsidR="00C659B7" w:rsidRPr="00B82381">
        <w:t xml:space="preserve"> </w:t>
      </w:r>
      <w:r w:rsidRPr="00B82381">
        <w:t xml:space="preserve">placement of cards </w:t>
      </w:r>
      <w:r>
        <w:t>in</w:t>
      </w:r>
      <w:r w:rsidRPr="00B82381">
        <w:t xml:space="preserve"> </w:t>
      </w:r>
      <w:r w:rsidR="00F1486B">
        <w:t>T</w:t>
      </w:r>
      <w:r w:rsidRPr="00B82381">
        <w:t>rial 1</w:t>
      </w:r>
      <w:r>
        <w:t>A</w:t>
      </w:r>
      <w:r w:rsidRPr="00B82381">
        <w:t xml:space="preserve"> v</w:t>
      </w:r>
      <w:r>
        <w:t>ersus</w:t>
      </w:r>
      <w:r w:rsidRPr="00B82381">
        <w:t xml:space="preserve"> </w:t>
      </w:r>
      <w:r w:rsidR="00F1486B">
        <w:t>T</w:t>
      </w:r>
      <w:r w:rsidRPr="00B82381">
        <w:t xml:space="preserve">rial </w:t>
      </w:r>
      <w:r>
        <w:t>1B</w:t>
      </w:r>
      <w:r w:rsidRPr="007078F3">
        <w:t xml:space="preserve">. </w:t>
      </w:r>
      <w:r w:rsidR="003B21CB">
        <w:t xml:space="preserve">NTP will use Phase 1 input to </w:t>
      </w:r>
      <w:r w:rsidR="00BD30D3">
        <w:t xml:space="preserve">set </w:t>
      </w:r>
      <w:r w:rsidR="003B21CB">
        <w:t>the number (X levels) of LoC categories for Phase 2.</w:t>
      </w:r>
      <w:r w:rsidR="00590D39">
        <w:t xml:space="preserve"> </w:t>
      </w:r>
    </w:p>
    <w:p w14:paraId="17A288A7" w14:textId="4F64A197" w:rsidR="00282A6B" w:rsidRDefault="00431D2A" w:rsidP="00974712">
      <w:r>
        <w:t xml:space="preserve">The goals of Phase 2 are to select </w:t>
      </w:r>
      <w:r w:rsidR="002A77F8">
        <w:t>labels</w:t>
      </w:r>
      <w:r>
        <w:t xml:space="preserve"> for each of the </w:t>
      </w:r>
      <w:r w:rsidR="00941855">
        <w:t>X-level LoC categories</w:t>
      </w:r>
      <w:r>
        <w:t xml:space="preserve">, determine the </w:t>
      </w:r>
      <w:r w:rsidR="00BD30D3">
        <w:t xml:space="preserve">self-reported </w:t>
      </w:r>
      <w:r w:rsidR="00B07071">
        <w:t xml:space="preserve">confidence and </w:t>
      </w:r>
      <w:r>
        <w:t>reliability of card assignments to the categories</w:t>
      </w:r>
      <w:r w:rsidR="00664738">
        <w:t>,</w:t>
      </w:r>
      <w:r>
        <w:t xml:space="preserve"> and evaluate factors contributing to classification of cards into categories. </w:t>
      </w:r>
      <w:r w:rsidRPr="00974712">
        <w:t xml:space="preserve"> </w:t>
      </w:r>
      <w:r w:rsidR="009F188F" w:rsidRPr="00974712">
        <w:t>Phase 2</w:t>
      </w:r>
      <w:r w:rsidR="00F74788">
        <w:t xml:space="preserve"> will have two trials, C and D, </w:t>
      </w:r>
      <w:r w:rsidR="00972F22">
        <w:t xml:space="preserve">and participants in Phase 2 will conduct a closed card sort, in which the number of LoC categories is fixed at X as established in Phase 1. This second </w:t>
      </w:r>
      <w:r w:rsidR="009F188F" w:rsidRPr="00974712">
        <w:t xml:space="preserve">group of 100 participants </w:t>
      </w:r>
      <w:r w:rsidR="00B07071">
        <w:t xml:space="preserve">will </w:t>
      </w:r>
      <w:r w:rsidR="009F188F" w:rsidRPr="00974712">
        <w:t xml:space="preserve">sort </w:t>
      </w:r>
      <w:r w:rsidR="00995148">
        <w:t>4</w:t>
      </w:r>
      <w:r w:rsidR="009F188F" w:rsidRPr="00974712">
        <w:t>0 cards</w:t>
      </w:r>
      <w:r w:rsidR="003B21CB">
        <w:t xml:space="preserve"> into the</w:t>
      </w:r>
      <w:r w:rsidR="009F188F" w:rsidRPr="00974712">
        <w:t xml:space="preserve"> X-level LoC categories</w:t>
      </w:r>
      <w:r w:rsidR="003B21CB">
        <w:t xml:space="preserve"> </w:t>
      </w:r>
      <w:r>
        <w:t>determined from Phase 1</w:t>
      </w:r>
      <w:r w:rsidR="009F188F" w:rsidRPr="00974712">
        <w:t xml:space="preserve">. </w:t>
      </w:r>
      <w:r w:rsidR="000562EB">
        <w:t>Each of the 100 participants from Phase 2</w:t>
      </w:r>
      <w:r w:rsidR="000562EB" w:rsidRPr="007078F3">
        <w:t xml:space="preserve"> </w:t>
      </w:r>
      <w:r w:rsidR="000562EB">
        <w:t>will do the sorting exercise</w:t>
      </w:r>
      <w:r w:rsidR="000562EB" w:rsidRPr="007078F3">
        <w:t xml:space="preserve"> twice with</w:t>
      </w:r>
      <w:r w:rsidR="000562EB">
        <w:t xml:space="preserve"> an</w:t>
      </w:r>
      <w:r w:rsidR="000562EB" w:rsidRPr="007078F3">
        <w:t xml:space="preserve"> intervening interval</w:t>
      </w:r>
      <w:r w:rsidR="000562EB">
        <w:t xml:space="preserve"> </w:t>
      </w:r>
      <w:r w:rsidR="000562EB" w:rsidRPr="007078F3">
        <w:t xml:space="preserve">of </w:t>
      </w:r>
      <w:r w:rsidR="000562EB">
        <w:t>~2-4</w:t>
      </w:r>
      <w:r w:rsidR="000562EB" w:rsidRPr="007078F3">
        <w:t xml:space="preserve"> weeks</w:t>
      </w:r>
      <w:r w:rsidR="000562EB">
        <w:t xml:space="preserve"> to </w:t>
      </w:r>
      <w:r w:rsidR="000562EB" w:rsidRPr="003329C9">
        <w:rPr>
          <w:rFonts w:cstheme="minorBidi"/>
        </w:rPr>
        <w:t>evaluate</w:t>
      </w:r>
      <w:r w:rsidR="000562EB">
        <w:rPr>
          <w:rFonts w:cstheme="minorBidi"/>
        </w:rPr>
        <w:t xml:space="preserve"> the</w:t>
      </w:r>
      <w:r w:rsidR="000562EB" w:rsidRPr="003329C9">
        <w:rPr>
          <w:rFonts w:cstheme="minorBidi"/>
        </w:rPr>
        <w:t xml:space="preserve"> </w:t>
      </w:r>
      <w:r w:rsidR="000562EB">
        <w:rPr>
          <w:rFonts w:cstheme="minorBidi"/>
        </w:rPr>
        <w:t>r</w:t>
      </w:r>
      <w:r w:rsidR="000562EB" w:rsidRPr="00B82381">
        <w:t xml:space="preserve">eliability </w:t>
      </w:r>
      <w:r w:rsidR="000562EB">
        <w:t>of</w:t>
      </w:r>
      <w:r w:rsidR="000562EB" w:rsidRPr="00B82381">
        <w:t xml:space="preserve"> </w:t>
      </w:r>
      <w:r w:rsidR="000562EB">
        <w:t>the participant</w:t>
      </w:r>
      <w:r w:rsidR="000562EB" w:rsidRPr="00B82381">
        <w:t>s</w:t>
      </w:r>
      <w:r w:rsidR="000562EB">
        <w:t>’</w:t>
      </w:r>
      <w:r w:rsidR="000562EB" w:rsidRPr="00B82381">
        <w:t xml:space="preserve"> placement of cards </w:t>
      </w:r>
      <w:r w:rsidR="000562EB">
        <w:t>in</w:t>
      </w:r>
      <w:r w:rsidR="000562EB" w:rsidRPr="00B82381">
        <w:t xml:space="preserve"> </w:t>
      </w:r>
      <w:r w:rsidR="000562EB">
        <w:t>T</w:t>
      </w:r>
      <w:r w:rsidR="000562EB" w:rsidRPr="00B82381">
        <w:t xml:space="preserve">rial </w:t>
      </w:r>
      <w:r w:rsidR="000562EB">
        <w:t xml:space="preserve">2C </w:t>
      </w:r>
      <w:r w:rsidR="000562EB" w:rsidRPr="00B82381">
        <w:t>v</w:t>
      </w:r>
      <w:r w:rsidR="000562EB">
        <w:t>ersus</w:t>
      </w:r>
      <w:r w:rsidR="000562EB" w:rsidRPr="00B82381">
        <w:t xml:space="preserve"> </w:t>
      </w:r>
      <w:r w:rsidR="000562EB">
        <w:t>T</w:t>
      </w:r>
      <w:r w:rsidR="000562EB" w:rsidRPr="00B82381">
        <w:t xml:space="preserve">rial </w:t>
      </w:r>
      <w:r w:rsidR="000562EB">
        <w:t>2D</w:t>
      </w:r>
      <w:r w:rsidR="000562EB" w:rsidRPr="007078F3">
        <w:t>.</w:t>
      </w:r>
      <w:r w:rsidR="000562EB">
        <w:t xml:space="preserve"> </w:t>
      </w:r>
      <w:r w:rsidR="000C23A2">
        <w:t xml:space="preserve">The additional 10 cards will be designed to test discrimination between juxtapositioned categories. </w:t>
      </w:r>
      <w:r w:rsidR="003B21CB">
        <w:t>T</w:t>
      </w:r>
      <w:r w:rsidR="009F188F" w:rsidRPr="00974712">
        <w:t xml:space="preserve">he group for Phase 2 will include </w:t>
      </w:r>
      <w:r w:rsidR="000562EB">
        <w:t>60</w:t>
      </w:r>
      <w:r w:rsidR="00BD30D3">
        <w:t xml:space="preserve"> </w:t>
      </w:r>
      <w:r w:rsidR="009F188F" w:rsidRPr="00974712">
        <w:t>n</w:t>
      </w:r>
      <w:r w:rsidR="009F188F" w:rsidRPr="00D079AE">
        <w:t>ew participants and</w:t>
      </w:r>
      <w:r w:rsidR="00BD30D3">
        <w:t xml:space="preserve"> </w:t>
      </w:r>
      <w:r w:rsidR="000562EB">
        <w:t>40</w:t>
      </w:r>
      <w:r w:rsidR="009F188F" w:rsidRPr="00D079AE">
        <w:t xml:space="preserve"> repeat participants. The subset of repeat participants from Phase 1 </w:t>
      </w:r>
      <w:r w:rsidR="000562EB">
        <w:t xml:space="preserve">(4) </w:t>
      </w:r>
      <w:r w:rsidR="009F188F" w:rsidRPr="00D079AE">
        <w:t xml:space="preserve">will include equal </w:t>
      </w:r>
      <w:r w:rsidR="00D079AE">
        <w:t>proportions</w:t>
      </w:r>
      <w:r w:rsidR="009F188F" w:rsidRPr="00D079AE">
        <w:t xml:space="preserve"> of experts, randomly selected, who placed cards into (1) the designated number</w:t>
      </w:r>
      <w:r w:rsidR="00D079AE">
        <w:t xml:space="preserve"> (X-level)</w:t>
      </w:r>
      <w:r w:rsidR="009F188F" w:rsidRPr="00D079AE">
        <w:t xml:space="preserve"> of categories for Phase 2, (2) fewer categories, and (3) more categories</w:t>
      </w:r>
      <w:r w:rsidR="009F188F">
        <w:t xml:space="preserve">. </w:t>
      </w:r>
      <w:r w:rsidR="009F188F" w:rsidRPr="000A7585">
        <w:t xml:space="preserve">For example, if we decide to </w:t>
      </w:r>
      <w:r w:rsidR="00B80CB8">
        <w:t>have</w:t>
      </w:r>
      <w:r w:rsidR="009F188F" w:rsidRPr="000A7585">
        <w:t xml:space="preserve"> 4 </w:t>
      </w:r>
      <w:r w:rsidR="00B80CB8">
        <w:t xml:space="preserve">LoC </w:t>
      </w:r>
      <w:r w:rsidR="009F188F" w:rsidRPr="000A7585">
        <w:t>categories, we would use equal</w:t>
      </w:r>
      <w:r w:rsidR="009F188F">
        <w:t xml:space="preserve"> </w:t>
      </w:r>
      <w:r w:rsidR="00D079AE">
        <w:t>proportions</w:t>
      </w:r>
      <w:r w:rsidR="009F188F">
        <w:t xml:space="preserve"> of repeat</w:t>
      </w:r>
      <w:r w:rsidR="009F188F" w:rsidRPr="000A7585">
        <w:t xml:space="preserve"> </w:t>
      </w:r>
      <w:r w:rsidR="009F188F">
        <w:t>participants</w:t>
      </w:r>
      <w:r w:rsidR="009F188F" w:rsidRPr="000A7585">
        <w:t xml:space="preserve"> who used </w:t>
      </w:r>
      <w:r w:rsidR="00EE3EDB">
        <w:t>&lt;4</w:t>
      </w:r>
      <w:r w:rsidR="009F188F" w:rsidRPr="000A7585">
        <w:t>, 4</w:t>
      </w:r>
      <w:r w:rsidR="009F188F">
        <w:t>,</w:t>
      </w:r>
      <w:r w:rsidR="009F188F" w:rsidRPr="000A7585">
        <w:t xml:space="preserve"> and </w:t>
      </w:r>
      <w:r w:rsidR="00EE3EDB">
        <w:t>&gt;4</w:t>
      </w:r>
      <w:r w:rsidR="00EE3EDB" w:rsidRPr="000A7585">
        <w:t xml:space="preserve"> </w:t>
      </w:r>
      <w:r w:rsidR="009F188F" w:rsidRPr="000A7585">
        <w:t>categories in Phase 1.</w:t>
      </w:r>
    </w:p>
    <w:p w14:paraId="36375413" w14:textId="6297ED0E" w:rsidR="009F188F" w:rsidRDefault="00B07071" w:rsidP="00974712">
      <w:r>
        <w:t>In Phase 2, Trial C, NTP will</w:t>
      </w:r>
      <w:r w:rsidR="000562EB">
        <w:t xml:space="preserve"> also</w:t>
      </w:r>
      <w:r>
        <w:t xml:space="preserve"> ask participants to propose suitable names for each new X-</w:t>
      </w:r>
      <w:r w:rsidR="000562EB">
        <w:t xml:space="preserve">level </w:t>
      </w:r>
      <w:r>
        <w:t xml:space="preserve">LoC category; the consensus category labels will be used in Trial D. </w:t>
      </w:r>
      <w:r w:rsidR="000562EB">
        <w:t xml:space="preserve">NTP will not define the lexicon used by participants for labeling the categories. NTP will consider all proposed labels and work with its risk communication advisors to narrow the list of proposed names toward a set of category labels. If needed, NTP will convene an external stakeholder panel in a public forum to obtain input on the label set. </w:t>
      </w:r>
      <w:r w:rsidR="003B21CB">
        <w:t>In addition to sorting the LoC cards</w:t>
      </w:r>
      <w:r w:rsidR="00590D39">
        <w:t xml:space="preserve"> into X-levels</w:t>
      </w:r>
      <w:r w:rsidR="003B21CB">
        <w:t>, p</w:t>
      </w:r>
      <w:r w:rsidR="00EE3EDB">
        <w:t xml:space="preserve">articipants </w:t>
      </w:r>
      <w:r w:rsidR="00B80CB8">
        <w:t>in Phase 2</w:t>
      </w:r>
      <w:r w:rsidR="003B21CB">
        <w:t>, Trial</w:t>
      </w:r>
      <w:r>
        <w:t>s</w:t>
      </w:r>
      <w:r w:rsidR="003B21CB">
        <w:t xml:space="preserve"> C</w:t>
      </w:r>
      <w:r w:rsidR="00B80CB8">
        <w:t xml:space="preserve"> </w:t>
      </w:r>
      <w:r>
        <w:t xml:space="preserve">and D </w:t>
      </w:r>
      <w:r w:rsidR="009F188F">
        <w:t xml:space="preserve">will be asked to identify </w:t>
      </w:r>
      <w:r w:rsidR="003B21CB">
        <w:t xml:space="preserve">and rank order </w:t>
      </w:r>
      <w:r w:rsidR="009F188F">
        <w:t xml:space="preserve">the scenario factor(s) </w:t>
      </w:r>
      <w:r w:rsidR="003B21CB">
        <w:t>(</w:t>
      </w:r>
      <w:r w:rsidR="00590D39">
        <w:t xml:space="preserve">hazard category, human evidence, animal evidence, </w:t>
      </w:r>
      <w:r w:rsidR="00590D39">
        <w:lastRenderedPageBreak/>
        <w:t xml:space="preserve">mechanistic/other evidence, exposure description, and population group for concern) </w:t>
      </w:r>
      <w:r w:rsidR="009F188F">
        <w:t xml:space="preserve">that most influenced </w:t>
      </w:r>
      <w:r w:rsidR="00F1486B">
        <w:t xml:space="preserve">their </w:t>
      </w:r>
      <w:r w:rsidR="009F188F">
        <w:t xml:space="preserve">selection of the LoC category and rate their confidence in that category </w:t>
      </w:r>
      <w:r w:rsidR="009F188F" w:rsidRPr="00881D32">
        <w:rPr>
          <w:szCs w:val="22"/>
        </w:rPr>
        <w:t>selection</w:t>
      </w:r>
      <w:r w:rsidR="00590D39">
        <w:rPr>
          <w:szCs w:val="22"/>
        </w:rPr>
        <w:t xml:space="preserve"> using a 7-point scale </w:t>
      </w:r>
      <w:r w:rsidR="00590D39">
        <w:t>(1 = “not confident” to 7 = “highly confident”)</w:t>
      </w:r>
      <w:r w:rsidR="009F188F">
        <w:t xml:space="preserve">. </w:t>
      </w:r>
      <w:r w:rsidR="003B21CB">
        <w:t xml:space="preserve">NTP will use the Phase </w:t>
      </w:r>
      <w:r w:rsidR="00590D39">
        <w:t>2, Trial</w:t>
      </w:r>
      <w:r>
        <w:t>s</w:t>
      </w:r>
      <w:r w:rsidR="00590D39">
        <w:t xml:space="preserve"> C</w:t>
      </w:r>
      <w:r>
        <w:t xml:space="preserve"> and D</w:t>
      </w:r>
      <w:r w:rsidR="003B21CB">
        <w:t xml:space="preserve"> </w:t>
      </w:r>
      <w:r>
        <w:t>responses</w:t>
      </w:r>
      <w:r w:rsidR="003B21CB">
        <w:t xml:space="preserve"> to determine which LoC </w:t>
      </w:r>
      <w:r w:rsidR="00590D39">
        <w:t>factors</w:t>
      </w:r>
      <w:r w:rsidR="003B21CB">
        <w:t xml:space="preserve"> most contributed to participants placing LoC scenarios into upper, lower, and in-between categories</w:t>
      </w:r>
      <w:r w:rsidR="00590D39">
        <w:t xml:space="preserve"> and their rating-of-confidence opinions.</w:t>
      </w:r>
      <w:r w:rsidR="00414379">
        <w:t xml:space="preserve"> We will also examine the </w:t>
      </w:r>
      <w:r>
        <w:t xml:space="preserve">Trial D </w:t>
      </w:r>
      <w:r w:rsidR="00414379">
        <w:t xml:space="preserve">responses based on expert sector </w:t>
      </w:r>
      <w:r w:rsidR="00414379" w:rsidRPr="001A2088">
        <w:t>(e.g., federal and state governments, academia, industry, non-profit organizations)</w:t>
      </w:r>
      <w:r w:rsidR="00414379">
        <w:t>.</w:t>
      </w:r>
    </w:p>
    <w:p w14:paraId="03A1280F" w14:textId="51AEE106" w:rsidR="009F188F" w:rsidRDefault="00E72F41" w:rsidP="000562EB">
      <w:r>
        <w:t xml:space="preserve">For Phase 1, </w:t>
      </w:r>
      <w:r w:rsidR="006B4BC6">
        <w:t xml:space="preserve">the </w:t>
      </w:r>
      <w:r w:rsidR="009F188F">
        <w:t xml:space="preserve">analysis will include calculating the mean, median, and modal number of LoC categories in Phase 1, Trials A and B to determine the number of LoC categories </w:t>
      </w:r>
      <w:r w:rsidR="00414379">
        <w:t xml:space="preserve">(X-levels) </w:t>
      </w:r>
      <w:r w:rsidR="009F188F">
        <w:t>to use in Phase 2.</w:t>
      </w:r>
      <w:r>
        <w:t xml:space="preserve"> To assess reliability of the number of LoC categories that participants propose, paired t-tests (or Wilcoxon signed ranks tests or kappa statistics for agreement, if nonparametric methods are warranted) will be used. The specific test selected will depend on the range and distribution of the number of categories selected by the 100 participants. The number of categories will be judged reliable if there is no significant change between Trial A and Trial B at significance level 0.05.</w:t>
      </w:r>
      <w:r w:rsidR="000562EB">
        <w:t xml:space="preserve"> If the number of categories selected in Phase 1 is not judged reliable, the Trial B result will be used for Phase 2, because it is assumed that the participants are more experienced with sorting on their second trial than on their first.</w:t>
      </w:r>
      <w:r w:rsidR="000562EB" w:rsidDel="000562EB">
        <w:rPr>
          <w:rStyle w:val="CommentReference"/>
        </w:rPr>
        <w:t xml:space="preserve"> </w:t>
      </w:r>
    </w:p>
    <w:p w14:paraId="588A820B" w14:textId="7E56B324" w:rsidR="009F188F" w:rsidRPr="00692B96" w:rsidRDefault="00414379" w:rsidP="000562EB">
      <w:r>
        <w:t>R</w:t>
      </w:r>
      <w:r w:rsidR="009F188F">
        <w:t xml:space="preserve">esponses of </w:t>
      </w:r>
      <w:r w:rsidR="00EE3EDB">
        <w:t xml:space="preserve">participants </w:t>
      </w:r>
      <w:r>
        <w:t xml:space="preserve">in Phase 2, Trial C </w:t>
      </w:r>
      <w:r w:rsidR="009F188F">
        <w:t xml:space="preserve">will </w:t>
      </w:r>
      <w:r w:rsidR="00590D39">
        <w:t>be used to identify suitable labels for the X-level LoC categories</w:t>
      </w:r>
      <w:r w:rsidR="00EB0E70">
        <w:t>, based on majority nominations</w:t>
      </w:r>
      <w:r w:rsidR="00590D39">
        <w:t xml:space="preserve">. </w:t>
      </w:r>
      <w:r w:rsidR="00F23E50">
        <w:t xml:space="preserve">The reliability of card assignments to LoC categories in Trials C and D will be assessed several ways, including </w:t>
      </w:r>
      <w:r w:rsidR="009F188F">
        <w:t xml:space="preserve">(1) </w:t>
      </w:r>
      <w:r w:rsidR="00F23E50">
        <w:t xml:space="preserve">determining, for each card, the percentages of participants placing it within each of the LoC categories within each Trial, (2) </w:t>
      </w:r>
      <w:r w:rsidR="00F65F63">
        <w:t xml:space="preserve">for each card, </w:t>
      </w:r>
      <w:r w:rsidR="00F23E50">
        <w:t xml:space="preserve">evaluating </w:t>
      </w:r>
      <w:r w:rsidR="00941855">
        <w:t xml:space="preserve">a </w:t>
      </w:r>
      <w:r w:rsidR="00F23E50">
        <w:t>participant</w:t>
      </w:r>
      <w:r w:rsidR="00941855">
        <w:t>’s</w:t>
      </w:r>
      <w:r w:rsidR="00F23E50">
        <w:t xml:space="preserve"> agreement</w:t>
      </w:r>
      <w:r w:rsidR="00F65F63">
        <w:t xml:space="preserve"> of category placement</w:t>
      </w:r>
      <w:r w:rsidR="00F23E50">
        <w:t xml:space="preserve"> between Trials C and D using kappa statistics and McNemar’s chi-square test,</w:t>
      </w:r>
      <w:r w:rsidR="009F188F" w:rsidRPr="00284BEC">
        <w:t xml:space="preserve"> and (</w:t>
      </w:r>
      <w:r w:rsidR="00F23E50">
        <w:t>3</w:t>
      </w:r>
      <w:r w:rsidR="009F188F" w:rsidRPr="00284BEC">
        <w:t xml:space="preserve">) </w:t>
      </w:r>
      <w:r w:rsidR="00F23E50">
        <w:t xml:space="preserve">judging </w:t>
      </w:r>
      <w:r w:rsidR="009F188F" w:rsidRPr="00284BEC">
        <w:t xml:space="preserve">the concordance of </w:t>
      </w:r>
      <w:r w:rsidR="00941855">
        <w:t>LoC</w:t>
      </w:r>
      <w:r w:rsidR="00941855" w:rsidRPr="00284BEC">
        <w:t xml:space="preserve"> </w:t>
      </w:r>
      <w:r w:rsidR="00F23E50">
        <w:t>card</w:t>
      </w:r>
      <w:r w:rsidR="00941855">
        <w:t>s’</w:t>
      </w:r>
      <w:r w:rsidR="00F65F63">
        <w:t xml:space="preserve"> </w:t>
      </w:r>
      <w:r w:rsidR="009F188F" w:rsidRPr="00284BEC">
        <w:t>rank orderings</w:t>
      </w:r>
      <w:r w:rsidR="00590D39">
        <w:t xml:space="preserve"> </w:t>
      </w:r>
      <w:r w:rsidR="00F23E50">
        <w:t xml:space="preserve">between Trials C and D </w:t>
      </w:r>
      <w:r w:rsidR="00590D39">
        <w:t>to determine the consistency of categorization of LoC scenarios</w:t>
      </w:r>
      <w:r w:rsidR="00F23E50">
        <w:t>, using Kendall’s tau correlation</w:t>
      </w:r>
      <w:r w:rsidR="00FC661F">
        <w:t xml:space="preserve"> coefficients</w:t>
      </w:r>
      <w:r w:rsidR="00633700">
        <w:t xml:space="preserve"> or a contingency table measure of association, depending on the number of X-level</w:t>
      </w:r>
      <w:r w:rsidR="00A8284A">
        <w:t xml:space="preserve"> categorie</w:t>
      </w:r>
      <w:r w:rsidR="00633700">
        <w:t>s selected in Phase 1</w:t>
      </w:r>
      <w:r w:rsidR="009F188F" w:rsidRPr="00284BEC">
        <w:t xml:space="preserve">. </w:t>
      </w:r>
      <w:r w:rsidR="00D079AE">
        <w:t>Analysis of variance and s</w:t>
      </w:r>
      <w:r w:rsidR="009F188F">
        <w:t xml:space="preserve">tep-wise </w:t>
      </w:r>
      <w:r w:rsidR="009F188F" w:rsidRPr="00D079AE">
        <w:t>regression analysis</w:t>
      </w:r>
      <w:r w:rsidR="009F188F">
        <w:t xml:space="preserve"> will be conducted to determine which LoC scenario </w:t>
      </w:r>
      <w:r w:rsidR="00590D39">
        <w:t>factors (</w:t>
      </w:r>
      <w:r w:rsidR="009F188F" w:rsidRPr="000C59FE">
        <w:t xml:space="preserve">e.g., </w:t>
      </w:r>
      <w:r w:rsidR="00590D39">
        <w:t xml:space="preserve">hazard category, human evidence, animal </w:t>
      </w:r>
      <w:r w:rsidR="00590D39">
        <w:lastRenderedPageBreak/>
        <w:t>evidence, mechanistic/other evidence, exposure description, and population group for concern)</w:t>
      </w:r>
      <w:r w:rsidR="009F188F">
        <w:t xml:space="preserve"> most contributed to the </w:t>
      </w:r>
      <w:r w:rsidR="00EE3EDB">
        <w:t xml:space="preserve">participants’ </w:t>
      </w:r>
      <w:r>
        <w:t xml:space="preserve">sorting </w:t>
      </w:r>
      <w:r w:rsidR="009F188F">
        <w:t xml:space="preserve">individual scenarios into the new X-level categories. We will also </w:t>
      </w:r>
      <w:r w:rsidR="00EE4514">
        <w:t xml:space="preserve">use analysis of variance to </w:t>
      </w:r>
      <w:r w:rsidR="009F188F">
        <w:t>analyze</w:t>
      </w:r>
      <w:r w:rsidR="009F188F" w:rsidRPr="005932CD">
        <w:t xml:space="preserve"> </w:t>
      </w:r>
      <w:r w:rsidR="009F188F">
        <w:t>LoC rating</w:t>
      </w:r>
      <w:r w:rsidR="00B80CB8">
        <w:t>-of-confidence</w:t>
      </w:r>
      <w:r w:rsidR="009F188F">
        <w:t xml:space="preserve"> opinions</w:t>
      </w:r>
      <w:r w:rsidR="009F188F" w:rsidRPr="006B6E48">
        <w:t xml:space="preserve"> based on expert sector (e.g., federal and state governments, academia, industry, non-profit organizations).</w:t>
      </w:r>
      <w:r w:rsidR="00590D39">
        <w:t xml:space="preserve"> </w:t>
      </w:r>
    </w:p>
    <w:p w14:paraId="54ABBB7C" w14:textId="6AC77015" w:rsidR="009F188F" w:rsidRDefault="009F188F" w:rsidP="00BA4EC3">
      <w:pPr>
        <w:pStyle w:val="Heading3"/>
        <w:ind w:left="1260" w:hanging="540"/>
      </w:pPr>
      <w:bookmarkStart w:id="5" w:name="_Toc129590328"/>
      <w:bookmarkStart w:id="6" w:name="_Toc129668570"/>
      <w:bookmarkStart w:id="7" w:name="_Toc313191780"/>
      <w:r>
        <w:t xml:space="preserve">B.3. </w:t>
      </w:r>
      <w:r w:rsidR="00BA4EC3">
        <w:tab/>
      </w:r>
      <w:r>
        <w:t>Methods to Maximize Response Rates and Deal with Nonresponse</w:t>
      </w:r>
      <w:bookmarkEnd w:id="5"/>
      <w:bookmarkEnd w:id="6"/>
      <w:bookmarkEnd w:id="7"/>
    </w:p>
    <w:p w14:paraId="5B445591" w14:textId="203E8DF2" w:rsidR="006E6839" w:rsidRPr="001D040C" w:rsidRDefault="009F188F" w:rsidP="000562EB">
      <w:r w:rsidRPr="00974712">
        <w:t xml:space="preserve">Since we are targeting stakeholder groups from sectors that </w:t>
      </w:r>
      <w:r w:rsidR="00B80CB8" w:rsidRPr="00974712">
        <w:t xml:space="preserve">have </w:t>
      </w:r>
      <w:r w:rsidRPr="00974712">
        <w:t>previously used LoC conclusions from NTP literature-based evaluations, are familiar with NTP and its research and analysis activities, and/or are familiar with the conduct, analysis, interpretation, and use of data from environmental health hazard assessments</w:t>
      </w:r>
      <w:r w:rsidR="00246638">
        <w:t>,</w:t>
      </w:r>
      <w:r w:rsidRPr="00974712">
        <w:t xml:space="preserve"> </w:t>
      </w:r>
      <w:r w:rsidRPr="0051745F">
        <w:t xml:space="preserve">we </w:t>
      </w:r>
      <w:r w:rsidR="00C37467" w:rsidRPr="0051745F">
        <w:t xml:space="preserve">hope to receive </w:t>
      </w:r>
      <w:r w:rsidRPr="0051745F">
        <w:t>a high response rate</w:t>
      </w:r>
      <w:r w:rsidR="000562EB" w:rsidRPr="0051745F">
        <w:t xml:space="preserve"> rate (~80%).</w:t>
      </w:r>
      <w:r w:rsidR="000562EB">
        <w:t xml:space="preserve"> We are taking several actions to maximize the response rate. Pre-survey targeted advertisement has been shown to spur interest and improve response rates</w:t>
      </w:r>
      <w:r w:rsidR="00D07314">
        <w:t xml:space="preserve"> </w:t>
      </w:r>
      <w:r w:rsidR="00D07314">
        <w:fldChar w:fldCharType="begin">
          <w:fldData xml:space="preserve">PEVuZE5vdGU+PENpdGU+PEF1dGhvcj5EYWwgR3JhbmRlPC9BdXRob3I+PFllYXI+MjAxNjwvWWVh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</w:fldData>
        </w:fldChar>
      </w:r>
      <w:r w:rsidR="00D07314">
        <w:instrText xml:space="preserve"> ADDIN EN.CITE </w:instrText>
      </w:r>
      <w:r w:rsidR="00D07314">
        <w:fldChar w:fldCharType="begin">
          <w:fldData xml:space="preserve">PEVuZE5vdGU+PENpdGU+PEF1dGhvcj5EYWwgR3JhbmRlPC9BdXRob3I+PFllYXI+MjAxNjwvWWVh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</w:fldData>
        </w:fldChar>
      </w:r>
      <w:r w:rsidR="00D07314">
        <w:instrText xml:space="preserve"> ADDIN EN.CITE.DATA </w:instrText>
      </w:r>
      <w:r w:rsidR="00D07314">
        <w:fldChar w:fldCharType="end"/>
      </w:r>
      <w:r w:rsidR="00D07314">
        <w:fldChar w:fldCharType="separate"/>
      </w:r>
      <w:r w:rsidR="00D07314">
        <w:rPr>
          <w:noProof/>
        </w:rPr>
        <w:t>(Dal Grande et al. 2016; Dillman DA et al. 2014)</w:t>
      </w:r>
      <w:r w:rsidR="00D07314">
        <w:fldChar w:fldCharType="end"/>
      </w:r>
      <w:r w:rsidR="000562EB">
        <w:t>)</w:t>
      </w:r>
      <w:r w:rsidRPr="00974712">
        <w:t xml:space="preserve">. </w:t>
      </w:r>
      <w:r w:rsidR="000562EB">
        <w:t xml:space="preserve">In addition, we plan to send out email reminders to participants approximately one week and two weeks after they have been granted access to each trial. In anticipation of a possible 20% non-response rate, we plan to </w:t>
      </w:r>
      <w:r w:rsidR="00C37467">
        <w:t xml:space="preserve"> recruit an additional </w:t>
      </w:r>
      <w:r w:rsidR="000562EB">
        <w:t xml:space="preserve">25 participants from each sector (total 125), with the goal of obtaining 20 responses from each sector (total 100). </w:t>
      </w:r>
      <w:r w:rsidR="000562EB" w:rsidDel="000562EB">
        <w:rPr>
          <w:rStyle w:val="CommentReference"/>
        </w:rPr>
        <w:t xml:space="preserve"> </w:t>
      </w:r>
      <w:r w:rsidRPr="00974712">
        <w:t xml:space="preserve">Among proposed participants </w:t>
      </w:r>
      <w:r w:rsidR="004F79BE">
        <w:t>will be</w:t>
      </w:r>
      <w:r w:rsidRPr="00974712">
        <w:t xml:space="preserve"> scientists who previously </w:t>
      </w:r>
      <w:r w:rsidR="006E6839">
        <w:t>served on an NTP advisory group</w:t>
      </w:r>
      <w:r w:rsidR="009E1AC3">
        <w:t>, including representatives of academia, industry, and state government,</w:t>
      </w:r>
      <w:r w:rsidRPr="00974712">
        <w:t xml:space="preserve"> or are from a federal agency represented</w:t>
      </w:r>
      <w:r>
        <w:t xml:space="preserve"> on the NTP Executive Committee.</w:t>
      </w:r>
      <w:r w:rsidR="00246638">
        <w:rPr>
          <w:rStyle w:val="FootnoteReference"/>
        </w:rPr>
        <w:footnoteReference w:id="1"/>
      </w:r>
      <w:r>
        <w:t xml:space="preserve"> </w:t>
      </w:r>
      <w:r w:rsidR="000562EB">
        <w:t>We plan to recruit for Phases 1 and 2, and will add the list of non-selected registrants from Phase 1 to the pool of experts who enroll for Phase 2.</w:t>
      </w:r>
    </w:p>
    <w:p w14:paraId="67938D7D" w14:textId="0BB82995" w:rsidR="009F188F" w:rsidRPr="000562EB" w:rsidRDefault="009F188F" w:rsidP="000562EB">
      <w:pPr>
        <w:pStyle w:val="BodyTextIndent3"/>
        <w:ind w:left="0" w:firstLine="720"/>
        <w:rPr>
          <w:rFonts w:ascii="Calibri" w:hAnsi="Calibri"/>
          <w:szCs w:val="22"/>
        </w:rPr>
      </w:pPr>
      <w:r>
        <w:t xml:space="preserve">We believe that using targeted advertisement for recruitment of participants will enable us to readily </w:t>
      </w:r>
      <w:r w:rsidR="00246638">
        <w:t>communicate</w:t>
      </w:r>
      <w:r>
        <w:t xml:space="preserve"> information about this project to potentially interested </w:t>
      </w:r>
      <w:r w:rsidR="004F79BE">
        <w:t>experts</w:t>
      </w:r>
      <w:r>
        <w:t xml:space="preserve">. We believe that the pool of toxicologists, epidemiologists, and individuals engaged in </w:t>
      </w:r>
      <w:r w:rsidRPr="00636A83">
        <w:t>risk assessment</w:t>
      </w:r>
      <w:r>
        <w:t xml:space="preserve">, who would meet the eligibility requirements of education and work experience, is more than sufficient to </w:t>
      </w:r>
      <w:r w:rsidR="004F79BE">
        <w:t xml:space="preserve">provide a pool of candidates to </w:t>
      </w:r>
      <w:r>
        <w:t xml:space="preserve">fill our need for approximately 160 participants (~32 from each of the </w:t>
      </w:r>
      <w:r w:rsidR="00246638">
        <w:t>five</w:t>
      </w:r>
      <w:r>
        <w:t xml:space="preserve"> stakeholder </w:t>
      </w:r>
      <w:r>
        <w:lastRenderedPageBreak/>
        <w:t xml:space="preserve">sectors). While we hope to obtain similar numbers of scientists from each of the three specialties across the </w:t>
      </w:r>
      <w:r w:rsidR="00246638">
        <w:t>five</w:t>
      </w:r>
      <w:r>
        <w:t xml:space="preserve"> sectors, it is not required. </w:t>
      </w:r>
      <w:r w:rsidR="000562EB" w:rsidRPr="008625C2">
        <w:t>To ensure broad and diverse recruitment for th</w:t>
      </w:r>
      <w:r w:rsidR="000562EB">
        <w:t>is</w:t>
      </w:r>
      <w:r w:rsidR="000562EB" w:rsidRPr="008625C2">
        <w:t xml:space="preserve"> study, we will send recruitment information to professional societies such as the Society of Toxicology (membership 6,500)</w:t>
      </w:r>
      <w:r w:rsidR="000562EB">
        <w:t>, International Society of Environmental Epidemiology (membership 800),</w:t>
      </w:r>
      <w:r w:rsidR="000562EB" w:rsidRPr="008625C2">
        <w:t xml:space="preserve"> American Public Health Association (membership 25,000)</w:t>
      </w:r>
      <w:r w:rsidR="000562EB">
        <w:t xml:space="preserve"> and Association of Occupational and Environmental Medicine (250 members)</w:t>
      </w:r>
      <w:r w:rsidR="000562EB" w:rsidRPr="008625C2">
        <w:t xml:space="preserve">; contacts at all 50 </w:t>
      </w:r>
      <w:r w:rsidR="000562EB">
        <w:t xml:space="preserve">U.S. </w:t>
      </w:r>
      <w:r w:rsidR="000562EB" w:rsidRPr="008625C2">
        <w:t>state environmental health departments (80); current and former NTP advisory boards</w:t>
      </w:r>
      <w:r w:rsidR="000562EB">
        <w:t>;</w:t>
      </w:r>
      <w:r w:rsidR="000562EB" w:rsidRPr="008625C2">
        <w:t xml:space="preserve"> academic and schools of public health contacts (182) including the Association of Schools and Programs of Public Health; various environmental </w:t>
      </w:r>
      <w:r w:rsidR="000562EB">
        <w:t>non-government organizations</w:t>
      </w:r>
      <w:r w:rsidR="000562EB" w:rsidRPr="008625C2">
        <w:t xml:space="preserve"> (43) such as Environmental Defense Fund and Environmental Working Group; industry groups (130) </w:t>
      </w:r>
      <w:r w:rsidR="000562EB">
        <w:t>including the</w:t>
      </w:r>
      <w:r w:rsidR="000562EB" w:rsidRPr="008625C2">
        <w:t xml:space="preserve"> American </w:t>
      </w:r>
      <w:r w:rsidR="000562EB">
        <w:t>Chemistry Council</w:t>
      </w:r>
      <w:r w:rsidR="000562EB" w:rsidRPr="008625C2">
        <w:t xml:space="preserve">; other federal </w:t>
      </w:r>
      <w:r w:rsidR="000562EB">
        <w:t xml:space="preserve">health regulatory and research </w:t>
      </w:r>
      <w:r w:rsidR="000562EB" w:rsidRPr="008625C2">
        <w:t>agency contacts (144)</w:t>
      </w:r>
      <w:r w:rsidR="000562EB">
        <w:t xml:space="preserve">; and </w:t>
      </w:r>
      <w:r w:rsidR="000562EB" w:rsidRPr="008625C2">
        <w:t xml:space="preserve">NTP </w:t>
      </w:r>
      <w:r w:rsidR="000562EB">
        <w:t>listserv that include</w:t>
      </w:r>
      <w:r w:rsidR="000562EB" w:rsidRPr="008625C2">
        <w:t xml:space="preserve"> </w:t>
      </w:r>
      <w:r w:rsidR="000562EB">
        <w:t xml:space="preserve">subscribers from </w:t>
      </w:r>
      <w:r w:rsidR="000562EB" w:rsidRPr="008625C2">
        <w:t xml:space="preserve">various </w:t>
      </w:r>
      <w:r w:rsidR="000562EB">
        <w:t xml:space="preserve">stakeholder </w:t>
      </w:r>
      <w:r w:rsidR="000562EB" w:rsidRPr="008625C2">
        <w:t xml:space="preserve">sectors </w:t>
      </w:r>
      <w:r w:rsidR="000562EB">
        <w:t>(4282)</w:t>
      </w:r>
      <w:r w:rsidR="000562EB" w:rsidRPr="008625C2">
        <w:t>.</w:t>
      </w:r>
    </w:p>
    <w:p w14:paraId="22A7F13E" w14:textId="381756FE" w:rsidR="009F188F" w:rsidRDefault="009F188F" w:rsidP="00BA4EC3">
      <w:pPr>
        <w:pStyle w:val="Heading3"/>
        <w:ind w:left="1260" w:hanging="540"/>
      </w:pPr>
      <w:bookmarkStart w:id="8" w:name="_Toc129590329"/>
      <w:bookmarkStart w:id="9" w:name="_Toc129668571"/>
      <w:bookmarkStart w:id="10" w:name="_Toc313191781"/>
      <w:r>
        <w:t xml:space="preserve">B.4.  </w:t>
      </w:r>
      <w:r w:rsidR="00BA4EC3">
        <w:tab/>
      </w:r>
      <w:r>
        <w:t>Test of Procedures or Methods to be Undertaken</w:t>
      </w:r>
      <w:bookmarkEnd w:id="8"/>
      <w:bookmarkEnd w:id="9"/>
      <w:bookmarkEnd w:id="10"/>
    </w:p>
    <w:p w14:paraId="0E816C0D" w14:textId="586AA853" w:rsidR="00944E77" w:rsidRPr="001D040C" w:rsidRDefault="009F188F" w:rsidP="00944E77">
      <w:r>
        <w:t xml:space="preserve">Our study concept </w:t>
      </w:r>
      <w:r w:rsidR="005164B2">
        <w:t xml:space="preserve">was formally reviewed </w:t>
      </w:r>
      <w:r w:rsidR="006E6839">
        <w:t xml:space="preserve">by the NTP Project Review Committee </w:t>
      </w:r>
      <w:r w:rsidR="005164B2">
        <w:t>on October 30, 2014</w:t>
      </w:r>
      <w:r>
        <w:t>. This project was mentioned as a research activity to the NTP Board of Scientific Counselors</w:t>
      </w:r>
      <w:r w:rsidRPr="001D040C">
        <w:t xml:space="preserve"> </w:t>
      </w:r>
      <w:r>
        <w:t xml:space="preserve">on December 14, 2014, </w:t>
      </w:r>
      <w:r w:rsidR="001305A7">
        <w:t xml:space="preserve">and </w:t>
      </w:r>
      <w:r w:rsidR="00897F38">
        <w:t xml:space="preserve"> </w:t>
      </w:r>
      <w:r w:rsidR="00944E77">
        <w:t>was</w:t>
      </w:r>
      <w:r>
        <w:t xml:space="preserve"> presented in more detail to the NTP Board of Scientific Counselors</w:t>
      </w:r>
      <w:r w:rsidRPr="001D040C">
        <w:t xml:space="preserve"> </w:t>
      </w:r>
      <w:r>
        <w:t xml:space="preserve">at its meeting at NIEHS on June 16, 2015, and </w:t>
      </w:r>
      <w:r w:rsidR="00944E77">
        <w:t xml:space="preserve">will be </w:t>
      </w:r>
      <w:r w:rsidR="00BA4EC3">
        <w:t xml:space="preserve">shared with agencies represented on </w:t>
      </w:r>
      <w:r>
        <w:t>the NTP Execut</w:t>
      </w:r>
      <w:r w:rsidR="00246638">
        <w:t>ive Committee</w:t>
      </w:r>
      <w:r w:rsidR="00AC1097">
        <w:t xml:space="preserve"> through agency points of contact</w:t>
      </w:r>
      <w:r w:rsidR="00246638">
        <w:t xml:space="preserve">. </w:t>
      </w:r>
      <w:r>
        <w:t xml:space="preserve">Additionally, the concept presented at the June meeting </w:t>
      </w:r>
      <w:r w:rsidR="00944E77">
        <w:t xml:space="preserve">was </w:t>
      </w:r>
      <w:r>
        <w:t xml:space="preserve">available to the public for comment.  </w:t>
      </w:r>
      <w:r w:rsidR="00944E77">
        <w:t>There was enthusiastic support for this project from the NTP Board of Scientific Counselors and public comment at the June 16 meeting.</w:t>
      </w:r>
    </w:p>
    <w:p w14:paraId="3B0DE810" w14:textId="77777777" w:rsidR="006E6839" w:rsidRPr="001D040C" w:rsidRDefault="009F188F" w:rsidP="006E6839">
      <w:r>
        <w:t>We have convened an internal NTP advisory group for feedback on our proposed study plans</w:t>
      </w:r>
      <w:r w:rsidR="006E6839">
        <w:t>,</w:t>
      </w:r>
      <w:r>
        <w:t xml:space="preserve"> LoC card scenarios, and the web-based instrument for the LoC card-sorting exercises. We will continue to consult t</w:t>
      </w:r>
      <w:r w:rsidR="00246638">
        <w:t>his group</w:t>
      </w:r>
      <w:r>
        <w:t xml:space="preserve"> during the study’s execution. </w:t>
      </w:r>
      <w:r w:rsidR="006E6839">
        <w:t xml:space="preserve">This outreach provides opportunities for input </w:t>
      </w:r>
      <w:r w:rsidR="009E1AC3">
        <w:t>from</w:t>
      </w:r>
      <w:r w:rsidR="006E6839" w:rsidRPr="001D040C">
        <w:t xml:space="preserve"> the NIEHS intramural community, N</w:t>
      </w:r>
      <w:r w:rsidR="006E6839">
        <w:t>TP</w:t>
      </w:r>
      <w:r w:rsidR="006E6839" w:rsidRPr="001D040C">
        <w:t xml:space="preserve"> advisory boards, and externally by federal and academic experts. </w:t>
      </w:r>
    </w:p>
    <w:p w14:paraId="1F8C918B" w14:textId="72713333" w:rsidR="009F188F" w:rsidRDefault="009F188F" w:rsidP="00BA4EC3">
      <w:pPr>
        <w:pStyle w:val="Heading3"/>
        <w:tabs>
          <w:tab w:val="left" w:pos="1260"/>
        </w:tabs>
        <w:ind w:left="1260" w:hanging="540"/>
      </w:pPr>
      <w:bookmarkStart w:id="11" w:name="_Toc129590330"/>
      <w:bookmarkStart w:id="12" w:name="_Toc129668572"/>
      <w:bookmarkStart w:id="13" w:name="_Toc313191782"/>
      <w:r>
        <w:lastRenderedPageBreak/>
        <w:t xml:space="preserve">B.5.  </w:t>
      </w:r>
      <w:r w:rsidR="00BA4EC3">
        <w:tab/>
      </w:r>
      <w:r w:rsidRPr="00BA4EC3">
        <w:t>Individuals Consulted on Statistical</w:t>
      </w:r>
      <w:r>
        <w:t xml:space="preserve"> Aspects and Individuals Collecting and/or Analyzing Data</w:t>
      </w:r>
      <w:bookmarkEnd w:id="11"/>
      <w:bookmarkEnd w:id="12"/>
      <w:bookmarkEnd w:id="13"/>
    </w:p>
    <w:p w14:paraId="6EB85244" w14:textId="536D897F" w:rsidR="009F188F" w:rsidRDefault="00E40438" w:rsidP="009F188F">
      <w:r>
        <w:t xml:space="preserve">Dr. Mary Wolfe (919-541-7539 and </w:t>
      </w:r>
      <w:hyperlink r:id="rId13" w:history="1">
        <w:r w:rsidRPr="000D4368">
          <w:rPr>
            <w:rStyle w:val="Hyperlink"/>
          </w:rPr>
          <w:t>wolfe@niehs.nih.gov</w:t>
        </w:r>
      </w:hyperlink>
      <w:r>
        <w:t xml:space="preserve">), Deputy Division Director for Policy, Division of NTP, NIEHS, and </w:t>
      </w:r>
      <w:r w:rsidR="009F188F">
        <w:t xml:space="preserve">Dr. Kristina Thayer (919-541-5021 and </w:t>
      </w:r>
      <w:hyperlink r:id="rId14" w:history="1">
        <w:r w:rsidR="009F188F" w:rsidRPr="000D4368">
          <w:rPr>
            <w:rStyle w:val="Hyperlink"/>
          </w:rPr>
          <w:t>thayer@niehs.nih.gov</w:t>
        </w:r>
      </w:hyperlink>
      <w:r w:rsidR="009F188F">
        <w:t xml:space="preserve">), </w:t>
      </w:r>
      <w:r w:rsidR="001060B6">
        <w:t xml:space="preserve">Deputy Division </w:t>
      </w:r>
      <w:r w:rsidR="009F188F">
        <w:t>Director</w:t>
      </w:r>
      <w:r w:rsidR="001060B6">
        <w:t xml:space="preserve"> for Analysis and Director</w:t>
      </w:r>
      <w:r w:rsidR="009F188F">
        <w:t>, Office of Health Assessment and Translation</w:t>
      </w:r>
      <w:r>
        <w:t xml:space="preserve"> (OHAT)</w:t>
      </w:r>
      <w:r w:rsidR="009F188F">
        <w:t xml:space="preserve">, Division of NTP, NIEHS, </w:t>
      </w:r>
      <w:r>
        <w:t>are</w:t>
      </w:r>
      <w:r w:rsidR="009F188F">
        <w:t xml:space="preserve"> co-investigator</w:t>
      </w:r>
      <w:r>
        <w:t>s</w:t>
      </w:r>
      <w:r w:rsidR="009F188F">
        <w:t xml:space="preserve"> on this study. </w:t>
      </w:r>
      <w:r>
        <w:t>Kyla Taylor</w:t>
      </w:r>
      <w:r w:rsidR="001060B6">
        <w:t xml:space="preserve"> </w:t>
      </w:r>
      <w:r w:rsidR="001060B6" w:rsidRPr="00591A42">
        <w:t>(919-316-4707 and kyla.taylor@nih.gov)</w:t>
      </w:r>
      <w:r>
        <w:t>, a health scientist in OHAT, is associate investigator. The</w:t>
      </w:r>
      <w:r w:rsidR="009F188F">
        <w:t xml:space="preserve"> study plan </w:t>
      </w:r>
      <w:r>
        <w:t xml:space="preserve">was developed </w:t>
      </w:r>
      <w:r w:rsidR="009F188F">
        <w:t xml:space="preserve">with </w:t>
      </w:r>
      <w:r>
        <w:t xml:space="preserve">external </w:t>
      </w:r>
      <w:r w:rsidR="008A5B89">
        <w:t xml:space="preserve">input from Dr. David Budescu </w:t>
      </w:r>
      <w:r w:rsidR="001060B6">
        <w:t>(</w:t>
      </w:r>
      <w:r w:rsidR="001060B6" w:rsidRPr="00BA4B17">
        <w:t xml:space="preserve">718-817-3786 and </w:t>
      </w:r>
      <w:r w:rsidR="001060B6" w:rsidRPr="002D0F11">
        <w:t>budescu@fordham.edu</w:t>
      </w:r>
      <w:r w:rsidR="009F188F">
        <w:t>), Anne Anastasi Professor of Psychometrics and Quantitative Psychology, Department of Psychology, Fordham University</w:t>
      </w:r>
      <w:r>
        <w:t xml:space="preserve">; </w:t>
      </w:r>
      <w:r w:rsidR="009F188F">
        <w:t>Dr. Thomas Wallsten (</w:t>
      </w:r>
      <w:r w:rsidR="001060B6" w:rsidRPr="00591A42">
        <w:t>301-405-3562</w:t>
      </w:r>
      <w:r w:rsidR="001060B6">
        <w:t xml:space="preserve"> and </w:t>
      </w:r>
      <w:r w:rsidR="009F188F" w:rsidRPr="002D0F11">
        <w:t>tswallst@umd.edu</w:t>
      </w:r>
      <w:r w:rsidR="009F188F">
        <w:t>), Professor emeritus, Department of Psychology, University of Maryland-College</w:t>
      </w:r>
      <w:r>
        <w:t>; and Dr. Barbara</w:t>
      </w:r>
      <w:r w:rsidRPr="005B368F">
        <w:t xml:space="preserve"> Forsyth, private consultant</w:t>
      </w:r>
      <w:r w:rsidR="009F188F">
        <w:t>. Dr. Budescu, Dr. Wallsten, and Dr. Grace Kissling</w:t>
      </w:r>
      <w:r w:rsidR="001060B6">
        <w:t xml:space="preserve"> (919-541-1756 and grace.kissling@nih.gov)</w:t>
      </w:r>
      <w:r w:rsidR="009F188F">
        <w:t>,</w:t>
      </w:r>
      <w:r>
        <w:t xml:space="preserve"> a </w:t>
      </w:r>
      <w:r w:rsidR="009F188F">
        <w:t>biostatistician</w:t>
      </w:r>
      <w:r>
        <w:t xml:space="preserve"> in the NIEHS </w:t>
      </w:r>
      <w:r w:rsidR="009F188F">
        <w:t>Biostatistics and Computational Branch</w:t>
      </w:r>
      <w:r>
        <w:t xml:space="preserve">, </w:t>
      </w:r>
      <w:r w:rsidR="009F188F">
        <w:t xml:space="preserve">have provided input on the statistical approach and they will participate </w:t>
      </w:r>
      <w:r>
        <w:t>in the</w:t>
      </w:r>
      <w:r w:rsidR="009F188F">
        <w:t xml:space="preserve"> data analysis. </w:t>
      </w:r>
    </w:p>
    <w:p w14:paraId="4D5AFD93" w14:textId="77777777" w:rsidR="000562EB" w:rsidRPr="00E554F9" w:rsidRDefault="000562EB" w:rsidP="000562EB">
      <w:pPr>
        <w:pStyle w:val="Heading3"/>
        <w:ind w:left="0" w:firstLine="18"/>
      </w:pPr>
      <w:bookmarkStart w:id="14" w:name="_Toc314995116"/>
      <w:bookmarkEnd w:id="0"/>
      <w:bookmarkEnd w:id="1"/>
      <w:r>
        <w:t>References</w:t>
      </w:r>
      <w:bookmarkEnd w:id="14"/>
    </w:p>
    <w:p w14:paraId="43B01050" w14:textId="77777777" w:rsidR="00D07314" w:rsidRPr="00D07314" w:rsidRDefault="000562EB" w:rsidP="00D07314">
      <w:pPr>
        <w:pStyle w:val="EndNoteBibliography"/>
        <w:ind w:firstLine="0"/>
      </w:pPr>
      <w:r>
        <w:fldChar w:fldCharType="begin"/>
      </w:r>
      <w:r>
        <w:instrText xml:space="preserve"> ADDIN EN.REFLIST </w:instrText>
      </w:r>
      <w:r>
        <w:fldChar w:fldCharType="separate"/>
      </w:r>
      <w:r w:rsidR="00D07314" w:rsidRPr="00D07314">
        <w:t>Dal Grande E, Chittleborough CR, Campostrini S, Dollard M, Taylor AW. 2016. Pre-survey text messages (sms) improve participation rate in an australian mobile telephone survey: An experimental study. PLoS One 11:e0150231.</w:t>
      </w:r>
    </w:p>
    <w:p w14:paraId="4624EAB7" w14:textId="77777777" w:rsidR="00D07314" w:rsidRDefault="00D07314" w:rsidP="00D07314">
      <w:pPr>
        <w:pStyle w:val="EndNoteBibliography"/>
        <w:ind w:firstLine="0"/>
      </w:pPr>
    </w:p>
    <w:p w14:paraId="7F17A6C8" w14:textId="6A11BF73" w:rsidR="00D07314" w:rsidRPr="00D07314" w:rsidRDefault="00D07314" w:rsidP="00D07314">
      <w:pPr>
        <w:pStyle w:val="EndNoteBibliography"/>
        <w:ind w:firstLine="0"/>
      </w:pPr>
      <w:r w:rsidRPr="00D07314">
        <w:t xml:space="preserve">Dillman DA, Smyth JD, LM. C. 2014. Chapter 2. Internet, phone, mail, and mixed-mode surveys; the tailored design method, 4th edition.John Wiley &amp; Sons, Inc. </w:t>
      </w:r>
    </w:p>
    <w:p w14:paraId="114D4819" w14:textId="77777777" w:rsidR="00D07314" w:rsidRDefault="00D07314" w:rsidP="00D07314">
      <w:pPr>
        <w:pStyle w:val="EndNoteBibliography"/>
        <w:ind w:firstLine="0"/>
      </w:pPr>
    </w:p>
    <w:p w14:paraId="2BB1802A" w14:textId="77777777" w:rsidR="00D07314" w:rsidRPr="00D07314" w:rsidRDefault="00D07314" w:rsidP="00D07314">
      <w:pPr>
        <w:pStyle w:val="EndNoteBibliography"/>
        <w:ind w:firstLine="0"/>
      </w:pPr>
      <w:r w:rsidRPr="00D07314">
        <w:t>Rooney AA, Boyles AL, Wolfe MS, Bucher JR, Thayer KA. 2014. Systematic review and evidence integration for literature-based environmental health science assessments. Environmental health perspectives 122:711-718.</w:t>
      </w:r>
    </w:p>
    <w:p w14:paraId="3038F390" w14:textId="726BC6AB" w:rsidR="006D061C" w:rsidRDefault="000562EB" w:rsidP="000562EB">
      <w:pPr>
        <w:ind w:firstLine="0"/>
      </w:pPr>
      <w:r>
        <w:fldChar w:fldCharType="end"/>
      </w:r>
      <w:bookmarkStart w:id="15" w:name="_GoBack"/>
      <w:bookmarkEnd w:id="15"/>
    </w:p>
    <w:sectPr w:rsidR="006D061C" w:rsidSect="00947B13">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68170" w14:textId="77777777" w:rsidR="0066070B" w:rsidRDefault="0066070B">
      <w:r>
        <w:separator/>
      </w:r>
    </w:p>
  </w:endnote>
  <w:endnote w:type="continuationSeparator" w:id="0">
    <w:p w14:paraId="4481DBA1" w14:textId="77777777" w:rsidR="0066070B" w:rsidRDefault="0066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89F97" w14:textId="77777777" w:rsidR="008A5B89" w:rsidRDefault="008A5B89" w:rsidP="006B4BC6">
    <w:pPr>
      <w:pStyle w:val="Footer"/>
      <w:tabs>
        <w:tab w:val="clear" w:pos="4320"/>
        <w:tab w:val="clear" w:pos="8640"/>
        <w:tab w:val="center" w:pos="4680"/>
        <w:tab w:val="right" w:pos="9360"/>
      </w:tabs>
      <w:spacing w:line="240" w:lineRule="auto"/>
      <w:ind w:firstLine="0"/>
      <w:rPr>
        <w:rStyle w:val="PageNumber"/>
        <w:i/>
        <w:sz w:val="18"/>
        <w:szCs w:val="18"/>
      </w:rPr>
    </w:pPr>
    <w:r>
      <w:rPr>
        <w:i/>
        <w:sz w:val="18"/>
        <w:szCs w:val="18"/>
      </w:rPr>
      <w:t>Level of Concern Study—OMB 2015</w:t>
    </w:r>
    <w:r w:rsidRPr="00C57D52">
      <w:rPr>
        <w:i/>
        <w:sz w:val="18"/>
        <w:szCs w:val="18"/>
      </w:rPr>
      <w:t xml:space="preserve">: Supporting Statement </w:t>
    </w:r>
    <w:r>
      <w:rPr>
        <w:i/>
        <w:sz w:val="18"/>
        <w:szCs w:val="18"/>
      </w:rPr>
      <w:t>B</w:t>
    </w:r>
    <w:r w:rsidRPr="00C57D52">
      <w:rPr>
        <w:i/>
        <w:sz w:val="18"/>
        <w:szCs w:val="18"/>
      </w:rPr>
      <w:tab/>
    </w:r>
    <w:r w:rsidRPr="00C57D52">
      <w:rPr>
        <w:i/>
        <w:sz w:val="18"/>
        <w:szCs w:val="18"/>
      </w:rPr>
      <w:tab/>
      <w:t xml:space="preserve">page </w:t>
    </w:r>
    <w:r w:rsidRPr="00C57D52">
      <w:rPr>
        <w:rStyle w:val="PageNumber"/>
        <w:i/>
        <w:sz w:val="18"/>
        <w:szCs w:val="18"/>
      </w:rPr>
      <w:fldChar w:fldCharType="begin"/>
    </w:r>
    <w:r w:rsidRPr="00C57D52">
      <w:rPr>
        <w:rStyle w:val="PageNumber"/>
        <w:i/>
        <w:sz w:val="18"/>
        <w:szCs w:val="18"/>
      </w:rPr>
      <w:instrText xml:space="preserve"> PAGE </w:instrText>
    </w:r>
    <w:r w:rsidRPr="00C57D52">
      <w:rPr>
        <w:rStyle w:val="PageNumber"/>
        <w:i/>
        <w:sz w:val="18"/>
        <w:szCs w:val="18"/>
      </w:rPr>
      <w:fldChar w:fldCharType="separate"/>
    </w:r>
    <w:r w:rsidR="00977651">
      <w:rPr>
        <w:rStyle w:val="PageNumber"/>
        <w:i/>
        <w:noProof/>
        <w:sz w:val="18"/>
        <w:szCs w:val="18"/>
      </w:rPr>
      <w:t>11</w:t>
    </w:r>
    <w:r w:rsidRPr="00C57D52">
      <w:rPr>
        <w:rStyle w:val="PageNumber"/>
        <w:i/>
        <w:sz w:val="18"/>
        <w:szCs w:val="18"/>
      </w:rPr>
      <w:fldChar w:fldCharType="end"/>
    </w:r>
    <w:r w:rsidRPr="00C57D52">
      <w:rPr>
        <w:rStyle w:val="PageNumber"/>
        <w:i/>
        <w:sz w:val="18"/>
        <w:szCs w:val="18"/>
      </w:rPr>
      <w:t xml:space="preserve"> of </w:t>
    </w:r>
    <w:r w:rsidRPr="00C57D52">
      <w:rPr>
        <w:rStyle w:val="PageNumber"/>
        <w:i/>
        <w:sz w:val="18"/>
        <w:szCs w:val="18"/>
      </w:rPr>
      <w:fldChar w:fldCharType="begin"/>
    </w:r>
    <w:r w:rsidRPr="00C57D52">
      <w:rPr>
        <w:rStyle w:val="PageNumber"/>
        <w:i/>
        <w:sz w:val="18"/>
        <w:szCs w:val="18"/>
      </w:rPr>
      <w:instrText xml:space="preserve"> NUMPAGES </w:instrText>
    </w:r>
    <w:r w:rsidRPr="00C57D52">
      <w:rPr>
        <w:rStyle w:val="PageNumber"/>
        <w:i/>
        <w:sz w:val="18"/>
        <w:szCs w:val="18"/>
      </w:rPr>
      <w:fldChar w:fldCharType="separate"/>
    </w:r>
    <w:r w:rsidR="00977651">
      <w:rPr>
        <w:rStyle w:val="PageNumber"/>
        <w:i/>
        <w:noProof/>
        <w:sz w:val="18"/>
        <w:szCs w:val="18"/>
      </w:rPr>
      <w:t>11</w:t>
    </w:r>
    <w:r w:rsidRPr="00C57D52">
      <w:rPr>
        <w:rStyle w:val="PageNumber"/>
        <w:i/>
        <w:sz w:val="18"/>
        <w:szCs w:val="18"/>
      </w:rPr>
      <w:fldChar w:fldCharType="end"/>
    </w:r>
  </w:p>
  <w:p w14:paraId="1EB467C6" w14:textId="09FDEBC1" w:rsidR="008A5B89" w:rsidRPr="00C57D52" w:rsidRDefault="008A5B89" w:rsidP="006B4BC6">
    <w:pPr>
      <w:pStyle w:val="Footer"/>
      <w:tabs>
        <w:tab w:val="clear" w:pos="4320"/>
        <w:tab w:val="clear" w:pos="8640"/>
        <w:tab w:val="center" w:pos="4680"/>
        <w:tab w:val="right" w:pos="9360"/>
      </w:tabs>
      <w:spacing w:line="240" w:lineRule="auto"/>
      <w:ind w:firstLine="0"/>
      <w:rPr>
        <w:i/>
        <w:sz w:val="18"/>
        <w:szCs w:val="18"/>
      </w:rPr>
    </w:pPr>
    <w:r>
      <w:rPr>
        <w:rStyle w:val="PageNumber"/>
        <w:i/>
        <w:sz w:val="18"/>
        <w:szCs w:val="18"/>
      </w:rPr>
      <w:t>063015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60379" w14:textId="5F6A60F6" w:rsidR="008A5B89" w:rsidRPr="00D51D6C" w:rsidRDefault="008A5B89" w:rsidP="00D51D6C">
    <w:pPr>
      <w:pStyle w:val="Footer"/>
      <w:tabs>
        <w:tab w:val="clear" w:pos="4320"/>
        <w:tab w:val="clear" w:pos="8640"/>
        <w:tab w:val="center" w:pos="5040"/>
        <w:tab w:val="right" w:pos="9360"/>
      </w:tabs>
      <w:rPr>
        <w:i/>
        <w:sz w:val="18"/>
        <w:szCs w:val="18"/>
      </w:rPr>
    </w:pPr>
    <w:r w:rsidRPr="00D51D6C">
      <w:rPr>
        <w:i/>
        <w:snapToGrid w:val="0"/>
        <w:sz w:val="18"/>
        <w:szCs w:val="18"/>
      </w:rPr>
      <w:t>Sister Study OMB Supporting Statement</w:t>
    </w:r>
    <w:r w:rsidRPr="00D51D6C">
      <w:rPr>
        <w:i/>
        <w:snapToGrid w:val="0"/>
        <w:sz w:val="18"/>
        <w:szCs w:val="18"/>
      </w:rPr>
      <w:tab/>
      <w:t>08 March 2006</w:t>
    </w:r>
    <w:r w:rsidRPr="00D51D6C">
      <w:rPr>
        <w:i/>
        <w:snapToGrid w:val="0"/>
        <w:sz w:val="18"/>
        <w:szCs w:val="18"/>
      </w:rPr>
      <w:tab/>
      <w:t xml:space="preserve">page </w:t>
    </w:r>
    <w:r w:rsidRPr="00D51D6C">
      <w:rPr>
        <w:rStyle w:val="PageNumber"/>
        <w:i/>
        <w:sz w:val="18"/>
        <w:szCs w:val="18"/>
      </w:rPr>
      <w:fldChar w:fldCharType="begin"/>
    </w:r>
    <w:r w:rsidRPr="00D51D6C">
      <w:rPr>
        <w:rStyle w:val="PageNumber"/>
        <w:i/>
        <w:sz w:val="18"/>
        <w:szCs w:val="18"/>
      </w:rPr>
      <w:instrText xml:space="preserve"> PAGE </w:instrText>
    </w:r>
    <w:r w:rsidRPr="00D51D6C">
      <w:rPr>
        <w:rStyle w:val="PageNumber"/>
        <w:i/>
        <w:sz w:val="18"/>
        <w:szCs w:val="18"/>
      </w:rPr>
      <w:fldChar w:fldCharType="separate"/>
    </w:r>
    <w:r>
      <w:rPr>
        <w:rStyle w:val="PageNumber"/>
        <w:i/>
        <w:noProof/>
        <w:sz w:val="18"/>
        <w:szCs w:val="18"/>
      </w:rPr>
      <w:t>2</w:t>
    </w:r>
    <w:r w:rsidRPr="00D51D6C">
      <w:rPr>
        <w:rStyle w:val="PageNumber"/>
        <w:i/>
        <w:sz w:val="18"/>
        <w:szCs w:val="18"/>
      </w:rPr>
      <w:fldChar w:fldCharType="end"/>
    </w:r>
    <w:r w:rsidRPr="00D51D6C">
      <w:rPr>
        <w:rStyle w:val="PageNumber"/>
        <w:i/>
        <w:sz w:val="18"/>
        <w:szCs w:val="18"/>
      </w:rPr>
      <w:t xml:space="preserve"> of </w:t>
    </w:r>
    <w:r w:rsidRPr="00D51D6C">
      <w:rPr>
        <w:rStyle w:val="PageNumber"/>
        <w:i/>
        <w:sz w:val="18"/>
        <w:szCs w:val="18"/>
      </w:rPr>
      <w:fldChar w:fldCharType="begin"/>
    </w:r>
    <w:r w:rsidRPr="00D51D6C">
      <w:rPr>
        <w:rStyle w:val="PageNumber"/>
        <w:i/>
        <w:sz w:val="18"/>
        <w:szCs w:val="18"/>
      </w:rPr>
      <w:instrText xml:space="preserve"> NUMPAGES </w:instrText>
    </w:r>
    <w:r w:rsidRPr="00D51D6C">
      <w:rPr>
        <w:rStyle w:val="PageNumber"/>
        <w:i/>
        <w:sz w:val="18"/>
        <w:szCs w:val="18"/>
      </w:rPr>
      <w:fldChar w:fldCharType="separate"/>
    </w:r>
    <w:r w:rsidR="008D4D9B">
      <w:rPr>
        <w:rStyle w:val="PageNumber"/>
        <w:i/>
        <w:noProof/>
        <w:sz w:val="18"/>
        <w:szCs w:val="18"/>
      </w:rPr>
      <w:t>9</w:t>
    </w:r>
    <w:r w:rsidRPr="00D51D6C">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AF77E" w14:textId="77777777" w:rsidR="0066070B" w:rsidRDefault="0066070B">
      <w:r>
        <w:separator/>
      </w:r>
    </w:p>
  </w:footnote>
  <w:footnote w:type="continuationSeparator" w:id="0">
    <w:p w14:paraId="1382A08A" w14:textId="77777777" w:rsidR="0066070B" w:rsidRDefault="0066070B">
      <w:r>
        <w:continuationSeparator/>
      </w:r>
    </w:p>
  </w:footnote>
  <w:footnote w:id="1">
    <w:p w14:paraId="16311870" w14:textId="4F2AB40A" w:rsidR="008A5B89" w:rsidRPr="00437DA7" w:rsidRDefault="008A5B89" w:rsidP="000562EB">
      <w:pPr>
        <w:pStyle w:val="FootnoteText"/>
        <w:ind w:firstLine="0"/>
        <w:rPr>
          <w:sz w:val="20"/>
          <w:szCs w:val="20"/>
        </w:rPr>
      </w:pPr>
      <w:r w:rsidRPr="00437DA7">
        <w:rPr>
          <w:rStyle w:val="FootnoteReference"/>
          <w:sz w:val="20"/>
          <w:szCs w:val="20"/>
        </w:rPr>
        <w:footnoteRef/>
      </w:r>
      <w:r w:rsidRPr="00437DA7">
        <w:rPr>
          <w:sz w:val="20"/>
          <w:szCs w:val="20"/>
        </w:rPr>
        <w:t>The NTP Executive Committee has representatives from nine HHS and non</w:t>
      </w:r>
      <w:r w:rsidR="00AF7122">
        <w:rPr>
          <w:sz w:val="20"/>
          <w:szCs w:val="20"/>
        </w:rPr>
        <w:t xml:space="preserve"> </w:t>
      </w:r>
      <w:r w:rsidRPr="00437DA7">
        <w:rPr>
          <w:sz w:val="20"/>
          <w:szCs w:val="20"/>
        </w:rPr>
        <w:t xml:space="preserve">HHS federal research and health regulatory agencies.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3F52" w14:textId="77777777" w:rsidR="008A5B89" w:rsidRDefault="008A5B89" w:rsidP="00246638">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2E28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0313FE"/>
    <w:multiLevelType w:val="hybridMultilevel"/>
    <w:tmpl w:val="7B805782"/>
    <w:lvl w:ilvl="0" w:tplc="0D7C99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324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FC0E1B"/>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5" w15:restartNumberingAfterBreak="0">
    <w:nsid w:val="1E030AAB"/>
    <w:multiLevelType w:val="hybridMultilevel"/>
    <w:tmpl w:val="2F9E1ADE"/>
    <w:lvl w:ilvl="0" w:tplc="A71431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4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647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BF4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300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2914FD"/>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1" w15:restartNumberingAfterBreak="0">
    <w:nsid w:val="4B6E79E9"/>
    <w:multiLevelType w:val="hybridMultilevel"/>
    <w:tmpl w:val="B3E611C4"/>
    <w:lvl w:ilvl="0" w:tplc="F5882276">
      <w:start w:val="1"/>
      <w:numFmt w:val="decimal"/>
      <w:lvlText w:val="%1."/>
      <w:lvlJc w:val="left"/>
      <w:pPr>
        <w:tabs>
          <w:tab w:val="num" w:pos="756"/>
        </w:tabs>
        <w:ind w:left="756" w:hanging="576"/>
      </w:pPr>
      <w:rPr>
        <w:rFonts w:hint="default"/>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E8634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3" w15:restartNumberingAfterBreak="0">
    <w:nsid w:val="54B31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200265"/>
    <w:multiLevelType w:val="hybridMultilevel"/>
    <w:tmpl w:val="0BB0C33C"/>
    <w:lvl w:ilvl="0" w:tplc="2914638A">
      <w:start w:val="1"/>
      <w:numFmt w:val="bullet"/>
      <w:lvlText w:val=""/>
      <w:lvlJc w:val="left"/>
      <w:pPr>
        <w:tabs>
          <w:tab w:val="num" w:pos="1560"/>
        </w:tabs>
        <w:ind w:left="1560" w:hanging="360"/>
      </w:pPr>
      <w:rPr>
        <w:rFonts w:ascii="Symbol" w:hAnsi="Symbol" w:hint="default"/>
      </w:rPr>
    </w:lvl>
    <w:lvl w:ilvl="1" w:tplc="137AB602" w:tentative="1">
      <w:start w:val="1"/>
      <w:numFmt w:val="bullet"/>
      <w:lvlText w:val="o"/>
      <w:lvlJc w:val="left"/>
      <w:pPr>
        <w:tabs>
          <w:tab w:val="num" w:pos="2280"/>
        </w:tabs>
        <w:ind w:left="2280" w:hanging="360"/>
      </w:pPr>
      <w:rPr>
        <w:rFonts w:ascii="Courier New" w:hAnsi="Courier New" w:hint="default"/>
      </w:rPr>
    </w:lvl>
    <w:lvl w:ilvl="2" w:tplc="E2C677BE" w:tentative="1">
      <w:start w:val="1"/>
      <w:numFmt w:val="bullet"/>
      <w:lvlText w:val=""/>
      <w:lvlJc w:val="left"/>
      <w:pPr>
        <w:tabs>
          <w:tab w:val="num" w:pos="3000"/>
        </w:tabs>
        <w:ind w:left="3000" w:hanging="360"/>
      </w:pPr>
      <w:rPr>
        <w:rFonts w:ascii="Wingdings" w:hAnsi="Wingdings" w:hint="default"/>
      </w:rPr>
    </w:lvl>
    <w:lvl w:ilvl="3" w:tplc="33442404" w:tentative="1">
      <w:start w:val="1"/>
      <w:numFmt w:val="bullet"/>
      <w:lvlText w:val=""/>
      <w:lvlJc w:val="left"/>
      <w:pPr>
        <w:tabs>
          <w:tab w:val="num" w:pos="3720"/>
        </w:tabs>
        <w:ind w:left="3720" w:hanging="360"/>
      </w:pPr>
      <w:rPr>
        <w:rFonts w:ascii="Symbol" w:hAnsi="Symbol" w:hint="default"/>
      </w:rPr>
    </w:lvl>
    <w:lvl w:ilvl="4" w:tplc="138409AE" w:tentative="1">
      <w:start w:val="1"/>
      <w:numFmt w:val="bullet"/>
      <w:lvlText w:val="o"/>
      <w:lvlJc w:val="left"/>
      <w:pPr>
        <w:tabs>
          <w:tab w:val="num" w:pos="4440"/>
        </w:tabs>
        <w:ind w:left="4440" w:hanging="360"/>
      </w:pPr>
      <w:rPr>
        <w:rFonts w:ascii="Courier New" w:hAnsi="Courier New" w:hint="default"/>
      </w:rPr>
    </w:lvl>
    <w:lvl w:ilvl="5" w:tplc="C074C32A" w:tentative="1">
      <w:start w:val="1"/>
      <w:numFmt w:val="bullet"/>
      <w:lvlText w:val=""/>
      <w:lvlJc w:val="left"/>
      <w:pPr>
        <w:tabs>
          <w:tab w:val="num" w:pos="5160"/>
        </w:tabs>
        <w:ind w:left="5160" w:hanging="360"/>
      </w:pPr>
      <w:rPr>
        <w:rFonts w:ascii="Wingdings" w:hAnsi="Wingdings" w:hint="default"/>
      </w:rPr>
    </w:lvl>
    <w:lvl w:ilvl="6" w:tplc="B9C0A9AE" w:tentative="1">
      <w:start w:val="1"/>
      <w:numFmt w:val="bullet"/>
      <w:lvlText w:val=""/>
      <w:lvlJc w:val="left"/>
      <w:pPr>
        <w:tabs>
          <w:tab w:val="num" w:pos="5880"/>
        </w:tabs>
        <w:ind w:left="5880" w:hanging="360"/>
      </w:pPr>
      <w:rPr>
        <w:rFonts w:ascii="Symbol" w:hAnsi="Symbol" w:hint="default"/>
      </w:rPr>
    </w:lvl>
    <w:lvl w:ilvl="7" w:tplc="F25C6CF8" w:tentative="1">
      <w:start w:val="1"/>
      <w:numFmt w:val="bullet"/>
      <w:lvlText w:val="o"/>
      <w:lvlJc w:val="left"/>
      <w:pPr>
        <w:tabs>
          <w:tab w:val="num" w:pos="6600"/>
        </w:tabs>
        <w:ind w:left="6600" w:hanging="360"/>
      </w:pPr>
      <w:rPr>
        <w:rFonts w:ascii="Courier New" w:hAnsi="Courier New" w:hint="default"/>
      </w:rPr>
    </w:lvl>
    <w:lvl w:ilvl="8" w:tplc="FB102984" w:tentative="1">
      <w:start w:val="1"/>
      <w:numFmt w:val="bullet"/>
      <w:lvlText w:val=""/>
      <w:lvlJc w:val="left"/>
      <w:pPr>
        <w:tabs>
          <w:tab w:val="num" w:pos="7320"/>
        </w:tabs>
        <w:ind w:left="7320" w:hanging="360"/>
      </w:pPr>
      <w:rPr>
        <w:rFonts w:ascii="Wingdings" w:hAnsi="Wingdings" w:hint="default"/>
      </w:rPr>
    </w:lvl>
  </w:abstractNum>
  <w:abstractNum w:abstractNumId="15" w15:restartNumberingAfterBreak="0">
    <w:nsid w:val="5A565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FC4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B04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F875B9"/>
    <w:multiLevelType w:val="singleLevel"/>
    <w:tmpl w:val="0409000F"/>
    <w:lvl w:ilvl="0">
      <w:start w:val="19"/>
      <w:numFmt w:val="decimal"/>
      <w:lvlText w:val="%1."/>
      <w:lvlJc w:val="left"/>
      <w:pPr>
        <w:tabs>
          <w:tab w:val="num" w:pos="360"/>
        </w:tabs>
        <w:ind w:left="360" w:hanging="360"/>
      </w:pPr>
      <w:rPr>
        <w:rFonts w:hint="default"/>
      </w:rPr>
    </w:lvl>
  </w:abstractNum>
  <w:abstractNum w:abstractNumId="19" w15:restartNumberingAfterBreak="0">
    <w:nsid w:val="65343C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625A95"/>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1" w15:restartNumberingAfterBreak="0">
    <w:nsid w:val="6A22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D30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5D82E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A601186"/>
    <w:multiLevelType w:val="singleLevel"/>
    <w:tmpl w:val="FC480D8E"/>
    <w:lvl w:ilvl="0">
      <w:start w:val="1"/>
      <w:numFmt w:val="upperLetter"/>
      <w:lvlText w:val="%1."/>
      <w:lvlJc w:val="left"/>
      <w:pPr>
        <w:tabs>
          <w:tab w:val="num" w:pos="720"/>
        </w:tabs>
        <w:ind w:left="720" w:hanging="720"/>
      </w:pPr>
      <w:rPr>
        <w:rFonts w:hint="default"/>
      </w:rPr>
    </w:lvl>
  </w:abstractNum>
  <w:num w:numId="1">
    <w:abstractNumId w:val="24"/>
  </w:num>
  <w:num w:numId="2">
    <w:abstractNumId w:val="21"/>
  </w:num>
  <w:num w:numId="3">
    <w:abstractNumId w:val="12"/>
  </w:num>
  <w:num w:numId="4">
    <w:abstractNumId w:val="3"/>
  </w:num>
  <w:num w:numId="5">
    <w:abstractNumId w:val="22"/>
  </w:num>
  <w:num w:numId="6">
    <w:abstractNumId w:val="4"/>
  </w:num>
  <w:num w:numId="7">
    <w:abstractNumId w:val="20"/>
  </w:num>
  <w:num w:numId="8">
    <w:abstractNumId w:val="10"/>
  </w:num>
  <w:num w:numId="9">
    <w:abstractNumId w:val="18"/>
  </w:num>
  <w:num w:numId="10">
    <w:abstractNumId w:val="7"/>
  </w:num>
  <w:num w:numId="11">
    <w:abstractNumId w:val="13"/>
  </w:num>
  <w:num w:numId="12">
    <w:abstractNumId w:val="6"/>
  </w:num>
  <w:num w:numId="13">
    <w:abstractNumId w:val="15"/>
  </w:num>
  <w:num w:numId="14">
    <w:abstractNumId w:val="17"/>
  </w:num>
  <w:num w:numId="15">
    <w:abstractNumId w:val="23"/>
  </w:num>
  <w:num w:numId="16">
    <w:abstractNumId w:val="19"/>
  </w:num>
  <w:num w:numId="17">
    <w:abstractNumId w:val="1"/>
    <w:lvlOverride w:ilvl="0">
      <w:lvl w:ilvl="0">
        <w:numFmt w:val="bullet"/>
        <w:lvlText w:val="·"/>
        <w:legacy w:legacy="1" w:legacySpace="0" w:legacyIndent="720"/>
        <w:lvlJc w:val="left"/>
        <w:pPr>
          <w:ind w:left="720" w:hanging="720"/>
        </w:pPr>
        <w:rPr>
          <w:rFonts w:ascii="Times New Roman" w:hAnsi="Times New Roman" w:hint="default"/>
        </w:rPr>
      </w:lvl>
    </w:lvlOverride>
  </w:num>
  <w:num w:numId="18">
    <w:abstractNumId w:val="9"/>
  </w:num>
  <w:num w:numId="19">
    <w:abstractNumId w:val="8"/>
  </w:num>
  <w:num w:numId="20">
    <w:abstractNumId w:val="16"/>
  </w:num>
  <w:num w:numId="21">
    <w:abstractNumId w:val="1"/>
    <w:lvlOverride w:ilvl="0">
      <w:lvl w:ilvl="0">
        <w:numFmt w:val="bullet"/>
        <w:lvlText w:val=""/>
        <w:legacy w:legacy="1" w:legacySpace="0" w:legacyIndent="0"/>
        <w:lvlJc w:val="left"/>
        <w:rPr>
          <w:rFonts w:ascii="Symbol" w:hAnsi="Symbol" w:hint="default"/>
        </w:rPr>
      </w:lvl>
    </w:lvlOverride>
  </w:num>
  <w:num w:numId="22">
    <w:abstractNumId w:val="14"/>
  </w:num>
  <w:num w:numId="23">
    <w:abstractNumId w:val="11"/>
  </w:num>
  <w:num w:numId="24">
    <w:abstractNumId w:val="0"/>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 Health Persp&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2vawaxesp557efxw55sttqzp5ees0vz9w5&quot;&gt;SR LoC&lt;record-ids&gt;&lt;item&gt;492&lt;/item&gt;&lt;item&gt;493&lt;/item&gt;&lt;/record-ids&gt;&lt;/item&gt;&lt;/Libraries&gt;"/>
  </w:docVars>
  <w:rsids>
    <w:rsidRoot w:val="00F10148"/>
    <w:rsid w:val="0000007F"/>
    <w:rsid w:val="000032CF"/>
    <w:rsid w:val="00006BEE"/>
    <w:rsid w:val="00007351"/>
    <w:rsid w:val="00011BF8"/>
    <w:rsid w:val="00011DEF"/>
    <w:rsid w:val="00014365"/>
    <w:rsid w:val="00015A0E"/>
    <w:rsid w:val="0001677B"/>
    <w:rsid w:val="000177EC"/>
    <w:rsid w:val="000229DD"/>
    <w:rsid w:val="00024224"/>
    <w:rsid w:val="00027D20"/>
    <w:rsid w:val="0003311A"/>
    <w:rsid w:val="000332EB"/>
    <w:rsid w:val="00037667"/>
    <w:rsid w:val="00037B27"/>
    <w:rsid w:val="00041B20"/>
    <w:rsid w:val="00042688"/>
    <w:rsid w:val="000468E5"/>
    <w:rsid w:val="00051C2F"/>
    <w:rsid w:val="000529E4"/>
    <w:rsid w:val="000562EB"/>
    <w:rsid w:val="00057294"/>
    <w:rsid w:val="000606CA"/>
    <w:rsid w:val="00061D71"/>
    <w:rsid w:val="00063ED4"/>
    <w:rsid w:val="00066B14"/>
    <w:rsid w:val="000702EA"/>
    <w:rsid w:val="00070E9C"/>
    <w:rsid w:val="000718EB"/>
    <w:rsid w:val="000759BE"/>
    <w:rsid w:val="00075C61"/>
    <w:rsid w:val="000801A3"/>
    <w:rsid w:val="0008088E"/>
    <w:rsid w:val="00082300"/>
    <w:rsid w:val="00082986"/>
    <w:rsid w:val="00083877"/>
    <w:rsid w:val="0008481A"/>
    <w:rsid w:val="000910C9"/>
    <w:rsid w:val="000917D5"/>
    <w:rsid w:val="00095636"/>
    <w:rsid w:val="00095B90"/>
    <w:rsid w:val="000979CD"/>
    <w:rsid w:val="000A0AC3"/>
    <w:rsid w:val="000A4927"/>
    <w:rsid w:val="000B5A29"/>
    <w:rsid w:val="000B74E2"/>
    <w:rsid w:val="000C070E"/>
    <w:rsid w:val="000C088E"/>
    <w:rsid w:val="000C0BC5"/>
    <w:rsid w:val="000C13A1"/>
    <w:rsid w:val="000C23A2"/>
    <w:rsid w:val="000C73DF"/>
    <w:rsid w:val="000D7526"/>
    <w:rsid w:val="000E01C9"/>
    <w:rsid w:val="000E1C00"/>
    <w:rsid w:val="000E5728"/>
    <w:rsid w:val="000E6F72"/>
    <w:rsid w:val="000F061E"/>
    <w:rsid w:val="00100EEB"/>
    <w:rsid w:val="001029C3"/>
    <w:rsid w:val="001060B6"/>
    <w:rsid w:val="001077D5"/>
    <w:rsid w:val="00107AC5"/>
    <w:rsid w:val="00110A18"/>
    <w:rsid w:val="0011485D"/>
    <w:rsid w:val="00121061"/>
    <w:rsid w:val="00126AF1"/>
    <w:rsid w:val="001305A7"/>
    <w:rsid w:val="001305B9"/>
    <w:rsid w:val="00134637"/>
    <w:rsid w:val="0013477D"/>
    <w:rsid w:val="001404CA"/>
    <w:rsid w:val="00140BD8"/>
    <w:rsid w:val="00141BA6"/>
    <w:rsid w:val="001431E4"/>
    <w:rsid w:val="0014388F"/>
    <w:rsid w:val="00150158"/>
    <w:rsid w:val="001518C8"/>
    <w:rsid w:val="00157303"/>
    <w:rsid w:val="00163157"/>
    <w:rsid w:val="00163272"/>
    <w:rsid w:val="0016660F"/>
    <w:rsid w:val="00167995"/>
    <w:rsid w:val="00174A9A"/>
    <w:rsid w:val="00175D56"/>
    <w:rsid w:val="00183E77"/>
    <w:rsid w:val="00184F98"/>
    <w:rsid w:val="00185A3B"/>
    <w:rsid w:val="00186AF6"/>
    <w:rsid w:val="00187E90"/>
    <w:rsid w:val="001A3374"/>
    <w:rsid w:val="001A3F0A"/>
    <w:rsid w:val="001B31ED"/>
    <w:rsid w:val="001B3A37"/>
    <w:rsid w:val="001B3B64"/>
    <w:rsid w:val="001B47BA"/>
    <w:rsid w:val="001B4C43"/>
    <w:rsid w:val="001C38A4"/>
    <w:rsid w:val="001D01D8"/>
    <w:rsid w:val="001D040C"/>
    <w:rsid w:val="001D6818"/>
    <w:rsid w:val="001D79E2"/>
    <w:rsid w:val="001E236B"/>
    <w:rsid w:val="001E5A3D"/>
    <w:rsid w:val="001E6A31"/>
    <w:rsid w:val="001E794B"/>
    <w:rsid w:val="001F197A"/>
    <w:rsid w:val="001F5102"/>
    <w:rsid w:val="001F74EF"/>
    <w:rsid w:val="0020142C"/>
    <w:rsid w:val="00201D1E"/>
    <w:rsid w:val="002042E2"/>
    <w:rsid w:val="00204BE5"/>
    <w:rsid w:val="002058D6"/>
    <w:rsid w:val="00210393"/>
    <w:rsid w:val="00215A1F"/>
    <w:rsid w:val="00225FC3"/>
    <w:rsid w:val="00226D38"/>
    <w:rsid w:val="00230A54"/>
    <w:rsid w:val="00232CA9"/>
    <w:rsid w:val="00234231"/>
    <w:rsid w:val="002343F5"/>
    <w:rsid w:val="0023605F"/>
    <w:rsid w:val="0024065E"/>
    <w:rsid w:val="0024068F"/>
    <w:rsid w:val="0024118D"/>
    <w:rsid w:val="002443CF"/>
    <w:rsid w:val="00244552"/>
    <w:rsid w:val="0024535D"/>
    <w:rsid w:val="00246638"/>
    <w:rsid w:val="00251279"/>
    <w:rsid w:val="0025129D"/>
    <w:rsid w:val="00253CC8"/>
    <w:rsid w:val="00254730"/>
    <w:rsid w:val="00257143"/>
    <w:rsid w:val="0026407E"/>
    <w:rsid w:val="002674D3"/>
    <w:rsid w:val="0027529E"/>
    <w:rsid w:val="00275375"/>
    <w:rsid w:val="002825C1"/>
    <w:rsid w:val="00282A6B"/>
    <w:rsid w:val="0028777F"/>
    <w:rsid w:val="00290F8E"/>
    <w:rsid w:val="00295CF9"/>
    <w:rsid w:val="00295E6A"/>
    <w:rsid w:val="002966AA"/>
    <w:rsid w:val="002A1C7C"/>
    <w:rsid w:val="002A226A"/>
    <w:rsid w:val="002A4FCE"/>
    <w:rsid w:val="002A601C"/>
    <w:rsid w:val="002A7242"/>
    <w:rsid w:val="002A77F8"/>
    <w:rsid w:val="002B0F02"/>
    <w:rsid w:val="002B1556"/>
    <w:rsid w:val="002C1E88"/>
    <w:rsid w:val="002D2087"/>
    <w:rsid w:val="002D782E"/>
    <w:rsid w:val="002E2C24"/>
    <w:rsid w:val="002E60F5"/>
    <w:rsid w:val="002E7403"/>
    <w:rsid w:val="002F054D"/>
    <w:rsid w:val="002F55A7"/>
    <w:rsid w:val="00302C4B"/>
    <w:rsid w:val="0030525B"/>
    <w:rsid w:val="0030611D"/>
    <w:rsid w:val="00310747"/>
    <w:rsid w:val="00311396"/>
    <w:rsid w:val="00321AB1"/>
    <w:rsid w:val="00322AB3"/>
    <w:rsid w:val="00324688"/>
    <w:rsid w:val="00325102"/>
    <w:rsid w:val="0032764C"/>
    <w:rsid w:val="0033159D"/>
    <w:rsid w:val="00337953"/>
    <w:rsid w:val="00337ACC"/>
    <w:rsid w:val="00340DE0"/>
    <w:rsid w:val="00343435"/>
    <w:rsid w:val="003443AA"/>
    <w:rsid w:val="003454DA"/>
    <w:rsid w:val="00345C5E"/>
    <w:rsid w:val="003509BD"/>
    <w:rsid w:val="00354F38"/>
    <w:rsid w:val="00357F85"/>
    <w:rsid w:val="00364449"/>
    <w:rsid w:val="00365306"/>
    <w:rsid w:val="003658FA"/>
    <w:rsid w:val="0036689F"/>
    <w:rsid w:val="00366DB2"/>
    <w:rsid w:val="00367D61"/>
    <w:rsid w:val="00371F42"/>
    <w:rsid w:val="0038182E"/>
    <w:rsid w:val="00383892"/>
    <w:rsid w:val="003861E3"/>
    <w:rsid w:val="00387FE1"/>
    <w:rsid w:val="00394E69"/>
    <w:rsid w:val="003A06B4"/>
    <w:rsid w:val="003A38B4"/>
    <w:rsid w:val="003A3FBD"/>
    <w:rsid w:val="003A4624"/>
    <w:rsid w:val="003A7D36"/>
    <w:rsid w:val="003B21CB"/>
    <w:rsid w:val="003B2632"/>
    <w:rsid w:val="003B2BD6"/>
    <w:rsid w:val="003B367A"/>
    <w:rsid w:val="003B5AB4"/>
    <w:rsid w:val="003C1C78"/>
    <w:rsid w:val="003C2F93"/>
    <w:rsid w:val="003C36B5"/>
    <w:rsid w:val="003C6465"/>
    <w:rsid w:val="003C7950"/>
    <w:rsid w:val="003D4D11"/>
    <w:rsid w:val="003E3FF3"/>
    <w:rsid w:val="003E45A7"/>
    <w:rsid w:val="003E5608"/>
    <w:rsid w:val="003F0C59"/>
    <w:rsid w:val="003F0ECD"/>
    <w:rsid w:val="003F203F"/>
    <w:rsid w:val="003F68C1"/>
    <w:rsid w:val="003F7DF7"/>
    <w:rsid w:val="004012CC"/>
    <w:rsid w:val="00410125"/>
    <w:rsid w:val="00410E88"/>
    <w:rsid w:val="0041151F"/>
    <w:rsid w:val="004129AB"/>
    <w:rsid w:val="00414379"/>
    <w:rsid w:val="00415F14"/>
    <w:rsid w:val="004228A1"/>
    <w:rsid w:val="004240BE"/>
    <w:rsid w:val="004268DD"/>
    <w:rsid w:val="00427549"/>
    <w:rsid w:val="00430617"/>
    <w:rsid w:val="00431D2A"/>
    <w:rsid w:val="00433A3E"/>
    <w:rsid w:val="00437DA7"/>
    <w:rsid w:val="004404F1"/>
    <w:rsid w:val="0044370E"/>
    <w:rsid w:val="00444DDC"/>
    <w:rsid w:val="004453E4"/>
    <w:rsid w:val="00450BF4"/>
    <w:rsid w:val="004516DD"/>
    <w:rsid w:val="00464B6E"/>
    <w:rsid w:val="0046784E"/>
    <w:rsid w:val="0047006C"/>
    <w:rsid w:val="00471FE8"/>
    <w:rsid w:val="0047301C"/>
    <w:rsid w:val="0047409D"/>
    <w:rsid w:val="00475653"/>
    <w:rsid w:val="00477957"/>
    <w:rsid w:val="00477BF4"/>
    <w:rsid w:val="00481BC6"/>
    <w:rsid w:val="004841AF"/>
    <w:rsid w:val="004849F6"/>
    <w:rsid w:val="00486BD6"/>
    <w:rsid w:val="0049418E"/>
    <w:rsid w:val="0049595E"/>
    <w:rsid w:val="004A0E8A"/>
    <w:rsid w:val="004A21E6"/>
    <w:rsid w:val="004A2793"/>
    <w:rsid w:val="004B08F7"/>
    <w:rsid w:val="004B203B"/>
    <w:rsid w:val="004B7F3F"/>
    <w:rsid w:val="004C0466"/>
    <w:rsid w:val="004C3904"/>
    <w:rsid w:val="004C4F7D"/>
    <w:rsid w:val="004C5D32"/>
    <w:rsid w:val="004D12B6"/>
    <w:rsid w:val="004D58F4"/>
    <w:rsid w:val="004E4D5A"/>
    <w:rsid w:val="004F19ED"/>
    <w:rsid w:val="004F5FBC"/>
    <w:rsid w:val="004F79BE"/>
    <w:rsid w:val="0050274A"/>
    <w:rsid w:val="0050303F"/>
    <w:rsid w:val="00505AFF"/>
    <w:rsid w:val="00511C2D"/>
    <w:rsid w:val="0051257E"/>
    <w:rsid w:val="005137A6"/>
    <w:rsid w:val="00514117"/>
    <w:rsid w:val="00516115"/>
    <w:rsid w:val="005164B2"/>
    <w:rsid w:val="0051745F"/>
    <w:rsid w:val="00523397"/>
    <w:rsid w:val="0053520A"/>
    <w:rsid w:val="00541D27"/>
    <w:rsid w:val="00541DAF"/>
    <w:rsid w:val="005426D6"/>
    <w:rsid w:val="005430EE"/>
    <w:rsid w:val="0054592C"/>
    <w:rsid w:val="00547943"/>
    <w:rsid w:val="00547EBA"/>
    <w:rsid w:val="00550453"/>
    <w:rsid w:val="00551CEB"/>
    <w:rsid w:val="00552483"/>
    <w:rsid w:val="00552A53"/>
    <w:rsid w:val="00553B07"/>
    <w:rsid w:val="00556FE8"/>
    <w:rsid w:val="005607C3"/>
    <w:rsid w:val="0056784D"/>
    <w:rsid w:val="0057194F"/>
    <w:rsid w:val="00572078"/>
    <w:rsid w:val="00572D4A"/>
    <w:rsid w:val="005742DD"/>
    <w:rsid w:val="00590156"/>
    <w:rsid w:val="00590D39"/>
    <w:rsid w:val="00596522"/>
    <w:rsid w:val="005A1E61"/>
    <w:rsid w:val="005A30C3"/>
    <w:rsid w:val="005A6C5C"/>
    <w:rsid w:val="005A6E82"/>
    <w:rsid w:val="005B02E6"/>
    <w:rsid w:val="005B18AE"/>
    <w:rsid w:val="005C5E19"/>
    <w:rsid w:val="005D26B3"/>
    <w:rsid w:val="005D5D3C"/>
    <w:rsid w:val="005E45CC"/>
    <w:rsid w:val="005E6008"/>
    <w:rsid w:val="005E6066"/>
    <w:rsid w:val="005F2033"/>
    <w:rsid w:val="005F27B3"/>
    <w:rsid w:val="006058DA"/>
    <w:rsid w:val="00605BA0"/>
    <w:rsid w:val="00610E57"/>
    <w:rsid w:val="00612FC5"/>
    <w:rsid w:val="00624506"/>
    <w:rsid w:val="006252AF"/>
    <w:rsid w:val="00627592"/>
    <w:rsid w:val="00627E38"/>
    <w:rsid w:val="006334F5"/>
    <w:rsid w:val="00633700"/>
    <w:rsid w:val="00636A83"/>
    <w:rsid w:val="00636D16"/>
    <w:rsid w:val="00644A30"/>
    <w:rsid w:val="00645FE1"/>
    <w:rsid w:val="00647A25"/>
    <w:rsid w:val="006527A2"/>
    <w:rsid w:val="0066070B"/>
    <w:rsid w:val="00660983"/>
    <w:rsid w:val="00662E58"/>
    <w:rsid w:val="00664738"/>
    <w:rsid w:val="00665BC7"/>
    <w:rsid w:val="00670356"/>
    <w:rsid w:val="006715EE"/>
    <w:rsid w:val="00672451"/>
    <w:rsid w:val="00676939"/>
    <w:rsid w:val="00677D18"/>
    <w:rsid w:val="00677E06"/>
    <w:rsid w:val="00686A93"/>
    <w:rsid w:val="00686EF2"/>
    <w:rsid w:val="00690990"/>
    <w:rsid w:val="00691387"/>
    <w:rsid w:val="006918CD"/>
    <w:rsid w:val="0069288E"/>
    <w:rsid w:val="00692A3F"/>
    <w:rsid w:val="00694A6D"/>
    <w:rsid w:val="00694E15"/>
    <w:rsid w:val="00695FDB"/>
    <w:rsid w:val="0069710A"/>
    <w:rsid w:val="006A1273"/>
    <w:rsid w:val="006A4A4E"/>
    <w:rsid w:val="006A5EE2"/>
    <w:rsid w:val="006B2637"/>
    <w:rsid w:val="006B2A5D"/>
    <w:rsid w:val="006B4BC6"/>
    <w:rsid w:val="006B5DC6"/>
    <w:rsid w:val="006B6E48"/>
    <w:rsid w:val="006C238C"/>
    <w:rsid w:val="006D061C"/>
    <w:rsid w:val="006D201E"/>
    <w:rsid w:val="006D6390"/>
    <w:rsid w:val="006E1470"/>
    <w:rsid w:val="006E6839"/>
    <w:rsid w:val="006E7335"/>
    <w:rsid w:val="006E74A8"/>
    <w:rsid w:val="006F2D99"/>
    <w:rsid w:val="006F41D6"/>
    <w:rsid w:val="006F7B8F"/>
    <w:rsid w:val="007037D8"/>
    <w:rsid w:val="0070466B"/>
    <w:rsid w:val="0070600B"/>
    <w:rsid w:val="00710307"/>
    <w:rsid w:val="007128AA"/>
    <w:rsid w:val="00715800"/>
    <w:rsid w:val="00717365"/>
    <w:rsid w:val="0072452E"/>
    <w:rsid w:val="0072595B"/>
    <w:rsid w:val="00726F74"/>
    <w:rsid w:val="00732F55"/>
    <w:rsid w:val="007352C6"/>
    <w:rsid w:val="00736807"/>
    <w:rsid w:val="00736B5B"/>
    <w:rsid w:val="00746AB2"/>
    <w:rsid w:val="00746B3D"/>
    <w:rsid w:val="00746BB9"/>
    <w:rsid w:val="0075048A"/>
    <w:rsid w:val="007516EB"/>
    <w:rsid w:val="007527E1"/>
    <w:rsid w:val="007550F9"/>
    <w:rsid w:val="00760CB3"/>
    <w:rsid w:val="007658B9"/>
    <w:rsid w:val="00766A0B"/>
    <w:rsid w:val="00767661"/>
    <w:rsid w:val="00767F00"/>
    <w:rsid w:val="00771472"/>
    <w:rsid w:val="00771642"/>
    <w:rsid w:val="007800D3"/>
    <w:rsid w:val="00786E83"/>
    <w:rsid w:val="00790E00"/>
    <w:rsid w:val="007913E7"/>
    <w:rsid w:val="00791FF2"/>
    <w:rsid w:val="00792919"/>
    <w:rsid w:val="00792958"/>
    <w:rsid w:val="00795A2B"/>
    <w:rsid w:val="0079708A"/>
    <w:rsid w:val="007A3E2D"/>
    <w:rsid w:val="007A7396"/>
    <w:rsid w:val="007B0336"/>
    <w:rsid w:val="007B29B3"/>
    <w:rsid w:val="007B3F26"/>
    <w:rsid w:val="007B4977"/>
    <w:rsid w:val="007B6452"/>
    <w:rsid w:val="007B649F"/>
    <w:rsid w:val="007B75CD"/>
    <w:rsid w:val="007B781D"/>
    <w:rsid w:val="007C532F"/>
    <w:rsid w:val="007C685F"/>
    <w:rsid w:val="007D196D"/>
    <w:rsid w:val="007D2979"/>
    <w:rsid w:val="007D620E"/>
    <w:rsid w:val="007E6510"/>
    <w:rsid w:val="007F1D79"/>
    <w:rsid w:val="007F4C84"/>
    <w:rsid w:val="007F66BB"/>
    <w:rsid w:val="007F6978"/>
    <w:rsid w:val="007F6D41"/>
    <w:rsid w:val="0080057B"/>
    <w:rsid w:val="0081173E"/>
    <w:rsid w:val="008128C3"/>
    <w:rsid w:val="00812FCB"/>
    <w:rsid w:val="0081479E"/>
    <w:rsid w:val="008165DF"/>
    <w:rsid w:val="00826AE4"/>
    <w:rsid w:val="008374DC"/>
    <w:rsid w:val="00837F68"/>
    <w:rsid w:val="00847A16"/>
    <w:rsid w:val="00853E69"/>
    <w:rsid w:val="00860A53"/>
    <w:rsid w:val="008644C8"/>
    <w:rsid w:val="00864FC6"/>
    <w:rsid w:val="00866591"/>
    <w:rsid w:val="0086687E"/>
    <w:rsid w:val="0087106D"/>
    <w:rsid w:val="00872366"/>
    <w:rsid w:val="00873395"/>
    <w:rsid w:val="008819D1"/>
    <w:rsid w:val="00881D32"/>
    <w:rsid w:val="00883494"/>
    <w:rsid w:val="00885A58"/>
    <w:rsid w:val="008914BD"/>
    <w:rsid w:val="00895106"/>
    <w:rsid w:val="00897F38"/>
    <w:rsid w:val="008A06B0"/>
    <w:rsid w:val="008A17DF"/>
    <w:rsid w:val="008A49C6"/>
    <w:rsid w:val="008A4F11"/>
    <w:rsid w:val="008A5B89"/>
    <w:rsid w:val="008A6228"/>
    <w:rsid w:val="008C14D4"/>
    <w:rsid w:val="008C1864"/>
    <w:rsid w:val="008C207D"/>
    <w:rsid w:val="008C337D"/>
    <w:rsid w:val="008D0737"/>
    <w:rsid w:val="008D0F4B"/>
    <w:rsid w:val="008D1CF1"/>
    <w:rsid w:val="008D33AC"/>
    <w:rsid w:val="008D4D9B"/>
    <w:rsid w:val="008D5008"/>
    <w:rsid w:val="008E11E4"/>
    <w:rsid w:val="008F18AE"/>
    <w:rsid w:val="008F76DF"/>
    <w:rsid w:val="008F7ECD"/>
    <w:rsid w:val="0090211A"/>
    <w:rsid w:val="00904FE1"/>
    <w:rsid w:val="009171D3"/>
    <w:rsid w:val="00920F1D"/>
    <w:rsid w:val="009215AB"/>
    <w:rsid w:val="009244C9"/>
    <w:rsid w:val="00926EEF"/>
    <w:rsid w:val="0093079F"/>
    <w:rsid w:val="00932633"/>
    <w:rsid w:val="00941855"/>
    <w:rsid w:val="00941B20"/>
    <w:rsid w:val="00942D9F"/>
    <w:rsid w:val="00942F29"/>
    <w:rsid w:val="00943B6C"/>
    <w:rsid w:val="00944E77"/>
    <w:rsid w:val="00947B13"/>
    <w:rsid w:val="00952BC6"/>
    <w:rsid w:val="009560DC"/>
    <w:rsid w:val="00960621"/>
    <w:rsid w:val="009606FA"/>
    <w:rsid w:val="009679FE"/>
    <w:rsid w:val="00970C49"/>
    <w:rsid w:val="00972E25"/>
    <w:rsid w:val="00972E80"/>
    <w:rsid w:val="00972F22"/>
    <w:rsid w:val="00974712"/>
    <w:rsid w:val="00977651"/>
    <w:rsid w:val="00977812"/>
    <w:rsid w:val="00977FF6"/>
    <w:rsid w:val="00980A0C"/>
    <w:rsid w:val="0099082E"/>
    <w:rsid w:val="009909FA"/>
    <w:rsid w:val="00995148"/>
    <w:rsid w:val="009A39E1"/>
    <w:rsid w:val="009A5441"/>
    <w:rsid w:val="009A5D27"/>
    <w:rsid w:val="009A6E17"/>
    <w:rsid w:val="009B27B3"/>
    <w:rsid w:val="009B2FA1"/>
    <w:rsid w:val="009B3602"/>
    <w:rsid w:val="009B6016"/>
    <w:rsid w:val="009C5358"/>
    <w:rsid w:val="009D0560"/>
    <w:rsid w:val="009D2250"/>
    <w:rsid w:val="009D4BB3"/>
    <w:rsid w:val="009D5CCF"/>
    <w:rsid w:val="009D7FA5"/>
    <w:rsid w:val="009E105B"/>
    <w:rsid w:val="009E1AC3"/>
    <w:rsid w:val="009E1FE4"/>
    <w:rsid w:val="009E2953"/>
    <w:rsid w:val="009E4E7E"/>
    <w:rsid w:val="009E620B"/>
    <w:rsid w:val="009E6560"/>
    <w:rsid w:val="009E769D"/>
    <w:rsid w:val="009F1433"/>
    <w:rsid w:val="009F188F"/>
    <w:rsid w:val="009F7EBC"/>
    <w:rsid w:val="00A048D1"/>
    <w:rsid w:val="00A05CB5"/>
    <w:rsid w:val="00A119F9"/>
    <w:rsid w:val="00A1221F"/>
    <w:rsid w:val="00A15308"/>
    <w:rsid w:val="00A16713"/>
    <w:rsid w:val="00A22873"/>
    <w:rsid w:val="00A239CA"/>
    <w:rsid w:val="00A24579"/>
    <w:rsid w:val="00A25E8A"/>
    <w:rsid w:val="00A271E2"/>
    <w:rsid w:val="00A30E64"/>
    <w:rsid w:val="00A31043"/>
    <w:rsid w:val="00A349F4"/>
    <w:rsid w:val="00A40404"/>
    <w:rsid w:val="00A41A74"/>
    <w:rsid w:val="00A41B4E"/>
    <w:rsid w:val="00A462F3"/>
    <w:rsid w:val="00A46B0E"/>
    <w:rsid w:val="00A501BF"/>
    <w:rsid w:val="00A55E4D"/>
    <w:rsid w:val="00A576F6"/>
    <w:rsid w:val="00A60D9B"/>
    <w:rsid w:val="00A6107F"/>
    <w:rsid w:val="00A632E6"/>
    <w:rsid w:val="00A634CE"/>
    <w:rsid w:val="00A67597"/>
    <w:rsid w:val="00A67E4B"/>
    <w:rsid w:val="00A80C77"/>
    <w:rsid w:val="00A8284A"/>
    <w:rsid w:val="00A86B43"/>
    <w:rsid w:val="00A87B18"/>
    <w:rsid w:val="00A90929"/>
    <w:rsid w:val="00A96D5B"/>
    <w:rsid w:val="00A96E92"/>
    <w:rsid w:val="00A97F5F"/>
    <w:rsid w:val="00AA17F1"/>
    <w:rsid w:val="00AA2355"/>
    <w:rsid w:val="00AA77DB"/>
    <w:rsid w:val="00AB07C3"/>
    <w:rsid w:val="00AB1338"/>
    <w:rsid w:val="00AB1A60"/>
    <w:rsid w:val="00AB1A71"/>
    <w:rsid w:val="00AB6AC5"/>
    <w:rsid w:val="00AB7528"/>
    <w:rsid w:val="00AC1097"/>
    <w:rsid w:val="00AC3B00"/>
    <w:rsid w:val="00AD08D4"/>
    <w:rsid w:val="00AD13BC"/>
    <w:rsid w:val="00AD1529"/>
    <w:rsid w:val="00AD15EB"/>
    <w:rsid w:val="00AD17A3"/>
    <w:rsid w:val="00AD1F96"/>
    <w:rsid w:val="00AD4602"/>
    <w:rsid w:val="00AD6C9E"/>
    <w:rsid w:val="00AD712A"/>
    <w:rsid w:val="00AD7BBB"/>
    <w:rsid w:val="00AE4412"/>
    <w:rsid w:val="00AF2992"/>
    <w:rsid w:val="00AF2C8F"/>
    <w:rsid w:val="00AF7122"/>
    <w:rsid w:val="00AF76BF"/>
    <w:rsid w:val="00AF7AC3"/>
    <w:rsid w:val="00B06548"/>
    <w:rsid w:val="00B07071"/>
    <w:rsid w:val="00B11A2C"/>
    <w:rsid w:val="00B2062B"/>
    <w:rsid w:val="00B23ADD"/>
    <w:rsid w:val="00B25744"/>
    <w:rsid w:val="00B30AA6"/>
    <w:rsid w:val="00B33FE7"/>
    <w:rsid w:val="00B3402F"/>
    <w:rsid w:val="00B35EB0"/>
    <w:rsid w:val="00B35F76"/>
    <w:rsid w:val="00B37DCC"/>
    <w:rsid w:val="00B37E97"/>
    <w:rsid w:val="00B40FBD"/>
    <w:rsid w:val="00B41E27"/>
    <w:rsid w:val="00B44FBF"/>
    <w:rsid w:val="00B461C1"/>
    <w:rsid w:val="00B51C83"/>
    <w:rsid w:val="00B52351"/>
    <w:rsid w:val="00B5288B"/>
    <w:rsid w:val="00B5469F"/>
    <w:rsid w:val="00B563A3"/>
    <w:rsid w:val="00B576BE"/>
    <w:rsid w:val="00B60333"/>
    <w:rsid w:val="00B60412"/>
    <w:rsid w:val="00B64409"/>
    <w:rsid w:val="00B7041C"/>
    <w:rsid w:val="00B70CD5"/>
    <w:rsid w:val="00B70FBE"/>
    <w:rsid w:val="00B77074"/>
    <w:rsid w:val="00B80CB8"/>
    <w:rsid w:val="00B86934"/>
    <w:rsid w:val="00B91BE2"/>
    <w:rsid w:val="00B928FB"/>
    <w:rsid w:val="00B94EE1"/>
    <w:rsid w:val="00B95442"/>
    <w:rsid w:val="00BA0F8A"/>
    <w:rsid w:val="00BA2320"/>
    <w:rsid w:val="00BA3150"/>
    <w:rsid w:val="00BA4BB6"/>
    <w:rsid w:val="00BA4EC3"/>
    <w:rsid w:val="00BA745A"/>
    <w:rsid w:val="00BB0D0B"/>
    <w:rsid w:val="00BB16A8"/>
    <w:rsid w:val="00BC00B9"/>
    <w:rsid w:val="00BC02E4"/>
    <w:rsid w:val="00BC65CA"/>
    <w:rsid w:val="00BC6654"/>
    <w:rsid w:val="00BD30D3"/>
    <w:rsid w:val="00BD3AEE"/>
    <w:rsid w:val="00BE0BD2"/>
    <w:rsid w:val="00BE0E53"/>
    <w:rsid w:val="00BE335D"/>
    <w:rsid w:val="00BE3A79"/>
    <w:rsid w:val="00BE475E"/>
    <w:rsid w:val="00BE5167"/>
    <w:rsid w:val="00BE77EB"/>
    <w:rsid w:val="00BF6618"/>
    <w:rsid w:val="00BF78B1"/>
    <w:rsid w:val="00C025A9"/>
    <w:rsid w:val="00C064C0"/>
    <w:rsid w:val="00C203E3"/>
    <w:rsid w:val="00C216A8"/>
    <w:rsid w:val="00C21E73"/>
    <w:rsid w:val="00C33933"/>
    <w:rsid w:val="00C339F3"/>
    <w:rsid w:val="00C33BF5"/>
    <w:rsid w:val="00C37467"/>
    <w:rsid w:val="00C40754"/>
    <w:rsid w:val="00C40B8A"/>
    <w:rsid w:val="00C44F7C"/>
    <w:rsid w:val="00C4599A"/>
    <w:rsid w:val="00C50F3A"/>
    <w:rsid w:val="00C5293E"/>
    <w:rsid w:val="00C5314A"/>
    <w:rsid w:val="00C57D52"/>
    <w:rsid w:val="00C603E0"/>
    <w:rsid w:val="00C634D6"/>
    <w:rsid w:val="00C657D2"/>
    <w:rsid w:val="00C659B7"/>
    <w:rsid w:val="00C65CA5"/>
    <w:rsid w:val="00C702EE"/>
    <w:rsid w:val="00C74131"/>
    <w:rsid w:val="00C76834"/>
    <w:rsid w:val="00C771D0"/>
    <w:rsid w:val="00C774CB"/>
    <w:rsid w:val="00C81F14"/>
    <w:rsid w:val="00C822C6"/>
    <w:rsid w:val="00C907CE"/>
    <w:rsid w:val="00C91693"/>
    <w:rsid w:val="00C91D97"/>
    <w:rsid w:val="00C939F8"/>
    <w:rsid w:val="00C9409E"/>
    <w:rsid w:val="00C94F4E"/>
    <w:rsid w:val="00C967CA"/>
    <w:rsid w:val="00C96BA1"/>
    <w:rsid w:val="00CA2883"/>
    <w:rsid w:val="00CA2A56"/>
    <w:rsid w:val="00CA3102"/>
    <w:rsid w:val="00CA6186"/>
    <w:rsid w:val="00CA65A9"/>
    <w:rsid w:val="00CB032F"/>
    <w:rsid w:val="00CB0A31"/>
    <w:rsid w:val="00CB2F18"/>
    <w:rsid w:val="00CB7668"/>
    <w:rsid w:val="00CC207B"/>
    <w:rsid w:val="00CD127C"/>
    <w:rsid w:val="00CD137F"/>
    <w:rsid w:val="00CD16E3"/>
    <w:rsid w:val="00CD386A"/>
    <w:rsid w:val="00CD5DE9"/>
    <w:rsid w:val="00CD73E2"/>
    <w:rsid w:val="00CE2737"/>
    <w:rsid w:val="00CF040A"/>
    <w:rsid w:val="00CF07C1"/>
    <w:rsid w:val="00CF0959"/>
    <w:rsid w:val="00CF2D76"/>
    <w:rsid w:val="00CF4B1F"/>
    <w:rsid w:val="00CF5EA6"/>
    <w:rsid w:val="00CF67BE"/>
    <w:rsid w:val="00D01954"/>
    <w:rsid w:val="00D07314"/>
    <w:rsid w:val="00D079AE"/>
    <w:rsid w:val="00D12C5D"/>
    <w:rsid w:val="00D14AAA"/>
    <w:rsid w:val="00D15883"/>
    <w:rsid w:val="00D2357E"/>
    <w:rsid w:val="00D26C4E"/>
    <w:rsid w:val="00D342CD"/>
    <w:rsid w:val="00D3772B"/>
    <w:rsid w:val="00D42DD4"/>
    <w:rsid w:val="00D455C9"/>
    <w:rsid w:val="00D4564E"/>
    <w:rsid w:val="00D46F15"/>
    <w:rsid w:val="00D514C0"/>
    <w:rsid w:val="00D51D6C"/>
    <w:rsid w:val="00D60B4E"/>
    <w:rsid w:val="00D66265"/>
    <w:rsid w:val="00D67CD8"/>
    <w:rsid w:val="00D729E2"/>
    <w:rsid w:val="00D74444"/>
    <w:rsid w:val="00D75944"/>
    <w:rsid w:val="00D81793"/>
    <w:rsid w:val="00D82D92"/>
    <w:rsid w:val="00D8485A"/>
    <w:rsid w:val="00D86A9E"/>
    <w:rsid w:val="00D87D6A"/>
    <w:rsid w:val="00D953D8"/>
    <w:rsid w:val="00DA02E4"/>
    <w:rsid w:val="00DB009C"/>
    <w:rsid w:val="00DB3598"/>
    <w:rsid w:val="00DB4B17"/>
    <w:rsid w:val="00DB58E8"/>
    <w:rsid w:val="00DB718D"/>
    <w:rsid w:val="00DB7CB9"/>
    <w:rsid w:val="00DC0029"/>
    <w:rsid w:val="00DC3EA4"/>
    <w:rsid w:val="00DC3FA6"/>
    <w:rsid w:val="00DD4340"/>
    <w:rsid w:val="00DE057B"/>
    <w:rsid w:val="00DE283D"/>
    <w:rsid w:val="00DE54E7"/>
    <w:rsid w:val="00DF27E2"/>
    <w:rsid w:val="00DF3758"/>
    <w:rsid w:val="00DF6692"/>
    <w:rsid w:val="00DF69C6"/>
    <w:rsid w:val="00DF6D84"/>
    <w:rsid w:val="00E0279A"/>
    <w:rsid w:val="00E109AE"/>
    <w:rsid w:val="00E14413"/>
    <w:rsid w:val="00E1491F"/>
    <w:rsid w:val="00E20461"/>
    <w:rsid w:val="00E21A9D"/>
    <w:rsid w:val="00E221FB"/>
    <w:rsid w:val="00E276AE"/>
    <w:rsid w:val="00E31BC2"/>
    <w:rsid w:val="00E34C33"/>
    <w:rsid w:val="00E34CCD"/>
    <w:rsid w:val="00E40438"/>
    <w:rsid w:val="00E441EF"/>
    <w:rsid w:val="00E4547D"/>
    <w:rsid w:val="00E52DD8"/>
    <w:rsid w:val="00E540CB"/>
    <w:rsid w:val="00E546E5"/>
    <w:rsid w:val="00E554F9"/>
    <w:rsid w:val="00E56C48"/>
    <w:rsid w:val="00E60E3E"/>
    <w:rsid w:val="00E61D91"/>
    <w:rsid w:val="00E61E34"/>
    <w:rsid w:val="00E62759"/>
    <w:rsid w:val="00E63DA7"/>
    <w:rsid w:val="00E65E3E"/>
    <w:rsid w:val="00E67C9B"/>
    <w:rsid w:val="00E72110"/>
    <w:rsid w:val="00E72F41"/>
    <w:rsid w:val="00E73715"/>
    <w:rsid w:val="00E74CA1"/>
    <w:rsid w:val="00E74E95"/>
    <w:rsid w:val="00E85183"/>
    <w:rsid w:val="00E915F7"/>
    <w:rsid w:val="00E92638"/>
    <w:rsid w:val="00E94AD1"/>
    <w:rsid w:val="00E952BF"/>
    <w:rsid w:val="00E95AB9"/>
    <w:rsid w:val="00E95F32"/>
    <w:rsid w:val="00EA0A56"/>
    <w:rsid w:val="00EA1030"/>
    <w:rsid w:val="00EA1478"/>
    <w:rsid w:val="00EA489C"/>
    <w:rsid w:val="00EA54C6"/>
    <w:rsid w:val="00EA7D64"/>
    <w:rsid w:val="00EB0E70"/>
    <w:rsid w:val="00EB0E82"/>
    <w:rsid w:val="00EB1AFB"/>
    <w:rsid w:val="00EB3238"/>
    <w:rsid w:val="00EB5A34"/>
    <w:rsid w:val="00EB5E4A"/>
    <w:rsid w:val="00EB65F2"/>
    <w:rsid w:val="00EB6796"/>
    <w:rsid w:val="00EC4D45"/>
    <w:rsid w:val="00EC51B7"/>
    <w:rsid w:val="00EE3771"/>
    <w:rsid w:val="00EE3EDB"/>
    <w:rsid w:val="00EE4514"/>
    <w:rsid w:val="00EE71A3"/>
    <w:rsid w:val="00EE76C8"/>
    <w:rsid w:val="00EF2C01"/>
    <w:rsid w:val="00F01B1E"/>
    <w:rsid w:val="00F023D8"/>
    <w:rsid w:val="00F0578E"/>
    <w:rsid w:val="00F10148"/>
    <w:rsid w:val="00F11565"/>
    <w:rsid w:val="00F145BB"/>
    <w:rsid w:val="00F1486B"/>
    <w:rsid w:val="00F155C8"/>
    <w:rsid w:val="00F23E50"/>
    <w:rsid w:val="00F25C8E"/>
    <w:rsid w:val="00F26B3F"/>
    <w:rsid w:val="00F278A7"/>
    <w:rsid w:val="00F30E3B"/>
    <w:rsid w:val="00F35B0F"/>
    <w:rsid w:val="00F379A5"/>
    <w:rsid w:val="00F37B62"/>
    <w:rsid w:val="00F44855"/>
    <w:rsid w:val="00F459F5"/>
    <w:rsid w:val="00F45D53"/>
    <w:rsid w:val="00F50931"/>
    <w:rsid w:val="00F570CA"/>
    <w:rsid w:val="00F61895"/>
    <w:rsid w:val="00F61E02"/>
    <w:rsid w:val="00F62654"/>
    <w:rsid w:val="00F65F63"/>
    <w:rsid w:val="00F66F44"/>
    <w:rsid w:val="00F714E5"/>
    <w:rsid w:val="00F71899"/>
    <w:rsid w:val="00F7285C"/>
    <w:rsid w:val="00F73AFB"/>
    <w:rsid w:val="00F74788"/>
    <w:rsid w:val="00F74AA3"/>
    <w:rsid w:val="00F74E7D"/>
    <w:rsid w:val="00F76F2A"/>
    <w:rsid w:val="00F76F8C"/>
    <w:rsid w:val="00F77004"/>
    <w:rsid w:val="00F777B3"/>
    <w:rsid w:val="00F82987"/>
    <w:rsid w:val="00F83D0F"/>
    <w:rsid w:val="00F84D54"/>
    <w:rsid w:val="00F85BEA"/>
    <w:rsid w:val="00F87B1B"/>
    <w:rsid w:val="00F91833"/>
    <w:rsid w:val="00F925C8"/>
    <w:rsid w:val="00F92D2C"/>
    <w:rsid w:val="00F94094"/>
    <w:rsid w:val="00FA614E"/>
    <w:rsid w:val="00FA6412"/>
    <w:rsid w:val="00FA6643"/>
    <w:rsid w:val="00FA6685"/>
    <w:rsid w:val="00FA69C5"/>
    <w:rsid w:val="00FB1622"/>
    <w:rsid w:val="00FB548F"/>
    <w:rsid w:val="00FC1BA1"/>
    <w:rsid w:val="00FC5785"/>
    <w:rsid w:val="00FC661F"/>
    <w:rsid w:val="00FC7E5A"/>
    <w:rsid w:val="00FD05A1"/>
    <w:rsid w:val="00FD1967"/>
    <w:rsid w:val="00FD50E3"/>
    <w:rsid w:val="00FD53E9"/>
    <w:rsid w:val="00FE0B63"/>
    <w:rsid w:val="00FE3A0D"/>
    <w:rsid w:val="00FE466D"/>
    <w:rsid w:val="00FE6862"/>
    <w:rsid w:val="00FE79F9"/>
    <w:rsid w:val="00FF1013"/>
    <w:rsid w:val="00FF20D3"/>
    <w:rsid w:val="00FF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111C3"/>
  <w15:docId w15:val="{683FA74C-1929-4E32-A2CD-8645D142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12"/>
    <w:pPr>
      <w:spacing w:line="480" w:lineRule="auto"/>
      <w:ind w:firstLine="720"/>
    </w:pPr>
    <w:rPr>
      <w:sz w:val="22"/>
    </w:rPr>
  </w:style>
  <w:style w:type="paragraph" w:styleId="Heading1">
    <w:name w:val="heading 1"/>
    <w:basedOn w:val="Normal"/>
    <w:next w:val="Normal"/>
    <w:autoRedefine/>
    <w:qFormat/>
    <w:rsid w:val="00767661"/>
    <w:pPr>
      <w:keepNext/>
      <w:tabs>
        <w:tab w:val="left" w:pos="1800"/>
      </w:tabs>
      <w:spacing w:after="120"/>
      <w:ind w:firstLine="432"/>
      <w:outlineLvl w:val="0"/>
    </w:pPr>
    <w:rPr>
      <w:b/>
      <w:noProof/>
    </w:rPr>
  </w:style>
  <w:style w:type="paragraph" w:styleId="Heading2">
    <w:name w:val="heading 2"/>
    <w:aliases w:val="Heading 2_OMB"/>
    <w:basedOn w:val="Normal"/>
    <w:next w:val="Normal"/>
    <w:autoRedefine/>
    <w:qFormat/>
    <w:rsid w:val="00F30E3B"/>
    <w:pPr>
      <w:keepNext/>
      <w:tabs>
        <w:tab w:val="left" w:pos="0"/>
      </w:tabs>
      <w:ind w:firstLine="0"/>
      <w:outlineLvl w:val="1"/>
    </w:pPr>
    <w:rPr>
      <w:b/>
    </w:rPr>
  </w:style>
  <w:style w:type="paragraph" w:styleId="Heading3">
    <w:name w:val="heading 3"/>
    <w:aliases w:val="Heading 3_OMB"/>
    <w:basedOn w:val="Normal"/>
    <w:next w:val="Normal"/>
    <w:qFormat/>
    <w:rsid w:val="00C65CA5"/>
    <w:pPr>
      <w:keepNext/>
      <w:spacing w:before="120"/>
      <w:ind w:left="1152" w:hanging="432"/>
      <w:outlineLvl w:val="2"/>
    </w:pPr>
    <w:rPr>
      <w:rFonts w:ascii="Times New Roman Bold" w:hAnsi="Times New Roman Bold"/>
      <w:szCs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outlineLvl w:val="5"/>
    </w:pPr>
    <w:rPr>
      <w:u w:val="single"/>
    </w:rPr>
  </w:style>
  <w:style w:type="paragraph" w:styleId="Heading7">
    <w:name w:val="heading 7"/>
    <w:basedOn w:val="Normal"/>
    <w:next w:val="Normal"/>
    <w:qFormat/>
    <w:pPr>
      <w:keepNext/>
      <w:ind w:hanging="9"/>
      <w:outlineLvl w:val="6"/>
    </w:pPr>
    <w:rPr>
      <w:b/>
    </w:rPr>
  </w:style>
  <w:style w:type="paragraph" w:styleId="Heading8">
    <w:name w:val="heading 8"/>
    <w:basedOn w:val="Normal"/>
    <w:next w:val="Normal"/>
    <w:qFormat/>
    <w:pPr>
      <w:keepNext/>
      <w:ind w:left="720"/>
      <w:outlineLvl w:val="7"/>
    </w:pPr>
    <w:rPr>
      <w:b/>
    </w:rPr>
  </w:style>
  <w:style w:type="paragraph" w:styleId="Heading9">
    <w:name w:val="heading 9"/>
    <w:basedOn w:val="Normal"/>
    <w:next w:val="Normal"/>
    <w:qFormat/>
    <w:pPr>
      <w:keepNext/>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style>
  <w:style w:type="paragraph" w:styleId="BodyTextIndent">
    <w:name w:val="Body Text Indent"/>
    <w:basedOn w:val="Normal"/>
    <w:pPr>
      <w:ind w:firstLine="360"/>
    </w:pPr>
  </w:style>
  <w:style w:type="paragraph" w:styleId="BodyTextIndent2">
    <w:name w:val="Body Text Indent 2"/>
    <w:basedOn w:val="Normal"/>
    <w:pPr>
      <w:ind w:left="7200" w:hanging="2880"/>
    </w:pPr>
  </w:style>
  <w:style w:type="paragraph" w:customStyle="1" w:styleId="Level1">
    <w:name w:val="Level 1"/>
    <w:basedOn w:val="Normal"/>
    <w:pPr>
      <w:widowControl w:val="0"/>
      <w:ind w:left="720" w:hanging="720"/>
    </w:pPr>
    <w:rPr>
      <w:snapToGrid w:val="0"/>
      <w:sz w:val="24"/>
    </w:rPr>
  </w:style>
  <w:style w:type="paragraph" w:styleId="BodyTextIndent3">
    <w:name w:val="Body Text Indent 3"/>
    <w:basedOn w:val="Normal"/>
    <w:pPr>
      <w:ind w:left="450" w:firstLine="27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F4B1F"/>
    <w:rPr>
      <w:rFonts w:ascii="Tahoma" w:hAnsi="Tahoma" w:cs="Tahoma"/>
      <w:sz w:val="16"/>
      <w:szCs w:val="16"/>
    </w:rPr>
  </w:style>
  <w:style w:type="character" w:styleId="CommentReference">
    <w:name w:val="annotation reference"/>
    <w:uiPriority w:val="99"/>
    <w:rsid w:val="00F82987"/>
    <w:rPr>
      <w:sz w:val="16"/>
      <w:szCs w:val="16"/>
    </w:rPr>
  </w:style>
  <w:style w:type="paragraph" w:styleId="CommentText">
    <w:name w:val="annotation text"/>
    <w:basedOn w:val="Normal"/>
    <w:link w:val="CommentTextChar"/>
    <w:uiPriority w:val="99"/>
    <w:rsid w:val="00F82987"/>
  </w:style>
  <w:style w:type="paragraph" w:styleId="CommentSubject">
    <w:name w:val="annotation subject"/>
    <w:basedOn w:val="CommentText"/>
    <w:next w:val="CommentText"/>
    <w:semiHidden/>
    <w:rsid w:val="00F82987"/>
    <w:rPr>
      <w:b/>
      <w:bCs/>
    </w:rPr>
  </w:style>
  <w:style w:type="paragraph" w:styleId="NormalWeb">
    <w:name w:val="Normal (Web)"/>
    <w:basedOn w:val="Normal"/>
    <w:uiPriority w:val="99"/>
    <w:rsid w:val="00B35F76"/>
    <w:pPr>
      <w:spacing w:before="100" w:beforeAutospacing="1" w:after="100" w:afterAutospacing="1"/>
    </w:pPr>
    <w:rPr>
      <w:sz w:val="24"/>
      <w:szCs w:val="24"/>
    </w:rPr>
  </w:style>
  <w:style w:type="paragraph" w:styleId="TOC1">
    <w:name w:val="toc 1"/>
    <w:basedOn w:val="Normal"/>
    <w:next w:val="Normal"/>
    <w:autoRedefine/>
    <w:uiPriority w:val="39"/>
    <w:rsid w:val="00F0578E"/>
    <w:pPr>
      <w:tabs>
        <w:tab w:val="left" w:pos="720"/>
        <w:tab w:val="right" w:pos="9360"/>
      </w:tabs>
      <w:ind w:firstLine="360"/>
    </w:pPr>
    <w:rPr>
      <w:b/>
      <w:smallCaps/>
    </w:rPr>
  </w:style>
  <w:style w:type="paragraph" w:styleId="TOC3">
    <w:name w:val="toc 3"/>
    <w:basedOn w:val="Normal"/>
    <w:next w:val="Normal"/>
    <w:autoRedefine/>
    <w:semiHidden/>
    <w:rsid w:val="00B77074"/>
    <w:pPr>
      <w:ind w:left="400"/>
    </w:pPr>
  </w:style>
  <w:style w:type="paragraph" w:styleId="TOC2">
    <w:name w:val="toc 2"/>
    <w:basedOn w:val="Normal"/>
    <w:next w:val="Normal"/>
    <w:autoRedefine/>
    <w:uiPriority w:val="39"/>
    <w:rsid w:val="00F0578E"/>
    <w:pPr>
      <w:tabs>
        <w:tab w:val="left" w:pos="1260"/>
        <w:tab w:val="right" w:leader="dot" w:pos="9350"/>
      </w:tabs>
      <w:ind w:left="1260" w:hanging="540"/>
    </w:pPr>
    <w:rPr>
      <w:noProof/>
      <w:color w:val="000000"/>
    </w:rPr>
  </w:style>
  <w:style w:type="paragraph" w:styleId="HTMLPreformatted">
    <w:name w:val="HTML Preformatted"/>
    <w:basedOn w:val="Normal"/>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72"/>
    <w:rsid w:val="00A46B0E"/>
    <w:pPr>
      <w:ind w:left="720"/>
      <w:contextualSpacing/>
    </w:pPr>
  </w:style>
  <w:style w:type="paragraph" w:styleId="Revision">
    <w:name w:val="Revision"/>
    <w:hidden/>
    <w:uiPriority w:val="71"/>
    <w:rsid w:val="001E236B"/>
  </w:style>
  <w:style w:type="paragraph" w:styleId="FootnoteText">
    <w:name w:val="footnote text"/>
    <w:basedOn w:val="Normal"/>
    <w:link w:val="FootnoteTextChar"/>
    <w:rsid w:val="009E2953"/>
    <w:pPr>
      <w:spacing w:line="240" w:lineRule="auto"/>
    </w:pPr>
    <w:rPr>
      <w:sz w:val="24"/>
      <w:szCs w:val="24"/>
    </w:rPr>
  </w:style>
  <w:style w:type="character" w:customStyle="1" w:styleId="FootnoteTextChar">
    <w:name w:val="Footnote Text Char"/>
    <w:basedOn w:val="DefaultParagraphFont"/>
    <w:link w:val="FootnoteText"/>
    <w:rsid w:val="009E2953"/>
    <w:rPr>
      <w:sz w:val="24"/>
      <w:szCs w:val="24"/>
    </w:rPr>
  </w:style>
  <w:style w:type="character" w:styleId="FootnoteReference">
    <w:name w:val="footnote reference"/>
    <w:basedOn w:val="DefaultParagraphFont"/>
    <w:rsid w:val="009E2953"/>
    <w:rPr>
      <w:vertAlign w:val="superscript"/>
    </w:rPr>
  </w:style>
  <w:style w:type="character" w:customStyle="1" w:styleId="CommentTextChar">
    <w:name w:val="Comment Text Char"/>
    <w:link w:val="CommentText"/>
    <w:uiPriority w:val="99"/>
    <w:rsid w:val="004012CC"/>
    <w:rPr>
      <w:sz w:val="22"/>
    </w:rPr>
  </w:style>
  <w:style w:type="table" w:styleId="TableGrid">
    <w:name w:val="Table Grid"/>
    <w:basedOn w:val="TableNormal"/>
    <w:rsid w:val="00F9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F91833"/>
    <w:pPr>
      <w:spacing w:line="480" w:lineRule="auto"/>
      <w:ind w:firstLine="720"/>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Columns4">
    <w:name w:val="Table Columns 4"/>
    <w:basedOn w:val="TableNormal"/>
    <w:rsid w:val="0069710A"/>
    <w:pPr>
      <w:spacing w:line="480" w:lineRule="auto"/>
      <w:ind w:firstLine="720"/>
    </w:pPr>
    <w:tblPr>
      <w:tblStyleColBandSize w:val="1"/>
    </w:tblPr>
    <w:tcPr>
      <w:shd w:val="pct50" w:color="008080" w:fill="FFFFFF"/>
    </w:tcPr>
    <w:tblStylePr w:type="firstRow">
      <w:rPr>
        <w:color w:val="FFFFFF"/>
      </w:rPr>
      <w:tblPr/>
      <w:tcPr>
        <w:shd w:val="solid" w:color="000000" w:fill="FFFFFF"/>
      </w:tcPr>
    </w:tblStylePr>
    <w:tblStylePr w:type="lastRow">
      <w:rPr>
        <w:b/>
        <w:bCs/>
      </w:rPr>
    </w:tblStylePr>
    <w:tblStylePr w:type="lastCol">
      <w:rPr>
        <w:b/>
        <w:bCs/>
      </w:rPr>
    </w:tblStylePr>
    <w:tblStylePr w:type="band2Vert">
      <w:rPr>
        <w:color w:val="auto"/>
      </w:rPr>
      <w:tblPr/>
      <w:tcPr>
        <w:shd w:val="pct10" w:color="000000" w:fill="FFFFFF"/>
      </w:tcPr>
    </w:tblStylePr>
  </w:style>
  <w:style w:type="table" w:styleId="TableList4">
    <w:name w:val="Table List 4"/>
    <w:basedOn w:val="TableNormal"/>
    <w:rsid w:val="0069710A"/>
    <w:pPr>
      <w:spacing w:line="480"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Professional">
    <w:name w:val="Table Professional"/>
    <w:basedOn w:val="TableNormal"/>
    <w:rsid w:val="0069710A"/>
    <w:pPr>
      <w:spacing w:line="48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P1-StandPara">
    <w:name w:val="P1-Stand Para"/>
    <w:rsid w:val="009F188F"/>
    <w:pPr>
      <w:spacing w:line="480" w:lineRule="auto"/>
      <w:ind w:firstLine="720"/>
    </w:pPr>
    <w:rPr>
      <w:sz w:val="22"/>
    </w:rPr>
  </w:style>
  <w:style w:type="paragraph" w:styleId="TOC4">
    <w:name w:val="toc 4"/>
    <w:basedOn w:val="Normal"/>
    <w:next w:val="Normal"/>
    <w:autoRedefine/>
    <w:rsid w:val="00F30E3B"/>
    <w:pPr>
      <w:ind w:left="660"/>
    </w:pPr>
  </w:style>
  <w:style w:type="paragraph" w:styleId="TOC5">
    <w:name w:val="toc 5"/>
    <w:basedOn w:val="Normal"/>
    <w:next w:val="Normal"/>
    <w:autoRedefine/>
    <w:rsid w:val="00F30E3B"/>
    <w:pPr>
      <w:ind w:left="880"/>
    </w:pPr>
  </w:style>
  <w:style w:type="paragraph" w:styleId="TOC6">
    <w:name w:val="toc 6"/>
    <w:basedOn w:val="Normal"/>
    <w:next w:val="Normal"/>
    <w:autoRedefine/>
    <w:rsid w:val="00F30E3B"/>
    <w:pPr>
      <w:ind w:left="1100"/>
    </w:pPr>
  </w:style>
  <w:style w:type="paragraph" w:styleId="TOC7">
    <w:name w:val="toc 7"/>
    <w:basedOn w:val="Normal"/>
    <w:next w:val="Normal"/>
    <w:autoRedefine/>
    <w:rsid w:val="00F30E3B"/>
    <w:pPr>
      <w:ind w:left="1320"/>
    </w:pPr>
  </w:style>
  <w:style w:type="paragraph" w:styleId="TOC8">
    <w:name w:val="toc 8"/>
    <w:basedOn w:val="Normal"/>
    <w:next w:val="Normal"/>
    <w:autoRedefine/>
    <w:rsid w:val="00F30E3B"/>
    <w:pPr>
      <w:ind w:left="1540"/>
    </w:pPr>
  </w:style>
  <w:style w:type="paragraph" w:styleId="TOC9">
    <w:name w:val="toc 9"/>
    <w:basedOn w:val="Normal"/>
    <w:next w:val="Normal"/>
    <w:autoRedefine/>
    <w:rsid w:val="00F30E3B"/>
    <w:pPr>
      <w:ind w:left="1760"/>
    </w:pPr>
  </w:style>
  <w:style w:type="paragraph" w:customStyle="1" w:styleId="EndNoteBibliography">
    <w:name w:val="EndNote Bibliography"/>
    <w:basedOn w:val="Normal"/>
    <w:link w:val="EndNoteBibliographyChar"/>
    <w:rsid w:val="000562EB"/>
    <w:pPr>
      <w:spacing w:line="240" w:lineRule="auto"/>
    </w:pPr>
    <w:rPr>
      <w:noProof/>
    </w:rPr>
  </w:style>
  <w:style w:type="character" w:customStyle="1" w:styleId="EndNoteBibliographyChar">
    <w:name w:val="EndNote Bibliography Char"/>
    <w:basedOn w:val="CommentTextChar"/>
    <w:link w:val="EndNoteBibliography"/>
    <w:rsid w:val="000562EB"/>
    <w:rPr>
      <w:noProof/>
      <w:sz w:val="22"/>
    </w:rPr>
  </w:style>
  <w:style w:type="paragraph" w:customStyle="1" w:styleId="EndNoteBibliographyTitle">
    <w:name w:val="EndNote Bibliography Title"/>
    <w:basedOn w:val="Normal"/>
    <w:rsid w:val="00D0731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12295">
      <w:bodyDiv w:val="1"/>
      <w:marLeft w:val="0"/>
      <w:marRight w:val="0"/>
      <w:marTop w:val="0"/>
      <w:marBottom w:val="0"/>
      <w:divBdr>
        <w:top w:val="none" w:sz="0" w:space="0" w:color="auto"/>
        <w:left w:val="none" w:sz="0" w:space="0" w:color="auto"/>
        <w:bottom w:val="none" w:sz="0" w:space="0" w:color="auto"/>
        <w:right w:val="none" w:sz="0" w:space="0" w:color="auto"/>
      </w:divBdr>
    </w:div>
    <w:div w:id="683291901">
      <w:bodyDiv w:val="1"/>
      <w:marLeft w:val="0"/>
      <w:marRight w:val="0"/>
      <w:marTop w:val="0"/>
      <w:marBottom w:val="0"/>
      <w:divBdr>
        <w:top w:val="none" w:sz="0" w:space="0" w:color="auto"/>
        <w:left w:val="none" w:sz="0" w:space="0" w:color="auto"/>
        <w:bottom w:val="none" w:sz="0" w:space="0" w:color="auto"/>
        <w:right w:val="none" w:sz="0" w:space="0" w:color="auto"/>
      </w:divBdr>
      <w:divsChild>
        <w:div w:id="626813173">
          <w:marLeft w:val="0"/>
          <w:marRight w:val="0"/>
          <w:marTop w:val="0"/>
          <w:marBottom w:val="0"/>
          <w:divBdr>
            <w:top w:val="none" w:sz="0" w:space="0" w:color="auto"/>
            <w:left w:val="none" w:sz="0" w:space="0" w:color="auto"/>
            <w:bottom w:val="none" w:sz="0" w:space="0" w:color="auto"/>
            <w:right w:val="none" w:sz="0" w:space="0" w:color="auto"/>
          </w:divBdr>
        </w:div>
      </w:divsChild>
    </w:div>
    <w:div w:id="897663907">
      <w:bodyDiv w:val="1"/>
      <w:marLeft w:val="0"/>
      <w:marRight w:val="0"/>
      <w:marTop w:val="0"/>
      <w:marBottom w:val="0"/>
      <w:divBdr>
        <w:top w:val="none" w:sz="0" w:space="0" w:color="auto"/>
        <w:left w:val="none" w:sz="0" w:space="0" w:color="auto"/>
        <w:bottom w:val="none" w:sz="0" w:space="0" w:color="auto"/>
        <w:right w:val="none" w:sz="0" w:space="0" w:color="auto"/>
      </w:divBdr>
      <w:divsChild>
        <w:div w:id="583225775">
          <w:marLeft w:val="0"/>
          <w:marRight w:val="0"/>
          <w:marTop w:val="0"/>
          <w:marBottom w:val="0"/>
          <w:divBdr>
            <w:top w:val="none" w:sz="0" w:space="0" w:color="auto"/>
            <w:left w:val="none" w:sz="0" w:space="0" w:color="auto"/>
            <w:bottom w:val="none" w:sz="0" w:space="0" w:color="auto"/>
            <w:right w:val="none" w:sz="0" w:space="0" w:color="auto"/>
          </w:divBdr>
          <w:divsChild>
            <w:div w:id="389231587">
              <w:marLeft w:val="0"/>
              <w:marRight w:val="0"/>
              <w:marTop w:val="0"/>
              <w:marBottom w:val="0"/>
              <w:divBdr>
                <w:top w:val="none" w:sz="0" w:space="0" w:color="auto"/>
                <w:left w:val="none" w:sz="0" w:space="0" w:color="auto"/>
                <w:bottom w:val="none" w:sz="0" w:space="0" w:color="auto"/>
                <w:right w:val="none" w:sz="0" w:space="0" w:color="auto"/>
              </w:divBdr>
              <w:divsChild>
                <w:div w:id="16249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3445">
      <w:bodyDiv w:val="1"/>
      <w:marLeft w:val="0"/>
      <w:marRight w:val="0"/>
      <w:marTop w:val="0"/>
      <w:marBottom w:val="0"/>
      <w:divBdr>
        <w:top w:val="none" w:sz="0" w:space="0" w:color="auto"/>
        <w:left w:val="none" w:sz="0" w:space="0" w:color="auto"/>
        <w:bottom w:val="none" w:sz="0" w:space="0" w:color="auto"/>
        <w:right w:val="none" w:sz="0" w:space="0" w:color="auto"/>
      </w:divBdr>
      <w:divsChild>
        <w:div w:id="339087119">
          <w:marLeft w:val="0"/>
          <w:marRight w:val="0"/>
          <w:marTop w:val="0"/>
          <w:marBottom w:val="0"/>
          <w:divBdr>
            <w:top w:val="none" w:sz="0" w:space="0" w:color="auto"/>
            <w:left w:val="none" w:sz="0" w:space="0" w:color="auto"/>
            <w:bottom w:val="none" w:sz="0" w:space="0" w:color="auto"/>
            <w:right w:val="none" w:sz="0" w:space="0" w:color="auto"/>
          </w:divBdr>
          <w:divsChild>
            <w:div w:id="1062218288">
              <w:marLeft w:val="0"/>
              <w:marRight w:val="0"/>
              <w:marTop w:val="0"/>
              <w:marBottom w:val="0"/>
              <w:divBdr>
                <w:top w:val="none" w:sz="0" w:space="0" w:color="auto"/>
                <w:left w:val="none" w:sz="0" w:space="0" w:color="auto"/>
                <w:bottom w:val="none" w:sz="0" w:space="0" w:color="auto"/>
                <w:right w:val="none" w:sz="0" w:space="0" w:color="auto"/>
              </w:divBdr>
              <w:divsChild>
                <w:div w:id="9256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57779">
      <w:bodyDiv w:val="1"/>
      <w:marLeft w:val="0"/>
      <w:marRight w:val="0"/>
      <w:marTop w:val="0"/>
      <w:marBottom w:val="0"/>
      <w:divBdr>
        <w:top w:val="none" w:sz="0" w:space="0" w:color="auto"/>
        <w:left w:val="none" w:sz="0" w:space="0" w:color="auto"/>
        <w:bottom w:val="none" w:sz="0" w:space="0" w:color="auto"/>
        <w:right w:val="none" w:sz="0" w:space="0" w:color="auto"/>
      </w:divBdr>
      <w:divsChild>
        <w:div w:id="1600672298">
          <w:marLeft w:val="0"/>
          <w:marRight w:val="0"/>
          <w:marTop w:val="0"/>
          <w:marBottom w:val="0"/>
          <w:divBdr>
            <w:top w:val="none" w:sz="0" w:space="0" w:color="auto"/>
            <w:left w:val="none" w:sz="0" w:space="0" w:color="auto"/>
            <w:bottom w:val="none" w:sz="0" w:space="0" w:color="auto"/>
            <w:right w:val="none" w:sz="0" w:space="0" w:color="auto"/>
          </w:divBdr>
          <w:divsChild>
            <w:div w:id="682973592">
              <w:marLeft w:val="0"/>
              <w:marRight w:val="0"/>
              <w:marTop w:val="0"/>
              <w:marBottom w:val="0"/>
              <w:divBdr>
                <w:top w:val="none" w:sz="0" w:space="0" w:color="auto"/>
                <w:left w:val="none" w:sz="0" w:space="0" w:color="auto"/>
                <w:bottom w:val="none" w:sz="0" w:space="0" w:color="auto"/>
                <w:right w:val="none" w:sz="0" w:space="0" w:color="auto"/>
              </w:divBdr>
              <w:divsChild>
                <w:div w:id="767578742">
                  <w:marLeft w:val="0"/>
                  <w:marRight w:val="0"/>
                  <w:marTop w:val="0"/>
                  <w:marBottom w:val="0"/>
                  <w:divBdr>
                    <w:top w:val="none" w:sz="0" w:space="0" w:color="auto"/>
                    <w:left w:val="none" w:sz="0" w:space="0" w:color="auto"/>
                    <w:bottom w:val="none" w:sz="0" w:space="0" w:color="auto"/>
                    <w:right w:val="none" w:sz="0" w:space="0" w:color="auto"/>
                  </w:divBdr>
                </w:div>
              </w:divsChild>
            </w:div>
            <w:div w:id="1273513504">
              <w:marLeft w:val="0"/>
              <w:marRight w:val="0"/>
              <w:marTop w:val="0"/>
              <w:marBottom w:val="0"/>
              <w:divBdr>
                <w:top w:val="none" w:sz="0" w:space="0" w:color="auto"/>
                <w:left w:val="none" w:sz="0" w:space="0" w:color="auto"/>
                <w:bottom w:val="none" w:sz="0" w:space="0" w:color="auto"/>
                <w:right w:val="none" w:sz="0" w:space="0" w:color="auto"/>
              </w:divBdr>
              <w:divsChild>
                <w:div w:id="985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7034">
          <w:marLeft w:val="0"/>
          <w:marRight w:val="0"/>
          <w:marTop w:val="0"/>
          <w:marBottom w:val="0"/>
          <w:divBdr>
            <w:top w:val="none" w:sz="0" w:space="0" w:color="auto"/>
            <w:left w:val="none" w:sz="0" w:space="0" w:color="auto"/>
            <w:bottom w:val="none" w:sz="0" w:space="0" w:color="auto"/>
            <w:right w:val="none" w:sz="0" w:space="0" w:color="auto"/>
          </w:divBdr>
          <w:divsChild>
            <w:div w:id="595284102">
              <w:marLeft w:val="0"/>
              <w:marRight w:val="0"/>
              <w:marTop w:val="0"/>
              <w:marBottom w:val="0"/>
              <w:divBdr>
                <w:top w:val="none" w:sz="0" w:space="0" w:color="auto"/>
                <w:left w:val="none" w:sz="0" w:space="0" w:color="auto"/>
                <w:bottom w:val="none" w:sz="0" w:space="0" w:color="auto"/>
                <w:right w:val="none" w:sz="0" w:space="0" w:color="auto"/>
              </w:divBdr>
              <w:divsChild>
                <w:div w:id="10930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086">
      <w:bodyDiv w:val="1"/>
      <w:marLeft w:val="0"/>
      <w:marRight w:val="0"/>
      <w:marTop w:val="0"/>
      <w:marBottom w:val="0"/>
      <w:divBdr>
        <w:top w:val="none" w:sz="0" w:space="0" w:color="auto"/>
        <w:left w:val="none" w:sz="0" w:space="0" w:color="auto"/>
        <w:bottom w:val="none" w:sz="0" w:space="0" w:color="auto"/>
        <w:right w:val="none" w:sz="0" w:space="0" w:color="auto"/>
      </w:divBdr>
      <w:divsChild>
        <w:div w:id="1445154767">
          <w:marLeft w:val="0"/>
          <w:marRight w:val="0"/>
          <w:marTop w:val="0"/>
          <w:marBottom w:val="0"/>
          <w:divBdr>
            <w:top w:val="none" w:sz="0" w:space="0" w:color="auto"/>
            <w:left w:val="none" w:sz="0" w:space="0" w:color="auto"/>
            <w:bottom w:val="none" w:sz="0" w:space="0" w:color="auto"/>
            <w:right w:val="none" w:sz="0" w:space="0" w:color="auto"/>
          </w:divBdr>
          <w:divsChild>
            <w:div w:id="1487622946">
              <w:marLeft w:val="0"/>
              <w:marRight w:val="0"/>
              <w:marTop w:val="0"/>
              <w:marBottom w:val="0"/>
              <w:divBdr>
                <w:top w:val="none" w:sz="0" w:space="0" w:color="auto"/>
                <w:left w:val="none" w:sz="0" w:space="0" w:color="auto"/>
                <w:bottom w:val="none" w:sz="0" w:space="0" w:color="auto"/>
                <w:right w:val="none" w:sz="0" w:space="0" w:color="auto"/>
              </w:divBdr>
              <w:divsChild>
                <w:div w:id="1206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28103">
      <w:bodyDiv w:val="1"/>
      <w:marLeft w:val="0"/>
      <w:marRight w:val="0"/>
      <w:marTop w:val="0"/>
      <w:marBottom w:val="0"/>
      <w:divBdr>
        <w:top w:val="none" w:sz="0" w:space="0" w:color="auto"/>
        <w:left w:val="none" w:sz="0" w:space="0" w:color="auto"/>
        <w:bottom w:val="none" w:sz="0" w:space="0" w:color="auto"/>
        <w:right w:val="none" w:sz="0" w:space="0" w:color="auto"/>
      </w:divBdr>
    </w:div>
    <w:div w:id="1983926615">
      <w:bodyDiv w:val="1"/>
      <w:marLeft w:val="0"/>
      <w:marRight w:val="0"/>
      <w:marTop w:val="0"/>
      <w:marBottom w:val="0"/>
      <w:divBdr>
        <w:top w:val="none" w:sz="0" w:space="0" w:color="auto"/>
        <w:left w:val="none" w:sz="0" w:space="0" w:color="auto"/>
        <w:bottom w:val="none" w:sz="0" w:space="0" w:color="auto"/>
        <w:right w:val="none" w:sz="0" w:space="0" w:color="auto"/>
      </w:divBdr>
      <w:divsChild>
        <w:div w:id="37630299">
          <w:marLeft w:val="0"/>
          <w:marRight w:val="0"/>
          <w:marTop w:val="0"/>
          <w:marBottom w:val="0"/>
          <w:divBdr>
            <w:top w:val="none" w:sz="0" w:space="0" w:color="auto"/>
            <w:left w:val="none" w:sz="0" w:space="0" w:color="auto"/>
            <w:bottom w:val="none" w:sz="0" w:space="0" w:color="auto"/>
            <w:right w:val="none" w:sz="0" w:space="0" w:color="auto"/>
          </w:divBdr>
          <w:divsChild>
            <w:div w:id="785075322">
              <w:marLeft w:val="0"/>
              <w:marRight w:val="0"/>
              <w:marTop w:val="0"/>
              <w:marBottom w:val="0"/>
              <w:divBdr>
                <w:top w:val="none" w:sz="0" w:space="0" w:color="auto"/>
                <w:left w:val="none" w:sz="0" w:space="0" w:color="auto"/>
                <w:bottom w:val="none" w:sz="0" w:space="0" w:color="auto"/>
                <w:right w:val="none" w:sz="0" w:space="0" w:color="auto"/>
              </w:divBdr>
              <w:divsChild>
                <w:div w:id="129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a.taylor@niehs.nih.gov" TargetMode="External"/><Relationship Id="rId13" Type="http://schemas.openxmlformats.org/officeDocument/2006/relationships/hyperlink" Target="mailto:wolfe@niehs.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ability.gov/how-to-and-tools/methods/card-sort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hayer@nieh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DDB63-3A7A-4027-AF2D-B7CEC9B1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22776</CharactersWithSpaces>
  <SharedDoc>false</SharedDoc>
  <HLinks>
    <vt:vector size="12" baseType="variant">
      <vt:variant>
        <vt:i4>3342376</vt:i4>
      </vt:variant>
      <vt:variant>
        <vt:i4>6</vt:i4>
      </vt:variant>
      <vt:variant>
        <vt:i4>0</vt:i4>
      </vt:variant>
      <vt:variant>
        <vt:i4>5</vt:i4>
      </vt:variant>
      <vt:variant>
        <vt:lpwstr>http://www.ncbi.nlm.nih.gov/pubmed/22152926</vt:lpwstr>
      </vt:variant>
      <vt:variant>
        <vt:lpwstr/>
      </vt:variant>
      <vt:variant>
        <vt:i4>3342371</vt:i4>
      </vt:variant>
      <vt:variant>
        <vt:i4>3</vt:i4>
      </vt:variant>
      <vt:variant>
        <vt:i4>0</vt:i4>
      </vt:variant>
      <vt:variant>
        <vt:i4>5</vt:i4>
      </vt:variant>
      <vt:variant>
        <vt:lpwstr>http://www.ncbi.nlm.nih.gov/pubmed/22049383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NIEHS</dc:creator>
  <cp:lastModifiedBy>Fountain, Marisa (NIH/OD) [E]</cp:lastModifiedBy>
  <cp:revision>2</cp:revision>
  <cp:lastPrinted>2016-06-23T18:29:00Z</cp:lastPrinted>
  <dcterms:created xsi:type="dcterms:W3CDTF">2016-08-01T16:17:00Z</dcterms:created>
  <dcterms:modified xsi:type="dcterms:W3CDTF">2016-08-01T16:17:00Z</dcterms:modified>
</cp:coreProperties>
</file>