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F3FD" w14:textId="77777777"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p>
    <w:p w14:paraId="5349F3D2" w14:textId="77777777" w:rsidR="00E35DD1" w:rsidRPr="008942E9" w:rsidRDefault="00E35DD1" w:rsidP="00767C53">
      <w:pPr>
        <w:pStyle w:val="P1-StandPara"/>
        <w:tabs>
          <w:tab w:val="left" w:pos="720"/>
          <w:tab w:val="right" w:leader="dot" w:pos="9504"/>
        </w:tabs>
        <w:spacing w:before="120" w:after="120"/>
        <w:ind w:firstLine="0"/>
        <w:jc w:val="center"/>
        <w:rPr>
          <w:rFonts w:ascii="Calibri" w:hAnsi="Calibri"/>
          <w:szCs w:val="22"/>
        </w:rPr>
      </w:pPr>
      <w:r w:rsidRPr="008942E9">
        <w:rPr>
          <w:rFonts w:ascii="Calibri" w:hAnsi="Calibri"/>
          <w:szCs w:val="22"/>
        </w:rPr>
        <w:t>Supporting Statement A for</w:t>
      </w:r>
    </w:p>
    <w:p w14:paraId="571BA0FF" w14:textId="77777777"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 xml:space="preserve">                    </w:t>
      </w:r>
    </w:p>
    <w:p w14:paraId="59FC2B14" w14:textId="77777777" w:rsidR="00E35DD1" w:rsidRPr="008942E9" w:rsidRDefault="00113716" w:rsidP="00113716">
      <w:pPr>
        <w:pStyle w:val="P1-StandPara"/>
        <w:tabs>
          <w:tab w:val="left" w:pos="720"/>
          <w:tab w:val="right" w:leader="dot" w:pos="9504"/>
        </w:tabs>
        <w:spacing w:before="120" w:after="120"/>
        <w:ind w:firstLine="0"/>
        <w:jc w:val="center"/>
        <w:rPr>
          <w:rFonts w:ascii="Calibri" w:hAnsi="Calibri"/>
          <w:szCs w:val="22"/>
        </w:rPr>
      </w:pPr>
      <w:r w:rsidRPr="00113716">
        <w:rPr>
          <w:rFonts w:ascii="Calibri" w:hAnsi="Calibri"/>
          <w:szCs w:val="22"/>
        </w:rPr>
        <w:t>The National Physician Survey of Precision Medicine in Cancer Treatment (NCI)</w:t>
      </w:r>
    </w:p>
    <w:p w14:paraId="35D8E689" w14:textId="77777777" w:rsidR="00024899" w:rsidRPr="008942E9" w:rsidRDefault="00E35DD1" w:rsidP="00E35DD1">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 xml:space="preserve">                    </w:t>
      </w:r>
    </w:p>
    <w:p w14:paraId="5D10EF62" w14:textId="540A1F32" w:rsidR="00E35DD1" w:rsidRPr="008942E9" w:rsidRDefault="00E35DD1" w:rsidP="00E35DD1">
      <w:pPr>
        <w:pStyle w:val="P1-StandPara"/>
        <w:tabs>
          <w:tab w:val="left" w:pos="720"/>
          <w:tab w:val="right" w:leader="dot" w:pos="9504"/>
        </w:tabs>
        <w:spacing w:before="120" w:after="120"/>
        <w:ind w:firstLine="0"/>
        <w:rPr>
          <w:rFonts w:ascii="Calibri" w:hAnsi="Calibri"/>
          <w:szCs w:val="22"/>
        </w:rPr>
      </w:pPr>
      <w:r w:rsidRPr="008942E9">
        <w:rPr>
          <w:rFonts w:ascii="Calibri" w:hAnsi="Calibri"/>
          <w:szCs w:val="22"/>
        </w:rPr>
        <w:t>Date</w:t>
      </w:r>
      <w:r w:rsidR="00BE76A7" w:rsidRPr="008942E9">
        <w:rPr>
          <w:rFonts w:ascii="Calibri" w:hAnsi="Calibri"/>
          <w:szCs w:val="22"/>
        </w:rPr>
        <w:t xml:space="preserve">: </w:t>
      </w:r>
      <w:r w:rsidR="00F756D4">
        <w:rPr>
          <w:rFonts w:ascii="Calibri" w:hAnsi="Calibri"/>
          <w:szCs w:val="22"/>
        </w:rPr>
        <w:t xml:space="preserve">May </w:t>
      </w:r>
      <w:r w:rsidR="00FD5032">
        <w:rPr>
          <w:rFonts w:ascii="Calibri" w:hAnsi="Calibri"/>
          <w:szCs w:val="22"/>
        </w:rPr>
        <w:t>12</w:t>
      </w:r>
      <w:r w:rsidR="00F756D4">
        <w:rPr>
          <w:rFonts w:ascii="Calibri" w:hAnsi="Calibri"/>
          <w:szCs w:val="22"/>
        </w:rPr>
        <w:t>, 2016</w:t>
      </w:r>
    </w:p>
    <w:p w14:paraId="6DBC65BB" w14:textId="77777777" w:rsidR="00E35DD1" w:rsidRPr="00D2516D" w:rsidRDefault="00E35DD1" w:rsidP="00E35DD1">
      <w:pPr>
        <w:pStyle w:val="P1-StandPara"/>
        <w:tabs>
          <w:tab w:val="left" w:pos="720"/>
          <w:tab w:val="right" w:leader="dot" w:pos="9504"/>
        </w:tabs>
        <w:spacing w:before="120" w:after="120"/>
        <w:rPr>
          <w:rFonts w:ascii="Arial" w:hAnsi="Arial" w:cs="Arial"/>
          <w:sz w:val="20"/>
        </w:rPr>
      </w:pPr>
      <w:r w:rsidRPr="00D2516D">
        <w:rPr>
          <w:rFonts w:ascii="Arial" w:hAnsi="Arial" w:cs="Arial"/>
          <w:sz w:val="20"/>
        </w:rPr>
        <w:t xml:space="preserve">                        </w:t>
      </w:r>
    </w:p>
    <w:p w14:paraId="6F979CAF" w14:textId="77777777" w:rsidR="00E35DD1" w:rsidRPr="00D2516D" w:rsidRDefault="00E35DD1" w:rsidP="00E35DD1">
      <w:pPr>
        <w:pStyle w:val="P1-StandPara"/>
        <w:tabs>
          <w:tab w:val="left" w:pos="720"/>
          <w:tab w:val="right" w:leader="dot" w:pos="9504"/>
        </w:tabs>
        <w:spacing w:before="120" w:after="120"/>
        <w:rPr>
          <w:rFonts w:ascii="Arial" w:hAnsi="Arial" w:cs="Arial"/>
          <w:sz w:val="20"/>
        </w:rPr>
      </w:pPr>
    </w:p>
    <w:p w14:paraId="2662D931" w14:textId="77777777" w:rsidR="00E35DD1" w:rsidRPr="00D2516D" w:rsidRDefault="00E35DD1" w:rsidP="00E35DD1">
      <w:pPr>
        <w:pStyle w:val="P1-StandPara"/>
        <w:tabs>
          <w:tab w:val="left" w:pos="720"/>
          <w:tab w:val="right" w:leader="dot" w:pos="9504"/>
        </w:tabs>
        <w:spacing w:before="120" w:after="120"/>
        <w:rPr>
          <w:rFonts w:ascii="Arial" w:hAnsi="Arial" w:cs="Arial"/>
          <w:sz w:val="20"/>
        </w:rPr>
      </w:pPr>
    </w:p>
    <w:p w14:paraId="7165435B" w14:textId="54DC2FAF" w:rsidR="00E35DD1" w:rsidRPr="003225B3" w:rsidRDefault="00D2516D" w:rsidP="00BE76A7">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Janet S. de Moor, PhD, MPH</w:t>
      </w:r>
    </w:p>
    <w:p w14:paraId="543CBD2F" w14:textId="1E1E2BCF" w:rsidR="00D2516D" w:rsidRPr="003225B3" w:rsidRDefault="00D2516D" w:rsidP="00D2516D">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 xml:space="preserve">Health Assessment Research Branch, Healthcare Delivery Research Program </w:t>
      </w:r>
    </w:p>
    <w:p w14:paraId="393298C7" w14:textId="77777777" w:rsidR="00D2516D" w:rsidRPr="003225B3" w:rsidRDefault="00D2516D" w:rsidP="00D2516D">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Division of Cancer Control and Population Sciences</w:t>
      </w:r>
    </w:p>
    <w:p w14:paraId="651BE8ED" w14:textId="77777777" w:rsidR="00D2516D" w:rsidRPr="003225B3" w:rsidRDefault="00D2516D" w:rsidP="00D2516D">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National Cancer Institute/National Institutes of Health</w:t>
      </w:r>
    </w:p>
    <w:p w14:paraId="7AC3B5BE" w14:textId="77777777" w:rsidR="00D2516D" w:rsidRPr="003225B3" w:rsidRDefault="00D2516D" w:rsidP="00D2516D">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9609 Medical Center Drive, Room 3E438</w:t>
      </w:r>
    </w:p>
    <w:p w14:paraId="54D5F850" w14:textId="068378DF" w:rsidR="00E35DD1" w:rsidRPr="003225B3" w:rsidRDefault="00D2516D" w:rsidP="00D2516D">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Rockville, MD 20850</w:t>
      </w:r>
    </w:p>
    <w:p w14:paraId="2FA3F173" w14:textId="28B6101A" w:rsidR="00E35DD1" w:rsidRPr="003225B3" w:rsidRDefault="00E35DD1" w:rsidP="00BE76A7">
      <w:pPr>
        <w:pStyle w:val="P1-StandPara"/>
        <w:tabs>
          <w:tab w:val="left" w:pos="720"/>
          <w:tab w:val="right" w:leader="dot" w:pos="9504"/>
        </w:tabs>
        <w:spacing w:before="120" w:line="240" w:lineRule="auto"/>
        <w:ind w:firstLine="0"/>
        <w:rPr>
          <w:rFonts w:asciiTheme="minorHAnsi" w:hAnsiTheme="minorHAnsi" w:cs="Arial"/>
          <w:szCs w:val="22"/>
        </w:rPr>
      </w:pPr>
      <w:r w:rsidRPr="003225B3">
        <w:rPr>
          <w:rFonts w:asciiTheme="minorHAnsi" w:hAnsiTheme="minorHAnsi" w:cs="Arial"/>
          <w:szCs w:val="22"/>
        </w:rPr>
        <w:t>Telephone:</w:t>
      </w:r>
      <w:r w:rsidR="00D2516D" w:rsidRPr="003225B3">
        <w:rPr>
          <w:rFonts w:asciiTheme="minorHAnsi" w:hAnsiTheme="minorHAnsi" w:cs="Arial"/>
          <w:szCs w:val="22"/>
        </w:rPr>
        <w:t xml:space="preserve"> </w:t>
      </w:r>
      <w:r w:rsidR="00D2516D" w:rsidRPr="003225B3">
        <w:rPr>
          <w:rFonts w:asciiTheme="minorHAnsi" w:eastAsiaTheme="minorEastAsia" w:hAnsiTheme="minorHAnsi" w:cs="Arial"/>
          <w:noProof/>
          <w:szCs w:val="22"/>
        </w:rPr>
        <w:t>240-276-6806</w:t>
      </w:r>
    </w:p>
    <w:p w14:paraId="099B5A46" w14:textId="77777777" w:rsidR="00D2516D" w:rsidRPr="003225B3" w:rsidRDefault="00E35DD1" w:rsidP="00D2516D">
      <w:pPr>
        <w:spacing w:after="0"/>
        <w:rPr>
          <w:rFonts w:asciiTheme="minorHAnsi" w:hAnsiTheme="minorHAnsi" w:cs="Arial"/>
        </w:rPr>
      </w:pPr>
      <w:r w:rsidRPr="003225B3">
        <w:rPr>
          <w:rFonts w:asciiTheme="minorHAnsi" w:hAnsiTheme="minorHAnsi" w:cs="Arial"/>
        </w:rPr>
        <w:t>Fax:</w:t>
      </w:r>
      <w:r w:rsidR="00D2516D" w:rsidRPr="003225B3">
        <w:rPr>
          <w:rFonts w:asciiTheme="minorHAnsi" w:hAnsiTheme="minorHAnsi" w:cs="Arial"/>
        </w:rPr>
        <w:t xml:space="preserve"> 240-276-7909</w:t>
      </w:r>
    </w:p>
    <w:p w14:paraId="72E78E65" w14:textId="27E2E3CE" w:rsidR="00D2516D" w:rsidRPr="003225B3" w:rsidRDefault="00E35DD1" w:rsidP="00D2516D">
      <w:pPr>
        <w:spacing w:after="0"/>
        <w:rPr>
          <w:rFonts w:asciiTheme="minorHAnsi" w:hAnsiTheme="minorHAnsi" w:cs="Arial"/>
        </w:rPr>
      </w:pPr>
      <w:r w:rsidRPr="003225B3">
        <w:rPr>
          <w:rFonts w:asciiTheme="minorHAnsi" w:hAnsiTheme="minorHAnsi" w:cs="Arial"/>
        </w:rPr>
        <w:t>Email:</w:t>
      </w:r>
      <w:r w:rsidR="00D2516D" w:rsidRPr="003225B3">
        <w:rPr>
          <w:rFonts w:asciiTheme="minorHAnsi" w:eastAsiaTheme="minorEastAsia" w:hAnsiTheme="minorHAnsi" w:cs="Arial"/>
          <w:noProof/>
        </w:rPr>
        <w:t xml:space="preserve"> </w:t>
      </w:r>
      <w:hyperlink r:id="rId9" w:history="1">
        <w:r w:rsidR="00D2516D" w:rsidRPr="003225B3">
          <w:rPr>
            <w:rStyle w:val="Hyperlink"/>
            <w:rFonts w:asciiTheme="minorHAnsi" w:eastAsiaTheme="minorEastAsia" w:hAnsiTheme="minorHAnsi" w:cs="Arial"/>
            <w:noProof/>
            <w:color w:val="auto"/>
          </w:rPr>
          <w:t>demoorjs@mail.nih.gov</w:t>
        </w:r>
      </w:hyperlink>
      <w:r w:rsidR="00D2516D" w:rsidRPr="003225B3">
        <w:rPr>
          <w:rFonts w:asciiTheme="minorHAnsi" w:eastAsiaTheme="minorEastAsia" w:hAnsiTheme="minorHAnsi"/>
          <w:noProof/>
          <w:color w:val="000000"/>
        </w:rPr>
        <w:tab/>
      </w:r>
      <w:r w:rsidR="00D2516D" w:rsidRPr="003225B3">
        <w:rPr>
          <w:rFonts w:asciiTheme="minorHAnsi" w:eastAsiaTheme="minorEastAsia" w:hAnsiTheme="minorHAnsi"/>
          <w:noProof/>
          <w:color w:val="000000"/>
        </w:rPr>
        <w:tab/>
      </w:r>
    </w:p>
    <w:p w14:paraId="2B9EBB87" w14:textId="77777777" w:rsidR="00E35DD1" w:rsidRPr="008942E9" w:rsidRDefault="00E35DD1" w:rsidP="00D2516D">
      <w:pPr>
        <w:pStyle w:val="P1-StandPara"/>
        <w:tabs>
          <w:tab w:val="left" w:pos="720"/>
          <w:tab w:val="right" w:leader="dot" w:pos="9504"/>
        </w:tabs>
        <w:spacing w:line="240" w:lineRule="auto"/>
        <w:ind w:firstLine="0"/>
        <w:rPr>
          <w:rFonts w:ascii="Calibri" w:hAnsi="Calibri"/>
          <w:szCs w:val="22"/>
        </w:rPr>
      </w:pPr>
    </w:p>
    <w:p w14:paraId="038D0503" w14:textId="77777777" w:rsidR="006A45F9" w:rsidRPr="008942E9" w:rsidRDefault="006A45F9" w:rsidP="00D2516D">
      <w:pPr>
        <w:pStyle w:val="P1-StandPara"/>
        <w:tabs>
          <w:tab w:val="left" w:pos="720"/>
          <w:tab w:val="right" w:leader="dot" w:pos="9504"/>
        </w:tabs>
        <w:spacing w:line="240" w:lineRule="auto"/>
        <w:ind w:firstLine="0"/>
        <w:rPr>
          <w:rFonts w:ascii="Calibri" w:hAnsi="Calibri"/>
          <w:szCs w:val="22"/>
        </w:rPr>
      </w:pPr>
    </w:p>
    <w:p w14:paraId="5405E4D5" w14:textId="77777777" w:rsidR="00BE76A7" w:rsidRPr="008942E9" w:rsidRDefault="00BE76A7" w:rsidP="00BE76A7">
      <w:pPr>
        <w:pStyle w:val="P1-StandPara"/>
        <w:tabs>
          <w:tab w:val="left" w:pos="720"/>
          <w:tab w:val="right" w:leader="dot" w:pos="9504"/>
        </w:tabs>
        <w:spacing w:before="120" w:line="240" w:lineRule="auto"/>
        <w:ind w:firstLine="0"/>
        <w:rPr>
          <w:rFonts w:ascii="Calibri" w:hAnsi="Calibri"/>
          <w:szCs w:val="22"/>
        </w:rPr>
      </w:pPr>
      <w:r w:rsidRPr="00D2516D">
        <w:rPr>
          <w:rFonts w:ascii="Calibri" w:hAnsi="Calibri"/>
          <w:szCs w:val="22"/>
        </w:rPr>
        <w:t>Check off which applies:</w:t>
      </w:r>
    </w:p>
    <w:p w14:paraId="0128A7AF" w14:textId="621FBE68" w:rsidR="006A45F9" w:rsidRDefault="00D2516D" w:rsidP="00BB350B">
      <w:pPr>
        <w:spacing w:after="0" w:line="240" w:lineRule="auto"/>
        <w:ind w:firstLine="360"/>
      </w:pPr>
      <w:r>
        <w:t>X</w:t>
      </w:r>
      <w:r>
        <w:tab/>
      </w:r>
      <w:r w:rsidR="00BE76A7">
        <w:t xml:space="preserve">New </w:t>
      </w:r>
      <w:r w:rsidR="006A45F9">
        <w:tab/>
      </w:r>
      <w:r w:rsidR="006A45F9">
        <w:tab/>
      </w:r>
      <w:r w:rsidR="006A45F9">
        <w:tab/>
      </w:r>
    </w:p>
    <w:p w14:paraId="2155D851" w14:textId="75585A70" w:rsidR="00BB350B" w:rsidRDefault="00BB350B" w:rsidP="006A45F9">
      <w:pPr>
        <w:numPr>
          <w:ilvl w:val="0"/>
          <w:numId w:val="11"/>
        </w:numPr>
        <w:spacing w:after="0" w:line="240" w:lineRule="auto"/>
      </w:pPr>
      <w:r>
        <w:t>Revision</w:t>
      </w:r>
    </w:p>
    <w:p w14:paraId="0AF98451" w14:textId="4FA4D8D8" w:rsidR="00BB350B" w:rsidRDefault="006A45F9" w:rsidP="00BB350B">
      <w:pPr>
        <w:numPr>
          <w:ilvl w:val="0"/>
          <w:numId w:val="11"/>
        </w:numPr>
        <w:spacing w:after="0" w:line="240" w:lineRule="auto"/>
      </w:pPr>
      <w:r>
        <w:t>Reinstatement with Change</w:t>
      </w:r>
    </w:p>
    <w:p w14:paraId="43B106BE" w14:textId="77777777" w:rsidR="00BE76A7" w:rsidRDefault="00BE76A7" w:rsidP="00BE76A7">
      <w:pPr>
        <w:numPr>
          <w:ilvl w:val="0"/>
          <w:numId w:val="11"/>
        </w:numPr>
        <w:spacing w:after="0" w:line="240" w:lineRule="auto"/>
      </w:pPr>
      <w:r>
        <w:t>Reinstatement with</w:t>
      </w:r>
      <w:r w:rsidR="006A45F9">
        <w:t>out</w:t>
      </w:r>
      <w:r>
        <w:t xml:space="preserve"> Change</w:t>
      </w:r>
    </w:p>
    <w:p w14:paraId="795C7C53" w14:textId="77777777" w:rsidR="006A45F9" w:rsidRDefault="006A45F9" w:rsidP="006A45F9">
      <w:pPr>
        <w:numPr>
          <w:ilvl w:val="0"/>
          <w:numId w:val="11"/>
        </w:numPr>
        <w:spacing w:after="0" w:line="240" w:lineRule="auto"/>
      </w:pPr>
      <w:r>
        <w:t>Extension</w:t>
      </w:r>
    </w:p>
    <w:p w14:paraId="6C1A87D1" w14:textId="77777777" w:rsidR="006A45F9" w:rsidRDefault="006A45F9" w:rsidP="006A45F9">
      <w:pPr>
        <w:numPr>
          <w:ilvl w:val="0"/>
          <w:numId w:val="11"/>
        </w:numPr>
        <w:spacing w:after="0" w:line="240" w:lineRule="auto"/>
      </w:pPr>
      <w:r>
        <w:t>Emergency</w:t>
      </w:r>
    </w:p>
    <w:p w14:paraId="50D94CF1" w14:textId="77777777" w:rsidR="006A45F9" w:rsidRDefault="006A45F9" w:rsidP="006A45F9">
      <w:pPr>
        <w:numPr>
          <w:ilvl w:val="0"/>
          <w:numId w:val="11"/>
        </w:numPr>
        <w:spacing w:after="0" w:line="240" w:lineRule="auto"/>
      </w:pPr>
      <w:r>
        <w:t>Existing</w:t>
      </w:r>
    </w:p>
    <w:p w14:paraId="3B69A8AC" w14:textId="77777777" w:rsidR="00BE76A7" w:rsidRPr="008942E9" w:rsidRDefault="00BE76A7" w:rsidP="00BE76A7">
      <w:pPr>
        <w:pStyle w:val="P1-StandPara"/>
        <w:tabs>
          <w:tab w:val="left" w:pos="720"/>
          <w:tab w:val="right" w:leader="dot" w:pos="9504"/>
        </w:tabs>
        <w:spacing w:before="120" w:line="240" w:lineRule="auto"/>
        <w:rPr>
          <w:rFonts w:ascii="Calibri" w:hAnsi="Calibri"/>
          <w:szCs w:val="22"/>
        </w:rPr>
      </w:pPr>
    </w:p>
    <w:p w14:paraId="26E2F3B8" w14:textId="77777777" w:rsidR="00D2516D" w:rsidRDefault="00D2516D" w:rsidP="00E35DD1">
      <w:pPr>
        <w:pStyle w:val="P1-StandPara"/>
        <w:tabs>
          <w:tab w:val="left" w:pos="720"/>
          <w:tab w:val="right" w:leader="dot" w:pos="9504"/>
        </w:tabs>
        <w:spacing w:before="120" w:after="120"/>
        <w:rPr>
          <w:rFonts w:ascii="Calibri" w:hAnsi="Calibri"/>
          <w:b/>
          <w:szCs w:val="22"/>
          <w:u w:val="single"/>
        </w:rPr>
      </w:pPr>
    </w:p>
    <w:p w14:paraId="0D4692C4" w14:textId="06C79447" w:rsidR="00FB7E5D" w:rsidRPr="00FB7E5D" w:rsidRDefault="00E35DD1" w:rsidP="00B4620D">
      <w:pPr>
        <w:pStyle w:val="P1-StandPara"/>
        <w:tabs>
          <w:tab w:val="left" w:pos="720"/>
          <w:tab w:val="right" w:leader="dot" w:pos="9504"/>
        </w:tabs>
        <w:spacing w:before="120" w:after="120"/>
        <w:ind w:firstLine="0"/>
        <w:rPr>
          <w:rFonts w:ascii="Calibri" w:hAnsi="Calibri"/>
          <w:b/>
          <w:szCs w:val="22"/>
          <w:u w:val="single"/>
        </w:rPr>
      </w:pPr>
      <w:r w:rsidRPr="008942E9">
        <w:rPr>
          <w:rFonts w:ascii="Calibri" w:hAnsi="Calibri"/>
          <w:b/>
          <w:szCs w:val="22"/>
          <w:u w:val="single"/>
        </w:rPr>
        <w:t>Table of contents</w:t>
      </w:r>
      <w:r w:rsidRPr="008942E9">
        <w:rPr>
          <w:rFonts w:ascii="Calibri" w:hAnsi="Calibri"/>
          <w:szCs w:val="22"/>
        </w:rPr>
        <w:fldChar w:fldCharType="begin"/>
      </w:r>
      <w:r w:rsidRPr="008942E9">
        <w:rPr>
          <w:rFonts w:ascii="Calibri" w:hAnsi="Calibri"/>
          <w:szCs w:val="22"/>
        </w:rPr>
        <w:instrText xml:space="preserve"> TOC \o "1-2" \u </w:instrText>
      </w:r>
      <w:r w:rsidRPr="008942E9">
        <w:rPr>
          <w:rFonts w:ascii="Calibri" w:hAnsi="Calibri"/>
          <w:szCs w:val="22"/>
        </w:rP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3"/>
        <w:gridCol w:w="665"/>
      </w:tblGrid>
      <w:tr w:rsidR="00FB7E5D" w:rsidRPr="00FB7E5D" w14:paraId="77BA0AA7" w14:textId="77777777" w:rsidTr="005C4474">
        <w:tc>
          <w:tcPr>
            <w:tcW w:w="9198" w:type="dxa"/>
          </w:tcPr>
          <w:p w14:paraId="71D96848" w14:textId="373799D0" w:rsidR="00FB7E5D" w:rsidRPr="00FB7E5D" w:rsidRDefault="00FB7E5D" w:rsidP="00592B93">
            <w:pPr>
              <w:pStyle w:val="P1-StandPara"/>
              <w:tabs>
                <w:tab w:val="left" w:pos="720"/>
              </w:tabs>
              <w:ind w:firstLine="0"/>
              <w:rPr>
                <w:rFonts w:ascii="Calibri" w:hAnsi="Calibri"/>
                <w:szCs w:val="22"/>
              </w:rPr>
            </w:pPr>
            <w:r>
              <w:rPr>
                <w:rFonts w:ascii="Calibri" w:hAnsi="Calibri"/>
                <w:szCs w:val="22"/>
              </w:rPr>
              <w:t>Section</w:t>
            </w:r>
          </w:p>
        </w:tc>
        <w:tc>
          <w:tcPr>
            <w:tcW w:w="666" w:type="dxa"/>
          </w:tcPr>
          <w:p w14:paraId="3C828F23" w14:textId="6B147EAD" w:rsidR="00FB7E5D" w:rsidRPr="00FB7E5D" w:rsidRDefault="00FB7E5D" w:rsidP="00592B93">
            <w:pPr>
              <w:pStyle w:val="P1-StandPara"/>
              <w:tabs>
                <w:tab w:val="left" w:pos="720"/>
              </w:tabs>
              <w:ind w:firstLine="0"/>
              <w:rPr>
                <w:rFonts w:ascii="Calibri" w:hAnsi="Calibri"/>
                <w:szCs w:val="22"/>
              </w:rPr>
            </w:pPr>
            <w:r>
              <w:rPr>
                <w:rFonts w:ascii="Calibri" w:hAnsi="Calibri"/>
                <w:szCs w:val="22"/>
              </w:rPr>
              <w:t>Page</w:t>
            </w:r>
          </w:p>
        </w:tc>
      </w:tr>
      <w:tr w:rsidR="00FB7E5D" w:rsidRPr="00FB7E5D" w14:paraId="3576E48B" w14:textId="1F0FF339" w:rsidTr="005C4474">
        <w:tc>
          <w:tcPr>
            <w:tcW w:w="9198" w:type="dxa"/>
          </w:tcPr>
          <w:p w14:paraId="7409C27B"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w:t>
            </w:r>
            <w:r w:rsidRPr="00FB7E5D">
              <w:rPr>
                <w:rFonts w:ascii="Calibri" w:hAnsi="Calibri"/>
                <w:szCs w:val="22"/>
              </w:rPr>
              <w:tab/>
              <w:t>JUSTIFICATION</w:t>
            </w:r>
            <w:r w:rsidRPr="00FB7E5D">
              <w:rPr>
                <w:rFonts w:ascii="Calibri" w:hAnsi="Calibri"/>
                <w:szCs w:val="22"/>
              </w:rPr>
              <w:tab/>
            </w:r>
          </w:p>
        </w:tc>
        <w:tc>
          <w:tcPr>
            <w:tcW w:w="666" w:type="dxa"/>
          </w:tcPr>
          <w:p w14:paraId="41F29EA9" w14:textId="600D9AA4" w:rsidR="00FB7E5D" w:rsidRPr="00FB7E5D" w:rsidRDefault="00D22E5F" w:rsidP="00592B93">
            <w:pPr>
              <w:pStyle w:val="P1-StandPara"/>
              <w:tabs>
                <w:tab w:val="left" w:pos="720"/>
              </w:tabs>
              <w:ind w:firstLine="0"/>
              <w:rPr>
                <w:rFonts w:ascii="Calibri" w:hAnsi="Calibri"/>
                <w:szCs w:val="22"/>
              </w:rPr>
            </w:pPr>
            <w:r>
              <w:rPr>
                <w:rFonts w:ascii="Calibri" w:hAnsi="Calibri"/>
                <w:szCs w:val="22"/>
              </w:rPr>
              <w:t>3</w:t>
            </w:r>
          </w:p>
        </w:tc>
      </w:tr>
      <w:tr w:rsidR="00FB7E5D" w:rsidRPr="00FB7E5D" w14:paraId="4E8CE051" w14:textId="13BD81C7" w:rsidTr="005C4474">
        <w:tc>
          <w:tcPr>
            <w:tcW w:w="9198" w:type="dxa"/>
          </w:tcPr>
          <w:p w14:paraId="2D2A65B7"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w:t>
            </w:r>
            <w:r w:rsidRPr="00FB7E5D">
              <w:rPr>
                <w:rFonts w:ascii="Calibri" w:hAnsi="Calibri"/>
                <w:szCs w:val="22"/>
              </w:rPr>
              <w:tab/>
              <w:t>Circumstances Making the Collection of Information Necessary</w:t>
            </w:r>
            <w:r w:rsidRPr="00FB7E5D">
              <w:rPr>
                <w:rFonts w:ascii="Calibri" w:hAnsi="Calibri"/>
                <w:szCs w:val="22"/>
              </w:rPr>
              <w:tab/>
            </w:r>
          </w:p>
        </w:tc>
        <w:tc>
          <w:tcPr>
            <w:tcW w:w="666" w:type="dxa"/>
          </w:tcPr>
          <w:p w14:paraId="68287499" w14:textId="04F25EE6" w:rsidR="00FB7E5D" w:rsidRPr="00FB7E5D" w:rsidRDefault="00D22E5F" w:rsidP="00592B93">
            <w:pPr>
              <w:pStyle w:val="P1-StandPara"/>
              <w:tabs>
                <w:tab w:val="left" w:pos="720"/>
              </w:tabs>
              <w:ind w:firstLine="0"/>
              <w:rPr>
                <w:rFonts w:ascii="Calibri" w:hAnsi="Calibri"/>
                <w:szCs w:val="22"/>
              </w:rPr>
            </w:pPr>
            <w:r>
              <w:rPr>
                <w:rFonts w:ascii="Calibri" w:hAnsi="Calibri"/>
                <w:szCs w:val="22"/>
              </w:rPr>
              <w:t>3</w:t>
            </w:r>
          </w:p>
        </w:tc>
      </w:tr>
      <w:tr w:rsidR="00FB7E5D" w:rsidRPr="00FB7E5D" w14:paraId="76D749D2" w14:textId="730E1275" w:rsidTr="005C4474">
        <w:tc>
          <w:tcPr>
            <w:tcW w:w="9198" w:type="dxa"/>
          </w:tcPr>
          <w:p w14:paraId="0D865E2B"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A.2.</w:t>
            </w:r>
            <w:r w:rsidRPr="00FB7E5D">
              <w:rPr>
                <w:rFonts w:ascii="Calibri" w:hAnsi="Calibri"/>
                <w:szCs w:val="22"/>
              </w:rPr>
              <w:tab/>
              <w:t>Purpose and Use of the Information COLLECTION</w:t>
            </w:r>
            <w:r w:rsidRPr="00FB7E5D">
              <w:rPr>
                <w:rFonts w:ascii="Calibri" w:hAnsi="Calibri"/>
                <w:szCs w:val="22"/>
              </w:rPr>
              <w:tab/>
            </w:r>
          </w:p>
        </w:tc>
        <w:tc>
          <w:tcPr>
            <w:tcW w:w="666" w:type="dxa"/>
          </w:tcPr>
          <w:p w14:paraId="7DE6FC86" w14:textId="173F4CC6" w:rsidR="00FB7E5D" w:rsidRPr="00FB7E5D" w:rsidRDefault="00D22E5F" w:rsidP="00592B93">
            <w:pPr>
              <w:pStyle w:val="P1-StandPara"/>
              <w:tabs>
                <w:tab w:val="left" w:pos="720"/>
              </w:tabs>
              <w:ind w:firstLine="0"/>
              <w:rPr>
                <w:rFonts w:ascii="Calibri" w:hAnsi="Calibri"/>
                <w:szCs w:val="22"/>
              </w:rPr>
            </w:pPr>
            <w:r>
              <w:rPr>
                <w:rFonts w:ascii="Calibri" w:hAnsi="Calibri"/>
                <w:szCs w:val="22"/>
              </w:rPr>
              <w:t>3</w:t>
            </w:r>
          </w:p>
        </w:tc>
      </w:tr>
      <w:tr w:rsidR="00FB7E5D" w:rsidRPr="00FB7E5D" w14:paraId="4949F070" w14:textId="2172A1C9" w:rsidTr="005C4474">
        <w:tc>
          <w:tcPr>
            <w:tcW w:w="9198" w:type="dxa"/>
          </w:tcPr>
          <w:p w14:paraId="3C37F1F4"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A.3</w:t>
            </w:r>
            <w:r w:rsidRPr="00FB7E5D">
              <w:rPr>
                <w:rFonts w:ascii="Calibri" w:hAnsi="Calibri"/>
                <w:szCs w:val="22"/>
              </w:rPr>
              <w:tab/>
              <w:t>Use of Information Technology and Burden Reduction</w:t>
            </w:r>
            <w:r w:rsidRPr="00FB7E5D">
              <w:rPr>
                <w:rFonts w:ascii="Calibri" w:hAnsi="Calibri"/>
                <w:szCs w:val="22"/>
              </w:rPr>
              <w:tab/>
            </w:r>
          </w:p>
        </w:tc>
        <w:tc>
          <w:tcPr>
            <w:tcW w:w="666" w:type="dxa"/>
          </w:tcPr>
          <w:p w14:paraId="45B54E4C" w14:textId="7271164D" w:rsidR="00FB7E5D" w:rsidRPr="00FB7E5D" w:rsidRDefault="00D22E5F" w:rsidP="00592B93">
            <w:pPr>
              <w:pStyle w:val="P1-StandPara"/>
              <w:tabs>
                <w:tab w:val="left" w:pos="720"/>
              </w:tabs>
              <w:ind w:firstLine="0"/>
              <w:rPr>
                <w:rFonts w:ascii="Calibri" w:hAnsi="Calibri"/>
                <w:szCs w:val="22"/>
              </w:rPr>
            </w:pPr>
            <w:r>
              <w:rPr>
                <w:rFonts w:ascii="Calibri" w:hAnsi="Calibri"/>
                <w:szCs w:val="22"/>
              </w:rPr>
              <w:t>6</w:t>
            </w:r>
          </w:p>
        </w:tc>
      </w:tr>
      <w:tr w:rsidR="00FB7E5D" w:rsidRPr="00FB7E5D" w14:paraId="0A87C9BB" w14:textId="57898EE0" w:rsidTr="005C4474">
        <w:tc>
          <w:tcPr>
            <w:tcW w:w="9198" w:type="dxa"/>
          </w:tcPr>
          <w:p w14:paraId="3499C783"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A.4</w:t>
            </w:r>
            <w:r w:rsidRPr="00FB7E5D">
              <w:rPr>
                <w:rFonts w:ascii="Calibri" w:hAnsi="Calibri"/>
                <w:szCs w:val="22"/>
              </w:rPr>
              <w:tab/>
              <w:t>Efforts to Identify Duplication and Use of Similar Information</w:t>
            </w:r>
            <w:r w:rsidRPr="00FB7E5D">
              <w:rPr>
                <w:rFonts w:ascii="Calibri" w:hAnsi="Calibri"/>
                <w:szCs w:val="22"/>
              </w:rPr>
              <w:tab/>
            </w:r>
          </w:p>
        </w:tc>
        <w:tc>
          <w:tcPr>
            <w:tcW w:w="666" w:type="dxa"/>
          </w:tcPr>
          <w:p w14:paraId="533B1C56" w14:textId="77718806" w:rsidR="00FB7E5D" w:rsidRPr="00FB7E5D" w:rsidRDefault="00D22E5F" w:rsidP="00592B93">
            <w:pPr>
              <w:pStyle w:val="P1-StandPara"/>
              <w:tabs>
                <w:tab w:val="left" w:pos="720"/>
              </w:tabs>
              <w:ind w:firstLine="0"/>
              <w:rPr>
                <w:rFonts w:ascii="Calibri" w:hAnsi="Calibri"/>
                <w:szCs w:val="22"/>
              </w:rPr>
            </w:pPr>
            <w:r>
              <w:rPr>
                <w:rFonts w:ascii="Calibri" w:hAnsi="Calibri"/>
                <w:szCs w:val="22"/>
              </w:rPr>
              <w:t>7</w:t>
            </w:r>
          </w:p>
        </w:tc>
      </w:tr>
      <w:tr w:rsidR="00FB7E5D" w:rsidRPr="00FB7E5D" w14:paraId="7E1AC26D" w14:textId="1DBAFDD7" w:rsidTr="005C4474">
        <w:tc>
          <w:tcPr>
            <w:tcW w:w="9198" w:type="dxa"/>
          </w:tcPr>
          <w:p w14:paraId="1652B5F2"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A.5</w:t>
            </w:r>
            <w:r w:rsidRPr="00FB7E5D">
              <w:rPr>
                <w:rFonts w:ascii="Calibri" w:hAnsi="Calibri"/>
                <w:szCs w:val="22"/>
              </w:rPr>
              <w:tab/>
              <w:t>Impact on Small Businesses or Other Small Entities</w:t>
            </w:r>
            <w:r w:rsidRPr="00FB7E5D">
              <w:rPr>
                <w:rFonts w:ascii="Calibri" w:hAnsi="Calibri"/>
                <w:szCs w:val="22"/>
              </w:rPr>
              <w:tab/>
            </w:r>
          </w:p>
        </w:tc>
        <w:tc>
          <w:tcPr>
            <w:tcW w:w="666" w:type="dxa"/>
          </w:tcPr>
          <w:p w14:paraId="29A8D87B" w14:textId="597C385A" w:rsidR="00FB7E5D" w:rsidRPr="00FB7E5D" w:rsidRDefault="00D22E5F" w:rsidP="00592B93">
            <w:pPr>
              <w:pStyle w:val="P1-StandPara"/>
              <w:tabs>
                <w:tab w:val="left" w:pos="720"/>
              </w:tabs>
              <w:ind w:firstLine="0"/>
              <w:rPr>
                <w:rFonts w:ascii="Calibri" w:hAnsi="Calibri"/>
                <w:szCs w:val="22"/>
              </w:rPr>
            </w:pPr>
            <w:r>
              <w:rPr>
                <w:rFonts w:ascii="Calibri" w:hAnsi="Calibri"/>
                <w:szCs w:val="22"/>
              </w:rPr>
              <w:t>7</w:t>
            </w:r>
          </w:p>
        </w:tc>
      </w:tr>
      <w:tr w:rsidR="00FB7E5D" w:rsidRPr="00FB7E5D" w14:paraId="526894BD" w14:textId="4D85A313" w:rsidTr="005C4474">
        <w:tc>
          <w:tcPr>
            <w:tcW w:w="9198" w:type="dxa"/>
          </w:tcPr>
          <w:p w14:paraId="63A1D4AB"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A.6</w:t>
            </w:r>
            <w:r w:rsidRPr="00FB7E5D">
              <w:rPr>
                <w:rFonts w:ascii="Calibri" w:hAnsi="Calibri"/>
                <w:szCs w:val="22"/>
              </w:rPr>
              <w:tab/>
              <w:t>Consequences of Collecting the Information Less Frequently</w:t>
            </w:r>
            <w:r w:rsidRPr="00FB7E5D">
              <w:rPr>
                <w:rFonts w:ascii="Calibri" w:hAnsi="Calibri"/>
                <w:szCs w:val="22"/>
              </w:rPr>
              <w:tab/>
            </w:r>
          </w:p>
        </w:tc>
        <w:tc>
          <w:tcPr>
            <w:tcW w:w="666" w:type="dxa"/>
          </w:tcPr>
          <w:p w14:paraId="1ACDF92E" w14:textId="0D8ABD60" w:rsidR="00FB7E5D" w:rsidRPr="00FB7E5D" w:rsidRDefault="00D22E5F" w:rsidP="00592B93">
            <w:pPr>
              <w:pStyle w:val="P1-StandPara"/>
              <w:tabs>
                <w:tab w:val="left" w:pos="720"/>
              </w:tabs>
              <w:ind w:firstLine="0"/>
              <w:rPr>
                <w:rFonts w:ascii="Calibri" w:hAnsi="Calibri"/>
                <w:szCs w:val="22"/>
              </w:rPr>
            </w:pPr>
            <w:r>
              <w:rPr>
                <w:rFonts w:ascii="Calibri" w:hAnsi="Calibri"/>
                <w:szCs w:val="22"/>
              </w:rPr>
              <w:t>7</w:t>
            </w:r>
          </w:p>
        </w:tc>
      </w:tr>
      <w:tr w:rsidR="00FB7E5D" w:rsidRPr="00FB7E5D" w14:paraId="6B05CFC8" w14:textId="6ADD150D" w:rsidTr="005C4474">
        <w:tc>
          <w:tcPr>
            <w:tcW w:w="9198" w:type="dxa"/>
          </w:tcPr>
          <w:p w14:paraId="111EF0BA"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A.7</w:t>
            </w:r>
            <w:r w:rsidRPr="00FB7E5D">
              <w:rPr>
                <w:rFonts w:ascii="Calibri" w:hAnsi="Calibri"/>
                <w:szCs w:val="22"/>
              </w:rPr>
              <w:tab/>
              <w:t>Special Circumstances Relating to the Guidelines of 5 CFR 1320.5</w:t>
            </w:r>
            <w:r w:rsidRPr="00FB7E5D">
              <w:rPr>
                <w:rFonts w:ascii="Calibri" w:hAnsi="Calibri"/>
                <w:szCs w:val="22"/>
              </w:rPr>
              <w:tab/>
            </w:r>
          </w:p>
        </w:tc>
        <w:tc>
          <w:tcPr>
            <w:tcW w:w="666" w:type="dxa"/>
          </w:tcPr>
          <w:p w14:paraId="3E7D8E88" w14:textId="1E8FB5D6" w:rsidR="00FB7E5D" w:rsidRPr="00FB7E5D" w:rsidRDefault="00D22E5F" w:rsidP="00592B93">
            <w:pPr>
              <w:pStyle w:val="P1-StandPara"/>
              <w:tabs>
                <w:tab w:val="left" w:pos="720"/>
              </w:tabs>
              <w:ind w:firstLine="0"/>
              <w:rPr>
                <w:rFonts w:ascii="Calibri" w:hAnsi="Calibri"/>
                <w:szCs w:val="22"/>
              </w:rPr>
            </w:pPr>
            <w:r>
              <w:rPr>
                <w:rFonts w:ascii="Calibri" w:hAnsi="Calibri"/>
                <w:szCs w:val="22"/>
              </w:rPr>
              <w:t>7</w:t>
            </w:r>
          </w:p>
        </w:tc>
      </w:tr>
      <w:tr w:rsidR="00FB7E5D" w:rsidRPr="00FB7E5D" w14:paraId="1B10DEB6" w14:textId="71D1C627" w:rsidTr="005C4474">
        <w:tc>
          <w:tcPr>
            <w:tcW w:w="9198" w:type="dxa"/>
          </w:tcPr>
          <w:p w14:paraId="59011F0B" w14:textId="5B0CE83E"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A.8</w:t>
            </w:r>
            <w:r w:rsidRPr="00FB7E5D">
              <w:rPr>
                <w:rFonts w:ascii="Calibri" w:hAnsi="Calibri"/>
                <w:szCs w:val="22"/>
              </w:rPr>
              <w:tab/>
              <w:t>Comments in Response to the Federal Register Notice and Ef</w:t>
            </w:r>
            <w:r w:rsidR="00E20BCA">
              <w:rPr>
                <w:rFonts w:ascii="Calibri" w:hAnsi="Calibri"/>
                <w:szCs w:val="22"/>
              </w:rPr>
              <w:t>forts to Consult Outside Agency</w:t>
            </w:r>
          </w:p>
        </w:tc>
        <w:tc>
          <w:tcPr>
            <w:tcW w:w="666" w:type="dxa"/>
          </w:tcPr>
          <w:p w14:paraId="17ABC2B4" w14:textId="0A3FA1CC" w:rsidR="00FB7E5D" w:rsidRPr="00FB7E5D" w:rsidRDefault="00D22E5F" w:rsidP="00592B93">
            <w:pPr>
              <w:pStyle w:val="P1-StandPara"/>
              <w:tabs>
                <w:tab w:val="left" w:pos="720"/>
              </w:tabs>
              <w:ind w:firstLine="0"/>
              <w:rPr>
                <w:rFonts w:ascii="Calibri" w:hAnsi="Calibri"/>
                <w:szCs w:val="22"/>
              </w:rPr>
            </w:pPr>
            <w:r>
              <w:rPr>
                <w:rFonts w:ascii="Calibri" w:hAnsi="Calibri"/>
                <w:szCs w:val="22"/>
              </w:rPr>
              <w:t>7</w:t>
            </w:r>
          </w:p>
        </w:tc>
      </w:tr>
      <w:tr w:rsidR="00FB7E5D" w:rsidRPr="00FB7E5D" w14:paraId="3FD16439" w14:textId="33592286" w:rsidTr="005C4474">
        <w:tc>
          <w:tcPr>
            <w:tcW w:w="9198" w:type="dxa"/>
          </w:tcPr>
          <w:p w14:paraId="713CAD4D"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A.9</w:t>
            </w:r>
            <w:r w:rsidRPr="00FB7E5D">
              <w:rPr>
                <w:rFonts w:ascii="Calibri" w:hAnsi="Calibri"/>
                <w:szCs w:val="22"/>
              </w:rPr>
              <w:tab/>
              <w:t>Explanation of Any Payment of Gift to Respondents</w:t>
            </w:r>
            <w:r w:rsidRPr="00FB7E5D">
              <w:rPr>
                <w:rFonts w:ascii="Calibri" w:hAnsi="Calibri"/>
                <w:szCs w:val="22"/>
              </w:rPr>
              <w:tab/>
            </w:r>
          </w:p>
        </w:tc>
        <w:tc>
          <w:tcPr>
            <w:tcW w:w="666" w:type="dxa"/>
          </w:tcPr>
          <w:p w14:paraId="7D8E2BD1" w14:textId="462EB46C" w:rsidR="00FB7E5D" w:rsidRPr="00FB7E5D" w:rsidRDefault="00D22E5F" w:rsidP="00592B93">
            <w:pPr>
              <w:pStyle w:val="P1-StandPara"/>
              <w:tabs>
                <w:tab w:val="left" w:pos="720"/>
              </w:tabs>
              <w:ind w:firstLine="0"/>
              <w:rPr>
                <w:rFonts w:ascii="Calibri" w:hAnsi="Calibri"/>
                <w:szCs w:val="22"/>
              </w:rPr>
            </w:pPr>
            <w:r>
              <w:rPr>
                <w:rFonts w:ascii="Calibri" w:hAnsi="Calibri"/>
                <w:szCs w:val="22"/>
              </w:rPr>
              <w:t>8</w:t>
            </w:r>
          </w:p>
        </w:tc>
      </w:tr>
      <w:tr w:rsidR="00FB7E5D" w:rsidRPr="00FB7E5D" w14:paraId="6EE34E8B" w14:textId="5233F985" w:rsidTr="005C4474">
        <w:tc>
          <w:tcPr>
            <w:tcW w:w="9198" w:type="dxa"/>
          </w:tcPr>
          <w:p w14:paraId="5EFEC548"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A.10</w:t>
            </w:r>
            <w:r w:rsidRPr="00FB7E5D">
              <w:rPr>
                <w:rFonts w:ascii="Calibri" w:hAnsi="Calibri"/>
                <w:szCs w:val="22"/>
              </w:rPr>
              <w:tab/>
              <w:t>Assurance of Confidentiality Provided to Respondents</w:t>
            </w:r>
            <w:r w:rsidRPr="00FB7E5D">
              <w:rPr>
                <w:rFonts w:ascii="Calibri" w:hAnsi="Calibri"/>
                <w:szCs w:val="22"/>
              </w:rPr>
              <w:tab/>
            </w:r>
          </w:p>
        </w:tc>
        <w:tc>
          <w:tcPr>
            <w:tcW w:w="666" w:type="dxa"/>
          </w:tcPr>
          <w:p w14:paraId="2EF84240" w14:textId="08CC7E9C" w:rsidR="00FB7E5D" w:rsidRPr="00FB7E5D" w:rsidRDefault="00D22E5F" w:rsidP="00592B93">
            <w:pPr>
              <w:pStyle w:val="P1-StandPara"/>
              <w:tabs>
                <w:tab w:val="left" w:pos="720"/>
              </w:tabs>
              <w:ind w:firstLine="0"/>
              <w:rPr>
                <w:rFonts w:ascii="Calibri" w:hAnsi="Calibri"/>
                <w:szCs w:val="22"/>
              </w:rPr>
            </w:pPr>
            <w:r>
              <w:rPr>
                <w:rFonts w:ascii="Calibri" w:hAnsi="Calibri"/>
                <w:szCs w:val="22"/>
              </w:rPr>
              <w:t>8</w:t>
            </w:r>
          </w:p>
        </w:tc>
      </w:tr>
      <w:tr w:rsidR="00FB7E5D" w:rsidRPr="00FB7E5D" w14:paraId="0D6578E2" w14:textId="0512706A" w:rsidTr="005C4474">
        <w:tc>
          <w:tcPr>
            <w:tcW w:w="9198" w:type="dxa"/>
          </w:tcPr>
          <w:p w14:paraId="21492036"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A.11</w:t>
            </w:r>
            <w:r w:rsidRPr="00FB7E5D">
              <w:rPr>
                <w:rFonts w:ascii="Calibri" w:hAnsi="Calibri"/>
                <w:szCs w:val="22"/>
              </w:rPr>
              <w:tab/>
              <w:t>Justification for Sensitive Questions</w:t>
            </w:r>
            <w:r w:rsidRPr="00FB7E5D">
              <w:rPr>
                <w:rFonts w:ascii="Calibri" w:hAnsi="Calibri"/>
                <w:szCs w:val="22"/>
              </w:rPr>
              <w:tab/>
            </w:r>
          </w:p>
        </w:tc>
        <w:tc>
          <w:tcPr>
            <w:tcW w:w="666" w:type="dxa"/>
          </w:tcPr>
          <w:p w14:paraId="2F6F39D9" w14:textId="2821E550" w:rsidR="00FB7E5D" w:rsidRPr="00FB7E5D" w:rsidRDefault="00D22E5F" w:rsidP="00592B93">
            <w:pPr>
              <w:pStyle w:val="P1-StandPara"/>
              <w:tabs>
                <w:tab w:val="left" w:pos="720"/>
              </w:tabs>
              <w:ind w:firstLine="0"/>
              <w:rPr>
                <w:rFonts w:ascii="Calibri" w:hAnsi="Calibri"/>
                <w:szCs w:val="22"/>
              </w:rPr>
            </w:pPr>
            <w:r>
              <w:rPr>
                <w:rFonts w:ascii="Calibri" w:hAnsi="Calibri"/>
                <w:szCs w:val="22"/>
              </w:rPr>
              <w:t>9</w:t>
            </w:r>
          </w:p>
        </w:tc>
      </w:tr>
      <w:tr w:rsidR="00FB7E5D" w:rsidRPr="00FB7E5D" w14:paraId="5C0A7699" w14:textId="590AFB2B" w:rsidTr="005C4474">
        <w:tc>
          <w:tcPr>
            <w:tcW w:w="9198" w:type="dxa"/>
          </w:tcPr>
          <w:p w14:paraId="08DB3199"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A.12</w:t>
            </w:r>
            <w:r w:rsidRPr="00FB7E5D">
              <w:rPr>
                <w:rFonts w:ascii="Calibri" w:hAnsi="Calibri"/>
                <w:szCs w:val="22"/>
              </w:rPr>
              <w:tab/>
              <w:t>Estimates of Hour Burden Including Annualized Hourly Costs</w:t>
            </w:r>
            <w:r w:rsidRPr="00FB7E5D">
              <w:rPr>
                <w:rFonts w:ascii="Calibri" w:hAnsi="Calibri"/>
                <w:szCs w:val="22"/>
              </w:rPr>
              <w:tab/>
            </w:r>
          </w:p>
        </w:tc>
        <w:tc>
          <w:tcPr>
            <w:tcW w:w="666" w:type="dxa"/>
          </w:tcPr>
          <w:p w14:paraId="15528973" w14:textId="37670235" w:rsidR="00FB7E5D" w:rsidRPr="00FB7E5D" w:rsidRDefault="00D22E5F" w:rsidP="00592B93">
            <w:pPr>
              <w:pStyle w:val="P1-StandPara"/>
              <w:tabs>
                <w:tab w:val="left" w:pos="720"/>
              </w:tabs>
              <w:ind w:firstLine="0"/>
              <w:rPr>
                <w:rFonts w:ascii="Calibri" w:hAnsi="Calibri"/>
                <w:szCs w:val="22"/>
              </w:rPr>
            </w:pPr>
            <w:r>
              <w:rPr>
                <w:rFonts w:ascii="Calibri" w:hAnsi="Calibri"/>
                <w:szCs w:val="22"/>
              </w:rPr>
              <w:t>9</w:t>
            </w:r>
          </w:p>
        </w:tc>
      </w:tr>
      <w:tr w:rsidR="00FB7E5D" w:rsidRPr="00FB7E5D" w14:paraId="50D23130" w14:textId="1A6FB8AD" w:rsidTr="005C4474">
        <w:tc>
          <w:tcPr>
            <w:tcW w:w="9198" w:type="dxa"/>
          </w:tcPr>
          <w:p w14:paraId="1874B861"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A.13</w:t>
            </w:r>
            <w:r w:rsidRPr="00FB7E5D">
              <w:rPr>
                <w:rFonts w:ascii="Calibri" w:hAnsi="Calibri"/>
                <w:szCs w:val="22"/>
              </w:rPr>
              <w:tab/>
              <w:t>Estimate of Other Total Annual Cost Burden to Respondents or Record  keepers</w:t>
            </w:r>
            <w:r w:rsidRPr="00FB7E5D">
              <w:rPr>
                <w:rFonts w:ascii="Calibri" w:hAnsi="Calibri"/>
                <w:szCs w:val="22"/>
              </w:rPr>
              <w:tab/>
            </w:r>
          </w:p>
        </w:tc>
        <w:tc>
          <w:tcPr>
            <w:tcW w:w="666" w:type="dxa"/>
          </w:tcPr>
          <w:p w14:paraId="4B0C8BA8" w14:textId="1D3E7293" w:rsidR="00FB7E5D" w:rsidRPr="00FB7E5D" w:rsidRDefault="007834FE" w:rsidP="007834FE">
            <w:pPr>
              <w:pStyle w:val="P1-StandPara"/>
              <w:tabs>
                <w:tab w:val="left" w:pos="720"/>
              </w:tabs>
              <w:ind w:firstLine="0"/>
              <w:rPr>
                <w:rFonts w:ascii="Calibri" w:hAnsi="Calibri"/>
                <w:szCs w:val="22"/>
              </w:rPr>
            </w:pPr>
            <w:r>
              <w:rPr>
                <w:rFonts w:ascii="Calibri" w:hAnsi="Calibri"/>
                <w:szCs w:val="22"/>
              </w:rPr>
              <w:t>11</w:t>
            </w:r>
          </w:p>
        </w:tc>
      </w:tr>
      <w:tr w:rsidR="00FB7E5D" w:rsidRPr="00FB7E5D" w14:paraId="1C201A03" w14:textId="3B567875" w:rsidTr="005C4474">
        <w:tc>
          <w:tcPr>
            <w:tcW w:w="9198" w:type="dxa"/>
          </w:tcPr>
          <w:p w14:paraId="2AB5D103"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A.14</w:t>
            </w:r>
            <w:r w:rsidRPr="00FB7E5D">
              <w:rPr>
                <w:rFonts w:ascii="Calibri" w:hAnsi="Calibri"/>
                <w:szCs w:val="22"/>
              </w:rPr>
              <w:tab/>
              <w:t>Annualized Cost to the Federal Government</w:t>
            </w:r>
            <w:r w:rsidRPr="00FB7E5D">
              <w:rPr>
                <w:rFonts w:ascii="Calibri" w:hAnsi="Calibri"/>
                <w:szCs w:val="22"/>
              </w:rPr>
              <w:tab/>
            </w:r>
          </w:p>
        </w:tc>
        <w:tc>
          <w:tcPr>
            <w:tcW w:w="666" w:type="dxa"/>
          </w:tcPr>
          <w:p w14:paraId="7F5804D4" w14:textId="7FBE28D9" w:rsidR="00FB7E5D" w:rsidRPr="00FB7E5D" w:rsidRDefault="007834FE" w:rsidP="007834FE">
            <w:pPr>
              <w:pStyle w:val="P1-StandPara"/>
              <w:tabs>
                <w:tab w:val="left" w:pos="720"/>
              </w:tabs>
              <w:ind w:firstLine="0"/>
              <w:rPr>
                <w:rFonts w:ascii="Calibri" w:hAnsi="Calibri"/>
                <w:szCs w:val="22"/>
              </w:rPr>
            </w:pPr>
            <w:r>
              <w:rPr>
                <w:rFonts w:ascii="Calibri" w:hAnsi="Calibri"/>
                <w:szCs w:val="22"/>
              </w:rPr>
              <w:t>11</w:t>
            </w:r>
          </w:p>
        </w:tc>
      </w:tr>
      <w:tr w:rsidR="00FB7E5D" w:rsidRPr="00FB7E5D" w14:paraId="134C8952" w14:textId="6EBE4188" w:rsidTr="005C4474">
        <w:tc>
          <w:tcPr>
            <w:tcW w:w="9198" w:type="dxa"/>
          </w:tcPr>
          <w:p w14:paraId="1692A83A"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A.15</w:t>
            </w:r>
            <w:r w:rsidRPr="00FB7E5D">
              <w:rPr>
                <w:rFonts w:ascii="Calibri" w:hAnsi="Calibri"/>
                <w:szCs w:val="22"/>
              </w:rPr>
              <w:tab/>
              <w:t>Explanation for Program Changes or Adjustments</w:t>
            </w:r>
            <w:r w:rsidRPr="00FB7E5D">
              <w:rPr>
                <w:rFonts w:ascii="Calibri" w:hAnsi="Calibri"/>
                <w:szCs w:val="22"/>
              </w:rPr>
              <w:tab/>
            </w:r>
          </w:p>
        </w:tc>
        <w:tc>
          <w:tcPr>
            <w:tcW w:w="666" w:type="dxa"/>
          </w:tcPr>
          <w:p w14:paraId="13E4FCAA" w14:textId="3D31F68E" w:rsidR="00FB7E5D" w:rsidRPr="00FB7E5D" w:rsidRDefault="007834FE" w:rsidP="007834FE">
            <w:pPr>
              <w:pStyle w:val="P1-StandPara"/>
              <w:tabs>
                <w:tab w:val="left" w:pos="720"/>
              </w:tabs>
              <w:ind w:firstLine="0"/>
              <w:rPr>
                <w:rFonts w:ascii="Calibri" w:hAnsi="Calibri"/>
                <w:szCs w:val="22"/>
              </w:rPr>
            </w:pPr>
            <w:r>
              <w:rPr>
                <w:rFonts w:ascii="Calibri" w:hAnsi="Calibri"/>
                <w:szCs w:val="22"/>
              </w:rPr>
              <w:t>12</w:t>
            </w:r>
          </w:p>
        </w:tc>
      </w:tr>
      <w:tr w:rsidR="00FB7E5D" w:rsidRPr="00FB7E5D" w14:paraId="0B0BF8D0" w14:textId="52BDBBC8" w:rsidTr="005C4474">
        <w:tc>
          <w:tcPr>
            <w:tcW w:w="9198" w:type="dxa"/>
          </w:tcPr>
          <w:p w14:paraId="7A3CD6DE"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A.16</w:t>
            </w:r>
            <w:r w:rsidRPr="00FB7E5D">
              <w:rPr>
                <w:rFonts w:ascii="Calibri" w:hAnsi="Calibri"/>
                <w:szCs w:val="22"/>
              </w:rPr>
              <w:tab/>
              <w:t>Plans for Tabulation and Publication and Project Time Schedule</w:t>
            </w:r>
            <w:r w:rsidRPr="00FB7E5D">
              <w:rPr>
                <w:rFonts w:ascii="Calibri" w:hAnsi="Calibri"/>
                <w:szCs w:val="22"/>
              </w:rPr>
              <w:tab/>
            </w:r>
          </w:p>
        </w:tc>
        <w:tc>
          <w:tcPr>
            <w:tcW w:w="666" w:type="dxa"/>
          </w:tcPr>
          <w:p w14:paraId="53D9C012" w14:textId="703FC33E" w:rsidR="00FB7E5D" w:rsidRPr="00FB7E5D" w:rsidRDefault="00D22E5F" w:rsidP="00592B93">
            <w:pPr>
              <w:pStyle w:val="P1-StandPara"/>
              <w:tabs>
                <w:tab w:val="left" w:pos="720"/>
              </w:tabs>
              <w:ind w:firstLine="0"/>
              <w:rPr>
                <w:rFonts w:ascii="Calibri" w:hAnsi="Calibri"/>
                <w:szCs w:val="22"/>
              </w:rPr>
            </w:pPr>
            <w:r>
              <w:rPr>
                <w:rFonts w:ascii="Calibri" w:hAnsi="Calibri"/>
                <w:szCs w:val="22"/>
              </w:rPr>
              <w:t>12</w:t>
            </w:r>
          </w:p>
        </w:tc>
      </w:tr>
      <w:tr w:rsidR="00FB7E5D" w:rsidRPr="00FB7E5D" w14:paraId="0A2B2E90" w14:textId="63AA5944" w:rsidTr="005C4474">
        <w:tc>
          <w:tcPr>
            <w:tcW w:w="9198" w:type="dxa"/>
          </w:tcPr>
          <w:p w14:paraId="65550845"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A.17</w:t>
            </w:r>
            <w:r w:rsidRPr="00FB7E5D">
              <w:rPr>
                <w:rFonts w:ascii="Calibri" w:hAnsi="Calibri"/>
                <w:szCs w:val="22"/>
              </w:rPr>
              <w:tab/>
              <w:t>Reason(s) Display of OMB Expiration Date is Inappropriate</w:t>
            </w:r>
            <w:r w:rsidRPr="00FB7E5D">
              <w:rPr>
                <w:rFonts w:ascii="Calibri" w:hAnsi="Calibri"/>
                <w:szCs w:val="22"/>
              </w:rPr>
              <w:tab/>
            </w:r>
          </w:p>
        </w:tc>
        <w:tc>
          <w:tcPr>
            <w:tcW w:w="666" w:type="dxa"/>
          </w:tcPr>
          <w:p w14:paraId="192F60AB" w14:textId="40CC8AD0" w:rsidR="00FB7E5D" w:rsidRPr="00FB7E5D" w:rsidRDefault="007834FE" w:rsidP="007834FE">
            <w:pPr>
              <w:pStyle w:val="P1-StandPara"/>
              <w:tabs>
                <w:tab w:val="left" w:pos="720"/>
              </w:tabs>
              <w:ind w:firstLine="0"/>
              <w:rPr>
                <w:rFonts w:ascii="Calibri" w:hAnsi="Calibri"/>
                <w:szCs w:val="22"/>
              </w:rPr>
            </w:pPr>
            <w:r>
              <w:rPr>
                <w:rFonts w:ascii="Calibri" w:hAnsi="Calibri"/>
                <w:szCs w:val="22"/>
              </w:rPr>
              <w:t>13</w:t>
            </w:r>
          </w:p>
        </w:tc>
      </w:tr>
      <w:tr w:rsidR="00FB7E5D" w:rsidRPr="00FB7E5D" w14:paraId="3DA3ED6F" w14:textId="499C473A" w:rsidTr="005C4474">
        <w:tc>
          <w:tcPr>
            <w:tcW w:w="9198" w:type="dxa"/>
          </w:tcPr>
          <w:p w14:paraId="35A60894" w14:textId="77777777" w:rsidR="00FB7E5D" w:rsidRPr="00FB7E5D" w:rsidRDefault="00FB7E5D" w:rsidP="00592B93">
            <w:pPr>
              <w:pStyle w:val="P1-StandPara"/>
              <w:tabs>
                <w:tab w:val="left" w:pos="720"/>
              </w:tabs>
              <w:ind w:firstLine="0"/>
              <w:rPr>
                <w:rFonts w:ascii="Calibri" w:hAnsi="Calibri"/>
                <w:szCs w:val="22"/>
              </w:rPr>
            </w:pPr>
            <w:r w:rsidRPr="00FB7E5D">
              <w:rPr>
                <w:rFonts w:ascii="Calibri" w:hAnsi="Calibri"/>
                <w:szCs w:val="22"/>
              </w:rPr>
              <w:t>A.18</w:t>
            </w:r>
            <w:r w:rsidRPr="00FB7E5D">
              <w:rPr>
                <w:rFonts w:ascii="Calibri" w:hAnsi="Calibri"/>
                <w:szCs w:val="22"/>
              </w:rPr>
              <w:tab/>
              <w:t>Exceptions to Certification for Paperwork Reduction Act Submissions</w:t>
            </w:r>
            <w:r w:rsidRPr="00FB7E5D">
              <w:rPr>
                <w:rFonts w:ascii="Calibri" w:hAnsi="Calibri"/>
                <w:szCs w:val="22"/>
              </w:rPr>
              <w:tab/>
            </w:r>
          </w:p>
        </w:tc>
        <w:tc>
          <w:tcPr>
            <w:tcW w:w="666" w:type="dxa"/>
          </w:tcPr>
          <w:p w14:paraId="0B656460" w14:textId="01F6369E" w:rsidR="00FB7E5D" w:rsidRPr="00FB7E5D" w:rsidRDefault="007834FE" w:rsidP="007834FE">
            <w:pPr>
              <w:pStyle w:val="P1-StandPara"/>
              <w:tabs>
                <w:tab w:val="left" w:pos="720"/>
              </w:tabs>
              <w:ind w:firstLine="0"/>
              <w:rPr>
                <w:rFonts w:ascii="Calibri" w:hAnsi="Calibri"/>
                <w:szCs w:val="22"/>
              </w:rPr>
            </w:pPr>
            <w:r>
              <w:rPr>
                <w:rFonts w:ascii="Calibri" w:hAnsi="Calibri"/>
                <w:szCs w:val="22"/>
              </w:rPr>
              <w:t>13</w:t>
            </w:r>
          </w:p>
        </w:tc>
      </w:tr>
    </w:tbl>
    <w:p w14:paraId="2654B340" w14:textId="77777777" w:rsidR="00723FA9" w:rsidRDefault="00723FA9" w:rsidP="00D22E5F">
      <w:pPr>
        <w:pStyle w:val="P1-StandPara"/>
        <w:tabs>
          <w:tab w:val="left" w:pos="720"/>
          <w:tab w:val="right" w:leader="dot" w:pos="9504"/>
        </w:tabs>
        <w:spacing w:before="120" w:after="120"/>
        <w:ind w:firstLine="0"/>
        <w:rPr>
          <w:rFonts w:ascii="Calibri" w:hAnsi="Calibri"/>
          <w:szCs w:val="22"/>
        </w:rPr>
      </w:pPr>
    </w:p>
    <w:p w14:paraId="5E1293AB" w14:textId="77777777" w:rsidR="001518EE" w:rsidRPr="005C4474" w:rsidRDefault="00E35DD1" w:rsidP="00D22E5F">
      <w:pPr>
        <w:pStyle w:val="P1-StandPara"/>
        <w:tabs>
          <w:tab w:val="left" w:pos="720"/>
          <w:tab w:val="right" w:leader="dot" w:pos="9504"/>
        </w:tabs>
        <w:spacing w:before="120" w:after="120"/>
        <w:ind w:firstLine="0"/>
        <w:rPr>
          <w:rFonts w:ascii="Calibri" w:hAnsi="Calibri"/>
        </w:rPr>
      </w:pPr>
      <w:r w:rsidRPr="008942E9">
        <w:rPr>
          <w:rFonts w:ascii="Calibri" w:hAnsi="Calibri"/>
          <w:szCs w:val="22"/>
        </w:rPr>
        <w:lastRenderedPageBreak/>
        <w:fldChar w:fldCharType="end"/>
      </w:r>
    </w:p>
    <w:p w14:paraId="02CBBC4D" w14:textId="4111AC7A" w:rsidR="00D22E5F" w:rsidRPr="005C02B1" w:rsidRDefault="00D22E5F" w:rsidP="00D22E5F">
      <w:pPr>
        <w:pStyle w:val="P1-StandPara"/>
        <w:tabs>
          <w:tab w:val="left" w:pos="720"/>
          <w:tab w:val="right" w:leader="dot" w:pos="9504"/>
        </w:tabs>
        <w:spacing w:before="120" w:after="120"/>
        <w:ind w:firstLine="0"/>
        <w:rPr>
          <w:rFonts w:ascii="Calibri" w:hAnsi="Calibri"/>
          <w:b/>
          <w:szCs w:val="22"/>
          <w:u w:val="single"/>
        </w:rPr>
      </w:pPr>
      <w:r w:rsidRPr="00D22E5F">
        <w:rPr>
          <w:b/>
          <w:u w:val="single"/>
        </w:rPr>
        <w:t xml:space="preserve"> </w:t>
      </w:r>
      <w:r w:rsidRPr="005C02B1">
        <w:rPr>
          <w:rFonts w:ascii="Calibri" w:hAnsi="Calibri"/>
          <w:b/>
          <w:szCs w:val="22"/>
          <w:u w:val="single"/>
        </w:rPr>
        <w:t>Attachments</w:t>
      </w:r>
    </w:p>
    <w:p w14:paraId="5D038BC5" w14:textId="77777777" w:rsidR="00D22E5F" w:rsidRPr="005C02B1" w:rsidRDefault="00D22E5F" w:rsidP="00D22E5F">
      <w:r w:rsidRPr="005C02B1">
        <w:t xml:space="preserve">Attachment </w:t>
      </w:r>
      <w:r>
        <w:t>A</w:t>
      </w:r>
      <w:r w:rsidRPr="005C02B1">
        <w:t xml:space="preserve">  </w:t>
      </w:r>
      <w:r w:rsidRPr="005C02B1">
        <w:tab/>
      </w:r>
      <w:r w:rsidRPr="005C02B1">
        <w:tab/>
        <w:t>Questionnaire</w:t>
      </w:r>
    </w:p>
    <w:p w14:paraId="6C15EE71" w14:textId="77777777" w:rsidR="00D22E5F" w:rsidRDefault="00D22E5F" w:rsidP="00D22E5F">
      <w:r w:rsidRPr="005C02B1">
        <w:t xml:space="preserve">Attachment </w:t>
      </w:r>
      <w:r>
        <w:t>B</w:t>
      </w:r>
      <w:r w:rsidRPr="005C02B1">
        <w:t xml:space="preserve">  </w:t>
      </w:r>
      <w:r w:rsidRPr="005C02B1">
        <w:tab/>
      </w:r>
      <w:r w:rsidRPr="005C02B1">
        <w:tab/>
        <w:t>Telephone Screener</w:t>
      </w:r>
    </w:p>
    <w:p w14:paraId="206948C8" w14:textId="77777777" w:rsidR="00D22E5F" w:rsidRPr="005C02B1" w:rsidRDefault="00D22E5F" w:rsidP="00D22E5F">
      <w:r w:rsidRPr="005C02B1">
        <w:t xml:space="preserve">Attachment </w:t>
      </w:r>
      <w:r>
        <w:t>C</w:t>
      </w:r>
      <w:r w:rsidRPr="005C02B1">
        <w:tab/>
      </w:r>
      <w:r w:rsidRPr="005C02B1">
        <w:tab/>
        <w:t>Survey Cover Letters and Emails</w:t>
      </w:r>
    </w:p>
    <w:p w14:paraId="0219F182" w14:textId="77777777" w:rsidR="00D22E5F" w:rsidRPr="005C02B1" w:rsidRDefault="00D22E5F" w:rsidP="00D22E5F">
      <w:r w:rsidRPr="005C02B1">
        <w:t xml:space="preserve">Attachment </w:t>
      </w:r>
      <w:r>
        <w:t>D</w:t>
      </w:r>
      <w:r w:rsidRPr="005C02B1">
        <w:tab/>
      </w:r>
      <w:r w:rsidRPr="005C02B1">
        <w:tab/>
        <w:t>Telephone Reminder Script</w:t>
      </w:r>
    </w:p>
    <w:p w14:paraId="3852BB54" w14:textId="77777777" w:rsidR="00D22E5F" w:rsidRPr="005C02B1" w:rsidRDefault="00D22E5F" w:rsidP="00D22E5F">
      <w:r w:rsidRPr="005C02B1">
        <w:t xml:space="preserve">Attachment </w:t>
      </w:r>
      <w:r>
        <w:t>E</w:t>
      </w:r>
      <w:r w:rsidRPr="005C02B1">
        <w:tab/>
      </w:r>
      <w:r w:rsidRPr="005C02B1">
        <w:tab/>
        <w:t>Nonresponse Follow-Back Survey</w:t>
      </w:r>
    </w:p>
    <w:p w14:paraId="58E95AB6" w14:textId="77777777" w:rsidR="00D22E5F" w:rsidRDefault="00D22E5F" w:rsidP="00D22E5F">
      <w:r w:rsidRPr="005C02B1">
        <w:t xml:space="preserve">Attachment </w:t>
      </w:r>
      <w:r>
        <w:t>F</w:t>
      </w:r>
      <w:r w:rsidRPr="005C02B1">
        <w:tab/>
      </w:r>
      <w:r w:rsidRPr="005C02B1">
        <w:tab/>
        <w:t>Consultants</w:t>
      </w:r>
    </w:p>
    <w:p w14:paraId="0B49D6C1" w14:textId="77777777" w:rsidR="00D22E5F" w:rsidRDefault="00D22E5F" w:rsidP="00D22E5F">
      <w:r w:rsidRPr="005C02B1">
        <w:t>Attachment G</w:t>
      </w:r>
      <w:r w:rsidRPr="005C02B1">
        <w:tab/>
      </w:r>
      <w:r w:rsidRPr="005C02B1">
        <w:tab/>
        <w:t>References</w:t>
      </w:r>
    </w:p>
    <w:p w14:paraId="16588EBE" w14:textId="77777777" w:rsidR="00A420F2" w:rsidRDefault="00723FA9" w:rsidP="00A420F2">
      <w:r>
        <w:t>Attachment H</w:t>
      </w:r>
      <w:r w:rsidR="00A420F2">
        <w:tab/>
      </w:r>
      <w:r w:rsidR="00A420F2">
        <w:tab/>
        <w:t>OHSRP Exemption</w:t>
      </w:r>
    </w:p>
    <w:p w14:paraId="313BF044" w14:textId="5E68CF4F" w:rsidR="00723FA9" w:rsidRDefault="00A420F2" w:rsidP="00723FA9">
      <w:r>
        <w:t>Attachment I</w:t>
      </w:r>
      <w:r w:rsidR="00723FA9">
        <w:tab/>
      </w:r>
      <w:r w:rsidR="00723FA9">
        <w:tab/>
        <w:t>Privacy Act Memo</w:t>
      </w:r>
    </w:p>
    <w:p w14:paraId="578F6162" w14:textId="512CBCEA" w:rsidR="00A2612C" w:rsidRDefault="003001DC" w:rsidP="00723FA9">
      <w:r>
        <w:t>Attachment J</w:t>
      </w:r>
      <w:r>
        <w:tab/>
      </w:r>
      <w:r>
        <w:tab/>
        <w:t>Screen Shots from Web Survey</w:t>
      </w:r>
    </w:p>
    <w:p w14:paraId="0342F320" w14:textId="77777777" w:rsidR="00A2612C" w:rsidRDefault="00A2612C" w:rsidP="00A2612C">
      <w:r>
        <w:t>Attachment K</w:t>
      </w:r>
      <w:r>
        <w:tab/>
      </w:r>
      <w:r>
        <w:tab/>
        <w:t>Privacy Impact Assessment</w:t>
      </w:r>
    </w:p>
    <w:p w14:paraId="3A75B851" w14:textId="77777777" w:rsidR="00A2612C" w:rsidRPr="005C02B1" w:rsidRDefault="00A2612C" w:rsidP="00A2612C">
      <w:r>
        <w:t>Attachment L</w:t>
      </w:r>
      <w:r>
        <w:tab/>
      </w:r>
      <w:r>
        <w:tab/>
        <w:t>Thank you letter for a contingent incentive</w:t>
      </w:r>
    </w:p>
    <w:p w14:paraId="3297C3E5" w14:textId="77777777" w:rsidR="00A2612C" w:rsidRPr="005C02B1" w:rsidRDefault="00A2612C" w:rsidP="00723FA9"/>
    <w:p w14:paraId="711E44A2" w14:textId="77777777" w:rsidR="00723FA9" w:rsidRPr="005C02B1" w:rsidRDefault="00723FA9" w:rsidP="00D22E5F">
      <w:pPr>
        <w:rPr>
          <w:color w:val="FF0000"/>
        </w:rPr>
      </w:pPr>
    </w:p>
    <w:p w14:paraId="41600F8C" w14:textId="45F27DAA" w:rsidR="00B4620D" w:rsidRDefault="00B4620D" w:rsidP="00D22E5F">
      <w:pPr>
        <w:pStyle w:val="P1-StandPara"/>
        <w:tabs>
          <w:tab w:val="left" w:pos="720"/>
          <w:tab w:val="right" w:leader="dot" w:pos="9504"/>
        </w:tabs>
        <w:spacing w:before="120" w:after="120"/>
        <w:ind w:firstLine="0"/>
        <w:rPr>
          <w:color w:val="000000"/>
        </w:rPr>
      </w:pPr>
    </w:p>
    <w:p w14:paraId="3E7F2692" w14:textId="77777777" w:rsidR="00B4620D" w:rsidRDefault="00B4620D">
      <w:pPr>
        <w:spacing w:after="0" w:line="240" w:lineRule="auto"/>
        <w:rPr>
          <w:rFonts w:eastAsia="Times New Roman"/>
        </w:rPr>
      </w:pPr>
      <w:r>
        <w:br w:type="page"/>
      </w:r>
    </w:p>
    <w:p w14:paraId="1E109F64" w14:textId="43340A62" w:rsidR="006A45F9" w:rsidRPr="00FB7E5D" w:rsidRDefault="006A45F9" w:rsidP="00FB7E5D">
      <w:pPr>
        <w:pStyle w:val="P1-StandPara"/>
        <w:tabs>
          <w:tab w:val="left" w:pos="720"/>
          <w:tab w:val="right" w:leader="dot" w:pos="9504"/>
        </w:tabs>
        <w:spacing w:before="120" w:after="120"/>
        <w:ind w:firstLine="0"/>
        <w:rPr>
          <w:rFonts w:ascii="Calibri" w:hAnsi="Calibri"/>
          <w:szCs w:val="22"/>
        </w:rPr>
      </w:pPr>
      <w:r w:rsidRPr="008942E9">
        <w:rPr>
          <w:rFonts w:ascii="Calibri" w:hAnsi="Calibri"/>
          <w:b/>
          <w:szCs w:val="22"/>
        </w:rPr>
        <w:lastRenderedPageBreak/>
        <w:t xml:space="preserve">A. </w:t>
      </w:r>
      <w:r w:rsidR="00BE76A7" w:rsidRPr="008942E9">
        <w:rPr>
          <w:rFonts w:ascii="Calibri" w:hAnsi="Calibri"/>
          <w:b/>
          <w:szCs w:val="22"/>
        </w:rPr>
        <w:t>Justification</w:t>
      </w:r>
    </w:p>
    <w:p w14:paraId="4798730C" w14:textId="0E7E01AE" w:rsidR="00E25146" w:rsidRDefault="00BB350B" w:rsidP="00493AB2">
      <w:pPr>
        <w:pStyle w:val="P1-StandPara"/>
        <w:tabs>
          <w:tab w:val="left" w:pos="720"/>
          <w:tab w:val="right" w:leader="dot" w:pos="9504"/>
        </w:tabs>
        <w:spacing w:before="120" w:after="120" w:line="240" w:lineRule="auto"/>
        <w:ind w:firstLine="0"/>
        <w:rPr>
          <w:rFonts w:ascii="Calibri" w:hAnsi="Calibri"/>
          <w:bCs/>
          <w:szCs w:val="22"/>
        </w:rPr>
      </w:pPr>
      <w:r>
        <w:rPr>
          <w:rFonts w:ascii="Calibri" w:hAnsi="Calibri"/>
          <w:bCs/>
          <w:szCs w:val="22"/>
        </w:rPr>
        <w:t xml:space="preserve">This is a new information collection seeking approval for </w:t>
      </w:r>
      <w:r w:rsidR="00475D10">
        <w:rPr>
          <w:rFonts w:ascii="Calibri" w:hAnsi="Calibri"/>
          <w:bCs/>
          <w:szCs w:val="22"/>
        </w:rPr>
        <w:t>2</w:t>
      </w:r>
      <w:r>
        <w:rPr>
          <w:rFonts w:ascii="Calibri" w:hAnsi="Calibri"/>
          <w:bCs/>
          <w:szCs w:val="22"/>
        </w:rPr>
        <w:t xml:space="preserve"> years. </w:t>
      </w:r>
      <w:r w:rsidR="00113716">
        <w:rPr>
          <w:rFonts w:ascii="Calibri" w:hAnsi="Calibri"/>
          <w:bCs/>
          <w:szCs w:val="22"/>
        </w:rPr>
        <w:t xml:space="preserve">The purpose of this study is to investigate the current practice of precision medicine in cancer treatment among medical oncologists in the U.S.  This </w:t>
      </w:r>
      <w:r w:rsidR="005903A9">
        <w:rPr>
          <w:rFonts w:ascii="Calibri" w:hAnsi="Calibri"/>
          <w:bCs/>
          <w:szCs w:val="22"/>
        </w:rPr>
        <w:t xml:space="preserve">project aims to conduct </w:t>
      </w:r>
      <w:r w:rsidR="00113716">
        <w:rPr>
          <w:rFonts w:ascii="Calibri" w:hAnsi="Calibri"/>
          <w:bCs/>
          <w:szCs w:val="22"/>
        </w:rPr>
        <w:t xml:space="preserve"> a nationally representative survey designed to</w:t>
      </w:r>
      <w:r w:rsidR="002704A8">
        <w:rPr>
          <w:rFonts w:ascii="Calibri" w:hAnsi="Calibri"/>
          <w:bCs/>
          <w:szCs w:val="22"/>
        </w:rPr>
        <w:t xml:space="preserve">: </w:t>
      </w:r>
      <w:r w:rsidR="00113716">
        <w:rPr>
          <w:rFonts w:ascii="Calibri" w:hAnsi="Calibri"/>
          <w:bCs/>
          <w:szCs w:val="22"/>
        </w:rPr>
        <w:t xml:space="preserve"> assess oncologists’ current and potential use of genomic testing</w:t>
      </w:r>
      <w:r w:rsidR="002704A8">
        <w:rPr>
          <w:rFonts w:ascii="Calibri" w:hAnsi="Calibri"/>
          <w:bCs/>
          <w:szCs w:val="22"/>
        </w:rPr>
        <w:t>;</w:t>
      </w:r>
      <w:r w:rsidR="00113716">
        <w:rPr>
          <w:rFonts w:ascii="Calibri" w:hAnsi="Calibri"/>
          <w:bCs/>
          <w:szCs w:val="22"/>
        </w:rPr>
        <w:t xml:space="preserve"> to inform the development of interventions</w:t>
      </w:r>
      <w:r w:rsidR="002704A8">
        <w:rPr>
          <w:rFonts w:ascii="Calibri" w:hAnsi="Calibri"/>
          <w:bCs/>
          <w:szCs w:val="22"/>
        </w:rPr>
        <w:t>;</w:t>
      </w:r>
      <w:r w:rsidR="00113716">
        <w:rPr>
          <w:rFonts w:ascii="Calibri" w:hAnsi="Calibri"/>
          <w:bCs/>
          <w:szCs w:val="22"/>
        </w:rPr>
        <w:t xml:space="preserve"> to facilitate optimal use of genomic testing</w:t>
      </w:r>
      <w:r w:rsidR="002704A8">
        <w:rPr>
          <w:rFonts w:ascii="Calibri" w:hAnsi="Calibri"/>
          <w:bCs/>
          <w:szCs w:val="22"/>
        </w:rPr>
        <w:t>;</w:t>
      </w:r>
      <w:r w:rsidR="00113716">
        <w:rPr>
          <w:rFonts w:ascii="Calibri" w:hAnsi="Calibri"/>
          <w:bCs/>
          <w:szCs w:val="22"/>
        </w:rPr>
        <w:t xml:space="preserve"> and to improve patient-physician discussions of the risks, possible benefits, and uncertainties surrounding the use of these tests.  Current knowledge of this topic is limited as there are no nationally-representative studies on this topic to date</w:t>
      </w:r>
      <w:r w:rsidR="00493AB2">
        <w:rPr>
          <w:rFonts w:ascii="Calibri" w:hAnsi="Calibri"/>
          <w:bCs/>
          <w:szCs w:val="22"/>
        </w:rPr>
        <w:t xml:space="preserve">. </w:t>
      </w:r>
      <w:r w:rsidR="00113716">
        <w:rPr>
          <w:rFonts w:ascii="Calibri" w:hAnsi="Calibri"/>
          <w:bCs/>
          <w:szCs w:val="22"/>
        </w:rPr>
        <w:t xml:space="preserve">The survey will be </w:t>
      </w:r>
      <w:r w:rsidR="00CC1DBC">
        <w:rPr>
          <w:rFonts w:ascii="Calibri" w:hAnsi="Calibri"/>
          <w:bCs/>
          <w:szCs w:val="22"/>
        </w:rPr>
        <w:t>administered by mail and web to</w:t>
      </w:r>
      <w:r w:rsidR="00113716">
        <w:rPr>
          <w:rFonts w:ascii="Calibri" w:hAnsi="Calibri"/>
          <w:bCs/>
          <w:szCs w:val="22"/>
        </w:rPr>
        <w:t xml:space="preserve"> oncolog</w:t>
      </w:r>
      <w:r w:rsidR="00493AB2">
        <w:rPr>
          <w:rFonts w:ascii="Calibri" w:hAnsi="Calibri"/>
          <w:bCs/>
          <w:szCs w:val="22"/>
        </w:rPr>
        <w:t>y</w:t>
      </w:r>
      <w:r w:rsidR="00113716">
        <w:rPr>
          <w:rFonts w:ascii="Calibri" w:hAnsi="Calibri"/>
          <w:bCs/>
          <w:szCs w:val="22"/>
        </w:rPr>
        <w:t xml:space="preserve"> physicians across the U.S.  Non-respondents will be invited to complete a follow-back survey to share their reasons for not participating.  </w:t>
      </w:r>
      <w:r w:rsidR="00113716" w:rsidRPr="00113716">
        <w:rPr>
          <w:rFonts w:ascii="Calibri" w:hAnsi="Calibri"/>
          <w:bCs/>
          <w:szCs w:val="22"/>
        </w:rPr>
        <w:t>The study findings will inform NCI of relevant issues and concerns relating to the application of precision medicine to current and future cancer treatment patterns and practice.   This information will also inform the development of new funding initiatives to optimize the use of precision medicine in cancer treatment.  Additionally, information collected as part of this survey will be used to develop physician educational materials to address barriers to precision medicine in cancer care delivery.</w:t>
      </w:r>
    </w:p>
    <w:p w14:paraId="117D3912" w14:textId="77777777" w:rsidR="001228F0" w:rsidRPr="00113716" w:rsidRDefault="001228F0" w:rsidP="00113716">
      <w:pPr>
        <w:pStyle w:val="P1-StandPara"/>
        <w:tabs>
          <w:tab w:val="left" w:pos="720"/>
          <w:tab w:val="right" w:leader="dot" w:pos="9504"/>
        </w:tabs>
        <w:spacing w:before="120" w:after="120" w:line="240" w:lineRule="auto"/>
        <w:ind w:firstLine="0"/>
        <w:rPr>
          <w:rFonts w:ascii="Calibri" w:hAnsi="Calibri"/>
          <w:bCs/>
          <w:szCs w:val="22"/>
        </w:rPr>
      </w:pPr>
    </w:p>
    <w:p w14:paraId="5F1D5256" w14:textId="77777777" w:rsidR="000F3043" w:rsidRPr="008942E9" w:rsidRDefault="000F3043" w:rsidP="000F3043">
      <w:pPr>
        <w:pStyle w:val="P1-StandPara"/>
        <w:tabs>
          <w:tab w:val="left" w:pos="720"/>
          <w:tab w:val="right" w:leader="dot" w:pos="9504"/>
        </w:tabs>
        <w:spacing w:before="120" w:after="120"/>
        <w:ind w:firstLine="0"/>
        <w:rPr>
          <w:rFonts w:ascii="Calibri" w:hAnsi="Calibri"/>
          <w:b/>
          <w:szCs w:val="22"/>
        </w:rPr>
      </w:pPr>
      <w:r w:rsidRPr="008942E9">
        <w:rPr>
          <w:rFonts w:ascii="Calibri" w:hAnsi="Calibri"/>
          <w:b/>
          <w:szCs w:val="22"/>
        </w:rPr>
        <w:t>A.1</w:t>
      </w:r>
      <w:r w:rsidRPr="008942E9">
        <w:rPr>
          <w:rFonts w:ascii="Calibri" w:hAnsi="Calibri"/>
          <w:b/>
          <w:szCs w:val="22"/>
        </w:rPr>
        <w:tab/>
        <w:t>Circumstances Making the Collection of Information Necessary</w:t>
      </w:r>
    </w:p>
    <w:p w14:paraId="0F59D68E" w14:textId="12FB0C07" w:rsidR="00FB7E5D" w:rsidRPr="00EF64D2" w:rsidRDefault="00EF64D2" w:rsidP="00FB7E5D">
      <w:pPr>
        <w:pStyle w:val="Heading2"/>
        <w:spacing w:after="0" w:line="240" w:lineRule="auto"/>
        <w:ind w:left="0" w:firstLine="0"/>
        <w:rPr>
          <w:rFonts w:ascii="Calibri" w:eastAsia="Calibri" w:hAnsi="Calibri"/>
          <w:b w:val="0"/>
          <w:szCs w:val="22"/>
        </w:rPr>
      </w:pPr>
      <w:bookmarkStart w:id="0" w:name="_Toc443881743"/>
      <w:bookmarkStart w:id="1" w:name="_Toc451592232"/>
      <w:bookmarkStart w:id="2" w:name="_Toc5610273"/>
      <w:bookmarkStart w:id="3" w:name="_Toc99178779"/>
      <w:r w:rsidRPr="00EF64D2">
        <w:rPr>
          <w:rFonts w:ascii="Calibri" w:eastAsia="Calibri" w:hAnsi="Calibri"/>
          <w:b w:val="0"/>
          <w:szCs w:val="22"/>
        </w:rPr>
        <w:t>On January 30, 2015, President Obama announced the Precision Medicine Initiative, which will generate the scientific evidence needed to move the concept of precision medicine into practice</w:t>
      </w:r>
      <w:r w:rsidR="00303EDD">
        <w:rPr>
          <w:rFonts w:ascii="Calibri" w:eastAsia="Calibri" w:hAnsi="Calibri"/>
          <w:b w:val="0"/>
          <w:szCs w:val="22"/>
        </w:rPr>
        <w:t xml:space="preserve"> (</w:t>
      </w:r>
      <w:hyperlink r:id="rId10" w:history="1">
        <w:r w:rsidR="00303EDD" w:rsidRPr="00A420F2">
          <w:rPr>
            <w:rStyle w:val="Hyperlink"/>
            <w:rFonts w:ascii="Calibri" w:eastAsia="Calibri" w:hAnsi="Calibri"/>
            <w:b w:val="0"/>
            <w:szCs w:val="22"/>
          </w:rPr>
          <w:t>https://www.whitehouse.gov/the-press-office/2015/01/30/fact-sheet-president-obama-s-precision-medicine-initiative</w:t>
        </w:r>
      </w:hyperlink>
      <w:r w:rsidR="00303EDD">
        <w:rPr>
          <w:rFonts w:ascii="Calibri" w:eastAsia="Calibri" w:hAnsi="Calibri"/>
          <w:b w:val="0"/>
          <w:szCs w:val="22"/>
        </w:rPr>
        <w:t>)</w:t>
      </w:r>
      <w:r w:rsidRPr="00EF64D2">
        <w:rPr>
          <w:rFonts w:ascii="Calibri" w:eastAsia="Calibri" w:hAnsi="Calibri"/>
          <w:b w:val="0"/>
          <w:szCs w:val="22"/>
        </w:rPr>
        <w:t xml:space="preserve">.  Precision medicine is a new and rapidly-evolving field that entails integrating established clinical-pathological information with state-of-the-art molecular and genomic profiling to provide diagnostic, prognostic, and treatment strategies that are tailored to individual patients, maximizing treatment effectiveness and minimizing toxicity to improve health outcomes.  One immediate goal of the Precision Medicine Initiative is to significantly expand efforts in cancer genomics to create prevention and treatment successes for more cancers.  </w:t>
      </w:r>
      <w:r>
        <w:rPr>
          <w:rFonts w:ascii="Calibri" w:eastAsia="Calibri" w:hAnsi="Calibri"/>
          <w:b w:val="0"/>
          <w:szCs w:val="22"/>
        </w:rPr>
        <w:t>However</w:t>
      </w:r>
      <w:r w:rsidRPr="00EF64D2">
        <w:rPr>
          <w:rFonts w:ascii="Calibri" w:eastAsia="Calibri" w:hAnsi="Calibri"/>
          <w:b w:val="0"/>
          <w:szCs w:val="22"/>
        </w:rPr>
        <w:t>, it is critical to</w:t>
      </w:r>
      <w:r>
        <w:rPr>
          <w:rFonts w:ascii="Calibri" w:eastAsia="Calibri" w:hAnsi="Calibri"/>
          <w:b w:val="0"/>
          <w:szCs w:val="22"/>
        </w:rPr>
        <w:t xml:space="preserve"> first</w:t>
      </w:r>
      <w:r w:rsidRPr="00EF64D2">
        <w:rPr>
          <w:rFonts w:ascii="Calibri" w:eastAsia="Calibri" w:hAnsi="Calibri"/>
          <w:b w:val="0"/>
          <w:szCs w:val="22"/>
        </w:rPr>
        <w:t xml:space="preserve"> understand the extent to which healthcare providers use genomic tests and the factors that govern the use of these tests in clinical practice.</w:t>
      </w:r>
      <w:r w:rsidR="00FB7E5D">
        <w:rPr>
          <w:rFonts w:ascii="Calibri" w:eastAsia="Calibri" w:hAnsi="Calibri"/>
          <w:b w:val="0"/>
          <w:szCs w:val="22"/>
        </w:rPr>
        <w:t xml:space="preserve">  </w:t>
      </w:r>
      <w:r w:rsidR="00FB7E5D" w:rsidRPr="00EF64D2">
        <w:rPr>
          <w:rFonts w:ascii="Calibri" w:eastAsia="Calibri" w:hAnsi="Calibri"/>
          <w:b w:val="0"/>
          <w:szCs w:val="22"/>
        </w:rPr>
        <w:t xml:space="preserve">Collecting population-based data about medical oncologists’ knowledge, attitudes, recommendations, and practices concerning guideline-recommended genomic tests would lead to greater understanding of </w:t>
      </w:r>
      <w:r w:rsidR="00FB7E5D">
        <w:rPr>
          <w:rFonts w:ascii="Calibri" w:eastAsia="Calibri" w:hAnsi="Calibri"/>
          <w:b w:val="0"/>
          <w:szCs w:val="22"/>
        </w:rPr>
        <w:t xml:space="preserve">their current and potential use, and inform the </w:t>
      </w:r>
      <w:r w:rsidR="00FB7E5D" w:rsidRPr="00EF64D2">
        <w:rPr>
          <w:rFonts w:ascii="Calibri" w:eastAsia="Calibri" w:hAnsi="Calibri"/>
          <w:b w:val="0"/>
          <w:szCs w:val="22"/>
        </w:rPr>
        <w:t xml:space="preserve">development of interventions to facilitate patient-physician discussions of the risks, possible benefits, and uncertainties surrounding application of these tests. </w:t>
      </w:r>
    </w:p>
    <w:p w14:paraId="02EC9E17" w14:textId="69EEF5D5" w:rsidR="00EF64D2" w:rsidRDefault="00EF64D2" w:rsidP="001228F0">
      <w:pPr>
        <w:pStyle w:val="Heading2"/>
        <w:spacing w:after="0" w:line="240" w:lineRule="auto"/>
        <w:ind w:left="0" w:firstLine="0"/>
        <w:rPr>
          <w:rFonts w:ascii="Calibri" w:eastAsia="Calibri" w:hAnsi="Calibri"/>
          <w:b w:val="0"/>
          <w:szCs w:val="22"/>
        </w:rPr>
      </w:pPr>
    </w:p>
    <w:p w14:paraId="6046295A" w14:textId="77777777" w:rsidR="00FB7E5D" w:rsidRDefault="00FB7E5D" w:rsidP="00FB7E5D">
      <w:pPr>
        <w:pStyle w:val="Heading2"/>
        <w:tabs>
          <w:tab w:val="clear" w:pos="1152"/>
          <w:tab w:val="left" w:pos="360"/>
        </w:tabs>
        <w:spacing w:after="0" w:line="240" w:lineRule="auto"/>
        <w:ind w:left="0" w:firstLine="0"/>
        <w:rPr>
          <w:rFonts w:ascii="Calibri" w:eastAsia="Calibri" w:hAnsi="Calibri"/>
          <w:b w:val="0"/>
          <w:szCs w:val="22"/>
        </w:rPr>
      </w:pPr>
      <w:r w:rsidRPr="00EF64D2">
        <w:rPr>
          <w:rFonts w:ascii="Calibri" w:eastAsia="Calibri" w:hAnsi="Calibri"/>
          <w:b w:val="0"/>
          <w:szCs w:val="22"/>
        </w:rPr>
        <w:t>In this document we provide supporting information for approval by the Office of Management and Budget (OMB) for survey data collection under the Paperwork Reduction Act</w:t>
      </w:r>
      <w:r>
        <w:rPr>
          <w:rFonts w:ascii="Calibri" w:eastAsia="Calibri" w:hAnsi="Calibri"/>
          <w:b w:val="0"/>
          <w:szCs w:val="22"/>
        </w:rPr>
        <w:t xml:space="preserve">.  </w:t>
      </w:r>
      <w:r w:rsidRPr="00EF64D2">
        <w:rPr>
          <w:rFonts w:ascii="Calibri" w:eastAsia="Calibri" w:hAnsi="Calibri"/>
          <w:b w:val="0"/>
          <w:szCs w:val="22"/>
        </w:rPr>
        <w:t>The primary methods for data collection will be self-administered surveys administered to oncologists via mail and web modes. Section 410 of the Public Health Service Act (42 USC § 285) authorizes the collection of the information.</w:t>
      </w:r>
    </w:p>
    <w:p w14:paraId="5EA7A3DC" w14:textId="77777777" w:rsidR="00FB7E5D" w:rsidRPr="00FB7E5D" w:rsidRDefault="00FB7E5D" w:rsidP="00FB7E5D">
      <w:pPr>
        <w:pStyle w:val="P1-StandPara"/>
        <w:ind w:firstLine="0"/>
        <w:rPr>
          <w:rFonts w:eastAsia="Calibri"/>
        </w:rPr>
      </w:pPr>
    </w:p>
    <w:p w14:paraId="7BE1A83B" w14:textId="7C3D76F0" w:rsidR="000F3043" w:rsidRDefault="000F3043" w:rsidP="00FB7E5D">
      <w:pPr>
        <w:pStyle w:val="Heading2"/>
        <w:tabs>
          <w:tab w:val="clear" w:pos="1152"/>
          <w:tab w:val="left" w:pos="360"/>
        </w:tabs>
        <w:spacing w:after="0" w:line="240" w:lineRule="auto"/>
        <w:ind w:left="0" w:firstLine="0"/>
        <w:rPr>
          <w:rFonts w:ascii="Calibri" w:hAnsi="Calibri"/>
          <w:szCs w:val="22"/>
        </w:rPr>
      </w:pPr>
      <w:r w:rsidRPr="008942E9">
        <w:rPr>
          <w:rFonts w:ascii="Calibri" w:hAnsi="Calibri"/>
          <w:szCs w:val="22"/>
        </w:rPr>
        <w:t>A.2    Purpose and Use of the Information</w:t>
      </w:r>
      <w:bookmarkEnd w:id="0"/>
      <w:bookmarkEnd w:id="1"/>
      <w:bookmarkEnd w:id="2"/>
      <w:bookmarkEnd w:id="3"/>
      <w:r w:rsidRPr="008942E9">
        <w:rPr>
          <w:rFonts w:ascii="Calibri" w:hAnsi="Calibri"/>
          <w:szCs w:val="22"/>
        </w:rPr>
        <w:t xml:space="preserve"> Collection</w:t>
      </w:r>
    </w:p>
    <w:p w14:paraId="3C65D96C" w14:textId="77777777" w:rsidR="00475D10" w:rsidRPr="00475D10" w:rsidRDefault="00475D10" w:rsidP="00475D10">
      <w:pPr>
        <w:pStyle w:val="P1-StandPara"/>
        <w:rPr>
          <w:rFonts w:eastAsia="Calibri"/>
        </w:rPr>
      </w:pPr>
    </w:p>
    <w:p w14:paraId="07688564" w14:textId="5F4FFAA5" w:rsidR="00FB7E5D" w:rsidRPr="00EF64D2" w:rsidRDefault="00FB7E5D" w:rsidP="00FB7E5D">
      <w:pPr>
        <w:pStyle w:val="Heading2"/>
        <w:spacing w:after="0" w:line="240" w:lineRule="auto"/>
        <w:ind w:left="0" w:firstLine="0"/>
        <w:rPr>
          <w:rFonts w:ascii="Calibri" w:eastAsia="Calibri" w:hAnsi="Calibri"/>
          <w:b w:val="0"/>
          <w:szCs w:val="22"/>
        </w:rPr>
      </w:pPr>
      <w:r w:rsidRPr="00EF64D2">
        <w:rPr>
          <w:rFonts w:ascii="Calibri" w:eastAsia="Calibri" w:hAnsi="Calibri"/>
          <w:b w:val="0"/>
          <w:szCs w:val="22"/>
        </w:rPr>
        <w:t xml:space="preserve">Medical oncologists are the primary point of access to the genetic, genomic, and biomarker tests that provide molecular profiling for cancer patients. However, there are no </w:t>
      </w:r>
      <w:r w:rsidR="007B35DE">
        <w:rPr>
          <w:rFonts w:ascii="Calibri" w:eastAsia="Calibri" w:hAnsi="Calibri"/>
          <w:b w:val="0"/>
          <w:szCs w:val="22"/>
        </w:rPr>
        <w:t xml:space="preserve">nationally representative </w:t>
      </w:r>
      <w:r w:rsidRPr="00EF64D2">
        <w:rPr>
          <w:rFonts w:ascii="Calibri" w:eastAsia="Calibri" w:hAnsi="Calibri"/>
          <w:b w:val="0"/>
          <w:szCs w:val="22"/>
        </w:rPr>
        <w:t xml:space="preserve">data currently available to assess these clinicians’ awareness, knowledge, and use of such testing to guide management strategies for cancer patients in the community practice setting. </w:t>
      </w:r>
      <w:r w:rsidR="007C5916">
        <w:rPr>
          <w:rFonts w:ascii="Calibri" w:eastAsia="Calibri" w:hAnsi="Calibri"/>
          <w:b w:val="0"/>
          <w:szCs w:val="22"/>
        </w:rPr>
        <w:t>A previous</w:t>
      </w:r>
      <w:r w:rsidR="007C5916" w:rsidRPr="00EF64D2">
        <w:rPr>
          <w:rFonts w:ascii="Calibri" w:eastAsia="Calibri" w:hAnsi="Calibri"/>
          <w:b w:val="0"/>
          <w:szCs w:val="22"/>
        </w:rPr>
        <w:t xml:space="preserve"> </w:t>
      </w:r>
      <w:r w:rsidRPr="00EF64D2">
        <w:rPr>
          <w:rFonts w:ascii="Calibri" w:eastAsia="Calibri" w:hAnsi="Calibri"/>
          <w:b w:val="0"/>
          <w:szCs w:val="22"/>
        </w:rPr>
        <w:t xml:space="preserve">NCI survey </w:t>
      </w:r>
      <w:r w:rsidR="00890640">
        <w:rPr>
          <w:rFonts w:ascii="Calibri" w:eastAsia="Calibri" w:hAnsi="Calibri"/>
          <w:b w:val="0"/>
          <w:szCs w:val="22"/>
        </w:rPr>
        <w:t>(OMB no. 0925-0469</w:t>
      </w:r>
      <w:r w:rsidR="00857574">
        <w:rPr>
          <w:rFonts w:ascii="Calibri" w:eastAsia="Calibri" w:hAnsi="Calibri"/>
          <w:b w:val="0"/>
          <w:szCs w:val="22"/>
        </w:rPr>
        <w:t xml:space="preserve"> </w:t>
      </w:r>
      <w:r w:rsidR="00857574">
        <w:rPr>
          <w:rFonts w:ascii="Calibri" w:eastAsia="Calibri" w:hAnsi="Calibri"/>
          <w:b w:val="0"/>
          <w:szCs w:val="22"/>
        </w:rPr>
        <w:lastRenderedPageBreak/>
        <w:t>Expiration Date 8/31/2002</w:t>
      </w:r>
      <w:r w:rsidR="00890640">
        <w:rPr>
          <w:rFonts w:ascii="Calibri" w:eastAsia="Calibri" w:hAnsi="Calibri"/>
          <w:b w:val="0"/>
          <w:szCs w:val="22"/>
        </w:rPr>
        <w:t xml:space="preserve">) </w:t>
      </w:r>
      <w:r w:rsidRPr="00EF64D2">
        <w:rPr>
          <w:rFonts w:ascii="Calibri" w:eastAsia="Calibri" w:hAnsi="Calibri"/>
          <w:b w:val="0"/>
          <w:szCs w:val="22"/>
        </w:rPr>
        <w:t xml:space="preserve">focused on testing for germline mutations related to a person’s susceptibility to breast and ovarian cancer or colon cancer (Freedman et al., 2003; Wideroff, 2003; Wideroff, 2005).  However, </w:t>
      </w:r>
      <w:r w:rsidR="007C5916" w:rsidRPr="00EF64D2">
        <w:rPr>
          <w:rFonts w:ascii="Calibri" w:eastAsia="Calibri" w:hAnsi="Calibri"/>
          <w:b w:val="0"/>
          <w:szCs w:val="22"/>
        </w:rPr>
        <w:t>th</w:t>
      </w:r>
      <w:r w:rsidR="007C5916">
        <w:rPr>
          <w:rFonts w:ascii="Calibri" w:eastAsia="Calibri" w:hAnsi="Calibri"/>
          <w:b w:val="0"/>
          <w:szCs w:val="22"/>
        </w:rPr>
        <w:t>is</w:t>
      </w:r>
      <w:r w:rsidR="007C5916" w:rsidRPr="00EF64D2">
        <w:rPr>
          <w:rFonts w:ascii="Calibri" w:eastAsia="Calibri" w:hAnsi="Calibri"/>
          <w:b w:val="0"/>
          <w:szCs w:val="22"/>
        </w:rPr>
        <w:t xml:space="preserve"> </w:t>
      </w:r>
      <w:r w:rsidRPr="00EF64D2">
        <w:rPr>
          <w:rFonts w:ascii="Calibri" w:eastAsia="Calibri" w:hAnsi="Calibri"/>
          <w:b w:val="0"/>
          <w:szCs w:val="22"/>
        </w:rPr>
        <w:t>surveys did not include somatic testing for genetic alterations through which the molecular characteristics of a patient’s tumor are used to guide treatment decisions.  To date, no national provider survey fielded in the United States has addressed the topic.</w:t>
      </w:r>
    </w:p>
    <w:p w14:paraId="4FD1F93C" w14:textId="77777777" w:rsidR="00FB7E5D" w:rsidRDefault="00FB7E5D" w:rsidP="00FB7E5D">
      <w:pPr>
        <w:pStyle w:val="Heading2"/>
        <w:spacing w:after="0" w:line="240" w:lineRule="auto"/>
        <w:ind w:left="0" w:firstLine="0"/>
        <w:rPr>
          <w:rFonts w:ascii="Calibri" w:eastAsia="Calibri" w:hAnsi="Calibri"/>
          <w:b w:val="0"/>
          <w:szCs w:val="22"/>
        </w:rPr>
      </w:pPr>
    </w:p>
    <w:p w14:paraId="45535D92" w14:textId="6FC8E931" w:rsidR="00FB7E5D" w:rsidRPr="00EF64D2" w:rsidRDefault="002704A8" w:rsidP="00FB7E5D">
      <w:pPr>
        <w:pStyle w:val="Heading2"/>
        <w:spacing w:after="0" w:line="240" w:lineRule="auto"/>
        <w:ind w:left="0" w:firstLine="0"/>
        <w:rPr>
          <w:rFonts w:ascii="Calibri" w:eastAsia="Calibri" w:hAnsi="Calibri"/>
          <w:b w:val="0"/>
          <w:szCs w:val="22"/>
        </w:rPr>
      </w:pPr>
      <w:r>
        <w:rPr>
          <w:rFonts w:ascii="Calibri" w:eastAsia="Calibri" w:hAnsi="Calibri"/>
          <w:b w:val="0"/>
          <w:szCs w:val="22"/>
        </w:rPr>
        <w:t>T</w:t>
      </w:r>
      <w:r w:rsidR="00FB7E5D" w:rsidRPr="00EF64D2">
        <w:rPr>
          <w:rFonts w:ascii="Calibri" w:eastAsia="Calibri" w:hAnsi="Calibri"/>
          <w:b w:val="0"/>
          <w:szCs w:val="22"/>
        </w:rPr>
        <w:t xml:space="preserve">wo non-federal studies have examined physicians’ knowledge and attitudes regarding somatic genetic and genomic testing.  Miller et al. (2009) </w:t>
      </w:r>
      <w:r w:rsidR="007B35DE">
        <w:rPr>
          <w:rFonts w:ascii="Calibri" w:eastAsia="Calibri" w:hAnsi="Calibri"/>
          <w:b w:val="0"/>
          <w:szCs w:val="22"/>
        </w:rPr>
        <w:t xml:space="preserve"> </w:t>
      </w:r>
      <w:r w:rsidR="00890640">
        <w:rPr>
          <w:rFonts w:ascii="Calibri" w:eastAsia="Calibri" w:hAnsi="Calibri"/>
          <w:b w:val="0"/>
          <w:szCs w:val="22"/>
        </w:rPr>
        <w:t xml:space="preserve">recruited </w:t>
      </w:r>
      <w:r w:rsidR="007B35DE">
        <w:rPr>
          <w:rFonts w:ascii="Calibri" w:eastAsia="Calibri" w:hAnsi="Calibri"/>
          <w:b w:val="0"/>
          <w:szCs w:val="22"/>
        </w:rPr>
        <w:t xml:space="preserve">371 cancer physicians in Ontario who were likely to order or use </w:t>
      </w:r>
      <w:r w:rsidR="00890640">
        <w:rPr>
          <w:rFonts w:ascii="Calibri" w:eastAsia="Calibri" w:hAnsi="Calibri"/>
          <w:b w:val="0"/>
          <w:szCs w:val="22"/>
        </w:rPr>
        <w:t>a molecular oncology test</w:t>
      </w:r>
      <w:r w:rsidR="007B35DE">
        <w:rPr>
          <w:rFonts w:ascii="Calibri" w:eastAsia="Calibri" w:hAnsi="Calibri"/>
          <w:b w:val="0"/>
          <w:szCs w:val="22"/>
        </w:rPr>
        <w:t xml:space="preserve"> and 99 hospital</w:t>
      </w:r>
      <w:r w:rsidR="006804C2">
        <w:rPr>
          <w:rFonts w:ascii="Calibri" w:eastAsia="Calibri" w:hAnsi="Calibri"/>
          <w:b w:val="0"/>
          <w:szCs w:val="22"/>
        </w:rPr>
        <w:t>-</w:t>
      </w:r>
      <w:r w:rsidR="007B35DE">
        <w:rPr>
          <w:rFonts w:ascii="Calibri" w:eastAsia="Calibri" w:hAnsi="Calibri"/>
          <w:b w:val="0"/>
          <w:szCs w:val="22"/>
        </w:rPr>
        <w:t xml:space="preserve">based public labs that were likely to conduct </w:t>
      </w:r>
      <w:r w:rsidR="00890640">
        <w:rPr>
          <w:rFonts w:ascii="Calibri" w:eastAsia="Calibri" w:hAnsi="Calibri"/>
          <w:b w:val="0"/>
          <w:szCs w:val="22"/>
        </w:rPr>
        <w:t>molecular oncology testing</w:t>
      </w:r>
      <w:r w:rsidR="007B35DE">
        <w:rPr>
          <w:rFonts w:ascii="Calibri" w:eastAsia="Calibri" w:hAnsi="Calibri"/>
          <w:b w:val="0"/>
          <w:szCs w:val="22"/>
        </w:rPr>
        <w:t xml:space="preserve"> or receive samples where </w:t>
      </w:r>
      <w:r w:rsidR="00890640">
        <w:rPr>
          <w:rFonts w:ascii="Calibri" w:eastAsia="Calibri" w:hAnsi="Calibri"/>
          <w:b w:val="0"/>
          <w:szCs w:val="22"/>
        </w:rPr>
        <w:t xml:space="preserve">molecular oncology </w:t>
      </w:r>
      <w:r w:rsidR="007B35DE">
        <w:rPr>
          <w:rFonts w:ascii="Calibri" w:eastAsia="Calibri" w:hAnsi="Calibri"/>
          <w:b w:val="0"/>
          <w:szCs w:val="22"/>
        </w:rPr>
        <w:t xml:space="preserve">testing may be indicated.  </w:t>
      </w:r>
      <w:r w:rsidR="00890640">
        <w:rPr>
          <w:rFonts w:ascii="Calibri" w:eastAsia="Calibri" w:hAnsi="Calibri"/>
          <w:b w:val="0"/>
          <w:szCs w:val="22"/>
        </w:rPr>
        <w:t xml:space="preserve">They </w:t>
      </w:r>
      <w:r w:rsidR="00FB7E5D" w:rsidRPr="00EF64D2">
        <w:rPr>
          <w:rFonts w:ascii="Calibri" w:eastAsia="Calibri" w:hAnsi="Calibri"/>
          <w:b w:val="0"/>
          <w:szCs w:val="22"/>
        </w:rPr>
        <w:t xml:space="preserve">found that 61% of referring labs and 46% of physicians’ were not confident they knew when a molecular oncology test was indicated, and even fewer (59% and 34%, respectively) were confident that they knew which molecular oncology test to order in a given clinical context. </w:t>
      </w:r>
      <w:r w:rsidR="006804C2">
        <w:rPr>
          <w:rFonts w:ascii="Calibri" w:eastAsia="Calibri" w:hAnsi="Calibri"/>
          <w:b w:val="0"/>
          <w:szCs w:val="22"/>
        </w:rPr>
        <w:t xml:space="preserve"> In another study, </w:t>
      </w:r>
      <w:r w:rsidR="00FB7E5D" w:rsidRPr="00EF64D2">
        <w:rPr>
          <w:rFonts w:ascii="Calibri" w:eastAsia="Calibri" w:hAnsi="Calibri"/>
          <w:b w:val="0"/>
          <w:szCs w:val="22"/>
        </w:rPr>
        <w:t xml:space="preserve">Gray at al. (2014) </w:t>
      </w:r>
      <w:r w:rsidR="00890640">
        <w:rPr>
          <w:rFonts w:ascii="Calibri" w:eastAsia="Calibri" w:hAnsi="Calibri"/>
          <w:b w:val="0"/>
          <w:szCs w:val="22"/>
        </w:rPr>
        <w:t>recruited a sample of</w:t>
      </w:r>
      <w:r w:rsidR="006804C2">
        <w:rPr>
          <w:rFonts w:ascii="Calibri" w:eastAsia="Calibri" w:hAnsi="Calibri"/>
          <w:b w:val="0"/>
          <w:szCs w:val="22"/>
        </w:rPr>
        <w:t xml:space="preserve"> </w:t>
      </w:r>
      <w:r w:rsidR="007B35DE">
        <w:rPr>
          <w:rFonts w:ascii="Calibri" w:eastAsia="Calibri" w:hAnsi="Calibri"/>
          <w:b w:val="0"/>
          <w:szCs w:val="22"/>
        </w:rPr>
        <w:t xml:space="preserve">160 </w:t>
      </w:r>
      <w:r w:rsidR="006804C2">
        <w:rPr>
          <w:rFonts w:ascii="Calibri" w:eastAsia="Calibri" w:hAnsi="Calibri"/>
          <w:b w:val="0"/>
          <w:szCs w:val="22"/>
        </w:rPr>
        <w:t>faculty</w:t>
      </w:r>
      <w:r w:rsidR="007B35DE">
        <w:rPr>
          <w:rFonts w:ascii="Calibri" w:eastAsia="Calibri" w:hAnsi="Calibri"/>
          <w:b w:val="0"/>
          <w:szCs w:val="22"/>
        </w:rPr>
        <w:t xml:space="preserve"> who provi</w:t>
      </w:r>
      <w:r w:rsidR="00890640">
        <w:rPr>
          <w:rFonts w:ascii="Calibri" w:eastAsia="Calibri" w:hAnsi="Calibri"/>
          <w:b w:val="0"/>
          <w:szCs w:val="22"/>
        </w:rPr>
        <w:t>d</w:t>
      </w:r>
      <w:r w:rsidR="007B35DE">
        <w:rPr>
          <w:rFonts w:ascii="Calibri" w:eastAsia="Calibri" w:hAnsi="Calibri"/>
          <w:b w:val="0"/>
          <w:szCs w:val="22"/>
        </w:rPr>
        <w:t>e clinical care to adult cancer patients</w:t>
      </w:r>
      <w:r w:rsidR="00366A72">
        <w:rPr>
          <w:rFonts w:ascii="Calibri" w:eastAsia="Calibri" w:hAnsi="Calibri"/>
          <w:b w:val="0"/>
          <w:szCs w:val="22"/>
        </w:rPr>
        <w:t xml:space="preserve"> at from Dana-Farber Cancer Institute and Brigham and Women’s Hospitals in Boston, MA</w:t>
      </w:r>
      <w:r w:rsidR="00890640">
        <w:rPr>
          <w:rFonts w:ascii="Calibri" w:eastAsia="Calibri" w:hAnsi="Calibri"/>
          <w:b w:val="0"/>
          <w:szCs w:val="22"/>
        </w:rPr>
        <w:t>.  Fifty-seven percent of the sample were medical oncologists.  They</w:t>
      </w:r>
      <w:r w:rsidR="00366A72">
        <w:rPr>
          <w:rFonts w:ascii="Calibri" w:eastAsia="Calibri" w:hAnsi="Calibri"/>
          <w:b w:val="0"/>
          <w:szCs w:val="22"/>
        </w:rPr>
        <w:t xml:space="preserve"> </w:t>
      </w:r>
      <w:r w:rsidR="00FB7E5D" w:rsidRPr="00EF64D2">
        <w:rPr>
          <w:rFonts w:ascii="Calibri" w:eastAsia="Calibri" w:hAnsi="Calibri"/>
          <w:b w:val="0"/>
          <w:szCs w:val="22"/>
        </w:rPr>
        <w:t xml:space="preserve">found that approximately 1 in 4 cancer physicians were not very or not at all confident of their genomic knowledge (22%) or their ability to use genomic data to make treatment recommendations (26%). At the time of the survey, physicians ordered tumor genomic tests for, on average, 24% of their patients. The most commonly ordered tests were KRAS (25%), EGFR (24%), BRAF (24%), C-KIT (13%), BRC-ABL (13%), and JAK (9%). In an accompanying editorial, Hall (2014) noted that high genomic confidence was associated with the intention to use multiplex testing, apparently independent of clinical research or practice experience, raising concerns about overuse and inappropriate use of these tests. </w:t>
      </w:r>
      <w:r w:rsidR="00890640">
        <w:rPr>
          <w:rFonts w:ascii="Calibri" w:eastAsia="Calibri" w:hAnsi="Calibri"/>
          <w:b w:val="0"/>
          <w:szCs w:val="22"/>
        </w:rPr>
        <w:t xml:space="preserve">Collectively, these studies provide valuable </w:t>
      </w:r>
      <w:r w:rsidR="007B35DE">
        <w:rPr>
          <w:rFonts w:ascii="Calibri" w:eastAsia="Calibri" w:hAnsi="Calibri"/>
          <w:b w:val="0"/>
          <w:szCs w:val="22"/>
        </w:rPr>
        <w:t>data about physician’s use of genomic testing in cancer treatment</w:t>
      </w:r>
      <w:r w:rsidR="00890640">
        <w:rPr>
          <w:rFonts w:ascii="Calibri" w:eastAsia="Calibri" w:hAnsi="Calibri"/>
          <w:b w:val="0"/>
          <w:szCs w:val="22"/>
        </w:rPr>
        <w:t xml:space="preserve">; however, the generalizability of their results is limited.  </w:t>
      </w:r>
      <w:r w:rsidR="00426909" w:rsidRPr="00EF64D2">
        <w:rPr>
          <w:rFonts w:ascii="Calibri" w:eastAsia="Calibri" w:hAnsi="Calibri"/>
          <w:b w:val="0"/>
          <w:szCs w:val="22"/>
        </w:rPr>
        <w:t>Miller et al. (2009)</w:t>
      </w:r>
      <w:r w:rsidR="00426909">
        <w:rPr>
          <w:rFonts w:ascii="Calibri" w:eastAsia="Calibri" w:hAnsi="Calibri"/>
          <w:b w:val="0"/>
          <w:szCs w:val="22"/>
        </w:rPr>
        <w:t xml:space="preserve"> conducted </w:t>
      </w:r>
      <w:r w:rsidR="00890640">
        <w:rPr>
          <w:rFonts w:ascii="Calibri" w:eastAsia="Calibri" w:hAnsi="Calibri"/>
          <w:b w:val="0"/>
          <w:szCs w:val="22"/>
        </w:rPr>
        <w:t xml:space="preserve">their research </w:t>
      </w:r>
      <w:r w:rsidR="00426909">
        <w:rPr>
          <w:rFonts w:ascii="Calibri" w:eastAsia="Calibri" w:hAnsi="Calibri"/>
          <w:b w:val="0"/>
          <w:szCs w:val="22"/>
        </w:rPr>
        <w:t>in Canada, which has a different healthcare system than the United States</w:t>
      </w:r>
      <w:r w:rsidR="00890640">
        <w:rPr>
          <w:rFonts w:ascii="Calibri" w:eastAsia="Calibri" w:hAnsi="Calibri"/>
          <w:b w:val="0"/>
          <w:szCs w:val="22"/>
        </w:rPr>
        <w:t>.  Further, the findings are not representative, having been based on a convenience sample rather than a probability sample</w:t>
      </w:r>
      <w:r w:rsidR="00426909">
        <w:rPr>
          <w:rFonts w:ascii="Calibri" w:eastAsia="Calibri" w:hAnsi="Calibri"/>
          <w:b w:val="0"/>
          <w:szCs w:val="22"/>
        </w:rPr>
        <w:t xml:space="preserve">.  </w:t>
      </w:r>
      <w:r w:rsidR="00426909" w:rsidRPr="00EF64D2">
        <w:rPr>
          <w:rFonts w:ascii="Calibri" w:eastAsia="Calibri" w:hAnsi="Calibri"/>
          <w:b w:val="0"/>
          <w:szCs w:val="22"/>
        </w:rPr>
        <w:t>Gray at al. (2014)</w:t>
      </w:r>
      <w:r w:rsidR="00366A72">
        <w:rPr>
          <w:rFonts w:ascii="Calibri" w:eastAsia="Calibri" w:hAnsi="Calibri"/>
          <w:b w:val="0"/>
          <w:szCs w:val="22"/>
        </w:rPr>
        <w:t xml:space="preserve"> also recruited a convenience sample and</w:t>
      </w:r>
      <w:r w:rsidR="00426909" w:rsidRPr="00EF64D2">
        <w:rPr>
          <w:rFonts w:ascii="Calibri" w:eastAsia="Calibri" w:hAnsi="Calibri"/>
          <w:b w:val="0"/>
          <w:szCs w:val="22"/>
        </w:rPr>
        <w:t xml:space="preserve"> </w:t>
      </w:r>
      <w:r w:rsidR="00426909">
        <w:rPr>
          <w:rFonts w:ascii="Calibri" w:eastAsia="Calibri" w:hAnsi="Calibri"/>
          <w:b w:val="0"/>
          <w:szCs w:val="22"/>
        </w:rPr>
        <w:t xml:space="preserve">conducted </w:t>
      </w:r>
      <w:r w:rsidR="00890640">
        <w:rPr>
          <w:rFonts w:ascii="Calibri" w:eastAsia="Calibri" w:hAnsi="Calibri"/>
          <w:b w:val="0"/>
          <w:szCs w:val="22"/>
        </w:rPr>
        <w:t xml:space="preserve">their research </w:t>
      </w:r>
      <w:r w:rsidR="00426909">
        <w:rPr>
          <w:rFonts w:ascii="Calibri" w:eastAsia="Calibri" w:hAnsi="Calibri"/>
          <w:b w:val="0"/>
          <w:szCs w:val="22"/>
        </w:rPr>
        <w:t xml:space="preserve">at </w:t>
      </w:r>
      <w:r w:rsidR="00890640">
        <w:rPr>
          <w:rFonts w:ascii="Calibri" w:eastAsia="Calibri" w:hAnsi="Calibri"/>
          <w:b w:val="0"/>
          <w:szCs w:val="22"/>
        </w:rPr>
        <w:t>two</w:t>
      </w:r>
      <w:r w:rsidR="00426909">
        <w:rPr>
          <w:rFonts w:ascii="Calibri" w:eastAsia="Calibri" w:hAnsi="Calibri"/>
          <w:b w:val="0"/>
          <w:szCs w:val="22"/>
        </w:rPr>
        <w:t xml:space="preserve"> </w:t>
      </w:r>
      <w:r w:rsidR="00366A72">
        <w:rPr>
          <w:rFonts w:ascii="Calibri" w:eastAsia="Calibri" w:hAnsi="Calibri"/>
          <w:b w:val="0"/>
          <w:szCs w:val="22"/>
        </w:rPr>
        <w:t xml:space="preserve">academic </w:t>
      </w:r>
      <w:r w:rsidR="00426909">
        <w:rPr>
          <w:rFonts w:ascii="Calibri" w:eastAsia="Calibri" w:hAnsi="Calibri"/>
          <w:b w:val="0"/>
          <w:szCs w:val="22"/>
        </w:rPr>
        <w:t xml:space="preserve">hospitals </w:t>
      </w:r>
      <w:r w:rsidR="00366A72">
        <w:rPr>
          <w:rFonts w:ascii="Calibri" w:eastAsia="Calibri" w:hAnsi="Calibri"/>
          <w:b w:val="0"/>
          <w:szCs w:val="22"/>
        </w:rPr>
        <w:t>in the US</w:t>
      </w:r>
      <w:r w:rsidR="00426909">
        <w:rPr>
          <w:rFonts w:ascii="Calibri" w:eastAsia="Calibri" w:hAnsi="Calibri"/>
          <w:b w:val="0"/>
          <w:szCs w:val="22"/>
        </w:rPr>
        <w:t xml:space="preserve">.  </w:t>
      </w:r>
      <w:r w:rsidR="00CD4033">
        <w:rPr>
          <w:rFonts w:ascii="Calibri" w:eastAsia="Calibri" w:hAnsi="Calibri"/>
          <w:b w:val="0"/>
          <w:szCs w:val="22"/>
        </w:rPr>
        <w:t xml:space="preserve">It is doubtful that their results will generalize to </w:t>
      </w:r>
      <w:r w:rsidR="00366A72">
        <w:rPr>
          <w:rFonts w:ascii="Calibri" w:eastAsia="Calibri" w:hAnsi="Calibri"/>
          <w:b w:val="0"/>
          <w:szCs w:val="22"/>
        </w:rPr>
        <w:t>cancer care delivery outside of the academic setting</w:t>
      </w:r>
      <w:r w:rsidR="00CD4033">
        <w:rPr>
          <w:rFonts w:ascii="Calibri" w:eastAsia="Calibri" w:hAnsi="Calibri"/>
          <w:b w:val="0"/>
          <w:szCs w:val="22"/>
        </w:rPr>
        <w:t xml:space="preserve">.  </w:t>
      </w:r>
    </w:p>
    <w:p w14:paraId="2A397DA9" w14:textId="77777777" w:rsidR="00FB7E5D" w:rsidRDefault="00FB7E5D" w:rsidP="00FB7E5D">
      <w:pPr>
        <w:pStyle w:val="Heading2"/>
        <w:spacing w:after="0" w:line="240" w:lineRule="auto"/>
        <w:ind w:left="0" w:firstLine="0"/>
        <w:rPr>
          <w:rFonts w:ascii="Calibri" w:eastAsia="Calibri" w:hAnsi="Calibri"/>
          <w:b w:val="0"/>
          <w:szCs w:val="22"/>
        </w:rPr>
      </w:pPr>
    </w:p>
    <w:p w14:paraId="1AFFC6D6" w14:textId="7D28387B" w:rsidR="00EF64D2" w:rsidRDefault="00EF64D2" w:rsidP="001228F0">
      <w:r>
        <w:t>The present study aims to</w:t>
      </w:r>
      <w:r w:rsidR="00426909">
        <w:t xml:space="preserve"> address the limitations of earlier studies by conducting a large, nationally representative survey of the</w:t>
      </w:r>
      <w:r>
        <w:t xml:space="preserve"> current practice of precision medicine in cancer treatment.  Specifically, the survey is designed to assess oncologists’ current and potential use of </w:t>
      </w:r>
      <w:r w:rsidR="00CD4033">
        <w:t xml:space="preserve">somatic </w:t>
      </w:r>
      <w:r>
        <w:t xml:space="preserve">genomic testing in their practice, as well as inform the development of </w:t>
      </w:r>
      <w:r w:rsidR="002106D0">
        <w:t xml:space="preserve">procedures </w:t>
      </w:r>
      <w:r>
        <w:t xml:space="preserve">to facilitate optimal use of genomic testing and improving patient-physician discussions of the risks, possible benefits, and uncertainties surrounding the application of these tests.  The objectives of the survey are to assess medical oncologists’ experiences, attitudes, and recommendations concerning genomic tests, determine the prevalence of genomic testing in oncology, and identify facilitators and barriers in the integration of genomic testing into oncology.  </w:t>
      </w:r>
    </w:p>
    <w:p w14:paraId="13D528A1" w14:textId="5DAA0492" w:rsidR="005C22DD" w:rsidRDefault="005C22DD" w:rsidP="005C22DD">
      <w:pPr>
        <w:spacing w:after="0" w:line="240" w:lineRule="auto"/>
        <w:rPr>
          <w:rFonts w:asciiTheme="minorHAnsi" w:hAnsiTheme="minorHAnsi"/>
        </w:rPr>
      </w:pPr>
      <w:r w:rsidRPr="00C01C04">
        <w:rPr>
          <w:rFonts w:asciiTheme="minorHAnsi" w:hAnsiTheme="minorHAnsi"/>
        </w:rPr>
        <w:t xml:space="preserve">We </w:t>
      </w:r>
      <w:r w:rsidR="005903A9">
        <w:rPr>
          <w:rFonts w:asciiTheme="minorHAnsi" w:hAnsiTheme="minorHAnsi"/>
        </w:rPr>
        <w:t>aim to conduct</w:t>
      </w:r>
      <w:r w:rsidR="005903A9" w:rsidRPr="00C01C04">
        <w:rPr>
          <w:rFonts w:asciiTheme="minorHAnsi" w:hAnsiTheme="minorHAnsi"/>
        </w:rPr>
        <w:t xml:space="preserve"> </w:t>
      </w:r>
      <w:r w:rsidRPr="00C01C04">
        <w:rPr>
          <w:rFonts w:asciiTheme="minorHAnsi" w:hAnsiTheme="minorHAnsi"/>
        </w:rPr>
        <w:t>a nationally representative</w:t>
      </w:r>
      <w:r w:rsidR="00CC1DBC">
        <w:rPr>
          <w:rFonts w:asciiTheme="minorHAnsi" w:hAnsiTheme="minorHAnsi"/>
        </w:rPr>
        <w:t xml:space="preserve"> </w:t>
      </w:r>
      <w:r w:rsidR="005903A9">
        <w:rPr>
          <w:rFonts w:asciiTheme="minorHAnsi" w:hAnsiTheme="minorHAnsi"/>
        </w:rPr>
        <w:t xml:space="preserve">study </w:t>
      </w:r>
      <w:r w:rsidR="00CC1DBC">
        <w:rPr>
          <w:rFonts w:asciiTheme="minorHAnsi" w:hAnsiTheme="minorHAnsi"/>
        </w:rPr>
        <w:t>to</w:t>
      </w:r>
      <w:r w:rsidRPr="00C01C04">
        <w:rPr>
          <w:rFonts w:asciiTheme="minorHAnsi" w:hAnsiTheme="minorHAnsi"/>
        </w:rPr>
        <w:t xml:space="preserve"> sample approximately 1,200 medical oncologists who have </w:t>
      </w:r>
      <w:r>
        <w:rPr>
          <w:rFonts w:asciiTheme="minorHAnsi" w:hAnsiTheme="minorHAnsi"/>
        </w:rPr>
        <w:t>treated cancer patients</w:t>
      </w:r>
      <w:r w:rsidRPr="00C01C04">
        <w:rPr>
          <w:rFonts w:asciiTheme="minorHAnsi" w:hAnsiTheme="minorHAnsi"/>
        </w:rPr>
        <w:t xml:space="preserve"> in the past 12 months</w:t>
      </w:r>
      <w:r w:rsidR="005903A9">
        <w:rPr>
          <w:rFonts w:asciiTheme="minorHAnsi" w:hAnsiTheme="minorHAnsi"/>
        </w:rPr>
        <w:t xml:space="preserve"> (approximately 10% of the target population registered as hematologists or oncologists in the American Medical Association Masterfile)</w:t>
      </w:r>
      <w:r w:rsidRPr="00C01C04">
        <w:rPr>
          <w:rFonts w:asciiTheme="minorHAnsi" w:hAnsiTheme="minorHAnsi"/>
        </w:rPr>
        <w:t>.  An analytic sample size of 1,200 was determined to be the minimum sample required to meet the following analytic goals:</w:t>
      </w:r>
    </w:p>
    <w:p w14:paraId="2A52C892" w14:textId="77777777" w:rsidR="00475D10" w:rsidRDefault="00475D10" w:rsidP="005C22DD">
      <w:pPr>
        <w:spacing w:after="0" w:line="240" w:lineRule="auto"/>
        <w:rPr>
          <w:rFonts w:asciiTheme="minorHAnsi" w:hAnsiTheme="minorHAnsi"/>
        </w:rPr>
      </w:pPr>
    </w:p>
    <w:p w14:paraId="73846FAB" w14:textId="77777777" w:rsidR="005C22DD" w:rsidRPr="00C01C04" w:rsidRDefault="005C22DD" w:rsidP="005C22DD">
      <w:pPr>
        <w:pStyle w:val="ListParagraph"/>
        <w:numPr>
          <w:ilvl w:val="0"/>
          <w:numId w:val="15"/>
        </w:numPr>
        <w:spacing w:after="0" w:line="240" w:lineRule="auto"/>
        <w:rPr>
          <w:rFonts w:asciiTheme="minorHAnsi" w:hAnsiTheme="minorHAnsi"/>
        </w:rPr>
      </w:pPr>
      <w:r w:rsidRPr="00C01C04">
        <w:rPr>
          <w:rFonts w:asciiTheme="minorHAnsi" w:hAnsiTheme="minorHAnsi"/>
        </w:rPr>
        <w:t>provide a national representative sample of medical oncologists, consisting of the following subspecialties: hematologists, hematologists/oncologists, and oncologists.</w:t>
      </w:r>
    </w:p>
    <w:p w14:paraId="3ABCE264" w14:textId="77777777" w:rsidR="005C22DD" w:rsidRPr="00C01C04" w:rsidRDefault="005C22DD" w:rsidP="005C22DD">
      <w:pPr>
        <w:spacing w:after="0" w:line="240" w:lineRule="auto"/>
        <w:rPr>
          <w:rFonts w:asciiTheme="minorHAnsi" w:hAnsiTheme="minorHAnsi"/>
        </w:rPr>
      </w:pPr>
    </w:p>
    <w:p w14:paraId="7B45E620" w14:textId="3E82317F" w:rsidR="005C22DD" w:rsidRPr="00C01C04" w:rsidRDefault="005C22DD" w:rsidP="005C22DD">
      <w:pPr>
        <w:pStyle w:val="ListParagraph"/>
        <w:numPr>
          <w:ilvl w:val="0"/>
          <w:numId w:val="15"/>
        </w:numPr>
        <w:spacing w:after="0" w:line="240" w:lineRule="auto"/>
        <w:rPr>
          <w:rFonts w:asciiTheme="minorHAnsi" w:hAnsiTheme="minorHAnsi"/>
        </w:rPr>
      </w:pPr>
      <w:r w:rsidRPr="00C01C04">
        <w:rPr>
          <w:rFonts w:asciiTheme="minorHAnsi" w:hAnsiTheme="minorHAnsi"/>
        </w:rPr>
        <w:lastRenderedPageBreak/>
        <w:t>allow for selection of a stratified random sample by subspecialty, metropolitan (metro) area, geographic region, sex, and age</w:t>
      </w:r>
      <w:r w:rsidR="00426909">
        <w:rPr>
          <w:rFonts w:asciiTheme="minorHAnsi" w:hAnsiTheme="minorHAnsi"/>
        </w:rPr>
        <w:t xml:space="preserve">.  Subspecialty and metro area </w:t>
      </w:r>
      <w:r w:rsidR="00366A72">
        <w:rPr>
          <w:rFonts w:asciiTheme="minorHAnsi" w:hAnsiTheme="minorHAnsi"/>
        </w:rPr>
        <w:t>will be used as the</w:t>
      </w:r>
      <w:r w:rsidR="00426909">
        <w:rPr>
          <w:rFonts w:asciiTheme="minorHAnsi" w:hAnsiTheme="minorHAnsi"/>
        </w:rPr>
        <w:t xml:space="preserve"> primary sampling strata.  </w:t>
      </w:r>
      <w:r w:rsidR="00366A72">
        <w:rPr>
          <w:rFonts w:asciiTheme="minorHAnsi" w:hAnsiTheme="minorHAnsi"/>
        </w:rPr>
        <w:t>Providers</w:t>
      </w:r>
      <w:r w:rsidR="00CD4033">
        <w:rPr>
          <w:rFonts w:asciiTheme="minorHAnsi" w:hAnsiTheme="minorHAnsi"/>
        </w:rPr>
        <w:t xml:space="preserve"> will be selected </w:t>
      </w:r>
      <w:r w:rsidR="00777B46">
        <w:rPr>
          <w:rFonts w:asciiTheme="minorHAnsi" w:hAnsiTheme="minorHAnsi"/>
        </w:rPr>
        <w:t>proportional to size</w:t>
      </w:r>
      <w:r w:rsidR="00CD4033">
        <w:rPr>
          <w:rFonts w:asciiTheme="minorHAnsi" w:hAnsiTheme="minorHAnsi"/>
        </w:rPr>
        <w:t xml:space="preserve"> for region, sex and age</w:t>
      </w:r>
      <w:r w:rsidR="00777B46">
        <w:rPr>
          <w:rFonts w:asciiTheme="minorHAnsi" w:hAnsiTheme="minorHAnsi"/>
        </w:rPr>
        <w:t xml:space="preserve"> to ensure that the sample looks like the population.</w:t>
      </w:r>
    </w:p>
    <w:p w14:paraId="439A449F" w14:textId="77777777" w:rsidR="005C22DD" w:rsidRPr="00C01C04" w:rsidRDefault="005C22DD" w:rsidP="005C22DD">
      <w:pPr>
        <w:spacing w:after="0" w:line="240" w:lineRule="auto"/>
        <w:rPr>
          <w:rFonts w:asciiTheme="minorHAnsi" w:hAnsiTheme="minorHAnsi"/>
        </w:rPr>
      </w:pPr>
    </w:p>
    <w:p w14:paraId="1047704A" w14:textId="77777777" w:rsidR="005C22DD" w:rsidRPr="00C01C04" w:rsidRDefault="005C22DD" w:rsidP="005C22DD">
      <w:pPr>
        <w:pStyle w:val="ListParagraph"/>
        <w:numPr>
          <w:ilvl w:val="0"/>
          <w:numId w:val="15"/>
        </w:numPr>
        <w:spacing w:after="0" w:line="240" w:lineRule="auto"/>
        <w:rPr>
          <w:rFonts w:asciiTheme="minorHAnsi" w:hAnsiTheme="minorHAnsi"/>
        </w:rPr>
      </w:pPr>
      <w:r w:rsidRPr="00C01C04">
        <w:rPr>
          <w:rFonts w:asciiTheme="minorHAnsi" w:hAnsiTheme="minorHAnsi"/>
        </w:rPr>
        <w:t>provide an analytic sample size sufficient to detect a 10-15 percentage point difference in proportions of physicians by practice setting (e.g., academic versus non-academic, metro versus non-metro) at 90% power, 0.05 level of significance, and in a 2-tailed test</w:t>
      </w:r>
    </w:p>
    <w:p w14:paraId="1FAB8946" w14:textId="77777777" w:rsidR="005C22DD" w:rsidRPr="00C01C04" w:rsidRDefault="005C22DD" w:rsidP="005C22DD">
      <w:pPr>
        <w:spacing w:after="0" w:line="240" w:lineRule="auto"/>
        <w:rPr>
          <w:rFonts w:asciiTheme="minorHAnsi" w:hAnsiTheme="minorHAnsi"/>
        </w:rPr>
      </w:pPr>
    </w:p>
    <w:p w14:paraId="32FEC25E" w14:textId="61F8D911" w:rsidR="00366A72" w:rsidRDefault="005C22DD" w:rsidP="004F2849">
      <w:pPr>
        <w:pStyle w:val="ListParagraph"/>
        <w:numPr>
          <w:ilvl w:val="0"/>
          <w:numId w:val="15"/>
        </w:numPr>
        <w:spacing w:after="0" w:line="240" w:lineRule="auto"/>
        <w:rPr>
          <w:rFonts w:asciiTheme="minorHAnsi" w:hAnsiTheme="minorHAnsi"/>
        </w:rPr>
      </w:pPr>
      <w:r w:rsidRPr="00CD4033">
        <w:rPr>
          <w:rFonts w:asciiTheme="minorHAnsi" w:hAnsiTheme="minorHAnsi"/>
        </w:rPr>
        <w:t>meet the criteria for precision (margin of error not exceeding + 5% around point estimates)</w:t>
      </w:r>
      <w:r w:rsidR="00CD4033" w:rsidRPr="007C2A11">
        <w:rPr>
          <w:rFonts w:asciiTheme="minorHAnsi" w:hAnsiTheme="minorHAnsi"/>
        </w:rPr>
        <w:t xml:space="preserve"> that was set forth by the study team at NCI</w:t>
      </w:r>
      <w:r w:rsidR="00777B46" w:rsidRPr="00EC25D6">
        <w:rPr>
          <w:rFonts w:asciiTheme="minorHAnsi" w:hAnsiTheme="minorHAnsi"/>
        </w:rPr>
        <w:t xml:space="preserve">. </w:t>
      </w:r>
    </w:p>
    <w:p w14:paraId="1C2DDB5A" w14:textId="5663DDAD" w:rsidR="005C22DD" w:rsidRPr="00CA6BB4" w:rsidRDefault="00777B46" w:rsidP="00CA6BB4">
      <w:pPr>
        <w:spacing w:after="0" w:line="240" w:lineRule="auto"/>
        <w:rPr>
          <w:rFonts w:asciiTheme="minorHAnsi" w:hAnsiTheme="minorHAnsi"/>
        </w:rPr>
      </w:pPr>
      <w:r w:rsidRPr="00CA6BB4">
        <w:rPr>
          <w:rFonts w:asciiTheme="minorHAnsi" w:hAnsiTheme="minorHAnsi"/>
        </w:rPr>
        <w:t xml:space="preserve"> </w:t>
      </w:r>
    </w:p>
    <w:p w14:paraId="473EE589" w14:textId="5F1CB308" w:rsidR="00777B46" w:rsidRDefault="005C22DD" w:rsidP="00777B46">
      <w:pPr>
        <w:pStyle w:val="ListParagraph"/>
        <w:numPr>
          <w:ilvl w:val="0"/>
          <w:numId w:val="15"/>
        </w:numPr>
        <w:spacing w:after="0" w:line="240" w:lineRule="auto"/>
        <w:rPr>
          <w:rFonts w:asciiTheme="minorHAnsi" w:hAnsiTheme="minorHAnsi"/>
        </w:rPr>
      </w:pPr>
      <w:r w:rsidRPr="00C01C04">
        <w:rPr>
          <w:rFonts w:asciiTheme="minorHAnsi" w:hAnsiTheme="minorHAnsi"/>
        </w:rPr>
        <w:t>assume a 50</w:t>
      </w:r>
      <w:r>
        <w:rPr>
          <w:rFonts w:asciiTheme="minorHAnsi" w:hAnsiTheme="minorHAnsi"/>
        </w:rPr>
        <w:t>-60</w:t>
      </w:r>
      <w:r w:rsidRPr="00C01C04">
        <w:rPr>
          <w:rFonts w:asciiTheme="minorHAnsi" w:hAnsiTheme="minorHAnsi"/>
        </w:rPr>
        <w:t>% response rate as well as an ineligible rate of 15-17%</w:t>
      </w:r>
      <w:r>
        <w:rPr>
          <w:rFonts w:asciiTheme="minorHAnsi" w:hAnsiTheme="minorHAnsi"/>
        </w:rPr>
        <w:t xml:space="preserve"> (McLeod, Klabunde, &amp; Willis, 2013)</w:t>
      </w:r>
      <w:r w:rsidR="00777B46">
        <w:rPr>
          <w:rFonts w:asciiTheme="minorHAnsi" w:hAnsiTheme="minorHAnsi"/>
        </w:rPr>
        <w:t xml:space="preserve">.  These estimates are based on a review of 117 large provider surveys described in the literature, published between 2000-2010.  The proportion of surveys with a </w:t>
      </w:r>
      <w:r w:rsidR="00CD4033">
        <w:rPr>
          <w:rFonts w:asciiTheme="minorHAnsi" w:hAnsiTheme="minorHAnsi"/>
        </w:rPr>
        <w:t>response rate</w:t>
      </w:r>
      <w:r w:rsidR="00777B46">
        <w:rPr>
          <w:rFonts w:asciiTheme="minorHAnsi" w:hAnsiTheme="minorHAnsi"/>
        </w:rPr>
        <w:t xml:space="preserve"> &gt;60% have declined over time.  However, we have incorporated design features into this survey </w:t>
      </w:r>
      <w:r w:rsidR="00CD4033">
        <w:rPr>
          <w:rFonts w:asciiTheme="minorHAnsi" w:hAnsiTheme="minorHAnsi"/>
        </w:rPr>
        <w:t xml:space="preserve">that are </w:t>
      </w:r>
      <w:r w:rsidR="00777B46">
        <w:rPr>
          <w:rFonts w:asciiTheme="minorHAnsi" w:hAnsiTheme="minorHAnsi"/>
        </w:rPr>
        <w:t>associated with higher response rates (i.e., incentives, multi modal data collection, government sponsorship)</w:t>
      </w:r>
    </w:p>
    <w:p w14:paraId="4DF20436" w14:textId="77777777" w:rsidR="00366A72" w:rsidRDefault="00366A72" w:rsidP="005C22DD">
      <w:pPr>
        <w:rPr>
          <w:rFonts w:asciiTheme="minorHAnsi" w:hAnsiTheme="minorHAnsi"/>
          <w:bCs/>
        </w:rPr>
      </w:pPr>
    </w:p>
    <w:p w14:paraId="237AEE57" w14:textId="79CCC7DE" w:rsidR="005C22DD" w:rsidRPr="00471D9E" w:rsidRDefault="00CC1DBC" w:rsidP="005C22DD">
      <w:pPr>
        <w:rPr>
          <w:rFonts w:asciiTheme="minorHAnsi" w:hAnsiTheme="minorHAnsi"/>
          <w:bCs/>
        </w:rPr>
      </w:pPr>
      <w:r>
        <w:rPr>
          <w:rFonts w:asciiTheme="minorHAnsi" w:hAnsiTheme="minorHAnsi"/>
          <w:bCs/>
        </w:rPr>
        <w:t>The surveys will</w:t>
      </w:r>
      <w:r w:rsidR="005C22DD" w:rsidRPr="00471D9E">
        <w:rPr>
          <w:rFonts w:asciiTheme="minorHAnsi" w:hAnsiTheme="minorHAnsi"/>
          <w:bCs/>
        </w:rPr>
        <w:t xml:space="preserve"> be completed either by paper survey or web survey</w:t>
      </w:r>
      <w:r>
        <w:rPr>
          <w:rFonts w:asciiTheme="minorHAnsi" w:hAnsiTheme="minorHAnsi"/>
          <w:bCs/>
        </w:rPr>
        <w:t xml:space="preserve"> (see Attachments A and J</w:t>
      </w:r>
      <w:r w:rsidR="005C22DD">
        <w:rPr>
          <w:rFonts w:asciiTheme="minorHAnsi" w:hAnsiTheme="minorHAnsi"/>
          <w:bCs/>
        </w:rPr>
        <w:t>)</w:t>
      </w:r>
      <w:r w:rsidR="005C22DD" w:rsidRPr="00471D9E">
        <w:rPr>
          <w:rFonts w:asciiTheme="minorHAnsi" w:hAnsiTheme="minorHAnsi"/>
          <w:bCs/>
        </w:rPr>
        <w:t xml:space="preserve">.  </w:t>
      </w:r>
      <w:r w:rsidR="00475D10">
        <w:rPr>
          <w:rFonts w:asciiTheme="minorHAnsi" w:hAnsiTheme="minorHAnsi"/>
          <w:bCs/>
        </w:rPr>
        <w:t xml:space="preserve"> An initia</w:t>
      </w:r>
      <w:r>
        <w:rPr>
          <w:rFonts w:asciiTheme="minorHAnsi" w:hAnsiTheme="minorHAnsi"/>
          <w:bCs/>
        </w:rPr>
        <w:t>l 350 surveys</w:t>
      </w:r>
      <w:r w:rsidR="00475D10">
        <w:rPr>
          <w:rFonts w:asciiTheme="minorHAnsi" w:hAnsiTheme="minorHAnsi"/>
          <w:bCs/>
        </w:rPr>
        <w:t xml:space="preserve"> </w:t>
      </w:r>
      <w:bookmarkStart w:id="4" w:name="_GoBack"/>
      <w:bookmarkEnd w:id="4"/>
      <w:r w:rsidR="00475D10">
        <w:rPr>
          <w:rFonts w:asciiTheme="minorHAnsi" w:hAnsiTheme="minorHAnsi"/>
          <w:bCs/>
        </w:rPr>
        <w:t xml:space="preserve">will be administered as </w:t>
      </w:r>
      <w:r>
        <w:rPr>
          <w:rFonts w:asciiTheme="minorHAnsi" w:hAnsiTheme="minorHAnsi"/>
          <w:bCs/>
        </w:rPr>
        <w:t>part of a pilot data collection and then an additional</w:t>
      </w:r>
      <w:r w:rsidR="00475D10">
        <w:rPr>
          <w:rFonts w:asciiTheme="minorHAnsi" w:hAnsiTheme="minorHAnsi"/>
          <w:bCs/>
        </w:rPr>
        <w:t xml:space="preserve"> 1,200 surveys will be administered for the main study.  </w:t>
      </w:r>
      <w:r w:rsidR="005A5BAE">
        <w:rPr>
          <w:rFonts w:asciiTheme="minorHAnsi" w:hAnsiTheme="minorHAnsi"/>
          <w:bCs/>
        </w:rPr>
        <w:t xml:space="preserve">The pilot will be used to </w:t>
      </w:r>
      <w:r w:rsidR="006A4C63">
        <w:rPr>
          <w:rFonts w:asciiTheme="minorHAnsi" w:hAnsiTheme="minorHAnsi"/>
          <w:bCs/>
        </w:rPr>
        <w:t>verify our assumptions about the response rate and to</w:t>
      </w:r>
      <w:r w:rsidR="00621621">
        <w:rPr>
          <w:rFonts w:asciiTheme="minorHAnsi" w:hAnsiTheme="minorHAnsi"/>
          <w:bCs/>
        </w:rPr>
        <w:t xml:space="preserve"> </w:t>
      </w:r>
      <w:r w:rsidR="005A5BAE">
        <w:rPr>
          <w:rFonts w:asciiTheme="minorHAnsi" w:hAnsiTheme="minorHAnsi"/>
          <w:bCs/>
        </w:rPr>
        <w:t>refine the survey instrument</w:t>
      </w:r>
      <w:r w:rsidR="006A4C63">
        <w:rPr>
          <w:rFonts w:asciiTheme="minorHAnsi" w:hAnsiTheme="minorHAnsi"/>
          <w:bCs/>
        </w:rPr>
        <w:t xml:space="preserve">. </w:t>
      </w:r>
      <w:r w:rsidR="005A5BAE">
        <w:rPr>
          <w:rFonts w:asciiTheme="minorHAnsi" w:hAnsiTheme="minorHAnsi"/>
          <w:bCs/>
        </w:rPr>
        <w:t>It is anticipated that minor changes will be made to the su</w:t>
      </w:r>
      <w:r w:rsidR="00CD4033">
        <w:rPr>
          <w:rFonts w:asciiTheme="minorHAnsi" w:hAnsiTheme="minorHAnsi"/>
          <w:bCs/>
        </w:rPr>
        <w:t>r</w:t>
      </w:r>
      <w:r w:rsidR="005A5BAE">
        <w:rPr>
          <w:rFonts w:asciiTheme="minorHAnsi" w:hAnsiTheme="minorHAnsi"/>
          <w:bCs/>
        </w:rPr>
        <w:t xml:space="preserve">vey in response to the pilot, so the pilot data will not be combined with the final sample.  </w:t>
      </w:r>
      <w:r w:rsidR="005C22DD" w:rsidRPr="00471D9E">
        <w:rPr>
          <w:rFonts w:asciiTheme="minorHAnsi" w:hAnsiTheme="minorHAnsi"/>
          <w:bCs/>
        </w:rPr>
        <w:t xml:space="preserve">Participants will </w:t>
      </w:r>
      <w:r w:rsidR="00C6236F">
        <w:rPr>
          <w:rFonts w:asciiTheme="minorHAnsi" w:hAnsiTheme="minorHAnsi"/>
          <w:bCs/>
        </w:rPr>
        <w:t xml:space="preserve">be asked to </w:t>
      </w:r>
      <w:r w:rsidR="005C22DD" w:rsidRPr="00471D9E">
        <w:rPr>
          <w:rFonts w:asciiTheme="minorHAnsi" w:hAnsiTheme="minorHAnsi"/>
          <w:bCs/>
        </w:rPr>
        <w:t>answer questions about their experiences with genomic testing in oncology and their perceptions of the barriers and facilitators of genomic testing within their practice.  Demographic information and practice characteristics will also be collected.  The entire procedure is expected to last approximately 20 minutes.  This will be a one-time (rather than annual) information collection.</w:t>
      </w:r>
    </w:p>
    <w:p w14:paraId="035272D6" w14:textId="70B7E2E3" w:rsidR="0010154F" w:rsidRDefault="005C22DD" w:rsidP="005C22DD">
      <w:pPr>
        <w:rPr>
          <w:rFonts w:asciiTheme="minorHAnsi" w:hAnsiTheme="minorHAnsi"/>
          <w:bCs/>
        </w:rPr>
      </w:pPr>
      <w:r w:rsidRPr="00471D9E">
        <w:rPr>
          <w:rFonts w:asciiTheme="minorHAnsi" w:hAnsiTheme="minorHAnsi"/>
          <w:bCs/>
        </w:rPr>
        <w:t>To achieve approximately 1,200 completed surveys</w:t>
      </w:r>
      <w:r w:rsidR="00475D10">
        <w:rPr>
          <w:rFonts w:asciiTheme="minorHAnsi" w:hAnsiTheme="minorHAnsi"/>
          <w:bCs/>
        </w:rPr>
        <w:t xml:space="preserve"> for the main study</w:t>
      </w:r>
      <w:r w:rsidRPr="00471D9E">
        <w:rPr>
          <w:rFonts w:asciiTheme="minorHAnsi" w:hAnsiTheme="minorHAnsi"/>
          <w:bCs/>
        </w:rPr>
        <w:t>, we will draw a sample of 2,</w:t>
      </w:r>
      <w:r>
        <w:rPr>
          <w:rFonts w:asciiTheme="minorHAnsi" w:hAnsiTheme="minorHAnsi"/>
          <w:bCs/>
        </w:rPr>
        <w:t>882</w:t>
      </w:r>
      <w:r w:rsidRPr="00471D9E">
        <w:rPr>
          <w:rFonts w:asciiTheme="minorHAnsi" w:hAnsiTheme="minorHAnsi"/>
          <w:bCs/>
        </w:rPr>
        <w:t xml:space="preserve"> oncologists from the American Medical Association </w:t>
      </w:r>
      <w:r w:rsidR="00171464">
        <w:rPr>
          <w:rFonts w:asciiTheme="minorHAnsi" w:hAnsiTheme="minorHAnsi"/>
          <w:bCs/>
        </w:rPr>
        <w:t xml:space="preserve">(AMA) </w:t>
      </w:r>
      <w:r w:rsidRPr="00471D9E">
        <w:rPr>
          <w:rFonts w:asciiTheme="minorHAnsi" w:hAnsiTheme="minorHAnsi"/>
          <w:bCs/>
        </w:rPr>
        <w:t>Masterfile</w:t>
      </w:r>
      <w:r w:rsidR="00CD4033">
        <w:rPr>
          <w:rFonts w:asciiTheme="minorHAnsi" w:hAnsiTheme="minorHAnsi"/>
          <w:bCs/>
        </w:rPr>
        <w:t xml:space="preserve">, which </w:t>
      </w:r>
      <w:r w:rsidR="00BF28B4">
        <w:rPr>
          <w:rFonts w:asciiTheme="minorHAnsi" w:hAnsiTheme="minorHAnsi"/>
          <w:bCs/>
        </w:rPr>
        <w:t>is comprehensive of all physicians in the US</w:t>
      </w:r>
      <w:r w:rsidRPr="00471D9E">
        <w:rPr>
          <w:rFonts w:asciiTheme="minorHAnsi" w:hAnsiTheme="minorHAnsi"/>
          <w:bCs/>
        </w:rPr>
        <w:t xml:space="preserve">. </w:t>
      </w:r>
      <w:r w:rsidR="00171464">
        <w:rPr>
          <w:rFonts w:asciiTheme="minorHAnsi" w:hAnsiTheme="minorHAnsi"/>
          <w:bCs/>
        </w:rPr>
        <w:t xml:space="preserve">Because this study is designed to make inferences about the population of medical oncologists practicing in the United States, we opted to sample directly from the AMA Masterfile, rather than supplement a federal survey, such as </w:t>
      </w:r>
      <w:r w:rsidR="006804C2">
        <w:rPr>
          <w:rFonts w:asciiTheme="minorHAnsi" w:hAnsiTheme="minorHAnsi"/>
          <w:bCs/>
        </w:rPr>
        <w:t>the National Ambulatory Medical Care Survey (</w:t>
      </w:r>
      <w:r w:rsidR="006804C2">
        <w:t>NAMCS), which includes a diverse sample of providers. Further, the core NAMCS survey is designed to generalize to medical visits rather than providers.</w:t>
      </w:r>
    </w:p>
    <w:p w14:paraId="7C04BE08" w14:textId="0D0C2BC6" w:rsidR="005C22DD" w:rsidRPr="00471D9E" w:rsidRDefault="005C22DD" w:rsidP="005C22DD">
      <w:pPr>
        <w:rPr>
          <w:rFonts w:asciiTheme="minorHAnsi" w:hAnsiTheme="minorHAnsi"/>
          <w:bCs/>
        </w:rPr>
      </w:pPr>
      <w:r w:rsidRPr="00471D9E">
        <w:rPr>
          <w:rFonts w:asciiTheme="minorHAnsi" w:hAnsiTheme="minorHAnsi"/>
          <w:bCs/>
        </w:rPr>
        <w:t>Prior to sending physicians a copy of the survey</w:t>
      </w:r>
      <w:r w:rsidR="00C567BF">
        <w:rPr>
          <w:rFonts w:asciiTheme="minorHAnsi" w:hAnsiTheme="minorHAnsi"/>
          <w:bCs/>
        </w:rPr>
        <w:t xml:space="preserve"> (</w:t>
      </w:r>
      <w:r w:rsidR="00C567BF" w:rsidRPr="00C567BF">
        <w:rPr>
          <w:rFonts w:asciiTheme="minorHAnsi" w:hAnsiTheme="minorHAnsi"/>
          <w:b/>
          <w:bCs/>
        </w:rPr>
        <w:t>Attachment A</w:t>
      </w:r>
      <w:r w:rsidR="00C567BF">
        <w:rPr>
          <w:rFonts w:asciiTheme="minorHAnsi" w:hAnsiTheme="minorHAnsi"/>
          <w:bCs/>
        </w:rPr>
        <w:t>)</w:t>
      </w:r>
      <w:r w:rsidRPr="00471D9E">
        <w:rPr>
          <w:rFonts w:asciiTheme="minorHAnsi" w:hAnsiTheme="minorHAnsi"/>
          <w:bCs/>
        </w:rPr>
        <w:t>, the contractor will make telephone calls</w:t>
      </w:r>
      <w:r w:rsidR="00A420F2">
        <w:rPr>
          <w:rFonts w:asciiTheme="minorHAnsi" w:hAnsiTheme="minorHAnsi"/>
          <w:bCs/>
        </w:rPr>
        <w:t xml:space="preserve"> using the screener (</w:t>
      </w:r>
      <w:r w:rsidR="00A420F2" w:rsidRPr="00C567BF">
        <w:rPr>
          <w:rFonts w:asciiTheme="minorHAnsi" w:hAnsiTheme="minorHAnsi"/>
          <w:b/>
          <w:bCs/>
        </w:rPr>
        <w:t>Attachment B</w:t>
      </w:r>
      <w:r w:rsidR="00A420F2">
        <w:rPr>
          <w:rFonts w:asciiTheme="minorHAnsi" w:hAnsiTheme="minorHAnsi"/>
          <w:b/>
          <w:bCs/>
        </w:rPr>
        <w:t>)</w:t>
      </w:r>
      <w:r w:rsidRPr="00471D9E">
        <w:rPr>
          <w:rFonts w:asciiTheme="minorHAnsi" w:hAnsiTheme="minorHAnsi"/>
          <w:bCs/>
        </w:rPr>
        <w:t xml:space="preserve"> to the sampled physicians to verify that the sample member is eligible for the survey (e.g., a practicing oncologist under age 75), and that the address is correct. The </w:t>
      </w:r>
      <w:r w:rsidR="00A420F2">
        <w:rPr>
          <w:rFonts w:asciiTheme="minorHAnsi" w:hAnsiTheme="minorHAnsi"/>
          <w:bCs/>
        </w:rPr>
        <w:t>screener is also used to verify</w:t>
      </w:r>
      <w:r w:rsidRPr="00471D9E">
        <w:rPr>
          <w:rFonts w:asciiTheme="minorHAnsi" w:hAnsiTheme="minorHAnsi"/>
          <w:bCs/>
        </w:rPr>
        <w:t xml:space="preserve"> eligibility and contact information. For any sampled physicians who have moved, the contractor will attempt to obtain new address information from the office contacted or through various tracing procedures and internet searches. We estimate that approximately 15% of the initial sample will be ineligible or unable to be located. If needed, additional sample can be taken to ensure and verified to assure that the survey will yield the analytic sample required for the study.</w:t>
      </w:r>
    </w:p>
    <w:p w14:paraId="458630B5" w14:textId="4B56D38D" w:rsidR="008B7E93" w:rsidRPr="004F2849" w:rsidRDefault="005C22DD" w:rsidP="008B7E93">
      <w:pPr>
        <w:rPr>
          <w:b/>
        </w:rPr>
      </w:pPr>
      <w:r w:rsidRPr="00471D9E">
        <w:rPr>
          <w:rFonts w:asciiTheme="minorHAnsi" w:hAnsiTheme="minorHAnsi"/>
          <w:bCs/>
        </w:rPr>
        <w:lastRenderedPageBreak/>
        <w:t xml:space="preserve">Eligible, sampled physicians will then be mailed a survey invitation. The initial survey package will be sent by U.S.P.S. first-class mail. It will include a cover letter, survey, </w:t>
      </w:r>
      <w:r w:rsidR="009F6871">
        <w:rPr>
          <w:rFonts w:asciiTheme="minorHAnsi" w:hAnsiTheme="minorHAnsi"/>
          <w:bCs/>
        </w:rPr>
        <w:t xml:space="preserve">and </w:t>
      </w:r>
      <w:r w:rsidRPr="00471D9E">
        <w:rPr>
          <w:rFonts w:asciiTheme="minorHAnsi" w:hAnsiTheme="minorHAnsi"/>
          <w:bCs/>
        </w:rPr>
        <w:t>postage-paid return envelope</w:t>
      </w:r>
      <w:r w:rsidR="009F6871">
        <w:rPr>
          <w:rFonts w:asciiTheme="minorHAnsi" w:hAnsiTheme="minorHAnsi"/>
          <w:bCs/>
        </w:rPr>
        <w:t xml:space="preserve">.  </w:t>
      </w:r>
      <w:r w:rsidRPr="00471D9E">
        <w:rPr>
          <w:rFonts w:asciiTheme="minorHAnsi" w:hAnsiTheme="minorHAnsi"/>
          <w:bCs/>
        </w:rPr>
        <w:t xml:space="preserve">. </w:t>
      </w:r>
      <w:r w:rsidR="00BF28B4">
        <w:rPr>
          <w:rFonts w:asciiTheme="minorHAnsi" w:hAnsiTheme="minorHAnsi"/>
        </w:rPr>
        <w:t xml:space="preserve">A review of 117 large provider surveys suggests that 53% of provider surveys that offered an incentive used </w:t>
      </w:r>
      <w:r w:rsidR="00BF28B4" w:rsidRPr="00BE5466">
        <w:rPr>
          <w:rFonts w:asciiTheme="minorHAnsi" w:hAnsiTheme="minorHAnsi"/>
        </w:rPr>
        <w:t xml:space="preserve">a prepaid rather than a contingent incentive (McLeod, Klabunde, &amp; Willis, 2013). </w:t>
      </w:r>
      <w:r w:rsidR="007C5916" w:rsidRPr="00BE5466">
        <w:rPr>
          <w:rFonts w:asciiTheme="minorHAnsi" w:hAnsiTheme="minorHAnsi"/>
          <w:bCs/>
        </w:rPr>
        <w:t xml:space="preserve">The Division of Cancer Control and Population Sciences (DCCPS) has a long-standing program of provider surveys, and a pre-paid incentive has been </w:t>
      </w:r>
      <w:r w:rsidR="007C5916">
        <w:rPr>
          <w:rFonts w:asciiTheme="minorHAnsi" w:hAnsiTheme="minorHAnsi"/>
          <w:bCs/>
        </w:rPr>
        <w:t xml:space="preserve">successfully </w:t>
      </w:r>
      <w:r w:rsidR="007C5916" w:rsidRPr="00BE5466">
        <w:rPr>
          <w:rFonts w:asciiTheme="minorHAnsi" w:hAnsiTheme="minorHAnsi"/>
          <w:bCs/>
        </w:rPr>
        <w:t>used in the past</w:t>
      </w:r>
      <w:r w:rsidR="007C5916">
        <w:rPr>
          <w:rFonts w:asciiTheme="minorHAnsi" w:hAnsiTheme="minorHAnsi"/>
          <w:bCs/>
        </w:rPr>
        <w:t xml:space="preserve"> (e.g., OMB No 0925-0468, OMB No 0925-0583, OMB No 0925-0595, OMB No 0925-0562, OMB 0925-0469)</w:t>
      </w:r>
      <w:r w:rsidR="00BF28B4" w:rsidRPr="00BE5466">
        <w:rPr>
          <w:rFonts w:asciiTheme="minorHAnsi" w:hAnsiTheme="minorHAnsi"/>
          <w:bCs/>
        </w:rPr>
        <w:t>In our experience</w:t>
      </w:r>
      <w:r w:rsidR="00366A72" w:rsidRPr="00BE5466">
        <w:rPr>
          <w:rFonts w:asciiTheme="minorHAnsi" w:hAnsiTheme="minorHAnsi"/>
          <w:bCs/>
        </w:rPr>
        <w:t>,</w:t>
      </w:r>
      <w:r w:rsidR="00BF28B4" w:rsidRPr="00BE5466">
        <w:rPr>
          <w:rFonts w:asciiTheme="minorHAnsi" w:hAnsiTheme="minorHAnsi"/>
          <w:bCs/>
        </w:rPr>
        <w:t xml:space="preserve"> a small </w:t>
      </w:r>
      <w:r w:rsidR="003C4E9C" w:rsidRPr="00BE5466">
        <w:rPr>
          <w:rFonts w:asciiTheme="minorHAnsi" w:hAnsiTheme="minorHAnsi"/>
          <w:bCs/>
        </w:rPr>
        <w:t>number of</w:t>
      </w:r>
      <w:r w:rsidR="00BF28B4" w:rsidRPr="00BE5466">
        <w:rPr>
          <w:rFonts w:asciiTheme="minorHAnsi" w:hAnsiTheme="minorHAnsi"/>
          <w:bCs/>
        </w:rPr>
        <w:t xml:space="preserve"> providers </w:t>
      </w:r>
      <w:r w:rsidR="00366A72" w:rsidRPr="00BE5466">
        <w:rPr>
          <w:rFonts w:asciiTheme="minorHAnsi" w:hAnsiTheme="minorHAnsi"/>
          <w:bCs/>
        </w:rPr>
        <w:t xml:space="preserve">do </w:t>
      </w:r>
      <w:r w:rsidR="00BF28B4" w:rsidRPr="00BE5466">
        <w:rPr>
          <w:rFonts w:asciiTheme="minorHAnsi" w:hAnsiTheme="minorHAnsi"/>
          <w:bCs/>
        </w:rPr>
        <w:t>not complet</w:t>
      </w:r>
      <w:r w:rsidR="00366A72" w:rsidRPr="00BE5466">
        <w:rPr>
          <w:rFonts w:asciiTheme="minorHAnsi" w:hAnsiTheme="minorHAnsi"/>
          <w:bCs/>
        </w:rPr>
        <w:t>e</w:t>
      </w:r>
      <w:r w:rsidR="00BF28B4" w:rsidRPr="00BE5466">
        <w:rPr>
          <w:rFonts w:asciiTheme="minorHAnsi" w:hAnsiTheme="minorHAnsi"/>
          <w:bCs/>
        </w:rPr>
        <w:t xml:space="preserve"> the </w:t>
      </w:r>
      <w:r w:rsidR="003C4E9C" w:rsidRPr="00BE5466">
        <w:rPr>
          <w:rFonts w:asciiTheme="minorHAnsi" w:hAnsiTheme="minorHAnsi"/>
          <w:bCs/>
        </w:rPr>
        <w:t>survey but cash</w:t>
      </w:r>
      <w:r w:rsidR="00366A72">
        <w:rPr>
          <w:rFonts w:asciiTheme="minorHAnsi" w:hAnsiTheme="minorHAnsi"/>
          <w:bCs/>
        </w:rPr>
        <w:t xml:space="preserve"> </w:t>
      </w:r>
      <w:r w:rsidR="003C4E9C" w:rsidRPr="00BE5466">
        <w:rPr>
          <w:rFonts w:asciiTheme="minorHAnsi" w:hAnsiTheme="minorHAnsi"/>
          <w:bCs/>
        </w:rPr>
        <w:t>the</w:t>
      </w:r>
      <w:r w:rsidR="00BF28B4" w:rsidRPr="00BE5466">
        <w:rPr>
          <w:rFonts w:asciiTheme="minorHAnsi" w:hAnsiTheme="minorHAnsi"/>
          <w:bCs/>
        </w:rPr>
        <w:t xml:space="preserve"> incentive check.  For example, in the </w:t>
      </w:r>
      <w:r w:rsidR="00BF28B4" w:rsidRPr="004F2849">
        <w:rPr>
          <w:color w:val="000000"/>
        </w:rPr>
        <w:t>National Physician Survey of Practices on Diet, Physical Activity, and Weight Control (OMB No. 0925-0583),</w:t>
      </w:r>
      <w:r w:rsidR="003C4E9C" w:rsidRPr="004F2849">
        <w:rPr>
          <w:color w:val="000000"/>
        </w:rPr>
        <w:t xml:space="preserve"> 4.9% of the sample (n=148) did not complete the survey but still cashed the check. This was largely offset by the 4.6% of the sample (n=138) who completed the survey and did not cash the check.   </w:t>
      </w:r>
      <w:r w:rsidR="006A4C63">
        <w:rPr>
          <w:rFonts w:asciiTheme="minorHAnsi" w:hAnsiTheme="minorHAnsi"/>
          <w:bCs/>
        </w:rPr>
        <w:t xml:space="preserve">  To empirically test whether a pre-incentive is associated with a higher response rate than a contingent incentive, w</w:t>
      </w:r>
      <w:r w:rsidR="008B7E93">
        <w:rPr>
          <w:rFonts w:asciiTheme="minorHAnsi" w:hAnsiTheme="minorHAnsi"/>
          <w:bCs/>
        </w:rPr>
        <w:t xml:space="preserve">e propose to embed an experiment into the main study to test whether the response rate to the survey differs based on the timing of the incentive (prepaid versus contingent).  </w:t>
      </w:r>
      <w:r w:rsidR="00857574">
        <w:rPr>
          <w:rFonts w:asciiTheme="minorHAnsi" w:hAnsiTheme="minorHAnsi"/>
          <w:bCs/>
        </w:rPr>
        <w:t>E</w:t>
      </w:r>
      <w:r w:rsidR="008B7E93">
        <w:rPr>
          <w:rFonts w:asciiTheme="minorHAnsi" w:hAnsiTheme="minorHAnsi"/>
          <w:bCs/>
        </w:rPr>
        <w:t xml:space="preserve">ligible providers will be randomly assigned to either receive the incentive prior to completing the survey (prepaid) or after the survey has been completed (contingent).  </w:t>
      </w:r>
      <w:r w:rsidR="008B7E93">
        <w:t>Starting with a sample of 2,882 physicians with an 85% eligibility rate, a 98% contact rate, and a 50% response rate, we have 2,400 potential respondents (1,200 per group) and 1,200 expected respondents (600 per group).  We will assume a two-sample test of independent percentages, the post incentive response rate percentage equal to 50%, half of the potential respondents assigned to each experimental group, and two-sided test with a significance level (alpha) of 0.</w:t>
      </w:r>
      <w:r w:rsidR="00CF7BD1">
        <w:t>10</w:t>
      </w:r>
      <w:r w:rsidR="008B7E93">
        <w:t>.  At 80% power with a two-sided test</w:t>
      </w:r>
      <w:r w:rsidR="00366A72">
        <w:t xml:space="preserve"> </w:t>
      </w:r>
      <w:r w:rsidR="006804C2">
        <w:t xml:space="preserve">and </w:t>
      </w:r>
      <w:r w:rsidR="008B7E93">
        <w:t>alpha equal</w:t>
      </w:r>
      <w:r w:rsidR="006804C2">
        <w:t xml:space="preserve"> to</w:t>
      </w:r>
      <w:r w:rsidR="008B7E93">
        <w:t xml:space="preserve"> 0.10 we can detect a 5.07 percentage point difference in the response rate (55.07 percent minus 50.00 percent).</w:t>
      </w:r>
      <w:r w:rsidR="00CF7BD1">
        <w:t xml:space="preserve">  This information</w:t>
      </w:r>
      <w:r w:rsidR="006804C2">
        <w:t xml:space="preserve"> would</w:t>
      </w:r>
      <w:r w:rsidR="00CF7BD1">
        <w:t xml:space="preserve"> be instructive for future provider surveys </w:t>
      </w:r>
      <w:r w:rsidR="00366A72">
        <w:t>conducted by DCCPS</w:t>
      </w:r>
      <w:r w:rsidR="00CF7BD1">
        <w:t>.</w:t>
      </w:r>
      <w:r w:rsidR="006804C2">
        <w:t xml:space="preserve">  For the contingent incentive group, the check will be sent with the thank you letter in </w:t>
      </w:r>
      <w:r w:rsidR="006804C2" w:rsidRPr="004F2849">
        <w:rPr>
          <w:b/>
        </w:rPr>
        <w:t>attachment L.</w:t>
      </w:r>
    </w:p>
    <w:p w14:paraId="02BE18BA" w14:textId="5C65B965" w:rsidR="008B7E93" w:rsidRDefault="008B7E93" w:rsidP="005C22DD">
      <w:pPr>
        <w:rPr>
          <w:rFonts w:asciiTheme="minorHAnsi" w:hAnsiTheme="minorHAnsi"/>
          <w:bCs/>
        </w:rPr>
      </w:pPr>
    </w:p>
    <w:p w14:paraId="3455D370" w14:textId="426D3B63" w:rsidR="00C567BF" w:rsidRDefault="005C22DD" w:rsidP="005C22DD">
      <w:pPr>
        <w:rPr>
          <w:rFonts w:asciiTheme="minorHAnsi" w:hAnsiTheme="minorHAnsi"/>
          <w:bCs/>
        </w:rPr>
      </w:pPr>
      <w:r w:rsidRPr="00471D9E">
        <w:rPr>
          <w:rFonts w:asciiTheme="minorHAnsi" w:hAnsiTheme="minorHAnsi"/>
          <w:bCs/>
        </w:rPr>
        <w:t>One</w:t>
      </w:r>
      <w:r>
        <w:rPr>
          <w:rFonts w:asciiTheme="minorHAnsi" w:hAnsiTheme="minorHAnsi"/>
          <w:bCs/>
        </w:rPr>
        <w:t>-and-half</w:t>
      </w:r>
      <w:r w:rsidRPr="00471D9E">
        <w:rPr>
          <w:rFonts w:asciiTheme="minorHAnsi" w:hAnsiTheme="minorHAnsi"/>
          <w:bCs/>
        </w:rPr>
        <w:t xml:space="preserve"> week</w:t>
      </w:r>
      <w:r>
        <w:rPr>
          <w:rFonts w:asciiTheme="minorHAnsi" w:hAnsiTheme="minorHAnsi"/>
          <w:bCs/>
        </w:rPr>
        <w:t>s</w:t>
      </w:r>
      <w:r w:rsidRPr="00471D9E">
        <w:rPr>
          <w:rFonts w:asciiTheme="minorHAnsi" w:hAnsiTheme="minorHAnsi"/>
          <w:bCs/>
        </w:rPr>
        <w:t xml:space="preserve"> after the follow-up mailing, we will send an email reminder to nonresponders with a link to complete the survey via the web. </w:t>
      </w:r>
      <w:r w:rsidR="003001DC">
        <w:rPr>
          <w:rFonts w:asciiTheme="minorHAnsi" w:hAnsiTheme="minorHAnsi"/>
          <w:bCs/>
        </w:rPr>
        <w:t xml:space="preserve">Screen shots of the web survey are provided in </w:t>
      </w:r>
      <w:r w:rsidR="003001DC" w:rsidRPr="002B4250">
        <w:rPr>
          <w:rFonts w:asciiTheme="minorHAnsi" w:hAnsiTheme="minorHAnsi"/>
          <w:b/>
          <w:bCs/>
        </w:rPr>
        <w:t>Attachment J</w:t>
      </w:r>
      <w:r w:rsidR="003001DC">
        <w:rPr>
          <w:rFonts w:asciiTheme="minorHAnsi" w:hAnsiTheme="minorHAnsi"/>
          <w:bCs/>
        </w:rPr>
        <w:t xml:space="preserve">.  </w:t>
      </w:r>
      <w:r w:rsidR="00C1760A">
        <w:rPr>
          <w:rFonts w:asciiTheme="minorHAnsi" w:hAnsiTheme="minorHAnsi"/>
          <w:bCs/>
        </w:rPr>
        <w:t xml:space="preserve">The electronic web survey is exactly the same as the paper survey. </w:t>
      </w:r>
      <w:r w:rsidRPr="00471D9E">
        <w:rPr>
          <w:rFonts w:asciiTheme="minorHAnsi" w:hAnsiTheme="minorHAnsi"/>
          <w:bCs/>
        </w:rPr>
        <w:t xml:space="preserve">Within </w:t>
      </w:r>
      <w:r>
        <w:rPr>
          <w:rFonts w:asciiTheme="minorHAnsi" w:hAnsiTheme="minorHAnsi"/>
          <w:bCs/>
        </w:rPr>
        <w:t>one-and-a-half</w:t>
      </w:r>
      <w:r w:rsidRPr="00471D9E">
        <w:rPr>
          <w:rFonts w:asciiTheme="minorHAnsi" w:hAnsiTheme="minorHAnsi"/>
          <w:bCs/>
        </w:rPr>
        <w:t xml:space="preserve"> week</w:t>
      </w:r>
      <w:r>
        <w:rPr>
          <w:rFonts w:asciiTheme="minorHAnsi" w:hAnsiTheme="minorHAnsi"/>
          <w:bCs/>
        </w:rPr>
        <w:t>s</w:t>
      </w:r>
      <w:r w:rsidRPr="00471D9E">
        <w:rPr>
          <w:rFonts w:asciiTheme="minorHAnsi" w:hAnsiTheme="minorHAnsi"/>
          <w:bCs/>
        </w:rPr>
        <w:t xml:space="preserve"> of sending the email reminder, the contractor’s telephone interviewers will begin making follow-up telephone calls to nonresponders. The interviewers will provide reminders about the study, obtain new mailing addresses or email addresses, and send replacement questionnaires or emails as needed. </w:t>
      </w:r>
      <w:r>
        <w:rPr>
          <w:rFonts w:asciiTheme="minorHAnsi" w:hAnsiTheme="minorHAnsi"/>
          <w:bCs/>
        </w:rPr>
        <w:t xml:space="preserve">  </w:t>
      </w:r>
      <w:r w:rsidRPr="00471D9E">
        <w:rPr>
          <w:rFonts w:asciiTheme="minorHAnsi" w:hAnsiTheme="minorHAnsi"/>
          <w:bCs/>
        </w:rPr>
        <w:t>Two weeks after the email reminder, we will send the final follow-up mailing to nonresponders via FedEx. The package will include a new cover letter, replacement survey, and a postage-paid envelope.</w:t>
      </w:r>
      <w:r>
        <w:rPr>
          <w:rFonts w:asciiTheme="minorHAnsi" w:hAnsiTheme="minorHAnsi"/>
          <w:bCs/>
        </w:rPr>
        <w:t xml:space="preserve">  </w:t>
      </w:r>
      <w:r w:rsidRPr="00471D9E">
        <w:rPr>
          <w:rFonts w:asciiTheme="minorHAnsi" w:hAnsiTheme="minorHAnsi"/>
          <w:bCs/>
        </w:rPr>
        <w:t>One</w:t>
      </w:r>
      <w:r>
        <w:rPr>
          <w:rFonts w:asciiTheme="minorHAnsi" w:hAnsiTheme="minorHAnsi"/>
          <w:bCs/>
        </w:rPr>
        <w:t>-and-half</w:t>
      </w:r>
      <w:r w:rsidRPr="00471D9E">
        <w:rPr>
          <w:rFonts w:asciiTheme="minorHAnsi" w:hAnsiTheme="minorHAnsi"/>
          <w:bCs/>
        </w:rPr>
        <w:t xml:space="preserve"> week</w:t>
      </w:r>
      <w:r>
        <w:rPr>
          <w:rFonts w:asciiTheme="minorHAnsi" w:hAnsiTheme="minorHAnsi"/>
          <w:bCs/>
        </w:rPr>
        <w:t>s</w:t>
      </w:r>
      <w:r w:rsidRPr="00471D9E">
        <w:rPr>
          <w:rFonts w:asciiTheme="minorHAnsi" w:hAnsiTheme="minorHAnsi"/>
          <w:bCs/>
        </w:rPr>
        <w:t xml:space="preserve"> after the FedEx mailing, we will send a final reminder via email to all nonresponding physicians. The email will include a link to the web survey. Reminder phone calls to nonresponding physicians will continue until the end of data collection – approximately 1</w:t>
      </w:r>
      <w:r>
        <w:rPr>
          <w:rFonts w:asciiTheme="minorHAnsi" w:hAnsiTheme="minorHAnsi"/>
          <w:bCs/>
        </w:rPr>
        <w:t>2</w:t>
      </w:r>
      <w:r w:rsidRPr="00471D9E">
        <w:rPr>
          <w:rFonts w:asciiTheme="minorHAnsi" w:hAnsiTheme="minorHAnsi"/>
          <w:bCs/>
        </w:rPr>
        <w:t xml:space="preserve"> weeks after the initial survey invitations were sent.</w:t>
      </w:r>
      <w:r>
        <w:rPr>
          <w:rFonts w:asciiTheme="minorHAnsi" w:hAnsiTheme="minorHAnsi"/>
          <w:bCs/>
        </w:rPr>
        <w:t xml:space="preserve">  </w:t>
      </w:r>
      <w:r w:rsidRPr="00471D9E">
        <w:rPr>
          <w:rFonts w:asciiTheme="minorHAnsi" w:hAnsiTheme="minorHAnsi"/>
          <w:bCs/>
        </w:rPr>
        <w:t xml:space="preserve">Copies of the cover letters and emails are provided in </w:t>
      </w:r>
      <w:r w:rsidRPr="005C22DD">
        <w:rPr>
          <w:rFonts w:asciiTheme="minorHAnsi" w:hAnsiTheme="minorHAnsi"/>
          <w:b/>
          <w:bCs/>
        </w:rPr>
        <w:t xml:space="preserve">Attachment </w:t>
      </w:r>
      <w:r w:rsidR="00C567BF">
        <w:rPr>
          <w:rFonts w:asciiTheme="minorHAnsi" w:hAnsiTheme="minorHAnsi"/>
          <w:b/>
          <w:bCs/>
        </w:rPr>
        <w:t>C</w:t>
      </w:r>
      <w:r w:rsidRPr="00471D9E">
        <w:rPr>
          <w:rFonts w:asciiTheme="minorHAnsi" w:hAnsiTheme="minorHAnsi"/>
          <w:bCs/>
        </w:rPr>
        <w:t xml:space="preserve">. </w:t>
      </w:r>
      <w:r w:rsidR="00A420F2">
        <w:rPr>
          <w:rFonts w:asciiTheme="minorHAnsi" w:hAnsiTheme="minorHAnsi"/>
          <w:bCs/>
        </w:rPr>
        <w:t xml:space="preserve">Participants will be contacted to remind them to complete the survey. </w:t>
      </w:r>
      <w:r w:rsidR="00A420F2" w:rsidRPr="00471D9E">
        <w:rPr>
          <w:rFonts w:asciiTheme="minorHAnsi" w:hAnsiTheme="minorHAnsi"/>
          <w:bCs/>
        </w:rPr>
        <w:t>The telephone</w:t>
      </w:r>
      <w:r w:rsidRPr="00471D9E">
        <w:rPr>
          <w:rFonts w:asciiTheme="minorHAnsi" w:hAnsiTheme="minorHAnsi"/>
          <w:bCs/>
        </w:rPr>
        <w:t xml:space="preserve"> reminder script is provided in </w:t>
      </w:r>
      <w:r w:rsidRPr="005C22DD">
        <w:rPr>
          <w:rFonts w:asciiTheme="minorHAnsi" w:hAnsiTheme="minorHAnsi"/>
          <w:b/>
          <w:bCs/>
        </w:rPr>
        <w:t xml:space="preserve">Attachment </w:t>
      </w:r>
      <w:r w:rsidR="00C567BF">
        <w:rPr>
          <w:rFonts w:asciiTheme="minorHAnsi" w:hAnsiTheme="minorHAnsi"/>
          <w:b/>
          <w:bCs/>
        </w:rPr>
        <w:t>D</w:t>
      </w:r>
      <w:r w:rsidRPr="00471D9E">
        <w:rPr>
          <w:rFonts w:asciiTheme="minorHAnsi" w:hAnsiTheme="minorHAnsi"/>
          <w:bCs/>
        </w:rPr>
        <w:t>.</w:t>
      </w:r>
      <w:r w:rsidR="00C567BF">
        <w:rPr>
          <w:rFonts w:asciiTheme="minorHAnsi" w:hAnsiTheme="minorHAnsi"/>
          <w:bCs/>
        </w:rPr>
        <w:t xml:space="preserve">  </w:t>
      </w:r>
    </w:p>
    <w:p w14:paraId="20E35150" w14:textId="74BFB082" w:rsidR="005C22DD" w:rsidRPr="00471D9E" w:rsidRDefault="00C567BF" w:rsidP="005C22DD">
      <w:pPr>
        <w:rPr>
          <w:rFonts w:asciiTheme="minorHAnsi" w:hAnsiTheme="minorHAnsi"/>
          <w:bCs/>
        </w:rPr>
      </w:pPr>
      <w:r>
        <w:rPr>
          <w:rFonts w:asciiTheme="minorHAnsi" w:hAnsiTheme="minorHAnsi"/>
        </w:rPr>
        <w:t>For this project, a brief (1</w:t>
      </w:r>
      <w:r w:rsidRPr="0072465F">
        <w:rPr>
          <w:rFonts w:asciiTheme="minorHAnsi" w:hAnsiTheme="minorHAnsi"/>
        </w:rPr>
        <w:t xml:space="preserve"> page) nonresponse survey </w:t>
      </w:r>
      <w:r>
        <w:rPr>
          <w:rFonts w:asciiTheme="minorHAnsi" w:hAnsiTheme="minorHAnsi"/>
        </w:rPr>
        <w:t>(</w:t>
      </w:r>
      <w:r w:rsidRPr="00C567BF">
        <w:rPr>
          <w:rFonts w:asciiTheme="minorHAnsi" w:hAnsiTheme="minorHAnsi"/>
          <w:b/>
        </w:rPr>
        <w:t>Attachment E)</w:t>
      </w:r>
      <w:r>
        <w:rPr>
          <w:rFonts w:asciiTheme="minorHAnsi" w:hAnsiTheme="minorHAnsi"/>
        </w:rPr>
        <w:t xml:space="preserve"> </w:t>
      </w:r>
      <w:r w:rsidRPr="0072465F">
        <w:rPr>
          <w:rFonts w:asciiTheme="minorHAnsi" w:hAnsiTheme="minorHAnsi"/>
        </w:rPr>
        <w:t>will be conducted with</w:t>
      </w:r>
      <w:r w:rsidR="00CF7BD1">
        <w:rPr>
          <w:rFonts w:asciiTheme="minorHAnsi" w:hAnsiTheme="minorHAnsi"/>
        </w:rPr>
        <w:t xml:space="preserve"> </w:t>
      </w:r>
      <w:r w:rsidR="00366A72">
        <w:rPr>
          <w:rFonts w:asciiTheme="minorHAnsi" w:hAnsiTheme="minorHAnsi"/>
        </w:rPr>
        <w:t xml:space="preserve">all </w:t>
      </w:r>
      <w:r w:rsidR="00CF7BD1">
        <w:rPr>
          <w:rFonts w:asciiTheme="minorHAnsi" w:hAnsiTheme="minorHAnsi"/>
        </w:rPr>
        <w:t xml:space="preserve">providers who do not </w:t>
      </w:r>
      <w:r w:rsidR="00366A72">
        <w:rPr>
          <w:rFonts w:asciiTheme="minorHAnsi" w:hAnsiTheme="minorHAnsi"/>
        </w:rPr>
        <w:t>complete the</w:t>
      </w:r>
      <w:r w:rsidR="00CF7BD1">
        <w:rPr>
          <w:rFonts w:asciiTheme="minorHAnsi" w:hAnsiTheme="minorHAnsi"/>
        </w:rPr>
        <w:t xml:space="preserve"> pilot </w:t>
      </w:r>
      <w:r w:rsidR="00366A72">
        <w:rPr>
          <w:rFonts w:asciiTheme="minorHAnsi" w:hAnsiTheme="minorHAnsi"/>
        </w:rPr>
        <w:t xml:space="preserve">and </w:t>
      </w:r>
      <w:r w:rsidR="00CF7BD1">
        <w:rPr>
          <w:rFonts w:asciiTheme="minorHAnsi" w:hAnsiTheme="minorHAnsi"/>
        </w:rPr>
        <w:t xml:space="preserve">the main survey.  </w:t>
      </w:r>
      <w:r w:rsidR="00A31879">
        <w:rPr>
          <w:rFonts w:asciiTheme="minorHAnsi" w:hAnsiTheme="minorHAnsi"/>
        </w:rPr>
        <w:t xml:space="preserve">Because the sample </w:t>
      </w:r>
      <w:r w:rsidR="00366A72">
        <w:rPr>
          <w:rFonts w:asciiTheme="minorHAnsi" w:hAnsiTheme="minorHAnsi"/>
        </w:rPr>
        <w:t>for the nonresponse survey is</w:t>
      </w:r>
      <w:r w:rsidR="00A31879">
        <w:rPr>
          <w:rFonts w:asciiTheme="minorHAnsi" w:hAnsiTheme="minorHAnsi"/>
        </w:rPr>
        <w:t xml:space="preserve"> providers who </w:t>
      </w:r>
      <w:r w:rsidR="00366A72">
        <w:rPr>
          <w:rFonts w:asciiTheme="minorHAnsi" w:hAnsiTheme="minorHAnsi"/>
        </w:rPr>
        <w:t xml:space="preserve">did </w:t>
      </w:r>
      <w:r w:rsidR="00A31879">
        <w:rPr>
          <w:rFonts w:asciiTheme="minorHAnsi" w:hAnsiTheme="minorHAnsi"/>
        </w:rPr>
        <w:t xml:space="preserve">not </w:t>
      </w:r>
      <w:r w:rsidR="00366A72">
        <w:rPr>
          <w:rFonts w:asciiTheme="minorHAnsi" w:hAnsiTheme="minorHAnsi"/>
        </w:rPr>
        <w:t xml:space="preserve">complete the </w:t>
      </w:r>
      <w:r w:rsidR="00F7194B">
        <w:rPr>
          <w:rFonts w:asciiTheme="minorHAnsi" w:hAnsiTheme="minorHAnsi"/>
        </w:rPr>
        <w:t xml:space="preserve">pilot/main </w:t>
      </w:r>
      <w:r w:rsidR="00366A72">
        <w:rPr>
          <w:rFonts w:asciiTheme="minorHAnsi" w:hAnsiTheme="minorHAnsi"/>
        </w:rPr>
        <w:t>survey</w:t>
      </w:r>
      <w:r w:rsidR="00A31879">
        <w:rPr>
          <w:rFonts w:asciiTheme="minorHAnsi" w:hAnsiTheme="minorHAnsi"/>
        </w:rPr>
        <w:t xml:space="preserve">, we expect </w:t>
      </w:r>
      <w:r w:rsidR="00366A72">
        <w:rPr>
          <w:rFonts w:asciiTheme="minorHAnsi" w:hAnsiTheme="minorHAnsi"/>
        </w:rPr>
        <w:t>only</w:t>
      </w:r>
      <w:r w:rsidR="00A31879">
        <w:rPr>
          <w:rFonts w:asciiTheme="minorHAnsi" w:hAnsiTheme="minorHAnsi"/>
        </w:rPr>
        <w:t xml:space="preserve"> 20% </w:t>
      </w:r>
      <w:r w:rsidR="00F7194B">
        <w:rPr>
          <w:rFonts w:asciiTheme="minorHAnsi" w:hAnsiTheme="minorHAnsi"/>
        </w:rPr>
        <w:t xml:space="preserve">of this group </w:t>
      </w:r>
      <w:r w:rsidR="00A31879">
        <w:rPr>
          <w:rFonts w:asciiTheme="minorHAnsi" w:hAnsiTheme="minorHAnsi"/>
        </w:rPr>
        <w:t xml:space="preserve">to </w:t>
      </w:r>
      <w:r w:rsidR="00366A72">
        <w:rPr>
          <w:rFonts w:asciiTheme="minorHAnsi" w:hAnsiTheme="minorHAnsi"/>
        </w:rPr>
        <w:t>return</w:t>
      </w:r>
      <w:r w:rsidR="00A31879">
        <w:rPr>
          <w:rFonts w:asciiTheme="minorHAnsi" w:hAnsiTheme="minorHAnsi"/>
        </w:rPr>
        <w:t xml:space="preserve"> the </w:t>
      </w:r>
      <w:r w:rsidR="00A31879">
        <w:rPr>
          <w:rFonts w:asciiTheme="minorHAnsi" w:hAnsiTheme="minorHAnsi"/>
        </w:rPr>
        <w:lastRenderedPageBreak/>
        <w:t xml:space="preserve">nonresponse survey.  This translates to approximately 35 providers </w:t>
      </w:r>
      <w:r w:rsidR="00F7194B">
        <w:rPr>
          <w:rFonts w:asciiTheme="minorHAnsi" w:hAnsiTheme="minorHAnsi"/>
        </w:rPr>
        <w:t>for</w:t>
      </w:r>
      <w:r w:rsidR="00A31879">
        <w:rPr>
          <w:rFonts w:asciiTheme="minorHAnsi" w:hAnsiTheme="minorHAnsi"/>
        </w:rPr>
        <w:t xml:space="preserve"> the pilot and 250 providers for the main study.   </w:t>
      </w:r>
    </w:p>
    <w:p w14:paraId="617BCCB1" w14:textId="7407C8AB" w:rsidR="00EF64D2" w:rsidRDefault="00EF64D2" w:rsidP="002E283A">
      <w:r>
        <w:t xml:space="preserve">The findings </w:t>
      </w:r>
      <w:r w:rsidR="00A31879">
        <w:t xml:space="preserve">from The National </w:t>
      </w:r>
      <w:r w:rsidR="00A31879" w:rsidRPr="00113716">
        <w:t xml:space="preserve">Physician Survey of Precision Medicine in Cancer Treatment </w:t>
      </w:r>
      <w:r>
        <w:t xml:space="preserve">will inform NCI of relevant issues and concerns relating to the application of precision medicine to current and future cancer treatment patterns and practice.   This information </w:t>
      </w:r>
      <w:r w:rsidR="002E283A">
        <w:t xml:space="preserve">directly supports the recently established Precision Medicine Initiative and </w:t>
      </w:r>
      <w:r>
        <w:t xml:space="preserve">will also inform the development of new funding initiatives to optimize the use of precision medicine in cancer treatment.  Additionally, information collected as part of this survey will be used to develop physician educational materials to address barriers to precision medicine in cancer care delivery.   </w:t>
      </w:r>
    </w:p>
    <w:p w14:paraId="6568910B" w14:textId="22657FC8" w:rsidR="00EF64D2" w:rsidRDefault="00475D10" w:rsidP="00EF64D2">
      <w:pPr>
        <w:ind w:left="360" w:hanging="360"/>
      </w:pPr>
      <w:r>
        <w:t>Study aims include</w:t>
      </w:r>
      <w:r w:rsidR="00EF64D2">
        <w:t>:</w:t>
      </w:r>
    </w:p>
    <w:p w14:paraId="77913EAA" w14:textId="11C4E14F" w:rsidR="00EF64D2" w:rsidRDefault="00EF64D2" w:rsidP="001228F0">
      <w:pPr>
        <w:pStyle w:val="ListParagraph"/>
        <w:numPr>
          <w:ilvl w:val="0"/>
          <w:numId w:val="14"/>
        </w:numPr>
      </w:pPr>
      <w:r>
        <w:t>Obtaining estimates of the proportion of oncologists that use specific genomic tests for individual gene mutations (KRAS, BRAF, HER2, MPL, etc.) and multi-marker tumor panels (DecisionDX, FoundationOne, Oncotype DX Colon)</w:t>
      </w:r>
    </w:p>
    <w:p w14:paraId="1A1E00A3" w14:textId="43D315D6" w:rsidR="00EF64D2" w:rsidRDefault="00EF64D2" w:rsidP="001228F0">
      <w:pPr>
        <w:pStyle w:val="ListParagraph"/>
        <w:numPr>
          <w:ilvl w:val="0"/>
          <w:numId w:val="14"/>
        </w:numPr>
      </w:pPr>
      <w:r>
        <w:t>Determining how tests are used (diagnostically, to guide treatment decisions)</w:t>
      </w:r>
    </w:p>
    <w:p w14:paraId="0C0B30E1" w14:textId="05327215" w:rsidR="00EF64D2" w:rsidRDefault="00EF64D2" w:rsidP="001228F0">
      <w:pPr>
        <w:pStyle w:val="ListParagraph"/>
        <w:numPr>
          <w:ilvl w:val="0"/>
          <w:numId w:val="14"/>
        </w:numPr>
      </w:pPr>
      <w:r>
        <w:t>Understanding reasons test are used and not used by oncologists</w:t>
      </w:r>
    </w:p>
    <w:p w14:paraId="245EDC0A" w14:textId="645EE5ED" w:rsidR="00EF64D2" w:rsidRDefault="00EF64D2" w:rsidP="001228F0">
      <w:pPr>
        <w:pStyle w:val="ListParagraph"/>
        <w:numPr>
          <w:ilvl w:val="0"/>
          <w:numId w:val="14"/>
        </w:numPr>
      </w:pPr>
      <w:r>
        <w:t>Identifying key barriers and facilitators for use of genomic test</w:t>
      </w:r>
    </w:p>
    <w:p w14:paraId="662C3D3A" w14:textId="01E5B19D" w:rsidR="00EF64D2" w:rsidRDefault="00EF64D2" w:rsidP="001228F0">
      <w:pPr>
        <w:pStyle w:val="ListParagraph"/>
        <w:numPr>
          <w:ilvl w:val="0"/>
          <w:numId w:val="14"/>
        </w:numPr>
      </w:pPr>
      <w:r>
        <w:t>Determining differences in use, knowledge, and attitudes towards genomic tests between academic versus community physicians</w:t>
      </w:r>
    </w:p>
    <w:p w14:paraId="4A35D2DB" w14:textId="77777777" w:rsidR="00A00CF8" w:rsidRPr="008942E9" w:rsidRDefault="00A00CF8" w:rsidP="00137456">
      <w:pPr>
        <w:keepNext/>
        <w:rPr>
          <w:b/>
          <w:color w:val="000000"/>
        </w:rPr>
      </w:pPr>
      <w:r w:rsidRPr="008942E9">
        <w:rPr>
          <w:b/>
          <w:color w:val="000000"/>
        </w:rPr>
        <w:t>A.3     Use of Information Technology and Burden Reduction</w:t>
      </w:r>
    </w:p>
    <w:p w14:paraId="7CE1B77F" w14:textId="683B113F" w:rsidR="00CC2B54" w:rsidRPr="00CC2B54" w:rsidRDefault="00CC2B54" w:rsidP="000F54FC">
      <w:pPr>
        <w:rPr>
          <w:color w:val="000000"/>
        </w:rPr>
      </w:pPr>
      <w:r w:rsidRPr="00CC2B54">
        <w:rPr>
          <w:color w:val="000000"/>
        </w:rPr>
        <w:t>Information technology will be used in the collection of information for this study. First all selected sample cases will be screened via the telephone to determine eligibility and to verify contact information</w:t>
      </w:r>
      <w:r w:rsidR="00374E62">
        <w:rPr>
          <w:color w:val="000000"/>
        </w:rPr>
        <w:t xml:space="preserve">. </w:t>
      </w:r>
      <w:r w:rsidRPr="00CC2B54">
        <w:rPr>
          <w:color w:val="000000"/>
        </w:rPr>
        <w:t>Eligibility status and contact information will be stored in a database maintained by the contractor on their secure server. Only contractor staff authorized to work on the project will have access to the project folder on the server.</w:t>
      </w:r>
      <w:r w:rsidR="005A5BAE">
        <w:rPr>
          <w:color w:val="000000"/>
        </w:rPr>
        <w:t xml:space="preserve">  </w:t>
      </w:r>
      <w:r w:rsidR="009A0E9F">
        <w:rPr>
          <w:color w:val="000000"/>
        </w:rPr>
        <w:t xml:space="preserve"> A Privacy Impact Assessment </w:t>
      </w:r>
      <w:r w:rsidR="00EC25D6" w:rsidRPr="004F2849">
        <w:rPr>
          <w:b/>
          <w:color w:val="000000"/>
        </w:rPr>
        <w:t>attachment K</w:t>
      </w:r>
      <w:r w:rsidR="00EC25D6">
        <w:rPr>
          <w:color w:val="000000"/>
        </w:rPr>
        <w:t xml:space="preserve"> </w:t>
      </w:r>
      <w:r w:rsidR="009A0E9F">
        <w:rPr>
          <w:color w:val="000000"/>
        </w:rPr>
        <w:t xml:space="preserve">was completed for this project and submitted to the NIH Privacy Office.  </w:t>
      </w:r>
    </w:p>
    <w:p w14:paraId="7A496BF5" w14:textId="690AAE5C" w:rsidR="00CC2B54" w:rsidRPr="00CC2B54" w:rsidRDefault="00CC2B54" w:rsidP="00374E62">
      <w:pPr>
        <w:rPr>
          <w:color w:val="000000"/>
        </w:rPr>
      </w:pPr>
      <w:r w:rsidRPr="00CC2B54">
        <w:rPr>
          <w:color w:val="000000"/>
        </w:rPr>
        <w:t xml:space="preserve">For eligible sample cases, </w:t>
      </w:r>
      <w:r w:rsidR="00374E62">
        <w:rPr>
          <w:color w:val="000000"/>
        </w:rPr>
        <w:t>physicians</w:t>
      </w:r>
      <w:r w:rsidRPr="00CC2B54">
        <w:rPr>
          <w:color w:val="000000"/>
        </w:rPr>
        <w:t xml:space="preserve"> will be mailed a paper version of the survey to complete. Up to two follow-up mailings with replacement paper surveys will be sent to nonresponders.  Sample members who do not respond to the mailed survey requests, and who have an email address, will be sent up to two email survey invitations with a link to a web survey that they can complete via computer or mobile device. </w:t>
      </w:r>
    </w:p>
    <w:p w14:paraId="6DBF9AB3" w14:textId="5F000F88" w:rsidR="00CC2B54" w:rsidRPr="00CC2B54" w:rsidRDefault="00CC2B54" w:rsidP="001228F0">
      <w:pPr>
        <w:rPr>
          <w:color w:val="000000"/>
        </w:rPr>
      </w:pPr>
      <w:r w:rsidRPr="00CC2B54">
        <w:rPr>
          <w:color w:val="000000"/>
        </w:rPr>
        <w:t xml:space="preserve">The web survey </w:t>
      </w:r>
      <w:r w:rsidR="003001DC" w:rsidRPr="002B4250">
        <w:rPr>
          <w:b/>
          <w:color w:val="000000"/>
        </w:rPr>
        <w:t>(attachment J)</w:t>
      </w:r>
      <w:r w:rsidR="003001DC">
        <w:rPr>
          <w:color w:val="000000"/>
        </w:rPr>
        <w:t xml:space="preserve"> </w:t>
      </w:r>
      <w:r w:rsidR="00C1760A">
        <w:rPr>
          <w:color w:val="000000"/>
        </w:rPr>
        <w:t>is</w:t>
      </w:r>
      <w:r w:rsidR="00CC1DBC">
        <w:rPr>
          <w:color w:val="000000"/>
        </w:rPr>
        <w:t xml:space="preserve"> </w:t>
      </w:r>
      <w:r w:rsidRPr="00CC2B54">
        <w:rPr>
          <w:color w:val="000000"/>
        </w:rPr>
        <w:t xml:space="preserve">programmed on Survey Gizmo. Survey Gizmo allows surveys to be accessed by users via secure (https) share links, which keep responses secure. It also has a Project Data Encryption feature that allows projects to encrypt all survey data that are received, so those data cannot be accessed without a password key. </w:t>
      </w:r>
    </w:p>
    <w:p w14:paraId="6A9EB93D" w14:textId="77777777" w:rsidR="00CC2B54" w:rsidRPr="00CC2B54" w:rsidRDefault="00CC2B54" w:rsidP="001228F0">
      <w:pPr>
        <w:rPr>
          <w:color w:val="000000"/>
        </w:rPr>
      </w:pPr>
      <w:r w:rsidRPr="00CC2B54">
        <w:rPr>
          <w:color w:val="000000"/>
        </w:rPr>
        <w:t>Towards the end of the data collection period, reminder phone calls will be placed to nonresponding physicians. However, interviews will not be conducted over the telephone. Telephone interviewers can request that a survey be mailed or emailed to the sample member as needed.</w:t>
      </w:r>
    </w:p>
    <w:p w14:paraId="66354EDF" w14:textId="77777777" w:rsidR="00CC2B54" w:rsidRPr="00CC2B54" w:rsidRDefault="00CC2B54" w:rsidP="001228F0">
      <w:pPr>
        <w:rPr>
          <w:color w:val="000000"/>
        </w:rPr>
      </w:pPr>
      <w:r w:rsidRPr="00CC2B54">
        <w:rPr>
          <w:color w:val="000000"/>
        </w:rPr>
        <w:lastRenderedPageBreak/>
        <w:t>In addition to its use in data collection, automated technology will be used in data editing and analysis.  Burden will be reduced by recording data on a one-time basis for each respondent, and by keeping the survey to approximately 20 minutes.</w:t>
      </w:r>
    </w:p>
    <w:p w14:paraId="44F02AE5" w14:textId="77777777" w:rsidR="00685B30" w:rsidRPr="008942E9" w:rsidRDefault="00685B30" w:rsidP="00685B30">
      <w:pPr>
        <w:pStyle w:val="Heading2"/>
        <w:spacing w:after="0" w:line="480" w:lineRule="auto"/>
        <w:ind w:left="720" w:hanging="720"/>
        <w:rPr>
          <w:rFonts w:ascii="Calibri" w:hAnsi="Calibri"/>
          <w:szCs w:val="22"/>
        </w:rPr>
      </w:pPr>
      <w:bookmarkStart w:id="5" w:name="_Toc443881745"/>
      <w:bookmarkStart w:id="6" w:name="_Toc451592234"/>
      <w:bookmarkStart w:id="7" w:name="_Toc5610275"/>
      <w:bookmarkStart w:id="8" w:name="_Toc99178781"/>
      <w:r w:rsidRPr="008942E9">
        <w:rPr>
          <w:rFonts w:ascii="Calibri" w:hAnsi="Calibri"/>
          <w:szCs w:val="22"/>
        </w:rPr>
        <w:t>A.4</w:t>
      </w:r>
      <w:r w:rsidRPr="008942E9">
        <w:rPr>
          <w:rFonts w:ascii="Calibri" w:hAnsi="Calibri"/>
          <w:szCs w:val="22"/>
        </w:rPr>
        <w:tab/>
        <w:t>Efforts to Identify Duplication and Use of Similar Information</w:t>
      </w:r>
      <w:bookmarkEnd w:id="5"/>
      <w:bookmarkEnd w:id="6"/>
      <w:bookmarkEnd w:id="7"/>
      <w:bookmarkEnd w:id="8"/>
    </w:p>
    <w:p w14:paraId="33F279B3" w14:textId="777D10E1" w:rsidR="00CC2B54" w:rsidRDefault="00CC2B54" w:rsidP="00CC2B54">
      <w:r>
        <w:t>Increased understanding of the mechanisms that drive cancerogenesis has resulted in an explosion in molecular and genomic tests to characterize individual tumors. These tests have placed oncology at the front of precision medicine, but no national data exist on the use of these tests in oncology or the barriers to and facilitators of their use.</w:t>
      </w:r>
      <w:r w:rsidR="00EC25D6">
        <w:t xml:space="preserve">  A </w:t>
      </w:r>
      <w:r w:rsidR="00EC25D6" w:rsidRPr="00EC25D6">
        <w:t>previous NCI survey (OMB no. 0925-0469) characterized the use of testing for germline mutations associated with risk for breast, ovarian, or colon cancer.  However, this survey did not include somatic testing for genetic alterations through which the molecular characteristics of a patient’s tumor are used to guide treatment decisions.  Two non-federal studies have examined physicians’ knowledge and attitudes regarding somatic genetic and genomic testing (Miller et al., 2009; Gray et al., 2014).  However, the generalizability of these results is limited and findings are unlikely to apply to the majority of cancer care delivery systems in the United States.</w:t>
      </w:r>
      <w:r w:rsidR="00EC25D6">
        <w:rPr>
          <w:b/>
        </w:rPr>
        <w:t xml:space="preserve"> </w:t>
      </w:r>
    </w:p>
    <w:p w14:paraId="78339D11" w14:textId="08DB68A6" w:rsidR="00CC2B54" w:rsidRDefault="00CC2B54" w:rsidP="00CC2B54">
      <w:r>
        <w:t>Although we have some current information regarding physicians’ knowledge and attitudes regarding genomic testing, we do not have</w:t>
      </w:r>
      <w:r w:rsidR="00F7194B">
        <w:t xml:space="preserve"> </w:t>
      </w:r>
      <w:r w:rsidR="00E56CC2">
        <w:t>nationally represen</w:t>
      </w:r>
      <w:r w:rsidR="00F7194B">
        <w:t>t</w:t>
      </w:r>
      <w:r w:rsidR="00E56CC2">
        <w:t>ative</w:t>
      </w:r>
      <w:r>
        <w:t xml:space="preserve"> data on the perspectives of </w:t>
      </w:r>
      <w:r w:rsidR="00EC25D6">
        <w:t xml:space="preserve">US </w:t>
      </w:r>
      <w:r>
        <w:t>medical oncologists regarding the growing use of multi-marker tumor panels in cancer treatment. In particular, it is critical to capture timely data on the use of emerging genomic tests, which are relatively new and for which there are few guidelines on use or indicators of clinical utility or validity.</w:t>
      </w:r>
    </w:p>
    <w:p w14:paraId="5DE71153" w14:textId="1CAA5DC9" w:rsidR="00CC2B54" w:rsidRDefault="00CC2B54" w:rsidP="00CC2B54">
      <w:r>
        <w:t xml:space="preserve">Given past studies, it appears there is adequate background literature but </w:t>
      </w:r>
      <w:r w:rsidR="00591B59">
        <w:t>no national studies</w:t>
      </w:r>
      <w:r>
        <w:t xml:space="preserve"> that duplicate the efforts proposed in this statement.</w:t>
      </w:r>
    </w:p>
    <w:p w14:paraId="300C53AF" w14:textId="77777777" w:rsidR="00685B30" w:rsidRPr="008942E9" w:rsidRDefault="00685B30" w:rsidP="00685B30">
      <w:pPr>
        <w:pStyle w:val="Heading2"/>
        <w:spacing w:after="0" w:line="480" w:lineRule="auto"/>
        <w:ind w:left="720" w:hanging="720"/>
        <w:rPr>
          <w:rFonts w:ascii="Calibri" w:hAnsi="Calibri"/>
          <w:szCs w:val="22"/>
        </w:rPr>
      </w:pPr>
      <w:bookmarkStart w:id="9" w:name="_Toc443881746"/>
      <w:bookmarkStart w:id="10" w:name="_Toc451592235"/>
      <w:bookmarkStart w:id="11" w:name="_Toc5610276"/>
      <w:bookmarkStart w:id="12" w:name="_Toc99178782"/>
      <w:r w:rsidRPr="008942E9">
        <w:rPr>
          <w:rFonts w:ascii="Calibri" w:hAnsi="Calibri"/>
          <w:szCs w:val="22"/>
        </w:rPr>
        <w:t>A.5</w:t>
      </w:r>
      <w:r w:rsidRPr="008942E9">
        <w:rPr>
          <w:rFonts w:ascii="Calibri" w:hAnsi="Calibri"/>
          <w:szCs w:val="22"/>
        </w:rPr>
        <w:tab/>
        <w:t>Impact on Small Businesses or Other Small Entities</w:t>
      </w:r>
      <w:bookmarkEnd w:id="9"/>
      <w:bookmarkEnd w:id="10"/>
      <w:bookmarkEnd w:id="11"/>
      <w:bookmarkEnd w:id="12"/>
    </w:p>
    <w:p w14:paraId="33686F27" w14:textId="77777777" w:rsidR="00CC2B54" w:rsidRPr="00CC2B54" w:rsidRDefault="00CC2B54" w:rsidP="00CC2B54">
      <w:bookmarkStart w:id="13" w:name="_Toc443881747"/>
      <w:bookmarkStart w:id="14" w:name="_Toc451592236"/>
      <w:bookmarkStart w:id="15" w:name="_Toc5610277"/>
      <w:bookmarkStart w:id="16" w:name="_Toc99178783"/>
      <w:r w:rsidRPr="00CC2B54">
        <w:t>No small businesses will be involved in this data collection.</w:t>
      </w:r>
    </w:p>
    <w:p w14:paraId="011E13D6" w14:textId="487D0096" w:rsidR="00685B30" w:rsidRPr="008942E9" w:rsidRDefault="00685B30" w:rsidP="00685B30">
      <w:pPr>
        <w:pStyle w:val="Heading2"/>
        <w:spacing w:after="0" w:line="480" w:lineRule="auto"/>
        <w:ind w:left="720" w:hanging="720"/>
        <w:rPr>
          <w:rFonts w:ascii="Calibri" w:hAnsi="Calibri"/>
          <w:szCs w:val="22"/>
        </w:rPr>
      </w:pPr>
      <w:r w:rsidRPr="008942E9">
        <w:rPr>
          <w:rFonts w:ascii="Calibri" w:hAnsi="Calibri"/>
          <w:szCs w:val="22"/>
        </w:rPr>
        <w:t>A.6</w:t>
      </w:r>
      <w:r w:rsidRPr="008942E9">
        <w:rPr>
          <w:rFonts w:ascii="Calibri" w:hAnsi="Calibri"/>
          <w:szCs w:val="22"/>
        </w:rPr>
        <w:tab/>
        <w:t>Consequences of Collecting the Information Less Frequently</w:t>
      </w:r>
      <w:bookmarkEnd w:id="13"/>
      <w:bookmarkEnd w:id="14"/>
      <w:bookmarkEnd w:id="15"/>
      <w:bookmarkEnd w:id="16"/>
    </w:p>
    <w:p w14:paraId="64AA49B8" w14:textId="34D018E8" w:rsidR="001D2EF4" w:rsidRDefault="001D2EF4" w:rsidP="000F54FC">
      <w:r w:rsidRPr="001D2EF4">
        <w:t>The proposed data collection is one-time only.  Although there are no plans for successive data collections, a portion of nonresponders will be selected to receive a follow-back survey to determine their reason for nonresponse.</w:t>
      </w:r>
    </w:p>
    <w:p w14:paraId="60B39818" w14:textId="77777777" w:rsidR="00685B30" w:rsidRPr="008942E9" w:rsidRDefault="00E67B10" w:rsidP="00685B30">
      <w:pPr>
        <w:pStyle w:val="Heading2"/>
        <w:spacing w:after="0" w:line="480" w:lineRule="auto"/>
        <w:ind w:left="0" w:firstLine="0"/>
        <w:rPr>
          <w:rFonts w:ascii="Calibri" w:hAnsi="Calibri"/>
          <w:szCs w:val="22"/>
        </w:rPr>
      </w:pPr>
      <w:bookmarkStart w:id="17" w:name="_Toc443881748"/>
      <w:bookmarkStart w:id="18" w:name="_Toc451592237"/>
      <w:bookmarkStart w:id="19" w:name="_Toc5610278"/>
      <w:bookmarkStart w:id="20" w:name="_Toc99178784"/>
      <w:r w:rsidRPr="008942E9">
        <w:rPr>
          <w:rFonts w:ascii="Calibri" w:hAnsi="Calibri"/>
          <w:szCs w:val="22"/>
        </w:rPr>
        <w:t>A.7</w:t>
      </w:r>
      <w:r w:rsidRPr="008942E9">
        <w:rPr>
          <w:rFonts w:ascii="Calibri" w:hAnsi="Calibri"/>
          <w:szCs w:val="22"/>
        </w:rPr>
        <w:tab/>
      </w:r>
      <w:r w:rsidR="00685B30" w:rsidRPr="008942E9">
        <w:rPr>
          <w:rFonts w:ascii="Calibri" w:hAnsi="Calibri"/>
          <w:szCs w:val="22"/>
        </w:rPr>
        <w:t xml:space="preserve">Special Circumstances Relating to the Guidelines of 5 </w:t>
      </w:r>
      <w:smartTag w:uri="urn:schemas-microsoft-com:office:smarttags" w:element="stockticker">
        <w:r w:rsidR="00685B30" w:rsidRPr="008942E9">
          <w:rPr>
            <w:rFonts w:ascii="Calibri" w:hAnsi="Calibri"/>
            <w:szCs w:val="22"/>
          </w:rPr>
          <w:t>CFR</w:t>
        </w:r>
      </w:smartTag>
      <w:r w:rsidR="00685B30" w:rsidRPr="008942E9">
        <w:rPr>
          <w:rFonts w:ascii="Calibri" w:hAnsi="Calibri"/>
          <w:szCs w:val="22"/>
        </w:rPr>
        <w:t xml:space="preserve"> 1320.5</w:t>
      </w:r>
      <w:bookmarkEnd w:id="17"/>
      <w:bookmarkEnd w:id="18"/>
      <w:bookmarkEnd w:id="19"/>
      <w:bookmarkEnd w:id="20"/>
    </w:p>
    <w:p w14:paraId="0CFDBA9E" w14:textId="77777777" w:rsidR="001D2EF4" w:rsidRDefault="001D2EF4" w:rsidP="00685B30">
      <w:r w:rsidRPr="001D2EF4">
        <w:t>This collection of information fully complies with 5 CFR 1320.5.  There are no special circumstances.</w:t>
      </w:r>
    </w:p>
    <w:p w14:paraId="2AB30509" w14:textId="77777777" w:rsidR="00685B30" w:rsidRPr="008942E9" w:rsidRDefault="00685B30" w:rsidP="00E35DD1">
      <w:pPr>
        <w:pStyle w:val="P1-StandPara"/>
        <w:spacing w:line="240" w:lineRule="auto"/>
        <w:ind w:firstLine="0"/>
        <w:rPr>
          <w:rFonts w:ascii="Calibri" w:hAnsi="Calibri"/>
          <w:szCs w:val="22"/>
        </w:rPr>
      </w:pPr>
    </w:p>
    <w:p w14:paraId="30D4FC04" w14:textId="77777777" w:rsidR="0036208F" w:rsidRPr="008942E9" w:rsidRDefault="00685B30" w:rsidP="00E35DD1">
      <w:pPr>
        <w:pStyle w:val="Heading2"/>
        <w:spacing w:after="0" w:line="240" w:lineRule="auto"/>
        <w:ind w:left="720" w:hanging="720"/>
        <w:rPr>
          <w:rFonts w:ascii="Calibri" w:hAnsi="Calibri"/>
          <w:szCs w:val="22"/>
        </w:rPr>
      </w:pPr>
      <w:bookmarkStart w:id="21" w:name="_Toc443881749"/>
      <w:bookmarkStart w:id="22" w:name="_Toc451592238"/>
      <w:bookmarkStart w:id="23" w:name="_Toc5610279"/>
      <w:bookmarkStart w:id="24" w:name="_Toc99178785"/>
      <w:r w:rsidRPr="008942E9">
        <w:rPr>
          <w:rFonts w:ascii="Calibri" w:hAnsi="Calibri"/>
          <w:szCs w:val="22"/>
        </w:rPr>
        <w:t>A.8</w:t>
      </w:r>
      <w:r w:rsidR="0036208F" w:rsidRPr="008942E9">
        <w:rPr>
          <w:rFonts w:ascii="Calibri" w:hAnsi="Calibri"/>
          <w:szCs w:val="22"/>
        </w:rPr>
        <w:t>.1</w:t>
      </w:r>
      <w:r w:rsidRPr="008942E9">
        <w:rPr>
          <w:rFonts w:ascii="Calibri" w:hAnsi="Calibri"/>
          <w:szCs w:val="22"/>
        </w:rPr>
        <w:tab/>
        <w:t xml:space="preserve">Comments in Response to the Federal Register Notice </w:t>
      </w:r>
    </w:p>
    <w:p w14:paraId="75D505CF" w14:textId="77777777" w:rsidR="0036208F" w:rsidRPr="008942E9" w:rsidRDefault="0036208F" w:rsidP="00E35DD1">
      <w:pPr>
        <w:pStyle w:val="Heading2"/>
        <w:spacing w:after="0" w:line="240" w:lineRule="auto"/>
        <w:ind w:left="720" w:hanging="720"/>
        <w:rPr>
          <w:rFonts w:ascii="Calibri" w:hAnsi="Calibri"/>
          <w:szCs w:val="22"/>
        </w:rPr>
      </w:pPr>
    </w:p>
    <w:bookmarkEnd w:id="21"/>
    <w:bookmarkEnd w:id="22"/>
    <w:bookmarkEnd w:id="23"/>
    <w:bookmarkEnd w:id="24"/>
    <w:p w14:paraId="084CC6AC" w14:textId="4D9A570D" w:rsidR="00685B30" w:rsidRPr="0036208F" w:rsidRDefault="008615DF" w:rsidP="00B966EB">
      <w:r>
        <w:t xml:space="preserve">A 60 day Federal Register Notice was published in the Federal Register on </w:t>
      </w:r>
      <w:r w:rsidR="00303EDD">
        <w:t xml:space="preserve">11/18/2015, Vol. 80, No. 222; pp. 72077.  </w:t>
      </w:r>
      <w:r w:rsidR="00592B93">
        <w:t>No comments were received.</w:t>
      </w:r>
    </w:p>
    <w:p w14:paraId="046E5A54" w14:textId="77777777" w:rsidR="0036208F" w:rsidRPr="008942E9" w:rsidRDefault="0036208F" w:rsidP="0036208F">
      <w:pPr>
        <w:pStyle w:val="Heading2"/>
        <w:spacing w:after="0" w:line="240" w:lineRule="auto"/>
        <w:ind w:left="720" w:hanging="720"/>
        <w:rPr>
          <w:rFonts w:ascii="Calibri" w:hAnsi="Calibri"/>
          <w:szCs w:val="22"/>
        </w:rPr>
      </w:pPr>
      <w:r w:rsidRPr="008942E9">
        <w:rPr>
          <w:rFonts w:ascii="Calibri" w:hAnsi="Calibri"/>
          <w:szCs w:val="22"/>
        </w:rPr>
        <w:lastRenderedPageBreak/>
        <w:t>A.8.2</w:t>
      </w:r>
      <w:r w:rsidRPr="008942E9">
        <w:rPr>
          <w:rFonts w:ascii="Calibri" w:hAnsi="Calibri"/>
          <w:szCs w:val="22"/>
        </w:rPr>
        <w:tab/>
        <w:t>Efforts to Consult Outside Agency</w:t>
      </w:r>
    </w:p>
    <w:p w14:paraId="0C6F1779" w14:textId="77777777" w:rsidR="008615DF" w:rsidRDefault="008615DF" w:rsidP="00685B30"/>
    <w:p w14:paraId="7D4C7563" w14:textId="063135DD" w:rsidR="008615DF" w:rsidRDefault="008615DF" w:rsidP="000F54FC">
      <w:r w:rsidRPr="008615DF">
        <w:t xml:space="preserve">The </w:t>
      </w:r>
      <w:r w:rsidR="000E4507">
        <w:t xml:space="preserve">National Survey of Precision Medicine </w:t>
      </w:r>
      <w:r w:rsidRPr="008615DF">
        <w:t>questionnaire (</w:t>
      </w:r>
      <w:r w:rsidR="00C567BF">
        <w:t xml:space="preserve">see </w:t>
      </w:r>
      <w:r w:rsidRPr="00FB7E5D">
        <w:rPr>
          <w:b/>
        </w:rPr>
        <w:t xml:space="preserve">Attachment </w:t>
      </w:r>
      <w:r w:rsidR="00C567BF">
        <w:rPr>
          <w:b/>
        </w:rPr>
        <w:t>A</w:t>
      </w:r>
      <w:r w:rsidRPr="008615DF">
        <w:t xml:space="preserve">) was developed with the consultation of several physicians and subject matter experts during the development period of the instrument.  The names, addresses and affiliations of the consultants are listed in </w:t>
      </w:r>
      <w:r w:rsidRPr="00FB7E5D">
        <w:rPr>
          <w:b/>
        </w:rPr>
        <w:t xml:space="preserve">Attachment </w:t>
      </w:r>
      <w:r w:rsidR="00C567BF">
        <w:rPr>
          <w:b/>
        </w:rPr>
        <w:t>F</w:t>
      </w:r>
      <w:r w:rsidRPr="008615DF">
        <w:t>.</w:t>
      </w:r>
    </w:p>
    <w:p w14:paraId="326B4AC7" w14:textId="77777777" w:rsidR="00685B30" w:rsidRPr="008942E9" w:rsidRDefault="00685B30" w:rsidP="00685B30">
      <w:pPr>
        <w:pStyle w:val="P1-StandPara"/>
        <w:ind w:firstLine="0"/>
        <w:rPr>
          <w:rFonts w:ascii="Calibri" w:hAnsi="Calibri"/>
          <w:b/>
          <w:szCs w:val="22"/>
        </w:rPr>
      </w:pPr>
      <w:r w:rsidRPr="008942E9">
        <w:rPr>
          <w:rFonts w:ascii="Calibri" w:hAnsi="Calibri"/>
          <w:b/>
          <w:szCs w:val="22"/>
        </w:rPr>
        <w:t>A.9</w:t>
      </w:r>
      <w:r w:rsidRPr="008942E9">
        <w:rPr>
          <w:rFonts w:ascii="Calibri" w:hAnsi="Calibri"/>
          <w:b/>
          <w:szCs w:val="22"/>
        </w:rPr>
        <w:tab/>
        <w:t>Explanation of Any Payment of Gift to Respondents</w:t>
      </w:r>
    </w:p>
    <w:p w14:paraId="53D712C8" w14:textId="38988FC9" w:rsidR="008615DF" w:rsidRDefault="008615DF" w:rsidP="008615DF">
      <w:r>
        <w:t>Due to historically low response rates of physician surveys, numerous studies have been conducted to identify methods for improving such response rates.  The general consensus among researchers in non-profit, government, and academic research have found that</w:t>
      </w:r>
      <w:r w:rsidR="00B4620D">
        <w:t xml:space="preserve"> monetary gifts </w:t>
      </w:r>
      <w:r>
        <w:t xml:space="preserve">ensure acceptable response rates.  At a provider survey workshop at the National Cancer Institute in 2010, the consensus was that use of </w:t>
      </w:r>
      <w:r w:rsidR="00B4620D">
        <w:t>monetary gifts</w:t>
      </w:r>
      <w:r>
        <w:t xml:space="preserve"> for providers is co</w:t>
      </w:r>
      <w:r w:rsidR="00B4620D">
        <w:t>mmon practice (Klabunde, 2012).  N</w:t>
      </w:r>
      <w:r>
        <w:t xml:space="preserve">umerous studies have shown that </w:t>
      </w:r>
      <w:r w:rsidR="00B4620D">
        <w:t>monetary gifts</w:t>
      </w:r>
      <w:r>
        <w:t xml:space="preserve"> improve response rates. </w:t>
      </w:r>
      <w:r w:rsidR="00B4620D">
        <w:t xml:space="preserve"> Monetary gifts </w:t>
      </w:r>
      <w:r>
        <w:t xml:space="preserve">differ in type and amount. The most effective </w:t>
      </w:r>
      <w:r w:rsidR="00B4620D">
        <w:t>monetary gift</w:t>
      </w:r>
      <w:r>
        <w:t xml:space="preserve"> for mailed physician surveys are </w:t>
      </w:r>
      <w:r w:rsidR="00B4620D">
        <w:t xml:space="preserve">noncontingent (i.e., sent before the survey is completed) </w:t>
      </w:r>
      <w:r>
        <w:t xml:space="preserve">token </w:t>
      </w:r>
      <w:r w:rsidR="00B4620D">
        <w:t>honoraria ranging from $50-$75.</w:t>
      </w:r>
      <w:r>
        <w:t xml:space="preserve">This finding is supported by Dykema, Stevenon, Day, Sellers, &amp; Bonham (2011) who conducted </w:t>
      </w:r>
      <w:r w:rsidR="00F034A2">
        <w:t xml:space="preserve">a gift </w:t>
      </w:r>
      <w:r>
        <w:t xml:space="preserve">experiment on a survey of physicians selected from the American Medical Association’s Physician Masterfile. Physicians were randomly assigned to one of four treatment groups: no </w:t>
      </w:r>
      <w:r w:rsidR="00F034A2">
        <w:t>gift</w:t>
      </w:r>
      <w:r>
        <w:t xml:space="preserve">, $200 lottery, $50 </w:t>
      </w:r>
      <w:r w:rsidR="00F034A2">
        <w:t>gift</w:t>
      </w:r>
      <w:r>
        <w:t xml:space="preserve">, or $100 </w:t>
      </w:r>
      <w:r w:rsidR="00F034A2">
        <w:t>gift</w:t>
      </w:r>
      <w:r>
        <w:t xml:space="preserve">. Response rates were highest in the group with $100 </w:t>
      </w:r>
      <w:r w:rsidR="00F034A2">
        <w:t>gift</w:t>
      </w:r>
      <w:r>
        <w:t xml:space="preserve">. Another survey of medical oncologists (Oratz et al., 2011) provided </w:t>
      </w:r>
      <w:r w:rsidR="00F034A2">
        <w:t>a gift</w:t>
      </w:r>
      <w:r>
        <w:t xml:space="preserve"> of $150 for completing a survey on genomic testing.  </w:t>
      </w:r>
    </w:p>
    <w:p w14:paraId="60F84F2D" w14:textId="7F1EC0DC" w:rsidR="008615DF" w:rsidRDefault="00CD1365" w:rsidP="007E7B12">
      <w:r>
        <w:t>Given this inform</w:t>
      </w:r>
      <w:r w:rsidR="00F034A2">
        <w:t>ation, we</w:t>
      </w:r>
      <w:r w:rsidR="00FD5032">
        <w:t xml:space="preserve"> </w:t>
      </w:r>
      <w:r w:rsidR="00980616">
        <w:t xml:space="preserve">will offer a monetary gift of $50.  The optimal timing of the $50 gift will be tested through </w:t>
      </w:r>
      <w:r w:rsidR="00FD5032">
        <w:t xml:space="preserve">the pre-post incentive experiment. </w:t>
      </w:r>
      <w:r w:rsidR="00F034A2">
        <w:t xml:space="preserve"> </w:t>
      </w:r>
    </w:p>
    <w:p w14:paraId="32AB3CB9" w14:textId="7527B87F" w:rsidR="00723FA9" w:rsidRPr="00723FA9" w:rsidRDefault="00723FA9" w:rsidP="00723FA9">
      <w:pPr>
        <w:rPr>
          <w:b/>
        </w:rPr>
      </w:pPr>
      <w:r>
        <w:t xml:space="preserve">References are provided in </w:t>
      </w:r>
      <w:r w:rsidRPr="00723FA9">
        <w:rPr>
          <w:b/>
        </w:rPr>
        <w:t xml:space="preserve">Appendix </w:t>
      </w:r>
      <w:r>
        <w:rPr>
          <w:b/>
        </w:rPr>
        <w:t>G</w:t>
      </w:r>
    </w:p>
    <w:p w14:paraId="4CEEAE95" w14:textId="77777777" w:rsidR="00685B30" w:rsidRPr="008942E9" w:rsidRDefault="00685B30" w:rsidP="00685B30">
      <w:pPr>
        <w:pStyle w:val="P1-StandPara"/>
        <w:ind w:firstLine="0"/>
        <w:rPr>
          <w:rFonts w:ascii="Calibri" w:hAnsi="Calibri"/>
          <w:b/>
          <w:szCs w:val="22"/>
        </w:rPr>
      </w:pPr>
      <w:r w:rsidRPr="008942E9">
        <w:rPr>
          <w:rFonts w:ascii="Calibri" w:hAnsi="Calibri"/>
          <w:b/>
          <w:szCs w:val="22"/>
        </w:rPr>
        <w:t>A.10</w:t>
      </w:r>
      <w:r w:rsidRPr="008942E9">
        <w:rPr>
          <w:rFonts w:ascii="Calibri" w:hAnsi="Calibri"/>
          <w:b/>
          <w:szCs w:val="22"/>
        </w:rPr>
        <w:tab/>
        <w:t>Assurance of Confidentiality Provided to Respondents</w:t>
      </w:r>
    </w:p>
    <w:p w14:paraId="649DA934" w14:textId="2ED72760" w:rsidR="001228F0" w:rsidRPr="001228F0" w:rsidRDefault="00A420F2" w:rsidP="001228F0">
      <w:pPr>
        <w:pStyle w:val="P1-StandPara"/>
        <w:spacing w:line="240" w:lineRule="auto"/>
        <w:ind w:firstLine="0"/>
        <w:rPr>
          <w:rFonts w:ascii="Calibri" w:hAnsi="Calibri"/>
          <w:szCs w:val="22"/>
        </w:rPr>
      </w:pPr>
      <w:r>
        <w:rPr>
          <w:rFonts w:ascii="Calibri" w:hAnsi="Calibri"/>
          <w:szCs w:val="22"/>
        </w:rPr>
        <w:t>P</w:t>
      </w:r>
      <w:r w:rsidRPr="001228F0">
        <w:rPr>
          <w:rFonts w:ascii="Calibri" w:hAnsi="Calibri"/>
          <w:szCs w:val="22"/>
        </w:rPr>
        <w:t>ersonally</w:t>
      </w:r>
      <w:r w:rsidR="001228F0" w:rsidRPr="001228F0">
        <w:rPr>
          <w:rFonts w:ascii="Calibri" w:hAnsi="Calibri"/>
          <w:szCs w:val="22"/>
        </w:rPr>
        <w:t xml:space="preserve"> identifiable information will be </w:t>
      </w:r>
      <w:r w:rsidR="00FB7E5D">
        <w:rPr>
          <w:rFonts w:ascii="Calibri" w:hAnsi="Calibri"/>
          <w:szCs w:val="22"/>
        </w:rPr>
        <w:t>collected by</w:t>
      </w:r>
      <w:r w:rsidR="001228F0" w:rsidRPr="001228F0">
        <w:rPr>
          <w:rFonts w:ascii="Calibri" w:hAnsi="Calibri"/>
          <w:szCs w:val="22"/>
        </w:rPr>
        <w:t xml:space="preserve"> NCI. </w:t>
      </w:r>
      <w:r>
        <w:rPr>
          <w:rFonts w:ascii="Calibri" w:hAnsi="Calibri"/>
          <w:szCs w:val="22"/>
        </w:rPr>
        <w:t>This information is in the form of name and email.</w:t>
      </w:r>
      <w:r w:rsidR="001228F0" w:rsidRPr="001228F0">
        <w:rPr>
          <w:rFonts w:ascii="Calibri" w:hAnsi="Calibri"/>
          <w:szCs w:val="22"/>
        </w:rPr>
        <w:t xml:space="preserve"> Each survey will have a unique ID number associated with it, which will be used as the record identifier during data entry and analysis. All information that can identify individual respondents and link respondent contact information with the unique ID will be maintained in a form that is separate from the data provided to NCI.  </w:t>
      </w:r>
    </w:p>
    <w:p w14:paraId="1D672B99" w14:textId="77777777" w:rsidR="001228F0" w:rsidRDefault="001228F0" w:rsidP="001228F0">
      <w:pPr>
        <w:pStyle w:val="P1-StandPara"/>
        <w:spacing w:line="240" w:lineRule="auto"/>
        <w:ind w:firstLine="0"/>
        <w:rPr>
          <w:rFonts w:ascii="Calibri" w:hAnsi="Calibri"/>
          <w:szCs w:val="22"/>
        </w:rPr>
      </w:pPr>
    </w:p>
    <w:p w14:paraId="0F7126CE" w14:textId="69C4C17C" w:rsidR="001228F0" w:rsidRPr="001228F0" w:rsidRDefault="00C1760A" w:rsidP="001228F0">
      <w:pPr>
        <w:pStyle w:val="P1-StandPara"/>
        <w:spacing w:line="240" w:lineRule="auto"/>
        <w:ind w:firstLine="0"/>
        <w:rPr>
          <w:rFonts w:ascii="Calibri" w:hAnsi="Calibri"/>
          <w:szCs w:val="22"/>
        </w:rPr>
      </w:pPr>
      <w:r>
        <w:rPr>
          <w:rFonts w:ascii="Calibri" w:hAnsi="Calibri"/>
          <w:szCs w:val="22"/>
        </w:rPr>
        <w:t>All</w:t>
      </w:r>
      <w:r w:rsidR="001228F0" w:rsidRPr="001228F0">
        <w:rPr>
          <w:rFonts w:ascii="Calibri" w:hAnsi="Calibri"/>
          <w:szCs w:val="22"/>
        </w:rPr>
        <w:t xml:space="preserve"> information will be kept </w:t>
      </w:r>
      <w:r w:rsidR="00FB7E5D">
        <w:rPr>
          <w:rFonts w:ascii="Calibri" w:hAnsi="Calibri"/>
          <w:szCs w:val="22"/>
        </w:rPr>
        <w:t>private to the extent allowable by law.</w:t>
      </w:r>
      <w:r w:rsidR="001228F0" w:rsidRPr="001228F0">
        <w:rPr>
          <w:rFonts w:ascii="Calibri" w:hAnsi="Calibri"/>
          <w:szCs w:val="22"/>
        </w:rPr>
        <w:t xml:space="preserve">  </w:t>
      </w:r>
      <w:r w:rsidR="00036FFD">
        <w:rPr>
          <w:rFonts w:ascii="Calibri" w:hAnsi="Calibri"/>
          <w:szCs w:val="22"/>
        </w:rPr>
        <w:t>The privacy of</w:t>
      </w:r>
      <w:r w:rsidR="001228F0" w:rsidRPr="001228F0">
        <w:rPr>
          <w:rFonts w:ascii="Calibri" w:hAnsi="Calibri"/>
          <w:szCs w:val="22"/>
        </w:rPr>
        <w:t xml:space="preserve"> information submitted is protected from disclosure under the Freedom of Information Act (FOIA) under sections 552(a) and (b) (5 U.S.C. 552(a) and (b)), and by part 20 of the agency’s regulations (21 CFR part 20).  </w:t>
      </w:r>
      <w:r w:rsidR="00A420F2">
        <w:rPr>
          <w:rFonts w:ascii="Calibri" w:hAnsi="Calibri"/>
          <w:szCs w:val="22"/>
        </w:rPr>
        <w:t>This information collection has been deemed exempt from the human Subject protection as this is not human subject research (</w:t>
      </w:r>
      <w:r w:rsidR="00A420F2" w:rsidRPr="000074EE">
        <w:rPr>
          <w:rFonts w:ascii="Calibri" w:hAnsi="Calibri"/>
          <w:b/>
          <w:szCs w:val="22"/>
        </w:rPr>
        <w:t>Attachment H</w:t>
      </w:r>
      <w:r w:rsidR="00A420F2">
        <w:rPr>
          <w:rFonts w:ascii="Calibri" w:hAnsi="Calibri"/>
          <w:szCs w:val="22"/>
        </w:rPr>
        <w:t>)</w:t>
      </w:r>
      <w:r w:rsidR="001228F0" w:rsidRPr="001228F0">
        <w:rPr>
          <w:rFonts w:ascii="Calibri" w:hAnsi="Calibri"/>
          <w:szCs w:val="22"/>
        </w:rPr>
        <w:t xml:space="preserve"> Institutional Review Board (Research Involving Human Subjects Committee, RIHSC) prior to collecting any information.</w:t>
      </w:r>
    </w:p>
    <w:p w14:paraId="1A0043F5" w14:textId="77777777" w:rsidR="001228F0" w:rsidRDefault="001228F0" w:rsidP="001228F0">
      <w:pPr>
        <w:pStyle w:val="P1-StandPara"/>
        <w:spacing w:line="240" w:lineRule="auto"/>
        <w:ind w:firstLine="0"/>
        <w:rPr>
          <w:rFonts w:ascii="Calibri" w:hAnsi="Calibri"/>
          <w:szCs w:val="22"/>
        </w:rPr>
      </w:pPr>
    </w:p>
    <w:p w14:paraId="3BC712EE" w14:textId="3A5C4351" w:rsidR="001228F0" w:rsidRDefault="001228F0" w:rsidP="001228F0">
      <w:pPr>
        <w:pStyle w:val="P1-StandPara"/>
        <w:spacing w:line="240" w:lineRule="auto"/>
        <w:ind w:firstLine="0"/>
        <w:rPr>
          <w:rFonts w:ascii="Calibri" w:hAnsi="Calibri"/>
          <w:szCs w:val="22"/>
        </w:rPr>
      </w:pPr>
      <w:r w:rsidRPr="001228F0">
        <w:rPr>
          <w:rFonts w:ascii="Calibri" w:hAnsi="Calibri"/>
          <w:szCs w:val="22"/>
        </w:rPr>
        <w:t xml:space="preserve">All electronic data will be maintained in a manner consistent with the Department of Health and Human Services’ ADP Systems Security Policy as described in the DHHS ADP Systems Manual, Part 6, chapters 6-30 and 6-35. </w:t>
      </w:r>
      <w:r w:rsidR="00453C52">
        <w:rPr>
          <w:rFonts w:ascii="Calibri" w:hAnsi="Calibri"/>
          <w:szCs w:val="22"/>
        </w:rPr>
        <w:t xml:space="preserve"> As determined by the NCI Privacy Act Memo ( </w:t>
      </w:r>
      <w:r w:rsidR="00453C52" w:rsidRPr="00FB7E5D">
        <w:rPr>
          <w:rFonts w:ascii="Calibri" w:hAnsi="Calibri"/>
          <w:b/>
          <w:szCs w:val="22"/>
        </w:rPr>
        <w:t xml:space="preserve">Attachment </w:t>
      </w:r>
      <w:r w:rsidR="00A420F2">
        <w:rPr>
          <w:rFonts w:ascii="Calibri" w:hAnsi="Calibri"/>
          <w:b/>
          <w:szCs w:val="22"/>
        </w:rPr>
        <w:t>I</w:t>
      </w:r>
      <w:r w:rsidR="00453C52">
        <w:rPr>
          <w:rFonts w:ascii="Calibri" w:hAnsi="Calibri"/>
          <w:szCs w:val="22"/>
        </w:rPr>
        <w:t>) the Privacy Act is applicable</w:t>
      </w:r>
      <w:r w:rsidR="00225BC4">
        <w:rPr>
          <w:rFonts w:ascii="Calibri" w:hAnsi="Calibri"/>
          <w:szCs w:val="22"/>
        </w:rPr>
        <w:t xml:space="preserve"> as PII is being collected and stored in a system where records a retrieved via personal identifiers.  </w:t>
      </w:r>
      <w:r w:rsidR="00453C52">
        <w:rPr>
          <w:rFonts w:ascii="Calibri" w:hAnsi="Calibri"/>
          <w:szCs w:val="22"/>
        </w:rPr>
        <w:t xml:space="preserve"> </w:t>
      </w:r>
      <w:r w:rsidR="00225BC4">
        <w:rPr>
          <w:rFonts w:ascii="Calibri" w:hAnsi="Calibri"/>
          <w:szCs w:val="22"/>
        </w:rPr>
        <w:t xml:space="preserve">This collection </w:t>
      </w:r>
      <w:r w:rsidR="00453C52">
        <w:rPr>
          <w:rFonts w:ascii="Calibri" w:hAnsi="Calibri"/>
          <w:szCs w:val="22"/>
        </w:rPr>
        <w:t>is</w:t>
      </w:r>
      <w:r w:rsidR="00225BC4">
        <w:rPr>
          <w:rFonts w:ascii="Calibri" w:hAnsi="Calibri"/>
          <w:szCs w:val="22"/>
        </w:rPr>
        <w:t xml:space="preserve"> </w:t>
      </w:r>
      <w:r w:rsidR="00225BC4">
        <w:rPr>
          <w:rFonts w:ascii="Calibri" w:hAnsi="Calibri"/>
          <w:szCs w:val="22"/>
        </w:rPr>
        <w:lastRenderedPageBreak/>
        <w:t>thus</w:t>
      </w:r>
      <w:r w:rsidR="00453C52">
        <w:rPr>
          <w:rFonts w:ascii="Calibri" w:hAnsi="Calibri"/>
          <w:szCs w:val="22"/>
        </w:rPr>
        <w:t xml:space="preserve"> covered by</w:t>
      </w:r>
      <w:r w:rsidRPr="001228F0">
        <w:rPr>
          <w:rFonts w:ascii="Calibri" w:hAnsi="Calibri"/>
          <w:szCs w:val="22"/>
        </w:rPr>
        <w:t xml:space="preserve"> the NIH Privacy Act Systems of Record 09 25 0156, "Records of Participants in Programs and Respondents in Surveys Used to Evaluate Programs of the Public Health Service, HHS/PHS/NIH/OD."</w:t>
      </w:r>
    </w:p>
    <w:p w14:paraId="389FB097" w14:textId="77777777" w:rsidR="00E35DD1" w:rsidRPr="008942E9" w:rsidRDefault="00E35DD1" w:rsidP="00E35DD1">
      <w:pPr>
        <w:pStyle w:val="P1-StandPara"/>
        <w:spacing w:line="240" w:lineRule="auto"/>
        <w:ind w:firstLine="0"/>
        <w:rPr>
          <w:rFonts w:ascii="Calibri" w:hAnsi="Calibri"/>
          <w:szCs w:val="22"/>
        </w:rPr>
      </w:pPr>
    </w:p>
    <w:p w14:paraId="61466021" w14:textId="77777777" w:rsidR="00685B30" w:rsidRPr="008942E9" w:rsidRDefault="00685B30" w:rsidP="00137456">
      <w:pPr>
        <w:pStyle w:val="P1-StandPara"/>
        <w:keepNext/>
        <w:ind w:firstLine="0"/>
        <w:rPr>
          <w:rFonts w:ascii="Calibri" w:hAnsi="Calibri"/>
          <w:b/>
          <w:szCs w:val="22"/>
        </w:rPr>
      </w:pPr>
      <w:r w:rsidRPr="008942E9">
        <w:rPr>
          <w:rFonts w:ascii="Calibri" w:hAnsi="Calibri"/>
          <w:b/>
          <w:szCs w:val="22"/>
        </w:rPr>
        <w:t>A.11</w:t>
      </w:r>
      <w:r w:rsidRPr="008942E9">
        <w:rPr>
          <w:rFonts w:ascii="Calibri" w:hAnsi="Calibri"/>
          <w:b/>
          <w:szCs w:val="22"/>
        </w:rPr>
        <w:tab/>
        <w:t>Justification for Sensitive Questions</w:t>
      </w:r>
    </w:p>
    <w:p w14:paraId="7BE1E24E" w14:textId="0B25F2C4" w:rsidR="001228F0" w:rsidRDefault="001228F0" w:rsidP="000E4507">
      <w:pPr>
        <w:pStyle w:val="P1-StandPara"/>
        <w:spacing w:line="240" w:lineRule="auto"/>
        <w:ind w:firstLine="0"/>
        <w:rPr>
          <w:rFonts w:ascii="Calibri" w:hAnsi="Calibri"/>
          <w:szCs w:val="22"/>
        </w:rPr>
      </w:pPr>
      <w:r w:rsidRPr="001228F0">
        <w:rPr>
          <w:rFonts w:ascii="Calibri" w:hAnsi="Calibri"/>
          <w:szCs w:val="22"/>
        </w:rPr>
        <w:t xml:space="preserve">This data collection will not include sensitive questions.  </w:t>
      </w:r>
    </w:p>
    <w:p w14:paraId="0AE96A0D" w14:textId="77777777" w:rsidR="00685B30" w:rsidRPr="008942E9" w:rsidRDefault="00685B30" w:rsidP="00685B30">
      <w:pPr>
        <w:pStyle w:val="P1-StandPara"/>
        <w:spacing w:line="240" w:lineRule="auto"/>
        <w:ind w:firstLine="0"/>
        <w:rPr>
          <w:rFonts w:ascii="Calibri" w:hAnsi="Calibri"/>
          <w:szCs w:val="22"/>
        </w:rPr>
      </w:pPr>
    </w:p>
    <w:p w14:paraId="186868FE" w14:textId="77777777" w:rsidR="00685B30" w:rsidRPr="00E35DD1" w:rsidRDefault="00685B30" w:rsidP="00685B30">
      <w:pPr>
        <w:rPr>
          <w:b/>
        </w:rPr>
      </w:pPr>
      <w:r w:rsidRPr="00E35DD1">
        <w:rPr>
          <w:b/>
        </w:rPr>
        <w:t>A.12</w:t>
      </w:r>
      <w:r w:rsidR="00BF491C">
        <w:rPr>
          <w:b/>
        </w:rPr>
        <w:t>.1</w:t>
      </w:r>
      <w:r w:rsidRPr="00E35DD1">
        <w:rPr>
          <w:b/>
        </w:rPr>
        <w:tab/>
        <w:t>Est</w:t>
      </w:r>
      <w:r w:rsidR="009A69D6">
        <w:rPr>
          <w:b/>
        </w:rPr>
        <w:t>imated Annualized Burden Hours</w:t>
      </w:r>
    </w:p>
    <w:p w14:paraId="13019DDA" w14:textId="368A73DF" w:rsidR="009810A0" w:rsidRDefault="00591B59" w:rsidP="00CD1365">
      <w:bookmarkStart w:id="25" w:name="_Toc418254291"/>
      <w:r>
        <w:t xml:space="preserve">The total annual estimated burden is </w:t>
      </w:r>
      <w:r w:rsidR="00F7194B">
        <w:t>359</w:t>
      </w:r>
      <w:r w:rsidR="00F7194B" w:rsidRPr="008602E9">
        <w:t xml:space="preserve"> </w:t>
      </w:r>
      <w:r w:rsidRPr="008602E9">
        <w:t>hours</w:t>
      </w:r>
      <w:r>
        <w:t xml:space="preserve"> for this initial collection</w:t>
      </w:r>
      <w:r w:rsidR="00802421">
        <w:t xml:space="preserve"> from a total of </w:t>
      </w:r>
      <w:r w:rsidR="00576688">
        <w:t>1,</w:t>
      </w:r>
      <w:r w:rsidR="00315629">
        <w:t>375</w:t>
      </w:r>
      <w:r w:rsidR="00F7194B">
        <w:t xml:space="preserve"> </w:t>
      </w:r>
      <w:r w:rsidR="009931B8">
        <w:t>individuals</w:t>
      </w:r>
      <w:r>
        <w:t xml:space="preserve">. </w:t>
      </w:r>
      <w:r w:rsidR="00475D10">
        <w:t xml:space="preserve">  </w:t>
      </w:r>
      <w:r w:rsidR="005645D1">
        <w:t>This includes</w:t>
      </w:r>
      <w:r>
        <w:t xml:space="preserve"> a burden estimate for</w:t>
      </w:r>
      <w:r w:rsidR="009931B8">
        <w:t xml:space="preserve"> </w:t>
      </w:r>
      <w:r w:rsidR="007834FE">
        <w:t xml:space="preserve">the office manager or other administrative staff </w:t>
      </w:r>
      <w:r w:rsidR="009931B8">
        <w:t xml:space="preserve">person who answers the telephone at the </w:t>
      </w:r>
      <w:r w:rsidR="007834FE">
        <w:t xml:space="preserve">sampled </w:t>
      </w:r>
      <w:r w:rsidR="009931B8">
        <w:t>oncology physic</w:t>
      </w:r>
      <w:r w:rsidR="006201A4">
        <w:t>i</w:t>
      </w:r>
      <w:r w:rsidR="009931B8">
        <w:t xml:space="preserve">an’s office (referred to as </w:t>
      </w:r>
      <w:r w:rsidR="007834FE">
        <w:t xml:space="preserve">the </w:t>
      </w:r>
      <w:r w:rsidR="009931B8">
        <w:t>receptionist in Table A.12.1) and the oncology physic</w:t>
      </w:r>
      <w:r w:rsidR="006201A4">
        <w:t>i</w:t>
      </w:r>
      <w:r w:rsidR="009931B8">
        <w:t xml:space="preserve">ans who are completing </w:t>
      </w:r>
      <w:r w:rsidR="00CD1365">
        <w:t>a</w:t>
      </w:r>
      <w:r>
        <w:t xml:space="preserve"> pilot study </w:t>
      </w:r>
      <w:r w:rsidR="009931B8">
        <w:t>(</w:t>
      </w:r>
      <w:r w:rsidR="00552401">
        <w:t xml:space="preserve">175 </w:t>
      </w:r>
      <w:r>
        <w:t>respondents</w:t>
      </w:r>
      <w:r w:rsidR="009931B8">
        <w:t>)</w:t>
      </w:r>
      <w:r>
        <w:t xml:space="preserve">, the main study </w:t>
      </w:r>
      <w:r w:rsidR="009931B8">
        <w:t>(</w:t>
      </w:r>
      <w:r w:rsidR="00552401">
        <w:t>600</w:t>
      </w:r>
      <w:r>
        <w:t xml:space="preserve"> respondents</w:t>
      </w:r>
      <w:r w:rsidR="009931B8">
        <w:t>)</w:t>
      </w:r>
      <w:r>
        <w:t xml:space="preserve">, and a nonresponse follow-back survey </w:t>
      </w:r>
      <w:r w:rsidR="009931B8">
        <w:t>(</w:t>
      </w:r>
      <w:r w:rsidR="00F7194B">
        <w:t xml:space="preserve">143 </w:t>
      </w:r>
      <w:r>
        <w:t>respondents</w:t>
      </w:r>
      <w:r w:rsidR="009931B8">
        <w:t>)</w:t>
      </w:r>
      <w:r>
        <w:t>.</w:t>
      </w:r>
      <w:r w:rsidR="009931B8">
        <w:t xml:space="preserve"> </w:t>
      </w:r>
      <w:r>
        <w:t xml:space="preserve"> </w:t>
      </w:r>
      <w:r w:rsidR="009931B8">
        <w:t xml:space="preserve">The initial telephone screener call is estimated to take 3 minutes.  </w:t>
      </w:r>
      <w:r>
        <w:t xml:space="preserve">The pilot and full study are assumed to take 20 minutes on average to complete. We estimate that the one-page follow-back survey </w:t>
      </w:r>
      <w:r w:rsidR="00D22E5F">
        <w:t xml:space="preserve">(see </w:t>
      </w:r>
      <w:r w:rsidR="00D22E5F" w:rsidRPr="00D22E5F">
        <w:rPr>
          <w:b/>
        </w:rPr>
        <w:t>Attachment E</w:t>
      </w:r>
      <w:r w:rsidR="00D22E5F">
        <w:t xml:space="preserve">) </w:t>
      </w:r>
      <w:r>
        <w:t>will take 5 minutes to complete.</w:t>
      </w:r>
      <w:bookmarkEnd w:id="25"/>
      <w:r w:rsidR="005645D1">
        <w:t xml:space="preserve"> </w:t>
      </w:r>
      <w:r w:rsidR="001B0BD7">
        <w:t xml:space="preserve"> The telephone reminder (</w:t>
      </w:r>
      <w:r w:rsidR="001B0BD7">
        <w:rPr>
          <w:b/>
        </w:rPr>
        <w:t>Attachment D)</w:t>
      </w:r>
      <w:r w:rsidR="001B0BD7">
        <w:t xml:space="preserve"> will take approximately 5 minutes.</w:t>
      </w:r>
      <w:r w:rsidR="002D5B8C">
        <w:t xml:space="preserve"> </w:t>
      </w:r>
      <w:r w:rsidR="00ED3AC3">
        <w:t xml:space="preserve"> </w:t>
      </w:r>
      <w:r w:rsidR="005645D1">
        <w:t xml:space="preserve">The annualized burden hours are summarized in Table A.12.1.  </w:t>
      </w:r>
      <w:r w:rsidR="00225BC4">
        <w:t xml:space="preserve"> This study is will take place over two years.</w:t>
      </w:r>
    </w:p>
    <w:p w14:paraId="0E0E53C2" w14:textId="2D1991E6" w:rsidR="009810A0" w:rsidRDefault="002E2720" w:rsidP="002E2720">
      <w:pPr>
        <w:spacing w:after="20"/>
        <w:jc w:val="center"/>
        <w:rPr>
          <w:b/>
        </w:rPr>
      </w:pPr>
      <w:r>
        <w:rPr>
          <w:b/>
        </w:rPr>
        <w:t xml:space="preserve">Table </w:t>
      </w:r>
      <w:r w:rsidR="00384166">
        <w:rPr>
          <w:b/>
        </w:rPr>
        <w:t>A.</w:t>
      </w:r>
      <w:r w:rsidR="00CD1365">
        <w:rPr>
          <w:b/>
        </w:rPr>
        <w:t>1</w:t>
      </w:r>
      <w:r w:rsidR="005645D1">
        <w:rPr>
          <w:b/>
        </w:rPr>
        <w:t>2</w:t>
      </w:r>
      <w:r w:rsidR="00CD1365">
        <w:rPr>
          <w:b/>
        </w:rPr>
        <w:t>-</w:t>
      </w:r>
      <w:r>
        <w:rPr>
          <w:b/>
        </w:rPr>
        <w:t>1</w:t>
      </w:r>
      <w:r w:rsidR="009810A0" w:rsidRPr="00113647">
        <w:rPr>
          <w:b/>
        </w:rPr>
        <w:t xml:space="preserve"> Estimate</w:t>
      </w:r>
      <w:r w:rsidR="009810A0">
        <w:rPr>
          <w:b/>
        </w:rPr>
        <w:t>d Annualized Burden Hours</w:t>
      </w:r>
    </w:p>
    <w:p w14:paraId="56AFEBC1" w14:textId="77777777" w:rsidR="009810A0" w:rsidRDefault="009810A0" w:rsidP="009810A0">
      <w:pPr>
        <w:spacing w:after="20"/>
        <w:rPr>
          <w:b/>
        </w:rPr>
      </w:pPr>
    </w:p>
    <w:tbl>
      <w:tblPr>
        <w:tblW w:w="8562" w:type="dxa"/>
        <w:jc w:val="center"/>
        <w:tblLayout w:type="fixed"/>
        <w:tblCellMar>
          <w:left w:w="100" w:type="dxa"/>
          <w:right w:w="100" w:type="dxa"/>
        </w:tblCellMar>
        <w:tblLook w:val="0000" w:firstRow="0" w:lastRow="0" w:firstColumn="0" w:lastColumn="0" w:noHBand="0" w:noVBand="0"/>
      </w:tblPr>
      <w:tblGrid>
        <w:gridCol w:w="1792"/>
        <w:gridCol w:w="1440"/>
        <w:gridCol w:w="1440"/>
        <w:gridCol w:w="1429"/>
        <w:gridCol w:w="1315"/>
        <w:gridCol w:w="1146"/>
      </w:tblGrid>
      <w:tr w:rsidR="009810A0" w:rsidRPr="005C4474" w14:paraId="6B13EF1A" w14:textId="77777777" w:rsidTr="005C4474">
        <w:trPr>
          <w:cantSplit/>
          <w:trHeight w:val="372"/>
          <w:jc w:val="center"/>
        </w:trPr>
        <w:tc>
          <w:tcPr>
            <w:tcW w:w="1792" w:type="dxa"/>
            <w:tcBorders>
              <w:top w:val="single" w:sz="6" w:space="0" w:color="auto"/>
              <w:left w:val="single" w:sz="6" w:space="0" w:color="auto"/>
            </w:tcBorders>
            <w:vAlign w:val="center"/>
          </w:tcPr>
          <w:p w14:paraId="718B1E33" w14:textId="3D6219CC" w:rsidR="009810A0" w:rsidRPr="005C4474" w:rsidRDefault="009810A0" w:rsidP="005C4474">
            <w:pPr>
              <w:jc w:val="center"/>
              <w:rPr>
                <w:b/>
              </w:rPr>
            </w:pPr>
            <w:r w:rsidRPr="005C4474">
              <w:rPr>
                <w:b/>
              </w:rPr>
              <w:t>Form Name</w:t>
            </w:r>
          </w:p>
        </w:tc>
        <w:tc>
          <w:tcPr>
            <w:tcW w:w="1440" w:type="dxa"/>
            <w:tcBorders>
              <w:top w:val="single" w:sz="6" w:space="0" w:color="auto"/>
              <w:left w:val="single" w:sz="6" w:space="0" w:color="auto"/>
            </w:tcBorders>
            <w:vAlign w:val="center"/>
          </w:tcPr>
          <w:p w14:paraId="01127920" w14:textId="77777777" w:rsidR="009810A0" w:rsidRPr="005C4474" w:rsidRDefault="009810A0" w:rsidP="005C4474">
            <w:pPr>
              <w:jc w:val="center"/>
              <w:rPr>
                <w:b/>
              </w:rPr>
            </w:pPr>
            <w:r w:rsidRPr="005C4474">
              <w:rPr>
                <w:b/>
              </w:rPr>
              <w:t>Type of Respondent</w:t>
            </w:r>
          </w:p>
        </w:tc>
        <w:tc>
          <w:tcPr>
            <w:tcW w:w="1440" w:type="dxa"/>
            <w:tcBorders>
              <w:top w:val="single" w:sz="6" w:space="0" w:color="auto"/>
              <w:left w:val="single" w:sz="6" w:space="0" w:color="auto"/>
            </w:tcBorders>
            <w:vAlign w:val="center"/>
          </w:tcPr>
          <w:p w14:paraId="3CBD77FF" w14:textId="77777777" w:rsidR="009810A0" w:rsidRPr="005C4474" w:rsidRDefault="009810A0" w:rsidP="005C4474">
            <w:pPr>
              <w:jc w:val="center"/>
              <w:rPr>
                <w:b/>
              </w:rPr>
            </w:pPr>
            <w:r w:rsidRPr="005C4474">
              <w:rPr>
                <w:b/>
              </w:rPr>
              <w:t>Number of Respondents</w:t>
            </w:r>
          </w:p>
        </w:tc>
        <w:tc>
          <w:tcPr>
            <w:tcW w:w="1429" w:type="dxa"/>
            <w:tcBorders>
              <w:top w:val="single" w:sz="6" w:space="0" w:color="auto"/>
              <w:left w:val="single" w:sz="6" w:space="0" w:color="auto"/>
            </w:tcBorders>
            <w:vAlign w:val="center"/>
          </w:tcPr>
          <w:p w14:paraId="4BB15465" w14:textId="77777777" w:rsidR="009810A0" w:rsidRPr="005C4474" w:rsidRDefault="009810A0" w:rsidP="005C4474">
            <w:pPr>
              <w:jc w:val="center"/>
              <w:rPr>
                <w:b/>
              </w:rPr>
            </w:pPr>
            <w:r w:rsidRPr="005C4474">
              <w:rPr>
                <w:b/>
              </w:rPr>
              <w:t>Number of Responses per Respondent</w:t>
            </w:r>
          </w:p>
        </w:tc>
        <w:tc>
          <w:tcPr>
            <w:tcW w:w="1315" w:type="dxa"/>
            <w:tcBorders>
              <w:top w:val="single" w:sz="6" w:space="0" w:color="auto"/>
              <w:left w:val="single" w:sz="6" w:space="0" w:color="auto"/>
            </w:tcBorders>
            <w:vAlign w:val="center"/>
          </w:tcPr>
          <w:p w14:paraId="1F3AE6DE" w14:textId="7784787A" w:rsidR="009810A0" w:rsidRPr="005C4474" w:rsidRDefault="009810A0" w:rsidP="005C4474">
            <w:pPr>
              <w:jc w:val="center"/>
              <w:rPr>
                <w:b/>
              </w:rPr>
            </w:pPr>
            <w:r w:rsidRPr="005C4474">
              <w:rPr>
                <w:b/>
              </w:rPr>
              <w:t>Average Burden  Per Response (in hours)</w:t>
            </w:r>
          </w:p>
        </w:tc>
        <w:tc>
          <w:tcPr>
            <w:tcW w:w="1146" w:type="dxa"/>
            <w:tcBorders>
              <w:top w:val="single" w:sz="6" w:space="0" w:color="auto"/>
              <w:left w:val="single" w:sz="6" w:space="0" w:color="auto"/>
              <w:right w:val="single" w:sz="6" w:space="0" w:color="auto"/>
            </w:tcBorders>
            <w:vAlign w:val="center"/>
          </w:tcPr>
          <w:p w14:paraId="31B79676" w14:textId="300EEA90" w:rsidR="009810A0" w:rsidRPr="005C4474" w:rsidRDefault="009810A0" w:rsidP="005C4474">
            <w:pPr>
              <w:jc w:val="center"/>
              <w:rPr>
                <w:b/>
              </w:rPr>
            </w:pPr>
            <w:r w:rsidRPr="005C4474">
              <w:rPr>
                <w:b/>
              </w:rPr>
              <w:t>Total Annual  Burden Hour</w:t>
            </w:r>
          </w:p>
        </w:tc>
      </w:tr>
      <w:tr w:rsidR="00C82426" w:rsidRPr="008942E9" w14:paraId="2BD1E62C" w14:textId="77777777" w:rsidTr="00592B93">
        <w:trPr>
          <w:cantSplit/>
          <w:trHeight w:val="372"/>
          <w:jc w:val="center"/>
        </w:trPr>
        <w:tc>
          <w:tcPr>
            <w:tcW w:w="1792" w:type="dxa"/>
            <w:tcBorders>
              <w:top w:val="single" w:sz="6" w:space="0" w:color="auto"/>
              <w:left w:val="single" w:sz="6" w:space="0" w:color="auto"/>
            </w:tcBorders>
          </w:tcPr>
          <w:p w14:paraId="5E1C9B63" w14:textId="77777777" w:rsidR="00C82426" w:rsidRDefault="00C82426" w:rsidP="009667B2">
            <w:r>
              <w:t xml:space="preserve">Telephone </w:t>
            </w:r>
            <w:r w:rsidR="00015181">
              <w:t>S</w:t>
            </w:r>
            <w:r>
              <w:t>creener</w:t>
            </w:r>
          </w:p>
          <w:p w14:paraId="2B14AB97" w14:textId="4D7AF789" w:rsidR="001A6E80" w:rsidRPr="00D462AD" w:rsidRDefault="001A6E80" w:rsidP="009667B2">
            <w:r>
              <w:t>(Attachment B)</w:t>
            </w:r>
          </w:p>
        </w:tc>
        <w:tc>
          <w:tcPr>
            <w:tcW w:w="1440" w:type="dxa"/>
            <w:tcBorders>
              <w:top w:val="single" w:sz="6" w:space="0" w:color="auto"/>
              <w:left w:val="single" w:sz="6" w:space="0" w:color="auto"/>
            </w:tcBorders>
          </w:tcPr>
          <w:p w14:paraId="5307822B" w14:textId="41F2C301" w:rsidR="00C82426" w:rsidRDefault="00C82426" w:rsidP="009667B2">
            <w:r>
              <w:t>Receptionist</w:t>
            </w:r>
            <w:r w:rsidR="00576688">
              <w:t>s</w:t>
            </w:r>
          </w:p>
        </w:tc>
        <w:tc>
          <w:tcPr>
            <w:tcW w:w="1440" w:type="dxa"/>
            <w:tcBorders>
              <w:top w:val="single" w:sz="6" w:space="0" w:color="auto"/>
              <w:left w:val="single" w:sz="6" w:space="0" w:color="auto"/>
            </w:tcBorders>
            <w:vAlign w:val="center"/>
          </w:tcPr>
          <w:p w14:paraId="62197BF1" w14:textId="4BC39D27" w:rsidR="00C82426" w:rsidRDefault="00C82426" w:rsidP="00CD1365">
            <w:pPr>
              <w:jc w:val="center"/>
            </w:pPr>
            <w:r>
              <w:t>775</w:t>
            </w:r>
          </w:p>
        </w:tc>
        <w:tc>
          <w:tcPr>
            <w:tcW w:w="1429" w:type="dxa"/>
            <w:tcBorders>
              <w:top w:val="single" w:sz="6" w:space="0" w:color="auto"/>
              <w:left w:val="single" w:sz="6" w:space="0" w:color="auto"/>
            </w:tcBorders>
            <w:vAlign w:val="center"/>
          </w:tcPr>
          <w:p w14:paraId="06B4C1F8" w14:textId="42A34350" w:rsidR="00C82426" w:rsidRPr="00F26EEC" w:rsidRDefault="00C82426" w:rsidP="00591B59">
            <w:pPr>
              <w:jc w:val="center"/>
            </w:pPr>
            <w:r>
              <w:t>1</w:t>
            </w:r>
          </w:p>
        </w:tc>
        <w:tc>
          <w:tcPr>
            <w:tcW w:w="1315" w:type="dxa"/>
            <w:tcBorders>
              <w:top w:val="single" w:sz="6" w:space="0" w:color="auto"/>
              <w:left w:val="single" w:sz="6" w:space="0" w:color="auto"/>
            </w:tcBorders>
            <w:vAlign w:val="center"/>
          </w:tcPr>
          <w:p w14:paraId="5F81EC68" w14:textId="2715A220" w:rsidR="00C82426" w:rsidRPr="00F26EEC" w:rsidRDefault="00C82426" w:rsidP="00591B59">
            <w:pPr>
              <w:jc w:val="center"/>
            </w:pPr>
            <w:r>
              <w:t>3/60</w:t>
            </w:r>
          </w:p>
        </w:tc>
        <w:tc>
          <w:tcPr>
            <w:tcW w:w="1146" w:type="dxa"/>
            <w:tcBorders>
              <w:top w:val="single" w:sz="6" w:space="0" w:color="auto"/>
              <w:left w:val="single" w:sz="6" w:space="0" w:color="auto"/>
              <w:right w:val="single" w:sz="6" w:space="0" w:color="auto"/>
            </w:tcBorders>
            <w:vAlign w:val="center"/>
          </w:tcPr>
          <w:p w14:paraId="16573D28" w14:textId="089CC103" w:rsidR="00C82426" w:rsidRDefault="00C82426" w:rsidP="00591B59">
            <w:pPr>
              <w:jc w:val="center"/>
            </w:pPr>
            <w:r>
              <w:t>39</w:t>
            </w:r>
          </w:p>
        </w:tc>
      </w:tr>
      <w:tr w:rsidR="009810A0" w:rsidRPr="008942E9" w14:paraId="1AE3E8C1" w14:textId="77777777" w:rsidTr="00592B93">
        <w:trPr>
          <w:cantSplit/>
          <w:trHeight w:val="372"/>
          <w:jc w:val="center"/>
        </w:trPr>
        <w:tc>
          <w:tcPr>
            <w:tcW w:w="1792" w:type="dxa"/>
            <w:tcBorders>
              <w:top w:val="single" w:sz="6" w:space="0" w:color="auto"/>
              <w:left w:val="single" w:sz="6" w:space="0" w:color="auto"/>
            </w:tcBorders>
          </w:tcPr>
          <w:p w14:paraId="1B1F7821" w14:textId="77777777" w:rsidR="009810A0" w:rsidRDefault="008A247A" w:rsidP="009667B2">
            <w:r w:rsidRPr="00D462AD">
              <w:t>Precision Medicine Survey – Pilot Study</w:t>
            </w:r>
          </w:p>
          <w:p w14:paraId="76C8A829" w14:textId="1FC14885" w:rsidR="001A6E80" w:rsidRPr="00D462AD" w:rsidRDefault="001A6E80" w:rsidP="009667B2">
            <w:r>
              <w:t>(Attachment A</w:t>
            </w:r>
            <w:r w:rsidR="00C1760A">
              <w:t xml:space="preserve"> or J</w:t>
            </w:r>
            <w:r>
              <w:t>)</w:t>
            </w:r>
          </w:p>
        </w:tc>
        <w:tc>
          <w:tcPr>
            <w:tcW w:w="1440" w:type="dxa"/>
            <w:tcBorders>
              <w:top w:val="single" w:sz="6" w:space="0" w:color="auto"/>
              <w:left w:val="single" w:sz="6" w:space="0" w:color="auto"/>
            </w:tcBorders>
          </w:tcPr>
          <w:p w14:paraId="0AE82682" w14:textId="34167FD7" w:rsidR="009810A0" w:rsidRPr="00D462AD" w:rsidRDefault="00591B59" w:rsidP="009667B2">
            <w:r>
              <w:t>Oncology Physicians</w:t>
            </w:r>
          </w:p>
        </w:tc>
        <w:tc>
          <w:tcPr>
            <w:tcW w:w="1440" w:type="dxa"/>
            <w:tcBorders>
              <w:top w:val="single" w:sz="6" w:space="0" w:color="auto"/>
              <w:left w:val="single" w:sz="6" w:space="0" w:color="auto"/>
            </w:tcBorders>
            <w:vAlign w:val="center"/>
          </w:tcPr>
          <w:p w14:paraId="0719F537" w14:textId="0E2DC718" w:rsidR="009810A0" w:rsidRPr="00F26EEC" w:rsidRDefault="005645D1" w:rsidP="00CD1365">
            <w:pPr>
              <w:jc w:val="center"/>
            </w:pPr>
            <w:r>
              <w:t>175</w:t>
            </w:r>
          </w:p>
        </w:tc>
        <w:tc>
          <w:tcPr>
            <w:tcW w:w="1429" w:type="dxa"/>
            <w:tcBorders>
              <w:top w:val="single" w:sz="6" w:space="0" w:color="auto"/>
              <w:left w:val="single" w:sz="6" w:space="0" w:color="auto"/>
            </w:tcBorders>
            <w:vAlign w:val="center"/>
          </w:tcPr>
          <w:p w14:paraId="09E0E400" w14:textId="77777777" w:rsidR="009810A0" w:rsidRPr="00F26EEC" w:rsidRDefault="009810A0" w:rsidP="00591B59">
            <w:pPr>
              <w:jc w:val="center"/>
            </w:pPr>
            <w:r w:rsidRPr="00F26EEC">
              <w:t>1</w:t>
            </w:r>
          </w:p>
        </w:tc>
        <w:tc>
          <w:tcPr>
            <w:tcW w:w="1315" w:type="dxa"/>
            <w:tcBorders>
              <w:top w:val="single" w:sz="6" w:space="0" w:color="auto"/>
              <w:left w:val="single" w:sz="6" w:space="0" w:color="auto"/>
            </w:tcBorders>
            <w:vAlign w:val="center"/>
          </w:tcPr>
          <w:p w14:paraId="13977D24" w14:textId="773D000B" w:rsidR="009810A0" w:rsidRPr="00F26EEC" w:rsidRDefault="008A247A" w:rsidP="00591B59">
            <w:pPr>
              <w:jc w:val="center"/>
            </w:pPr>
            <w:r w:rsidRPr="00F26EEC">
              <w:t>20/60</w:t>
            </w:r>
          </w:p>
        </w:tc>
        <w:tc>
          <w:tcPr>
            <w:tcW w:w="1146" w:type="dxa"/>
            <w:tcBorders>
              <w:top w:val="single" w:sz="6" w:space="0" w:color="auto"/>
              <w:left w:val="single" w:sz="6" w:space="0" w:color="auto"/>
              <w:right w:val="single" w:sz="6" w:space="0" w:color="auto"/>
            </w:tcBorders>
            <w:vAlign w:val="center"/>
          </w:tcPr>
          <w:p w14:paraId="35A876D7" w14:textId="2FA5AEA4" w:rsidR="009810A0" w:rsidRPr="00F26EEC" w:rsidRDefault="005645D1" w:rsidP="00591B59">
            <w:pPr>
              <w:jc w:val="center"/>
            </w:pPr>
            <w:r>
              <w:t>58</w:t>
            </w:r>
          </w:p>
        </w:tc>
      </w:tr>
      <w:tr w:rsidR="009810A0" w:rsidRPr="008942E9" w14:paraId="7AD37161" w14:textId="77777777" w:rsidTr="00592B93">
        <w:trPr>
          <w:cantSplit/>
          <w:trHeight w:val="372"/>
          <w:jc w:val="center"/>
        </w:trPr>
        <w:tc>
          <w:tcPr>
            <w:tcW w:w="1792" w:type="dxa"/>
            <w:tcBorders>
              <w:top w:val="single" w:sz="6" w:space="0" w:color="auto"/>
              <w:left w:val="single" w:sz="6" w:space="0" w:color="auto"/>
            </w:tcBorders>
          </w:tcPr>
          <w:p w14:paraId="0B0ACF09" w14:textId="77777777" w:rsidR="009810A0" w:rsidRDefault="008A247A" w:rsidP="009667B2">
            <w:r w:rsidRPr="00D462AD">
              <w:t>Precision Medicine Survey –    Full Study</w:t>
            </w:r>
          </w:p>
          <w:p w14:paraId="3464F501" w14:textId="3693428F" w:rsidR="001A6E80" w:rsidRPr="00D462AD" w:rsidRDefault="001A6E80" w:rsidP="009667B2">
            <w:r>
              <w:t>(Attachment A</w:t>
            </w:r>
            <w:r w:rsidR="00C1760A">
              <w:t xml:space="preserve"> or J</w:t>
            </w:r>
            <w:r>
              <w:t>)</w:t>
            </w:r>
          </w:p>
        </w:tc>
        <w:tc>
          <w:tcPr>
            <w:tcW w:w="1440" w:type="dxa"/>
            <w:tcBorders>
              <w:top w:val="single" w:sz="6" w:space="0" w:color="auto"/>
              <w:left w:val="single" w:sz="6" w:space="0" w:color="auto"/>
            </w:tcBorders>
          </w:tcPr>
          <w:p w14:paraId="2017E661" w14:textId="69D42401" w:rsidR="009810A0" w:rsidRPr="00D462AD" w:rsidRDefault="00591B59" w:rsidP="008A247A">
            <w:r>
              <w:t>Oncology Physicians</w:t>
            </w:r>
          </w:p>
        </w:tc>
        <w:tc>
          <w:tcPr>
            <w:tcW w:w="1440" w:type="dxa"/>
            <w:tcBorders>
              <w:top w:val="single" w:sz="6" w:space="0" w:color="auto"/>
              <w:left w:val="single" w:sz="6" w:space="0" w:color="auto"/>
            </w:tcBorders>
            <w:vAlign w:val="center"/>
          </w:tcPr>
          <w:p w14:paraId="4FEDE7DC" w14:textId="61633D77" w:rsidR="009810A0" w:rsidRPr="00D462AD" w:rsidRDefault="005645D1" w:rsidP="00591B59">
            <w:pPr>
              <w:jc w:val="center"/>
            </w:pPr>
            <w:r>
              <w:t>600</w:t>
            </w:r>
          </w:p>
        </w:tc>
        <w:tc>
          <w:tcPr>
            <w:tcW w:w="1429" w:type="dxa"/>
            <w:tcBorders>
              <w:top w:val="single" w:sz="6" w:space="0" w:color="auto"/>
              <w:left w:val="single" w:sz="6" w:space="0" w:color="auto"/>
            </w:tcBorders>
            <w:vAlign w:val="center"/>
          </w:tcPr>
          <w:p w14:paraId="74E4CDD7" w14:textId="77777777" w:rsidR="009810A0" w:rsidRPr="00D462AD" w:rsidRDefault="009810A0" w:rsidP="00591B59">
            <w:pPr>
              <w:jc w:val="center"/>
            </w:pPr>
            <w:r w:rsidRPr="00D462AD">
              <w:t>1</w:t>
            </w:r>
          </w:p>
        </w:tc>
        <w:tc>
          <w:tcPr>
            <w:tcW w:w="1315" w:type="dxa"/>
            <w:tcBorders>
              <w:top w:val="single" w:sz="6" w:space="0" w:color="auto"/>
              <w:left w:val="single" w:sz="6" w:space="0" w:color="auto"/>
            </w:tcBorders>
            <w:vAlign w:val="center"/>
          </w:tcPr>
          <w:p w14:paraId="08B9B907" w14:textId="3A22675F" w:rsidR="009810A0" w:rsidRPr="00D462AD" w:rsidRDefault="008A247A" w:rsidP="00591B59">
            <w:pPr>
              <w:jc w:val="center"/>
            </w:pPr>
            <w:r w:rsidRPr="00D462AD">
              <w:t>20/60</w:t>
            </w:r>
          </w:p>
        </w:tc>
        <w:tc>
          <w:tcPr>
            <w:tcW w:w="1146" w:type="dxa"/>
            <w:tcBorders>
              <w:top w:val="single" w:sz="6" w:space="0" w:color="auto"/>
              <w:left w:val="single" w:sz="6" w:space="0" w:color="auto"/>
              <w:right w:val="single" w:sz="6" w:space="0" w:color="auto"/>
            </w:tcBorders>
            <w:vAlign w:val="center"/>
          </w:tcPr>
          <w:p w14:paraId="57FC0833" w14:textId="7C3EC1C1" w:rsidR="009810A0" w:rsidRPr="00D462AD" w:rsidRDefault="005645D1" w:rsidP="00591B59">
            <w:pPr>
              <w:jc w:val="center"/>
            </w:pPr>
            <w:r>
              <w:t>200</w:t>
            </w:r>
          </w:p>
        </w:tc>
      </w:tr>
      <w:tr w:rsidR="009810A0" w:rsidRPr="008942E9" w14:paraId="494AE376" w14:textId="77777777" w:rsidTr="00592B93">
        <w:trPr>
          <w:cantSplit/>
          <w:trHeight w:val="372"/>
          <w:jc w:val="center"/>
        </w:trPr>
        <w:tc>
          <w:tcPr>
            <w:tcW w:w="1792" w:type="dxa"/>
            <w:tcBorders>
              <w:top w:val="single" w:sz="6" w:space="0" w:color="auto"/>
              <w:left w:val="single" w:sz="6" w:space="0" w:color="auto"/>
              <w:bottom w:val="single" w:sz="6" w:space="0" w:color="auto"/>
            </w:tcBorders>
          </w:tcPr>
          <w:p w14:paraId="3130D644" w14:textId="77777777" w:rsidR="009810A0" w:rsidRDefault="007834FE" w:rsidP="009667B2">
            <w:r>
              <w:lastRenderedPageBreak/>
              <w:t xml:space="preserve">Non-response </w:t>
            </w:r>
            <w:r w:rsidR="008A247A" w:rsidRPr="00D462AD">
              <w:t>Follow-back Survey</w:t>
            </w:r>
          </w:p>
          <w:p w14:paraId="1CB182D0" w14:textId="30CAD678" w:rsidR="001A6E80" w:rsidRPr="00D462AD" w:rsidRDefault="001A6E80" w:rsidP="009667B2">
            <w:r>
              <w:t>(Attachment E)</w:t>
            </w:r>
          </w:p>
        </w:tc>
        <w:tc>
          <w:tcPr>
            <w:tcW w:w="1440" w:type="dxa"/>
            <w:tcBorders>
              <w:top w:val="single" w:sz="6" w:space="0" w:color="auto"/>
              <w:left w:val="single" w:sz="6" w:space="0" w:color="auto"/>
              <w:bottom w:val="single" w:sz="6" w:space="0" w:color="auto"/>
            </w:tcBorders>
          </w:tcPr>
          <w:p w14:paraId="60F420AE" w14:textId="703991D1" w:rsidR="009810A0" w:rsidRPr="00D462AD" w:rsidRDefault="00591B59" w:rsidP="00070C6D">
            <w:r>
              <w:t>Oncology Physicians</w:t>
            </w:r>
          </w:p>
        </w:tc>
        <w:tc>
          <w:tcPr>
            <w:tcW w:w="1440" w:type="dxa"/>
            <w:tcBorders>
              <w:top w:val="single" w:sz="6" w:space="0" w:color="auto"/>
              <w:left w:val="single" w:sz="6" w:space="0" w:color="auto"/>
              <w:bottom w:val="single" w:sz="6" w:space="0" w:color="auto"/>
            </w:tcBorders>
            <w:vAlign w:val="center"/>
          </w:tcPr>
          <w:p w14:paraId="1096991E" w14:textId="5B3E5415" w:rsidR="009810A0" w:rsidRPr="0010154F" w:rsidRDefault="00F7194B" w:rsidP="00591B59">
            <w:pPr>
              <w:jc w:val="center"/>
            </w:pPr>
            <w:r>
              <w:t>143</w:t>
            </w:r>
          </w:p>
        </w:tc>
        <w:tc>
          <w:tcPr>
            <w:tcW w:w="1429" w:type="dxa"/>
            <w:tcBorders>
              <w:top w:val="single" w:sz="6" w:space="0" w:color="auto"/>
              <w:left w:val="single" w:sz="6" w:space="0" w:color="auto"/>
              <w:bottom w:val="single" w:sz="6" w:space="0" w:color="auto"/>
            </w:tcBorders>
            <w:vAlign w:val="center"/>
          </w:tcPr>
          <w:p w14:paraId="7C7CC892" w14:textId="1320221B" w:rsidR="009810A0" w:rsidRPr="00BE5466" w:rsidRDefault="008A247A" w:rsidP="00591B59">
            <w:pPr>
              <w:jc w:val="center"/>
            </w:pPr>
            <w:r w:rsidRPr="00BE5466">
              <w:t>1</w:t>
            </w:r>
          </w:p>
        </w:tc>
        <w:tc>
          <w:tcPr>
            <w:tcW w:w="1315" w:type="dxa"/>
            <w:tcBorders>
              <w:top w:val="single" w:sz="6" w:space="0" w:color="auto"/>
              <w:left w:val="single" w:sz="6" w:space="0" w:color="auto"/>
              <w:bottom w:val="single" w:sz="6" w:space="0" w:color="auto"/>
            </w:tcBorders>
            <w:vAlign w:val="center"/>
          </w:tcPr>
          <w:p w14:paraId="37F01DB7" w14:textId="46C66765" w:rsidR="0010154F" w:rsidRPr="004F2849" w:rsidRDefault="0010154F" w:rsidP="004F2849"/>
          <w:p w14:paraId="66910837" w14:textId="3D817F42" w:rsidR="0010154F" w:rsidRPr="004F2849" w:rsidRDefault="00F7194B" w:rsidP="00591B59">
            <w:pPr>
              <w:jc w:val="center"/>
            </w:pPr>
            <w:r>
              <w:t>5</w:t>
            </w:r>
          </w:p>
          <w:p w14:paraId="5A277D7A" w14:textId="64F500CB" w:rsidR="009810A0" w:rsidRPr="0010154F" w:rsidRDefault="008A247A" w:rsidP="00591B59">
            <w:pPr>
              <w:jc w:val="center"/>
            </w:pPr>
            <w:r w:rsidRPr="0010154F">
              <w:t>/60</w:t>
            </w:r>
          </w:p>
        </w:tc>
        <w:tc>
          <w:tcPr>
            <w:tcW w:w="1146" w:type="dxa"/>
            <w:tcBorders>
              <w:top w:val="single" w:sz="6" w:space="0" w:color="auto"/>
              <w:left w:val="single" w:sz="6" w:space="0" w:color="auto"/>
              <w:bottom w:val="single" w:sz="6" w:space="0" w:color="auto"/>
              <w:right w:val="single" w:sz="6" w:space="0" w:color="auto"/>
            </w:tcBorders>
            <w:vAlign w:val="center"/>
          </w:tcPr>
          <w:p w14:paraId="380595A6" w14:textId="70FC7238" w:rsidR="009810A0" w:rsidRPr="0010154F" w:rsidRDefault="00F7194B" w:rsidP="00591B59">
            <w:pPr>
              <w:jc w:val="center"/>
            </w:pPr>
            <w:r>
              <w:t>12</w:t>
            </w:r>
          </w:p>
        </w:tc>
      </w:tr>
      <w:tr w:rsidR="001A6E80" w:rsidRPr="008942E9" w14:paraId="6144F602" w14:textId="77777777" w:rsidTr="00592B93">
        <w:trPr>
          <w:cantSplit/>
          <w:trHeight w:val="372"/>
          <w:jc w:val="center"/>
        </w:trPr>
        <w:tc>
          <w:tcPr>
            <w:tcW w:w="1792" w:type="dxa"/>
            <w:tcBorders>
              <w:top w:val="single" w:sz="6" w:space="0" w:color="auto"/>
              <w:left w:val="single" w:sz="6" w:space="0" w:color="auto"/>
              <w:bottom w:val="single" w:sz="6" w:space="0" w:color="auto"/>
            </w:tcBorders>
          </w:tcPr>
          <w:p w14:paraId="3FFAD4F3" w14:textId="524461A9" w:rsidR="001A6E80" w:rsidRDefault="001A6E80" w:rsidP="009667B2">
            <w:r w:rsidRPr="005C02B1">
              <w:t>Telephone Reminder Script</w:t>
            </w:r>
          </w:p>
          <w:p w14:paraId="4BCDC98F" w14:textId="720B8BB0" w:rsidR="001A6E80" w:rsidRDefault="001A6E80" w:rsidP="009667B2">
            <w:r>
              <w:t>(Attachment D)</w:t>
            </w:r>
          </w:p>
        </w:tc>
        <w:tc>
          <w:tcPr>
            <w:tcW w:w="1440" w:type="dxa"/>
            <w:tcBorders>
              <w:top w:val="single" w:sz="6" w:space="0" w:color="auto"/>
              <w:left w:val="single" w:sz="6" w:space="0" w:color="auto"/>
              <w:bottom w:val="single" w:sz="6" w:space="0" w:color="auto"/>
            </w:tcBorders>
          </w:tcPr>
          <w:p w14:paraId="30BA5E53" w14:textId="36419DA6" w:rsidR="001A6E80" w:rsidRDefault="001A6E80" w:rsidP="00070C6D">
            <w:r>
              <w:t>Receptionists</w:t>
            </w:r>
          </w:p>
        </w:tc>
        <w:tc>
          <w:tcPr>
            <w:tcW w:w="1440" w:type="dxa"/>
            <w:tcBorders>
              <w:top w:val="single" w:sz="6" w:space="0" w:color="auto"/>
              <w:left w:val="single" w:sz="6" w:space="0" w:color="auto"/>
              <w:bottom w:val="single" w:sz="6" w:space="0" w:color="auto"/>
            </w:tcBorders>
            <w:vAlign w:val="center"/>
          </w:tcPr>
          <w:p w14:paraId="78C154CA" w14:textId="2803A309" w:rsidR="001A6E80" w:rsidRDefault="001A6E80" w:rsidP="00591B59">
            <w:pPr>
              <w:jc w:val="center"/>
            </w:pPr>
            <w:r>
              <w:t>600</w:t>
            </w:r>
          </w:p>
        </w:tc>
        <w:tc>
          <w:tcPr>
            <w:tcW w:w="1429" w:type="dxa"/>
            <w:tcBorders>
              <w:top w:val="single" w:sz="6" w:space="0" w:color="auto"/>
              <w:left w:val="single" w:sz="6" w:space="0" w:color="auto"/>
              <w:bottom w:val="single" w:sz="6" w:space="0" w:color="auto"/>
            </w:tcBorders>
            <w:vAlign w:val="center"/>
          </w:tcPr>
          <w:p w14:paraId="2BDEC3E4" w14:textId="6B303622" w:rsidR="001A6E80" w:rsidRPr="00D462AD" w:rsidRDefault="001A6E80" w:rsidP="00591B59">
            <w:pPr>
              <w:jc w:val="center"/>
            </w:pPr>
            <w:r>
              <w:t>1</w:t>
            </w:r>
          </w:p>
        </w:tc>
        <w:tc>
          <w:tcPr>
            <w:tcW w:w="1315" w:type="dxa"/>
            <w:tcBorders>
              <w:top w:val="single" w:sz="6" w:space="0" w:color="auto"/>
              <w:left w:val="single" w:sz="6" w:space="0" w:color="auto"/>
              <w:bottom w:val="single" w:sz="6" w:space="0" w:color="auto"/>
            </w:tcBorders>
            <w:vAlign w:val="center"/>
          </w:tcPr>
          <w:p w14:paraId="1C0DDB12" w14:textId="22179511" w:rsidR="001A6E80" w:rsidRPr="00D462AD" w:rsidRDefault="001A6E80" w:rsidP="00591B59">
            <w:pPr>
              <w:jc w:val="center"/>
            </w:pPr>
            <w:r>
              <w:t>5/60</w:t>
            </w:r>
          </w:p>
        </w:tc>
        <w:tc>
          <w:tcPr>
            <w:tcW w:w="1146" w:type="dxa"/>
            <w:tcBorders>
              <w:top w:val="single" w:sz="6" w:space="0" w:color="auto"/>
              <w:left w:val="single" w:sz="6" w:space="0" w:color="auto"/>
              <w:bottom w:val="single" w:sz="6" w:space="0" w:color="auto"/>
              <w:right w:val="single" w:sz="6" w:space="0" w:color="auto"/>
            </w:tcBorders>
            <w:vAlign w:val="center"/>
          </w:tcPr>
          <w:p w14:paraId="5A9A01D4" w14:textId="39975771" w:rsidR="001A6E80" w:rsidRDefault="001A6E80" w:rsidP="00591B59">
            <w:pPr>
              <w:jc w:val="center"/>
            </w:pPr>
            <w:r>
              <w:t>50</w:t>
            </w:r>
          </w:p>
        </w:tc>
      </w:tr>
      <w:tr w:rsidR="00802421" w:rsidRPr="008942E9" w14:paraId="53F131D8" w14:textId="77777777" w:rsidTr="00592B93">
        <w:trPr>
          <w:cantSplit/>
          <w:trHeight w:val="372"/>
          <w:jc w:val="center"/>
        </w:trPr>
        <w:tc>
          <w:tcPr>
            <w:tcW w:w="3232" w:type="dxa"/>
            <w:gridSpan w:val="2"/>
            <w:tcBorders>
              <w:top w:val="single" w:sz="6" w:space="0" w:color="auto"/>
              <w:left w:val="single" w:sz="6" w:space="0" w:color="auto"/>
              <w:bottom w:val="single" w:sz="4" w:space="0" w:color="auto"/>
            </w:tcBorders>
          </w:tcPr>
          <w:p w14:paraId="3ED3A0AC" w14:textId="111AB8BC" w:rsidR="00802421" w:rsidRDefault="00802421" w:rsidP="00070C6D">
            <w:r>
              <w:t>Total</w:t>
            </w:r>
          </w:p>
        </w:tc>
        <w:tc>
          <w:tcPr>
            <w:tcW w:w="1440" w:type="dxa"/>
            <w:tcBorders>
              <w:top w:val="single" w:sz="6" w:space="0" w:color="auto"/>
              <w:left w:val="single" w:sz="6" w:space="0" w:color="auto"/>
              <w:bottom w:val="single" w:sz="4" w:space="0" w:color="auto"/>
            </w:tcBorders>
            <w:vAlign w:val="center"/>
          </w:tcPr>
          <w:p w14:paraId="57C7C98A" w14:textId="06B08ED6" w:rsidR="00802421" w:rsidRDefault="00315629" w:rsidP="00591B59">
            <w:pPr>
              <w:jc w:val="center"/>
            </w:pPr>
            <w:r>
              <w:t>1,375</w:t>
            </w:r>
          </w:p>
        </w:tc>
        <w:tc>
          <w:tcPr>
            <w:tcW w:w="1429" w:type="dxa"/>
            <w:tcBorders>
              <w:top w:val="single" w:sz="6" w:space="0" w:color="auto"/>
              <w:left w:val="single" w:sz="6" w:space="0" w:color="auto"/>
              <w:bottom w:val="single" w:sz="4" w:space="0" w:color="auto"/>
            </w:tcBorders>
            <w:vAlign w:val="center"/>
          </w:tcPr>
          <w:p w14:paraId="268B91EB" w14:textId="69D3DAD9" w:rsidR="00802421" w:rsidRPr="00D462AD" w:rsidRDefault="00E83BEF" w:rsidP="00591B59">
            <w:pPr>
              <w:jc w:val="center"/>
            </w:pPr>
            <w:r>
              <w:t>2,</w:t>
            </w:r>
            <w:r w:rsidR="00315629">
              <w:t>2</w:t>
            </w:r>
            <w:r>
              <w:t>9</w:t>
            </w:r>
            <w:r w:rsidR="00315629">
              <w:t>3</w:t>
            </w:r>
          </w:p>
        </w:tc>
        <w:tc>
          <w:tcPr>
            <w:tcW w:w="1315" w:type="dxa"/>
            <w:tcBorders>
              <w:top w:val="single" w:sz="6" w:space="0" w:color="auto"/>
              <w:left w:val="single" w:sz="6" w:space="0" w:color="auto"/>
              <w:bottom w:val="single" w:sz="4" w:space="0" w:color="auto"/>
            </w:tcBorders>
            <w:vAlign w:val="center"/>
          </w:tcPr>
          <w:p w14:paraId="5369B598" w14:textId="77777777" w:rsidR="00802421" w:rsidRPr="00D462AD" w:rsidRDefault="00802421" w:rsidP="00591B59">
            <w:pPr>
              <w:jc w:val="center"/>
            </w:pPr>
          </w:p>
        </w:tc>
        <w:tc>
          <w:tcPr>
            <w:tcW w:w="1146" w:type="dxa"/>
            <w:tcBorders>
              <w:top w:val="single" w:sz="6" w:space="0" w:color="auto"/>
              <w:left w:val="single" w:sz="6" w:space="0" w:color="auto"/>
              <w:bottom w:val="single" w:sz="4" w:space="0" w:color="auto"/>
              <w:right w:val="single" w:sz="6" w:space="0" w:color="auto"/>
            </w:tcBorders>
            <w:vAlign w:val="center"/>
          </w:tcPr>
          <w:p w14:paraId="19685E2A" w14:textId="1FDC9586" w:rsidR="00802421" w:rsidRDefault="0010154F">
            <w:pPr>
              <w:jc w:val="center"/>
            </w:pPr>
            <w:r>
              <w:t>35</w:t>
            </w:r>
            <w:r w:rsidR="00F7194B">
              <w:t>9</w:t>
            </w:r>
          </w:p>
        </w:tc>
      </w:tr>
    </w:tbl>
    <w:p w14:paraId="5904FDC2" w14:textId="77777777" w:rsidR="009810A0" w:rsidRDefault="009810A0" w:rsidP="009810A0">
      <w:pPr>
        <w:spacing w:after="20"/>
        <w:rPr>
          <w:b/>
        </w:rPr>
      </w:pPr>
    </w:p>
    <w:p w14:paraId="1104FA92" w14:textId="77777777" w:rsidR="00D22E5F" w:rsidRDefault="00D22E5F" w:rsidP="0086248B">
      <w:pPr>
        <w:spacing w:after="0" w:line="240" w:lineRule="auto"/>
        <w:rPr>
          <w:rFonts w:eastAsia="Times New Roman"/>
          <w:b/>
          <w:smallCaps/>
          <w:color w:val="000000"/>
        </w:rPr>
      </w:pPr>
    </w:p>
    <w:p w14:paraId="637A7CDD" w14:textId="51A90764" w:rsidR="00EE245F" w:rsidRDefault="005645D1" w:rsidP="0086248B">
      <w:pPr>
        <w:spacing w:after="0" w:line="240" w:lineRule="auto"/>
        <w:rPr>
          <w:rFonts w:eastAsia="Times New Roman"/>
          <w:b/>
          <w:smallCaps/>
          <w:color w:val="000000"/>
        </w:rPr>
      </w:pPr>
      <w:r>
        <w:rPr>
          <w:rFonts w:eastAsia="Times New Roman"/>
          <w:b/>
          <w:smallCaps/>
          <w:color w:val="000000"/>
        </w:rPr>
        <w:t>A.12.</w:t>
      </w:r>
      <w:r w:rsidR="00EE245F" w:rsidRPr="008942E9">
        <w:rPr>
          <w:rFonts w:eastAsia="Times New Roman"/>
          <w:b/>
          <w:smallCaps/>
          <w:color w:val="000000"/>
        </w:rPr>
        <w:t>2</w:t>
      </w:r>
      <w:r w:rsidR="00EE245F" w:rsidRPr="008942E9">
        <w:rPr>
          <w:rFonts w:eastAsia="Times New Roman"/>
          <w:b/>
          <w:smallCaps/>
          <w:color w:val="000000"/>
        </w:rPr>
        <w:tab/>
      </w:r>
      <w:r w:rsidR="00BF491C" w:rsidRPr="008942E9">
        <w:rPr>
          <w:rFonts w:eastAsia="Times New Roman"/>
          <w:b/>
          <w:smallCaps/>
          <w:color w:val="000000"/>
        </w:rPr>
        <w:t>Annual</w:t>
      </w:r>
      <w:r w:rsidR="009A69D6" w:rsidRPr="008942E9">
        <w:rPr>
          <w:rFonts w:eastAsia="Times New Roman"/>
          <w:b/>
          <w:smallCaps/>
          <w:color w:val="000000"/>
        </w:rPr>
        <w:t>ized</w:t>
      </w:r>
      <w:r w:rsidR="00BF491C" w:rsidRPr="008942E9">
        <w:rPr>
          <w:rFonts w:eastAsia="Times New Roman"/>
          <w:b/>
          <w:smallCaps/>
          <w:color w:val="000000"/>
        </w:rPr>
        <w:t xml:space="preserve"> Cost to respondent</w:t>
      </w:r>
      <w:r w:rsidR="009A69D6" w:rsidRPr="008942E9">
        <w:rPr>
          <w:rFonts w:eastAsia="Times New Roman"/>
          <w:b/>
          <w:smallCaps/>
          <w:color w:val="000000"/>
        </w:rPr>
        <w:t>s</w:t>
      </w:r>
    </w:p>
    <w:p w14:paraId="261F1E8D" w14:textId="77777777" w:rsidR="002177DE" w:rsidRDefault="002177DE" w:rsidP="0086248B">
      <w:pPr>
        <w:spacing w:after="0" w:line="240" w:lineRule="auto"/>
        <w:rPr>
          <w:rFonts w:eastAsia="Times New Roman"/>
          <w:b/>
          <w:smallCaps/>
          <w:color w:val="000000"/>
        </w:rPr>
      </w:pPr>
    </w:p>
    <w:p w14:paraId="4A1E3E69" w14:textId="245FD522" w:rsidR="005C22DD" w:rsidRDefault="00591B59" w:rsidP="005C22DD">
      <w:pPr>
        <w:spacing w:after="20"/>
      </w:pPr>
      <w:r>
        <w:t xml:space="preserve">The total annual estimated cost to respondents is </w:t>
      </w:r>
      <w:r w:rsidR="00341707">
        <w:t>$</w:t>
      </w:r>
      <w:r w:rsidR="00BE5466">
        <w:t>26,058</w:t>
      </w:r>
      <w:r w:rsidRPr="00341707">
        <w:t>.</w:t>
      </w:r>
      <w:r>
        <w:t xml:space="preserve"> As shown in Table </w:t>
      </w:r>
      <w:r w:rsidR="00384166">
        <w:t>A.</w:t>
      </w:r>
      <w:r w:rsidR="00CD1365">
        <w:t>12-</w:t>
      </w:r>
      <w:r w:rsidR="005645D1">
        <w:t>2</w:t>
      </w:r>
      <w:r>
        <w:t>,</w:t>
      </w:r>
      <w:r w:rsidR="002E2720">
        <w:t xml:space="preserve"> we provide the annualized costs </w:t>
      </w:r>
      <w:r w:rsidR="008B4C1A">
        <w:t>broken down by type of respondent.  For receptionists, the wage rate of $15.50 was calculated using the Bureau of Labor Statistics, Occupation code 43-6013 Medical Secreta</w:t>
      </w:r>
      <w:r w:rsidR="005C4474">
        <w:t>ries, mean hourly wage,</w:t>
      </w:r>
      <w:r w:rsidR="008B4C1A">
        <w:t xml:space="preserve"> (</w:t>
      </w:r>
      <w:hyperlink r:id="rId11" w:history="1">
        <w:r w:rsidR="00E953B4" w:rsidRPr="00015181">
          <w:rPr>
            <w:rStyle w:val="Hyperlink"/>
          </w:rPr>
          <w:t>http://www.bls.gov/oes/current/oes436013.htm</w:t>
        </w:r>
      </w:hyperlink>
      <w:r w:rsidR="008B4C1A">
        <w:t xml:space="preserve">).  For oncology physicians, the </w:t>
      </w:r>
      <w:r w:rsidR="00802421">
        <w:t>wage rate of $91.23 was calculated using</w:t>
      </w:r>
      <w:r w:rsidR="002177DE">
        <w:t xml:space="preserve"> </w:t>
      </w:r>
      <w:r w:rsidR="002177DE" w:rsidRPr="0033279E">
        <w:t>Bureau</w:t>
      </w:r>
      <w:r w:rsidR="002177DE">
        <w:t xml:space="preserve"> of Labor Statistics, Occupation code 29-1069 Physicians and Surgeons, All o</w:t>
      </w:r>
      <w:r w:rsidR="005C4474">
        <w:t>ther, Mean hourly wage,</w:t>
      </w:r>
      <w:r w:rsidR="00303EDD">
        <w:t xml:space="preserve"> (</w:t>
      </w:r>
      <w:hyperlink r:id="rId12" w:history="1">
        <w:r w:rsidR="00303EDD" w:rsidRPr="00015181">
          <w:rPr>
            <w:rStyle w:val="Hyperlink"/>
          </w:rPr>
          <w:t>http://www.bls.gov/oes/current/oes291069.htm</w:t>
        </w:r>
      </w:hyperlink>
      <w:r w:rsidR="00303EDD">
        <w:t>)</w:t>
      </w:r>
      <w:r w:rsidR="002177DE">
        <w:t>.</w:t>
      </w:r>
    </w:p>
    <w:p w14:paraId="7A48A371" w14:textId="77777777" w:rsidR="005C22DD" w:rsidRDefault="005C22DD" w:rsidP="005C22DD">
      <w:pPr>
        <w:spacing w:after="20"/>
      </w:pPr>
    </w:p>
    <w:p w14:paraId="6A2A7240" w14:textId="054D1C70" w:rsidR="009A69D6" w:rsidRPr="005C22DD" w:rsidRDefault="002E2720" w:rsidP="005C22DD">
      <w:pPr>
        <w:spacing w:after="20"/>
        <w:jc w:val="center"/>
      </w:pPr>
      <w:r>
        <w:rPr>
          <w:b/>
          <w:bCs/>
        </w:rPr>
        <w:t xml:space="preserve">Table </w:t>
      </w:r>
      <w:r w:rsidR="00384166">
        <w:rPr>
          <w:b/>
          <w:bCs/>
        </w:rPr>
        <w:t>A.</w:t>
      </w:r>
      <w:r w:rsidR="00CD1365">
        <w:rPr>
          <w:b/>
          <w:bCs/>
        </w:rPr>
        <w:t>1</w:t>
      </w:r>
      <w:r>
        <w:rPr>
          <w:b/>
          <w:bCs/>
        </w:rPr>
        <w:t>2</w:t>
      </w:r>
      <w:r w:rsidR="00CD1365">
        <w:rPr>
          <w:b/>
          <w:bCs/>
        </w:rPr>
        <w:t>-1</w:t>
      </w:r>
      <w:r w:rsidR="009A69D6" w:rsidRPr="00591B59">
        <w:rPr>
          <w:b/>
          <w:bCs/>
        </w:rPr>
        <w:t xml:space="preserve"> Annualized Cost to the Respondents</w:t>
      </w:r>
    </w:p>
    <w:p w14:paraId="796DF683" w14:textId="77777777" w:rsidR="009A69D6" w:rsidRDefault="009A69D6" w:rsidP="009A69D6">
      <w:pPr>
        <w:spacing w:after="20"/>
      </w:pPr>
    </w:p>
    <w:tbl>
      <w:tblPr>
        <w:tblW w:w="5967" w:type="dxa"/>
        <w:jc w:val="center"/>
        <w:tblLayout w:type="fixed"/>
        <w:tblCellMar>
          <w:left w:w="100" w:type="dxa"/>
          <w:right w:w="100" w:type="dxa"/>
        </w:tblCellMar>
        <w:tblLook w:val="0000" w:firstRow="0" w:lastRow="0" w:firstColumn="0" w:lastColumn="0" w:noHBand="0" w:noVBand="0"/>
      </w:tblPr>
      <w:tblGrid>
        <w:gridCol w:w="1942"/>
        <w:gridCol w:w="1415"/>
        <w:gridCol w:w="1170"/>
        <w:gridCol w:w="1440"/>
      </w:tblGrid>
      <w:tr w:rsidR="001A6E80" w:rsidRPr="008942E9" w14:paraId="44AD9F71" w14:textId="77777777" w:rsidTr="001A6E80">
        <w:trPr>
          <w:cantSplit/>
          <w:trHeight w:val="372"/>
          <w:jc w:val="center"/>
        </w:trPr>
        <w:tc>
          <w:tcPr>
            <w:tcW w:w="1942" w:type="dxa"/>
            <w:tcBorders>
              <w:top w:val="single" w:sz="6" w:space="0" w:color="auto"/>
              <w:left w:val="single" w:sz="6" w:space="0" w:color="auto"/>
            </w:tcBorders>
            <w:vAlign w:val="center"/>
          </w:tcPr>
          <w:p w14:paraId="0A96FAB3" w14:textId="1384CF27" w:rsidR="001A6E80" w:rsidRPr="00D9612D" w:rsidRDefault="001A6E80" w:rsidP="005C4474">
            <w:pPr>
              <w:jc w:val="center"/>
            </w:pPr>
            <w:r w:rsidRPr="00D9612D">
              <w:t>Type of Respondent</w:t>
            </w:r>
          </w:p>
        </w:tc>
        <w:tc>
          <w:tcPr>
            <w:tcW w:w="1415" w:type="dxa"/>
            <w:tcBorders>
              <w:top w:val="single" w:sz="6" w:space="0" w:color="auto"/>
              <w:left w:val="single" w:sz="6" w:space="0" w:color="auto"/>
              <w:right w:val="single" w:sz="6" w:space="0" w:color="auto"/>
            </w:tcBorders>
            <w:vAlign w:val="center"/>
          </w:tcPr>
          <w:p w14:paraId="5368A29B" w14:textId="690BB6ED" w:rsidR="001A6E80" w:rsidRPr="002A70E7" w:rsidRDefault="001A6E80" w:rsidP="005C4474">
            <w:pPr>
              <w:jc w:val="center"/>
            </w:pPr>
            <w:r w:rsidRPr="00D462AD">
              <w:t>Total Annual  Burden Hour</w:t>
            </w:r>
          </w:p>
        </w:tc>
        <w:tc>
          <w:tcPr>
            <w:tcW w:w="1170" w:type="dxa"/>
            <w:tcBorders>
              <w:top w:val="single" w:sz="6" w:space="0" w:color="auto"/>
              <w:left w:val="single" w:sz="6" w:space="0" w:color="auto"/>
            </w:tcBorders>
            <w:vAlign w:val="center"/>
          </w:tcPr>
          <w:p w14:paraId="4170E9AB" w14:textId="31F31BD9" w:rsidR="001A6E80" w:rsidRPr="002A70E7" w:rsidRDefault="001A6E80" w:rsidP="005C4474">
            <w:pPr>
              <w:jc w:val="center"/>
            </w:pPr>
            <w:r>
              <w:t>Hourly Wage Rate</w:t>
            </w:r>
          </w:p>
        </w:tc>
        <w:tc>
          <w:tcPr>
            <w:tcW w:w="1440" w:type="dxa"/>
            <w:tcBorders>
              <w:top w:val="single" w:sz="6" w:space="0" w:color="auto"/>
              <w:left w:val="single" w:sz="6" w:space="0" w:color="auto"/>
              <w:right w:val="single" w:sz="6" w:space="0" w:color="auto"/>
            </w:tcBorders>
            <w:vAlign w:val="center"/>
          </w:tcPr>
          <w:p w14:paraId="23C12B7A" w14:textId="77777777" w:rsidR="001A6E80" w:rsidRPr="002A70E7" w:rsidRDefault="001A6E80" w:rsidP="005C4474">
            <w:pPr>
              <w:jc w:val="center"/>
            </w:pPr>
            <w:r w:rsidRPr="002A70E7">
              <w:t>Respondent Cost</w:t>
            </w:r>
          </w:p>
        </w:tc>
      </w:tr>
      <w:tr w:rsidR="001A6E80" w:rsidRPr="008942E9" w14:paraId="754340FC" w14:textId="77777777" w:rsidTr="001A6E80">
        <w:trPr>
          <w:cantSplit/>
          <w:trHeight w:val="372"/>
          <w:jc w:val="center"/>
        </w:trPr>
        <w:tc>
          <w:tcPr>
            <w:tcW w:w="1942" w:type="dxa"/>
            <w:tcBorders>
              <w:top w:val="single" w:sz="6" w:space="0" w:color="auto"/>
              <w:left w:val="single" w:sz="6" w:space="0" w:color="auto"/>
            </w:tcBorders>
          </w:tcPr>
          <w:p w14:paraId="1D223CB3" w14:textId="3020EBC6" w:rsidR="001A6E80" w:rsidRDefault="001A6E80" w:rsidP="00592B93">
            <w:r>
              <w:t>Receptionists (telephone screener)</w:t>
            </w:r>
          </w:p>
        </w:tc>
        <w:tc>
          <w:tcPr>
            <w:tcW w:w="1415" w:type="dxa"/>
            <w:tcBorders>
              <w:top w:val="single" w:sz="6" w:space="0" w:color="auto"/>
              <w:left w:val="single" w:sz="6" w:space="0" w:color="auto"/>
              <w:right w:val="single" w:sz="6" w:space="0" w:color="auto"/>
            </w:tcBorders>
            <w:vAlign w:val="center"/>
          </w:tcPr>
          <w:p w14:paraId="6F036129" w14:textId="6DB581AD" w:rsidR="001A6E80" w:rsidRDefault="001A6E80" w:rsidP="00592B93">
            <w:pPr>
              <w:jc w:val="center"/>
            </w:pPr>
            <w:r>
              <w:t>39</w:t>
            </w:r>
          </w:p>
        </w:tc>
        <w:tc>
          <w:tcPr>
            <w:tcW w:w="1170" w:type="dxa"/>
            <w:tcBorders>
              <w:top w:val="single" w:sz="6" w:space="0" w:color="auto"/>
              <w:left w:val="single" w:sz="6" w:space="0" w:color="auto"/>
            </w:tcBorders>
            <w:vAlign w:val="center"/>
          </w:tcPr>
          <w:p w14:paraId="0725B081" w14:textId="265DA671" w:rsidR="001A6E80" w:rsidRPr="002A70E7" w:rsidRDefault="001A6E80" w:rsidP="00592B93">
            <w:pPr>
              <w:jc w:val="center"/>
            </w:pPr>
            <w:r>
              <w:t>$15.50</w:t>
            </w:r>
          </w:p>
        </w:tc>
        <w:tc>
          <w:tcPr>
            <w:tcW w:w="1440" w:type="dxa"/>
            <w:tcBorders>
              <w:top w:val="single" w:sz="6" w:space="0" w:color="auto"/>
              <w:left w:val="single" w:sz="6" w:space="0" w:color="auto"/>
              <w:right w:val="single" w:sz="6" w:space="0" w:color="auto"/>
            </w:tcBorders>
            <w:vAlign w:val="center"/>
          </w:tcPr>
          <w:p w14:paraId="4BF0F065" w14:textId="314D567B" w:rsidR="001A6E80" w:rsidRPr="002A70E7" w:rsidRDefault="001A6E80" w:rsidP="00592B93">
            <w:pPr>
              <w:jc w:val="center"/>
            </w:pPr>
            <w:r>
              <w:t>$605</w:t>
            </w:r>
          </w:p>
        </w:tc>
      </w:tr>
      <w:tr w:rsidR="001A6E80" w:rsidRPr="008942E9" w14:paraId="398F6FBF" w14:textId="77777777" w:rsidTr="001A6E80">
        <w:trPr>
          <w:cantSplit/>
          <w:trHeight w:val="372"/>
          <w:jc w:val="center"/>
        </w:trPr>
        <w:tc>
          <w:tcPr>
            <w:tcW w:w="1942" w:type="dxa"/>
            <w:tcBorders>
              <w:top w:val="single" w:sz="6" w:space="0" w:color="auto"/>
              <w:left w:val="single" w:sz="6" w:space="0" w:color="auto"/>
            </w:tcBorders>
          </w:tcPr>
          <w:p w14:paraId="53CA8DC3" w14:textId="42B177C4" w:rsidR="001A6E80" w:rsidRPr="00D9612D" w:rsidRDefault="001A6E80" w:rsidP="00592B93">
            <w:r>
              <w:t>Oncology Physicians (Pilot)</w:t>
            </w:r>
          </w:p>
        </w:tc>
        <w:tc>
          <w:tcPr>
            <w:tcW w:w="1415" w:type="dxa"/>
            <w:tcBorders>
              <w:top w:val="single" w:sz="6" w:space="0" w:color="auto"/>
              <w:left w:val="single" w:sz="6" w:space="0" w:color="auto"/>
              <w:right w:val="single" w:sz="6" w:space="0" w:color="auto"/>
            </w:tcBorders>
            <w:vAlign w:val="center"/>
          </w:tcPr>
          <w:p w14:paraId="4E9C3847" w14:textId="673CC255" w:rsidR="001A6E80" w:rsidRDefault="001A6E80" w:rsidP="00592B93">
            <w:pPr>
              <w:jc w:val="center"/>
            </w:pPr>
            <w:r>
              <w:t>58</w:t>
            </w:r>
          </w:p>
        </w:tc>
        <w:tc>
          <w:tcPr>
            <w:tcW w:w="1170" w:type="dxa"/>
            <w:tcBorders>
              <w:top w:val="single" w:sz="6" w:space="0" w:color="auto"/>
              <w:left w:val="single" w:sz="6" w:space="0" w:color="auto"/>
            </w:tcBorders>
            <w:vAlign w:val="center"/>
          </w:tcPr>
          <w:p w14:paraId="05CBEC20" w14:textId="591BF7CE" w:rsidR="001A6E80" w:rsidRPr="002A70E7" w:rsidRDefault="001A6E80" w:rsidP="00592B93">
            <w:pPr>
              <w:jc w:val="center"/>
            </w:pPr>
            <w:r w:rsidRPr="002A70E7">
              <w:t>$91.23</w:t>
            </w:r>
          </w:p>
        </w:tc>
        <w:tc>
          <w:tcPr>
            <w:tcW w:w="1440" w:type="dxa"/>
            <w:tcBorders>
              <w:top w:val="single" w:sz="6" w:space="0" w:color="auto"/>
              <w:left w:val="single" w:sz="6" w:space="0" w:color="auto"/>
              <w:right w:val="single" w:sz="6" w:space="0" w:color="auto"/>
            </w:tcBorders>
            <w:vAlign w:val="center"/>
          </w:tcPr>
          <w:p w14:paraId="7B2E480F" w14:textId="06C16F96" w:rsidR="001A6E80" w:rsidRPr="002A70E7" w:rsidRDefault="001A6E80" w:rsidP="00592B93">
            <w:pPr>
              <w:jc w:val="center"/>
            </w:pPr>
            <w:r w:rsidRPr="002A70E7">
              <w:t>$</w:t>
            </w:r>
            <w:r>
              <w:t>5,337</w:t>
            </w:r>
          </w:p>
        </w:tc>
      </w:tr>
      <w:tr w:rsidR="001A6E80" w:rsidRPr="008942E9" w14:paraId="71F62B24" w14:textId="77777777" w:rsidTr="001A6E80">
        <w:trPr>
          <w:cantSplit/>
          <w:trHeight w:val="372"/>
          <w:jc w:val="center"/>
        </w:trPr>
        <w:tc>
          <w:tcPr>
            <w:tcW w:w="1942" w:type="dxa"/>
            <w:tcBorders>
              <w:top w:val="single" w:sz="6" w:space="0" w:color="auto"/>
              <w:left w:val="single" w:sz="6" w:space="0" w:color="auto"/>
            </w:tcBorders>
          </w:tcPr>
          <w:p w14:paraId="4EBEB572" w14:textId="2D4C7518" w:rsidR="001A6E80" w:rsidRPr="00D9612D" w:rsidRDefault="001A6E80" w:rsidP="00592B93">
            <w:r>
              <w:t>Oncology Physicians (Full study)</w:t>
            </w:r>
          </w:p>
        </w:tc>
        <w:tc>
          <w:tcPr>
            <w:tcW w:w="1415" w:type="dxa"/>
            <w:tcBorders>
              <w:top w:val="single" w:sz="6" w:space="0" w:color="auto"/>
              <w:left w:val="single" w:sz="6" w:space="0" w:color="auto"/>
              <w:right w:val="single" w:sz="6" w:space="0" w:color="auto"/>
            </w:tcBorders>
            <w:vAlign w:val="center"/>
          </w:tcPr>
          <w:p w14:paraId="473562C3" w14:textId="20F813B8" w:rsidR="001A6E80" w:rsidRDefault="001A6E80" w:rsidP="00592B93">
            <w:pPr>
              <w:jc w:val="center"/>
            </w:pPr>
            <w:r>
              <w:t>200</w:t>
            </w:r>
          </w:p>
        </w:tc>
        <w:tc>
          <w:tcPr>
            <w:tcW w:w="1170" w:type="dxa"/>
            <w:tcBorders>
              <w:top w:val="single" w:sz="6" w:space="0" w:color="auto"/>
              <w:left w:val="single" w:sz="6" w:space="0" w:color="auto"/>
            </w:tcBorders>
            <w:vAlign w:val="center"/>
          </w:tcPr>
          <w:p w14:paraId="10A34B18" w14:textId="0AC40A7B" w:rsidR="001A6E80" w:rsidRPr="00D9612D" w:rsidRDefault="001A6E80" w:rsidP="00592B93">
            <w:pPr>
              <w:jc w:val="center"/>
            </w:pPr>
            <w:r w:rsidRPr="00D9612D">
              <w:t>$9</w:t>
            </w:r>
            <w:r>
              <w:t>1.23</w:t>
            </w:r>
          </w:p>
        </w:tc>
        <w:tc>
          <w:tcPr>
            <w:tcW w:w="1440" w:type="dxa"/>
            <w:tcBorders>
              <w:top w:val="single" w:sz="6" w:space="0" w:color="auto"/>
              <w:left w:val="single" w:sz="6" w:space="0" w:color="auto"/>
              <w:right w:val="single" w:sz="6" w:space="0" w:color="auto"/>
            </w:tcBorders>
            <w:vAlign w:val="center"/>
          </w:tcPr>
          <w:p w14:paraId="63849FDF" w14:textId="403BB0F2" w:rsidR="001A6E80" w:rsidRPr="00D9612D" w:rsidRDefault="001A6E80" w:rsidP="00592B93">
            <w:pPr>
              <w:jc w:val="center"/>
            </w:pPr>
            <w:r w:rsidRPr="00D9612D">
              <w:t>$</w:t>
            </w:r>
            <w:r>
              <w:t>18,246</w:t>
            </w:r>
          </w:p>
        </w:tc>
      </w:tr>
      <w:tr w:rsidR="001A6E80" w:rsidRPr="008942E9" w14:paraId="794B4CA6" w14:textId="77777777" w:rsidTr="004F2849">
        <w:trPr>
          <w:cantSplit/>
          <w:trHeight w:val="372"/>
          <w:jc w:val="center"/>
        </w:trPr>
        <w:tc>
          <w:tcPr>
            <w:tcW w:w="1942" w:type="dxa"/>
            <w:tcBorders>
              <w:top w:val="single" w:sz="6" w:space="0" w:color="auto"/>
              <w:left w:val="single" w:sz="6" w:space="0" w:color="auto"/>
              <w:bottom w:val="single" w:sz="6" w:space="0" w:color="auto"/>
            </w:tcBorders>
          </w:tcPr>
          <w:p w14:paraId="0BE1EAF5" w14:textId="6934D9DB" w:rsidR="001A6E80" w:rsidRPr="00BE5466" w:rsidRDefault="001A6E80" w:rsidP="00592B93">
            <w:r w:rsidRPr="0010154F">
              <w:t>Oncology Physicians (Follow-</w:t>
            </w:r>
            <w:r w:rsidRPr="00BE5466">
              <w:t>up)</w:t>
            </w:r>
          </w:p>
        </w:tc>
        <w:tc>
          <w:tcPr>
            <w:tcW w:w="1415" w:type="dxa"/>
            <w:tcBorders>
              <w:top w:val="single" w:sz="6" w:space="0" w:color="auto"/>
              <w:left w:val="single" w:sz="6" w:space="0" w:color="auto"/>
              <w:bottom w:val="single" w:sz="6" w:space="0" w:color="auto"/>
              <w:right w:val="single" w:sz="6" w:space="0" w:color="auto"/>
            </w:tcBorders>
            <w:vAlign w:val="center"/>
          </w:tcPr>
          <w:p w14:paraId="28D81B74" w14:textId="05667A75" w:rsidR="001A6E80" w:rsidRPr="0010154F" w:rsidRDefault="00F7194B" w:rsidP="00592B93">
            <w:pPr>
              <w:jc w:val="center"/>
            </w:pPr>
            <w:r>
              <w:t>12</w:t>
            </w:r>
          </w:p>
        </w:tc>
        <w:tc>
          <w:tcPr>
            <w:tcW w:w="1170" w:type="dxa"/>
            <w:tcBorders>
              <w:top w:val="single" w:sz="6" w:space="0" w:color="auto"/>
              <w:left w:val="single" w:sz="6" w:space="0" w:color="auto"/>
              <w:bottom w:val="single" w:sz="6" w:space="0" w:color="auto"/>
            </w:tcBorders>
            <w:vAlign w:val="center"/>
          </w:tcPr>
          <w:p w14:paraId="1FCC165D" w14:textId="3A5D2353" w:rsidR="001A6E80" w:rsidRPr="006804C2" w:rsidRDefault="001A6E80" w:rsidP="00592B93">
            <w:pPr>
              <w:jc w:val="center"/>
            </w:pPr>
            <w:r w:rsidRPr="0010154F">
              <w:t>$91.23</w:t>
            </w:r>
          </w:p>
        </w:tc>
        <w:tc>
          <w:tcPr>
            <w:tcW w:w="1440" w:type="dxa"/>
            <w:tcBorders>
              <w:top w:val="single" w:sz="6" w:space="0" w:color="auto"/>
              <w:left w:val="single" w:sz="6" w:space="0" w:color="auto"/>
              <w:bottom w:val="single" w:sz="6" w:space="0" w:color="auto"/>
              <w:right w:val="single" w:sz="6" w:space="0" w:color="auto"/>
            </w:tcBorders>
            <w:vAlign w:val="center"/>
          </w:tcPr>
          <w:p w14:paraId="7382BAF5" w14:textId="56C48DFC" w:rsidR="00F7194B" w:rsidRPr="0010154F" w:rsidRDefault="00F7194B">
            <w:pPr>
              <w:jc w:val="center"/>
            </w:pPr>
            <w:r>
              <w:t>$1095</w:t>
            </w:r>
          </w:p>
        </w:tc>
      </w:tr>
      <w:tr w:rsidR="001A6E80" w:rsidRPr="008942E9" w14:paraId="7B90BA97" w14:textId="77777777" w:rsidTr="001A6E80">
        <w:trPr>
          <w:cantSplit/>
          <w:trHeight w:val="372"/>
          <w:jc w:val="center"/>
        </w:trPr>
        <w:tc>
          <w:tcPr>
            <w:tcW w:w="1942" w:type="dxa"/>
            <w:tcBorders>
              <w:top w:val="single" w:sz="6" w:space="0" w:color="auto"/>
              <w:left w:val="single" w:sz="6" w:space="0" w:color="auto"/>
              <w:bottom w:val="single" w:sz="6" w:space="0" w:color="auto"/>
            </w:tcBorders>
          </w:tcPr>
          <w:p w14:paraId="35084888" w14:textId="38D3F1E3" w:rsidR="001A6E80" w:rsidRDefault="001A6E80" w:rsidP="00592B93">
            <w:r>
              <w:lastRenderedPageBreak/>
              <w:t>Telephone Reminder Script</w:t>
            </w:r>
          </w:p>
        </w:tc>
        <w:tc>
          <w:tcPr>
            <w:tcW w:w="1415" w:type="dxa"/>
            <w:tcBorders>
              <w:top w:val="single" w:sz="6" w:space="0" w:color="auto"/>
              <w:left w:val="single" w:sz="6" w:space="0" w:color="auto"/>
              <w:bottom w:val="single" w:sz="6" w:space="0" w:color="auto"/>
              <w:right w:val="single" w:sz="6" w:space="0" w:color="auto"/>
            </w:tcBorders>
            <w:vAlign w:val="center"/>
          </w:tcPr>
          <w:p w14:paraId="19D3686B" w14:textId="12D06008" w:rsidR="001A6E80" w:rsidRDefault="001A6E80" w:rsidP="00592B93">
            <w:pPr>
              <w:jc w:val="center"/>
            </w:pPr>
            <w:r>
              <w:t>50</w:t>
            </w:r>
          </w:p>
        </w:tc>
        <w:tc>
          <w:tcPr>
            <w:tcW w:w="1170" w:type="dxa"/>
            <w:tcBorders>
              <w:top w:val="single" w:sz="6" w:space="0" w:color="auto"/>
              <w:left w:val="single" w:sz="6" w:space="0" w:color="auto"/>
              <w:bottom w:val="single" w:sz="6" w:space="0" w:color="auto"/>
            </w:tcBorders>
            <w:vAlign w:val="center"/>
          </w:tcPr>
          <w:p w14:paraId="2D0E86CC" w14:textId="46A1D954" w:rsidR="001A6E80" w:rsidRPr="00D9612D" w:rsidRDefault="001A6E80" w:rsidP="00592B93">
            <w:pPr>
              <w:jc w:val="center"/>
            </w:pPr>
            <w:r>
              <w:t>$15.50</w:t>
            </w:r>
          </w:p>
        </w:tc>
        <w:tc>
          <w:tcPr>
            <w:tcW w:w="1440" w:type="dxa"/>
            <w:tcBorders>
              <w:top w:val="single" w:sz="6" w:space="0" w:color="auto"/>
              <w:left w:val="single" w:sz="6" w:space="0" w:color="auto"/>
              <w:bottom w:val="single" w:sz="6" w:space="0" w:color="auto"/>
              <w:right w:val="single" w:sz="6" w:space="0" w:color="auto"/>
            </w:tcBorders>
            <w:vAlign w:val="center"/>
          </w:tcPr>
          <w:p w14:paraId="215601D3" w14:textId="59B0C208" w:rsidR="001A6E80" w:rsidRPr="00D9612D" w:rsidRDefault="001A6E80" w:rsidP="00592B93">
            <w:pPr>
              <w:jc w:val="center"/>
            </w:pPr>
            <w:r>
              <w:t>$775</w:t>
            </w:r>
          </w:p>
        </w:tc>
      </w:tr>
      <w:tr w:rsidR="001A6E80" w:rsidRPr="008942E9" w14:paraId="79424267" w14:textId="77777777" w:rsidTr="001A6E80">
        <w:trPr>
          <w:cantSplit/>
          <w:trHeight w:val="372"/>
          <w:jc w:val="center"/>
        </w:trPr>
        <w:tc>
          <w:tcPr>
            <w:tcW w:w="1942" w:type="dxa"/>
            <w:tcBorders>
              <w:top w:val="single" w:sz="6" w:space="0" w:color="auto"/>
              <w:left w:val="single" w:sz="6" w:space="0" w:color="auto"/>
              <w:bottom w:val="single" w:sz="6" w:space="0" w:color="auto"/>
            </w:tcBorders>
          </w:tcPr>
          <w:p w14:paraId="7630ED9F" w14:textId="4B39D215" w:rsidR="001A6E80" w:rsidRDefault="001A6E80" w:rsidP="00592B93">
            <w:r>
              <w:t>Total</w:t>
            </w:r>
          </w:p>
        </w:tc>
        <w:tc>
          <w:tcPr>
            <w:tcW w:w="1415" w:type="dxa"/>
            <w:tcBorders>
              <w:top w:val="single" w:sz="6" w:space="0" w:color="auto"/>
              <w:left w:val="single" w:sz="6" w:space="0" w:color="auto"/>
              <w:bottom w:val="single" w:sz="6" w:space="0" w:color="auto"/>
              <w:right w:val="single" w:sz="6" w:space="0" w:color="auto"/>
            </w:tcBorders>
            <w:vAlign w:val="center"/>
          </w:tcPr>
          <w:p w14:paraId="4E18D3B6" w14:textId="5DEF4D8A" w:rsidR="001A6E80" w:rsidRDefault="001A6E80" w:rsidP="00592B93">
            <w:pPr>
              <w:jc w:val="center"/>
            </w:pPr>
            <w:r>
              <w:t>350</w:t>
            </w:r>
          </w:p>
        </w:tc>
        <w:tc>
          <w:tcPr>
            <w:tcW w:w="1170" w:type="dxa"/>
            <w:tcBorders>
              <w:top w:val="single" w:sz="6" w:space="0" w:color="auto"/>
              <w:left w:val="single" w:sz="6" w:space="0" w:color="auto"/>
              <w:bottom w:val="single" w:sz="6" w:space="0" w:color="auto"/>
            </w:tcBorders>
            <w:vAlign w:val="center"/>
          </w:tcPr>
          <w:p w14:paraId="02F65066" w14:textId="77777777" w:rsidR="001A6E80" w:rsidRPr="00D9612D" w:rsidRDefault="001A6E80" w:rsidP="00592B93">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14:paraId="3E7713E0" w14:textId="37B7C6F8" w:rsidR="001A6E80" w:rsidRPr="00D9612D" w:rsidRDefault="001A6E80">
            <w:pPr>
              <w:jc w:val="center"/>
            </w:pPr>
            <w:r>
              <w:t>$</w:t>
            </w:r>
            <w:r w:rsidR="00BE5466">
              <w:t>26,058</w:t>
            </w:r>
          </w:p>
        </w:tc>
      </w:tr>
    </w:tbl>
    <w:p w14:paraId="58C8820D" w14:textId="084A1E81" w:rsidR="009A69D6" w:rsidRDefault="009A69D6" w:rsidP="00455F1B">
      <w:pPr>
        <w:pStyle w:val="ListParagraph"/>
        <w:spacing w:after="20"/>
        <w:ind w:left="1710"/>
      </w:pPr>
    </w:p>
    <w:p w14:paraId="4CD8D309" w14:textId="77777777" w:rsidR="0086248B" w:rsidRDefault="0086248B" w:rsidP="00FF72FC">
      <w:pPr>
        <w:rPr>
          <w:b/>
        </w:rPr>
      </w:pPr>
    </w:p>
    <w:p w14:paraId="3524D457" w14:textId="77777777" w:rsidR="00FF72FC" w:rsidRPr="00E35DD1" w:rsidRDefault="00FF72FC" w:rsidP="00FF72FC">
      <w:pPr>
        <w:rPr>
          <w:b/>
        </w:rPr>
      </w:pPr>
      <w:r w:rsidRPr="00E35DD1">
        <w:rPr>
          <w:b/>
        </w:rPr>
        <w:t>A.13</w:t>
      </w:r>
      <w:r w:rsidRPr="00E35DD1">
        <w:rPr>
          <w:b/>
        </w:rPr>
        <w:tab/>
        <w:t>Estimate of Other Total Annual Cost Burden to Respondents or Record Keepers</w:t>
      </w:r>
    </w:p>
    <w:p w14:paraId="4B6EF9C3" w14:textId="1D04B179" w:rsidR="00070C6D" w:rsidRDefault="00070C6D" w:rsidP="00FF72FC">
      <w:r w:rsidRPr="00070C6D">
        <w:t>There are no</w:t>
      </w:r>
      <w:r w:rsidR="002177DE">
        <w:t xml:space="preserve"> other</w:t>
      </w:r>
      <w:r w:rsidRPr="00070C6D">
        <w:t xml:space="preserve"> costs to respondents</w:t>
      </w:r>
      <w:r w:rsidR="002177DE">
        <w:t xml:space="preserve"> other than their time.</w:t>
      </w:r>
    </w:p>
    <w:p w14:paraId="416B3E89" w14:textId="77777777" w:rsidR="00FF72FC" w:rsidRDefault="00FF72FC" w:rsidP="00FF72FC">
      <w:pPr>
        <w:pStyle w:val="Heading2"/>
        <w:tabs>
          <w:tab w:val="clear" w:pos="1152"/>
          <w:tab w:val="left" w:pos="720"/>
        </w:tabs>
        <w:spacing w:after="0" w:line="480" w:lineRule="auto"/>
        <w:ind w:left="0" w:firstLine="0"/>
        <w:rPr>
          <w:rFonts w:ascii="Calibri" w:hAnsi="Calibri"/>
          <w:szCs w:val="22"/>
        </w:rPr>
      </w:pPr>
      <w:r w:rsidRPr="008942E9">
        <w:rPr>
          <w:rFonts w:ascii="Calibri" w:hAnsi="Calibri"/>
          <w:szCs w:val="22"/>
        </w:rPr>
        <w:t>A.14</w:t>
      </w:r>
      <w:r w:rsidRPr="008942E9">
        <w:rPr>
          <w:rFonts w:ascii="Calibri" w:hAnsi="Calibri"/>
          <w:szCs w:val="22"/>
        </w:rPr>
        <w:tab/>
        <w:t xml:space="preserve">Annualized Cost to the Federal Government  </w:t>
      </w:r>
    </w:p>
    <w:p w14:paraId="43DFE5E6" w14:textId="561F4343" w:rsidR="00C43156" w:rsidRDefault="00C43156" w:rsidP="002E2720">
      <w:pPr>
        <w:pStyle w:val="P1-StandPara"/>
        <w:spacing w:line="240" w:lineRule="auto"/>
        <w:ind w:firstLine="0"/>
        <w:rPr>
          <w:rFonts w:ascii="Calibri" w:eastAsia="Calibri" w:hAnsi="Calibri"/>
          <w:szCs w:val="22"/>
        </w:rPr>
      </w:pPr>
      <w:r w:rsidRPr="00C43156">
        <w:rPr>
          <w:rFonts w:ascii="Calibri" w:eastAsia="Calibri" w:hAnsi="Calibri"/>
          <w:szCs w:val="22"/>
        </w:rPr>
        <w:t xml:space="preserve">The </w:t>
      </w:r>
      <w:r w:rsidR="00C567BF">
        <w:rPr>
          <w:rFonts w:ascii="Calibri" w:eastAsia="Calibri" w:hAnsi="Calibri"/>
          <w:szCs w:val="22"/>
        </w:rPr>
        <w:t>annualized</w:t>
      </w:r>
      <w:r w:rsidRPr="00C43156">
        <w:rPr>
          <w:rFonts w:ascii="Calibri" w:eastAsia="Calibri" w:hAnsi="Calibri"/>
          <w:szCs w:val="22"/>
        </w:rPr>
        <w:t xml:space="preserve"> cost to the Federal Government for the collection of data is $</w:t>
      </w:r>
      <w:r w:rsidR="00C567BF">
        <w:rPr>
          <w:rFonts w:ascii="Calibri" w:eastAsia="Calibri" w:hAnsi="Calibri"/>
          <w:szCs w:val="22"/>
        </w:rPr>
        <w:t>368,520</w:t>
      </w:r>
      <w:r w:rsidRPr="00C43156">
        <w:rPr>
          <w:rFonts w:ascii="Calibri" w:eastAsia="Calibri" w:hAnsi="Calibri"/>
          <w:szCs w:val="22"/>
        </w:rPr>
        <w:t xml:space="preserve">.  </w:t>
      </w:r>
      <w:r w:rsidR="00DF2A16">
        <w:rPr>
          <w:rFonts w:ascii="Calibri" w:eastAsia="Calibri" w:hAnsi="Calibri"/>
          <w:szCs w:val="22"/>
        </w:rPr>
        <w:t>This includes the costs paid to the contractor</w:t>
      </w:r>
      <w:r w:rsidRPr="00C43156">
        <w:rPr>
          <w:rFonts w:ascii="Calibri" w:eastAsia="Calibri" w:hAnsi="Calibri"/>
          <w:szCs w:val="22"/>
        </w:rPr>
        <w:t xml:space="preserve"> to obtain and select the survey sample, collect the data and non-response follow-up, pay incentives to respondents, create a database of the results, and perform data analysis, write reports, and study management. </w:t>
      </w:r>
      <w:r w:rsidR="00E25146">
        <w:rPr>
          <w:rFonts w:ascii="Calibri" w:eastAsia="Calibri" w:hAnsi="Calibri"/>
          <w:szCs w:val="22"/>
        </w:rPr>
        <w:t xml:space="preserve">  </w:t>
      </w:r>
      <w:r w:rsidRPr="00C43156">
        <w:rPr>
          <w:rFonts w:ascii="Calibri" w:eastAsia="Calibri" w:hAnsi="Calibri"/>
          <w:szCs w:val="22"/>
        </w:rPr>
        <w:t xml:space="preserve">The cost also includes NCI staff time to design and manage the study, to analyze the resultant data, and to </w:t>
      </w:r>
      <w:r w:rsidR="00E25146">
        <w:rPr>
          <w:rFonts w:ascii="Calibri" w:eastAsia="Calibri" w:hAnsi="Calibri"/>
          <w:szCs w:val="22"/>
        </w:rPr>
        <w:t>disseminate results</w:t>
      </w:r>
      <w:r w:rsidRPr="00C43156">
        <w:rPr>
          <w:rFonts w:ascii="Calibri" w:eastAsia="Calibri" w:hAnsi="Calibri"/>
          <w:szCs w:val="22"/>
        </w:rPr>
        <w:t xml:space="preserve">.  </w:t>
      </w:r>
      <w:r w:rsidR="00E25146">
        <w:rPr>
          <w:rFonts w:ascii="Calibri" w:eastAsia="Calibri" w:hAnsi="Calibri"/>
          <w:szCs w:val="22"/>
        </w:rPr>
        <w:t>Itemized costs are shown in Tables A.</w:t>
      </w:r>
      <w:r w:rsidR="00552401">
        <w:rPr>
          <w:rFonts w:ascii="Calibri" w:eastAsia="Calibri" w:hAnsi="Calibri"/>
          <w:szCs w:val="22"/>
        </w:rPr>
        <w:t>14</w:t>
      </w:r>
      <w:r w:rsidR="00E25146">
        <w:rPr>
          <w:rFonts w:ascii="Calibri" w:eastAsia="Calibri" w:hAnsi="Calibri"/>
          <w:szCs w:val="22"/>
        </w:rPr>
        <w:t xml:space="preserve">.  </w:t>
      </w:r>
      <w:r w:rsidR="00C07035">
        <w:rPr>
          <w:rFonts w:ascii="Calibri" w:eastAsia="Calibri" w:hAnsi="Calibri"/>
          <w:szCs w:val="22"/>
        </w:rPr>
        <w:t>Federal staff include</w:t>
      </w:r>
      <w:r w:rsidR="009D2245">
        <w:rPr>
          <w:rFonts w:ascii="Calibri" w:eastAsia="Calibri" w:hAnsi="Calibri"/>
          <w:szCs w:val="22"/>
        </w:rPr>
        <w:t>s</w:t>
      </w:r>
      <w:r w:rsidR="00C07035">
        <w:rPr>
          <w:rFonts w:ascii="Calibri" w:eastAsia="Calibri" w:hAnsi="Calibri"/>
          <w:szCs w:val="22"/>
        </w:rPr>
        <w:t xml:space="preserve"> a Program Director/Behavioral Scientist and a Branch Chief who co-lead the project. Other federal staff include a Program Director who is serving is the Contract Officer Representative and a Fellow.  </w:t>
      </w:r>
      <w:r w:rsidR="009D2245">
        <w:rPr>
          <w:rFonts w:ascii="Calibri" w:eastAsia="Calibri" w:hAnsi="Calibri"/>
          <w:szCs w:val="22"/>
        </w:rPr>
        <w:t xml:space="preserve">Staff provided by </w:t>
      </w:r>
      <w:r w:rsidR="00E25146">
        <w:rPr>
          <w:rFonts w:ascii="Calibri" w:eastAsia="Calibri" w:hAnsi="Calibri"/>
          <w:szCs w:val="22"/>
        </w:rPr>
        <w:t>RTI</w:t>
      </w:r>
      <w:r w:rsidR="00C07035">
        <w:rPr>
          <w:rFonts w:ascii="Calibri" w:eastAsia="Calibri" w:hAnsi="Calibri"/>
          <w:szCs w:val="22"/>
        </w:rPr>
        <w:t xml:space="preserve"> includes a Project Director</w:t>
      </w:r>
      <w:r w:rsidR="009D2245">
        <w:rPr>
          <w:rFonts w:ascii="Calibri" w:eastAsia="Calibri" w:hAnsi="Calibri"/>
          <w:szCs w:val="22"/>
        </w:rPr>
        <w:t xml:space="preserve">, Statistician, Survey Methodologist, Research Services/Data Collection Specialist, and a Programmer Analyst.  Additional costs include travel expenses for an in-person meeting between NCI and </w:t>
      </w:r>
      <w:r w:rsidR="00E25146">
        <w:rPr>
          <w:rFonts w:ascii="Calibri" w:eastAsia="Calibri" w:hAnsi="Calibri"/>
          <w:szCs w:val="22"/>
        </w:rPr>
        <w:t>RTI</w:t>
      </w:r>
      <w:r w:rsidR="009D2245">
        <w:rPr>
          <w:rFonts w:ascii="Calibri" w:eastAsia="Calibri" w:hAnsi="Calibri"/>
          <w:szCs w:val="22"/>
        </w:rPr>
        <w:t xml:space="preserve">, a subcontract for trained telephone screeners and participant </w:t>
      </w:r>
      <w:r w:rsidR="00552401">
        <w:rPr>
          <w:rFonts w:ascii="Calibri" w:eastAsia="Calibri" w:hAnsi="Calibri"/>
          <w:szCs w:val="22"/>
        </w:rPr>
        <w:t>gifts</w:t>
      </w:r>
      <w:r w:rsidR="009D2245">
        <w:rPr>
          <w:rFonts w:ascii="Calibri" w:eastAsia="Calibri" w:hAnsi="Calibri"/>
          <w:szCs w:val="22"/>
        </w:rPr>
        <w:t>.</w:t>
      </w:r>
    </w:p>
    <w:p w14:paraId="3C64C083" w14:textId="77777777" w:rsidR="002E2720" w:rsidRDefault="002E2720" w:rsidP="002E2720">
      <w:pPr>
        <w:pStyle w:val="P1-StandPara"/>
        <w:spacing w:line="240" w:lineRule="auto"/>
        <w:ind w:firstLine="0"/>
        <w:rPr>
          <w:rFonts w:ascii="Calibri" w:eastAsia="Calibri" w:hAnsi="Calibri"/>
          <w:szCs w:val="22"/>
        </w:rPr>
      </w:pPr>
    </w:p>
    <w:p w14:paraId="00F8FBCD" w14:textId="77777777" w:rsidR="00C3445E" w:rsidRDefault="00C3445E" w:rsidP="002E2720">
      <w:pPr>
        <w:pStyle w:val="P1-StandPara"/>
        <w:spacing w:line="240" w:lineRule="auto"/>
        <w:ind w:firstLine="0"/>
        <w:rPr>
          <w:rFonts w:ascii="Calibri" w:eastAsia="Calibri" w:hAnsi="Calibri"/>
          <w:szCs w:val="22"/>
        </w:rPr>
      </w:pPr>
    </w:p>
    <w:p w14:paraId="6AE093FA" w14:textId="77777777" w:rsidR="00C3445E" w:rsidRDefault="00C3445E" w:rsidP="002E2720">
      <w:pPr>
        <w:pStyle w:val="P1-StandPara"/>
        <w:spacing w:line="240" w:lineRule="auto"/>
        <w:ind w:firstLine="0"/>
        <w:rPr>
          <w:rFonts w:ascii="Calibri" w:eastAsia="Calibri" w:hAnsi="Calibri"/>
          <w:szCs w:val="22"/>
        </w:rPr>
      </w:pPr>
    </w:p>
    <w:p w14:paraId="2848C29E" w14:textId="3705C23C" w:rsidR="005645D1" w:rsidRDefault="005645D1" w:rsidP="005645D1">
      <w:pPr>
        <w:spacing w:after="20"/>
        <w:rPr>
          <w:b/>
          <w:bCs/>
        </w:rPr>
      </w:pPr>
      <w:r>
        <w:rPr>
          <w:b/>
          <w:bCs/>
        </w:rPr>
        <w:t>Table A.</w:t>
      </w:r>
      <w:r w:rsidR="00552401">
        <w:rPr>
          <w:b/>
          <w:bCs/>
        </w:rPr>
        <w:t>14</w:t>
      </w:r>
      <w:r>
        <w:rPr>
          <w:b/>
          <w:bCs/>
        </w:rPr>
        <w:t xml:space="preserve"> Annualized Cost to the Respondents</w:t>
      </w:r>
    </w:p>
    <w:tbl>
      <w:tblPr>
        <w:tblW w:w="5000" w:type="pct"/>
        <w:tblCellMar>
          <w:left w:w="0" w:type="dxa"/>
          <w:right w:w="0" w:type="dxa"/>
        </w:tblCellMar>
        <w:tblLook w:val="04A0" w:firstRow="1" w:lastRow="0" w:firstColumn="1" w:lastColumn="0" w:noHBand="0" w:noVBand="1"/>
      </w:tblPr>
      <w:tblGrid>
        <w:gridCol w:w="4981"/>
        <w:gridCol w:w="933"/>
        <w:gridCol w:w="1149"/>
        <w:gridCol w:w="856"/>
        <w:gridCol w:w="858"/>
        <w:gridCol w:w="851"/>
      </w:tblGrid>
      <w:tr w:rsidR="005645D1" w14:paraId="5DEF4578" w14:textId="77777777" w:rsidTr="005C4474">
        <w:trPr>
          <w:trHeight w:val="900"/>
        </w:trPr>
        <w:tc>
          <w:tcPr>
            <w:tcW w:w="2550"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5EF5DA" w14:textId="77777777" w:rsidR="005645D1" w:rsidRDefault="005645D1">
            <w:pPr>
              <w:jc w:val="center"/>
              <w:rPr>
                <w:rFonts w:eastAsiaTheme="minorHAnsi"/>
                <w:b/>
                <w:bCs/>
                <w:color w:val="000000"/>
                <w:sz w:val="18"/>
                <w:szCs w:val="18"/>
              </w:rPr>
            </w:pPr>
            <w:r>
              <w:rPr>
                <w:b/>
                <w:bCs/>
                <w:color w:val="000000"/>
                <w:sz w:val="18"/>
                <w:szCs w:val="18"/>
              </w:rPr>
              <w:t>Staff</w:t>
            </w:r>
          </w:p>
        </w:tc>
        <w:tc>
          <w:tcPr>
            <w:tcW w:w="492" w:type="pct"/>
            <w:tcBorders>
              <w:top w:val="single" w:sz="8" w:space="0" w:color="auto"/>
              <w:left w:val="nil"/>
              <w:bottom w:val="single" w:sz="8" w:space="0" w:color="auto"/>
              <w:right w:val="single" w:sz="8" w:space="0" w:color="auto"/>
            </w:tcBorders>
            <w:vAlign w:val="bottom"/>
          </w:tcPr>
          <w:p w14:paraId="780A667D" w14:textId="77777777" w:rsidR="005645D1" w:rsidRDefault="005645D1">
            <w:pPr>
              <w:jc w:val="center"/>
              <w:rPr>
                <w:rFonts w:eastAsiaTheme="minorHAnsi"/>
                <w:b/>
                <w:bCs/>
                <w:color w:val="1F497D"/>
                <w:sz w:val="18"/>
                <w:szCs w:val="18"/>
              </w:rPr>
            </w:pPr>
          </w:p>
          <w:p w14:paraId="420AAF63" w14:textId="77777777" w:rsidR="005645D1" w:rsidRDefault="005645D1">
            <w:pPr>
              <w:jc w:val="center"/>
              <w:rPr>
                <w:rFonts w:eastAsiaTheme="minorHAnsi"/>
                <w:b/>
                <w:bCs/>
                <w:color w:val="000000"/>
                <w:sz w:val="18"/>
                <w:szCs w:val="18"/>
              </w:rPr>
            </w:pPr>
            <w:r>
              <w:rPr>
                <w:b/>
                <w:bCs/>
                <w:color w:val="000000"/>
                <w:sz w:val="18"/>
                <w:szCs w:val="18"/>
              </w:rPr>
              <w:t>Grade/Step</w:t>
            </w:r>
          </w:p>
        </w:tc>
        <w:tc>
          <w:tcPr>
            <w:tcW w:w="6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EF74B0C" w14:textId="77777777" w:rsidR="005645D1" w:rsidRDefault="005645D1">
            <w:pPr>
              <w:jc w:val="center"/>
              <w:rPr>
                <w:rFonts w:eastAsiaTheme="minorHAnsi"/>
                <w:b/>
                <w:bCs/>
                <w:sz w:val="18"/>
                <w:szCs w:val="18"/>
              </w:rPr>
            </w:pPr>
            <w:r>
              <w:rPr>
                <w:b/>
                <w:bCs/>
                <w:sz w:val="18"/>
                <w:szCs w:val="18"/>
              </w:rPr>
              <w:t>Salary</w:t>
            </w:r>
          </w:p>
        </w:tc>
        <w:tc>
          <w:tcPr>
            <w:tcW w:w="45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006DC48" w14:textId="77777777" w:rsidR="005645D1" w:rsidRDefault="005645D1">
            <w:pPr>
              <w:jc w:val="center"/>
              <w:rPr>
                <w:rFonts w:eastAsiaTheme="minorHAnsi"/>
                <w:b/>
                <w:bCs/>
                <w:sz w:val="18"/>
                <w:szCs w:val="18"/>
              </w:rPr>
            </w:pPr>
            <w:r>
              <w:rPr>
                <w:b/>
                <w:bCs/>
                <w:sz w:val="18"/>
                <w:szCs w:val="18"/>
              </w:rPr>
              <w:t>% of Effort</w:t>
            </w:r>
          </w:p>
        </w:tc>
        <w:tc>
          <w:tcPr>
            <w:tcW w:w="453" w:type="pct"/>
            <w:tcBorders>
              <w:top w:val="single" w:sz="8" w:space="0" w:color="auto"/>
              <w:left w:val="nil"/>
              <w:bottom w:val="single" w:sz="8" w:space="0" w:color="auto"/>
              <w:right w:val="single" w:sz="8" w:space="0" w:color="auto"/>
            </w:tcBorders>
            <w:hideMark/>
          </w:tcPr>
          <w:p w14:paraId="023D9698" w14:textId="77777777" w:rsidR="005645D1" w:rsidRDefault="005645D1">
            <w:pPr>
              <w:jc w:val="center"/>
              <w:rPr>
                <w:rFonts w:eastAsiaTheme="minorHAnsi"/>
                <w:b/>
                <w:bCs/>
                <w:sz w:val="18"/>
                <w:szCs w:val="18"/>
              </w:rPr>
            </w:pPr>
            <w:r>
              <w:rPr>
                <w:b/>
                <w:bCs/>
                <w:sz w:val="18"/>
                <w:szCs w:val="18"/>
              </w:rPr>
              <w:t>Fringe (if applicable)</w:t>
            </w:r>
          </w:p>
        </w:tc>
        <w:tc>
          <w:tcPr>
            <w:tcW w:w="449" w:type="pct"/>
            <w:tcBorders>
              <w:top w:val="single" w:sz="8" w:space="0" w:color="auto"/>
              <w:left w:val="nil"/>
              <w:bottom w:val="single" w:sz="8" w:space="0" w:color="auto"/>
              <w:right w:val="single" w:sz="8" w:space="0" w:color="auto"/>
            </w:tcBorders>
            <w:hideMark/>
          </w:tcPr>
          <w:p w14:paraId="0FC6EFEE" w14:textId="77777777" w:rsidR="005645D1" w:rsidRDefault="005645D1">
            <w:pPr>
              <w:jc w:val="center"/>
              <w:rPr>
                <w:rFonts w:eastAsiaTheme="minorHAnsi"/>
                <w:b/>
                <w:bCs/>
                <w:sz w:val="18"/>
                <w:szCs w:val="18"/>
              </w:rPr>
            </w:pPr>
            <w:r>
              <w:rPr>
                <w:b/>
                <w:bCs/>
                <w:sz w:val="18"/>
                <w:szCs w:val="18"/>
              </w:rPr>
              <w:t>Total Cost to Gov’t</w:t>
            </w:r>
          </w:p>
        </w:tc>
      </w:tr>
      <w:tr w:rsidR="00592B93" w14:paraId="3A9F15A5" w14:textId="77777777" w:rsidTr="005645D1">
        <w:trPr>
          <w:trHeight w:val="300"/>
        </w:trPr>
        <w:tc>
          <w:tcPr>
            <w:tcW w:w="2550" w:type="pct"/>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3F48EC6D" w14:textId="77777777" w:rsidR="005645D1" w:rsidRDefault="005645D1">
            <w:pPr>
              <w:rPr>
                <w:rFonts w:eastAsiaTheme="minorHAnsi"/>
                <w:b/>
                <w:bCs/>
                <w:color w:val="000000"/>
                <w:sz w:val="18"/>
                <w:szCs w:val="18"/>
                <w:highlight w:val="yellow"/>
              </w:rPr>
            </w:pPr>
            <w:r>
              <w:rPr>
                <w:b/>
                <w:bCs/>
                <w:color w:val="000000"/>
                <w:sz w:val="18"/>
                <w:szCs w:val="18"/>
              </w:rPr>
              <w:t>Federal Oversight</w:t>
            </w:r>
          </w:p>
        </w:tc>
        <w:tc>
          <w:tcPr>
            <w:tcW w:w="492" w:type="pct"/>
            <w:tcBorders>
              <w:top w:val="nil"/>
              <w:left w:val="nil"/>
              <w:bottom w:val="single" w:sz="8" w:space="0" w:color="auto"/>
              <w:right w:val="single" w:sz="8" w:space="0" w:color="auto"/>
            </w:tcBorders>
            <w:shd w:val="clear" w:color="auto" w:fill="BFBFBF"/>
          </w:tcPr>
          <w:p w14:paraId="6BA2F7A6" w14:textId="77777777" w:rsidR="005645D1" w:rsidRDefault="005645D1">
            <w:pPr>
              <w:jc w:val="right"/>
              <w:rPr>
                <w:rFonts w:eastAsiaTheme="minorHAnsi"/>
                <w:color w:val="000000"/>
                <w:sz w:val="18"/>
                <w:szCs w:val="18"/>
                <w:highlight w:val="yellow"/>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6038447"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FF68411"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1F3545B6"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shd w:val="clear" w:color="auto" w:fill="BFBFBF"/>
          </w:tcPr>
          <w:p w14:paraId="59C0202C" w14:textId="77777777" w:rsidR="005645D1" w:rsidRDefault="005645D1">
            <w:pPr>
              <w:rPr>
                <w:rFonts w:eastAsiaTheme="minorHAnsi"/>
                <w:sz w:val="18"/>
                <w:szCs w:val="18"/>
              </w:rPr>
            </w:pPr>
          </w:p>
        </w:tc>
      </w:tr>
      <w:tr w:rsidR="00592B93" w14:paraId="681C33CA"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0E36BC" w14:textId="77777777" w:rsidR="005645D1" w:rsidRDefault="005645D1">
            <w:pPr>
              <w:rPr>
                <w:rFonts w:eastAsiaTheme="minorHAnsi"/>
                <w:sz w:val="18"/>
                <w:szCs w:val="18"/>
              </w:rPr>
            </w:pPr>
            <w:r>
              <w:rPr>
                <w:sz w:val="18"/>
                <w:szCs w:val="18"/>
              </w:rPr>
              <w:t xml:space="preserve">Program Director/Behavioral Scientist                                                  </w:t>
            </w:r>
          </w:p>
        </w:tc>
        <w:tc>
          <w:tcPr>
            <w:tcW w:w="492" w:type="pct"/>
            <w:tcBorders>
              <w:top w:val="nil"/>
              <w:left w:val="nil"/>
              <w:bottom w:val="single" w:sz="8" w:space="0" w:color="auto"/>
              <w:right w:val="single" w:sz="8" w:space="0" w:color="auto"/>
            </w:tcBorders>
            <w:hideMark/>
          </w:tcPr>
          <w:p w14:paraId="30566AF8" w14:textId="77777777" w:rsidR="005645D1" w:rsidRDefault="005645D1">
            <w:pPr>
              <w:ind w:left="72"/>
              <w:rPr>
                <w:rFonts w:eastAsiaTheme="minorHAnsi"/>
                <w:sz w:val="18"/>
                <w:szCs w:val="18"/>
              </w:rPr>
            </w:pPr>
            <w:r>
              <w:rPr>
                <w:sz w:val="18"/>
                <w:szCs w:val="18"/>
              </w:rPr>
              <w:t>14/5</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52670F" w14:textId="77777777" w:rsidR="005645D1" w:rsidRDefault="005645D1">
            <w:pPr>
              <w:rPr>
                <w:rFonts w:eastAsiaTheme="minorHAnsi"/>
                <w:sz w:val="18"/>
                <w:szCs w:val="18"/>
              </w:rPr>
            </w:pPr>
            <w:r>
              <w:rPr>
                <w:sz w:val="18"/>
                <w:szCs w:val="18"/>
              </w:rPr>
              <w:t>$120,429</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48A8C7" w14:textId="77777777" w:rsidR="005645D1" w:rsidRDefault="005645D1">
            <w:pPr>
              <w:rPr>
                <w:rFonts w:eastAsiaTheme="minorHAnsi"/>
                <w:sz w:val="18"/>
                <w:szCs w:val="18"/>
              </w:rPr>
            </w:pPr>
            <w:r>
              <w:rPr>
                <w:sz w:val="18"/>
                <w:szCs w:val="18"/>
              </w:rPr>
              <w:t>15%</w:t>
            </w:r>
          </w:p>
        </w:tc>
        <w:tc>
          <w:tcPr>
            <w:tcW w:w="453" w:type="pct"/>
            <w:tcBorders>
              <w:top w:val="nil"/>
              <w:left w:val="nil"/>
              <w:bottom w:val="single" w:sz="8" w:space="0" w:color="auto"/>
              <w:right w:val="single" w:sz="8" w:space="0" w:color="auto"/>
            </w:tcBorders>
            <w:shd w:val="clear" w:color="auto" w:fill="BFBFBF"/>
          </w:tcPr>
          <w:p w14:paraId="107FBD94"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0F987DBB" w14:textId="77777777" w:rsidR="005645D1" w:rsidRDefault="005645D1">
            <w:pPr>
              <w:rPr>
                <w:rFonts w:eastAsiaTheme="minorHAnsi"/>
                <w:sz w:val="18"/>
                <w:szCs w:val="18"/>
              </w:rPr>
            </w:pPr>
            <w:r>
              <w:rPr>
                <w:sz w:val="18"/>
                <w:szCs w:val="18"/>
              </w:rPr>
              <w:t>$18,064</w:t>
            </w:r>
          </w:p>
        </w:tc>
      </w:tr>
      <w:tr w:rsidR="00592B93" w14:paraId="5D03199C"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FBC9D1" w14:textId="77777777" w:rsidR="005645D1" w:rsidRDefault="005645D1">
            <w:pPr>
              <w:rPr>
                <w:rFonts w:eastAsiaTheme="minorHAnsi"/>
                <w:sz w:val="18"/>
                <w:szCs w:val="18"/>
              </w:rPr>
            </w:pPr>
            <w:r>
              <w:rPr>
                <w:sz w:val="18"/>
                <w:szCs w:val="18"/>
              </w:rPr>
              <w:t>Branch Chief</w:t>
            </w:r>
          </w:p>
        </w:tc>
        <w:tc>
          <w:tcPr>
            <w:tcW w:w="492" w:type="pct"/>
            <w:tcBorders>
              <w:top w:val="nil"/>
              <w:left w:val="nil"/>
              <w:bottom w:val="single" w:sz="8" w:space="0" w:color="auto"/>
              <w:right w:val="single" w:sz="8" w:space="0" w:color="auto"/>
            </w:tcBorders>
            <w:hideMark/>
          </w:tcPr>
          <w:p w14:paraId="027A0CF4" w14:textId="77777777" w:rsidR="005645D1" w:rsidRDefault="005645D1">
            <w:pPr>
              <w:ind w:left="72"/>
              <w:rPr>
                <w:rFonts w:eastAsiaTheme="minorHAnsi"/>
                <w:sz w:val="18"/>
                <w:szCs w:val="18"/>
              </w:rPr>
            </w:pPr>
            <w:r>
              <w:rPr>
                <w:sz w:val="18"/>
                <w:szCs w:val="18"/>
              </w:rPr>
              <w:t>15/7</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F9EB2" w14:textId="77777777" w:rsidR="005645D1" w:rsidRDefault="005645D1">
            <w:pPr>
              <w:jc w:val="both"/>
              <w:rPr>
                <w:rFonts w:eastAsiaTheme="minorHAnsi"/>
                <w:sz w:val="18"/>
                <w:szCs w:val="18"/>
              </w:rPr>
            </w:pPr>
            <w:r>
              <w:rPr>
                <w:sz w:val="18"/>
                <w:szCs w:val="18"/>
              </w:rPr>
              <w:t>$149,993</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87D308" w14:textId="77777777" w:rsidR="005645D1" w:rsidRDefault="005645D1">
            <w:pPr>
              <w:rPr>
                <w:rFonts w:eastAsiaTheme="minorHAnsi"/>
                <w:sz w:val="18"/>
                <w:szCs w:val="18"/>
              </w:rPr>
            </w:pPr>
            <w:r>
              <w:rPr>
                <w:sz w:val="18"/>
                <w:szCs w:val="18"/>
              </w:rPr>
              <w:t>15%</w:t>
            </w:r>
          </w:p>
        </w:tc>
        <w:tc>
          <w:tcPr>
            <w:tcW w:w="453" w:type="pct"/>
            <w:tcBorders>
              <w:top w:val="nil"/>
              <w:left w:val="nil"/>
              <w:bottom w:val="single" w:sz="8" w:space="0" w:color="auto"/>
              <w:right w:val="single" w:sz="8" w:space="0" w:color="auto"/>
            </w:tcBorders>
            <w:shd w:val="clear" w:color="auto" w:fill="BFBFBF"/>
          </w:tcPr>
          <w:p w14:paraId="11B7A583"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4D5550A1" w14:textId="77777777" w:rsidR="005645D1" w:rsidRDefault="005645D1">
            <w:pPr>
              <w:rPr>
                <w:rFonts w:eastAsiaTheme="minorHAnsi"/>
                <w:sz w:val="18"/>
                <w:szCs w:val="18"/>
              </w:rPr>
            </w:pPr>
            <w:r>
              <w:rPr>
                <w:sz w:val="18"/>
                <w:szCs w:val="18"/>
              </w:rPr>
              <w:t>$22,499</w:t>
            </w:r>
          </w:p>
        </w:tc>
      </w:tr>
      <w:tr w:rsidR="00592B93" w14:paraId="59DDBE9C"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FA6FCE" w14:textId="77777777" w:rsidR="005645D1" w:rsidRDefault="005645D1">
            <w:pPr>
              <w:rPr>
                <w:rFonts w:eastAsiaTheme="minorHAnsi"/>
                <w:sz w:val="18"/>
                <w:szCs w:val="18"/>
              </w:rPr>
            </w:pPr>
            <w:r>
              <w:rPr>
                <w:sz w:val="18"/>
                <w:szCs w:val="18"/>
              </w:rPr>
              <w:t xml:space="preserve">Program Director                                                                                </w:t>
            </w:r>
          </w:p>
        </w:tc>
        <w:tc>
          <w:tcPr>
            <w:tcW w:w="492" w:type="pct"/>
            <w:tcBorders>
              <w:top w:val="nil"/>
              <w:left w:val="nil"/>
              <w:bottom w:val="single" w:sz="8" w:space="0" w:color="auto"/>
              <w:right w:val="single" w:sz="8" w:space="0" w:color="auto"/>
            </w:tcBorders>
            <w:hideMark/>
          </w:tcPr>
          <w:p w14:paraId="54A00E85" w14:textId="77777777" w:rsidR="005645D1" w:rsidRDefault="005645D1">
            <w:pPr>
              <w:rPr>
                <w:rFonts w:eastAsiaTheme="minorHAnsi"/>
                <w:sz w:val="18"/>
                <w:szCs w:val="18"/>
              </w:rPr>
            </w:pPr>
            <w:r>
              <w:rPr>
                <w:sz w:val="18"/>
                <w:szCs w:val="18"/>
              </w:rPr>
              <w:t>13/3</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9F89C" w14:textId="77777777" w:rsidR="005645D1" w:rsidRDefault="005645D1">
            <w:pPr>
              <w:rPr>
                <w:rFonts w:eastAsiaTheme="minorHAnsi"/>
                <w:sz w:val="18"/>
                <w:szCs w:val="18"/>
              </w:rPr>
            </w:pPr>
            <w:r>
              <w:rPr>
                <w:sz w:val="18"/>
                <w:szCs w:val="18"/>
              </w:rPr>
              <w:t>$95,919</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A3288D" w14:textId="77777777" w:rsidR="005645D1" w:rsidRDefault="005645D1">
            <w:pPr>
              <w:rPr>
                <w:rFonts w:eastAsiaTheme="minorHAnsi"/>
                <w:sz w:val="18"/>
                <w:szCs w:val="18"/>
              </w:rPr>
            </w:pPr>
            <w:r>
              <w:rPr>
                <w:sz w:val="18"/>
                <w:szCs w:val="18"/>
              </w:rPr>
              <w:t>10%</w:t>
            </w:r>
          </w:p>
        </w:tc>
        <w:tc>
          <w:tcPr>
            <w:tcW w:w="453" w:type="pct"/>
            <w:tcBorders>
              <w:top w:val="nil"/>
              <w:left w:val="nil"/>
              <w:bottom w:val="single" w:sz="8" w:space="0" w:color="auto"/>
              <w:right w:val="single" w:sz="8" w:space="0" w:color="auto"/>
            </w:tcBorders>
            <w:shd w:val="clear" w:color="auto" w:fill="BFBFBF"/>
          </w:tcPr>
          <w:p w14:paraId="3F5785AF"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1BB069F6" w14:textId="77777777" w:rsidR="005645D1" w:rsidRDefault="005645D1">
            <w:pPr>
              <w:rPr>
                <w:rFonts w:eastAsiaTheme="minorHAnsi"/>
                <w:sz w:val="18"/>
                <w:szCs w:val="18"/>
              </w:rPr>
            </w:pPr>
            <w:r>
              <w:rPr>
                <w:sz w:val="18"/>
                <w:szCs w:val="18"/>
              </w:rPr>
              <w:t>$9,592</w:t>
            </w:r>
          </w:p>
        </w:tc>
      </w:tr>
      <w:tr w:rsidR="00592B93" w14:paraId="7667C820"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E64203" w14:textId="77777777" w:rsidR="005645D1" w:rsidRDefault="005645D1">
            <w:pPr>
              <w:rPr>
                <w:rFonts w:eastAsiaTheme="minorHAnsi"/>
                <w:sz w:val="18"/>
                <w:szCs w:val="18"/>
              </w:rPr>
            </w:pPr>
            <w:r>
              <w:rPr>
                <w:sz w:val="18"/>
                <w:szCs w:val="18"/>
              </w:rPr>
              <w:t>Fellow</w:t>
            </w:r>
          </w:p>
        </w:tc>
        <w:tc>
          <w:tcPr>
            <w:tcW w:w="492" w:type="pct"/>
            <w:tcBorders>
              <w:top w:val="nil"/>
              <w:left w:val="nil"/>
              <w:bottom w:val="single" w:sz="8" w:space="0" w:color="auto"/>
              <w:right w:val="single" w:sz="8" w:space="0" w:color="auto"/>
            </w:tcBorders>
            <w:hideMark/>
          </w:tcPr>
          <w:p w14:paraId="5E7F30AC" w14:textId="77777777" w:rsidR="005645D1" w:rsidRDefault="005645D1">
            <w:pPr>
              <w:rPr>
                <w:rFonts w:eastAsiaTheme="minorHAnsi"/>
                <w:sz w:val="18"/>
                <w:szCs w:val="18"/>
              </w:rPr>
            </w:pPr>
            <w:r>
              <w:rPr>
                <w:sz w:val="18"/>
                <w:szCs w:val="18"/>
              </w:rPr>
              <w:t>NA</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B308B" w14:textId="77777777" w:rsidR="005645D1" w:rsidRDefault="005645D1">
            <w:pPr>
              <w:rPr>
                <w:rFonts w:eastAsiaTheme="minorHAnsi"/>
                <w:sz w:val="18"/>
                <w:szCs w:val="18"/>
              </w:rPr>
            </w:pPr>
            <w:r>
              <w:rPr>
                <w:sz w:val="18"/>
                <w:szCs w:val="18"/>
              </w:rPr>
              <w:t>$38,000</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21A37" w14:textId="77777777" w:rsidR="005645D1" w:rsidRDefault="005645D1">
            <w:pPr>
              <w:rPr>
                <w:rFonts w:eastAsiaTheme="minorHAnsi"/>
                <w:sz w:val="18"/>
                <w:szCs w:val="18"/>
              </w:rPr>
            </w:pPr>
            <w:r>
              <w:rPr>
                <w:sz w:val="18"/>
                <w:szCs w:val="18"/>
              </w:rPr>
              <w:t>10%</w:t>
            </w:r>
          </w:p>
        </w:tc>
        <w:tc>
          <w:tcPr>
            <w:tcW w:w="453" w:type="pct"/>
            <w:tcBorders>
              <w:top w:val="nil"/>
              <w:left w:val="nil"/>
              <w:bottom w:val="single" w:sz="8" w:space="0" w:color="auto"/>
              <w:right w:val="single" w:sz="8" w:space="0" w:color="auto"/>
            </w:tcBorders>
            <w:shd w:val="clear" w:color="auto" w:fill="BFBFBF"/>
          </w:tcPr>
          <w:p w14:paraId="68B48206"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6FED1C68" w14:textId="77777777" w:rsidR="005645D1" w:rsidRDefault="005645D1">
            <w:pPr>
              <w:rPr>
                <w:rFonts w:eastAsiaTheme="minorHAnsi"/>
                <w:sz w:val="18"/>
                <w:szCs w:val="18"/>
              </w:rPr>
            </w:pPr>
            <w:r>
              <w:rPr>
                <w:sz w:val="18"/>
                <w:szCs w:val="18"/>
              </w:rPr>
              <w:t>$3,800</w:t>
            </w:r>
          </w:p>
        </w:tc>
      </w:tr>
      <w:tr w:rsidR="00592B93" w14:paraId="3DD041D5" w14:textId="77777777" w:rsidTr="005645D1">
        <w:trPr>
          <w:trHeight w:val="300"/>
        </w:trPr>
        <w:tc>
          <w:tcPr>
            <w:tcW w:w="2550" w:type="pct"/>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067567B1" w14:textId="77777777" w:rsidR="005645D1" w:rsidRDefault="005645D1">
            <w:pPr>
              <w:rPr>
                <w:rFonts w:eastAsiaTheme="minorHAnsi"/>
                <w:b/>
                <w:bCs/>
                <w:sz w:val="18"/>
                <w:szCs w:val="18"/>
              </w:rPr>
            </w:pPr>
            <w:r>
              <w:rPr>
                <w:b/>
                <w:bCs/>
                <w:sz w:val="18"/>
                <w:szCs w:val="18"/>
              </w:rPr>
              <w:t>Contractor Cost</w:t>
            </w:r>
          </w:p>
        </w:tc>
        <w:tc>
          <w:tcPr>
            <w:tcW w:w="492" w:type="pct"/>
            <w:tcBorders>
              <w:top w:val="nil"/>
              <w:left w:val="nil"/>
              <w:bottom w:val="single" w:sz="8" w:space="0" w:color="auto"/>
              <w:right w:val="single" w:sz="8" w:space="0" w:color="auto"/>
            </w:tcBorders>
            <w:shd w:val="clear" w:color="auto" w:fill="BFBFBF"/>
          </w:tcPr>
          <w:p w14:paraId="6117B2B6" w14:textId="77777777" w:rsidR="005645D1" w:rsidRDefault="005645D1">
            <w:pPr>
              <w:rPr>
                <w:rFonts w:eastAsiaTheme="minorHAnsi"/>
                <w:sz w:val="18"/>
                <w:szCs w:val="18"/>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52FDFE9"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8ADC7C8"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3DD63134"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shd w:val="clear" w:color="auto" w:fill="BFBFBF"/>
          </w:tcPr>
          <w:p w14:paraId="5D2A60CB" w14:textId="77777777" w:rsidR="005645D1" w:rsidRDefault="005645D1">
            <w:pPr>
              <w:rPr>
                <w:rFonts w:eastAsiaTheme="minorHAnsi"/>
                <w:sz w:val="18"/>
                <w:szCs w:val="18"/>
              </w:rPr>
            </w:pPr>
          </w:p>
        </w:tc>
      </w:tr>
      <w:tr w:rsidR="005645D1" w14:paraId="02B234B9" w14:textId="77777777" w:rsidTr="005C4474">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7A6C68" w14:textId="77777777" w:rsidR="005645D1" w:rsidRDefault="005645D1">
            <w:pPr>
              <w:rPr>
                <w:rFonts w:eastAsiaTheme="minorHAnsi"/>
                <w:sz w:val="18"/>
                <w:szCs w:val="18"/>
              </w:rPr>
            </w:pPr>
            <w:r>
              <w:rPr>
                <w:sz w:val="18"/>
                <w:szCs w:val="18"/>
              </w:rPr>
              <w:t>Project Director</w:t>
            </w:r>
          </w:p>
        </w:tc>
        <w:tc>
          <w:tcPr>
            <w:tcW w:w="492" w:type="pct"/>
            <w:tcBorders>
              <w:top w:val="nil"/>
              <w:left w:val="nil"/>
              <w:bottom w:val="single" w:sz="8" w:space="0" w:color="auto"/>
              <w:right w:val="single" w:sz="8" w:space="0" w:color="auto"/>
            </w:tcBorders>
            <w:hideMark/>
          </w:tcPr>
          <w:p w14:paraId="689DBE6D" w14:textId="77777777" w:rsidR="005645D1" w:rsidRDefault="005645D1">
            <w:pPr>
              <w:rPr>
                <w:rFonts w:eastAsiaTheme="minorHAnsi"/>
                <w:sz w:val="18"/>
                <w:szCs w:val="18"/>
              </w:rPr>
            </w:pPr>
            <w:r>
              <w:rPr>
                <w:sz w:val="18"/>
                <w:szCs w:val="18"/>
              </w:rPr>
              <w:t>NA</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F43FA" w14:textId="77777777" w:rsidR="005645D1" w:rsidRDefault="005645D1">
            <w:pPr>
              <w:rPr>
                <w:rFonts w:eastAsiaTheme="minorHAnsi"/>
                <w:sz w:val="18"/>
                <w:szCs w:val="18"/>
              </w:rPr>
            </w:pPr>
            <w:r>
              <w:rPr>
                <w:sz w:val="18"/>
                <w:szCs w:val="18"/>
              </w:rPr>
              <w:t>$128,939</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FF8246" w14:textId="77777777" w:rsidR="005645D1" w:rsidRDefault="005645D1">
            <w:pPr>
              <w:rPr>
                <w:rFonts w:eastAsiaTheme="minorHAnsi"/>
                <w:sz w:val="18"/>
                <w:szCs w:val="18"/>
              </w:rPr>
            </w:pPr>
            <w:r>
              <w:rPr>
                <w:sz w:val="18"/>
                <w:szCs w:val="18"/>
              </w:rPr>
              <w:t>16%</w:t>
            </w:r>
          </w:p>
        </w:tc>
        <w:tc>
          <w:tcPr>
            <w:tcW w:w="453" w:type="pct"/>
            <w:tcBorders>
              <w:top w:val="nil"/>
              <w:left w:val="nil"/>
              <w:bottom w:val="single" w:sz="8" w:space="0" w:color="auto"/>
              <w:right w:val="single" w:sz="8" w:space="0" w:color="auto"/>
            </w:tcBorders>
            <w:hideMark/>
          </w:tcPr>
          <w:p w14:paraId="3335709A" w14:textId="77777777" w:rsidR="005645D1" w:rsidRDefault="005645D1">
            <w:pPr>
              <w:rPr>
                <w:rFonts w:eastAsiaTheme="minorHAnsi"/>
                <w:sz w:val="18"/>
                <w:szCs w:val="18"/>
              </w:rPr>
            </w:pPr>
            <w:r>
              <w:rPr>
                <w:sz w:val="18"/>
                <w:szCs w:val="18"/>
              </w:rPr>
              <w:t xml:space="preserve">$8,076 </w:t>
            </w:r>
          </w:p>
        </w:tc>
        <w:tc>
          <w:tcPr>
            <w:tcW w:w="449" w:type="pct"/>
            <w:tcBorders>
              <w:top w:val="nil"/>
              <w:left w:val="nil"/>
              <w:bottom w:val="single" w:sz="8" w:space="0" w:color="auto"/>
              <w:right w:val="single" w:sz="8" w:space="0" w:color="auto"/>
            </w:tcBorders>
            <w:hideMark/>
          </w:tcPr>
          <w:p w14:paraId="242D8E20" w14:textId="77777777" w:rsidR="005645D1" w:rsidRDefault="005645D1">
            <w:pPr>
              <w:rPr>
                <w:rFonts w:eastAsiaTheme="minorHAnsi"/>
                <w:sz w:val="18"/>
                <w:szCs w:val="18"/>
              </w:rPr>
            </w:pPr>
            <w:r>
              <w:rPr>
                <w:sz w:val="18"/>
                <w:szCs w:val="18"/>
              </w:rPr>
              <w:t xml:space="preserve">$29,326 </w:t>
            </w:r>
          </w:p>
        </w:tc>
      </w:tr>
      <w:tr w:rsidR="005645D1" w14:paraId="1E03D994" w14:textId="77777777" w:rsidTr="005C4474">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9D618C" w14:textId="77777777" w:rsidR="005645D1" w:rsidRDefault="005645D1">
            <w:pPr>
              <w:rPr>
                <w:rFonts w:eastAsiaTheme="minorHAnsi"/>
                <w:sz w:val="18"/>
                <w:szCs w:val="18"/>
              </w:rPr>
            </w:pPr>
            <w:r>
              <w:rPr>
                <w:sz w:val="18"/>
                <w:szCs w:val="18"/>
              </w:rPr>
              <w:t>Statistician</w:t>
            </w:r>
          </w:p>
        </w:tc>
        <w:tc>
          <w:tcPr>
            <w:tcW w:w="492" w:type="pct"/>
            <w:tcBorders>
              <w:top w:val="nil"/>
              <w:left w:val="nil"/>
              <w:bottom w:val="single" w:sz="8" w:space="0" w:color="auto"/>
              <w:right w:val="single" w:sz="8" w:space="0" w:color="auto"/>
            </w:tcBorders>
            <w:hideMark/>
          </w:tcPr>
          <w:p w14:paraId="75B3DE26" w14:textId="77777777" w:rsidR="005645D1" w:rsidRDefault="005645D1">
            <w:pPr>
              <w:rPr>
                <w:rFonts w:eastAsiaTheme="minorHAnsi"/>
                <w:sz w:val="18"/>
                <w:szCs w:val="18"/>
              </w:rPr>
            </w:pPr>
            <w:r>
              <w:rPr>
                <w:sz w:val="18"/>
                <w:szCs w:val="18"/>
              </w:rPr>
              <w:t>NA</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E41AC" w14:textId="77777777" w:rsidR="005645D1" w:rsidRDefault="005645D1">
            <w:pPr>
              <w:rPr>
                <w:rFonts w:eastAsiaTheme="minorHAnsi"/>
                <w:sz w:val="18"/>
                <w:szCs w:val="18"/>
              </w:rPr>
            </w:pPr>
            <w:r>
              <w:rPr>
                <w:sz w:val="18"/>
                <w:szCs w:val="18"/>
              </w:rPr>
              <w:t>$93,944</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0A2101" w14:textId="77777777" w:rsidR="005645D1" w:rsidRDefault="005645D1">
            <w:pPr>
              <w:rPr>
                <w:rFonts w:eastAsiaTheme="minorHAnsi"/>
                <w:sz w:val="18"/>
                <w:szCs w:val="18"/>
              </w:rPr>
            </w:pPr>
            <w:r>
              <w:rPr>
                <w:sz w:val="18"/>
                <w:szCs w:val="18"/>
              </w:rPr>
              <w:t>19%</w:t>
            </w:r>
          </w:p>
        </w:tc>
        <w:tc>
          <w:tcPr>
            <w:tcW w:w="453" w:type="pct"/>
            <w:tcBorders>
              <w:top w:val="nil"/>
              <w:left w:val="nil"/>
              <w:bottom w:val="single" w:sz="8" w:space="0" w:color="auto"/>
              <w:right w:val="single" w:sz="8" w:space="0" w:color="auto"/>
            </w:tcBorders>
            <w:hideMark/>
          </w:tcPr>
          <w:p w14:paraId="1EA0DBB6" w14:textId="77777777" w:rsidR="005645D1" w:rsidRDefault="005645D1">
            <w:pPr>
              <w:rPr>
                <w:rFonts w:eastAsiaTheme="minorHAnsi"/>
                <w:sz w:val="18"/>
                <w:szCs w:val="18"/>
              </w:rPr>
            </w:pPr>
            <w:r>
              <w:rPr>
                <w:sz w:val="18"/>
                <w:szCs w:val="18"/>
              </w:rPr>
              <w:t xml:space="preserve">$6,961 </w:t>
            </w:r>
          </w:p>
        </w:tc>
        <w:tc>
          <w:tcPr>
            <w:tcW w:w="449" w:type="pct"/>
            <w:tcBorders>
              <w:top w:val="nil"/>
              <w:left w:val="nil"/>
              <w:bottom w:val="single" w:sz="8" w:space="0" w:color="auto"/>
              <w:right w:val="single" w:sz="8" w:space="0" w:color="auto"/>
            </w:tcBorders>
            <w:hideMark/>
          </w:tcPr>
          <w:p w14:paraId="1C199F60" w14:textId="77777777" w:rsidR="005645D1" w:rsidRDefault="005645D1">
            <w:pPr>
              <w:rPr>
                <w:rFonts w:eastAsiaTheme="minorHAnsi"/>
                <w:sz w:val="18"/>
                <w:szCs w:val="18"/>
              </w:rPr>
            </w:pPr>
            <w:r>
              <w:rPr>
                <w:sz w:val="18"/>
                <w:szCs w:val="18"/>
              </w:rPr>
              <w:t xml:space="preserve">$25,280 </w:t>
            </w:r>
          </w:p>
        </w:tc>
      </w:tr>
      <w:tr w:rsidR="005645D1" w14:paraId="7BCF1EC2" w14:textId="77777777" w:rsidTr="005C4474">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BEC2FB" w14:textId="77777777" w:rsidR="005645D1" w:rsidRDefault="005645D1">
            <w:pPr>
              <w:rPr>
                <w:rFonts w:eastAsiaTheme="minorHAnsi"/>
                <w:sz w:val="18"/>
                <w:szCs w:val="18"/>
              </w:rPr>
            </w:pPr>
            <w:r>
              <w:rPr>
                <w:sz w:val="18"/>
                <w:szCs w:val="18"/>
              </w:rPr>
              <w:t>Survey Methodologist</w:t>
            </w:r>
          </w:p>
        </w:tc>
        <w:tc>
          <w:tcPr>
            <w:tcW w:w="492" w:type="pct"/>
            <w:tcBorders>
              <w:top w:val="nil"/>
              <w:left w:val="nil"/>
              <w:bottom w:val="single" w:sz="8" w:space="0" w:color="auto"/>
              <w:right w:val="single" w:sz="8" w:space="0" w:color="auto"/>
            </w:tcBorders>
            <w:hideMark/>
          </w:tcPr>
          <w:p w14:paraId="754AE435" w14:textId="77777777" w:rsidR="005645D1" w:rsidRDefault="005645D1">
            <w:pPr>
              <w:rPr>
                <w:rFonts w:eastAsiaTheme="minorHAnsi"/>
                <w:sz w:val="18"/>
                <w:szCs w:val="18"/>
              </w:rPr>
            </w:pPr>
            <w:r>
              <w:rPr>
                <w:sz w:val="18"/>
                <w:szCs w:val="18"/>
              </w:rPr>
              <w:t>NA</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1BAF7" w14:textId="77777777" w:rsidR="005645D1" w:rsidRDefault="005645D1">
            <w:pPr>
              <w:rPr>
                <w:rFonts w:eastAsiaTheme="minorHAnsi"/>
                <w:sz w:val="18"/>
                <w:szCs w:val="18"/>
              </w:rPr>
            </w:pPr>
            <w:r>
              <w:rPr>
                <w:sz w:val="18"/>
                <w:szCs w:val="18"/>
              </w:rPr>
              <w:t>$69,975</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E7D5C" w14:textId="77777777" w:rsidR="005645D1" w:rsidRDefault="005645D1">
            <w:pPr>
              <w:rPr>
                <w:rFonts w:eastAsiaTheme="minorHAnsi"/>
                <w:sz w:val="18"/>
                <w:szCs w:val="18"/>
              </w:rPr>
            </w:pPr>
            <w:r>
              <w:rPr>
                <w:sz w:val="18"/>
                <w:szCs w:val="18"/>
              </w:rPr>
              <w:t>33%</w:t>
            </w:r>
          </w:p>
        </w:tc>
        <w:tc>
          <w:tcPr>
            <w:tcW w:w="453" w:type="pct"/>
            <w:tcBorders>
              <w:top w:val="nil"/>
              <w:left w:val="nil"/>
              <w:bottom w:val="single" w:sz="8" w:space="0" w:color="auto"/>
              <w:right w:val="single" w:sz="8" w:space="0" w:color="auto"/>
            </w:tcBorders>
            <w:hideMark/>
          </w:tcPr>
          <w:p w14:paraId="68EBEDEA" w14:textId="77777777" w:rsidR="005645D1" w:rsidRDefault="005645D1">
            <w:pPr>
              <w:rPr>
                <w:rFonts w:eastAsiaTheme="minorHAnsi"/>
                <w:sz w:val="18"/>
                <w:szCs w:val="18"/>
              </w:rPr>
            </w:pPr>
            <w:r>
              <w:rPr>
                <w:sz w:val="18"/>
                <w:szCs w:val="18"/>
              </w:rPr>
              <w:t xml:space="preserve">$8,775 </w:t>
            </w:r>
          </w:p>
        </w:tc>
        <w:tc>
          <w:tcPr>
            <w:tcW w:w="449" w:type="pct"/>
            <w:tcBorders>
              <w:top w:val="nil"/>
              <w:left w:val="nil"/>
              <w:bottom w:val="single" w:sz="8" w:space="0" w:color="auto"/>
              <w:right w:val="single" w:sz="8" w:space="0" w:color="auto"/>
            </w:tcBorders>
            <w:hideMark/>
          </w:tcPr>
          <w:p w14:paraId="3E130C64" w14:textId="77777777" w:rsidR="005645D1" w:rsidRDefault="005645D1">
            <w:pPr>
              <w:rPr>
                <w:rFonts w:eastAsiaTheme="minorHAnsi"/>
                <w:sz w:val="18"/>
                <w:szCs w:val="18"/>
              </w:rPr>
            </w:pPr>
            <w:r>
              <w:rPr>
                <w:sz w:val="18"/>
                <w:szCs w:val="18"/>
              </w:rPr>
              <w:t xml:space="preserve">$31,867 </w:t>
            </w:r>
          </w:p>
        </w:tc>
      </w:tr>
      <w:tr w:rsidR="005645D1" w14:paraId="4274DFD5" w14:textId="77777777" w:rsidTr="005C4474">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3DBEECA" w14:textId="77777777" w:rsidR="005645D1" w:rsidRDefault="005645D1">
            <w:pPr>
              <w:rPr>
                <w:rFonts w:eastAsiaTheme="minorHAnsi"/>
                <w:sz w:val="18"/>
                <w:szCs w:val="18"/>
              </w:rPr>
            </w:pPr>
            <w:r>
              <w:rPr>
                <w:sz w:val="18"/>
                <w:szCs w:val="18"/>
              </w:rPr>
              <w:lastRenderedPageBreak/>
              <w:t>Research Services/ Data Collection Specialist</w:t>
            </w:r>
          </w:p>
        </w:tc>
        <w:tc>
          <w:tcPr>
            <w:tcW w:w="492" w:type="pct"/>
            <w:tcBorders>
              <w:top w:val="nil"/>
              <w:left w:val="nil"/>
              <w:bottom w:val="single" w:sz="8" w:space="0" w:color="auto"/>
              <w:right w:val="single" w:sz="8" w:space="0" w:color="auto"/>
            </w:tcBorders>
            <w:hideMark/>
          </w:tcPr>
          <w:p w14:paraId="37648E08" w14:textId="77777777" w:rsidR="005645D1" w:rsidRDefault="005645D1">
            <w:pPr>
              <w:rPr>
                <w:rFonts w:eastAsiaTheme="minorHAnsi"/>
                <w:sz w:val="18"/>
                <w:szCs w:val="18"/>
              </w:rPr>
            </w:pPr>
            <w:r>
              <w:rPr>
                <w:sz w:val="18"/>
                <w:szCs w:val="18"/>
              </w:rPr>
              <w:t>NA</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A989CC" w14:textId="77777777" w:rsidR="005645D1" w:rsidRDefault="005645D1">
            <w:pPr>
              <w:rPr>
                <w:rFonts w:eastAsiaTheme="minorHAnsi"/>
                <w:sz w:val="18"/>
                <w:szCs w:val="18"/>
              </w:rPr>
            </w:pPr>
            <w:r>
              <w:rPr>
                <w:sz w:val="18"/>
                <w:szCs w:val="18"/>
              </w:rPr>
              <w:t>$76,205</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181620" w14:textId="77777777" w:rsidR="005645D1" w:rsidRDefault="005645D1">
            <w:pPr>
              <w:rPr>
                <w:rFonts w:eastAsiaTheme="minorHAnsi"/>
                <w:sz w:val="18"/>
                <w:szCs w:val="18"/>
              </w:rPr>
            </w:pPr>
            <w:r>
              <w:rPr>
                <w:sz w:val="18"/>
                <w:szCs w:val="18"/>
              </w:rPr>
              <w:t>13%</w:t>
            </w:r>
          </w:p>
        </w:tc>
        <w:tc>
          <w:tcPr>
            <w:tcW w:w="453" w:type="pct"/>
            <w:tcBorders>
              <w:top w:val="nil"/>
              <w:left w:val="nil"/>
              <w:bottom w:val="single" w:sz="8" w:space="0" w:color="auto"/>
              <w:right w:val="single" w:sz="8" w:space="0" w:color="auto"/>
            </w:tcBorders>
            <w:hideMark/>
          </w:tcPr>
          <w:p w14:paraId="6D159A3F" w14:textId="77777777" w:rsidR="005645D1" w:rsidRDefault="005645D1">
            <w:pPr>
              <w:rPr>
                <w:rFonts w:eastAsiaTheme="minorHAnsi"/>
                <w:sz w:val="18"/>
                <w:szCs w:val="18"/>
              </w:rPr>
            </w:pPr>
            <w:r>
              <w:rPr>
                <w:sz w:val="18"/>
                <w:szCs w:val="18"/>
              </w:rPr>
              <w:t xml:space="preserve">$3,910 </w:t>
            </w:r>
          </w:p>
        </w:tc>
        <w:tc>
          <w:tcPr>
            <w:tcW w:w="449" w:type="pct"/>
            <w:tcBorders>
              <w:top w:val="nil"/>
              <w:left w:val="nil"/>
              <w:bottom w:val="single" w:sz="8" w:space="0" w:color="auto"/>
              <w:right w:val="single" w:sz="8" w:space="0" w:color="auto"/>
            </w:tcBorders>
            <w:hideMark/>
          </w:tcPr>
          <w:p w14:paraId="70CB4DCF" w14:textId="77777777" w:rsidR="005645D1" w:rsidRDefault="005645D1">
            <w:pPr>
              <w:rPr>
                <w:rFonts w:eastAsiaTheme="minorHAnsi"/>
                <w:sz w:val="18"/>
                <w:szCs w:val="18"/>
              </w:rPr>
            </w:pPr>
            <w:r>
              <w:rPr>
                <w:sz w:val="18"/>
                <w:szCs w:val="18"/>
              </w:rPr>
              <w:t xml:space="preserve">$14,197 </w:t>
            </w:r>
          </w:p>
        </w:tc>
      </w:tr>
      <w:tr w:rsidR="005645D1" w14:paraId="77F04C96" w14:textId="77777777" w:rsidTr="005C4474">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BBBBEF" w14:textId="77777777" w:rsidR="005645D1" w:rsidRDefault="005645D1">
            <w:pPr>
              <w:rPr>
                <w:rFonts w:eastAsiaTheme="minorHAnsi"/>
                <w:sz w:val="18"/>
                <w:szCs w:val="18"/>
              </w:rPr>
            </w:pPr>
            <w:r>
              <w:rPr>
                <w:sz w:val="18"/>
                <w:szCs w:val="18"/>
              </w:rPr>
              <w:t>Programmer Analyst</w:t>
            </w:r>
          </w:p>
        </w:tc>
        <w:tc>
          <w:tcPr>
            <w:tcW w:w="492" w:type="pct"/>
            <w:tcBorders>
              <w:top w:val="nil"/>
              <w:left w:val="nil"/>
              <w:bottom w:val="single" w:sz="8" w:space="0" w:color="auto"/>
              <w:right w:val="single" w:sz="8" w:space="0" w:color="auto"/>
            </w:tcBorders>
            <w:hideMark/>
          </w:tcPr>
          <w:p w14:paraId="75257339" w14:textId="77777777" w:rsidR="005645D1" w:rsidRDefault="005645D1">
            <w:pPr>
              <w:rPr>
                <w:rFonts w:eastAsiaTheme="minorHAnsi"/>
                <w:sz w:val="18"/>
                <w:szCs w:val="18"/>
              </w:rPr>
            </w:pPr>
            <w:r>
              <w:rPr>
                <w:sz w:val="18"/>
                <w:szCs w:val="18"/>
              </w:rPr>
              <w:t>NA</w:t>
            </w:r>
          </w:p>
        </w:tc>
        <w:tc>
          <w:tcPr>
            <w:tcW w:w="604"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C242C6" w14:textId="77777777" w:rsidR="005645D1" w:rsidRDefault="005645D1">
            <w:pPr>
              <w:rPr>
                <w:rFonts w:eastAsiaTheme="minorHAnsi"/>
                <w:sz w:val="18"/>
                <w:szCs w:val="18"/>
              </w:rPr>
            </w:pPr>
            <w:r>
              <w:rPr>
                <w:sz w:val="18"/>
                <w:szCs w:val="18"/>
              </w:rPr>
              <w:t>$106,300</w:t>
            </w:r>
          </w:p>
        </w:tc>
        <w:tc>
          <w:tcPr>
            <w:tcW w:w="452"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888385" w14:textId="77777777" w:rsidR="005645D1" w:rsidRDefault="005645D1">
            <w:pPr>
              <w:rPr>
                <w:rFonts w:eastAsiaTheme="minorHAnsi"/>
                <w:sz w:val="18"/>
                <w:szCs w:val="18"/>
              </w:rPr>
            </w:pPr>
            <w:r>
              <w:rPr>
                <w:sz w:val="18"/>
                <w:szCs w:val="18"/>
              </w:rPr>
              <w:t>13%</w:t>
            </w:r>
          </w:p>
        </w:tc>
        <w:tc>
          <w:tcPr>
            <w:tcW w:w="453" w:type="pct"/>
            <w:tcBorders>
              <w:top w:val="nil"/>
              <w:left w:val="nil"/>
              <w:bottom w:val="single" w:sz="8" w:space="0" w:color="auto"/>
              <w:right w:val="single" w:sz="8" w:space="0" w:color="auto"/>
            </w:tcBorders>
            <w:hideMark/>
          </w:tcPr>
          <w:p w14:paraId="032A33C7" w14:textId="77777777" w:rsidR="005645D1" w:rsidRDefault="005645D1">
            <w:pPr>
              <w:rPr>
                <w:rFonts w:eastAsiaTheme="minorHAnsi"/>
                <w:sz w:val="18"/>
                <w:szCs w:val="18"/>
              </w:rPr>
            </w:pPr>
            <w:r>
              <w:rPr>
                <w:sz w:val="18"/>
                <w:szCs w:val="18"/>
              </w:rPr>
              <w:t xml:space="preserve">$5,252 </w:t>
            </w:r>
          </w:p>
        </w:tc>
        <w:tc>
          <w:tcPr>
            <w:tcW w:w="449" w:type="pct"/>
            <w:tcBorders>
              <w:top w:val="nil"/>
              <w:left w:val="nil"/>
              <w:bottom w:val="single" w:sz="8" w:space="0" w:color="auto"/>
              <w:right w:val="single" w:sz="8" w:space="0" w:color="auto"/>
            </w:tcBorders>
            <w:hideMark/>
          </w:tcPr>
          <w:p w14:paraId="0510FE16" w14:textId="77777777" w:rsidR="005645D1" w:rsidRDefault="005645D1">
            <w:pPr>
              <w:rPr>
                <w:rFonts w:eastAsiaTheme="minorHAnsi"/>
                <w:sz w:val="18"/>
                <w:szCs w:val="18"/>
              </w:rPr>
            </w:pPr>
            <w:r>
              <w:rPr>
                <w:sz w:val="18"/>
                <w:szCs w:val="18"/>
              </w:rPr>
              <w:t xml:space="preserve">$19,071 </w:t>
            </w:r>
          </w:p>
        </w:tc>
      </w:tr>
      <w:tr w:rsidR="00592B93" w14:paraId="019A5415"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B708FA" w14:textId="77777777" w:rsidR="005645D1" w:rsidRDefault="005645D1">
            <w:pPr>
              <w:rPr>
                <w:rFonts w:eastAsiaTheme="minorHAnsi"/>
                <w:sz w:val="18"/>
                <w:szCs w:val="18"/>
              </w:rPr>
            </w:pPr>
          </w:p>
        </w:tc>
        <w:tc>
          <w:tcPr>
            <w:tcW w:w="492" w:type="pct"/>
            <w:tcBorders>
              <w:top w:val="nil"/>
              <w:left w:val="nil"/>
              <w:bottom w:val="single" w:sz="8" w:space="0" w:color="auto"/>
              <w:right w:val="single" w:sz="8" w:space="0" w:color="auto"/>
            </w:tcBorders>
            <w:shd w:val="clear" w:color="auto" w:fill="BFBFBF"/>
          </w:tcPr>
          <w:p w14:paraId="00E04600" w14:textId="77777777" w:rsidR="005645D1" w:rsidRDefault="005645D1">
            <w:pPr>
              <w:rPr>
                <w:rFonts w:eastAsiaTheme="minorHAnsi"/>
                <w:sz w:val="18"/>
                <w:szCs w:val="18"/>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6EA260C"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FC26F1B"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712D2E74"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tcPr>
          <w:p w14:paraId="6D5C1B90" w14:textId="77777777" w:rsidR="005645D1" w:rsidRDefault="005645D1">
            <w:pPr>
              <w:rPr>
                <w:rFonts w:eastAsiaTheme="minorHAnsi"/>
                <w:sz w:val="18"/>
                <w:szCs w:val="18"/>
              </w:rPr>
            </w:pPr>
          </w:p>
        </w:tc>
      </w:tr>
      <w:tr w:rsidR="00592B93" w14:paraId="4B5C0551"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986B58" w14:textId="77777777" w:rsidR="005645D1" w:rsidRDefault="005645D1">
            <w:pPr>
              <w:rPr>
                <w:rFonts w:eastAsiaTheme="minorHAnsi"/>
                <w:sz w:val="18"/>
                <w:szCs w:val="18"/>
              </w:rPr>
            </w:pPr>
            <w:r>
              <w:rPr>
                <w:sz w:val="18"/>
                <w:szCs w:val="18"/>
              </w:rPr>
              <w:t>Travel</w:t>
            </w:r>
          </w:p>
        </w:tc>
        <w:tc>
          <w:tcPr>
            <w:tcW w:w="492" w:type="pct"/>
            <w:tcBorders>
              <w:top w:val="nil"/>
              <w:left w:val="nil"/>
              <w:bottom w:val="single" w:sz="8" w:space="0" w:color="auto"/>
              <w:right w:val="single" w:sz="8" w:space="0" w:color="auto"/>
            </w:tcBorders>
            <w:shd w:val="clear" w:color="auto" w:fill="BFBFBF"/>
          </w:tcPr>
          <w:p w14:paraId="2A5ACDE9" w14:textId="77777777" w:rsidR="005645D1" w:rsidRDefault="005645D1">
            <w:pPr>
              <w:rPr>
                <w:rFonts w:eastAsiaTheme="minorHAnsi"/>
                <w:sz w:val="18"/>
                <w:szCs w:val="18"/>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89A38CC"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F81E7CD"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45A6851B"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204D2A49" w14:textId="77777777" w:rsidR="005645D1" w:rsidRDefault="005645D1">
            <w:pPr>
              <w:rPr>
                <w:rFonts w:eastAsiaTheme="minorHAnsi"/>
                <w:sz w:val="18"/>
                <w:szCs w:val="18"/>
              </w:rPr>
            </w:pPr>
            <w:r>
              <w:rPr>
                <w:sz w:val="18"/>
                <w:szCs w:val="18"/>
              </w:rPr>
              <w:t>$3,660</w:t>
            </w:r>
          </w:p>
        </w:tc>
      </w:tr>
      <w:tr w:rsidR="00592B93" w14:paraId="4DFE8E7A"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4C341" w14:textId="77777777" w:rsidR="005645D1" w:rsidRDefault="005645D1">
            <w:pPr>
              <w:rPr>
                <w:rFonts w:eastAsiaTheme="minorHAnsi"/>
                <w:sz w:val="18"/>
                <w:szCs w:val="18"/>
              </w:rPr>
            </w:pPr>
            <w:r>
              <w:rPr>
                <w:sz w:val="18"/>
                <w:szCs w:val="18"/>
              </w:rPr>
              <w:t>Materials and Supplies</w:t>
            </w:r>
          </w:p>
        </w:tc>
        <w:tc>
          <w:tcPr>
            <w:tcW w:w="492" w:type="pct"/>
            <w:tcBorders>
              <w:top w:val="nil"/>
              <w:left w:val="nil"/>
              <w:bottom w:val="single" w:sz="8" w:space="0" w:color="auto"/>
              <w:right w:val="single" w:sz="8" w:space="0" w:color="auto"/>
            </w:tcBorders>
            <w:shd w:val="clear" w:color="auto" w:fill="BFBFBF"/>
          </w:tcPr>
          <w:p w14:paraId="7D034B62" w14:textId="77777777" w:rsidR="005645D1" w:rsidRDefault="005645D1">
            <w:pPr>
              <w:rPr>
                <w:rFonts w:eastAsiaTheme="minorHAnsi"/>
                <w:sz w:val="18"/>
                <w:szCs w:val="18"/>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026FE657"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9E45520"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67A264F9"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5C0885B6" w14:textId="77777777" w:rsidR="005645D1" w:rsidRDefault="005645D1">
            <w:pPr>
              <w:rPr>
                <w:rFonts w:eastAsiaTheme="minorHAnsi"/>
                <w:sz w:val="18"/>
                <w:szCs w:val="18"/>
              </w:rPr>
            </w:pPr>
            <w:r>
              <w:rPr>
                <w:sz w:val="18"/>
                <w:szCs w:val="18"/>
              </w:rPr>
              <w:t>$30,088</w:t>
            </w:r>
          </w:p>
        </w:tc>
      </w:tr>
      <w:tr w:rsidR="00592B93" w14:paraId="024B3036"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ACC5B9" w14:textId="77777777" w:rsidR="005645D1" w:rsidRDefault="005645D1">
            <w:pPr>
              <w:rPr>
                <w:rFonts w:eastAsiaTheme="minorHAnsi"/>
                <w:sz w:val="18"/>
                <w:szCs w:val="18"/>
              </w:rPr>
            </w:pPr>
            <w:r>
              <w:rPr>
                <w:sz w:val="18"/>
                <w:szCs w:val="18"/>
              </w:rPr>
              <w:t>Subcontracts</w:t>
            </w:r>
          </w:p>
        </w:tc>
        <w:tc>
          <w:tcPr>
            <w:tcW w:w="492" w:type="pct"/>
            <w:tcBorders>
              <w:top w:val="nil"/>
              <w:left w:val="nil"/>
              <w:bottom w:val="single" w:sz="8" w:space="0" w:color="auto"/>
              <w:right w:val="single" w:sz="8" w:space="0" w:color="auto"/>
            </w:tcBorders>
            <w:shd w:val="clear" w:color="auto" w:fill="BFBFBF"/>
          </w:tcPr>
          <w:p w14:paraId="342A1729" w14:textId="77777777" w:rsidR="005645D1" w:rsidRDefault="005645D1">
            <w:pPr>
              <w:rPr>
                <w:rFonts w:eastAsiaTheme="minorHAnsi"/>
                <w:color w:val="000000"/>
                <w:sz w:val="18"/>
                <w:szCs w:val="18"/>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DC74846"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12C9119"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55C76CF5"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5EABDD07" w14:textId="77777777" w:rsidR="005645D1" w:rsidRDefault="005645D1">
            <w:pPr>
              <w:rPr>
                <w:rFonts w:eastAsiaTheme="minorHAnsi"/>
                <w:sz w:val="18"/>
                <w:szCs w:val="18"/>
              </w:rPr>
            </w:pPr>
            <w:r>
              <w:rPr>
                <w:sz w:val="18"/>
                <w:szCs w:val="18"/>
              </w:rPr>
              <w:t>$33,223</w:t>
            </w:r>
          </w:p>
        </w:tc>
      </w:tr>
      <w:tr w:rsidR="00592B93" w14:paraId="4D4902E1" w14:textId="77777777" w:rsidTr="005645D1">
        <w:trPr>
          <w:trHeight w:val="300"/>
        </w:trPr>
        <w:tc>
          <w:tcPr>
            <w:tcW w:w="2550"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8532DA" w14:textId="72F94053" w:rsidR="005645D1" w:rsidRDefault="005645D1" w:rsidP="00552401">
            <w:pPr>
              <w:rPr>
                <w:rFonts w:eastAsiaTheme="minorHAnsi"/>
                <w:color w:val="1F497D"/>
                <w:sz w:val="18"/>
                <w:szCs w:val="18"/>
                <w:highlight w:val="yellow"/>
              </w:rPr>
            </w:pPr>
            <w:r>
              <w:rPr>
                <w:sz w:val="18"/>
                <w:szCs w:val="18"/>
              </w:rPr>
              <w:t xml:space="preserve">Participant </w:t>
            </w:r>
            <w:r w:rsidR="00552401">
              <w:rPr>
                <w:sz w:val="18"/>
                <w:szCs w:val="18"/>
              </w:rPr>
              <w:t>gifts</w:t>
            </w:r>
          </w:p>
        </w:tc>
        <w:tc>
          <w:tcPr>
            <w:tcW w:w="492" w:type="pct"/>
            <w:tcBorders>
              <w:top w:val="nil"/>
              <w:left w:val="nil"/>
              <w:bottom w:val="single" w:sz="8" w:space="0" w:color="auto"/>
              <w:right w:val="single" w:sz="8" w:space="0" w:color="auto"/>
            </w:tcBorders>
            <w:shd w:val="clear" w:color="auto" w:fill="BFBFBF"/>
          </w:tcPr>
          <w:p w14:paraId="25FCA79F" w14:textId="77777777" w:rsidR="005645D1" w:rsidRDefault="005645D1">
            <w:pPr>
              <w:rPr>
                <w:rFonts w:eastAsiaTheme="minorHAnsi"/>
                <w:color w:val="000000"/>
                <w:sz w:val="18"/>
                <w:szCs w:val="18"/>
              </w:rPr>
            </w:pPr>
          </w:p>
        </w:tc>
        <w:tc>
          <w:tcPr>
            <w:tcW w:w="604"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8B741BF" w14:textId="77777777" w:rsidR="005645D1" w:rsidRDefault="005645D1">
            <w:pPr>
              <w:rPr>
                <w:rFonts w:eastAsiaTheme="minorHAnsi"/>
                <w:sz w:val="18"/>
                <w:szCs w:val="18"/>
              </w:rPr>
            </w:pPr>
          </w:p>
        </w:tc>
        <w:tc>
          <w:tcPr>
            <w:tcW w:w="452" w:type="pct"/>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5962250F" w14:textId="77777777" w:rsidR="005645D1" w:rsidRDefault="005645D1">
            <w:pPr>
              <w:rPr>
                <w:rFonts w:eastAsiaTheme="minorHAnsi"/>
                <w:sz w:val="18"/>
                <w:szCs w:val="18"/>
              </w:rPr>
            </w:pPr>
          </w:p>
        </w:tc>
        <w:tc>
          <w:tcPr>
            <w:tcW w:w="453" w:type="pct"/>
            <w:tcBorders>
              <w:top w:val="nil"/>
              <w:left w:val="nil"/>
              <w:bottom w:val="single" w:sz="8" w:space="0" w:color="auto"/>
              <w:right w:val="single" w:sz="8" w:space="0" w:color="auto"/>
            </w:tcBorders>
            <w:shd w:val="clear" w:color="auto" w:fill="BFBFBF"/>
          </w:tcPr>
          <w:p w14:paraId="2534A723" w14:textId="77777777" w:rsidR="005645D1" w:rsidRDefault="005645D1">
            <w:pPr>
              <w:rPr>
                <w:rFonts w:eastAsiaTheme="minorHAnsi"/>
                <w:sz w:val="18"/>
                <w:szCs w:val="18"/>
              </w:rPr>
            </w:pPr>
          </w:p>
        </w:tc>
        <w:tc>
          <w:tcPr>
            <w:tcW w:w="449" w:type="pct"/>
            <w:tcBorders>
              <w:top w:val="nil"/>
              <w:left w:val="nil"/>
              <w:bottom w:val="single" w:sz="8" w:space="0" w:color="auto"/>
              <w:right w:val="single" w:sz="8" w:space="0" w:color="auto"/>
            </w:tcBorders>
            <w:hideMark/>
          </w:tcPr>
          <w:p w14:paraId="6FFCB8C3" w14:textId="77777777" w:rsidR="005645D1" w:rsidRDefault="005645D1">
            <w:pPr>
              <w:rPr>
                <w:rFonts w:eastAsiaTheme="minorHAnsi"/>
                <w:sz w:val="18"/>
                <w:szCs w:val="18"/>
              </w:rPr>
            </w:pPr>
            <w:r>
              <w:rPr>
                <w:sz w:val="18"/>
                <w:szCs w:val="18"/>
              </w:rPr>
              <w:t>$39,600</w:t>
            </w:r>
          </w:p>
        </w:tc>
      </w:tr>
      <w:tr w:rsidR="00592B93" w14:paraId="1E6A9E1F" w14:textId="77777777" w:rsidTr="005645D1">
        <w:trPr>
          <w:trHeight w:val="300"/>
        </w:trPr>
        <w:tc>
          <w:tcPr>
            <w:tcW w:w="2550" w:type="pct"/>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14:paraId="05005D1D" w14:textId="77777777" w:rsidR="005645D1" w:rsidRDefault="005645D1">
            <w:pPr>
              <w:rPr>
                <w:rFonts w:eastAsiaTheme="minorHAnsi"/>
                <w:sz w:val="18"/>
                <w:szCs w:val="18"/>
              </w:rPr>
            </w:pPr>
            <w:r>
              <w:rPr>
                <w:sz w:val="18"/>
                <w:szCs w:val="18"/>
              </w:rPr>
              <w:t>Indirect costs, G&amp;A, Fee</w:t>
            </w:r>
          </w:p>
        </w:tc>
        <w:tc>
          <w:tcPr>
            <w:tcW w:w="492" w:type="pct"/>
            <w:tcBorders>
              <w:top w:val="nil"/>
              <w:left w:val="nil"/>
              <w:bottom w:val="single" w:sz="4" w:space="0" w:color="auto"/>
              <w:right w:val="single" w:sz="8" w:space="0" w:color="auto"/>
            </w:tcBorders>
            <w:shd w:val="clear" w:color="auto" w:fill="BFBFBF"/>
          </w:tcPr>
          <w:p w14:paraId="7A00E02C" w14:textId="77777777" w:rsidR="005645D1" w:rsidRDefault="005645D1">
            <w:pPr>
              <w:rPr>
                <w:rFonts w:eastAsiaTheme="minorHAnsi"/>
                <w:color w:val="000000"/>
                <w:sz w:val="18"/>
                <w:szCs w:val="18"/>
              </w:rPr>
            </w:pPr>
          </w:p>
        </w:tc>
        <w:tc>
          <w:tcPr>
            <w:tcW w:w="604" w:type="pct"/>
            <w:tcBorders>
              <w:top w:val="nil"/>
              <w:left w:val="nil"/>
              <w:bottom w:val="single" w:sz="4" w:space="0" w:color="auto"/>
              <w:right w:val="single" w:sz="8" w:space="0" w:color="auto"/>
            </w:tcBorders>
            <w:shd w:val="clear" w:color="auto" w:fill="BFBFBF"/>
            <w:noWrap/>
            <w:tcMar>
              <w:top w:w="0" w:type="dxa"/>
              <w:left w:w="108" w:type="dxa"/>
              <w:bottom w:w="0" w:type="dxa"/>
              <w:right w:w="108" w:type="dxa"/>
            </w:tcMar>
            <w:vAlign w:val="bottom"/>
          </w:tcPr>
          <w:p w14:paraId="0EA4F27F" w14:textId="77777777" w:rsidR="005645D1" w:rsidRDefault="005645D1">
            <w:pPr>
              <w:rPr>
                <w:rFonts w:eastAsiaTheme="minorHAnsi"/>
                <w:sz w:val="18"/>
                <w:szCs w:val="18"/>
              </w:rPr>
            </w:pPr>
          </w:p>
        </w:tc>
        <w:tc>
          <w:tcPr>
            <w:tcW w:w="452" w:type="pct"/>
            <w:tcBorders>
              <w:top w:val="nil"/>
              <w:left w:val="nil"/>
              <w:bottom w:val="single" w:sz="4" w:space="0" w:color="auto"/>
              <w:right w:val="single" w:sz="8" w:space="0" w:color="auto"/>
            </w:tcBorders>
            <w:shd w:val="clear" w:color="auto" w:fill="BFBFBF"/>
            <w:noWrap/>
            <w:tcMar>
              <w:top w:w="0" w:type="dxa"/>
              <w:left w:w="108" w:type="dxa"/>
              <w:bottom w:w="0" w:type="dxa"/>
              <w:right w:w="108" w:type="dxa"/>
            </w:tcMar>
            <w:vAlign w:val="bottom"/>
          </w:tcPr>
          <w:p w14:paraId="68F7A503" w14:textId="77777777" w:rsidR="005645D1" w:rsidRDefault="005645D1">
            <w:pPr>
              <w:rPr>
                <w:rFonts w:eastAsiaTheme="minorHAnsi"/>
                <w:sz w:val="18"/>
                <w:szCs w:val="18"/>
              </w:rPr>
            </w:pPr>
          </w:p>
        </w:tc>
        <w:tc>
          <w:tcPr>
            <w:tcW w:w="453" w:type="pct"/>
            <w:tcBorders>
              <w:top w:val="nil"/>
              <w:left w:val="nil"/>
              <w:bottom w:val="single" w:sz="4" w:space="0" w:color="auto"/>
              <w:right w:val="single" w:sz="8" w:space="0" w:color="auto"/>
            </w:tcBorders>
            <w:shd w:val="clear" w:color="auto" w:fill="BFBFBF"/>
          </w:tcPr>
          <w:p w14:paraId="7F824ABD" w14:textId="77777777" w:rsidR="005645D1" w:rsidRDefault="005645D1">
            <w:pPr>
              <w:rPr>
                <w:rFonts w:eastAsiaTheme="minorHAnsi"/>
                <w:sz w:val="18"/>
                <w:szCs w:val="18"/>
              </w:rPr>
            </w:pPr>
          </w:p>
        </w:tc>
        <w:tc>
          <w:tcPr>
            <w:tcW w:w="449" w:type="pct"/>
            <w:tcBorders>
              <w:top w:val="nil"/>
              <w:left w:val="nil"/>
              <w:bottom w:val="single" w:sz="4" w:space="0" w:color="auto"/>
              <w:right w:val="single" w:sz="8" w:space="0" w:color="auto"/>
            </w:tcBorders>
            <w:hideMark/>
          </w:tcPr>
          <w:p w14:paraId="447A2F05" w14:textId="73C9139E" w:rsidR="005645D1" w:rsidRPr="005645D1" w:rsidRDefault="005645D1">
            <w:pPr>
              <w:rPr>
                <w:sz w:val="18"/>
                <w:szCs w:val="18"/>
              </w:rPr>
            </w:pPr>
            <w:r>
              <w:rPr>
                <w:sz w:val="18"/>
                <w:szCs w:val="18"/>
              </w:rPr>
              <w:t>$88,253</w:t>
            </w:r>
          </w:p>
        </w:tc>
      </w:tr>
      <w:tr w:rsidR="00592B93" w14:paraId="7902E763" w14:textId="77777777" w:rsidTr="005645D1">
        <w:trPr>
          <w:trHeight w:val="300"/>
        </w:trPr>
        <w:tc>
          <w:tcPr>
            <w:tcW w:w="2550" w:type="pct"/>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B20D11" w14:textId="608E3FD9" w:rsidR="005645D1" w:rsidRDefault="005645D1" w:rsidP="005645D1">
            <w:pPr>
              <w:rPr>
                <w:sz w:val="18"/>
                <w:szCs w:val="18"/>
              </w:rPr>
            </w:pPr>
            <w:r>
              <w:rPr>
                <w:sz w:val="18"/>
                <w:szCs w:val="18"/>
              </w:rPr>
              <w:t>Total</w:t>
            </w:r>
          </w:p>
        </w:tc>
        <w:tc>
          <w:tcPr>
            <w:tcW w:w="492" w:type="pct"/>
            <w:tcBorders>
              <w:top w:val="single" w:sz="4" w:space="0" w:color="auto"/>
              <w:left w:val="nil"/>
              <w:bottom w:val="single" w:sz="8" w:space="0" w:color="auto"/>
              <w:right w:val="single" w:sz="8" w:space="0" w:color="auto"/>
            </w:tcBorders>
            <w:shd w:val="clear" w:color="auto" w:fill="BFBFBF"/>
          </w:tcPr>
          <w:p w14:paraId="64AC1DAA" w14:textId="77777777" w:rsidR="005645D1" w:rsidRDefault="005645D1" w:rsidP="005645D1">
            <w:pPr>
              <w:rPr>
                <w:rFonts w:eastAsiaTheme="minorHAnsi"/>
                <w:color w:val="000000"/>
                <w:sz w:val="18"/>
                <w:szCs w:val="18"/>
              </w:rPr>
            </w:pPr>
          </w:p>
        </w:tc>
        <w:tc>
          <w:tcPr>
            <w:tcW w:w="604" w:type="pct"/>
            <w:tcBorders>
              <w:top w:val="single" w:sz="4"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9FAF074" w14:textId="77777777" w:rsidR="005645D1" w:rsidRDefault="005645D1" w:rsidP="005645D1">
            <w:pPr>
              <w:rPr>
                <w:rFonts w:eastAsiaTheme="minorHAnsi"/>
                <w:sz w:val="18"/>
                <w:szCs w:val="18"/>
              </w:rPr>
            </w:pPr>
          </w:p>
        </w:tc>
        <w:tc>
          <w:tcPr>
            <w:tcW w:w="452" w:type="pct"/>
            <w:tcBorders>
              <w:top w:val="single" w:sz="4"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AE768FB" w14:textId="77777777" w:rsidR="005645D1" w:rsidRDefault="005645D1" w:rsidP="005645D1">
            <w:pPr>
              <w:rPr>
                <w:rFonts w:eastAsiaTheme="minorHAnsi"/>
                <w:sz w:val="18"/>
                <w:szCs w:val="18"/>
              </w:rPr>
            </w:pPr>
          </w:p>
        </w:tc>
        <w:tc>
          <w:tcPr>
            <w:tcW w:w="453" w:type="pct"/>
            <w:tcBorders>
              <w:top w:val="single" w:sz="4" w:space="0" w:color="auto"/>
              <w:left w:val="nil"/>
              <w:bottom w:val="single" w:sz="8" w:space="0" w:color="auto"/>
              <w:right w:val="single" w:sz="8" w:space="0" w:color="auto"/>
            </w:tcBorders>
            <w:shd w:val="clear" w:color="auto" w:fill="BFBFBF"/>
          </w:tcPr>
          <w:p w14:paraId="4AB35307" w14:textId="77777777" w:rsidR="005645D1" w:rsidRDefault="005645D1" w:rsidP="005645D1">
            <w:pPr>
              <w:rPr>
                <w:rFonts w:eastAsiaTheme="minorHAnsi"/>
                <w:sz w:val="18"/>
                <w:szCs w:val="18"/>
              </w:rPr>
            </w:pPr>
          </w:p>
        </w:tc>
        <w:tc>
          <w:tcPr>
            <w:tcW w:w="449" w:type="pct"/>
            <w:tcBorders>
              <w:top w:val="single" w:sz="4" w:space="0" w:color="auto"/>
              <w:left w:val="nil"/>
              <w:bottom w:val="single" w:sz="8" w:space="0" w:color="auto"/>
              <w:right w:val="single" w:sz="8" w:space="0" w:color="auto"/>
            </w:tcBorders>
          </w:tcPr>
          <w:p w14:paraId="5C851852" w14:textId="7890E4B6" w:rsidR="005645D1" w:rsidRDefault="00723FA9" w:rsidP="005645D1">
            <w:pPr>
              <w:rPr>
                <w:sz w:val="18"/>
                <w:szCs w:val="18"/>
              </w:rPr>
            </w:pPr>
            <w:r>
              <w:rPr>
                <w:sz w:val="18"/>
                <w:szCs w:val="18"/>
              </w:rPr>
              <w:t>$368,520</w:t>
            </w:r>
          </w:p>
        </w:tc>
      </w:tr>
    </w:tbl>
    <w:p w14:paraId="7B40D3CA" w14:textId="77777777" w:rsidR="005645D1" w:rsidRDefault="005645D1" w:rsidP="005645D1">
      <w:pPr>
        <w:rPr>
          <w:rFonts w:eastAsiaTheme="minorHAnsi"/>
          <w:b/>
          <w:bCs/>
        </w:rPr>
      </w:pPr>
    </w:p>
    <w:p w14:paraId="4FF7384D" w14:textId="6A221383" w:rsidR="00FF72FC" w:rsidRPr="00E35DD1" w:rsidRDefault="00FF72FC" w:rsidP="00FF72FC">
      <w:pPr>
        <w:rPr>
          <w:b/>
        </w:rPr>
      </w:pPr>
      <w:r w:rsidRPr="00E35DD1">
        <w:rPr>
          <w:b/>
        </w:rPr>
        <w:t>A.15</w:t>
      </w:r>
      <w:r w:rsidRPr="00E35DD1">
        <w:rPr>
          <w:b/>
        </w:rPr>
        <w:tab/>
        <w:t>Explanation for Program Changes or Adjustments</w:t>
      </w:r>
    </w:p>
    <w:p w14:paraId="765132D3" w14:textId="158DE2D2" w:rsidR="00A86220" w:rsidRPr="008942E9" w:rsidRDefault="00C43156" w:rsidP="00C43156">
      <w:pPr>
        <w:rPr>
          <w:color w:val="000000"/>
        </w:rPr>
      </w:pPr>
      <w:r>
        <w:rPr>
          <w:color w:val="000000"/>
        </w:rPr>
        <w:t>T</w:t>
      </w:r>
      <w:r w:rsidRPr="008942E9">
        <w:rPr>
          <w:color w:val="000000"/>
        </w:rPr>
        <w:t>his is a new collection of information</w:t>
      </w:r>
      <w:r>
        <w:rPr>
          <w:color w:val="000000"/>
        </w:rPr>
        <w:t xml:space="preserve">.  </w:t>
      </w:r>
    </w:p>
    <w:p w14:paraId="40394307" w14:textId="77777777" w:rsidR="00FF72FC" w:rsidRPr="008942E9" w:rsidRDefault="00FF72FC" w:rsidP="00FF72FC">
      <w:pPr>
        <w:pStyle w:val="Heading2"/>
        <w:tabs>
          <w:tab w:val="clear" w:pos="1152"/>
          <w:tab w:val="left" w:pos="720"/>
        </w:tabs>
        <w:spacing w:after="0" w:line="480" w:lineRule="auto"/>
        <w:ind w:left="0" w:firstLine="0"/>
        <w:rPr>
          <w:rFonts w:ascii="Calibri" w:hAnsi="Calibri"/>
          <w:szCs w:val="22"/>
        </w:rPr>
      </w:pPr>
      <w:bookmarkStart w:id="26" w:name="_Toc443881759"/>
      <w:bookmarkStart w:id="27" w:name="_Toc451592246"/>
      <w:bookmarkStart w:id="28" w:name="_Toc5610287"/>
      <w:bookmarkStart w:id="29" w:name="_Toc99178793"/>
      <w:r w:rsidRPr="008942E9">
        <w:rPr>
          <w:rFonts w:ascii="Calibri" w:hAnsi="Calibri"/>
          <w:szCs w:val="22"/>
        </w:rPr>
        <w:t>A.16</w:t>
      </w:r>
      <w:r w:rsidRPr="008942E9">
        <w:rPr>
          <w:rFonts w:ascii="Calibri" w:hAnsi="Calibri"/>
          <w:szCs w:val="22"/>
        </w:rPr>
        <w:tab/>
        <w:t>Plans for Tabulation and Publication and Project Time Schedule</w:t>
      </w:r>
      <w:bookmarkEnd w:id="26"/>
      <w:bookmarkEnd w:id="27"/>
      <w:bookmarkEnd w:id="28"/>
      <w:bookmarkEnd w:id="29"/>
    </w:p>
    <w:p w14:paraId="118D950C" w14:textId="59DA48F6" w:rsidR="00C43156" w:rsidRDefault="00C43156" w:rsidP="00C43156">
      <w:r>
        <w:t>Conventional statistical techniques for survey data, including descriptive statistics such as proportions and percentages will be used to describe the data.  Additionally, analysis of variance and regression models will be used to analyze comparisons between academic and community physicians</w:t>
      </w:r>
      <w:r w:rsidR="002177DE">
        <w:t>.</w:t>
      </w:r>
    </w:p>
    <w:p w14:paraId="16E8A8C3" w14:textId="0CE52547" w:rsidR="00C43156" w:rsidRDefault="00C07035" w:rsidP="00C43156">
      <w:r>
        <w:t>The Project timeline schedule is summarize</w:t>
      </w:r>
      <w:r w:rsidR="00C567BF">
        <w:t>d</w:t>
      </w:r>
      <w:r>
        <w:t xml:space="preserve"> in Table A.16.  </w:t>
      </w:r>
      <w:r w:rsidR="00C43156">
        <w:t>NCI anticipates disseminating the results of the study after the final analyses of the data are completed, reviewed, and cleared.  The exact timing and nature of any such dissemination has not been determined, but may include presentations at trade and academic conferences, publications, articles, and Internet postings.</w:t>
      </w:r>
    </w:p>
    <w:p w14:paraId="05A59FA4" w14:textId="0E3D3953" w:rsidR="00C07035" w:rsidRPr="00C07035" w:rsidRDefault="00C07035" w:rsidP="00C07035">
      <w:pPr>
        <w:spacing w:after="20"/>
        <w:rPr>
          <w:b/>
          <w:bCs/>
        </w:rPr>
      </w:pPr>
      <w:r w:rsidRPr="00F3702B">
        <w:rPr>
          <w:b/>
          <w:bCs/>
        </w:rPr>
        <w:t>Table A.</w:t>
      </w:r>
      <w:r>
        <w:rPr>
          <w:b/>
          <w:bCs/>
        </w:rPr>
        <w:t>16</w:t>
      </w:r>
      <w:r w:rsidRPr="00F3702B">
        <w:rPr>
          <w:b/>
          <w:bCs/>
        </w:rPr>
        <w:t xml:space="preserve"> </w:t>
      </w:r>
      <w:r>
        <w:rPr>
          <w:b/>
          <w:bCs/>
        </w:rPr>
        <w:t>Project Timeline</w:t>
      </w:r>
    </w:p>
    <w:tbl>
      <w:tblPr>
        <w:tblW w:w="5000" w:type="pct"/>
        <w:jc w:val="center"/>
        <w:tblCellMar>
          <w:left w:w="120" w:type="dxa"/>
          <w:right w:w="120" w:type="dxa"/>
        </w:tblCellMar>
        <w:tblLook w:val="0000" w:firstRow="0" w:lastRow="0" w:firstColumn="0" w:lastColumn="0" w:noHBand="0" w:noVBand="0"/>
      </w:tblPr>
      <w:tblGrid>
        <w:gridCol w:w="4131"/>
        <w:gridCol w:w="5507"/>
      </w:tblGrid>
      <w:tr w:rsidR="00FF72FC" w:rsidRPr="008942E9" w14:paraId="7488B560" w14:textId="77777777" w:rsidTr="005C4474">
        <w:trPr>
          <w:cantSplit/>
          <w:trHeight w:val="403"/>
          <w:jc w:val="center"/>
        </w:trPr>
        <w:tc>
          <w:tcPr>
            <w:tcW w:w="2143" w:type="pct"/>
            <w:tcBorders>
              <w:top w:val="single" w:sz="6" w:space="0" w:color="auto"/>
              <w:left w:val="single" w:sz="4" w:space="0" w:color="auto"/>
            </w:tcBorders>
            <w:shd w:val="clear" w:color="auto" w:fill="D9D9D9" w:themeFill="background1" w:themeFillShade="D9"/>
          </w:tcPr>
          <w:p w14:paraId="5EFB4C50" w14:textId="77777777" w:rsidR="00FF72FC" w:rsidRPr="008942E9" w:rsidRDefault="00FF72FC" w:rsidP="00FF72FC">
            <w:pPr>
              <w:spacing w:after="0" w:line="240" w:lineRule="auto"/>
              <w:rPr>
                <w:rFonts w:eastAsia="Times New Roman"/>
                <w:color w:val="000000"/>
              </w:rPr>
            </w:pPr>
            <w:r w:rsidRPr="008942E9">
              <w:rPr>
                <w:rFonts w:eastAsia="Times New Roman"/>
                <w:color w:val="000000"/>
              </w:rPr>
              <w:tab/>
              <w:t>Activity</w:t>
            </w:r>
          </w:p>
        </w:tc>
        <w:tc>
          <w:tcPr>
            <w:tcW w:w="2857" w:type="pct"/>
            <w:tcBorders>
              <w:top w:val="single" w:sz="6" w:space="0" w:color="auto"/>
              <w:left w:val="single" w:sz="6" w:space="0" w:color="auto"/>
              <w:right w:val="single" w:sz="4" w:space="0" w:color="auto"/>
            </w:tcBorders>
            <w:shd w:val="clear" w:color="auto" w:fill="D9D9D9" w:themeFill="background1" w:themeFillShade="D9"/>
          </w:tcPr>
          <w:p w14:paraId="69AB87E1" w14:textId="77777777" w:rsidR="00FF72FC" w:rsidRPr="008942E9" w:rsidRDefault="00FF72FC" w:rsidP="00FF72FC">
            <w:pPr>
              <w:spacing w:after="0" w:line="240" w:lineRule="auto"/>
              <w:rPr>
                <w:rFonts w:eastAsia="Times New Roman"/>
                <w:color w:val="000000"/>
              </w:rPr>
            </w:pPr>
            <w:r w:rsidRPr="008942E9">
              <w:rPr>
                <w:rFonts w:eastAsia="Times New Roman"/>
                <w:color w:val="000000"/>
              </w:rPr>
              <w:tab/>
              <w:t>Time Schedule</w:t>
            </w:r>
          </w:p>
        </w:tc>
      </w:tr>
      <w:tr w:rsidR="00766041" w:rsidRPr="008942E9" w14:paraId="621B04D4" w14:textId="77777777" w:rsidTr="005C4474">
        <w:trPr>
          <w:cantSplit/>
          <w:trHeight w:val="403"/>
          <w:jc w:val="center"/>
        </w:trPr>
        <w:tc>
          <w:tcPr>
            <w:tcW w:w="2143" w:type="pct"/>
            <w:tcBorders>
              <w:top w:val="single" w:sz="6" w:space="0" w:color="auto"/>
              <w:left w:val="single" w:sz="4" w:space="0" w:color="auto"/>
            </w:tcBorders>
            <w:shd w:val="clear" w:color="auto" w:fill="FFFFFF"/>
          </w:tcPr>
          <w:p w14:paraId="21FFB850" w14:textId="6AF5B890" w:rsidR="00766041" w:rsidRPr="008942E9" w:rsidRDefault="00766041" w:rsidP="00FF72FC">
            <w:pPr>
              <w:spacing w:after="0" w:line="240" w:lineRule="auto"/>
              <w:rPr>
                <w:rFonts w:eastAsia="Times New Roman"/>
                <w:color w:val="000000"/>
              </w:rPr>
            </w:pPr>
            <w:r>
              <w:rPr>
                <w:rFonts w:eastAsia="Times New Roman"/>
                <w:color w:val="000000"/>
              </w:rPr>
              <w:t>Conduct pilot test</w:t>
            </w:r>
          </w:p>
        </w:tc>
        <w:tc>
          <w:tcPr>
            <w:tcW w:w="2857" w:type="pct"/>
            <w:tcBorders>
              <w:top w:val="single" w:sz="6" w:space="0" w:color="auto"/>
              <w:left w:val="single" w:sz="6" w:space="0" w:color="auto"/>
              <w:right w:val="single" w:sz="4" w:space="0" w:color="auto"/>
            </w:tcBorders>
            <w:shd w:val="clear" w:color="auto" w:fill="FFFFFF"/>
          </w:tcPr>
          <w:p w14:paraId="6A4E8A42" w14:textId="5E3645C1" w:rsidR="00766041" w:rsidRPr="008942E9" w:rsidRDefault="00F3702B" w:rsidP="00F3702B">
            <w:pPr>
              <w:spacing w:after="0" w:line="240" w:lineRule="auto"/>
              <w:rPr>
                <w:rFonts w:eastAsia="Times New Roman"/>
                <w:color w:val="000000"/>
              </w:rPr>
            </w:pPr>
            <w:r>
              <w:rPr>
                <w:rFonts w:eastAsia="Times New Roman"/>
                <w:color w:val="000000"/>
              </w:rPr>
              <w:t>Completed 4</w:t>
            </w:r>
            <w:r w:rsidR="00766041">
              <w:rPr>
                <w:rFonts w:eastAsia="Times New Roman"/>
                <w:color w:val="000000"/>
              </w:rPr>
              <w:t xml:space="preserve"> month</w:t>
            </w:r>
            <w:r w:rsidR="002B5BE3">
              <w:rPr>
                <w:rFonts w:eastAsia="Times New Roman"/>
                <w:color w:val="000000"/>
              </w:rPr>
              <w:t>s</w:t>
            </w:r>
            <w:r w:rsidR="00766041">
              <w:rPr>
                <w:rFonts w:eastAsia="Times New Roman"/>
                <w:color w:val="000000"/>
              </w:rPr>
              <w:t xml:space="preserve"> after OMB approval</w:t>
            </w:r>
          </w:p>
        </w:tc>
      </w:tr>
      <w:tr w:rsidR="00766041" w:rsidRPr="008942E9" w14:paraId="33FE0F75" w14:textId="77777777" w:rsidTr="005C4474">
        <w:trPr>
          <w:cantSplit/>
          <w:trHeight w:val="403"/>
          <w:jc w:val="center"/>
        </w:trPr>
        <w:tc>
          <w:tcPr>
            <w:tcW w:w="2143" w:type="pct"/>
            <w:tcBorders>
              <w:top w:val="single" w:sz="6" w:space="0" w:color="auto"/>
              <w:left w:val="single" w:sz="4" w:space="0" w:color="auto"/>
            </w:tcBorders>
            <w:shd w:val="clear" w:color="auto" w:fill="FFFFFF"/>
          </w:tcPr>
          <w:p w14:paraId="0BBEF475" w14:textId="7F15A88F" w:rsidR="00766041" w:rsidRDefault="00766041" w:rsidP="00FF72FC">
            <w:pPr>
              <w:spacing w:after="0" w:line="240" w:lineRule="auto"/>
              <w:rPr>
                <w:rFonts w:eastAsia="Times New Roman"/>
                <w:color w:val="000000"/>
              </w:rPr>
            </w:pPr>
            <w:r>
              <w:rPr>
                <w:rFonts w:eastAsia="Times New Roman"/>
                <w:color w:val="000000"/>
              </w:rPr>
              <w:t>Analyze results of pilot test</w:t>
            </w:r>
          </w:p>
        </w:tc>
        <w:tc>
          <w:tcPr>
            <w:tcW w:w="2857" w:type="pct"/>
            <w:tcBorders>
              <w:top w:val="single" w:sz="6" w:space="0" w:color="auto"/>
              <w:left w:val="single" w:sz="6" w:space="0" w:color="auto"/>
              <w:right w:val="single" w:sz="4" w:space="0" w:color="auto"/>
            </w:tcBorders>
            <w:shd w:val="clear" w:color="auto" w:fill="FFFFFF"/>
          </w:tcPr>
          <w:p w14:paraId="37B4F3E9" w14:textId="3187FC0C" w:rsidR="00766041" w:rsidRDefault="00F3702B" w:rsidP="00F3702B">
            <w:pPr>
              <w:spacing w:after="0" w:line="240" w:lineRule="auto"/>
              <w:rPr>
                <w:rFonts w:eastAsia="Times New Roman"/>
                <w:color w:val="000000"/>
              </w:rPr>
            </w:pPr>
            <w:r>
              <w:rPr>
                <w:rFonts w:eastAsia="Times New Roman"/>
                <w:color w:val="000000"/>
              </w:rPr>
              <w:t>Completed 6</w:t>
            </w:r>
            <w:r w:rsidR="00766041">
              <w:rPr>
                <w:rFonts w:eastAsia="Times New Roman"/>
                <w:color w:val="000000"/>
              </w:rPr>
              <w:t xml:space="preserve"> month</w:t>
            </w:r>
            <w:r w:rsidR="0033279E">
              <w:rPr>
                <w:rFonts w:eastAsia="Times New Roman"/>
                <w:color w:val="000000"/>
              </w:rPr>
              <w:t>s</w:t>
            </w:r>
            <w:r w:rsidR="00766041">
              <w:rPr>
                <w:rFonts w:eastAsia="Times New Roman"/>
                <w:color w:val="000000"/>
              </w:rPr>
              <w:t xml:space="preserve"> after OMB approval</w:t>
            </w:r>
          </w:p>
        </w:tc>
      </w:tr>
      <w:tr w:rsidR="00766041" w:rsidRPr="008942E9" w14:paraId="576F80D7" w14:textId="77777777" w:rsidTr="005C4474">
        <w:trPr>
          <w:cantSplit/>
          <w:trHeight w:val="403"/>
          <w:jc w:val="center"/>
        </w:trPr>
        <w:tc>
          <w:tcPr>
            <w:tcW w:w="2143" w:type="pct"/>
            <w:tcBorders>
              <w:top w:val="single" w:sz="6" w:space="0" w:color="auto"/>
              <w:left w:val="single" w:sz="4" w:space="0" w:color="auto"/>
            </w:tcBorders>
            <w:shd w:val="clear" w:color="auto" w:fill="FFFFFF"/>
          </w:tcPr>
          <w:p w14:paraId="491CEFC5" w14:textId="40ED5E1E" w:rsidR="00766041" w:rsidRDefault="00766041" w:rsidP="00FF72FC">
            <w:pPr>
              <w:spacing w:after="0" w:line="240" w:lineRule="auto"/>
              <w:rPr>
                <w:rFonts w:eastAsia="Times New Roman"/>
                <w:color w:val="000000"/>
              </w:rPr>
            </w:pPr>
            <w:r>
              <w:rPr>
                <w:rFonts w:eastAsia="Times New Roman"/>
                <w:color w:val="000000"/>
              </w:rPr>
              <w:t>Screeners calls made to verify eligibility of sample cases</w:t>
            </w:r>
          </w:p>
        </w:tc>
        <w:tc>
          <w:tcPr>
            <w:tcW w:w="2857" w:type="pct"/>
            <w:tcBorders>
              <w:top w:val="single" w:sz="6" w:space="0" w:color="auto"/>
              <w:left w:val="single" w:sz="6" w:space="0" w:color="auto"/>
              <w:right w:val="single" w:sz="4" w:space="0" w:color="auto"/>
            </w:tcBorders>
            <w:shd w:val="clear" w:color="auto" w:fill="FFFFFF"/>
          </w:tcPr>
          <w:p w14:paraId="7627297C" w14:textId="65A8650E" w:rsidR="00766041" w:rsidRDefault="00F3702B" w:rsidP="00F3702B">
            <w:pPr>
              <w:spacing w:after="0" w:line="240" w:lineRule="auto"/>
              <w:rPr>
                <w:rFonts w:eastAsia="Times New Roman"/>
                <w:color w:val="000000"/>
              </w:rPr>
            </w:pPr>
            <w:r>
              <w:rPr>
                <w:rFonts w:eastAsia="Times New Roman"/>
                <w:color w:val="000000"/>
              </w:rPr>
              <w:t>Completed 7</w:t>
            </w:r>
            <w:r w:rsidR="00766041">
              <w:rPr>
                <w:rFonts w:eastAsia="Times New Roman"/>
                <w:color w:val="000000"/>
              </w:rPr>
              <w:t xml:space="preserve"> months after OMB approval</w:t>
            </w:r>
          </w:p>
        </w:tc>
      </w:tr>
      <w:tr w:rsidR="00766041" w:rsidRPr="008942E9" w14:paraId="7FEBC306" w14:textId="77777777" w:rsidTr="005C4474">
        <w:trPr>
          <w:cantSplit/>
          <w:trHeight w:val="403"/>
          <w:jc w:val="center"/>
        </w:trPr>
        <w:tc>
          <w:tcPr>
            <w:tcW w:w="2143" w:type="pct"/>
            <w:tcBorders>
              <w:top w:val="single" w:sz="6" w:space="0" w:color="auto"/>
              <w:left w:val="single" w:sz="4" w:space="0" w:color="auto"/>
            </w:tcBorders>
            <w:shd w:val="clear" w:color="auto" w:fill="FFFFFF"/>
            <w:vAlign w:val="center"/>
          </w:tcPr>
          <w:p w14:paraId="402FF894" w14:textId="4A988567" w:rsidR="00766041" w:rsidRDefault="00766041" w:rsidP="00766041">
            <w:pPr>
              <w:spacing w:after="0" w:line="240" w:lineRule="auto"/>
              <w:rPr>
                <w:rFonts w:eastAsia="Times New Roman"/>
                <w:color w:val="000000"/>
              </w:rPr>
            </w:pPr>
            <w:r>
              <w:rPr>
                <w:szCs w:val="24"/>
              </w:rPr>
              <w:t>Initial survey package sent via USPS 1</w:t>
            </w:r>
            <w:r w:rsidRPr="001D02B6">
              <w:rPr>
                <w:szCs w:val="24"/>
                <w:vertAlign w:val="superscript"/>
              </w:rPr>
              <w:t>st</w:t>
            </w:r>
            <w:r>
              <w:rPr>
                <w:szCs w:val="24"/>
              </w:rPr>
              <w:t xml:space="preserve"> class mail</w:t>
            </w:r>
          </w:p>
        </w:tc>
        <w:tc>
          <w:tcPr>
            <w:tcW w:w="2857" w:type="pct"/>
            <w:tcBorders>
              <w:top w:val="single" w:sz="6" w:space="0" w:color="auto"/>
              <w:left w:val="single" w:sz="6" w:space="0" w:color="auto"/>
              <w:right w:val="single" w:sz="4" w:space="0" w:color="auto"/>
            </w:tcBorders>
            <w:shd w:val="clear" w:color="auto" w:fill="FFFFFF"/>
            <w:vAlign w:val="center"/>
          </w:tcPr>
          <w:p w14:paraId="0B6013FF" w14:textId="0839BB15" w:rsidR="00766041" w:rsidRDefault="00F3702B" w:rsidP="00F3702B">
            <w:pPr>
              <w:spacing w:after="0" w:line="240" w:lineRule="auto"/>
              <w:rPr>
                <w:rFonts w:eastAsia="Times New Roman"/>
                <w:color w:val="000000"/>
              </w:rPr>
            </w:pPr>
            <w:r>
              <w:rPr>
                <w:szCs w:val="24"/>
              </w:rPr>
              <w:t xml:space="preserve">Completed </w:t>
            </w:r>
            <w:r w:rsidR="00CF1F99">
              <w:rPr>
                <w:szCs w:val="24"/>
              </w:rPr>
              <w:t xml:space="preserve">8 </w:t>
            </w:r>
            <w:r w:rsidR="00766041" w:rsidRPr="007315C4">
              <w:rPr>
                <w:szCs w:val="24"/>
              </w:rPr>
              <w:t>months after OMB approval</w:t>
            </w:r>
          </w:p>
        </w:tc>
      </w:tr>
      <w:tr w:rsidR="00766041" w:rsidRPr="008942E9" w14:paraId="5C08D2C9" w14:textId="77777777" w:rsidTr="005C4474">
        <w:trPr>
          <w:cantSplit/>
          <w:trHeight w:val="403"/>
          <w:jc w:val="center"/>
        </w:trPr>
        <w:tc>
          <w:tcPr>
            <w:tcW w:w="2143" w:type="pct"/>
            <w:tcBorders>
              <w:top w:val="single" w:sz="6" w:space="0" w:color="auto"/>
              <w:left w:val="single" w:sz="4" w:space="0" w:color="auto"/>
            </w:tcBorders>
            <w:shd w:val="clear" w:color="auto" w:fill="FFFFFF"/>
            <w:vAlign w:val="center"/>
          </w:tcPr>
          <w:p w14:paraId="12A5AF86" w14:textId="510AE710" w:rsidR="00766041" w:rsidRDefault="00766041" w:rsidP="00766041">
            <w:pPr>
              <w:spacing w:after="0" w:line="240" w:lineRule="auto"/>
              <w:rPr>
                <w:rFonts w:eastAsia="Times New Roman"/>
                <w:color w:val="000000"/>
              </w:rPr>
            </w:pPr>
            <w:r>
              <w:rPr>
                <w:szCs w:val="24"/>
              </w:rPr>
              <w:t>R</w:t>
            </w:r>
            <w:r w:rsidRPr="007315C4">
              <w:rPr>
                <w:szCs w:val="24"/>
              </w:rPr>
              <w:t xml:space="preserve">eminder letter and replacement survey </w:t>
            </w:r>
            <w:r>
              <w:rPr>
                <w:szCs w:val="24"/>
              </w:rPr>
              <w:t xml:space="preserve">sent </w:t>
            </w:r>
            <w:r w:rsidRPr="007315C4">
              <w:rPr>
                <w:szCs w:val="24"/>
              </w:rPr>
              <w:t>via FedEx</w:t>
            </w:r>
          </w:p>
        </w:tc>
        <w:tc>
          <w:tcPr>
            <w:tcW w:w="2857" w:type="pct"/>
            <w:tcBorders>
              <w:top w:val="single" w:sz="6" w:space="0" w:color="auto"/>
              <w:left w:val="single" w:sz="6" w:space="0" w:color="auto"/>
              <w:right w:val="single" w:sz="4" w:space="0" w:color="auto"/>
            </w:tcBorders>
            <w:shd w:val="clear" w:color="auto" w:fill="FFFFFF"/>
            <w:vAlign w:val="center"/>
          </w:tcPr>
          <w:p w14:paraId="794B6258" w14:textId="30042140" w:rsidR="00766041" w:rsidRDefault="00F3702B" w:rsidP="00766041">
            <w:pPr>
              <w:spacing w:after="0" w:line="240" w:lineRule="auto"/>
              <w:rPr>
                <w:rFonts w:eastAsia="Times New Roman"/>
                <w:color w:val="000000"/>
              </w:rPr>
            </w:pPr>
            <w:r>
              <w:rPr>
                <w:szCs w:val="24"/>
              </w:rPr>
              <w:t xml:space="preserve">Completed </w:t>
            </w:r>
            <w:r w:rsidR="00CF1F99">
              <w:rPr>
                <w:szCs w:val="24"/>
              </w:rPr>
              <w:t xml:space="preserve">9 </w:t>
            </w:r>
            <w:r w:rsidR="00766041" w:rsidRPr="007315C4">
              <w:rPr>
                <w:szCs w:val="24"/>
              </w:rPr>
              <w:t>months after OMB approval</w:t>
            </w:r>
          </w:p>
        </w:tc>
      </w:tr>
      <w:tr w:rsidR="00766041" w:rsidRPr="008942E9" w14:paraId="0A646990" w14:textId="77777777" w:rsidTr="005C4474">
        <w:trPr>
          <w:cantSplit/>
          <w:trHeight w:val="403"/>
          <w:jc w:val="center"/>
        </w:trPr>
        <w:tc>
          <w:tcPr>
            <w:tcW w:w="2143" w:type="pct"/>
            <w:tcBorders>
              <w:top w:val="single" w:sz="6" w:space="0" w:color="auto"/>
              <w:left w:val="single" w:sz="4" w:space="0" w:color="auto"/>
            </w:tcBorders>
            <w:shd w:val="clear" w:color="auto" w:fill="FFFFFF"/>
            <w:vAlign w:val="center"/>
          </w:tcPr>
          <w:p w14:paraId="598B5CEF" w14:textId="4E52A708" w:rsidR="00766041" w:rsidRDefault="00766041" w:rsidP="00766041">
            <w:pPr>
              <w:spacing w:after="0" w:line="240" w:lineRule="auto"/>
              <w:rPr>
                <w:rFonts w:eastAsia="Times New Roman"/>
                <w:color w:val="000000"/>
              </w:rPr>
            </w:pPr>
            <w:r>
              <w:rPr>
                <w:szCs w:val="24"/>
              </w:rPr>
              <w:t>First invitation with link to web survey sent via email</w:t>
            </w:r>
          </w:p>
        </w:tc>
        <w:tc>
          <w:tcPr>
            <w:tcW w:w="2857" w:type="pct"/>
            <w:tcBorders>
              <w:top w:val="single" w:sz="6" w:space="0" w:color="auto"/>
              <w:left w:val="single" w:sz="6" w:space="0" w:color="auto"/>
              <w:right w:val="single" w:sz="4" w:space="0" w:color="auto"/>
            </w:tcBorders>
            <w:shd w:val="clear" w:color="auto" w:fill="FFFFFF"/>
            <w:vAlign w:val="center"/>
          </w:tcPr>
          <w:p w14:paraId="52791696" w14:textId="297C60AE" w:rsidR="00766041" w:rsidRDefault="00F3702B" w:rsidP="00766041">
            <w:pPr>
              <w:spacing w:after="0" w:line="240" w:lineRule="auto"/>
              <w:rPr>
                <w:rFonts w:eastAsia="Times New Roman"/>
                <w:color w:val="000000"/>
              </w:rPr>
            </w:pPr>
            <w:r>
              <w:rPr>
                <w:szCs w:val="24"/>
              </w:rPr>
              <w:t xml:space="preserve">Completed </w:t>
            </w:r>
            <w:r w:rsidR="00CF1F99">
              <w:rPr>
                <w:szCs w:val="24"/>
              </w:rPr>
              <w:t xml:space="preserve">9.5 </w:t>
            </w:r>
            <w:r w:rsidR="00766041">
              <w:rPr>
                <w:szCs w:val="24"/>
              </w:rPr>
              <w:t>months after OMB approval</w:t>
            </w:r>
          </w:p>
        </w:tc>
      </w:tr>
      <w:tr w:rsidR="00766041" w:rsidRPr="008942E9" w14:paraId="18D67D7B" w14:textId="77777777" w:rsidTr="005C4474">
        <w:trPr>
          <w:cantSplit/>
          <w:trHeight w:val="403"/>
          <w:jc w:val="center"/>
        </w:trPr>
        <w:tc>
          <w:tcPr>
            <w:tcW w:w="2143" w:type="pct"/>
            <w:tcBorders>
              <w:top w:val="single" w:sz="6" w:space="0" w:color="auto"/>
              <w:left w:val="single" w:sz="4" w:space="0" w:color="auto"/>
            </w:tcBorders>
            <w:shd w:val="clear" w:color="auto" w:fill="auto"/>
            <w:vAlign w:val="center"/>
          </w:tcPr>
          <w:p w14:paraId="3BA320A2" w14:textId="34F40873" w:rsidR="00766041" w:rsidRPr="008942E9" w:rsidRDefault="00766041" w:rsidP="00766041">
            <w:pPr>
              <w:spacing w:after="0" w:line="240" w:lineRule="auto"/>
              <w:rPr>
                <w:rFonts w:eastAsia="Times New Roman"/>
                <w:color w:val="000000"/>
              </w:rPr>
            </w:pPr>
            <w:r>
              <w:rPr>
                <w:szCs w:val="24"/>
              </w:rPr>
              <w:t>P</w:t>
            </w:r>
            <w:r w:rsidRPr="007315C4">
              <w:rPr>
                <w:szCs w:val="24"/>
              </w:rPr>
              <w:t>hone contacts</w:t>
            </w:r>
            <w:r>
              <w:rPr>
                <w:szCs w:val="24"/>
              </w:rPr>
              <w:t xml:space="preserve"> begin</w:t>
            </w:r>
            <w:r w:rsidRPr="007315C4">
              <w:rPr>
                <w:szCs w:val="24"/>
              </w:rPr>
              <w:t xml:space="preserve"> to encourage response</w:t>
            </w:r>
          </w:p>
        </w:tc>
        <w:tc>
          <w:tcPr>
            <w:tcW w:w="2857" w:type="pct"/>
            <w:tcBorders>
              <w:top w:val="single" w:sz="6" w:space="0" w:color="auto"/>
              <w:left w:val="single" w:sz="6" w:space="0" w:color="auto"/>
              <w:right w:val="single" w:sz="4" w:space="0" w:color="auto"/>
            </w:tcBorders>
            <w:shd w:val="clear" w:color="auto" w:fill="auto"/>
            <w:vAlign w:val="center"/>
          </w:tcPr>
          <w:p w14:paraId="7C27AAF5" w14:textId="2395B12E" w:rsidR="00766041" w:rsidRPr="008942E9" w:rsidRDefault="00F3702B" w:rsidP="00766041">
            <w:pPr>
              <w:spacing w:after="0" w:line="240" w:lineRule="auto"/>
              <w:rPr>
                <w:rFonts w:eastAsia="Times New Roman"/>
                <w:color w:val="000000"/>
              </w:rPr>
            </w:pPr>
            <w:r>
              <w:rPr>
                <w:szCs w:val="24"/>
              </w:rPr>
              <w:t xml:space="preserve">Completed </w:t>
            </w:r>
            <w:r w:rsidR="00CF1F99">
              <w:rPr>
                <w:szCs w:val="24"/>
              </w:rPr>
              <w:t xml:space="preserve">9.5 </w:t>
            </w:r>
            <w:r w:rsidR="00766041" w:rsidRPr="007315C4">
              <w:rPr>
                <w:szCs w:val="24"/>
              </w:rPr>
              <w:t>months after OMB approval</w:t>
            </w:r>
          </w:p>
        </w:tc>
      </w:tr>
      <w:tr w:rsidR="00766041" w:rsidRPr="008942E9" w14:paraId="7E06175E" w14:textId="77777777" w:rsidTr="005C4474">
        <w:trPr>
          <w:cantSplit/>
          <w:trHeight w:val="403"/>
          <w:jc w:val="center"/>
        </w:trPr>
        <w:tc>
          <w:tcPr>
            <w:tcW w:w="2143" w:type="pct"/>
            <w:tcBorders>
              <w:top w:val="single" w:sz="6" w:space="0" w:color="auto"/>
              <w:left w:val="single" w:sz="4" w:space="0" w:color="auto"/>
            </w:tcBorders>
            <w:shd w:val="clear" w:color="auto" w:fill="auto"/>
            <w:vAlign w:val="center"/>
          </w:tcPr>
          <w:p w14:paraId="652749BD" w14:textId="1EA0AAA9" w:rsidR="00766041" w:rsidRPr="008942E9" w:rsidRDefault="00766041" w:rsidP="00766041">
            <w:pPr>
              <w:spacing w:after="0" w:line="240" w:lineRule="auto"/>
              <w:rPr>
                <w:rFonts w:eastAsia="Times New Roman"/>
                <w:color w:val="000000"/>
              </w:rPr>
            </w:pPr>
            <w:r>
              <w:rPr>
                <w:szCs w:val="24"/>
              </w:rPr>
              <w:lastRenderedPageBreak/>
              <w:t>Second/final email reminders sent with link to web survey</w:t>
            </w:r>
          </w:p>
        </w:tc>
        <w:tc>
          <w:tcPr>
            <w:tcW w:w="2857" w:type="pct"/>
            <w:tcBorders>
              <w:top w:val="single" w:sz="6" w:space="0" w:color="auto"/>
              <w:left w:val="single" w:sz="6" w:space="0" w:color="auto"/>
              <w:right w:val="single" w:sz="4" w:space="0" w:color="auto"/>
            </w:tcBorders>
            <w:shd w:val="clear" w:color="auto" w:fill="auto"/>
            <w:vAlign w:val="center"/>
          </w:tcPr>
          <w:p w14:paraId="2F44D0AC" w14:textId="29CAC4CF" w:rsidR="00766041" w:rsidRPr="008942E9" w:rsidRDefault="00F3702B" w:rsidP="00766041">
            <w:pPr>
              <w:spacing w:after="0" w:line="240" w:lineRule="auto"/>
              <w:rPr>
                <w:rFonts w:eastAsia="Times New Roman"/>
                <w:color w:val="000000"/>
              </w:rPr>
            </w:pPr>
            <w:r>
              <w:rPr>
                <w:szCs w:val="24"/>
              </w:rPr>
              <w:t xml:space="preserve">Completed </w:t>
            </w:r>
            <w:r w:rsidR="00CF1F99">
              <w:rPr>
                <w:szCs w:val="24"/>
              </w:rPr>
              <w:t xml:space="preserve">10 </w:t>
            </w:r>
            <w:r w:rsidR="00766041">
              <w:rPr>
                <w:szCs w:val="24"/>
              </w:rPr>
              <w:t>months after OMB approval</w:t>
            </w:r>
          </w:p>
        </w:tc>
      </w:tr>
      <w:tr w:rsidR="00766041" w:rsidRPr="008942E9" w14:paraId="10349193" w14:textId="77777777" w:rsidTr="005C4474">
        <w:trPr>
          <w:cantSplit/>
          <w:trHeight w:val="403"/>
          <w:jc w:val="center"/>
        </w:trPr>
        <w:tc>
          <w:tcPr>
            <w:tcW w:w="2143" w:type="pct"/>
            <w:tcBorders>
              <w:top w:val="single" w:sz="6" w:space="0" w:color="auto"/>
              <w:left w:val="single" w:sz="4" w:space="0" w:color="auto"/>
            </w:tcBorders>
            <w:shd w:val="clear" w:color="auto" w:fill="auto"/>
            <w:vAlign w:val="center"/>
          </w:tcPr>
          <w:p w14:paraId="4ABB7CE4" w14:textId="4FB377E2" w:rsidR="00766041" w:rsidRPr="008942E9" w:rsidRDefault="00766041" w:rsidP="00766041">
            <w:pPr>
              <w:spacing w:after="0" w:line="240" w:lineRule="auto"/>
              <w:rPr>
                <w:rFonts w:eastAsia="Times New Roman"/>
                <w:color w:val="000000"/>
              </w:rPr>
            </w:pPr>
            <w:r w:rsidRPr="007315C4">
              <w:rPr>
                <w:szCs w:val="24"/>
              </w:rPr>
              <w:t>Final surveys accepted</w:t>
            </w:r>
          </w:p>
        </w:tc>
        <w:tc>
          <w:tcPr>
            <w:tcW w:w="2857" w:type="pct"/>
            <w:tcBorders>
              <w:top w:val="single" w:sz="6" w:space="0" w:color="auto"/>
              <w:left w:val="single" w:sz="6" w:space="0" w:color="auto"/>
              <w:right w:val="single" w:sz="4" w:space="0" w:color="auto"/>
            </w:tcBorders>
            <w:shd w:val="clear" w:color="auto" w:fill="auto"/>
            <w:vAlign w:val="center"/>
          </w:tcPr>
          <w:p w14:paraId="15B30787" w14:textId="62ED0B2B" w:rsidR="00766041" w:rsidRPr="008942E9" w:rsidRDefault="00F3702B" w:rsidP="00766041">
            <w:pPr>
              <w:spacing w:after="0" w:line="240" w:lineRule="auto"/>
              <w:rPr>
                <w:rFonts w:eastAsia="Times New Roman"/>
                <w:color w:val="000000"/>
              </w:rPr>
            </w:pPr>
            <w:r>
              <w:rPr>
                <w:szCs w:val="24"/>
              </w:rPr>
              <w:t xml:space="preserve">Completed </w:t>
            </w:r>
            <w:r w:rsidR="002B5BE3">
              <w:rPr>
                <w:szCs w:val="24"/>
              </w:rPr>
              <w:t>11</w:t>
            </w:r>
            <w:r w:rsidR="00766041" w:rsidRPr="007315C4">
              <w:rPr>
                <w:szCs w:val="24"/>
              </w:rPr>
              <w:t xml:space="preserve"> months after OMB approval</w:t>
            </w:r>
          </w:p>
        </w:tc>
      </w:tr>
      <w:tr w:rsidR="00766041" w:rsidRPr="008942E9" w14:paraId="2D73144A" w14:textId="77777777" w:rsidTr="005C4474">
        <w:trPr>
          <w:cantSplit/>
          <w:trHeight w:val="403"/>
          <w:jc w:val="center"/>
        </w:trPr>
        <w:tc>
          <w:tcPr>
            <w:tcW w:w="2143" w:type="pct"/>
            <w:tcBorders>
              <w:top w:val="single" w:sz="6" w:space="0" w:color="auto"/>
              <w:left w:val="single" w:sz="4" w:space="0" w:color="auto"/>
            </w:tcBorders>
            <w:shd w:val="clear" w:color="auto" w:fill="auto"/>
            <w:vAlign w:val="center"/>
          </w:tcPr>
          <w:p w14:paraId="4BC16B79" w14:textId="0D436395" w:rsidR="00766041" w:rsidRPr="008942E9" w:rsidRDefault="00766041" w:rsidP="00766041">
            <w:pPr>
              <w:spacing w:after="0" w:line="240" w:lineRule="auto"/>
              <w:rPr>
                <w:rFonts w:eastAsia="Times New Roman"/>
                <w:color w:val="000000"/>
              </w:rPr>
            </w:pPr>
            <w:r w:rsidRPr="007315C4">
              <w:rPr>
                <w:szCs w:val="24"/>
              </w:rPr>
              <w:t xml:space="preserve">Data entry and data check completed </w:t>
            </w:r>
          </w:p>
        </w:tc>
        <w:tc>
          <w:tcPr>
            <w:tcW w:w="2857" w:type="pct"/>
            <w:tcBorders>
              <w:top w:val="single" w:sz="6" w:space="0" w:color="auto"/>
              <w:left w:val="single" w:sz="6" w:space="0" w:color="auto"/>
              <w:right w:val="single" w:sz="4" w:space="0" w:color="auto"/>
            </w:tcBorders>
            <w:shd w:val="clear" w:color="auto" w:fill="auto"/>
            <w:vAlign w:val="center"/>
          </w:tcPr>
          <w:p w14:paraId="5644EE34" w14:textId="3AD265E2" w:rsidR="00766041" w:rsidRPr="008942E9" w:rsidRDefault="00F3702B" w:rsidP="00766041">
            <w:pPr>
              <w:spacing w:after="0" w:line="240" w:lineRule="auto"/>
              <w:rPr>
                <w:rFonts w:eastAsia="Times New Roman"/>
                <w:color w:val="000000"/>
              </w:rPr>
            </w:pPr>
            <w:r>
              <w:rPr>
                <w:szCs w:val="24"/>
              </w:rPr>
              <w:t xml:space="preserve">Completed </w:t>
            </w:r>
            <w:r w:rsidR="002B5BE3">
              <w:rPr>
                <w:szCs w:val="24"/>
              </w:rPr>
              <w:t>11.5</w:t>
            </w:r>
            <w:r w:rsidR="00766041" w:rsidRPr="007315C4">
              <w:rPr>
                <w:szCs w:val="24"/>
              </w:rPr>
              <w:t xml:space="preserve"> months after OMB approval</w:t>
            </w:r>
          </w:p>
        </w:tc>
      </w:tr>
      <w:tr w:rsidR="00CF1F99" w:rsidRPr="008942E9" w14:paraId="2D5D2DC9" w14:textId="77777777" w:rsidTr="005C4474">
        <w:trPr>
          <w:cantSplit/>
          <w:trHeight w:val="403"/>
          <w:jc w:val="center"/>
        </w:trPr>
        <w:tc>
          <w:tcPr>
            <w:tcW w:w="2143" w:type="pct"/>
            <w:tcBorders>
              <w:top w:val="single" w:sz="6" w:space="0" w:color="auto"/>
              <w:left w:val="single" w:sz="4" w:space="0" w:color="auto"/>
            </w:tcBorders>
            <w:shd w:val="clear" w:color="auto" w:fill="auto"/>
            <w:vAlign w:val="center"/>
          </w:tcPr>
          <w:p w14:paraId="76A3CE45" w14:textId="33B49261" w:rsidR="00CF1F99" w:rsidRPr="007315C4" w:rsidRDefault="00CF1F99" w:rsidP="00766041">
            <w:pPr>
              <w:spacing w:after="0" w:line="240" w:lineRule="auto"/>
              <w:rPr>
                <w:szCs w:val="24"/>
              </w:rPr>
            </w:pPr>
            <w:r w:rsidRPr="007315C4">
              <w:rPr>
                <w:szCs w:val="24"/>
              </w:rPr>
              <w:t xml:space="preserve">Final survey non-response follow-up package sent </w:t>
            </w:r>
          </w:p>
        </w:tc>
        <w:tc>
          <w:tcPr>
            <w:tcW w:w="2857" w:type="pct"/>
            <w:tcBorders>
              <w:top w:val="single" w:sz="6" w:space="0" w:color="auto"/>
              <w:left w:val="single" w:sz="6" w:space="0" w:color="auto"/>
              <w:right w:val="single" w:sz="4" w:space="0" w:color="auto"/>
            </w:tcBorders>
            <w:shd w:val="clear" w:color="auto" w:fill="auto"/>
            <w:vAlign w:val="center"/>
          </w:tcPr>
          <w:p w14:paraId="052D13CC" w14:textId="55213401" w:rsidR="00CF1F99" w:rsidRDefault="00F3702B" w:rsidP="00766041">
            <w:pPr>
              <w:spacing w:after="0" w:line="240" w:lineRule="auto"/>
              <w:rPr>
                <w:szCs w:val="24"/>
              </w:rPr>
            </w:pPr>
            <w:r>
              <w:rPr>
                <w:szCs w:val="24"/>
              </w:rPr>
              <w:t xml:space="preserve">Completed </w:t>
            </w:r>
            <w:r w:rsidR="00CF1F99">
              <w:rPr>
                <w:szCs w:val="24"/>
              </w:rPr>
              <w:t>12</w:t>
            </w:r>
            <w:r w:rsidR="00CF1F99" w:rsidRPr="007315C4">
              <w:rPr>
                <w:szCs w:val="24"/>
              </w:rPr>
              <w:t xml:space="preserve"> months after OMB approval</w:t>
            </w:r>
          </w:p>
        </w:tc>
      </w:tr>
      <w:tr w:rsidR="00766041" w:rsidRPr="008942E9" w14:paraId="56CCE7D0" w14:textId="77777777" w:rsidTr="005C4474">
        <w:trPr>
          <w:cantSplit/>
          <w:trHeight w:val="403"/>
          <w:jc w:val="center"/>
        </w:trPr>
        <w:tc>
          <w:tcPr>
            <w:tcW w:w="2143" w:type="pct"/>
            <w:tcBorders>
              <w:top w:val="single" w:sz="6" w:space="0" w:color="auto"/>
              <w:left w:val="single" w:sz="4" w:space="0" w:color="auto"/>
              <w:bottom w:val="single" w:sz="4" w:space="0" w:color="auto"/>
            </w:tcBorders>
            <w:shd w:val="clear" w:color="auto" w:fill="auto"/>
            <w:vAlign w:val="center"/>
          </w:tcPr>
          <w:p w14:paraId="32DE14BB" w14:textId="78181D50" w:rsidR="00766041" w:rsidRPr="008942E9" w:rsidRDefault="00766041" w:rsidP="00E25146">
            <w:pPr>
              <w:spacing w:after="0" w:line="240" w:lineRule="auto"/>
              <w:rPr>
                <w:rFonts w:eastAsia="Times New Roman"/>
                <w:color w:val="000000"/>
              </w:rPr>
            </w:pPr>
            <w:r w:rsidRPr="007315C4">
              <w:rPr>
                <w:szCs w:val="24"/>
              </w:rPr>
              <w:t xml:space="preserve">Initial analyses completed by </w:t>
            </w:r>
            <w:r w:rsidR="00E25146">
              <w:rPr>
                <w:szCs w:val="24"/>
              </w:rPr>
              <w:t>RTI</w:t>
            </w:r>
          </w:p>
        </w:tc>
        <w:tc>
          <w:tcPr>
            <w:tcW w:w="2857" w:type="pct"/>
            <w:tcBorders>
              <w:top w:val="single" w:sz="6" w:space="0" w:color="auto"/>
              <w:left w:val="single" w:sz="6" w:space="0" w:color="auto"/>
              <w:bottom w:val="single" w:sz="4" w:space="0" w:color="auto"/>
              <w:right w:val="single" w:sz="4" w:space="0" w:color="auto"/>
            </w:tcBorders>
            <w:shd w:val="clear" w:color="auto" w:fill="auto"/>
            <w:vAlign w:val="center"/>
          </w:tcPr>
          <w:p w14:paraId="0CCE061B" w14:textId="0393ECF2" w:rsidR="00766041" w:rsidRPr="008942E9" w:rsidRDefault="00F3702B" w:rsidP="000C617C">
            <w:pPr>
              <w:spacing w:after="0" w:line="240" w:lineRule="auto"/>
              <w:rPr>
                <w:rFonts w:eastAsia="Times New Roman"/>
                <w:color w:val="000000"/>
              </w:rPr>
            </w:pPr>
            <w:r>
              <w:rPr>
                <w:szCs w:val="24"/>
              </w:rPr>
              <w:t xml:space="preserve">Completed </w:t>
            </w:r>
            <w:r w:rsidR="002B5BE3">
              <w:rPr>
                <w:szCs w:val="24"/>
              </w:rPr>
              <w:t>14</w:t>
            </w:r>
            <w:r w:rsidR="00766041" w:rsidRPr="007315C4">
              <w:rPr>
                <w:szCs w:val="24"/>
              </w:rPr>
              <w:t xml:space="preserve"> months after OMB approval</w:t>
            </w:r>
          </w:p>
        </w:tc>
      </w:tr>
      <w:tr w:rsidR="000E4507" w:rsidRPr="007315C4" w14:paraId="5296FEB0" w14:textId="77777777" w:rsidTr="005C4474">
        <w:trPr>
          <w:cantSplit/>
          <w:trHeight w:val="403"/>
          <w:jc w:val="center"/>
        </w:trPr>
        <w:tc>
          <w:tcPr>
            <w:tcW w:w="2143" w:type="pct"/>
            <w:tcBorders>
              <w:top w:val="single" w:sz="6" w:space="0" w:color="auto"/>
              <w:left w:val="single" w:sz="4" w:space="0" w:color="auto"/>
              <w:bottom w:val="single" w:sz="4" w:space="0" w:color="auto"/>
            </w:tcBorders>
            <w:shd w:val="clear" w:color="auto" w:fill="auto"/>
            <w:vAlign w:val="center"/>
          </w:tcPr>
          <w:p w14:paraId="5D8041EF" w14:textId="77777777" w:rsidR="000E4507" w:rsidRPr="007315C4" w:rsidRDefault="000E4507" w:rsidP="000E4507">
            <w:pPr>
              <w:spacing w:after="0" w:line="240" w:lineRule="auto"/>
              <w:rPr>
                <w:szCs w:val="24"/>
              </w:rPr>
            </w:pPr>
            <w:r w:rsidRPr="007315C4">
              <w:rPr>
                <w:szCs w:val="24"/>
              </w:rPr>
              <w:t>Initial papers submitted for publication</w:t>
            </w:r>
          </w:p>
        </w:tc>
        <w:tc>
          <w:tcPr>
            <w:tcW w:w="2857" w:type="pct"/>
            <w:tcBorders>
              <w:top w:val="single" w:sz="6" w:space="0" w:color="auto"/>
              <w:left w:val="single" w:sz="6" w:space="0" w:color="auto"/>
              <w:bottom w:val="single" w:sz="4" w:space="0" w:color="auto"/>
              <w:right w:val="single" w:sz="4" w:space="0" w:color="auto"/>
            </w:tcBorders>
            <w:shd w:val="clear" w:color="auto" w:fill="auto"/>
            <w:vAlign w:val="center"/>
          </w:tcPr>
          <w:p w14:paraId="1C6E67F6" w14:textId="58D3164B" w:rsidR="002B5BE3" w:rsidRPr="007315C4" w:rsidRDefault="00F3702B" w:rsidP="000E4507">
            <w:pPr>
              <w:spacing w:after="0" w:line="240" w:lineRule="auto"/>
              <w:rPr>
                <w:szCs w:val="24"/>
              </w:rPr>
            </w:pPr>
            <w:r>
              <w:rPr>
                <w:szCs w:val="24"/>
              </w:rPr>
              <w:t xml:space="preserve">Completed </w:t>
            </w:r>
            <w:r w:rsidR="002B5BE3">
              <w:rPr>
                <w:szCs w:val="24"/>
              </w:rPr>
              <w:t>18 months after OMB approval</w:t>
            </w:r>
          </w:p>
        </w:tc>
      </w:tr>
      <w:tr w:rsidR="000E4507" w:rsidRPr="007315C4" w14:paraId="183CCE87" w14:textId="77777777" w:rsidTr="005C4474">
        <w:trPr>
          <w:cantSplit/>
          <w:trHeight w:val="403"/>
          <w:jc w:val="center"/>
        </w:trPr>
        <w:tc>
          <w:tcPr>
            <w:tcW w:w="2143" w:type="pct"/>
            <w:tcBorders>
              <w:top w:val="single" w:sz="6" w:space="0" w:color="auto"/>
              <w:left w:val="single" w:sz="4" w:space="0" w:color="auto"/>
              <w:bottom w:val="single" w:sz="4" w:space="0" w:color="auto"/>
            </w:tcBorders>
            <w:shd w:val="clear" w:color="auto" w:fill="auto"/>
            <w:vAlign w:val="center"/>
          </w:tcPr>
          <w:p w14:paraId="05B59A3B" w14:textId="5F407ABF" w:rsidR="000E4507" w:rsidRPr="007315C4" w:rsidRDefault="000E4507" w:rsidP="000E4507">
            <w:pPr>
              <w:spacing w:after="0" w:line="240" w:lineRule="auto"/>
              <w:rPr>
                <w:szCs w:val="24"/>
              </w:rPr>
            </w:pPr>
            <w:r w:rsidRPr="007315C4">
              <w:rPr>
                <w:szCs w:val="24"/>
              </w:rPr>
              <w:t>Additional papers submitted for publication</w:t>
            </w:r>
          </w:p>
        </w:tc>
        <w:tc>
          <w:tcPr>
            <w:tcW w:w="2857" w:type="pct"/>
            <w:tcBorders>
              <w:top w:val="single" w:sz="6" w:space="0" w:color="auto"/>
              <w:left w:val="single" w:sz="6" w:space="0" w:color="auto"/>
              <w:bottom w:val="single" w:sz="4" w:space="0" w:color="auto"/>
              <w:right w:val="single" w:sz="4" w:space="0" w:color="auto"/>
            </w:tcBorders>
            <w:shd w:val="clear" w:color="auto" w:fill="auto"/>
            <w:vAlign w:val="center"/>
          </w:tcPr>
          <w:p w14:paraId="22EA7951" w14:textId="0590BA88" w:rsidR="000E4507" w:rsidRPr="007315C4" w:rsidRDefault="00F3702B" w:rsidP="000E4507">
            <w:pPr>
              <w:spacing w:after="0" w:line="240" w:lineRule="auto"/>
              <w:rPr>
                <w:szCs w:val="24"/>
              </w:rPr>
            </w:pPr>
            <w:r>
              <w:rPr>
                <w:szCs w:val="24"/>
              </w:rPr>
              <w:t xml:space="preserve">Completed </w:t>
            </w:r>
            <w:r w:rsidR="00000813">
              <w:rPr>
                <w:szCs w:val="24"/>
              </w:rPr>
              <w:t>22 months after OMB approval</w:t>
            </w:r>
          </w:p>
        </w:tc>
      </w:tr>
    </w:tbl>
    <w:p w14:paraId="0DE604A3" w14:textId="77777777" w:rsidR="00FF72FC" w:rsidRPr="00E35DD1" w:rsidRDefault="00FF72FC" w:rsidP="00FF72FC"/>
    <w:p w14:paraId="4C4C8E2C" w14:textId="77777777" w:rsidR="00FF72FC" w:rsidRPr="00137456" w:rsidRDefault="00FF72FC" w:rsidP="00FF72FC">
      <w:pPr>
        <w:rPr>
          <w:b/>
          <w:bCs/>
        </w:rPr>
      </w:pPr>
      <w:r w:rsidRPr="00137456">
        <w:rPr>
          <w:b/>
          <w:bCs/>
        </w:rPr>
        <w:t>A.17</w:t>
      </w:r>
      <w:r w:rsidRPr="00137456">
        <w:rPr>
          <w:b/>
          <w:bCs/>
        </w:rPr>
        <w:tab/>
        <w:t>Reason(s) Display of OMB Expiration Date is Inappropriate</w:t>
      </w:r>
    </w:p>
    <w:p w14:paraId="1CDD40F0" w14:textId="011665D5" w:rsidR="00766041" w:rsidRDefault="00766041" w:rsidP="00FF72FC">
      <w:r w:rsidRPr="00766041">
        <w:t>No exemption is requested.  The expiration date for OMB approval will be displayed on the survey forms.</w:t>
      </w:r>
    </w:p>
    <w:p w14:paraId="606B8E36" w14:textId="1B6F4930" w:rsidR="000F54FC" w:rsidRPr="00137456" w:rsidRDefault="00FF72FC" w:rsidP="000F54FC">
      <w:pPr>
        <w:rPr>
          <w:b/>
          <w:bCs/>
        </w:rPr>
      </w:pPr>
      <w:r w:rsidRPr="00137456">
        <w:rPr>
          <w:b/>
          <w:bCs/>
        </w:rPr>
        <w:t>A.18</w:t>
      </w:r>
      <w:r w:rsidRPr="00137456">
        <w:rPr>
          <w:b/>
          <w:bCs/>
        </w:rPr>
        <w:tab/>
        <w:t>Exceptions to Certification for Paperwork Reduction Act Submissions</w:t>
      </w:r>
      <w:r w:rsidR="005F4A54" w:rsidRPr="00137456">
        <w:rPr>
          <w:b/>
          <w:bCs/>
        </w:rPr>
        <w:t xml:space="preserve"> </w:t>
      </w:r>
    </w:p>
    <w:p w14:paraId="2C11A4AA" w14:textId="5F25A9C2" w:rsidR="00D22E5F" w:rsidRDefault="005F4A54" w:rsidP="000C617C">
      <w:r w:rsidRPr="00024899">
        <w:t>None</w:t>
      </w:r>
      <w:r w:rsidR="00137456">
        <w:t>.</w:t>
      </w:r>
    </w:p>
    <w:sectPr w:rsidR="00D22E5F" w:rsidSect="00FE6EA5">
      <w:footerReference w:type="even" r:id="rId13"/>
      <w:footerReference w:type="default" r:id="rId14"/>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8246" w14:textId="77777777" w:rsidR="00FD5032" w:rsidRDefault="00FD5032">
      <w:pPr>
        <w:spacing w:after="0" w:line="240" w:lineRule="auto"/>
      </w:pPr>
      <w:r>
        <w:separator/>
      </w:r>
    </w:p>
  </w:endnote>
  <w:endnote w:type="continuationSeparator" w:id="0">
    <w:p w14:paraId="2EB6EB77" w14:textId="77777777" w:rsidR="00FD5032" w:rsidRDefault="00FD5032">
      <w:pPr>
        <w:spacing w:after="0" w:line="240" w:lineRule="auto"/>
      </w:pPr>
      <w:r>
        <w:continuationSeparator/>
      </w:r>
    </w:p>
  </w:endnote>
  <w:endnote w:type="continuationNotice" w:id="1">
    <w:p w14:paraId="118057E3" w14:textId="77777777" w:rsidR="00FD5032" w:rsidRDefault="00FD5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903A7" w14:textId="77777777" w:rsidR="00FD5032" w:rsidRDefault="00FD5032" w:rsidP="0096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DEA18" w14:textId="77777777" w:rsidR="00FD5032" w:rsidRDefault="00FD50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D184" w14:textId="78D7D9C5" w:rsidR="00FD5032" w:rsidRDefault="00FD5032" w:rsidP="00966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0E46">
      <w:rPr>
        <w:rStyle w:val="PageNumber"/>
        <w:noProof/>
      </w:rPr>
      <w:t>14</w:t>
    </w:r>
    <w:r>
      <w:rPr>
        <w:rStyle w:val="PageNumber"/>
      </w:rPr>
      <w:fldChar w:fldCharType="end"/>
    </w:r>
  </w:p>
  <w:p w14:paraId="4F5A8CD8" w14:textId="77777777" w:rsidR="00FD5032" w:rsidRDefault="00FD5032" w:rsidP="009667B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BD291" w14:textId="77777777" w:rsidR="00FD5032" w:rsidRDefault="00FD5032">
      <w:pPr>
        <w:spacing w:after="0" w:line="240" w:lineRule="auto"/>
      </w:pPr>
      <w:r>
        <w:separator/>
      </w:r>
    </w:p>
  </w:footnote>
  <w:footnote w:type="continuationSeparator" w:id="0">
    <w:p w14:paraId="5CF6FE55" w14:textId="77777777" w:rsidR="00FD5032" w:rsidRDefault="00FD5032">
      <w:pPr>
        <w:spacing w:after="0" w:line="240" w:lineRule="auto"/>
      </w:pPr>
      <w:r>
        <w:continuationSeparator/>
      </w:r>
    </w:p>
  </w:footnote>
  <w:footnote w:type="continuationNotice" w:id="1">
    <w:p w14:paraId="18ACD635" w14:textId="77777777" w:rsidR="00FD5032" w:rsidRDefault="00FD503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6C8D"/>
    <w:multiLevelType w:val="hybridMultilevel"/>
    <w:tmpl w:val="0F244DE2"/>
    <w:lvl w:ilvl="0" w:tplc="2F760C1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346A0"/>
    <w:multiLevelType w:val="hybridMultilevel"/>
    <w:tmpl w:val="D0665652"/>
    <w:lvl w:ilvl="0" w:tplc="AA5AAF4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E4E52"/>
    <w:multiLevelType w:val="hybridMultilevel"/>
    <w:tmpl w:val="9ADA20EC"/>
    <w:lvl w:ilvl="0" w:tplc="A8147CE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B4B97"/>
    <w:multiLevelType w:val="hybridMultilevel"/>
    <w:tmpl w:val="3212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
  </w:num>
  <w:num w:numId="5">
    <w:abstractNumId w:val="5"/>
  </w:num>
  <w:num w:numId="6">
    <w:abstractNumId w:val="4"/>
  </w:num>
  <w:num w:numId="7">
    <w:abstractNumId w:val="6"/>
  </w:num>
  <w:num w:numId="8">
    <w:abstractNumId w:val="9"/>
  </w:num>
  <w:num w:numId="9">
    <w:abstractNumId w:val="7"/>
  </w:num>
  <w:num w:numId="10">
    <w:abstractNumId w:val="13"/>
  </w:num>
  <w:num w:numId="11">
    <w:abstractNumId w:val="2"/>
  </w:num>
  <w:num w:numId="12">
    <w:abstractNumId w:val="0"/>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tDQxNDO3NDQ2MTA0MjVX0lEKTi0uzszPAymwqAUA54mRmiwAAAA="/>
  </w:docVars>
  <w:rsids>
    <w:rsidRoot w:val="000F3043"/>
    <w:rsid w:val="00000813"/>
    <w:rsid w:val="00015181"/>
    <w:rsid w:val="00024899"/>
    <w:rsid w:val="00036FFD"/>
    <w:rsid w:val="00051406"/>
    <w:rsid w:val="00070C6D"/>
    <w:rsid w:val="00087C1D"/>
    <w:rsid w:val="00096DAB"/>
    <w:rsid w:val="000C617C"/>
    <w:rsid w:val="000E14A9"/>
    <w:rsid w:val="000E4507"/>
    <w:rsid w:val="000F3043"/>
    <w:rsid w:val="000F54FC"/>
    <w:rsid w:val="0010154F"/>
    <w:rsid w:val="00113716"/>
    <w:rsid w:val="001228F0"/>
    <w:rsid w:val="00137456"/>
    <w:rsid w:val="00140F66"/>
    <w:rsid w:val="0014307C"/>
    <w:rsid w:val="001518EE"/>
    <w:rsid w:val="00164DAB"/>
    <w:rsid w:val="00170EC9"/>
    <w:rsid w:val="00171464"/>
    <w:rsid w:val="001800A3"/>
    <w:rsid w:val="001A6E80"/>
    <w:rsid w:val="001B0BD7"/>
    <w:rsid w:val="001D2EF4"/>
    <w:rsid w:val="00204BB8"/>
    <w:rsid w:val="002106D0"/>
    <w:rsid w:val="002177DE"/>
    <w:rsid w:val="00225BC4"/>
    <w:rsid w:val="002410B5"/>
    <w:rsid w:val="00245089"/>
    <w:rsid w:val="00255F7C"/>
    <w:rsid w:val="002670CD"/>
    <w:rsid w:val="002704A8"/>
    <w:rsid w:val="002A02BA"/>
    <w:rsid w:val="002A044E"/>
    <w:rsid w:val="002A70E7"/>
    <w:rsid w:val="002B4250"/>
    <w:rsid w:val="002B5BE3"/>
    <w:rsid w:val="002C30EC"/>
    <w:rsid w:val="002C5181"/>
    <w:rsid w:val="002D5B8C"/>
    <w:rsid w:val="002E2720"/>
    <w:rsid w:val="002E283A"/>
    <w:rsid w:val="002F4317"/>
    <w:rsid w:val="003001DC"/>
    <w:rsid w:val="00303EDD"/>
    <w:rsid w:val="00312856"/>
    <w:rsid w:val="00315629"/>
    <w:rsid w:val="003225B3"/>
    <w:rsid w:val="0033279E"/>
    <w:rsid w:val="00341707"/>
    <w:rsid w:val="003526CE"/>
    <w:rsid w:val="0036208F"/>
    <w:rsid w:val="00365557"/>
    <w:rsid w:val="00366A72"/>
    <w:rsid w:val="00374E62"/>
    <w:rsid w:val="00375BAF"/>
    <w:rsid w:val="00384166"/>
    <w:rsid w:val="003C4E9C"/>
    <w:rsid w:val="003E5C04"/>
    <w:rsid w:val="0040476B"/>
    <w:rsid w:val="004244DD"/>
    <w:rsid w:val="00426909"/>
    <w:rsid w:val="00453C52"/>
    <w:rsid w:val="00455F1B"/>
    <w:rsid w:val="004716CF"/>
    <w:rsid w:val="00475D10"/>
    <w:rsid w:val="00493AB2"/>
    <w:rsid w:val="00497B81"/>
    <w:rsid w:val="004B4E37"/>
    <w:rsid w:val="004F2849"/>
    <w:rsid w:val="00512DC6"/>
    <w:rsid w:val="005150E7"/>
    <w:rsid w:val="00530A3F"/>
    <w:rsid w:val="00540DFD"/>
    <w:rsid w:val="005410EA"/>
    <w:rsid w:val="00552401"/>
    <w:rsid w:val="005645D1"/>
    <w:rsid w:val="00576688"/>
    <w:rsid w:val="00576CF2"/>
    <w:rsid w:val="005903A9"/>
    <w:rsid w:val="00591B59"/>
    <w:rsid w:val="00592B93"/>
    <w:rsid w:val="005933B2"/>
    <w:rsid w:val="00595A93"/>
    <w:rsid w:val="005A5BAE"/>
    <w:rsid w:val="005C22DD"/>
    <w:rsid w:val="005C4474"/>
    <w:rsid w:val="005E1322"/>
    <w:rsid w:val="005F4A54"/>
    <w:rsid w:val="006022F3"/>
    <w:rsid w:val="006201A4"/>
    <w:rsid w:val="00621621"/>
    <w:rsid w:val="00636414"/>
    <w:rsid w:val="00643D2B"/>
    <w:rsid w:val="006760FD"/>
    <w:rsid w:val="006804C2"/>
    <w:rsid w:val="006825BB"/>
    <w:rsid w:val="00685B30"/>
    <w:rsid w:val="006A45F9"/>
    <w:rsid w:val="006A4C63"/>
    <w:rsid w:val="006F3A79"/>
    <w:rsid w:val="007063F8"/>
    <w:rsid w:val="00717158"/>
    <w:rsid w:val="00723FA9"/>
    <w:rsid w:val="007253D0"/>
    <w:rsid w:val="0076544B"/>
    <w:rsid w:val="00766041"/>
    <w:rsid w:val="00767C53"/>
    <w:rsid w:val="00777B46"/>
    <w:rsid w:val="007834FE"/>
    <w:rsid w:val="007B35DE"/>
    <w:rsid w:val="007C2A11"/>
    <w:rsid w:val="007C5916"/>
    <w:rsid w:val="007D11BF"/>
    <w:rsid w:val="007D62DA"/>
    <w:rsid w:val="007E0F97"/>
    <w:rsid w:val="007E7B12"/>
    <w:rsid w:val="00802421"/>
    <w:rsid w:val="00824D7E"/>
    <w:rsid w:val="008359FA"/>
    <w:rsid w:val="0085076F"/>
    <w:rsid w:val="00857574"/>
    <w:rsid w:val="008615DF"/>
    <w:rsid w:val="0086248B"/>
    <w:rsid w:val="00890640"/>
    <w:rsid w:val="008942E9"/>
    <w:rsid w:val="00894FF4"/>
    <w:rsid w:val="008A247A"/>
    <w:rsid w:val="008B247C"/>
    <w:rsid w:val="008B4C1A"/>
    <w:rsid w:val="008B7E93"/>
    <w:rsid w:val="00941822"/>
    <w:rsid w:val="00955A70"/>
    <w:rsid w:val="009667B2"/>
    <w:rsid w:val="009720B9"/>
    <w:rsid w:val="00980616"/>
    <w:rsid w:val="009810A0"/>
    <w:rsid w:val="00984654"/>
    <w:rsid w:val="009931B8"/>
    <w:rsid w:val="009A0E9F"/>
    <w:rsid w:val="009A69D6"/>
    <w:rsid w:val="009C3E9D"/>
    <w:rsid w:val="009C3F78"/>
    <w:rsid w:val="009D2245"/>
    <w:rsid w:val="009E6110"/>
    <w:rsid w:val="009F6871"/>
    <w:rsid w:val="00A00CF8"/>
    <w:rsid w:val="00A2612C"/>
    <w:rsid w:val="00A31879"/>
    <w:rsid w:val="00A420F2"/>
    <w:rsid w:val="00A86220"/>
    <w:rsid w:val="00A9101D"/>
    <w:rsid w:val="00AB5ACF"/>
    <w:rsid w:val="00AB5D88"/>
    <w:rsid w:val="00AB74E0"/>
    <w:rsid w:val="00AC5057"/>
    <w:rsid w:val="00AC5E11"/>
    <w:rsid w:val="00B00E46"/>
    <w:rsid w:val="00B00EB3"/>
    <w:rsid w:val="00B03736"/>
    <w:rsid w:val="00B276A3"/>
    <w:rsid w:val="00B4620D"/>
    <w:rsid w:val="00B61623"/>
    <w:rsid w:val="00B966EB"/>
    <w:rsid w:val="00BB350B"/>
    <w:rsid w:val="00BE5466"/>
    <w:rsid w:val="00BE5EFA"/>
    <w:rsid w:val="00BE76A7"/>
    <w:rsid w:val="00BF0C39"/>
    <w:rsid w:val="00BF28B4"/>
    <w:rsid w:val="00BF491C"/>
    <w:rsid w:val="00C07035"/>
    <w:rsid w:val="00C1760A"/>
    <w:rsid w:val="00C3445E"/>
    <w:rsid w:val="00C37E21"/>
    <w:rsid w:val="00C43156"/>
    <w:rsid w:val="00C567BF"/>
    <w:rsid w:val="00C6236F"/>
    <w:rsid w:val="00C70AB6"/>
    <w:rsid w:val="00C82426"/>
    <w:rsid w:val="00CA6BB4"/>
    <w:rsid w:val="00CC1DBC"/>
    <w:rsid w:val="00CC2B54"/>
    <w:rsid w:val="00CD1365"/>
    <w:rsid w:val="00CD4033"/>
    <w:rsid w:val="00CD71FD"/>
    <w:rsid w:val="00CF1F99"/>
    <w:rsid w:val="00CF7BD1"/>
    <w:rsid w:val="00D22E5F"/>
    <w:rsid w:val="00D233BF"/>
    <w:rsid w:val="00D2516D"/>
    <w:rsid w:val="00D34BE5"/>
    <w:rsid w:val="00D462AD"/>
    <w:rsid w:val="00D7280E"/>
    <w:rsid w:val="00D9612D"/>
    <w:rsid w:val="00DB1217"/>
    <w:rsid w:val="00DC377D"/>
    <w:rsid w:val="00DC6884"/>
    <w:rsid w:val="00DD175E"/>
    <w:rsid w:val="00DE5570"/>
    <w:rsid w:val="00DF2A16"/>
    <w:rsid w:val="00E03967"/>
    <w:rsid w:val="00E20BCA"/>
    <w:rsid w:val="00E25146"/>
    <w:rsid w:val="00E26338"/>
    <w:rsid w:val="00E35DD1"/>
    <w:rsid w:val="00E56374"/>
    <w:rsid w:val="00E56588"/>
    <w:rsid w:val="00E56CC2"/>
    <w:rsid w:val="00E60E28"/>
    <w:rsid w:val="00E67B10"/>
    <w:rsid w:val="00E72390"/>
    <w:rsid w:val="00E83BEF"/>
    <w:rsid w:val="00E953B4"/>
    <w:rsid w:val="00EC25D6"/>
    <w:rsid w:val="00ED3AC3"/>
    <w:rsid w:val="00EE245F"/>
    <w:rsid w:val="00EE67C0"/>
    <w:rsid w:val="00EF64D2"/>
    <w:rsid w:val="00EF7F62"/>
    <w:rsid w:val="00F017C6"/>
    <w:rsid w:val="00F034A2"/>
    <w:rsid w:val="00F26EEC"/>
    <w:rsid w:val="00F33485"/>
    <w:rsid w:val="00F3702B"/>
    <w:rsid w:val="00F52557"/>
    <w:rsid w:val="00F7194B"/>
    <w:rsid w:val="00F756D4"/>
    <w:rsid w:val="00FB346E"/>
    <w:rsid w:val="00FB7E5D"/>
    <w:rsid w:val="00FD5032"/>
    <w:rsid w:val="00FE646A"/>
    <w:rsid w:val="00FE6EA5"/>
    <w:rsid w:val="00FF7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34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6A7"/>
    <w:pPr>
      <w:spacing w:after="200" w:line="276" w:lineRule="auto"/>
    </w:pPr>
    <w:rPr>
      <w:sz w:val="22"/>
      <w:szCs w:val="22"/>
    </w:rPr>
  </w:style>
  <w:style w:type="paragraph" w:styleId="Heading1">
    <w:name w:val="heading 1"/>
    <w:basedOn w:val="Normal"/>
    <w:next w:val="Normal"/>
    <w:link w:val="Heading1Char"/>
    <w:uiPriority w:val="9"/>
    <w:qFormat/>
    <w:rsid w:val="000F54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Sec. Head"/>
    <w:basedOn w:val="Normal"/>
    <w:next w:val="P1-StandPara"/>
    <w:link w:val="Heading2Char"/>
    <w:qFormat/>
    <w:rsid w:val="000F3043"/>
    <w:pPr>
      <w:keepNext/>
      <w:tabs>
        <w:tab w:val="left" w:pos="1152"/>
      </w:tabs>
      <w:spacing w:after="360" w:line="360" w:lineRule="atLeast"/>
      <w:ind w:left="432" w:hanging="432"/>
      <w:jc w:val="both"/>
      <w:outlineLvl w:val="1"/>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rsid w:val="000F3043"/>
    <w:rPr>
      <w:color w:val="0000FF"/>
      <w:u w:val="single"/>
    </w:rPr>
  </w:style>
  <w:style w:type="paragraph" w:customStyle="1" w:styleId="P1-StandPara">
    <w:name w:val="P1-Stand Para"/>
    <w:rsid w:val="000F3043"/>
    <w:pPr>
      <w:spacing w:line="480" w:lineRule="auto"/>
      <w:ind w:firstLine="720"/>
    </w:pPr>
    <w:rPr>
      <w:rFonts w:ascii="Times New Roman" w:eastAsia="Times New Roman" w:hAnsi="Times New Roman"/>
      <w:sz w:val="22"/>
    </w:rPr>
  </w:style>
  <w:style w:type="character" w:customStyle="1" w:styleId="Heading2Char">
    <w:name w:val="Heading 2 Char"/>
    <w:aliases w:val="H2-Sec. Head Char"/>
    <w:link w:val="Heading2"/>
    <w:rsid w:val="000F3043"/>
    <w:rPr>
      <w:rFonts w:ascii="Times New Roman" w:eastAsia="Times New Roman" w:hAnsi="Times New Roman" w:cs="Times New Roman"/>
      <w:b/>
      <w:szCs w:val="20"/>
    </w:rPr>
  </w:style>
  <w:style w:type="paragraph" w:customStyle="1" w:styleId="a">
    <w:name w:val="_"/>
    <w:rsid w:val="00685B30"/>
    <w:pPr>
      <w:widowControl w:val="0"/>
      <w:ind w:left="720"/>
    </w:pPr>
    <w:rPr>
      <w:rFonts w:ascii="Times New Roman" w:eastAsia="Times New Roman" w:hAnsi="Times New Roman"/>
      <w:snapToGrid w:val="0"/>
      <w:sz w:val="24"/>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FE6EA5"/>
    <w:rPr>
      <w:rFonts w:eastAsia="Times New Roman"/>
      <w:sz w:val="22"/>
      <w:szCs w:val="22"/>
      <w:lang w:eastAsia="ja-JP"/>
    </w:rPr>
  </w:style>
  <w:style w:type="character" w:customStyle="1" w:styleId="NoSpacingChar">
    <w:name w:val="No Spacing Char"/>
    <w:link w:val="NoSpacing"/>
    <w:uiPriority w:val="1"/>
    <w:rsid w:val="00FE6EA5"/>
    <w:rPr>
      <w:rFonts w:eastAsia="Times New Roman"/>
      <w:lang w:eastAsia="ja-JP"/>
    </w:rPr>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6EA5"/>
    <w:rPr>
      <w:rFonts w:ascii="Tahoma" w:hAnsi="Tahoma" w:cs="Tahoma"/>
      <w:sz w:val="16"/>
      <w:szCs w:val="16"/>
    </w:rPr>
  </w:style>
  <w:style w:type="table" w:styleId="TableGrid">
    <w:name w:val="Table Grid"/>
    <w:basedOn w:val="TableNormal"/>
    <w:rsid w:val="00DB12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F64D2"/>
    <w:rPr>
      <w:sz w:val="16"/>
      <w:szCs w:val="16"/>
    </w:rPr>
  </w:style>
  <w:style w:type="paragraph" w:styleId="CommentText">
    <w:name w:val="annotation text"/>
    <w:basedOn w:val="Normal"/>
    <w:link w:val="CommentTextChar"/>
    <w:semiHidden/>
    <w:unhideWhenUsed/>
    <w:rsid w:val="00EF64D2"/>
    <w:pPr>
      <w:spacing w:line="240" w:lineRule="auto"/>
    </w:pPr>
    <w:rPr>
      <w:sz w:val="20"/>
      <w:szCs w:val="20"/>
    </w:rPr>
  </w:style>
  <w:style w:type="character" w:customStyle="1" w:styleId="CommentTextChar">
    <w:name w:val="Comment Text Char"/>
    <w:basedOn w:val="DefaultParagraphFont"/>
    <w:link w:val="CommentText"/>
    <w:semiHidden/>
    <w:rsid w:val="00EF64D2"/>
  </w:style>
  <w:style w:type="paragraph" w:styleId="CommentSubject">
    <w:name w:val="annotation subject"/>
    <w:basedOn w:val="CommentText"/>
    <w:next w:val="CommentText"/>
    <w:link w:val="CommentSubjectChar"/>
    <w:uiPriority w:val="99"/>
    <w:semiHidden/>
    <w:unhideWhenUsed/>
    <w:rsid w:val="00EF64D2"/>
    <w:rPr>
      <w:b/>
      <w:bCs/>
    </w:rPr>
  </w:style>
  <w:style w:type="character" w:customStyle="1" w:styleId="CommentSubjectChar">
    <w:name w:val="Comment Subject Char"/>
    <w:basedOn w:val="CommentTextChar"/>
    <w:link w:val="CommentSubject"/>
    <w:uiPriority w:val="99"/>
    <w:semiHidden/>
    <w:rsid w:val="00EF64D2"/>
    <w:rPr>
      <w:b/>
      <w:bCs/>
    </w:rPr>
  </w:style>
  <w:style w:type="paragraph" w:styleId="Revision">
    <w:name w:val="Revision"/>
    <w:hidden/>
    <w:uiPriority w:val="99"/>
    <w:semiHidden/>
    <w:rsid w:val="001228F0"/>
    <w:rPr>
      <w:sz w:val="22"/>
      <w:szCs w:val="22"/>
    </w:rPr>
  </w:style>
  <w:style w:type="paragraph" w:styleId="Header">
    <w:name w:val="header"/>
    <w:basedOn w:val="Normal"/>
    <w:link w:val="HeaderChar"/>
    <w:uiPriority w:val="99"/>
    <w:unhideWhenUsed/>
    <w:rsid w:val="002E2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20"/>
    <w:rPr>
      <w:sz w:val="22"/>
      <w:szCs w:val="22"/>
    </w:rPr>
  </w:style>
  <w:style w:type="paragraph" w:styleId="BodyText">
    <w:name w:val="Body Text"/>
    <w:basedOn w:val="ListParagraph"/>
    <w:link w:val="BodyTextChar"/>
    <w:rsid w:val="000F54FC"/>
    <w:pPr>
      <w:spacing w:after="120" w:line="240" w:lineRule="auto"/>
      <w:contextualSpacing w:val="0"/>
    </w:pPr>
    <w:rPr>
      <w:rFonts w:asciiTheme="majorBidi" w:eastAsiaTheme="minorHAnsi" w:hAnsiTheme="majorBidi" w:cstheme="majorBidi"/>
      <w:color w:val="000000" w:themeColor="text1"/>
      <w:sz w:val="24"/>
      <w:szCs w:val="24"/>
    </w:rPr>
  </w:style>
  <w:style w:type="character" w:customStyle="1" w:styleId="BodyTextChar">
    <w:name w:val="Body Text Char"/>
    <w:basedOn w:val="DefaultParagraphFont"/>
    <w:link w:val="BodyText"/>
    <w:rsid w:val="000F54FC"/>
    <w:rPr>
      <w:rFonts w:asciiTheme="majorBidi" w:eastAsiaTheme="minorHAnsi" w:hAnsiTheme="majorBidi" w:cstheme="majorBidi"/>
      <w:color w:val="000000" w:themeColor="text1"/>
      <w:sz w:val="24"/>
      <w:szCs w:val="24"/>
    </w:rPr>
  </w:style>
  <w:style w:type="paragraph" w:customStyle="1" w:styleId="apptitle">
    <w:name w:val="apptitle"/>
    <w:basedOn w:val="Heading1"/>
    <w:rsid w:val="000F54FC"/>
    <w:pPr>
      <w:keepNext w:val="0"/>
      <w:keepLines w:val="0"/>
      <w:pageBreakBefore/>
      <w:widowControl w:val="0"/>
      <w:numPr>
        <w:ilvl w:val="1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ind w:left="720" w:hanging="720"/>
      <w:contextualSpacing/>
      <w:jc w:val="center"/>
    </w:pPr>
    <w:rPr>
      <w:rFonts w:asciiTheme="majorBidi" w:hAnsiTheme="majorBidi"/>
      <w:b/>
      <w:bCs/>
      <w:color w:val="000000" w:themeColor="text1"/>
      <w:sz w:val="28"/>
      <w:szCs w:val="28"/>
      <w:lang w:bidi="en-US"/>
    </w:rPr>
  </w:style>
  <w:style w:type="character" w:customStyle="1" w:styleId="Heading1Char">
    <w:name w:val="Heading 1 Char"/>
    <w:basedOn w:val="DefaultParagraphFont"/>
    <w:link w:val="Heading1"/>
    <w:uiPriority w:val="9"/>
    <w:rsid w:val="000F54FC"/>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592B93"/>
    <w:rPr>
      <w:color w:val="800080" w:themeColor="followedHyperlink"/>
      <w:u w:val="single"/>
    </w:rPr>
  </w:style>
  <w:style w:type="character" w:styleId="Emphasis">
    <w:name w:val="Emphasis"/>
    <w:basedOn w:val="DefaultParagraphFont"/>
    <w:uiPriority w:val="20"/>
    <w:qFormat/>
    <w:rsid w:val="00204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3239">
      <w:bodyDiv w:val="1"/>
      <w:marLeft w:val="0"/>
      <w:marRight w:val="0"/>
      <w:marTop w:val="0"/>
      <w:marBottom w:val="0"/>
      <w:divBdr>
        <w:top w:val="none" w:sz="0" w:space="0" w:color="auto"/>
        <w:left w:val="none" w:sz="0" w:space="0" w:color="auto"/>
        <w:bottom w:val="none" w:sz="0" w:space="0" w:color="auto"/>
        <w:right w:val="none" w:sz="0" w:space="0" w:color="auto"/>
      </w:divBdr>
    </w:div>
    <w:div w:id="754401518">
      <w:bodyDiv w:val="1"/>
      <w:marLeft w:val="0"/>
      <w:marRight w:val="0"/>
      <w:marTop w:val="0"/>
      <w:marBottom w:val="0"/>
      <w:divBdr>
        <w:top w:val="none" w:sz="0" w:space="0" w:color="auto"/>
        <w:left w:val="none" w:sz="0" w:space="0" w:color="auto"/>
        <w:bottom w:val="none" w:sz="0" w:space="0" w:color="auto"/>
        <w:right w:val="none" w:sz="0" w:space="0" w:color="auto"/>
      </w:divBdr>
    </w:div>
    <w:div w:id="813765521">
      <w:bodyDiv w:val="1"/>
      <w:marLeft w:val="0"/>
      <w:marRight w:val="0"/>
      <w:marTop w:val="0"/>
      <w:marBottom w:val="0"/>
      <w:divBdr>
        <w:top w:val="none" w:sz="0" w:space="0" w:color="auto"/>
        <w:left w:val="none" w:sz="0" w:space="0" w:color="auto"/>
        <w:bottom w:val="none" w:sz="0" w:space="0" w:color="auto"/>
        <w:right w:val="none" w:sz="0" w:space="0" w:color="auto"/>
      </w:divBdr>
    </w:div>
    <w:div w:id="1234586328">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713115956">
      <w:bodyDiv w:val="1"/>
      <w:marLeft w:val="0"/>
      <w:marRight w:val="0"/>
      <w:marTop w:val="0"/>
      <w:marBottom w:val="0"/>
      <w:divBdr>
        <w:top w:val="none" w:sz="0" w:space="0" w:color="auto"/>
        <w:left w:val="none" w:sz="0" w:space="0" w:color="auto"/>
        <w:bottom w:val="none" w:sz="0" w:space="0" w:color="auto"/>
        <w:right w:val="none" w:sz="0" w:space="0" w:color="auto"/>
      </w:divBdr>
    </w:div>
    <w:div w:id="1726483620">
      <w:bodyDiv w:val="1"/>
      <w:marLeft w:val="0"/>
      <w:marRight w:val="0"/>
      <w:marTop w:val="0"/>
      <w:marBottom w:val="0"/>
      <w:divBdr>
        <w:top w:val="none" w:sz="0" w:space="0" w:color="auto"/>
        <w:left w:val="none" w:sz="0" w:space="0" w:color="auto"/>
        <w:bottom w:val="none" w:sz="0" w:space="0" w:color="auto"/>
        <w:right w:val="none" w:sz="0" w:space="0" w:color="auto"/>
      </w:divBdr>
    </w:div>
    <w:div w:id="1963926308">
      <w:bodyDiv w:val="1"/>
      <w:marLeft w:val="0"/>
      <w:marRight w:val="0"/>
      <w:marTop w:val="0"/>
      <w:marBottom w:val="0"/>
      <w:divBdr>
        <w:top w:val="none" w:sz="0" w:space="0" w:color="auto"/>
        <w:left w:val="none" w:sz="0" w:space="0" w:color="auto"/>
        <w:bottom w:val="none" w:sz="0" w:space="0" w:color="auto"/>
        <w:right w:val="none" w:sz="0" w:space="0" w:color="auto"/>
      </w:divBdr>
    </w:div>
    <w:div w:id="21378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ls.gov/oes/current/oes291069.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4360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hitehouse.gov/the-press-office/2015/01/30/fact-sheet-president-obama-s-precision-medicine-initiative" TargetMode="External"/><Relationship Id="rId4" Type="http://schemas.openxmlformats.org/officeDocument/2006/relationships/styles" Target="styles.xml"/><Relationship Id="rId9" Type="http://schemas.openxmlformats.org/officeDocument/2006/relationships/hyperlink" Target="mailto:demoorjs@mail.nih.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C16DAF-CED7-476A-9507-57AB24D3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5212</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34852</CharactersWithSpaces>
  <SharedDoc>false</SharedDoc>
  <HLinks>
    <vt:vector size="6" baseType="variant">
      <vt:variant>
        <vt:i4>5963844</vt:i4>
      </vt:variant>
      <vt:variant>
        <vt:i4>3</vt:i4>
      </vt:variant>
      <vt:variant>
        <vt:i4>0</vt:i4>
      </vt:variant>
      <vt:variant>
        <vt:i4>5</vt:i4>
      </vt:variant>
      <vt:variant>
        <vt:lpwstr>http://oma.od.nih.gov/public/MS/privacy/Pages/privacyact.aspx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2016-05-12T16:49:00Z</dcterms:created>
  <dcterms:modified xsi:type="dcterms:W3CDTF">2016-05-12T16:49:00Z</dcterms:modified>
</cp:coreProperties>
</file>