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C4F75" w:rsidRPr="004F423F" w:rsidRDefault="00F05FAA" w:rsidP="00D80F0E">
      <w:pPr>
        <w:pStyle w:val="NoSpacing"/>
      </w:pPr>
      <w:r>
        <w:rPr>
          <w:noProof/>
        </w:rPr>
        <mc:AlternateContent>
          <mc:Choice Requires="wps">
            <w:drawing>
              <wp:anchor distT="0" distB="0" distL="114300" distR="114300" simplePos="0" relativeHeight="251658240" behindDoc="0" locked="0" layoutInCell="1" allowOverlap="1" wp14:anchorId="48B3A491" wp14:editId="48B3A492">
                <wp:simplePos x="0" y="0"/>
                <wp:positionH relativeFrom="column">
                  <wp:posOffset>-95250</wp:posOffset>
                </wp:positionH>
                <wp:positionV relativeFrom="paragraph">
                  <wp:posOffset>-24130</wp:posOffset>
                </wp:positionV>
                <wp:extent cx="6152515" cy="14605"/>
                <wp:effectExtent l="19050" t="19050" r="635"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2515" cy="1460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1.9pt;width:484.45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" strokeweight="3pt"/>
            </w:pict>
          </mc:Fallback>
        </mc:AlternateContent>
      </w:r>
    </w:p>
    <w:p w:rsidR="002C4F75" w:rsidRPr="004F423F" w:rsidRDefault="00DF544A" w:rsidP="00214B74">
      <w:pPr>
        <w:pStyle w:val="ReportCover-Title"/>
        <w:jc w:val="center"/>
        <w:rPr>
          <w:rFonts w:ascii="Times New Roman" w:hAnsi="Times New Roman"/>
          <w:color w:val="auto"/>
        </w:rPr>
      </w:pPr>
      <w:r>
        <w:rPr>
          <w:color w:val="auto"/>
          <w:szCs w:val="22"/>
        </w:rPr>
        <w:t xml:space="preserve">Same-sex relationships: Updates to Healthy Marriage and Relationship Education </w:t>
      </w:r>
      <w:r w:rsidR="00E01462">
        <w:rPr>
          <w:color w:val="auto"/>
          <w:szCs w:val="22"/>
        </w:rPr>
        <w:t>p</w:t>
      </w:r>
      <w:r>
        <w:rPr>
          <w:color w:val="auto"/>
          <w:szCs w:val="22"/>
        </w:rPr>
        <w:t>rogramming</w:t>
      </w:r>
      <w:r w:rsidR="00E01462">
        <w:rPr>
          <w:color w:val="auto"/>
          <w:szCs w:val="22"/>
        </w:rPr>
        <w:t xml:space="preserve"> (SUHMRE)</w:t>
      </w:r>
    </w:p>
    <w:p w:rsidR="002C4F75" w:rsidRPr="00310FF5" w:rsidRDefault="002C4F75" w:rsidP="002C4F75">
      <w:pPr>
        <w:pStyle w:val="ReportCover-Title"/>
        <w:rPr>
          <w:rFonts w:ascii="Times New Roman" w:hAnsi="Times New Roman"/>
          <w:color w:val="auto"/>
        </w:rPr>
      </w:pPr>
    </w:p>
    <w:p w:rsidR="002C4F75" w:rsidRPr="00310FF5" w:rsidRDefault="002C4F75" w:rsidP="002C4F75">
      <w:pPr>
        <w:pStyle w:val="ReportCover-Title"/>
        <w:jc w:val="center"/>
        <w:rPr>
          <w:rFonts w:ascii="Times New Roman" w:hAnsi="Times New Roman"/>
          <w:color w:val="auto"/>
          <w:sz w:val="32"/>
          <w:szCs w:val="32"/>
        </w:rPr>
      </w:pPr>
      <w:r w:rsidRPr="00310FF5">
        <w:rPr>
          <w:rFonts w:ascii="Times New Roman" w:hAnsi="Times New Roman"/>
          <w:color w:val="auto"/>
          <w:sz w:val="32"/>
          <w:szCs w:val="32"/>
        </w:rPr>
        <w:t>OMB Information Collection Request</w:t>
      </w:r>
    </w:p>
    <w:p w:rsidR="002C4F75" w:rsidRPr="00310FF5" w:rsidRDefault="00310FF5" w:rsidP="002C4F75">
      <w:pPr>
        <w:pStyle w:val="ReportCover-Title"/>
        <w:jc w:val="center"/>
        <w:rPr>
          <w:rFonts w:ascii="Times New Roman" w:hAnsi="Times New Roman"/>
          <w:color w:val="auto"/>
          <w:sz w:val="32"/>
          <w:szCs w:val="32"/>
        </w:rPr>
      </w:pPr>
      <w:r w:rsidRPr="00310FF5">
        <w:rPr>
          <w:rFonts w:ascii="Times New Roman" w:hAnsi="Times New Roman"/>
          <w:color w:val="auto"/>
          <w:sz w:val="32"/>
          <w:szCs w:val="32"/>
        </w:rPr>
        <w:t xml:space="preserve">New Collection </w:t>
      </w:r>
    </w:p>
    <w:p w:rsidR="002C4F75" w:rsidRPr="00310FF5" w:rsidRDefault="002C4F75" w:rsidP="002C4F75">
      <w:pPr>
        <w:rPr>
          <w:szCs w:val="22"/>
        </w:rPr>
      </w:pPr>
    </w:p>
    <w:p w:rsidR="002C4F75" w:rsidRPr="00310FF5" w:rsidRDefault="002C4F75" w:rsidP="002C4F75">
      <w:pPr>
        <w:pStyle w:val="ReportCover-Date"/>
        <w:jc w:val="center"/>
        <w:rPr>
          <w:rFonts w:ascii="Times New Roman" w:hAnsi="Times New Roman"/>
          <w:color w:val="auto"/>
        </w:rPr>
      </w:pPr>
    </w:p>
    <w:p w:rsidR="002C4F75" w:rsidRPr="00310FF5" w:rsidRDefault="002C4F75" w:rsidP="002C4F75">
      <w:pPr>
        <w:pStyle w:val="ReportCover-Date"/>
        <w:spacing w:after="360" w:line="240" w:lineRule="auto"/>
        <w:jc w:val="center"/>
        <w:rPr>
          <w:rFonts w:ascii="Times New Roman" w:hAnsi="Times New Roman"/>
          <w:color w:val="auto"/>
          <w:sz w:val="48"/>
          <w:szCs w:val="48"/>
        </w:rPr>
      </w:pPr>
      <w:r w:rsidRPr="00310FF5">
        <w:rPr>
          <w:rFonts w:ascii="Times New Roman" w:hAnsi="Times New Roman"/>
          <w:color w:val="auto"/>
          <w:sz w:val="48"/>
          <w:szCs w:val="48"/>
        </w:rPr>
        <w:t>Supporting Statement</w:t>
      </w:r>
    </w:p>
    <w:p w:rsidR="002C4F75" w:rsidRPr="00310FF5" w:rsidRDefault="002C4F75" w:rsidP="002C4F75">
      <w:pPr>
        <w:pStyle w:val="ReportCover-Date"/>
        <w:spacing w:after="360" w:line="240" w:lineRule="auto"/>
        <w:jc w:val="center"/>
        <w:rPr>
          <w:rFonts w:ascii="Times New Roman" w:hAnsi="Times New Roman"/>
          <w:color w:val="auto"/>
          <w:sz w:val="48"/>
          <w:szCs w:val="48"/>
        </w:rPr>
      </w:pPr>
      <w:r w:rsidRPr="00310FF5">
        <w:rPr>
          <w:rFonts w:ascii="Times New Roman" w:hAnsi="Times New Roman"/>
          <w:color w:val="auto"/>
          <w:sz w:val="48"/>
          <w:szCs w:val="48"/>
        </w:rPr>
        <w:t>Part A</w:t>
      </w:r>
    </w:p>
    <w:p w:rsidR="002C4F75" w:rsidRPr="00310FF5" w:rsidRDefault="00C168D1" w:rsidP="002C4F75">
      <w:pPr>
        <w:pStyle w:val="ReportCover-Date"/>
        <w:jc w:val="center"/>
        <w:rPr>
          <w:rFonts w:ascii="Times New Roman" w:hAnsi="Times New Roman"/>
          <w:color w:val="auto"/>
        </w:rPr>
      </w:pPr>
      <w:r>
        <w:rPr>
          <w:rFonts w:ascii="Times New Roman" w:hAnsi="Times New Roman"/>
          <w:color w:val="auto"/>
        </w:rPr>
        <w:t xml:space="preserve">January </w:t>
      </w:r>
      <w:r w:rsidR="00DF544A">
        <w:rPr>
          <w:rFonts w:ascii="Times New Roman" w:hAnsi="Times New Roman"/>
          <w:color w:val="auto"/>
        </w:rPr>
        <w:t>201</w:t>
      </w:r>
      <w:r>
        <w:rPr>
          <w:rFonts w:ascii="Times New Roman" w:hAnsi="Times New Roman"/>
          <w:color w:val="auto"/>
        </w:rPr>
        <w:t>6</w:t>
      </w:r>
    </w:p>
    <w:p w:rsidR="002C4F75" w:rsidRPr="00310FF5" w:rsidRDefault="002C4F75" w:rsidP="002C4F75">
      <w:pPr>
        <w:jc w:val="center"/>
      </w:pPr>
    </w:p>
    <w:p w:rsidR="002C4F75" w:rsidRPr="00310FF5" w:rsidRDefault="002C4F75" w:rsidP="002C4F75">
      <w:pPr>
        <w:jc w:val="center"/>
      </w:pPr>
      <w:r w:rsidRPr="00310FF5">
        <w:t>Submitted By:</w:t>
      </w:r>
    </w:p>
    <w:p w:rsidR="002C4F75" w:rsidRPr="00310FF5" w:rsidRDefault="002C4F75" w:rsidP="002C4F75">
      <w:pPr>
        <w:jc w:val="center"/>
      </w:pPr>
      <w:r w:rsidRPr="00310FF5">
        <w:t>Office of Planning, Research and Evaluation</w:t>
      </w:r>
    </w:p>
    <w:p w:rsidR="002C4F75" w:rsidRPr="00310FF5" w:rsidRDefault="002C4F75" w:rsidP="002C4F75">
      <w:pPr>
        <w:jc w:val="center"/>
      </w:pPr>
      <w:r w:rsidRPr="00310FF5">
        <w:t xml:space="preserve">Administration for Children and Families </w:t>
      </w:r>
    </w:p>
    <w:p w:rsidR="002C4F75" w:rsidRPr="00310FF5" w:rsidRDefault="002C4F75" w:rsidP="002C4F75">
      <w:pPr>
        <w:jc w:val="center"/>
      </w:pPr>
      <w:r w:rsidRPr="00310FF5">
        <w:t>U.S. Department of Health and Human Services</w:t>
      </w:r>
    </w:p>
    <w:p w:rsidR="002C4F75" w:rsidRPr="00310FF5" w:rsidRDefault="002C4F75" w:rsidP="002C4F75">
      <w:pPr>
        <w:jc w:val="center"/>
      </w:pPr>
    </w:p>
    <w:p w:rsidR="002C4F75" w:rsidRPr="00310FF5" w:rsidRDefault="002C4F75" w:rsidP="002C4F75">
      <w:pPr>
        <w:jc w:val="center"/>
      </w:pPr>
      <w:r w:rsidRPr="00310FF5">
        <w:t>7</w:t>
      </w:r>
      <w:r w:rsidRPr="00310FF5">
        <w:rPr>
          <w:vertAlign w:val="superscript"/>
        </w:rPr>
        <w:t>th</w:t>
      </w:r>
      <w:r w:rsidRPr="00310FF5">
        <w:t xml:space="preserve"> Floor, West Aerospace Building</w:t>
      </w:r>
    </w:p>
    <w:p w:rsidR="002C4F75" w:rsidRPr="00310FF5" w:rsidRDefault="002C4F75" w:rsidP="002C4F75">
      <w:pPr>
        <w:jc w:val="center"/>
      </w:pPr>
      <w:r w:rsidRPr="00310FF5">
        <w:t>370 L’Enfant Promenade, SW</w:t>
      </w:r>
    </w:p>
    <w:p w:rsidR="002C4F75" w:rsidRPr="00310FF5" w:rsidRDefault="002C4F75" w:rsidP="002C4F75">
      <w:pPr>
        <w:jc w:val="center"/>
      </w:pPr>
      <w:r w:rsidRPr="00310FF5">
        <w:t>Washington, D.C. 20447</w:t>
      </w:r>
    </w:p>
    <w:p w:rsidR="002C4F75" w:rsidRPr="00310FF5" w:rsidRDefault="002C4F75" w:rsidP="002C4F75">
      <w:pPr>
        <w:jc w:val="center"/>
      </w:pPr>
    </w:p>
    <w:p w:rsidR="002C4F75" w:rsidRPr="00310FF5" w:rsidRDefault="002C4F75" w:rsidP="002C4F75">
      <w:pPr>
        <w:jc w:val="center"/>
      </w:pPr>
      <w:r w:rsidRPr="00310FF5">
        <w:t>Project Officer:</w:t>
      </w:r>
    </w:p>
    <w:p w:rsidR="00286F49" w:rsidRPr="00310FF5" w:rsidRDefault="00286F49" w:rsidP="00286F49">
      <w:pPr>
        <w:widowControl w:val="0"/>
        <w:autoSpaceDE w:val="0"/>
        <w:autoSpaceDN w:val="0"/>
        <w:adjustRightInd w:val="0"/>
        <w:jc w:val="center"/>
        <w:rPr>
          <w:bCs/>
          <w:szCs w:val="28"/>
        </w:rPr>
      </w:pPr>
    </w:p>
    <w:p w:rsidR="00364EFF" w:rsidRDefault="00DF544A" w:rsidP="00364EFF">
      <w:pPr>
        <w:jc w:val="center"/>
        <w:rPr>
          <w:bCs/>
          <w:szCs w:val="28"/>
        </w:rPr>
      </w:pPr>
      <w:r>
        <w:rPr>
          <w:bCs/>
          <w:szCs w:val="28"/>
        </w:rPr>
        <w:t xml:space="preserve">Seth Chamberlain </w:t>
      </w:r>
    </w:p>
    <w:p w:rsidR="00364EFF" w:rsidRDefault="00364EFF" w:rsidP="00364EFF">
      <w:pPr>
        <w:jc w:val="center"/>
        <w:rPr>
          <w:bCs/>
          <w:szCs w:val="28"/>
        </w:rPr>
      </w:pPr>
    </w:p>
    <w:p w:rsidR="00364EFF" w:rsidRPr="00364EFF" w:rsidRDefault="00364EFF" w:rsidP="00364EFF">
      <w:pPr>
        <w:jc w:val="center"/>
        <w:rPr>
          <w:b/>
        </w:rPr>
      </w:pPr>
    </w:p>
    <w:p w:rsidR="00237EFC" w:rsidRDefault="00237EFC" w:rsidP="00237EFC">
      <w:bookmarkStart w:id="1" w:name="_Toc347387706"/>
    </w:p>
    <w:p w:rsidR="00237EFC" w:rsidRDefault="00237EFC" w:rsidP="00237EFC"/>
    <w:p w:rsidR="00237EFC" w:rsidRDefault="00237EFC" w:rsidP="00237EFC"/>
    <w:p w:rsidR="00D52103" w:rsidRDefault="00D52103" w:rsidP="00237EFC">
      <w:pPr>
        <w:rPr>
          <w:b/>
        </w:rPr>
      </w:pPr>
    </w:p>
    <w:p w:rsidR="00D52103" w:rsidRDefault="00D52103" w:rsidP="00237EFC">
      <w:pPr>
        <w:rPr>
          <w:b/>
        </w:rPr>
      </w:pPr>
    </w:p>
    <w:p w:rsidR="00214B74" w:rsidRDefault="00214B74" w:rsidP="00237EFC">
      <w:pPr>
        <w:rPr>
          <w:b/>
        </w:rPr>
      </w:pPr>
    </w:p>
    <w:p w:rsidR="00214B74" w:rsidRDefault="00214B74" w:rsidP="00237EFC">
      <w:pPr>
        <w:rPr>
          <w:b/>
        </w:rPr>
      </w:pPr>
    </w:p>
    <w:p w:rsidR="00364EFF" w:rsidRDefault="00364EFF" w:rsidP="00237EFC">
      <w:pPr>
        <w:rPr>
          <w:b/>
        </w:rPr>
      </w:pPr>
      <w:r w:rsidRPr="00237EFC">
        <w:rPr>
          <w:b/>
        </w:rPr>
        <w:lastRenderedPageBreak/>
        <w:t>Contents</w:t>
      </w:r>
      <w:bookmarkEnd w:id="1"/>
    </w:p>
    <w:p w:rsidR="00237EFC" w:rsidRDefault="00237EFC" w:rsidP="00237EFC">
      <w:pPr>
        <w:rPr>
          <w:b/>
        </w:rPr>
      </w:pPr>
    </w:p>
    <w:p w:rsidR="00237EFC" w:rsidRPr="00237EFC" w:rsidRDefault="00237EFC" w:rsidP="00237EFC">
      <w:pPr>
        <w:rPr>
          <w:b/>
        </w:rPr>
      </w:pPr>
      <w:r>
        <w:rPr>
          <w:b/>
        </w:rPr>
        <w:t xml:space="preserve">JUSTIFICATION </w:t>
      </w:r>
    </w:p>
    <w:p w:rsidR="00C934C8" w:rsidRDefault="004A74ED">
      <w:pPr>
        <w:pStyle w:val="TOC1"/>
        <w:tabs>
          <w:tab w:val="right" w:leader="dot" w:pos="9350"/>
        </w:tabs>
        <w:rPr>
          <w:rFonts w:asciiTheme="minorHAnsi" w:eastAsiaTheme="minorEastAsia" w:hAnsiTheme="minorHAnsi" w:cstheme="minorBidi"/>
          <w:noProof/>
          <w:sz w:val="22"/>
          <w:szCs w:val="22"/>
        </w:rPr>
      </w:pPr>
      <w:r>
        <w:fldChar w:fldCharType="begin"/>
      </w:r>
      <w:r w:rsidR="00364EFF">
        <w:instrText xml:space="preserve"> TOC \o "1-3" \h \z \u </w:instrText>
      </w:r>
      <w:r>
        <w:fldChar w:fldCharType="separate"/>
      </w:r>
      <w:hyperlink w:anchor="_Toc352332731" w:history="1">
        <w:r w:rsidR="00C934C8" w:rsidRPr="009E0769">
          <w:rPr>
            <w:rStyle w:val="Hyperlink"/>
            <w:noProof/>
          </w:rPr>
          <w:t>A1. Necessity for the Data Collection</w:t>
        </w:r>
        <w:r w:rsidR="00C934C8">
          <w:rPr>
            <w:noProof/>
            <w:webHidden/>
          </w:rPr>
          <w:tab/>
        </w:r>
        <w:r>
          <w:rPr>
            <w:noProof/>
            <w:webHidden/>
          </w:rPr>
          <w:fldChar w:fldCharType="begin"/>
        </w:r>
        <w:r w:rsidR="00C934C8">
          <w:rPr>
            <w:noProof/>
            <w:webHidden/>
          </w:rPr>
          <w:instrText xml:space="preserve"> PAGEREF _Toc352332731 \h </w:instrText>
        </w:r>
        <w:r>
          <w:rPr>
            <w:noProof/>
            <w:webHidden/>
          </w:rPr>
        </w:r>
        <w:r>
          <w:rPr>
            <w:noProof/>
            <w:webHidden/>
          </w:rPr>
          <w:fldChar w:fldCharType="separate"/>
        </w:r>
        <w:r w:rsidR="00C934C8">
          <w:rPr>
            <w:noProof/>
            <w:webHidden/>
          </w:rPr>
          <w:t>1</w:t>
        </w:r>
        <w:r>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32" w:history="1">
        <w:r w:rsidR="00C934C8" w:rsidRPr="009E0769">
          <w:rPr>
            <w:rStyle w:val="Hyperlink"/>
            <w:noProof/>
          </w:rPr>
          <w:t>A2. Purpose of Survey and Data Collection Procedures</w:t>
        </w:r>
        <w:r w:rsidR="00C934C8">
          <w:rPr>
            <w:noProof/>
            <w:webHidden/>
          </w:rPr>
          <w:tab/>
        </w:r>
        <w:r w:rsidR="004A74ED">
          <w:rPr>
            <w:noProof/>
            <w:webHidden/>
          </w:rPr>
          <w:fldChar w:fldCharType="begin"/>
        </w:r>
        <w:r w:rsidR="00C934C8">
          <w:rPr>
            <w:noProof/>
            <w:webHidden/>
          </w:rPr>
          <w:instrText xml:space="preserve"> PAGEREF _Toc352332732 \h </w:instrText>
        </w:r>
        <w:r w:rsidR="004A74ED">
          <w:rPr>
            <w:noProof/>
            <w:webHidden/>
          </w:rPr>
        </w:r>
        <w:r w:rsidR="004A74ED">
          <w:rPr>
            <w:noProof/>
            <w:webHidden/>
          </w:rPr>
          <w:fldChar w:fldCharType="separate"/>
        </w:r>
        <w:r w:rsidR="00C934C8">
          <w:rPr>
            <w:noProof/>
            <w:webHidden/>
          </w:rPr>
          <w:t>2</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33" w:history="1">
        <w:r w:rsidR="00C934C8" w:rsidRPr="009E0769">
          <w:rPr>
            <w:rStyle w:val="Hyperlink"/>
            <w:noProof/>
          </w:rPr>
          <w:t>A3. Improved Information Technology to Reduce Burden</w:t>
        </w:r>
        <w:r w:rsidR="00C934C8">
          <w:rPr>
            <w:noProof/>
            <w:webHidden/>
          </w:rPr>
          <w:tab/>
        </w:r>
        <w:r w:rsidR="004A74ED">
          <w:rPr>
            <w:noProof/>
            <w:webHidden/>
          </w:rPr>
          <w:fldChar w:fldCharType="begin"/>
        </w:r>
        <w:r w:rsidR="00C934C8">
          <w:rPr>
            <w:noProof/>
            <w:webHidden/>
          </w:rPr>
          <w:instrText xml:space="preserve"> PAGEREF _Toc352332733 \h </w:instrText>
        </w:r>
        <w:r w:rsidR="004A74ED">
          <w:rPr>
            <w:noProof/>
            <w:webHidden/>
          </w:rPr>
        </w:r>
        <w:r w:rsidR="004A74ED">
          <w:rPr>
            <w:noProof/>
            <w:webHidden/>
          </w:rPr>
          <w:fldChar w:fldCharType="separate"/>
        </w:r>
        <w:r w:rsidR="00C934C8">
          <w:rPr>
            <w:noProof/>
            <w:webHidden/>
          </w:rPr>
          <w:t>10</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34" w:history="1">
        <w:r w:rsidR="00C934C8" w:rsidRPr="009E0769">
          <w:rPr>
            <w:rStyle w:val="Hyperlink"/>
            <w:noProof/>
          </w:rPr>
          <w:t>A4. Efforts to Identify Duplication</w:t>
        </w:r>
        <w:r w:rsidR="00C934C8">
          <w:rPr>
            <w:noProof/>
            <w:webHidden/>
          </w:rPr>
          <w:tab/>
        </w:r>
        <w:r w:rsidR="004A74ED">
          <w:rPr>
            <w:noProof/>
            <w:webHidden/>
          </w:rPr>
          <w:fldChar w:fldCharType="begin"/>
        </w:r>
        <w:r w:rsidR="00C934C8">
          <w:rPr>
            <w:noProof/>
            <w:webHidden/>
          </w:rPr>
          <w:instrText xml:space="preserve"> PAGEREF _Toc352332734 \h </w:instrText>
        </w:r>
        <w:r w:rsidR="004A74ED">
          <w:rPr>
            <w:noProof/>
            <w:webHidden/>
          </w:rPr>
        </w:r>
        <w:r w:rsidR="004A74ED">
          <w:rPr>
            <w:noProof/>
            <w:webHidden/>
          </w:rPr>
          <w:fldChar w:fldCharType="separate"/>
        </w:r>
        <w:r w:rsidR="00C934C8">
          <w:rPr>
            <w:noProof/>
            <w:webHidden/>
          </w:rPr>
          <w:t>10</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35" w:history="1">
        <w:r w:rsidR="00C934C8" w:rsidRPr="009E0769">
          <w:rPr>
            <w:rStyle w:val="Hyperlink"/>
            <w:noProof/>
          </w:rPr>
          <w:t>A5. Involvement of Small Organizations</w:t>
        </w:r>
        <w:r w:rsidR="00C934C8">
          <w:rPr>
            <w:noProof/>
            <w:webHidden/>
          </w:rPr>
          <w:tab/>
        </w:r>
        <w:r w:rsidR="004A74ED">
          <w:rPr>
            <w:noProof/>
            <w:webHidden/>
          </w:rPr>
          <w:fldChar w:fldCharType="begin"/>
        </w:r>
        <w:r w:rsidR="00C934C8">
          <w:rPr>
            <w:noProof/>
            <w:webHidden/>
          </w:rPr>
          <w:instrText xml:space="preserve"> PAGEREF _Toc352332735 \h </w:instrText>
        </w:r>
        <w:r w:rsidR="004A74ED">
          <w:rPr>
            <w:noProof/>
            <w:webHidden/>
          </w:rPr>
        </w:r>
        <w:r w:rsidR="004A74ED">
          <w:rPr>
            <w:noProof/>
            <w:webHidden/>
          </w:rPr>
          <w:fldChar w:fldCharType="separate"/>
        </w:r>
        <w:r w:rsidR="00C934C8">
          <w:rPr>
            <w:noProof/>
            <w:webHidden/>
          </w:rPr>
          <w:t>11</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36" w:history="1">
        <w:r w:rsidR="00C934C8" w:rsidRPr="009E0769">
          <w:rPr>
            <w:rStyle w:val="Hyperlink"/>
            <w:noProof/>
          </w:rPr>
          <w:t>A6. Consequences of Less Frequent Data Collection</w:t>
        </w:r>
        <w:r w:rsidR="00C934C8">
          <w:rPr>
            <w:noProof/>
            <w:webHidden/>
          </w:rPr>
          <w:tab/>
        </w:r>
        <w:r w:rsidR="004A74ED">
          <w:rPr>
            <w:noProof/>
            <w:webHidden/>
          </w:rPr>
          <w:fldChar w:fldCharType="begin"/>
        </w:r>
        <w:r w:rsidR="00C934C8">
          <w:rPr>
            <w:noProof/>
            <w:webHidden/>
          </w:rPr>
          <w:instrText xml:space="preserve"> PAGEREF _Toc352332736 \h </w:instrText>
        </w:r>
        <w:r w:rsidR="004A74ED">
          <w:rPr>
            <w:noProof/>
            <w:webHidden/>
          </w:rPr>
        </w:r>
        <w:r w:rsidR="004A74ED">
          <w:rPr>
            <w:noProof/>
            <w:webHidden/>
          </w:rPr>
          <w:fldChar w:fldCharType="separate"/>
        </w:r>
        <w:r w:rsidR="00C934C8">
          <w:rPr>
            <w:noProof/>
            <w:webHidden/>
          </w:rPr>
          <w:t>11</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37" w:history="1">
        <w:r w:rsidR="00C934C8" w:rsidRPr="009E0769">
          <w:rPr>
            <w:rStyle w:val="Hyperlink"/>
            <w:noProof/>
          </w:rPr>
          <w:t>A7. Special Circumstances</w:t>
        </w:r>
        <w:r w:rsidR="00C934C8">
          <w:rPr>
            <w:noProof/>
            <w:webHidden/>
          </w:rPr>
          <w:tab/>
        </w:r>
        <w:r w:rsidR="004A74ED">
          <w:rPr>
            <w:noProof/>
            <w:webHidden/>
          </w:rPr>
          <w:fldChar w:fldCharType="begin"/>
        </w:r>
        <w:r w:rsidR="00C934C8">
          <w:rPr>
            <w:noProof/>
            <w:webHidden/>
          </w:rPr>
          <w:instrText xml:space="preserve"> PAGEREF _Toc352332737 \h </w:instrText>
        </w:r>
        <w:r w:rsidR="004A74ED">
          <w:rPr>
            <w:noProof/>
            <w:webHidden/>
          </w:rPr>
        </w:r>
        <w:r w:rsidR="004A74ED">
          <w:rPr>
            <w:noProof/>
            <w:webHidden/>
          </w:rPr>
          <w:fldChar w:fldCharType="separate"/>
        </w:r>
        <w:r w:rsidR="00C934C8">
          <w:rPr>
            <w:noProof/>
            <w:webHidden/>
          </w:rPr>
          <w:t>11</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38" w:history="1">
        <w:r w:rsidR="00C934C8" w:rsidRPr="009E0769">
          <w:rPr>
            <w:rStyle w:val="Hyperlink"/>
            <w:noProof/>
          </w:rPr>
          <w:t>A8. Federal Register Notice and Consultation</w:t>
        </w:r>
        <w:r w:rsidR="00C934C8">
          <w:rPr>
            <w:noProof/>
            <w:webHidden/>
          </w:rPr>
          <w:tab/>
        </w:r>
        <w:r w:rsidR="004A74ED">
          <w:rPr>
            <w:noProof/>
            <w:webHidden/>
          </w:rPr>
          <w:fldChar w:fldCharType="begin"/>
        </w:r>
        <w:r w:rsidR="00C934C8">
          <w:rPr>
            <w:noProof/>
            <w:webHidden/>
          </w:rPr>
          <w:instrText xml:space="preserve"> PAGEREF _Toc352332738 \h </w:instrText>
        </w:r>
        <w:r w:rsidR="004A74ED">
          <w:rPr>
            <w:noProof/>
            <w:webHidden/>
          </w:rPr>
        </w:r>
        <w:r w:rsidR="004A74ED">
          <w:rPr>
            <w:noProof/>
            <w:webHidden/>
          </w:rPr>
          <w:fldChar w:fldCharType="separate"/>
        </w:r>
        <w:r w:rsidR="00C934C8">
          <w:rPr>
            <w:noProof/>
            <w:webHidden/>
          </w:rPr>
          <w:t>11</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39" w:history="1">
        <w:r w:rsidR="00C934C8" w:rsidRPr="009E0769">
          <w:rPr>
            <w:rStyle w:val="Hyperlink"/>
            <w:noProof/>
          </w:rPr>
          <w:t>A9. Incentives for Respondents</w:t>
        </w:r>
        <w:r w:rsidR="00C934C8">
          <w:rPr>
            <w:noProof/>
            <w:webHidden/>
          </w:rPr>
          <w:tab/>
        </w:r>
        <w:r w:rsidR="004A74ED">
          <w:rPr>
            <w:noProof/>
            <w:webHidden/>
          </w:rPr>
          <w:fldChar w:fldCharType="begin"/>
        </w:r>
        <w:r w:rsidR="00C934C8">
          <w:rPr>
            <w:noProof/>
            <w:webHidden/>
          </w:rPr>
          <w:instrText xml:space="preserve"> PAGEREF _Toc352332739 \h </w:instrText>
        </w:r>
        <w:r w:rsidR="004A74ED">
          <w:rPr>
            <w:noProof/>
            <w:webHidden/>
          </w:rPr>
        </w:r>
        <w:r w:rsidR="004A74ED">
          <w:rPr>
            <w:noProof/>
            <w:webHidden/>
          </w:rPr>
          <w:fldChar w:fldCharType="separate"/>
        </w:r>
        <w:r w:rsidR="00C934C8">
          <w:rPr>
            <w:noProof/>
            <w:webHidden/>
          </w:rPr>
          <w:t>12</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0" w:history="1">
        <w:r w:rsidR="00C934C8" w:rsidRPr="009E0769">
          <w:rPr>
            <w:rStyle w:val="Hyperlink"/>
            <w:noProof/>
          </w:rPr>
          <w:t>A10. Privacy of Respondents</w:t>
        </w:r>
        <w:r w:rsidR="00C934C8">
          <w:rPr>
            <w:noProof/>
            <w:webHidden/>
          </w:rPr>
          <w:tab/>
        </w:r>
        <w:r w:rsidR="004A74ED">
          <w:rPr>
            <w:noProof/>
            <w:webHidden/>
          </w:rPr>
          <w:fldChar w:fldCharType="begin"/>
        </w:r>
        <w:r w:rsidR="00C934C8">
          <w:rPr>
            <w:noProof/>
            <w:webHidden/>
          </w:rPr>
          <w:instrText xml:space="preserve"> PAGEREF _Toc352332740 \h </w:instrText>
        </w:r>
        <w:r w:rsidR="004A74ED">
          <w:rPr>
            <w:noProof/>
            <w:webHidden/>
          </w:rPr>
        </w:r>
        <w:r w:rsidR="004A74ED">
          <w:rPr>
            <w:noProof/>
            <w:webHidden/>
          </w:rPr>
          <w:fldChar w:fldCharType="separate"/>
        </w:r>
        <w:r w:rsidR="00C934C8">
          <w:rPr>
            <w:noProof/>
            <w:webHidden/>
          </w:rPr>
          <w:t>13</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1" w:history="1">
        <w:r w:rsidR="00C934C8" w:rsidRPr="009E0769">
          <w:rPr>
            <w:rStyle w:val="Hyperlink"/>
            <w:noProof/>
          </w:rPr>
          <w:t>A11. Sensitive Questions</w:t>
        </w:r>
        <w:r w:rsidR="00C934C8">
          <w:rPr>
            <w:noProof/>
            <w:webHidden/>
          </w:rPr>
          <w:tab/>
        </w:r>
        <w:r w:rsidR="004A74ED">
          <w:rPr>
            <w:noProof/>
            <w:webHidden/>
          </w:rPr>
          <w:fldChar w:fldCharType="begin"/>
        </w:r>
        <w:r w:rsidR="00C934C8">
          <w:rPr>
            <w:noProof/>
            <w:webHidden/>
          </w:rPr>
          <w:instrText xml:space="preserve"> PAGEREF _Toc352332741 \h </w:instrText>
        </w:r>
        <w:r w:rsidR="004A74ED">
          <w:rPr>
            <w:noProof/>
            <w:webHidden/>
          </w:rPr>
        </w:r>
        <w:r w:rsidR="004A74ED">
          <w:rPr>
            <w:noProof/>
            <w:webHidden/>
          </w:rPr>
          <w:fldChar w:fldCharType="separate"/>
        </w:r>
        <w:r w:rsidR="00C934C8">
          <w:rPr>
            <w:noProof/>
            <w:webHidden/>
          </w:rPr>
          <w:t>13</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2" w:history="1">
        <w:r w:rsidR="00C934C8" w:rsidRPr="009E0769">
          <w:rPr>
            <w:rStyle w:val="Hyperlink"/>
            <w:noProof/>
          </w:rPr>
          <w:t>A12. Estimation of Information Collection Burden</w:t>
        </w:r>
        <w:r w:rsidR="00C934C8">
          <w:rPr>
            <w:noProof/>
            <w:webHidden/>
          </w:rPr>
          <w:tab/>
        </w:r>
        <w:r w:rsidR="004A74ED">
          <w:rPr>
            <w:noProof/>
            <w:webHidden/>
          </w:rPr>
          <w:fldChar w:fldCharType="begin"/>
        </w:r>
        <w:r w:rsidR="00C934C8">
          <w:rPr>
            <w:noProof/>
            <w:webHidden/>
          </w:rPr>
          <w:instrText xml:space="preserve"> PAGEREF _Toc352332742 \h </w:instrText>
        </w:r>
        <w:r w:rsidR="004A74ED">
          <w:rPr>
            <w:noProof/>
            <w:webHidden/>
          </w:rPr>
        </w:r>
        <w:r w:rsidR="004A74ED">
          <w:rPr>
            <w:noProof/>
            <w:webHidden/>
          </w:rPr>
          <w:fldChar w:fldCharType="separate"/>
        </w:r>
        <w:r w:rsidR="00C934C8">
          <w:rPr>
            <w:noProof/>
            <w:webHidden/>
          </w:rPr>
          <w:t>13</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3" w:history="1">
        <w:r w:rsidR="00C934C8" w:rsidRPr="009E0769">
          <w:rPr>
            <w:rStyle w:val="Hyperlink"/>
            <w:noProof/>
          </w:rPr>
          <w:t>A13. Cost Burden to Respondents or Record Keepers</w:t>
        </w:r>
        <w:r w:rsidR="00C934C8">
          <w:rPr>
            <w:noProof/>
            <w:webHidden/>
          </w:rPr>
          <w:tab/>
        </w:r>
        <w:r w:rsidR="004A74ED">
          <w:rPr>
            <w:noProof/>
            <w:webHidden/>
          </w:rPr>
          <w:fldChar w:fldCharType="begin"/>
        </w:r>
        <w:r w:rsidR="00C934C8">
          <w:rPr>
            <w:noProof/>
            <w:webHidden/>
          </w:rPr>
          <w:instrText xml:space="preserve"> PAGEREF _Toc352332743 \h </w:instrText>
        </w:r>
        <w:r w:rsidR="004A74ED">
          <w:rPr>
            <w:noProof/>
            <w:webHidden/>
          </w:rPr>
        </w:r>
        <w:r w:rsidR="004A74ED">
          <w:rPr>
            <w:noProof/>
            <w:webHidden/>
          </w:rPr>
          <w:fldChar w:fldCharType="separate"/>
        </w:r>
        <w:r w:rsidR="00C934C8">
          <w:rPr>
            <w:noProof/>
            <w:webHidden/>
          </w:rPr>
          <w:t>16</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4" w:history="1">
        <w:r w:rsidR="00C934C8" w:rsidRPr="009E0769">
          <w:rPr>
            <w:rStyle w:val="Hyperlink"/>
            <w:noProof/>
          </w:rPr>
          <w:t>A14. Estimate of Cost to the Federal Government</w:t>
        </w:r>
        <w:r w:rsidR="00C934C8">
          <w:rPr>
            <w:noProof/>
            <w:webHidden/>
          </w:rPr>
          <w:tab/>
        </w:r>
        <w:r w:rsidR="004A74ED">
          <w:rPr>
            <w:noProof/>
            <w:webHidden/>
          </w:rPr>
          <w:fldChar w:fldCharType="begin"/>
        </w:r>
        <w:r w:rsidR="00C934C8">
          <w:rPr>
            <w:noProof/>
            <w:webHidden/>
          </w:rPr>
          <w:instrText xml:space="preserve"> PAGEREF _Toc352332744 \h </w:instrText>
        </w:r>
        <w:r w:rsidR="004A74ED">
          <w:rPr>
            <w:noProof/>
            <w:webHidden/>
          </w:rPr>
        </w:r>
        <w:r w:rsidR="004A74ED">
          <w:rPr>
            <w:noProof/>
            <w:webHidden/>
          </w:rPr>
          <w:fldChar w:fldCharType="separate"/>
        </w:r>
        <w:r w:rsidR="00C934C8">
          <w:rPr>
            <w:noProof/>
            <w:webHidden/>
          </w:rPr>
          <w:t>16</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5" w:history="1">
        <w:r w:rsidR="00C934C8" w:rsidRPr="009E0769">
          <w:rPr>
            <w:rStyle w:val="Hyperlink"/>
            <w:noProof/>
          </w:rPr>
          <w:t>A15. Change in Burden</w:t>
        </w:r>
        <w:r w:rsidR="00C934C8">
          <w:rPr>
            <w:noProof/>
            <w:webHidden/>
          </w:rPr>
          <w:tab/>
        </w:r>
        <w:r w:rsidR="004A74ED">
          <w:rPr>
            <w:noProof/>
            <w:webHidden/>
          </w:rPr>
          <w:fldChar w:fldCharType="begin"/>
        </w:r>
        <w:r w:rsidR="00C934C8">
          <w:rPr>
            <w:noProof/>
            <w:webHidden/>
          </w:rPr>
          <w:instrText xml:space="preserve"> PAGEREF _Toc352332745 \h </w:instrText>
        </w:r>
        <w:r w:rsidR="004A74ED">
          <w:rPr>
            <w:noProof/>
            <w:webHidden/>
          </w:rPr>
        </w:r>
        <w:r w:rsidR="004A74ED">
          <w:rPr>
            <w:noProof/>
            <w:webHidden/>
          </w:rPr>
          <w:fldChar w:fldCharType="separate"/>
        </w:r>
        <w:r w:rsidR="00C934C8">
          <w:rPr>
            <w:noProof/>
            <w:webHidden/>
          </w:rPr>
          <w:t>16</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6" w:history="1">
        <w:r w:rsidR="00C934C8" w:rsidRPr="009E0769">
          <w:rPr>
            <w:rStyle w:val="Hyperlink"/>
            <w:noProof/>
          </w:rPr>
          <w:t>A16. Plan and Time Schedule for Information Collection, Tabulation and Publication</w:t>
        </w:r>
        <w:r w:rsidR="00C934C8">
          <w:rPr>
            <w:noProof/>
            <w:webHidden/>
          </w:rPr>
          <w:tab/>
        </w:r>
        <w:r w:rsidR="004A74ED">
          <w:rPr>
            <w:noProof/>
            <w:webHidden/>
          </w:rPr>
          <w:fldChar w:fldCharType="begin"/>
        </w:r>
        <w:r w:rsidR="00C934C8">
          <w:rPr>
            <w:noProof/>
            <w:webHidden/>
          </w:rPr>
          <w:instrText xml:space="preserve"> PAGEREF _Toc352332746 \h </w:instrText>
        </w:r>
        <w:r w:rsidR="004A74ED">
          <w:rPr>
            <w:noProof/>
            <w:webHidden/>
          </w:rPr>
        </w:r>
        <w:r w:rsidR="004A74ED">
          <w:rPr>
            <w:noProof/>
            <w:webHidden/>
          </w:rPr>
          <w:fldChar w:fldCharType="separate"/>
        </w:r>
        <w:r w:rsidR="00C934C8">
          <w:rPr>
            <w:noProof/>
            <w:webHidden/>
          </w:rPr>
          <w:t>16</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7" w:history="1">
        <w:r w:rsidR="00C934C8" w:rsidRPr="009E0769">
          <w:rPr>
            <w:rStyle w:val="Hyperlink"/>
            <w:noProof/>
          </w:rPr>
          <w:t>A17. Reasons Not to Display OMB Expiration Date</w:t>
        </w:r>
        <w:r w:rsidR="00C934C8">
          <w:rPr>
            <w:noProof/>
            <w:webHidden/>
          </w:rPr>
          <w:tab/>
        </w:r>
        <w:r w:rsidR="004A74ED">
          <w:rPr>
            <w:noProof/>
            <w:webHidden/>
          </w:rPr>
          <w:fldChar w:fldCharType="begin"/>
        </w:r>
        <w:r w:rsidR="00C934C8">
          <w:rPr>
            <w:noProof/>
            <w:webHidden/>
          </w:rPr>
          <w:instrText xml:space="preserve"> PAGEREF _Toc352332747 \h </w:instrText>
        </w:r>
        <w:r w:rsidR="004A74ED">
          <w:rPr>
            <w:noProof/>
            <w:webHidden/>
          </w:rPr>
        </w:r>
        <w:r w:rsidR="004A74ED">
          <w:rPr>
            <w:noProof/>
            <w:webHidden/>
          </w:rPr>
          <w:fldChar w:fldCharType="separate"/>
        </w:r>
        <w:r w:rsidR="00C934C8">
          <w:rPr>
            <w:noProof/>
            <w:webHidden/>
          </w:rPr>
          <w:t>18</w:t>
        </w:r>
        <w:r w:rsidR="004A74ED">
          <w:rPr>
            <w:noProof/>
            <w:webHidden/>
          </w:rPr>
          <w:fldChar w:fldCharType="end"/>
        </w:r>
      </w:hyperlink>
    </w:p>
    <w:p w:rsidR="00C934C8" w:rsidRDefault="00107E17">
      <w:pPr>
        <w:pStyle w:val="TOC1"/>
        <w:tabs>
          <w:tab w:val="right" w:leader="dot" w:pos="9350"/>
        </w:tabs>
        <w:rPr>
          <w:rFonts w:asciiTheme="minorHAnsi" w:eastAsiaTheme="minorEastAsia" w:hAnsiTheme="minorHAnsi" w:cstheme="minorBidi"/>
          <w:noProof/>
          <w:sz w:val="22"/>
          <w:szCs w:val="22"/>
        </w:rPr>
      </w:pPr>
      <w:hyperlink w:anchor="_Toc352332748" w:history="1">
        <w:r w:rsidR="00C934C8" w:rsidRPr="009E0769">
          <w:rPr>
            <w:rStyle w:val="Hyperlink"/>
            <w:noProof/>
          </w:rPr>
          <w:t>A18. Exceptions to Certification for Paperwork Reduction Act Submissions</w:t>
        </w:r>
        <w:r w:rsidR="00C934C8">
          <w:rPr>
            <w:noProof/>
            <w:webHidden/>
          </w:rPr>
          <w:tab/>
        </w:r>
        <w:r w:rsidR="004A74ED">
          <w:rPr>
            <w:noProof/>
            <w:webHidden/>
          </w:rPr>
          <w:fldChar w:fldCharType="begin"/>
        </w:r>
        <w:r w:rsidR="00C934C8">
          <w:rPr>
            <w:noProof/>
            <w:webHidden/>
          </w:rPr>
          <w:instrText xml:space="preserve"> PAGEREF _Toc352332748 \h </w:instrText>
        </w:r>
        <w:r w:rsidR="004A74ED">
          <w:rPr>
            <w:noProof/>
            <w:webHidden/>
          </w:rPr>
        </w:r>
        <w:r w:rsidR="004A74ED">
          <w:rPr>
            <w:noProof/>
            <w:webHidden/>
          </w:rPr>
          <w:fldChar w:fldCharType="separate"/>
        </w:r>
        <w:r w:rsidR="00C934C8">
          <w:rPr>
            <w:noProof/>
            <w:webHidden/>
          </w:rPr>
          <w:t>18</w:t>
        </w:r>
        <w:r w:rsidR="004A74ED">
          <w:rPr>
            <w:noProof/>
            <w:webHidden/>
          </w:rPr>
          <w:fldChar w:fldCharType="end"/>
        </w:r>
      </w:hyperlink>
    </w:p>
    <w:p w:rsidR="00364EFF" w:rsidRDefault="004A74ED" w:rsidP="00237EFC">
      <w:pPr>
        <w:ind w:left="810"/>
        <w:rPr>
          <w:b/>
          <w:bCs/>
          <w:noProof/>
        </w:rPr>
      </w:pPr>
      <w:r>
        <w:rPr>
          <w:b/>
          <w:bCs/>
          <w:noProof/>
        </w:rPr>
        <w:fldChar w:fldCharType="end"/>
      </w:r>
    </w:p>
    <w:p w:rsidR="004645CB" w:rsidRDefault="004645CB" w:rsidP="00237EFC">
      <w:pPr>
        <w:rPr>
          <w:b/>
          <w:bCs/>
          <w:noProof/>
        </w:rPr>
      </w:pPr>
      <w:r>
        <w:rPr>
          <w:b/>
          <w:bCs/>
          <w:noProof/>
        </w:rPr>
        <w:t>INSTRUMENTS</w:t>
      </w:r>
    </w:p>
    <w:p w:rsidR="004645CB" w:rsidRDefault="004645CB" w:rsidP="00237EFC">
      <w:pPr>
        <w:rPr>
          <w:bCs/>
          <w:noProof/>
        </w:rPr>
      </w:pPr>
      <w:r>
        <w:rPr>
          <w:bCs/>
          <w:noProof/>
        </w:rPr>
        <w:t xml:space="preserve">Instrument #1: Focus Group Guide for Adult </w:t>
      </w:r>
      <w:r w:rsidR="00854A3F">
        <w:rPr>
          <w:bCs/>
          <w:noProof/>
        </w:rPr>
        <w:t xml:space="preserve">Program </w:t>
      </w:r>
      <w:r>
        <w:rPr>
          <w:bCs/>
          <w:noProof/>
        </w:rPr>
        <w:t>Applicants</w:t>
      </w:r>
    </w:p>
    <w:p w:rsidR="004645CB" w:rsidRDefault="004645CB" w:rsidP="00237EFC">
      <w:pPr>
        <w:rPr>
          <w:bCs/>
          <w:noProof/>
        </w:rPr>
      </w:pPr>
      <w:r>
        <w:rPr>
          <w:bCs/>
          <w:noProof/>
        </w:rPr>
        <w:t xml:space="preserve">Instrument #2: Focus Group Guide for Adult </w:t>
      </w:r>
      <w:r w:rsidR="00854A3F">
        <w:rPr>
          <w:bCs/>
          <w:noProof/>
        </w:rPr>
        <w:t xml:space="preserve">Program </w:t>
      </w:r>
      <w:r>
        <w:rPr>
          <w:bCs/>
          <w:noProof/>
        </w:rPr>
        <w:t>Attendees</w:t>
      </w:r>
    </w:p>
    <w:p w:rsidR="004645CB" w:rsidRDefault="004645CB" w:rsidP="00237EFC">
      <w:pPr>
        <w:rPr>
          <w:bCs/>
          <w:noProof/>
        </w:rPr>
      </w:pPr>
      <w:r>
        <w:rPr>
          <w:bCs/>
          <w:noProof/>
        </w:rPr>
        <w:t xml:space="preserve">Instrument #3: Focus Group Guide for Youth </w:t>
      </w:r>
      <w:r w:rsidR="00854A3F">
        <w:rPr>
          <w:bCs/>
          <w:noProof/>
        </w:rPr>
        <w:t xml:space="preserve">Program </w:t>
      </w:r>
      <w:r>
        <w:rPr>
          <w:bCs/>
          <w:noProof/>
        </w:rPr>
        <w:t>Attendees</w:t>
      </w:r>
    </w:p>
    <w:p w:rsidR="004645CB" w:rsidRDefault="004645CB" w:rsidP="00237EFC">
      <w:pPr>
        <w:rPr>
          <w:bCs/>
          <w:noProof/>
        </w:rPr>
      </w:pPr>
      <w:r>
        <w:rPr>
          <w:bCs/>
          <w:noProof/>
        </w:rPr>
        <w:t>Instrument #4: Interview Guide for Experts</w:t>
      </w:r>
    </w:p>
    <w:p w:rsidR="004645CB" w:rsidRDefault="004645CB" w:rsidP="00237EFC">
      <w:pPr>
        <w:rPr>
          <w:bCs/>
          <w:noProof/>
        </w:rPr>
      </w:pPr>
      <w:r>
        <w:rPr>
          <w:bCs/>
          <w:noProof/>
        </w:rPr>
        <w:t>Instrument #5: Interview Guide for Program Managers</w:t>
      </w:r>
    </w:p>
    <w:p w:rsidR="004645CB" w:rsidRPr="00D80F0E" w:rsidRDefault="004645CB" w:rsidP="00237EFC">
      <w:pPr>
        <w:rPr>
          <w:bCs/>
          <w:noProof/>
        </w:rPr>
      </w:pPr>
      <w:r>
        <w:rPr>
          <w:bCs/>
          <w:noProof/>
        </w:rPr>
        <w:t>Instrument #6: Interview Guide for Facilitators</w:t>
      </w:r>
    </w:p>
    <w:p w:rsidR="004645CB" w:rsidRDefault="004645CB" w:rsidP="00237EFC">
      <w:pPr>
        <w:rPr>
          <w:b/>
          <w:bCs/>
          <w:noProof/>
        </w:rPr>
      </w:pPr>
    </w:p>
    <w:p w:rsidR="00237EFC" w:rsidRDefault="00237EFC" w:rsidP="00237EFC">
      <w:pPr>
        <w:rPr>
          <w:b/>
          <w:bCs/>
          <w:noProof/>
        </w:rPr>
      </w:pPr>
      <w:r>
        <w:rPr>
          <w:b/>
          <w:bCs/>
          <w:noProof/>
        </w:rPr>
        <w:t>A</w:t>
      </w:r>
      <w:r w:rsidR="00DE6666">
        <w:rPr>
          <w:b/>
          <w:bCs/>
          <w:noProof/>
        </w:rPr>
        <w:t>TTACHMENTS</w:t>
      </w:r>
    </w:p>
    <w:p w:rsidR="00237EFC" w:rsidRDefault="00237EFC" w:rsidP="00237EFC">
      <w:pPr>
        <w:rPr>
          <w:b/>
          <w:bCs/>
          <w:noProof/>
        </w:rPr>
      </w:pPr>
    </w:p>
    <w:p w:rsidR="00237EFC" w:rsidRPr="005319F7" w:rsidRDefault="00237EFC" w:rsidP="00237EFC">
      <w:pPr>
        <w:contextualSpacing/>
        <w:rPr>
          <w:b/>
        </w:rPr>
      </w:pPr>
      <w:r w:rsidRPr="005319F7">
        <w:rPr>
          <w:b/>
        </w:rPr>
        <w:t>A</w:t>
      </w:r>
      <w:r w:rsidR="00DE6666">
        <w:rPr>
          <w:b/>
        </w:rPr>
        <w:t>ttachment</w:t>
      </w:r>
      <w:r w:rsidRPr="005319F7">
        <w:rPr>
          <w:b/>
        </w:rPr>
        <w:t xml:space="preserve"> A:</w:t>
      </w:r>
      <w:r>
        <w:rPr>
          <w:b/>
        </w:rPr>
        <w:t xml:space="preserve"> Program Recruitment </w:t>
      </w:r>
      <w:r w:rsidR="004645CB">
        <w:rPr>
          <w:b/>
        </w:rPr>
        <w:t>and Consent Forms</w:t>
      </w:r>
    </w:p>
    <w:p w:rsidR="00012CD9" w:rsidRDefault="00641040" w:rsidP="005A03C4">
      <w:pPr>
        <w:ind w:left="720"/>
        <w:contextualSpacing/>
      </w:pPr>
      <w:r>
        <w:t>A</w:t>
      </w:r>
      <w:r w:rsidR="00DE6666">
        <w:t>ttachment</w:t>
      </w:r>
      <w:r>
        <w:t xml:space="preserve"> </w:t>
      </w:r>
      <w:r w:rsidR="00A71C13">
        <w:t>A</w:t>
      </w:r>
      <w:r w:rsidR="006A0F7B">
        <w:t>-</w:t>
      </w:r>
      <w:r w:rsidR="004645CB">
        <w:t>1</w:t>
      </w:r>
      <w:r w:rsidR="00012CD9">
        <w:t xml:space="preserve">:  </w:t>
      </w:r>
      <w:r w:rsidR="003958FA">
        <w:t xml:space="preserve">Program Recruitment Letter </w:t>
      </w:r>
    </w:p>
    <w:p w:rsidR="00012CD9" w:rsidRDefault="005A03C4" w:rsidP="00012CD9">
      <w:pPr>
        <w:ind w:left="720"/>
        <w:contextualSpacing/>
      </w:pPr>
      <w:r w:rsidRPr="00237EFC">
        <w:t>A</w:t>
      </w:r>
      <w:r w:rsidR="00DE6666">
        <w:t>ttachment</w:t>
      </w:r>
      <w:r w:rsidRPr="00237EFC">
        <w:t xml:space="preserve"> </w:t>
      </w:r>
      <w:r w:rsidR="00A71C13">
        <w:t>A</w:t>
      </w:r>
      <w:r w:rsidRPr="00237EFC">
        <w:t>-</w:t>
      </w:r>
      <w:r w:rsidR="004645CB">
        <w:t>2</w:t>
      </w:r>
      <w:r w:rsidR="00541B68">
        <w:t xml:space="preserve">: </w:t>
      </w:r>
      <w:r w:rsidR="00641040">
        <w:t xml:space="preserve"> </w:t>
      </w:r>
      <w:r w:rsidR="00A71C13">
        <w:t>Staff Consent Form</w:t>
      </w:r>
    </w:p>
    <w:p w:rsidR="00E77607" w:rsidRDefault="00E77607" w:rsidP="00012CD9">
      <w:pPr>
        <w:ind w:left="720"/>
        <w:contextualSpacing/>
        <w:rPr>
          <w:color w:val="FF0000"/>
        </w:rPr>
      </w:pPr>
      <w:r>
        <w:t>A</w:t>
      </w:r>
      <w:r w:rsidR="00DE6666">
        <w:t>ttachment</w:t>
      </w:r>
      <w:r>
        <w:t xml:space="preserve"> A-</w:t>
      </w:r>
      <w:r w:rsidR="004645CB">
        <w:t>3</w:t>
      </w:r>
      <w:r>
        <w:t>:  Expert Consent Form</w:t>
      </w:r>
    </w:p>
    <w:p w:rsidR="00555713" w:rsidRDefault="00A71C13" w:rsidP="00012CD9">
      <w:pPr>
        <w:ind w:left="720"/>
        <w:contextualSpacing/>
      </w:pPr>
      <w:r>
        <w:t>A</w:t>
      </w:r>
      <w:r w:rsidR="00DE6666">
        <w:t>ttachment</w:t>
      </w:r>
      <w:r>
        <w:t xml:space="preserve"> A</w:t>
      </w:r>
      <w:r w:rsidR="00E77607">
        <w:t>-</w:t>
      </w:r>
      <w:r w:rsidR="004645CB">
        <w:t>4</w:t>
      </w:r>
      <w:r w:rsidR="00555713" w:rsidRPr="0049734C">
        <w:t xml:space="preserve">: </w:t>
      </w:r>
      <w:r w:rsidR="003958FA">
        <w:t xml:space="preserve"> Adult</w:t>
      </w:r>
      <w:r>
        <w:t xml:space="preserve"> Consent Form </w:t>
      </w:r>
    </w:p>
    <w:p w:rsidR="003958FA" w:rsidRDefault="00E77607" w:rsidP="00012CD9">
      <w:pPr>
        <w:ind w:left="720"/>
        <w:contextualSpacing/>
      </w:pPr>
      <w:r>
        <w:t>A</w:t>
      </w:r>
      <w:r w:rsidR="00DE6666">
        <w:t>ttachment</w:t>
      </w:r>
      <w:r>
        <w:t xml:space="preserve"> A-</w:t>
      </w:r>
      <w:r w:rsidR="004645CB">
        <w:t>5</w:t>
      </w:r>
      <w:r w:rsidR="00627E5E">
        <w:t>: Youth Assent</w:t>
      </w:r>
      <w:r w:rsidR="003958FA">
        <w:t xml:space="preserve"> Form</w:t>
      </w:r>
    </w:p>
    <w:p w:rsidR="00627E5E" w:rsidRPr="0049734C" w:rsidRDefault="00627E5E" w:rsidP="00012CD9">
      <w:pPr>
        <w:ind w:left="720"/>
        <w:contextualSpacing/>
      </w:pPr>
      <w:r>
        <w:t>A</w:t>
      </w:r>
      <w:r w:rsidR="00DE6666">
        <w:t>ttachment</w:t>
      </w:r>
      <w:r>
        <w:t xml:space="preserve"> A-</w:t>
      </w:r>
      <w:r w:rsidR="004645CB">
        <w:t>6</w:t>
      </w:r>
      <w:r>
        <w:t>: Parental Consent Form for the Participation of Minors</w:t>
      </w:r>
    </w:p>
    <w:p w:rsidR="00391A09" w:rsidRDefault="00A71C13" w:rsidP="005A03C4">
      <w:pPr>
        <w:ind w:left="720"/>
        <w:contextualSpacing/>
      </w:pPr>
      <w:r>
        <w:t>A</w:t>
      </w:r>
      <w:r w:rsidR="00DE6666">
        <w:t>ttachment</w:t>
      </w:r>
      <w:r>
        <w:t xml:space="preserve"> A</w:t>
      </w:r>
      <w:r w:rsidR="006A0F7B">
        <w:t>-</w:t>
      </w:r>
      <w:r w:rsidR="004645CB">
        <w:t>7</w:t>
      </w:r>
      <w:r w:rsidR="005A03C4">
        <w:t xml:space="preserve">: </w:t>
      </w:r>
      <w:r w:rsidR="003958FA">
        <w:t>Receipt of Payment for Adults and Youth</w:t>
      </w:r>
    </w:p>
    <w:p w:rsidR="005A03C4" w:rsidRPr="00237EFC" w:rsidRDefault="00391A09" w:rsidP="005A03C4">
      <w:pPr>
        <w:ind w:left="720"/>
        <w:contextualSpacing/>
      </w:pPr>
      <w:r>
        <w:t>Attachment A-8: Guide to Inviting Focus Group Participants</w:t>
      </w:r>
      <w:r w:rsidR="00A71C13" w:rsidRPr="00237EFC">
        <w:t xml:space="preserve"> </w:t>
      </w:r>
      <w:r w:rsidR="00A71C13" w:rsidRPr="00237EFC">
        <w:rPr>
          <w:color w:val="FF0000"/>
        </w:rPr>
        <w:t xml:space="preserve"> </w:t>
      </w:r>
    </w:p>
    <w:p w:rsidR="00237EFC" w:rsidRPr="00237EFC" w:rsidRDefault="00237EFC" w:rsidP="00237EFC">
      <w:pPr>
        <w:contextualSpacing/>
      </w:pPr>
    </w:p>
    <w:p w:rsidR="00237EFC" w:rsidRPr="00237EFC" w:rsidRDefault="00237EFC" w:rsidP="00237EFC">
      <w:pPr>
        <w:contextualSpacing/>
      </w:pPr>
      <w:r w:rsidRPr="00237EFC">
        <w:rPr>
          <w:b/>
        </w:rPr>
        <w:t>A</w:t>
      </w:r>
      <w:r w:rsidR="00DE6666">
        <w:rPr>
          <w:b/>
        </w:rPr>
        <w:t>ttachment</w:t>
      </w:r>
      <w:r w:rsidRPr="00237EFC">
        <w:rPr>
          <w:b/>
        </w:rPr>
        <w:t xml:space="preserve"> </w:t>
      </w:r>
      <w:r w:rsidR="00D97888">
        <w:rPr>
          <w:b/>
        </w:rPr>
        <w:t>B</w:t>
      </w:r>
      <w:r w:rsidRPr="00237EFC">
        <w:rPr>
          <w:b/>
        </w:rPr>
        <w:t>:</w:t>
      </w:r>
      <w:r w:rsidRPr="00237EFC">
        <w:t xml:space="preserve">  </w:t>
      </w:r>
      <w:r w:rsidRPr="00237EFC">
        <w:rPr>
          <w:b/>
        </w:rPr>
        <w:t>Federal Register 60-Day Notice</w:t>
      </w:r>
    </w:p>
    <w:p w:rsidR="00237EFC" w:rsidRPr="00237EFC" w:rsidRDefault="00237EFC" w:rsidP="00237EFC">
      <w:pPr>
        <w:contextualSpacing/>
      </w:pPr>
    </w:p>
    <w:p w:rsidR="00237EFC" w:rsidRPr="00237EFC" w:rsidRDefault="00237EFC" w:rsidP="00237EFC">
      <w:pPr>
        <w:ind w:left="1440" w:hanging="1440"/>
        <w:contextualSpacing/>
        <w:rPr>
          <w:b/>
        </w:rPr>
      </w:pPr>
      <w:r w:rsidRPr="00237EFC">
        <w:rPr>
          <w:b/>
        </w:rPr>
        <w:t>A</w:t>
      </w:r>
      <w:r w:rsidR="00DE6666">
        <w:rPr>
          <w:b/>
        </w:rPr>
        <w:t>ttachment</w:t>
      </w:r>
      <w:r w:rsidRPr="00237EFC">
        <w:rPr>
          <w:b/>
        </w:rPr>
        <w:t xml:space="preserve"> </w:t>
      </w:r>
      <w:r w:rsidR="00D97888">
        <w:rPr>
          <w:b/>
        </w:rPr>
        <w:t>C</w:t>
      </w:r>
      <w:r w:rsidRPr="00237EFC">
        <w:rPr>
          <w:b/>
        </w:rPr>
        <w:t>:</w:t>
      </w:r>
      <w:r w:rsidRPr="00237EFC">
        <w:t xml:space="preserve"> </w:t>
      </w:r>
      <w:r w:rsidRPr="00237EFC">
        <w:rPr>
          <w:b/>
        </w:rPr>
        <w:t xml:space="preserve"> </w:t>
      </w:r>
      <w:r w:rsidR="00D97888" w:rsidRPr="00DC1AFD">
        <w:rPr>
          <w:b/>
        </w:rPr>
        <w:t>Urban Institute Staff Confidentiality Pledge</w:t>
      </w:r>
    </w:p>
    <w:p w:rsidR="00237EFC" w:rsidRPr="00237EFC" w:rsidRDefault="00237EFC" w:rsidP="00237EFC">
      <w:pPr>
        <w:contextualSpacing/>
      </w:pPr>
    </w:p>
    <w:p w:rsidR="00364EFF" w:rsidRDefault="00237EFC" w:rsidP="0049734C">
      <w:pPr>
        <w:contextualSpacing/>
      </w:pPr>
      <w:r w:rsidRPr="00DC1AFD">
        <w:rPr>
          <w:b/>
        </w:rPr>
        <w:lastRenderedPageBreak/>
        <w:t>A</w:t>
      </w:r>
      <w:r w:rsidR="00DE6666">
        <w:rPr>
          <w:b/>
        </w:rPr>
        <w:t>ttachment</w:t>
      </w:r>
      <w:r w:rsidRPr="00DC1AFD">
        <w:rPr>
          <w:b/>
        </w:rPr>
        <w:t xml:space="preserve"> </w:t>
      </w:r>
      <w:r w:rsidR="00D97888">
        <w:rPr>
          <w:b/>
        </w:rPr>
        <w:t>D</w:t>
      </w:r>
      <w:r w:rsidRPr="00DC1AFD">
        <w:rPr>
          <w:b/>
        </w:rPr>
        <w:t xml:space="preserve">:  </w:t>
      </w:r>
      <w:r w:rsidR="00D97888" w:rsidRPr="00237EFC">
        <w:rPr>
          <w:b/>
        </w:rPr>
        <w:t xml:space="preserve">Certificate of Review from the Institutional Review Board (IRB) of the Urban Institute </w:t>
      </w:r>
    </w:p>
    <w:p w:rsidR="00364EFF" w:rsidRDefault="00364EFF" w:rsidP="009332A3">
      <w:pPr>
        <w:pStyle w:val="Heading1"/>
        <w:rPr>
          <w:rFonts w:ascii="Times New Roman" w:hAnsi="Times New Roman"/>
          <w:sz w:val="24"/>
        </w:rPr>
        <w:sectPr w:rsidR="00364EFF" w:rsidSect="00D52103">
          <w:footerReference w:type="default" r:id="rId12"/>
          <w:footerReference w:type="first" r:id="rId13"/>
          <w:pgSz w:w="12240" w:h="15840"/>
          <w:pgMar w:top="1440" w:right="1440" w:bottom="1440" w:left="1440" w:header="720" w:footer="720" w:gutter="0"/>
          <w:pgNumType w:start="1"/>
          <w:cols w:space="720"/>
          <w:titlePg/>
          <w:docGrid w:linePitch="360"/>
        </w:sectPr>
      </w:pPr>
    </w:p>
    <w:p w:rsidR="00364EFF" w:rsidRPr="00237EFC" w:rsidRDefault="00364EFF" w:rsidP="00237EFC">
      <w:pPr>
        <w:pStyle w:val="Heading1"/>
        <w:rPr>
          <w:rFonts w:ascii="Times New Roman" w:hAnsi="Times New Roman"/>
          <w:sz w:val="24"/>
        </w:rPr>
      </w:pPr>
      <w:bookmarkStart w:id="2" w:name="_Toc352332731"/>
      <w:r w:rsidRPr="00237EFC">
        <w:rPr>
          <w:rFonts w:ascii="Times New Roman" w:hAnsi="Times New Roman"/>
          <w:sz w:val="24"/>
        </w:rPr>
        <w:lastRenderedPageBreak/>
        <w:t>A1. Necessity for the Data Collection</w:t>
      </w:r>
      <w:bookmarkEnd w:id="2"/>
    </w:p>
    <w:p w:rsidR="0067171A" w:rsidRPr="0067171A" w:rsidRDefault="00216D03" w:rsidP="0067171A">
      <w:r w:rsidRPr="00690880">
        <w:t xml:space="preserve">The Administration for Children </w:t>
      </w:r>
      <w:r w:rsidRPr="0067171A">
        <w:t xml:space="preserve">and Families (ACF) at the U.S. Department of Health and Human Services (HHS) seeks approval to </w:t>
      </w:r>
      <w:r w:rsidR="00E01462">
        <w:t xml:space="preserve">collect information from participants and staff at </w:t>
      </w:r>
      <w:r w:rsidR="00DF544A">
        <w:t xml:space="preserve">Healthy Marriage and Relationship Education (HMRE) </w:t>
      </w:r>
      <w:r w:rsidR="00E01462">
        <w:t xml:space="preserve">grantee </w:t>
      </w:r>
      <w:r w:rsidR="00DF544A">
        <w:t>programs</w:t>
      </w:r>
      <w:r w:rsidR="00E01462">
        <w:t>. This information will inform a research study entitled “Same-sex relationships: Updates to HMRE programs” or SUHMRE (pronounced “summary”).</w:t>
      </w:r>
      <w:r w:rsidR="00DF544A">
        <w:t xml:space="preserve"> </w:t>
      </w:r>
      <w:r w:rsidR="00E01462">
        <w:t xml:space="preserve">This study aims </w:t>
      </w:r>
      <w:r w:rsidRPr="0067171A">
        <w:t xml:space="preserve">to improve understanding of </w:t>
      </w:r>
      <w:r w:rsidR="00184D48" w:rsidRPr="0067171A">
        <w:t xml:space="preserve">the </w:t>
      </w:r>
      <w:r w:rsidR="00DF544A">
        <w:t>current state of HMRE practices for same-sex couples and lesbian, gay, and bisexual individuals</w:t>
      </w:r>
      <w:r w:rsidR="00E01462">
        <w:t xml:space="preserve"> (youth and adults)</w:t>
      </w:r>
      <w:r w:rsidR="00DF544A">
        <w:t xml:space="preserve"> who may become involved in same-sex relationship</w:t>
      </w:r>
      <w:r w:rsidR="004F7BBF">
        <w:t>s</w:t>
      </w:r>
      <w:r w:rsidR="00E01462">
        <w:t>, and to identify and promote promising approaches for serving them</w:t>
      </w:r>
      <w:r w:rsidR="00DF544A">
        <w:t xml:space="preserve">. </w:t>
      </w:r>
      <w:r w:rsidR="00B65F79" w:rsidRPr="000C423C">
        <w:t xml:space="preserve">The </w:t>
      </w:r>
      <w:r w:rsidR="00B65F79">
        <w:t xml:space="preserve">data collection </w:t>
      </w:r>
      <w:r w:rsidR="00B65F79" w:rsidRPr="000C423C">
        <w:t>will include interviews</w:t>
      </w:r>
      <w:r w:rsidR="00A653AF">
        <w:t xml:space="preserve">, </w:t>
      </w:r>
      <w:r w:rsidR="00F549A6">
        <w:t>conducted in-person or by telephone,</w:t>
      </w:r>
      <w:r w:rsidR="00B65F79" w:rsidRPr="000C423C">
        <w:t xml:space="preserve"> and focus groups with experts, practitioners, and HMRE program </w:t>
      </w:r>
      <w:r w:rsidR="00854A3F">
        <w:t>applicants/</w:t>
      </w:r>
      <w:r w:rsidR="00B65F79" w:rsidRPr="000C423C">
        <w:t>attendees. Data will be collected through small group and one-on-one interviews with program directors and staff and participating couples and individuals, including youth.</w:t>
      </w:r>
      <w:r w:rsidR="00B65F79" w:rsidRPr="0067171A">
        <w:t xml:space="preserve"> </w:t>
      </w:r>
      <w:r w:rsidR="00DF544A">
        <w:t xml:space="preserve">This research study </w:t>
      </w:r>
      <w:r w:rsidR="00B65F79">
        <w:t xml:space="preserve">will eventually </w:t>
      </w:r>
      <w:r w:rsidR="00DF544A">
        <w:t>vet these approaches</w:t>
      </w:r>
      <w:r w:rsidR="00B65F79">
        <w:t xml:space="preserve"> with stakeholders in the field</w:t>
      </w:r>
      <w:r w:rsidR="00DF544A">
        <w:t xml:space="preserve">. </w:t>
      </w:r>
    </w:p>
    <w:p w:rsidR="00BA7C70" w:rsidRDefault="00BA7C70" w:rsidP="00310FF5">
      <w:pPr>
        <w:ind w:left="180"/>
      </w:pPr>
    </w:p>
    <w:p w:rsidR="00246BF6" w:rsidRPr="00750772" w:rsidRDefault="00984CA2" w:rsidP="00750772">
      <w:pPr>
        <w:pStyle w:val="Heading4"/>
        <w:numPr>
          <w:ilvl w:val="3"/>
          <w:numId w:val="0"/>
        </w:numPr>
        <w:tabs>
          <w:tab w:val="num" w:pos="180"/>
        </w:tabs>
        <w:spacing w:before="0" w:after="120"/>
        <w:ind w:left="180" w:hanging="180"/>
        <w:rPr>
          <w:rFonts w:ascii="Times New Roman" w:hAnsi="Times New Roman"/>
          <w:i/>
          <w:sz w:val="24"/>
          <w:szCs w:val="24"/>
        </w:rPr>
      </w:pPr>
      <w:r w:rsidRPr="00177982">
        <w:rPr>
          <w:rFonts w:ascii="Times New Roman" w:hAnsi="Times New Roman"/>
          <w:i/>
          <w:sz w:val="24"/>
          <w:szCs w:val="24"/>
        </w:rPr>
        <w:t xml:space="preserve">Study Background </w:t>
      </w:r>
    </w:p>
    <w:p w:rsidR="00153F8A" w:rsidRDefault="00153F8A" w:rsidP="00A8430B">
      <w:r>
        <w:t>Government interest in HMRE programs has grown in response to dramatic changes in the structure of American families. High divorce rates and rates of non-marital childbearing have led to increasing levels of family and household instability in the U.S. There is concern and consensus that these changes have negative consequences for children (</w:t>
      </w:r>
      <w:proofErr w:type="spellStart"/>
      <w:r w:rsidR="00A26CFC">
        <w:t>Cherlin</w:t>
      </w:r>
      <w:proofErr w:type="spellEnd"/>
      <w:r w:rsidR="00A26CFC">
        <w:t xml:space="preserve">, Furstenberg, Chase-Lansdale, Kiernan, Robins, Morrison, and </w:t>
      </w:r>
      <w:proofErr w:type="spellStart"/>
      <w:r w:rsidR="00A26CFC">
        <w:t>Teitler</w:t>
      </w:r>
      <w:proofErr w:type="spellEnd"/>
      <w:r w:rsidR="00A26CFC">
        <w:t xml:space="preserve"> 1991</w:t>
      </w:r>
      <w:r>
        <w:t>), women (</w:t>
      </w:r>
      <w:r w:rsidR="00EE4BB7">
        <w:t>Smock, Manning, and Gupta 1999</w:t>
      </w:r>
      <w:r>
        <w:t>) and men (</w:t>
      </w:r>
      <w:r w:rsidR="00EE4BB7">
        <w:t>Amato 2000</w:t>
      </w:r>
      <w:r>
        <w:t xml:space="preserve">). HMRE programming provides individuals and couples with educational services intended to increase their skills in active communication, conflict resolution and other aspects of healthy, stable relationships and marriages. </w:t>
      </w:r>
      <w:r w:rsidR="008157AC">
        <w:t xml:space="preserve">The goal of this programming is to assist couples (or individuals who may eventually be in romantic relationships) to </w:t>
      </w:r>
      <w:r w:rsidR="008157AC">
        <w:rPr>
          <w:b/>
          <w:bCs/>
        </w:rPr>
        <w:t>engage in, or</w:t>
      </w:r>
      <w:r w:rsidR="008157AC">
        <w:t xml:space="preserve"> be better prepared for</w:t>
      </w:r>
      <w:r w:rsidR="008157AC">
        <w:rPr>
          <w:b/>
          <w:bCs/>
        </w:rPr>
        <w:t>,</w:t>
      </w:r>
      <w:r w:rsidR="008157AC">
        <w:t xml:space="preserve"> </w:t>
      </w:r>
      <w:r w:rsidR="008157AC">
        <w:rPr>
          <w:b/>
          <w:bCs/>
        </w:rPr>
        <w:t>healthy relationships</w:t>
      </w:r>
      <w:r>
        <w:t xml:space="preserve"> One of the allowable activities of HMRE programming is services for high school youth</w:t>
      </w:r>
      <w:r w:rsidR="00357A20">
        <w:t xml:space="preserve"> (other youth may also be served)</w:t>
      </w:r>
      <w:r>
        <w:t>. These services help teach the characteristics of healthy relationships and good decision-making, while also encouraging the development of useful relationship skills.</w:t>
      </w:r>
    </w:p>
    <w:p w:rsidR="00A8430B" w:rsidRDefault="00A8430B" w:rsidP="00A8430B"/>
    <w:p w:rsidR="00153F8A" w:rsidRDefault="00153F8A" w:rsidP="00A8430B">
      <w:r>
        <w:t xml:space="preserve">The legal constraints imposed by the Defense of Marriage Act (DOMA) previously prevented an explicit focus on </w:t>
      </w:r>
      <w:r w:rsidR="000D0470">
        <w:t>marriage for same-sex couples</w:t>
      </w:r>
      <w:r>
        <w:t xml:space="preserve"> within ACF-funded HMRE programs; nevertheless, from discussions with providers it is clear that some same-sex couples</w:t>
      </w:r>
      <w:r w:rsidR="004F7BBF">
        <w:t xml:space="preserve"> and</w:t>
      </w:r>
      <w:r>
        <w:t xml:space="preserve"> </w:t>
      </w:r>
      <w:r w:rsidR="004F7BBF">
        <w:t xml:space="preserve">LGB individuals </w:t>
      </w:r>
      <w:r>
        <w:t>have participated in HMRE programs. With the 201</w:t>
      </w:r>
      <w:r w:rsidR="007F5795">
        <w:t>3</w:t>
      </w:r>
      <w:r>
        <w:t xml:space="preserve"> Supreme Court decision striking down key portions of DOMA</w:t>
      </w:r>
      <w:r w:rsidR="004F7BBF">
        <w:t xml:space="preserve"> and</w:t>
      </w:r>
      <w:r w:rsidR="000D0470">
        <w:t xml:space="preserve"> the 2015 Supreme Court </w:t>
      </w:r>
      <w:r w:rsidR="00F549A6">
        <w:t xml:space="preserve">ruling that the Constitution guarantees the right to </w:t>
      </w:r>
      <w:r w:rsidR="008C7C5F">
        <w:t>marriage</w:t>
      </w:r>
      <w:r w:rsidR="00D01933">
        <w:t xml:space="preserve"> for both same-sex and opposite-sex couples</w:t>
      </w:r>
      <w:r w:rsidR="008C7C5F">
        <w:t xml:space="preserve">, </w:t>
      </w:r>
      <w:r>
        <w:t>many educators and program administrators within the HMRE field are now interested in curricula products to help them better serve LGB youth and adults.</w:t>
      </w:r>
    </w:p>
    <w:p w:rsidR="00A8430B" w:rsidRDefault="00A8430B" w:rsidP="00A8430B"/>
    <w:p w:rsidR="006425B6" w:rsidRDefault="00153F8A" w:rsidP="001C5DC7">
      <w:r>
        <w:t xml:space="preserve">There are </w:t>
      </w:r>
      <w:r w:rsidR="00557D44">
        <w:t>close to 1 million</w:t>
      </w:r>
      <w:r>
        <w:t xml:space="preserve"> cohabitating same-sex couples (</w:t>
      </w:r>
      <w:r w:rsidR="00557D44">
        <w:t>Gates 2015</w:t>
      </w:r>
      <w:r w:rsidR="008572BD">
        <w:t>)</w:t>
      </w:r>
      <w:r w:rsidR="00D01933">
        <w:t xml:space="preserve"> in the US</w:t>
      </w:r>
      <w:r>
        <w:t>. Nearly one in five same-sex couples are raising more than 200,000 children</w:t>
      </w:r>
      <w:r w:rsidR="00557D44">
        <w:t xml:space="preserve"> (Gates 2015)</w:t>
      </w:r>
      <w:r>
        <w:t xml:space="preserve">. While substantial changes have occurred in the legal and social climate </w:t>
      </w:r>
      <w:r w:rsidR="006C2D5B">
        <w:t xml:space="preserve">in the United States </w:t>
      </w:r>
      <w:r>
        <w:t xml:space="preserve">for </w:t>
      </w:r>
      <w:r w:rsidR="001E7A98">
        <w:t xml:space="preserve">same-sex couples, </w:t>
      </w:r>
      <w:r>
        <w:t xml:space="preserve">LGB individuals, and their families, many </w:t>
      </w:r>
      <w:r w:rsidR="001E7A98">
        <w:t xml:space="preserve">same-sex couples and </w:t>
      </w:r>
      <w:r>
        <w:t xml:space="preserve">LGB </w:t>
      </w:r>
      <w:r w:rsidR="001E7A98">
        <w:t>individuals</w:t>
      </w:r>
      <w:r>
        <w:t xml:space="preserve"> experience economic and social disadvantage, especially in parts of the country where social acceptance is lowest (</w:t>
      </w:r>
      <w:proofErr w:type="spellStart"/>
      <w:r w:rsidR="00557D44">
        <w:t>Badgett</w:t>
      </w:r>
      <w:proofErr w:type="spellEnd"/>
      <w:r w:rsidR="00557D44">
        <w:t xml:space="preserve"> 2003</w:t>
      </w:r>
      <w:r>
        <w:t xml:space="preserve">). </w:t>
      </w:r>
      <w:r w:rsidR="001E7A98">
        <w:t xml:space="preserve">Same-sex couples and </w:t>
      </w:r>
      <w:r>
        <w:t>LGB individuals still confront social stigma that affects their relationships (</w:t>
      </w:r>
      <w:r w:rsidR="00557D44">
        <w:t xml:space="preserve">Lewis, </w:t>
      </w:r>
      <w:proofErr w:type="spellStart"/>
      <w:r w:rsidR="00557D44">
        <w:t>Dertega</w:t>
      </w:r>
      <w:proofErr w:type="spellEnd"/>
      <w:r w:rsidR="00557D44">
        <w:t xml:space="preserve">, Griffin, and </w:t>
      </w:r>
      <w:proofErr w:type="spellStart"/>
      <w:r w:rsidR="00557D44">
        <w:t>Krowinski</w:t>
      </w:r>
      <w:proofErr w:type="spellEnd"/>
      <w:r w:rsidR="00557D44">
        <w:t xml:space="preserve"> 2003</w:t>
      </w:r>
      <w:r>
        <w:t>)</w:t>
      </w:r>
      <w:r w:rsidR="00D80F0E">
        <w:t>.</w:t>
      </w:r>
      <w:r>
        <w:t xml:space="preserve"> </w:t>
      </w:r>
      <w:r w:rsidR="00102B47">
        <w:t xml:space="preserve">This creates a need for </w:t>
      </w:r>
      <w:r w:rsidR="00102B47">
        <w:lastRenderedPageBreak/>
        <w:t xml:space="preserve">HMRE resources. </w:t>
      </w:r>
      <w:r>
        <w:t>Previous</w:t>
      </w:r>
      <w:r w:rsidR="00A653AF">
        <w:t xml:space="preserve"> </w:t>
      </w:r>
      <w:r w:rsidR="00102B47">
        <w:t xml:space="preserve">ACF </w:t>
      </w:r>
      <w:r>
        <w:t>efforts have focused on revising HMRE curricula</w:t>
      </w:r>
      <w:r w:rsidR="006C2D5B">
        <w:t xml:space="preserve"> and/or promoting appropriate approaches in HMRE programming</w:t>
      </w:r>
      <w:r>
        <w:t xml:space="preserve"> to address the needs of low-income families, Latinos, and other populations. </w:t>
      </w:r>
      <w:r w:rsidR="00D01933">
        <w:rPr>
          <w:color w:val="000000"/>
        </w:rPr>
        <w:t>Similarly, i</w:t>
      </w:r>
      <w:r w:rsidR="009D0E72" w:rsidRPr="00B853CF">
        <w:rPr>
          <w:color w:val="000000"/>
        </w:rPr>
        <w:t>n 201</w:t>
      </w:r>
      <w:r w:rsidR="005D227E">
        <w:rPr>
          <w:color w:val="000000"/>
        </w:rPr>
        <w:t>5</w:t>
      </w:r>
      <w:r w:rsidR="009D0E72" w:rsidRPr="00B853CF">
        <w:rPr>
          <w:color w:val="000000"/>
        </w:rPr>
        <w:t xml:space="preserve">, </w:t>
      </w:r>
      <w:r w:rsidR="009D0E72">
        <w:rPr>
          <w:color w:val="000000"/>
        </w:rPr>
        <w:t xml:space="preserve">the </w:t>
      </w:r>
      <w:r w:rsidR="009D0E72" w:rsidRPr="00CD4C95">
        <w:t>Office of Planning,</w:t>
      </w:r>
      <w:r w:rsidR="009D0E72">
        <w:t xml:space="preserve"> </w:t>
      </w:r>
      <w:r w:rsidR="009D0E72" w:rsidRPr="00CD4C95">
        <w:t xml:space="preserve">Research and Evaluation (OPRE) </w:t>
      </w:r>
      <w:r w:rsidR="009D0E72" w:rsidRPr="00B853CF">
        <w:rPr>
          <w:color w:val="000000"/>
        </w:rPr>
        <w:t xml:space="preserve">contracted </w:t>
      </w:r>
      <w:r w:rsidR="009D0E72">
        <w:rPr>
          <w:color w:val="000000"/>
        </w:rPr>
        <w:t xml:space="preserve">with </w:t>
      </w:r>
      <w:r w:rsidR="009D0E72" w:rsidRPr="00B853CF">
        <w:rPr>
          <w:color w:val="000000"/>
        </w:rPr>
        <w:t xml:space="preserve">the Urban Institute to </w:t>
      </w:r>
      <w:r w:rsidR="009D0E72">
        <w:t xml:space="preserve">conduct an exploratory study to </w:t>
      </w:r>
      <w:r w:rsidR="009D0E72" w:rsidRPr="00744AB0">
        <w:t xml:space="preserve">learn </w:t>
      </w:r>
      <w:r w:rsidR="005E3468">
        <w:t xml:space="preserve">about how HMRE programs approach serving same-sex couples and LGB individuals. </w:t>
      </w:r>
      <w:r w:rsidR="009D0E72">
        <w:t xml:space="preserve">Little </w:t>
      </w:r>
      <w:r w:rsidR="005E3468">
        <w:t>e</w:t>
      </w:r>
      <w:r w:rsidR="009D0E72">
        <w:t xml:space="preserve">vidence exists on the </w:t>
      </w:r>
      <w:r w:rsidR="006C2D5B">
        <w:t xml:space="preserve">relationship </w:t>
      </w:r>
      <w:r w:rsidR="005E3468">
        <w:t xml:space="preserve">needs of </w:t>
      </w:r>
      <w:r w:rsidR="001E7A98">
        <w:t xml:space="preserve">same-sex couples and </w:t>
      </w:r>
      <w:r w:rsidR="005E3468" w:rsidRPr="00D80F0E">
        <w:t xml:space="preserve">LGB individuals and the ways that </w:t>
      </w:r>
      <w:r w:rsidR="006C2D5B" w:rsidRPr="00D80F0E">
        <w:t xml:space="preserve">HMRE </w:t>
      </w:r>
      <w:r w:rsidR="005E3468" w:rsidRPr="00D80F0E">
        <w:t xml:space="preserve">programs meet these needs; </w:t>
      </w:r>
      <w:r w:rsidR="009D0E72" w:rsidRPr="00D80F0E">
        <w:t>therefore, t</w:t>
      </w:r>
      <w:r w:rsidR="006425B6" w:rsidRPr="00D80F0E">
        <w:t xml:space="preserve">his study will begin to explore these issues and offer lessons learned on </w:t>
      </w:r>
      <w:r w:rsidR="005E3468" w:rsidRPr="00D80F0E">
        <w:t>the delivery of servi</w:t>
      </w:r>
      <w:r w:rsidR="001E7A98" w:rsidRPr="00D80F0E">
        <w:t>ces</w:t>
      </w:r>
      <w:r w:rsidR="00D80F0E" w:rsidRPr="00D80F0E">
        <w:t xml:space="preserve"> </w:t>
      </w:r>
      <w:r w:rsidR="005E3468" w:rsidRPr="00D80F0E">
        <w:t>to LGB individuals and same-sex couples</w:t>
      </w:r>
      <w:r w:rsidR="006425B6" w:rsidRPr="00D80F0E">
        <w:t>.</w:t>
      </w:r>
      <w:r w:rsidR="006425B6">
        <w:t xml:space="preserve"> </w:t>
      </w:r>
    </w:p>
    <w:p w:rsidR="00214B74" w:rsidRDefault="00214B74" w:rsidP="00797BB7">
      <w:pPr>
        <w:pStyle w:val="Heading4"/>
        <w:numPr>
          <w:ilvl w:val="3"/>
          <w:numId w:val="0"/>
        </w:numPr>
        <w:tabs>
          <w:tab w:val="num" w:pos="180"/>
        </w:tabs>
        <w:spacing w:before="0" w:after="120"/>
        <w:ind w:left="187" w:hanging="187"/>
        <w:rPr>
          <w:color w:val="000000"/>
        </w:rPr>
      </w:pPr>
    </w:p>
    <w:p w:rsidR="00BE7952" w:rsidRPr="00797BB7" w:rsidRDefault="00984CA2" w:rsidP="00797BB7">
      <w:pPr>
        <w:pStyle w:val="Heading4"/>
        <w:numPr>
          <w:ilvl w:val="3"/>
          <w:numId w:val="0"/>
        </w:numPr>
        <w:tabs>
          <w:tab w:val="num" w:pos="180"/>
        </w:tabs>
        <w:spacing w:before="0" w:after="120"/>
        <w:ind w:left="187" w:hanging="187"/>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214B74" w:rsidRPr="00EF5DE2" w:rsidRDefault="000775F5" w:rsidP="000775F5">
      <w:bookmarkStart w:id="3" w:name="_Toc352332732"/>
      <w:r w:rsidRPr="00EF5DE2">
        <w:t>There are no legal or administrative requirements that</w:t>
      </w:r>
      <w:r w:rsidR="002D58FB">
        <w:t xml:space="preserve"> necessitate the collection. </w:t>
      </w:r>
      <w:r w:rsidR="005C3284">
        <w:t xml:space="preserve">The ACF </w:t>
      </w:r>
      <w:r w:rsidR="002D58FB">
        <w:t>OPRE</w:t>
      </w:r>
      <w:r w:rsidRPr="00EF5DE2">
        <w:t xml:space="preserve"> is undertaking the collection at the discretion of the agency.</w:t>
      </w:r>
    </w:p>
    <w:p w:rsidR="00945CD6" w:rsidRPr="009332A3" w:rsidRDefault="00292B70" w:rsidP="009332A3">
      <w:pPr>
        <w:pStyle w:val="Heading1"/>
        <w:rPr>
          <w:rFonts w:ascii="Times New Roman" w:hAnsi="Times New Roman"/>
        </w:rPr>
      </w:pPr>
      <w:r w:rsidRPr="009332A3">
        <w:rPr>
          <w:rFonts w:ascii="Times New Roman" w:hAnsi="Times New Roman"/>
          <w:sz w:val="24"/>
        </w:rPr>
        <w:t xml:space="preserve">A2. </w:t>
      </w:r>
      <w:r w:rsidR="00945CD6" w:rsidRPr="009332A3">
        <w:rPr>
          <w:rFonts w:ascii="Times New Roman" w:hAnsi="Times New Roman"/>
          <w:sz w:val="24"/>
        </w:rPr>
        <w:t>Purpose of Survey and Data Collection Procedures</w:t>
      </w:r>
      <w:bookmarkEnd w:id="3"/>
    </w:p>
    <w:p w:rsidR="00214B74" w:rsidRDefault="00214B74" w:rsidP="00750772">
      <w:pPr>
        <w:spacing w:after="120"/>
        <w:rPr>
          <w:b/>
          <w:i/>
        </w:rPr>
      </w:pPr>
    </w:p>
    <w:p w:rsidR="00246BF6" w:rsidRPr="00177982" w:rsidRDefault="00984CA2" w:rsidP="00750772">
      <w:pPr>
        <w:spacing w:after="120"/>
        <w:rPr>
          <w:b/>
          <w:i/>
        </w:rPr>
      </w:pPr>
      <w:r w:rsidRPr="00177982">
        <w:rPr>
          <w:b/>
          <w:i/>
        </w:rPr>
        <w:t>Overview of Purpose and Approach</w:t>
      </w:r>
    </w:p>
    <w:p w:rsidR="00D11668" w:rsidRDefault="00AA68FC" w:rsidP="00D11668">
      <w:r>
        <w:t>This study will be exploratory in nature.</w:t>
      </w:r>
      <w:r w:rsidRPr="003E70E8">
        <w:t xml:space="preserve"> </w:t>
      </w:r>
      <w:r w:rsidR="00D11668">
        <w:rPr>
          <w:iCs/>
        </w:rPr>
        <w:t>The goal</w:t>
      </w:r>
      <w:r w:rsidR="00D11668" w:rsidRPr="00CD4C95">
        <w:rPr>
          <w:iCs/>
        </w:rPr>
        <w:t xml:space="preserve"> of this information collection is to </w:t>
      </w:r>
      <w:r w:rsidR="00D11668" w:rsidRPr="00877DB6">
        <w:t xml:space="preserve">improve </w:t>
      </w:r>
      <w:r w:rsidR="00E839B1">
        <w:t xml:space="preserve">the HMRE fields’ </w:t>
      </w:r>
      <w:r w:rsidR="00D11668" w:rsidRPr="00877DB6">
        <w:t xml:space="preserve">understanding of </w:t>
      </w:r>
      <w:r w:rsidR="002D58FB">
        <w:t xml:space="preserve">how current HMRE programs address the needs of same-sex couples and LGB individuals, </w:t>
      </w:r>
      <w:r w:rsidR="006C2D5B">
        <w:t xml:space="preserve">via understanding </w:t>
      </w:r>
      <w:r w:rsidR="002D58FB">
        <w:t>perspectives of program staff on serving LGB individuals and same-sex couples, participants’ perspectives on HMRE program</w:t>
      </w:r>
      <w:r w:rsidR="006C2D5B">
        <w:t>ming</w:t>
      </w:r>
      <w:r w:rsidR="002D58FB">
        <w:t>, and expert perspectives on HMRE curricula</w:t>
      </w:r>
      <w:r w:rsidR="006C2D5B">
        <w:t xml:space="preserve"> and programming</w:t>
      </w:r>
      <w:r w:rsidR="002D58FB">
        <w:t xml:space="preserve">. </w:t>
      </w:r>
    </w:p>
    <w:p w:rsidR="00D11668" w:rsidRDefault="00D11668" w:rsidP="00D11668"/>
    <w:p w:rsidR="00D11668" w:rsidRDefault="00D11668" w:rsidP="00D11668">
      <w:r>
        <w:t xml:space="preserve">The study approach will </w:t>
      </w:r>
      <w:r w:rsidR="002D58FB">
        <w:t>include one-on-one interviews</w:t>
      </w:r>
      <w:r w:rsidR="00A653AF">
        <w:t>, conducted in-person or by telephone,</w:t>
      </w:r>
      <w:r w:rsidR="002D58FB">
        <w:t xml:space="preserve"> and focus groups with HMRE experts, HMRE staff, and </w:t>
      </w:r>
      <w:r w:rsidR="00854A3F">
        <w:t xml:space="preserve">applicants to and </w:t>
      </w:r>
      <w:r w:rsidR="002D58FB">
        <w:t>participants in HMRE programming.</w:t>
      </w:r>
      <w:r>
        <w:t xml:space="preserve"> </w:t>
      </w:r>
      <w:r w:rsidR="006D79BF">
        <w:t xml:space="preserve">Respondents will include program facilitators, program managers, adult </w:t>
      </w:r>
      <w:r w:rsidR="00854A3F">
        <w:t>applicants/</w:t>
      </w:r>
      <w:r w:rsidR="006D79BF">
        <w:t xml:space="preserve">participants, youth participants, and HMRE experts. </w:t>
      </w:r>
      <w:r>
        <w:t xml:space="preserve">Upon OMB approval, </w:t>
      </w:r>
      <w:r w:rsidR="00DF0131">
        <w:t xml:space="preserve">the </w:t>
      </w:r>
      <w:r w:rsidR="0037576B">
        <w:t xml:space="preserve">interviews and focus groups will be conducted </w:t>
      </w:r>
      <w:r w:rsidR="002F1086">
        <w:t>by summer 2016</w:t>
      </w:r>
      <w:r>
        <w:t xml:space="preserve">.  </w:t>
      </w:r>
      <w:r w:rsidR="00A716D7">
        <w:t xml:space="preserve">By </w:t>
      </w:r>
      <w:r w:rsidR="002F1086">
        <w:t>fall 2016</w:t>
      </w:r>
      <w:r>
        <w:t xml:space="preserve">, a final report will be </w:t>
      </w:r>
      <w:r w:rsidR="001E7A98">
        <w:t>completed</w:t>
      </w:r>
      <w:r>
        <w:t xml:space="preserve"> drawing upon and synthesizing these data to present key research findings. </w:t>
      </w:r>
    </w:p>
    <w:p w:rsidR="00797BB7" w:rsidRDefault="00797BB7" w:rsidP="00750772">
      <w:pPr>
        <w:spacing w:after="120"/>
        <w:rPr>
          <w:iCs/>
        </w:rPr>
      </w:pPr>
    </w:p>
    <w:p w:rsidR="00750772" w:rsidRDefault="0062263E" w:rsidP="00750772">
      <w:pPr>
        <w:spacing w:after="120"/>
        <w:rPr>
          <w:b/>
          <w:i/>
        </w:rPr>
      </w:pPr>
      <w:r>
        <w:rPr>
          <w:b/>
          <w:i/>
        </w:rPr>
        <w:t>Research Questions</w:t>
      </w:r>
    </w:p>
    <w:p w:rsidR="006425B6" w:rsidRPr="003E70E8" w:rsidRDefault="00AA68FC" w:rsidP="0035349D">
      <w:r>
        <w:t>As mentioned earlier, t</w:t>
      </w:r>
      <w:r w:rsidR="006D79BF">
        <w:t>his study will be exploratory in nature.</w:t>
      </w:r>
      <w:r w:rsidR="006D79BF" w:rsidRPr="003E70E8">
        <w:t xml:space="preserve"> </w:t>
      </w:r>
      <w:r w:rsidR="006425B6" w:rsidRPr="003E70E8">
        <w:t>The study will explore the following research questions:</w:t>
      </w:r>
    </w:p>
    <w:p w:rsidR="006425B6" w:rsidRPr="00364C92" w:rsidRDefault="006425B6" w:rsidP="006425B6">
      <w:pPr>
        <w:pStyle w:val="ListParagraph"/>
        <w:ind w:hanging="360"/>
        <w:rPr>
          <w:iCs/>
          <w:color w:val="000000"/>
          <w:sz w:val="16"/>
        </w:rPr>
      </w:pPr>
    </w:p>
    <w:p w:rsidR="006425B6" w:rsidRPr="0099168D" w:rsidRDefault="0065665A" w:rsidP="006425B6">
      <w:pPr>
        <w:pStyle w:val="ListParagraph"/>
        <w:numPr>
          <w:ilvl w:val="0"/>
          <w:numId w:val="46"/>
        </w:numPr>
        <w:ind w:left="360" w:hanging="360"/>
        <w:contextualSpacing/>
        <w:rPr>
          <w:color w:val="000000"/>
        </w:rPr>
      </w:pPr>
      <w:r>
        <w:rPr>
          <w:iCs/>
          <w:color w:val="000000"/>
        </w:rPr>
        <w:t>How do existing HMRE curricula</w:t>
      </w:r>
      <w:r w:rsidR="000B2095">
        <w:rPr>
          <w:iCs/>
          <w:color w:val="000000"/>
        </w:rPr>
        <w:t xml:space="preserve"> and programming</w:t>
      </w:r>
      <w:r>
        <w:rPr>
          <w:iCs/>
          <w:color w:val="000000"/>
        </w:rPr>
        <w:t xml:space="preserve"> address same-sex couples </w:t>
      </w:r>
      <w:r w:rsidR="001E7A98">
        <w:rPr>
          <w:iCs/>
          <w:color w:val="000000"/>
        </w:rPr>
        <w:t>and LGB individuals</w:t>
      </w:r>
      <w:r>
        <w:rPr>
          <w:iCs/>
          <w:color w:val="000000"/>
        </w:rPr>
        <w:t xml:space="preserve"> who may eventually be involved in same-sex relationships? Do participants think their distinct needs are met with existing curricula</w:t>
      </w:r>
      <w:r w:rsidR="000B2095">
        <w:rPr>
          <w:iCs/>
          <w:color w:val="000000"/>
        </w:rPr>
        <w:t>/programming</w:t>
      </w:r>
      <w:r>
        <w:rPr>
          <w:iCs/>
          <w:color w:val="000000"/>
        </w:rPr>
        <w:t xml:space="preserve">? What are those distinct needs? </w:t>
      </w:r>
      <w:r w:rsidR="006425B6" w:rsidRPr="0099168D">
        <w:rPr>
          <w:iCs/>
          <w:color w:val="000000"/>
        </w:rPr>
        <w:t xml:space="preserve"> </w:t>
      </w:r>
    </w:p>
    <w:p w:rsidR="006425B6" w:rsidRPr="00364C92" w:rsidRDefault="006425B6" w:rsidP="006425B6">
      <w:pPr>
        <w:pStyle w:val="ListParagraph"/>
        <w:ind w:left="360" w:hanging="360"/>
        <w:rPr>
          <w:iCs/>
          <w:color w:val="000000"/>
          <w:sz w:val="16"/>
          <w:szCs w:val="16"/>
        </w:rPr>
      </w:pPr>
    </w:p>
    <w:p w:rsidR="006425B6" w:rsidRDefault="0065665A" w:rsidP="006425B6">
      <w:pPr>
        <w:pStyle w:val="ListParagraph"/>
        <w:numPr>
          <w:ilvl w:val="0"/>
          <w:numId w:val="46"/>
        </w:numPr>
        <w:ind w:left="360" w:hanging="360"/>
        <w:contextualSpacing/>
        <w:rPr>
          <w:iCs/>
          <w:color w:val="000000"/>
        </w:rPr>
      </w:pPr>
      <w:r>
        <w:rPr>
          <w:iCs/>
          <w:color w:val="000000"/>
        </w:rPr>
        <w:t xml:space="preserve">What </w:t>
      </w:r>
      <w:r w:rsidR="00854A3F">
        <w:rPr>
          <w:iCs/>
          <w:color w:val="000000"/>
        </w:rPr>
        <w:t xml:space="preserve">recruitment and </w:t>
      </w:r>
      <w:r>
        <w:rPr>
          <w:iCs/>
          <w:color w:val="000000"/>
        </w:rPr>
        <w:t xml:space="preserve">service delivery approaches and practices have been used in serving these populations? What </w:t>
      </w:r>
      <w:r w:rsidR="00854A3F">
        <w:rPr>
          <w:iCs/>
          <w:color w:val="000000"/>
        </w:rPr>
        <w:t xml:space="preserve">recruitment and </w:t>
      </w:r>
      <w:r>
        <w:rPr>
          <w:iCs/>
          <w:color w:val="000000"/>
        </w:rPr>
        <w:t xml:space="preserve">service delivery approaches might be </w:t>
      </w:r>
      <w:r w:rsidR="00D23363">
        <w:rPr>
          <w:iCs/>
          <w:color w:val="000000"/>
        </w:rPr>
        <w:t>promising</w:t>
      </w:r>
      <w:r>
        <w:rPr>
          <w:iCs/>
          <w:color w:val="000000"/>
        </w:rPr>
        <w:t xml:space="preserve">? </w:t>
      </w:r>
      <w:r w:rsidR="006425B6" w:rsidRPr="0099168D">
        <w:rPr>
          <w:iCs/>
          <w:color w:val="000000"/>
        </w:rPr>
        <w:t xml:space="preserve"> </w:t>
      </w:r>
    </w:p>
    <w:p w:rsidR="006425B6" w:rsidRPr="00364C92" w:rsidRDefault="006425B6" w:rsidP="006425B6">
      <w:pPr>
        <w:ind w:left="360" w:hanging="360"/>
        <w:rPr>
          <w:iCs/>
          <w:color w:val="000000"/>
          <w:sz w:val="16"/>
        </w:rPr>
      </w:pPr>
    </w:p>
    <w:p w:rsidR="006425B6" w:rsidRPr="005B1244" w:rsidRDefault="0065665A" w:rsidP="006425B6">
      <w:pPr>
        <w:pStyle w:val="ListParagraph"/>
        <w:numPr>
          <w:ilvl w:val="0"/>
          <w:numId w:val="46"/>
        </w:numPr>
        <w:ind w:left="360" w:hanging="360"/>
        <w:contextualSpacing/>
        <w:rPr>
          <w:iCs/>
          <w:color w:val="000000"/>
        </w:rPr>
      </w:pPr>
      <w:r>
        <w:rPr>
          <w:color w:val="000000"/>
        </w:rPr>
        <w:t xml:space="preserve">How can curricula and programming be adapted to specifically address same-sex couples and LGB youth/adults in such a manner that </w:t>
      </w:r>
      <w:r w:rsidR="008F7845">
        <w:rPr>
          <w:color w:val="000000"/>
        </w:rPr>
        <w:t xml:space="preserve">their needs are addressed? How will adaptations differ depending on </w:t>
      </w:r>
      <w:r>
        <w:rPr>
          <w:color w:val="000000"/>
        </w:rPr>
        <w:t xml:space="preserve">whether </w:t>
      </w:r>
      <w:r w:rsidR="001E7A98">
        <w:rPr>
          <w:color w:val="000000"/>
        </w:rPr>
        <w:t xml:space="preserve">same-sex couples and </w:t>
      </w:r>
      <w:r w:rsidR="008F7845">
        <w:rPr>
          <w:color w:val="000000"/>
        </w:rPr>
        <w:t xml:space="preserve">LGB participants are served </w:t>
      </w:r>
      <w:r>
        <w:rPr>
          <w:color w:val="000000"/>
        </w:rPr>
        <w:t>separately or together with opposite-sex couples and non-LGB participants?</w:t>
      </w:r>
      <w:r w:rsidR="006425B6" w:rsidRPr="0099168D">
        <w:rPr>
          <w:color w:val="000000"/>
        </w:rPr>
        <w:t xml:space="preserve">  </w:t>
      </w:r>
    </w:p>
    <w:p w:rsidR="006425B6" w:rsidRPr="00364C92" w:rsidRDefault="006425B6" w:rsidP="006425B6">
      <w:pPr>
        <w:pStyle w:val="ListParagraph"/>
        <w:ind w:left="360"/>
        <w:rPr>
          <w:iCs/>
          <w:color w:val="000000"/>
          <w:sz w:val="16"/>
        </w:rPr>
      </w:pPr>
    </w:p>
    <w:p w:rsidR="006425B6" w:rsidRPr="005B1244" w:rsidRDefault="0065665A" w:rsidP="006425B6">
      <w:pPr>
        <w:pStyle w:val="ListParagraph"/>
        <w:numPr>
          <w:ilvl w:val="0"/>
          <w:numId w:val="46"/>
        </w:numPr>
        <w:ind w:left="360" w:hanging="360"/>
        <w:contextualSpacing/>
        <w:rPr>
          <w:iCs/>
          <w:color w:val="000000"/>
        </w:rPr>
      </w:pPr>
      <w:r>
        <w:rPr>
          <w:color w:val="000000"/>
        </w:rPr>
        <w:t xml:space="preserve">According to practitioners’ and experts’ understanding of the field and any other available data, what proportion of the current service population is LGB? </w:t>
      </w:r>
    </w:p>
    <w:p w:rsidR="006425B6" w:rsidRPr="00364C92" w:rsidRDefault="006425B6" w:rsidP="006425B6">
      <w:pPr>
        <w:pStyle w:val="ListParagraph"/>
        <w:ind w:left="360" w:hanging="360"/>
        <w:rPr>
          <w:color w:val="000000"/>
          <w:sz w:val="16"/>
        </w:rPr>
      </w:pPr>
    </w:p>
    <w:p w:rsidR="00214B74" w:rsidRPr="0065665A" w:rsidRDefault="0065665A" w:rsidP="0065665A">
      <w:pPr>
        <w:pStyle w:val="ListParagraph"/>
        <w:numPr>
          <w:ilvl w:val="0"/>
          <w:numId w:val="46"/>
        </w:numPr>
        <w:ind w:left="360" w:hanging="360"/>
        <w:contextualSpacing/>
        <w:rPr>
          <w:b/>
        </w:rPr>
      </w:pPr>
      <w:r>
        <w:rPr>
          <w:iCs/>
          <w:color w:val="000000"/>
        </w:rPr>
        <w:t xml:space="preserve">How do participants and practitioners view the benefits and drawbacks of integrating services for same-sex couples with services for opposite-sex couples, versus serving each separately? How do these views vary for services aimed at couples vs. individuals, and adults vs. youth? </w:t>
      </w:r>
    </w:p>
    <w:p w:rsidR="0065665A" w:rsidRPr="0065665A" w:rsidRDefault="0065665A" w:rsidP="0065665A">
      <w:pPr>
        <w:pStyle w:val="ListParagraph"/>
        <w:rPr>
          <w:b/>
        </w:rPr>
      </w:pPr>
    </w:p>
    <w:p w:rsidR="0065665A" w:rsidRDefault="0065665A" w:rsidP="0065665A">
      <w:pPr>
        <w:pStyle w:val="ListParagraph"/>
        <w:ind w:left="360"/>
        <w:contextualSpacing/>
        <w:rPr>
          <w:b/>
        </w:rPr>
      </w:pPr>
    </w:p>
    <w:p w:rsidR="00246BF6" w:rsidRPr="00246BF6" w:rsidRDefault="00246BF6" w:rsidP="00750772">
      <w:pPr>
        <w:spacing w:after="120"/>
        <w:rPr>
          <w:b/>
          <w:i/>
        </w:rPr>
      </w:pPr>
      <w:r w:rsidRPr="00246BF6">
        <w:rPr>
          <w:b/>
          <w:i/>
        </w:rPr>
        <w:t xml:space="preserve">Study Design </w:t>
      </w:r>
    </w:p>
    <w:p w:rsidR="004F423F" w:rsidRDefault="00EB17F0" w:rsidP="004F423F">
      <w:r>
        <w:t xml:space="preserve">The study design is based on methods suitable for exploratory research, in which the primary purpose is to gather information about the lay of the land, rather than to test hypotheses or evaluate outcomes. </w:t>
      </w:r>
      <w:r w:rsidR="00190B7E">
        <w:t>Interviews</w:t>
      </w:r>
      <w:r w:rsidR="009C14A5">
        <w:t>, conducted in-person or by telephone,</w:t>
      </w:r>
      <w:r w:rsidR="00190B7E">
        <w:t xml:space="preserve"> and focus groups will </w:t>
      </w:r>
      <w:r w:rsidR="004F423F">
        <w:t xml:space="preserve">capture multiple perspectives on the ways </w:t>
      </w:r>
      <w:r w:rsidR="00190B7E">
        <w:t xml:space="preserve">HMRE programs engage on LGB issues. We plan six </w:t>
      </w:r>
      <w:r w:rsidR="00185920">
        <w:t xml:space="preserve">types </w:t>
      </w:r>
      <w:r w:rsidR="00FB75AA">
        <w:t xml:space="preserve">of </w:t>
      </w:r>
      <w:r w:rsidR="00190B7E">
        <w:t>focus groups or interviews:</w:t>
      </w:r>
    </w:p>
    <w:p w:rsidR="00190B7E" w:rsidRDefault="00190B7E" w:rsidP="004F423F"/>
    <w:p w:rsidR="004F423F" w:rsidRDefault="007A52DB" w:rsidP="004F423F">
      <w:pPr>
        <w:pStyle w:val="ListParagraph"/>
        <w:numPr>
          <w:ilvl w:val="0"/>
          <w:numId w:val="47"/>
        </w:numPr>
        <w:contextualSpacing/>
      </w:pPr>
      <w:r>
        <w:t xml:space="preserve">Up to </w:t>
      </w:r>
      <w:r w:rsidR="00DE6666">
        <w:t>3</w:t>
      </w:r>
      <w:r w:rsidR="00185920">
        <w:t xml:space="preserve"> </w:t>
      </w:r>
      <w:r w:rsidR="00962F5B">
        <w:t>120</w:t>
      </w:r>
      <w:r w:rsidR="00190B7E">
        <w:t>-minute focus group with adult applica</w:t>
      </w:r>
      <w:r w:rsidR="00302261">
        <w:t>nts</w:t>
      </w:r>
      <w:r w:rsidR="00190B7E">
        <w:t xml:space="preserve"> to HMRE programs</w:t>
      </w:r>
      <w:r>
        <w:t xml:space="preserve"> (maximum of 6 people per focus group)</w:t>
      </w:r>
      <w:r w:rsidR="004F423F" w:rsidRPr="00DE7BF2">
        <w:t xml:space="preserve">; </w:t>
      </w:r>
    </w:p>
    <w:p w:rsidR="004F423F" w:rsidRDefault="007A52DB" w:rsidP="004F423F">
      <w:pPr>
        <w:pStyle w:val="ListParagraph"/>
        <w:numPr>
          <w:ilvl w:val="0"/>
          <w:numId w:val="47"/>
        </w:numPr>
        <w:contextualSpacing/>
      </w:pPr>
      <w:r>
        <w:t xml:space="preserve">Up to </w:t>
      </w:r>
      <w:r w:rsidR="00FB75AA">
        <w:t xml:space="preserve">6 </w:t>
      </w:r>
      <w:r w:rsidR="00962F5B">
        <w:t>120</w:t>
      </w:r>
      <w:r w:rsidR="004F423F" w:rsidRPr="00DE7BF2">
        <w:t>-minute</w:t>
      </w:r>
      <w:r w:rsidR="00190B7E">
        <w:t xml:space="preserve"> focus group with adult attendees of HMRE programs</w:t>
      </w:r>
      <w:r>
        <w:t xml:space="preserve"> (maximum of 6 people per focus group)</w:t>
      </w:r>
      <w:r w:rsidR="00190B7E">
        <w:t xml:space="preserve">; </w:t>
      </w:r>
      <w:r w:rsidR="004F423F" w:rsidRPr="00DE7BF2">
        <w:t xml:space="preserve"> </w:t>
      </w:r>
    </w:p>
    <w:p w:rsidR="00190B7E" w:rsidRDefault="007A52DB" w:rsidP="004F423F">
      <w:pPr>
        <w:pStyle w:val="ListParagraph"/>
        <w:numPr>
          <w:ilvl w:val="0"/>
          <w:numId w:val="47"/>
        </w:numPr>
        <w:contextualSpacing/>
      </w:pPr>
      <w:r>
        <w:t xml:space="preserve">Up to </w:t>
      </w:r>
      <w:r w:rsidR="00FB75AA">
        <w:t>6</w:t>
      </w:r>
      <w:r w:rsidR="00190B7E">
        <w:t xml:space="preserve"> </w:t>
      </w:r>
      <w:r w:rsidR="00962F5B">
        <w:t>120</w:t>
      </w:r>
      <w:r w:rsidR="00190B7E">
        <w:t>-minute focus group with youth attendees of HMRE programs</w:t>
      </w:r>
      <w:r>
        <w:t xml:space="preserve"> (maximum of 6 people per focus group)</w:t>
      </w:r>
      <w:r w:rsidR="00190B7E">
        <w:t xml:space="preserve">; </w:t>
      </w:r>
    </w:p>
    <w:p w:rsidR="00190B7E" w:rsidRDefault="007A52DB" w:rsidP="004F423F">
      <w:pPr>
        <w:pStyle w:val="ListParagraph"/>
        <w:numPr>
          <w:ilvl w:val="0"/>
          <w:numId w:val="47"/>
        </w:numPr>
        <w:contextualSpacing/>
      </w:pPr>
      <w:r>
        <w:t xml:space="preserve">Up to </w:t>
      </w:r>
      <w:r w:rsidR="00FB75AA">
        <w:t>1</w:t>
      </w:r>
      <w:r w:rsidR="00DE6666">
        <w:t>2</w:t>
      </w:r>
      <w:r w:rsidR="00D511B0">
        <w:t xml:space="preserve"> 60</w:t>
      </w:r>
      <w:r w:rsidR="00185920">
        <w:t xml:space="preserve"> minute interview</w:t>
      </w:r>
      <w:r>
        <w:t>s</w:t>
      </w:r>
      <w:r w:rsidR="00185920">
        <w:t xml:space="preserve"> with </w:t>
      </w:r>
      <w:r w:rsidR="00190B7E">
        <w:t>HMRE program facilitators;</w:t>
      </w:r>
    </w:p>
    <w:p w:rsidR="00190B7E" w:rsidRDefault="007A52DB" w:rsidP="004F423F">
      <w:pPr>
        <w:pStyle w:val="ListParagraph"/>
        <w:numPr>
          <w:ilvl w:val="0"/>
          <w:numId w:val="47"/>
        </w:numPr>
        <w:contextualSpacing/>
      </w:pPr>
      <w:r>
        <w:t xml:space="preserve">Up to </w:t>
      </w:r>
      <w:r w:rsidR="00FB75AA">
        <w:t>10</w:t>
      </w:r>
      <w:r w:rsidR="00185920">
        <w:t xml:space="preserve"> </w:t>
      </w:r>
      <w:r w:rsidR="00D511B0">
        <w:t>60</w:t>
      </w:r>
      <w:r w:rsidR="00185920">
        <w:t xml:space="preserve"> minute interview</w:t>
      </w:r>
      <w:r>
        <w:t>s</w:t>
      </w:r>
      <w:r w:rsidR="00185920">
        <w:t xml:space="preserve"> with </w:t>
      </w:r>
      <w:r w:rsidR="00190B7E">
        <w:t>HMRE program managers;</w:t>
      </w:r>
    </w:p>
    <w:p w:rsidR="00FF43E2" w:rsidRDefault="007A52DB" w:rsidP="00190B7E">
      <w:pPr>
        <w:pStyle w:val="ListParagraph"/>
        <w:numPr>
          <w:ilvl w:val="0"/>
          <w:numId w:val="47"/>
        </w:numPr>
        <w:contextualSpacing/>
      </w:pPr>
      <w:r>
        <w:t xml:space="preserve">Up to </w:t>
      </w:r>
      <w:r w:rsidR="00FB75AA">
        <w:t>10</w:t>
      </w:r>
      <w:r w:rsidR="00D511B0">
        <w:t xml:space="preserve"> 60</w:t>
      </w:r>
      <w:r w:rsidR="00190B7E">
        <w:t xml:space="preserve"> minut</w:t>
      </w:r>
      <w:r w:rsidR="00185920">
        <w:t>e interview</w:t>
      </w:r>
      <w:r>
        <w:t>s</w:t>
      </w:r>
      <w:r w:rsidR="00185920">
        <w:t xml:space="preserve"> with </w:t>
      </w:r>
      <w:r w:rsidR="00190B7E">
        <w:t>HMRE experts.</w:t>
      </w:r>
    </w:p>
    <w:p w:rsidR="005401A8" w:rsidRDefault="005401A8" w:rsidP="003D65B2"/>
    <w:p w:rsidR="004F423F" w:rsidRDefault="004F423F" w:rsidP="005401A8">
      <w:r>
        <w:t xml:space="preserve">Interviewing program leaders </w:t>
      </w:r>
      <w:r w:rsidR="00D6256D">
        <w:t xml:space="preserve">and experts </w:t>
      </w:r>
      <w:r>
        <w:t xml:space="preserve">individually will allow us to capture sufficient detail on </w:t>
      </w:r>
      <w:r w:rsidR="00D6256D">
        <w:t xml:space="preserve">both the field of HMRE programming and on particular </w:t>
      </w:r>
      <w:r>
        <w:t xml:space="preserve">program’s history, philosophy, structure, and components to better understand how decisions were made </w:t>
      </w:r>
      <w:r w:rsidR="00D6256D">
        <w:t>to serve or not serve same-sex couples</w:t>
      </w:r>
      <w:r w:rsidR="001E7A98">
        <w:t xml:space="preserve"> and LGB individuals</w:t>
      </w:r>
      <w:r>
        <w:t xml:space="preserve">. </w:t>
      </w:r>
      <w:r w:rsidR="00D6256D">
        <w:t xml:space="preserve">Facilitators also </w:t>
      </w:r>
      <w:r w:rsidR="009C14A5">
        <w:t xml:space="preserve">can </w:t>
      </w:r>
      <w:r w:rsidR="00D6256D">
        <w:t xml:space="preserve">discuss their experiences working with </w:t>
      </w:r>
      <w:r w:rsidR="001E7A98">
        <w:t xml:space="preserve">same-sex couples and </w:t>
      </w:r>
      <w:r w:rsidR="00D6256D">
        <w:t xml:space="preserve">LGB individuals and methods of service delivery. </w:t>
      </w:r>
      <w:r>
        <w:t xml:space="preserve"> </w:t>
      </w:r>
    </w:p>
    <w:p w:rsidR="005401A8" w:rsidRDefault="005401A8" w:rsidP="005401A8"/>
    <w:p w:rsidR="004F423F" w:rsidRDefault="009C14A5" w:rsidP="005401A8">
      <w:r>
        <w:t>Conducting f</w:t>
      </w:r>
      <w:r w:rsidR="00D6256D">
        <w:t xml:space="preserve">ocus groups </w:t>
      </w:r>
      <w:r>
        <w:t>with program</w:t>
      </w:r>
      <w:r w:rsidR="00D6256D">
        <w:t xml:space="preserve"> participants</w:t>
      </w:r>
      <w:r w:rsidR="00444996">
        <w:t xml:space="preserve"> (and applicants)</w:t>
      </w:r>
      <w:r>
        <w:t xml:space="preserve">, </w:t>
      </w:r>
      <w:r w:rsidR="00D6256D">
        <w:t>instead of one-on-one interviews</w:t>
      </w:r>
      <w:r>
        <w:t>,</w:t>
      </w:r>
      <w:r w:rsidR="00D6256D">
        <w:t xml:space="preserve"> will facilitate conversation among participants about their experiences in HMRE programs </w:t>
      </w:r>
      <w:r>
        <w:t xml:space="preserve">and allow </w:t>
      </w:r>
      <w:r w:rsidR="00D6256D">
        <w:t>multiple perspectives</w:t>
      </w:r>
      <w:r>
        <w:t xml:space="preserve"> to be expressed</w:t>
      </w:r>
      <w:r w:rsidR="00D6256D">
        <w:t xml:space="preserve">. The focus group guides emphasize shared experiences rather than individual experiences, to further reduce discomfort. </w:t>
      </w:r>
    </w:p>
    <w:p w:rsidR="005401A8" w:rsidRDefault="005401A8" w:rsidP="005401A8"/>
    <w:p w:rsidR="004F423F" w:rsidRPr="007A2C73" w:rsidRDefault="004F423F" w:rsidP="004F423F">
      <w:pPr>
        <w:tabs>
          <w:tab w:val="left" w:pos="720"/>
          <w:tab w:val="left" w:pos="2520"/>
          <w:tab w:val="left" w:pos="4680"/>
        </w:tabs>
      </w:pPr>
      <w:r>
        <w:t>A team of two experienced, qualitative researchers (one senior researcher lead and one research as</w:t>
      </w:r>
      <w:r w:rsidR="00D6256D">
        <w:t>sistant) will conduct each interview and focus group</w:t>
      </w:r>
      <w:r>
        <w:t xml:space="preserve">. </w:t>
      </w:r>
      <w:r w:rsidR="00A22AAA">
        <w:t xml:space="preserve">All HMRE program interviews and focus groups will be scheduled with the assistance of the program director and in such a way as to minimize burden to staff and participants. Interviews and focus groups will be held at locations and times convenient to respondents. </w:t>
      </w:r>
    </w:p>
    <w:p w:rsidR="007A2C73" w:rsidRDefault="007A2C73" w:rsidP="007A2C73"/>
    <w:p w:rsidR="004F423F" w:rsidRDefault="004F423F" w:rsidP="00715ED9">
      <w:r>
        <w:t xml:space="preserve">The senior </w:t>
      </w:r>
      <w:r w:rsidRPr="007A2C73">
        <w:t>researcher will lead the interviews</w:t>
      </w:r>
      <w:r w:rsidR="00A22AAA">
        <w:t xml:space="preserve"> and focus groups</w:t>
      </w:r>
      <w:r w:rsidRPr="007A2C73">
        <w:t>, and with the permission of the respondent</w:t>
      </w:r>
      <w:r w:rsidR="00A22AAA">
        <w:t>(s)</w:t>
      </w:r>
      <w:r w:rsidRPr="007A2C73">
        <w:t>, will audio record the interviews</w:t>
      </w:r>
      <w:r w:rsidR="00A22AAA">
        <w:t xml:space="preserve"> and focus groups</w:t>
      </w:r>
      <w:r w:rsidR="004C49D1">
        <w:t xml:space="preserve">. </w:t>
      </w:r>
      <w:r w:rsidR="00A22AAA">
        <w:t>For one-on-one interviews, w</w:t>
      </w:r>
      <w:r w:rsidR="004C49D1">
        <w:t xml:space="preserve">e will use a laptop to </w:t>
      </w:r>
      <w:r w:rsidR="00FB75AA">
        <w:t xml:space="preserve">take </w:t>
      </w:r>
      <w:r w:rsidR="009C14A5">
        <w:t>(</w:t>
      </w:r>
      <w:r w:rsidR="00FB75AA">
        <w:t>close to verbatim</w:t>
      </w:r>
      <w:r w:rsidR="009C14A5">
        <w:t>)</w:t>
      </w:r>
      <w:r w:rsidR="00FB75AA">
        <w:t xml:space="preserve"> notes</w:t>
      </w:r>
      <w:r w:rsidR="004C49D1">
        <w:t xml:space="preserve"> and later create </w:t>
      </w:r>
      <w:r w:rsidR="004C49D1" w:rsidRPr="004C49D1">
        <w:t>targeted transcripts</w:t>
      </w:r>
      <w:r w:rsidR="004C49D1">
        <w:t xml:space="preserve"> capturing </w:t>
      </w:r>
      <w:r w:rsidR="004C49D1">
        <w:lastRenderedPageBreak/>
        <w:t xml:space="preserve">the key information provided. </w:t>
      </w:r>
      <w:r w:rsidR="00A22AAA">
        <w:t xml:space="preserve">For focus groups, audio recordings will be fully transcribed. </w:t>
      </w:r>
      <w:r>
        <w:t xml:space="preserve">If permission to record is not provided, both researchers </w:t>
      </w:r>
      <w:r w:rsidR="00715ED9">
        <w:t xml:space="preserve">will </w:t>
      </w:r>
      <w:r>
        <w:t>take more detailed notes and</w:t>
      </w:r>
      <w:r w:rsidR="00DA168C">
        <w:t>,</w:t>
      </w:r>
      <w:r>
        <w:t xml:space="preserve"> </w:t>
      </w:r>
      <w:r w:rsidR="00DA168C">
        <w:t>immediately after the interview</w:t>
      </w:r>
      <w:r w:rsidR="00A22AAA">
        <w:t xml:space="preserve"> or focus group</w:t>
      </w:r>
      <w:r w:rsidR="00DA168C">
        <w:t xml:space="preserve">, </w:t>
      </w:r>
      <w:r>
        <w:t>create an ex</w:t>
      </w:r>
      <w:r w:rsidR="00A22AAA">
        <w:t>tensive summary of the interview or focus group</w:t>
      </w:r>
      <w:r>
        <w:t xml:space="preserve"> and the key information provided. </w:t>
      </w:r>
    </w:p>
    <w:p w:rsidR="004C49D1" w:rsidRDefault="004C49D1" w:rsidP="004F423F">
      <w:pPr>
        <w:tabs>
          <w:tab w:val="left" w:pos="720"/>
          <w:tab w:val="left" w:pos="2520"/>
          <w:tab w:val="left" w:pos="4680"/>
        </w:tabs>
        <w:rPr>
          <w:b/>
        </w:rPr>
      </w:pPr>
    </w:p>
    <w:p w:rsidR="004F423F" w:rsidRDefault="004F423F" w:rsidP="004F423F">
      <w:pPr>
        <w:tabs>
          <w:tab w:val="left" w:pos="720"/>
          <w:tab w:val="left" w:pos="2520"/>
          <w:tab w:val="left" w:pos="4680"/>
        </w:tabs>
      </w:pPr>
      <w:r>
        <w:t>All</w:t>
      </w:r>
      <w:r w:rsidRPr="000459CF">
        <w:t xml:space="preserve"> hard and electronic copies of documents containing sensitive information or personal identifiers will be stored in accordance with </w:t>
      </w:r>
      <w:r w:rsidR="00715ED9">
        <w:t>a</w:t>
      </w:r>
      <w:r>
        <w:t xml:space="preserve"> data security plan, as appro</w:t>
      </w:r>
      <w:r w:rsidR="00715ED9">
        <w:t>ved by the Urban Institute’s Institutional Review Board.</w:t>
      </w:r>
      <w:r w:rsidRPr="00030D02">
        <w:t xml:space="preserve">   </w:t>
      </w:r>
    </w:p>
    <w:p w:rsidR="004C49D1" w:rsidRDefault="004C49D1" w:rsidP="00750772">
      <w:pPr>
        <w:spacing w:after="120"/>
        <w:rPr>
          <w:b/>
          <w:i/>
        </w:rPr>
      </w:pPr>
    </w:p>
    <w:p w:rsidR="00246BF6" w:rsidRDefault="00984CA2" w:rsidP="00750772">
      <w:pPr>
        <w:spacing w:after="120"/>
        <w:rPr>
          <w:b/>
          <w:i/>
        </w:rPr>
      </w:pPr>
      <w:r>
        <w:rPr>
          <w:b/>
          <w:i/>
        </w:rPr>
        <w:t>Universe of Data Collection Efforts</w:t>
      </w:r>
      <w:r w:rsidR="00F0559F">
        <w:rPr>
          <w:b/>
          <w:i/>
        </w:rPr>
        <w:t xml:space="preserve"> </w:t>
      </w:r>
    </w:p>
    <w:p w:rsidR="00953AEA" w:rsidRDefault="005401A8" w:rsidP="00750772">
      <w:pPr>
        <w:spacing w:after="120"/>
      </w:pPr>
      <w:r>
        <w:t>The</w:t>
      </w:r>
      <w:r w:rsidRPr="00E60717">
        <w:t xml:space="preserve"> research approach calls for the deve</w:t>
      </w:r>
      <w:r w:rsidR="0085535F">
        <w:t xml:space="preserve">lopment of customized </w:t>
      </w:r>
      <w:r w:rsidRPr="00E60717">
        <w:t>protocols</w:t>
      </w:r>
      <w:r>
        <w:t xml:space="preserve"> for each type of respondent. </w:t>
      </w:r>
      <w:r w:rsidR="005A03C4">
        <w:t>The instruments to be used for collecting data are as follows:</w:t>
      </w:r>
    </w:p>
    <w:p w:rsidR="00B66AA7" w:rsidRPr="00237EFC" w:rsidRDefault="0085535F" w:rsidP="00B66AA7">
      <w:pPr>
        <w:pStyle w:val="ListParagraph"/>
        <w:numPr>
          <w:ilvl w:val="0"/>
          <w:numId w:val="44"/>
        </w:numPr>
        <w:contextualSpacing/>
      </w:pPr>
      <w:r w:rsidRPr="002330C8">
        <w:rPr>
          <w:u w:val="single"/>
        </w:rPr>
        <w:t xml:space="preserve">Focus Group Guide for Adult </w:t>
      </w:r>
      <w:r w:rsidR="00DF0690" w:rsidRPr="002330C8">
        <w:rPr>
          <w:u w:val="single"/>
        </w:rPr>
        <w:t xml:space="preserve">Program </w:t>
      </w:r>
      <w:r w:rsidRPr="002330C8">
        <w:rPr>
          <w:u w:val="single"/>
        </w:rPr>
        <w:t>Applicants (</w:t>
      </w:r>
      <w:r w:rsidR="00BA51FC" w:rsidRPr="002330C8">
        <w:rPr>
          <w:u w:val="single"/>
        </w:rPr>
        <w:t>Instrument #1</w:t>
      </w:r>
      <w:r w:rsidRPr="002330C8">
        <w:rPr>
          <w:u w:val="single"/>
        </w:rPr>
        <w:t>)</w:t>
      </w:r>
      <w:r>
        <w:t>: To collect information during the focus group with adult applicants to HMRE programs, including</w:t>
      </w:r>
      <w:r w:rsidR="003B4C1D">
        <w:t xml:space="preserve"> how applicants were</w:t>
      </w:r>
      <w:r>
        <w:t xml:space="preserve"> recruit</w:t>
      </w:r>
      <w:r w:rsidR="003B4C1D">
        <w:t>ed</w:t>
      </w:r>
      <w:r>
        <w:t xml:space="preserve">, </w:t>
      </w:r>
      <w:r w:rsidR="003B4C1D">
        <w:t xml:space="preserve">their </w:t>
      </w:r>
      <w:r>
        <w:t xml:space="preserve">understanding of sexual orientation terms, and </w:t>
      </w:r>
      <w:r w:rsidR="003B4C1D">
        <w:t xml:space="preserve">whether any materials </w:t>
      </w:r>
      <w:r>
        <w:t xml:space="preserve">on LGB relationships </w:t>
      </w:r>
      <w:r w:rsidR="003B4C1D">
        <w:t xml:space="preserve">were shared with them </w:t>
      </w:r>
      <w:r>
        <w:t xml:space="preserve">in program settings. </w:t>
      </w:r>
    </w:p>
    <w:p w:rsidR="00B66AA7" w:rsidRPr="00237EFC" w:rsidRDefault="0085535F" w:rsidP="00B66AA7">
      <w:pPr>
        <w:pStyle w:val="ListParagraph"/>
        <w:numPr>
          <w:ilvl w:val="0"/>
          <w:numId w:val="44"/>
        </w:numPr>
        <w:contextualSpacing/>
      </w:pPr>
      <w:r w:rsidRPr="002330C8">
        <w:rPr>
          <w:u w:val="single"/>
        </w:rPr>
        <w:t xml:space="preserve">Focus Group Guide for Adult </w:t>
      </w:r>
      <w:r w:rsidR="00DF0690" w:rsidRPr="002330C8">
        <w:rPr>
          <w:u w:val="single"/>
        </w:rPr>
        <w:t xml:space="preserve">Program </w:t>
      </w:r>
      <w:r w:rsidRPr="002330C8">
        <w:rPr>
          <w:u w:val="single"/>
        </w:rPr>
        <w:t>Attendees (</w:t>
      </w:r>
      <w:r w:rsidR="003B4C1D" w:rsidRPr="002330C8">
        <w:rPr>
          <w:u w:val="single"/>
        </w:rPr>
        <w:t>Instrument #2</w:t>
      </w:r>
      <w:r w:rsidRPr="002330C8">
        <w:rPr>
          <w:u w:val="single"/>
        </w:rPr>
        <w:t>)</w:t>
      </w:r>
      <w:r>
        <w:t xml:space="preserve">: To collect information during the focus group with adult attendees of HMRE programs, including </w:t>
      </w:r>
      <w:r w:rsidR="003B4C1D">
        <w:t xml:space="preserve">how attendees were </w:t>
      </w:r>
      <w:r>
        <w:t>recruit</w:t>
      </w:r>
      <w:r w:rsidR="003B4C1D">
        <w:t>ed</w:t>
      </w:r>
      <w:r>
        <w:t xml:space="preserve"> and enroll</w:t>
      </w:r>
      <w:r w:rsidR="003B4C1D">
        <w:t>ed</w:t>
      </w:r>
      <w:r>
        <w:t xml:space="preserve">, </w:t>
      </w:r>
      <w:r w:rsidR="003B4C1D">
        <w:t xml:space="preserve">their </w:t>
      </w:r>
      <w:r>
        <w:t xml:space="preserve">program satisfaction and outcomes, and </w:t>
      </w:r>
      <w:r w:rsidR="003B4C1D">
        <w:t xml:space="preserve">what </w:t>
      </w:r>
      <w:r>
        <w:t>material on LGB relationships</w:t>
      </w:r>
      <w:r w:rsidR="003B4C1D">
        <w:t xml:space="preserve"> were shared with them</w:t>
      </w:r>
      <w:r>
        <w:t xml:space="preserve">. </w:t>
      </w:r>
    </w:p>
    <w:p w:rsidR="00B66AA7" w:rsidRDefault="0085535F" w:rsidP="00B66AA7">
      <w:pPr>
        <w:pStyle w:val="ListParagraph"/>
        <w:numPr>
          <w:ilvl w:val="0"/>
          <w:numId w:val="44"/>
        </w:numPr>
        <w:contextualSpacing/>
      </w:pPr>
      <w:r w:rsidRPr="002330C8">
        <w:rPr>
          <w:u w:val="single"/>
        </w:rPr>
        <w:t xml:space="preserve">Focus Group Guide for Youth </w:t>
      </w:r>
      <w:r w:rsidR="00DF0690" w:rsidRPr="002330C8">
        <w:rPr>
          <w:u w:val="single"/>
        </w:rPr>
        <w:t xml:space="preserve">Program Attendees </w:t>
      </w:r>
      <w:r w:rsidRPr="002330C8">
        <w:rPr>
          <w:u w:val="single"/>
        </w:rPr>
        <w:t>(</w:t>
      </w:r>
      <w:r w:rsidR="003B4C1D" w:rsidRPr="002330C8">
        <w:rPr>
          <w:u w:val="single"/>
        </w:rPr>
        <w:t>Instrument #</w:t>
      </w:r>
      <w:r w:rsidRPr="002330C8">
        <w:rPr>
          <w:u w:val="single"/>
        </w:rPr>
        <w:t>3)</w:t>
      </w:r>
      <w:r>
        <w:t xml:space="preserve">: To collect information during the focus group with youth participants of HMRE programs, including </w:t>
      </w:r>
      <w:r w:rsidR="003B4C1D">
        <w:t xml:space="preserve">how they were </w:t>
      </w:r>
      <w:r>
        <w:t>recruit</w:t>
      </w:r>
      <w:r w:rsidR="003B4C1D">
        <w:t>ed</w:t>
      </w:r>
      <w:r>
        <w:t xml:space="preserve"> and enroll</w:t>
      </w:r>
      <w:r w:rsidR="003B4C1D">
        <w:t>ed</w:t>
      </w:r>
      <w:r>
        <w:t xml:space="preserve">, </w:t>
      </w:r>
      <w:r w:rsidR="003B4C1D">
        <w:t xml:space="preserve">their </w:t>
      </w:r>
      <w:r>
        <w:t xml:space="preserve">program satisfaction and outcomes, </w:t>
      </w:r>
      <w:r w:rsidR="003B4C1D">
        <w:t xml:space="preserve">their </w:t>
      </w:r>
      <w:r>
        <w:t xml:space="preserve">understanding of sexual orientation terms, and </w:t>
      </w:r>
      <w:r w:rsidR="003B4C1D">
        <w:t xml:space="preserve">what </w:t>
      </w:r>
      <w:r>
        <w:t>material on LGB relationships</w:t>
      </w:r>
      <w:r w:rsidR="003B4C1D">
        <w:t xml:space="preserve"> were shared with them</w:t>
      </w:r>
      <w:r>
        <w:t xml:space="preserve">. </w:t>
      </w:r>
    </w:p>
    <w:p w:rsidR="00B66AA7" w:rsidRDefault="0012635B" w:rsidP="00B66AA7">
      <w:pPr>
        <w:pStyle w:val="ListParagraph"/>
        <w:numPr>
          <w:ilvl w:val="0"/>
          <w:numId w:val="44"/>
        </w:numPr>
        <w:contextualSpacing/>
      </w:pPr>
      <w:r w:rsidRPr="002330C8">
        <w:rPr>
          <w:u w:val="single"/>
        </w:rPr>
        <w:t>Interview Guide for Experts (</w:t>
      </w:r>
      <w:r w:rsidR="003B4C1D" w:rsidRPr="002330C8">
        <w:rPr>
          <w:u w:val="single"/>
        </w:rPr>
        <w:t>Instrument #</w:t>
      </w:r>
      <w:r w:rsidRPr="002330C8">
        <w:rPr>
          <w:u w:val="single"/>
        </w:rPr>
        <w:t>4)</w:t>
      </w:r>
      <w:r>
        <w:t xml:space="preserve">: To collect information during interviews with HMRE experts, including </w:t>
      </w:r>
      <w:r w:rsidR="003B4C1D">
        <w:t xml:space="preserve">their </w:t>
      </w:r>
      <w:r>
        <w:t>understanding of sexual orientation</w:t>
      </w:r>
      <w:r w:rsidR="0000228E">
        <w:t xml:space="preserve"> </w:t>
      </w:r>
      <w:r>
        <w:t xml:space="preserve">terms and LGB issues, </w:t>
      </w:r>
      <w:r w:rsidR="003B4C1D">
        <w:t xml:space="preserve">their understanding of </w:t>
      </w:r>
      <w:r>
        <w:t>target population</w:t>
      </w:r>
      <w:r w:rsidR="003B4C1D">
        <w:t>s for HMRE programs</w:t>
      </w:r>
      <w:r>
        <w:t xml:space="preserve">, </w:t>
      </w:r>
      <w:r w:rsidR="003B4C1D">
        <w:t xml:space="preserve">their understanding of HMRE </w:t>
      </w:r>
      <w:r>
        <w:t xml:space="preserve">non-discrimination policies, curricula, </w:t>
      </w:r>
      <w:r w:rsidR="003B4C1D">
        <w:t xml:space="preserve">and </w:t>
      </w:r>
      <w:r>
        <w:t xml:space="preserve">program delivery, </w:t>
      </w:r>
      <w:r w:rsidR="003B4C1D">
        <w:t xml:space="preserve">their understanding of </w:t>
      </w:r>
      <w:r>
        <w:t xml:space="preserve">potential issues to </w:t>
      </w:r>
      <w:r w:rsidR="003B4C1D">
        <w:t xml:space="preserve">HMRE curricula </w:t>
      </w:r>
      <w:r>
        <w:t>revision</w:t>
      </w:r>
      <w:r w:rsidR="003B4C1D">
        <w:t>s</w:t>
      </w:r>
      <w:r>
        <w:t xml:space="preserve"> and program delivery, and </w:t>
      </w:r>
      <w:r w:rsidR="003B4C1D">
        <w:t xml:space="preserve">their understanding of program facilitator </w:t>
      </w:r>
      <w:r>
        <w:t xml:space="preserve">training and perceived needs. </w:t>
      </w:r>
    </w:p>
    <w:p w:rsidR="00296D31" w:rsidRDefault="00B66AA7" w:rsidP="00296D31">
      <w:pPr>
        <w:pStyle w:val="ListParagraph"/>
        <w:numPr>
          <w:ilvl w:val="0"/>
          <w:numId w:val="44"/>
        </w:numPr>
        <w:contextualSpacing/>
      </w:pPr>
      <w:r w:rsidRPr="002330C8">
        <w:rPr>
          <w:u w:val="single"/>
        </w:rPr>
        <w:t xml:space="preserve">Interview Guide for </w:t>
      </w:r>
      <w:r w:rsidR="0012635B" w:rsidRPr="002330C8">
        <w:rPr>
          <w:u w:val="single"/>
        </w:rPr>
        <w:t>Program Managers (</w:t>
      </w:r>
      <w:r w:rsidR="0034080F" w:rsidRPr="002330C8">
        <w:rPr>
          <w:u w:val="single"/>
        </w:rPr>
        <w:t>Instrument #</w:t>
      </w:r>
      <w:r w:rsidR="0012635B" w:rsidRPr="002330C8">
        <w:rPr>
          <w:u w:val="single"/>
        </w:rPr>
        <w:t>5)</w:t>
      </w:r>
      <w:r w:rsidR="0012635B">
        <w:t xml:space="preserve">: To collect information during interviews with HMRE program managers, including </w:t>
      </w:r>
      <w:r w:rsidR="0034080F">
        <w:t xml:space="preserve">their </w:t>
      </w:r>
      <w:r w:rsidR="0012635B">
        <w:t xml:space="preserve">understanding of sexual orientation terms, </w:t>
      </w:r>
      <w:r w:rsidR="0034080F">
        <w:t xml:space="preserve">information on their program’s </w:t>
      </w:r>
      <w:r w:rsidR="0012635B">
        <w:t xml:space="preserve">target population, </w:t>
      </w:r>
      <w:r w:rsidR="0034080F">
        <w:t xml:space="preserve">its </w:t>
      </w:r>
      <w:r w:rsidR="0012635B">
        <w:t xml:space="preserve">non-discrimination policy, curricula, program delivery, </w:t>
      </w:r>
      <w:r w:rsidR="0034080F">
        <w:t xml:space="preserve">and their understanding of </w:t>
      </w:r>
      <w:r w:rsidR="0012635B">
        <w:t xml:space="preserve">potential issues to </w:t>
      </w:r>
      <w:r w:rsidR="0034080F">
        <w:t xml:space="preserve">HMRE curricula </w:t>
      </w:r>
      <w:r w:rsidR="0012635B">
        <w:t>revision</w:t>
      </w:r>
      <w:r w:rsidR="0034080F">
        <w:t>s</w:t>
      </w:r>
      <w:r w:rsidR="0012635B">
        <w:t xml:space="preserve"> and program delivery, and </w:t>
      </w:r>
      <w:r w:rsidR="0034080F">
        <w:t xml:space="preserve">their program facilitator’s </w:t>
      </w:r>
      <w:r w:rsidR="0012635B">
        <w:t xml:space="preserve">training and perceived </w:t>
      </w:r>
      <w:r w:rsidR="0034080F">
        <w:t xml:space="preserve">training </w:t>
      </w:r>
      <w:r w:rsidR="0012635B">
        <w:t xml:space="preserve">needs. </w:t>
      </w:r>
    </w:p>
    <w:p w:rsidR="00B66AA7" w:rsidRPr="00237EFC" w:rsidRDefault="00B66AA7" w:rsidP="00B66AA7">
      <w:pPr>
        <w:pStyle w:val="ListParagraph"/>
        <w:numPr>
          <w:ilvl w:val="0"/>
          <w:numId w:val="44"/>
        </w:numPr>
        <w:contextualSpacing/>
      </w:pPr>
      <w:r w:rsidRPr="002330C8">
        <w:rPr>
          <w:u w:val="single"/>
        </w:rPr>
        <w:t xml:space="preserve">Interview Guide for </w:t>
      </w:r>
      <w:r w:rsidR="0012635B" w:rsidRPr="002330C8">
        <w:rPr>
          <w:u w:val="single"/>
        </w:rPr>
        <w:t>Facilitators (</w:t>
      </w:r>
      <w:r w:rsidR="0034080F" w:rsidRPr="002330C8">
        <w:rPr>
          <w:u w:val="single"/>
        </w:rPr>
        <w:t>Instrument #</w:t>
      </w:r>
      <w:r w:rsidR="0012635B" w:rsidRPr="002330C8">
        <w:rPr>
          <w:u w:val="single"/>
        </w:rPr>
        <w:t>6)</w:t>
      </w:r>
      <w:r w:rsidR="0012635B">
        <w:t xml:space="preserve">: To collect information during interviews with HMRE program facilitators, including </w:t>
      </w:r>
      <w:r w:rsidR="0034080F">
        <w:t xml:space="preserve">their </w:t>
      </w:r>
      <w:r w:rsidR="0012635B">
        <w:t xml:space="preserve">understanding sexual orientation terms and LGB issues, </w:t>
      </w:r>
      <w:r w:rsidR="0034080F">
        <w:t xml:space="preserve">their program’s </w:t>
      </w:r>
      <w:r w:rsidR="0012635B">
        <w:t xml:space="preserve">target population, non-discrimination policy, curricula, program delivery, </w:t>
      </w:r>
      <w:r w:rsidR="0034080F">
        <w:t xml:space="preserve">their understanding of </w:t>
      </w:r>
      <w:r w:rsidR="0012635B">
        <w:t xml:space="preserve">potential issues to </w:t>
      </w:r>
      <w:r w:rsidR="0034080F">
        <w:t xml:space="preserve">HMRE curricula </w:t>
      </w:r>
      <w:r w:rsidR="0012635B">
        <w:t xml:space="preserve">revision and program delivery, and </w:t>
      </w:r>
      <w:r w:rsidR="0034080F">
        <w:t xml:space="preserve">their </w:t>
      </w:r>
      <w:r w:rsidR="0012635B">
        <w:t xml:space="preserve">training and perceived </w:t>
      </w:r>
      <w:r w:rsidR="0034080F">
        <w:t xml:space="preserve">training </w:t>
      </w:r>
      <w:r w:rsidR="0012635B">
        <w:t xml:space="preserve">needs. </w:t>
      </w:r>
    </w:p>
    <w:p w:rsidR="00B6492B" w:rsidRDefault="00B6492B" w:rsidP="00E347B2">
      <w:pPr>
        <w:tabs>
          <w:tab w:val="left" w:pos="1139"/>
        </w:tabs>
        <w:spacing w:after="120"/>
      </w:pPr>
    </w:p>
    <w:p w:rsidR="00945CD6" w:rsidRPr="009332A3" w:rsidRDefault="00292B70" w:rsidP="009332A3">
      <w:pPr>
        <w:pStyle w:val="Heading1"/>
        <w:rPr>
          <w:rFonts w:ascii="Times New Roman" w:hAnsi="Times New Roman"/>
          <w:sz w:val="24"/>
        </w:rPr>
      </w:pPr>
      <w:bookmarkStart w:id="4" w:name="_Toc352332733"/>
      <w:r w:rsidRPr="009332A3">
        <w:rPr>
          <w:rFonts w:ascii="Times New Roman" w:hAnsi="Times New Roman"/>
          <w:sz w:val="24"/>
        </w:rPr>
        <w:lastRenderedPageBreak/>
        <w:t xml:space="preserve">A3. </w:t>
      </w:r>
      <w:r w:rsidR="00945CD6" w:rsidRPr="009332A3">
        <w:rPr>
          <w:rFonts w:ascii="Times New Roman" w:hAnsi="Times New Roman"/>
          <w:sz w:val="24"/>
        </w:rPr>
        <w:t>Improved Information Technology to Reduce Burden</w:t>
      </w:r>
      <w:bookmarkEnd w:id="4"/>
    </w:p>
    <w:p w:rsidR="005A03C4" w:rsidRDefault="005A03C4" w:rsidP="005A03C4"/>
    <w:p w:rsidR="005A03C4" w:rsidRPr="001E7E81" w:rsidRDefault="005A03C4" w:rsidP="005A03C4">
      <w:r w:rsidRPr="001E7E81">
        <w:t>Whenever possible, technology will be used in data collection efforts to reduce burden on stud</w:t>
      </w:r>
      <w:r w:rsidR="007623CC">
        <w:t xml:space="preserve">y participants. Each </w:t>
      </w:r>
      <w:r w:rsidRPr="001E7E81">
        <w:t xml:space="preserve">interview session </w:t>
      </w:r>
      <w:r w:rsidR="007623CC">
        <w:t>and focus group</w:t>
      </w:r>
      <w:r w:rsidR="001E7E81">
        <w:t xml:space="preserve"> </w:t>
      </w:r>
      <w:r w:rsidRPr="001E7E81">
        <w:t xml:space="preserve">will involve two members of the </w:t>
      </w:r>
      <w:r w:rsidR="001E7E81">
        <w:t>project</w:t>
      </w:r>
      <w:r w:rsidRPr="001E7E81">
        <w:t xml:space="preserve"> team</w:t>
      </w:r>
      <w:r w:rsidR="008946B6">
        <w:t xml:space="preserve">; </w:t>
      </w:r>
      <w:r w:rsidRPr="001E7E81">
        <w:t xml:space="preserve">one </w:t>
      </w:r>
      <w:r w:rsidR="008946B6">
        <w:t>person will ask</w:t>
      </w:r>
      <w:r w:rsidR="008946B6" w:rsidRPr="001E7E81">
        <w:t xml:space="preserve"> </w:t>
      </w:r>
      <w:r w:rsidRPr="001E7E81">
        <w:t xml:space="preserve">questions and </w:t>
      </w:r>
      <w:r w:rsidR="008946B6">
        <w:t>the</w:t>
      </w:r>
      <w:r w:rsidR="008946B6" w:rsidRPr="001E7E81">
        <w:t xml:space="preserve"> </w:t>
      </w:r>
      <w:r w:rsidRPr="001E7E81">
        <w:t>second</w:t>
      </w:r>
      <w:r w:rsidR="008946B6">
        <w:t xml:space="preserve"> person</w:t>
      </w:r>
      <w:r w:rsidRPr="001E7E81">
        <w:t xml:space="preserve"> </w:t>
      </w:r>
      <w:r w:rsidR="008946B6">
        <w:t xml:space="preserve">will </w:t>
      </w:r>
      <w:r w:rsidR="002C49BE">
        <w:t>t</w:t>
      </w:r>
      <w:r w:rsidR="008946B6">
        <w:t>ake</w:t>
      </w:r>
      <w:r w:rsidR="002C49BE">
        <w:t xml:space="preserve"> (</w:t>
      </w:r>
      <w:r w:rsidR="002C49BE" w:rsidRPr="001E7E81">
        <w:t xml:space="preserve">close to </w:t>
      </w:r>
      <w:r w:rsidR="002C49BE" w:rsidRPr="008946B6">
        <w:t>verbatim</w:t>
      </w:r>
      <w:r w:rsidR="002C49BE">
        <w:t>)</w:t>
      </w:r>
      <w:r w:rsidR="002C49BE" w:rsidRPr="001E7E81">
        <w:t xml:space="preserve"> </w:t>
      </w:r>
      <w:r w:rsidR="008946B6">
        <w:t xml:space="preserve">notes </w:t>
      </w:r>
      <w:r w:rsidR="001E7E81" w:rsidRPr="001E7E81">
        <w:t>on a laptop</w:t>
      </w:r>
      <w:r w:rsidR="008946B6">
        <w:t>,</w:t>
      </w:r>
      <w:r w:rsidR="001E7E81" w:rsidRPr="001E7E81">
        <w:t xml:space="preserve"> </w:t>
      </w:r>
      <w:r w:rsidRPr="001E7E81">
        <w:t xml:space="preserve">capturing key quotes and responses. </w:t>
      </w:r>
      <w:r w:rsidR="008946B6">
        <w:t>When respondents allow interviewers to audio record the sessions, the recordings will be used</w:t>
      </w:r>
      <w:r w:rsidRPr="001E7E81">
        <w:t xml:space="preserve"> to later confirm direct quotes or other details from the</w:t>
      </w:r>
      <w:r w:rsidR="001E7E81">
        <w:t>se</w:t>
      </w:r>
      <w:r w:rsidRPr="001E7E81">
        <w:t xml:space="preserve"> sessions</w:t>
      </w:r>
      <w:r w:rsidR="001E7E81">
        <w:t xml:space="preserve">, and to produce full transcriptions of </w:t>
      </w:r>
      <w:r w:rsidR="007623CC">
        <w:t>focus groups</w:t>
      </w:r>
      <w:r w:rsidR="002F37DE">
        <w:t xml:space="preserve">, rather than returning to participants to </w:t>
      </w:r>
      <w:r w:rsidR="00DE31B0">
        <w:t>confirm statements</w:t>
      </w:r>
      <w:r w:rsidRPr="001E7E81">
        <w:t xml:space="preserve">. </w:t>
      </w:r>
    </w:p>
    <w:p w:rsidR="005A03C4" w:rsidRPr="001E7E81" w:rsidRDefault="005A03C4" w:rsidP="005A03C4"/>
    <w:p w:rsidR="00945CD6" w:rsidRDefault="00292B70" w:rsidP="009332A3">
      <w:pPr>
        <w:pStyle w:val="Heading1"/>
        <w:rPr>
          <w:rFonts w:ascii="Times New Roman" w:hAnsi="Times New Roman"/>
          <w:sz w:val="24"/>
        </w:rPr>
      </w:pPr>
      <w:bookmarkStart w:id="5" w:name="_Toc352332734"/>
      <w:r w:rsidRPr="009332A3">
        <w:rPr>
          <w:rFonts w:ascii="Times New Roman" w:hAnsi="Times New Roman"/>
          <w:sz w:val="24"/>
        </w:rPr>
        <w:t xml:space="preserve">A4. </w:t>
      </w:r>
      <w:r w:rsidR="00945CD6" w:rsidRPr="009332A3">
        <w:rPr>
          <w:rFonts w:ascii="Times New Roman" w:hAnsi="Times New Roman"/>
          <w:sz w:val="24"/>
        </w:rPr>
        <w:t>Efforts to Identify Duplication</w:t>
      </w:r>
      <w:bookmarkEnd w:id="5"/>
    </w:p>
    <w:p w:rsidR="00866F31" w:rsidRDefault="00866F31" w:rsidP="005A03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76923C" w:themeColor="accent3" w:themeShade="BF"/>
          <w:szCs w:val="22"/>
        </w:rPr>
      </w:pPr>
      <w:bookmarkStart w:id="6" w:name="_Toc352332735"/>
    </w:p>
    <w:p w:rsidR="00214B74" w:rsidRPr="00BD368A" w:rsidRDefault="005A03C4" w:rsidP="005A03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D368A">
        <w:rPr>
          <w:szCs w:val="22"/>
        </w:rPr>
        <w:t xml:space="preserve">The data requirements for this study have been carefully reviewed to determine whether the needed information is already available. Efforts to identify duplication include a review of </w:t>
      </w:r>
      <w:r w:rsidR="00BD368A" w:rsidRPr="00BD368A">
        <w:rPr>
          <w:szCs w:val="22"/>
        </w:rPr>
        <w:t>the c</w:t>
      </w:r>
      <w:r w:rsidR="007623CC">
        <w:rPr>
          <w:szCs w:val="22"/>
        </w:rPr>
        <w:t>urrent literature and discussions</w:t>
      </w:r>
      <w:r w:rsidR="00BD368A" w:rsidRPr="00BD368A">
        <w:rPr>
          <w:szCs w:val="22"/>
        </w:rPr>
        <w:t xml:space="preserve"> with program experts. </w:t>
      </w:r>
      <w:r w:rsidR="000B32C1">
        <w:rPr>
          <w:szCs w:val="22"/>
        </w:rPr>
        <w:t>N</w:t>
      </w:r>
      <w:r w:rsidR="00BD368A">
        <w:rPr>
          <w:szCs w:val="22"/>
        </w:rPr>
        <w:t>o existing data source</w:t>
      </w:r>
      <w:r w:rsidRPr="00BD368A">
        <w:rPr>
          <w:szCs w:val="22"/>
        </w:rPr>
        <w:t xml:space="preserve"> can provide </w:t>
      </w:r>
      <w:r w:rsidR="00BD368A">
        <w:rPr>
          <w:szCs w:val="22"/>
        </w:rPr>
        <w:t xml:space="preserve">the </w:t>
      </w:r>
      <w:r w:rsidRPr="00BD368A">
        <w:rPr>
          <w:szCs w:val="22"/>
        </w:rPr>
        <w:t>data needed to answer the study’s research questions.</w:t>
      </w:r>
    </w:p>
    <w:p w:rsidR="00945CD6" w:rsidRPr="009332A3" w:rsidRDefault="00292B70" w:rsidP="009332A3">
      <w:pPr>
        <w:pStyle w:val="Heading1"/>
        <w:rPr>
          <w:rFonts w:ascii="Times New Roman" w:hAnsi="Times New Roman"/>
          <w:sz w:val="24"/>
        </w:rPr>
      </w:pPr>
      <w:r w:rsidRPr="009332A3">
        <w:rPr>
          <w:rFonts w:ascii="Times New Roman" w:hAnsi="Times New Roman"/>
          <w:sz w:val="24"/>
        </w:rPr>
        <w:t xml:space="preserve">A5. </w:t>
      </w:r>
      <w:r w:rsidR="00945CD6" w:rsidRPr="009332A3">
        <w:rPr>
          <w:rFonts w:ascii="Times New Roman" w:hAnsi="Times New Roman"/>
          <w:sz w:val="24"/>
        </w:rPr>
        <w:t>Involvement of Small Organizations</w:t>
      </w:r>
      <w:bookmarkEnd w:id="6"/>
    </w:p>
    <w:p w:rsidR="00DE6D31" w:rsidRDefault="00DE6D31" w:rsidP="00DE6D31">
      <w:pPr>
        <w:tabs>
          <w:tab w:val="left" w:pos="-720"/>
        </w:tabs>
        <w:suppressAutoHyphens/>
        <w:rPr>
          <w:spacing w:val="-3"/>
        </w:rPr>
      </w:pPr>
    </w:p>
    <w:p w:rsidR="00AC3A49" w:rsidRPr="003E7697" w:rsidRDefault="0054653C" w:rsidP="00AC3A49">
      <w:pPr>
        <w:tabs>
          <w:tab w:val="left" w:pos="-720"/>
        </w:tabs>
        <w:suppressAutoHyphens/>
        <w:rPr>
          <w:spacing w:val="-3"/>
        </w:rPr>
      </w:pPr>
      <w:r w:rsidRPr="0054653C">
        <w:rPr>
          <w:spacing w:val="-3"/>
        </w:rPr>
        <w:t>The potential exists for data collection activities to affect small entities associated with the grantee</w:t>
      </w:r>
      <w:r>
        <w:rPr>
          <w:spacing w:val="-3"/>
        </w:rPr>
        <w:t>s contacted for data collection</w:t>
      </w:r>
      <w:r w:rsidRPr="0054653C">
        <w:rPr>
          <w:spacing w:val="-3"/>
        </w:rPr>
        <w:t xml:space="preserve">. </w:t>
      </w:r>
      <w:r w:rsidR="007A52DB" w:rsidRPr="007A52DB">
        <w:rPr>
          <w:spacing w:val="-3"/>
        </w:rPr>
        <w:t xml:space="preserve">The </w:t>
      </w:r>
      <w:r w:rsidR="00AC3A49" w:rsidRPr="007A52DB">
        <w:rPr>
          <w:spacing w:val="-3"/>
        </w:rPr>
        <w:t xml:space="preserve">organizations </w:t>
      </w:r>
      <w:r w:rsidR="003E7697" w:rsidRPr="007A52DB">
        <w:rPr>
          <w:spacing w:val="-3"/>
        </w:rPr>
        <w:t>selected for participation</w:t>
      </w:r>
      <w:r w:rsidR="00AC3A49" w:rsidRPr="007A52DB">
        <w:rPr>
          <w:spacing w:val="-3"/>
        </w:rPr>
        <w:t xml:space="preserve"> </w:t>
      </w:r>
      <w:r>
        <w:rPr>
          <w:spacing w:val="-3"/>
        </w:rPr>
        <w:t xml:space="preserve">may </w:t>
      </w:r>
      <w:r w:rsidR="00AC3A49" w:rsidRPr="007A52DB">
        <w:rPr>
          <w:spacing w:val="-3"/>
        </w:rPr>
        <w:t>be small organizations, other non-profit organizations, government agencies, and for-profit organizations.</w:t>
      </w:r>
      <w:r w:rsidR="00AC3A49" w:rsidRPr="003E7697">
        <w:rPr>
          <w:spacing w:val="-3"/>
        </w:rPr>
        <w:t xml:space="preserve">  </w:t>
      </w:r>
      <w:r w:rsidRPr="0054653C">
        <w:rPr>
          <w:spacing w:val="-3"/>
        </w:rPr>
        <w:t>Proposed data collection efforts are designed to minimize the burden on all organizations involved, including small businesses and entities, by collecting only critical information.</w:t>
      </w:r>
      <w:r>
        <w:rPr>
          <w:spacing w:val="-3"/>
        </w:rPr>
        <w:t xml:space="preserve"> </w:t>
      </w:r>
      <w:r w:rsidR="00AC3A49" w:rsidRPr="003E7697">
        <w:rPr>
          <w:spacing w:val="-3"/>
        </w:rPr>
        <w:t xml:space="preserve">Burden will be minimized for respondents by restricting the interview length to the minimum required, by conducting </w:t>
      </w:r>
      <w:r>
        <w:rPr>
          <w:spacing w:val="-3"/>
        </w:rPr>
        <w:t xml:space="preserve">telephone or </w:t>
      </w:r>
      <w:r w:rsidR="00AC3A49" w:rsidRPr="003E7697">
        <w:rPr>
          <w:spacing w:val="-3"/>
        </w:rPr>
        <w:t xml:space="preserve">on-site interviews, at times convenient for the respondent, and by </w:t>
      </w:r>
      <w:r w:rsidR="00DE31B0">
        <w:rPr>
          <w:spacing w:val="-3"/>
        </w:rPr>
        <w:t xml:space="preserve">not </w:t>
      </w:r>
      <w:r w:rsidR="00AC3A49" w:rsidRPr="003E7697">
        <w:rPr>
          <w:spacing w:val="-3"/>
        </w:rPr>
        <w:t xml:space="preserve">requiring record-keeping or written responses.  </w:t>
      </w:r>
    </w:p>
    <w:p w:rsidR="00945CD6" w:rsidRPr="009332A3" w:rsidRDefault="00292B70" w:rsidP="009332A3">
      <w:pPr>
        <w:pStyle w:val="Heading1"/>
        <w:rPr>
          <w:rFonts w:ascii="Times New Roman" w:hAnsi="Times New Roman"/>
          <w:sz w:val="24"/>
        </w:rPr>
      </w:pPr>
      <w:bookmarkStart w:id="7" w:name="_Toc352332736"/>
      <w:r w:rsidRPr="009332A3">
        <w:rPr>
          <w:rFonts w:ascii="Times New Roman" w:hAnsi="Times New Roman"/>
          <w:sz w:val="24"/>
        </w:rPr>
        <w:t xml:space="preserve">A6. </w:t>
      </w:r>
      <w:r w:rsidR="00945CD6" w:rsidRPr="009332A3">
        <w:rPr>
          <w:rFonts w:ascii="Times New Roman" w:hAnsi="Times New Roman"/>
          <w:sz w:val="24"/>
        </w:rPr>
        <w:t>Consequences of Less Frequent Data Collection</w:t>
      </w:r>
      <w:bookmarkEnd w:id="7"/>
    </w:p>
    <w:p w:rsidR="00214B74" w:rsidRPr="00153441" w:rsidRDefault="00B03E90" w:rsidP="00B03E90">
      <w:bookmarkStart w:id="8" w:name="_Toc352332737"/>
      <w:r w:rsidRPr="00153441">
        <w:t>This is a one-time data collection</w:t>
      </w:r>
      <w:r w:rsidR="00DE31B0">
        <w:t xml:space="preserve"> effort</w:t>
      </w:r>
      <w:r w:rsidRPr="00153441">
        <w:t xml:space="preserve">. </w:t>
      </w:r>
    </w:p>
    <w:p w:rsidR="00945CD6" w:rsidRPr="00153441" w:rsidRDefault="00292B70" w:rsidP="009332A3">
      <w:pPr>
        <w:pStyle w:val="Heading1"/>
        <w:rPr>
          <w:rFonts w:ascii="Times New Roman" w:hAnsi="Times New Roman"/>
          <w:sz w:val="24"/>
        </w:rPr>
      </w:pPr>
      <w:r w:rsidRPr="00153441">
        <w:rPr>
          <w:rFonts w:ascii="Times New Roman" w:hAnsi="Times New Roman"/>
          <w:sz w:val="24"/>
        </w:rPr>
        <w:t xml:space="preserve">A7. </w:t>
      </w:r>
      <w:r w:rsidR="00945CD6" w:rsidRPr="00153441">
        <w:rPr>
          <w:rFonts w:ascii="Times New Roman" w:hAnsi="Times New Roman"/>
          <w:sz w:val="24"/>
        </w:rPr>
        <w:t>Special Circumstances</w:t>
      </w:r>
      <w:bookmarkEnd w:id="8"/>
    </w:p>
    <w:p w:rsidR="00214B74" w:rsidRPr="00153441" w:rsidRDefault="00B03E90" w:rsidP="00B03E90">
      <w:bookmarkStart w:id="9" w:name="_Toc352332738"/>
      <w:r w:rsidRPr="00153441">
        <w:t>There are no special circumstances for the proposed data collection efforts.</w:t>
      </w:r>
    </w:p>
    <w:p w:rsidR="00D90EF6" w:rsidRPr="009332A3" w:rsidRDefault="00292B70" w:rsidP="009332A3">
      <w:pPr>
        <w:pStyle w:val="Heading1"/>
        <w:rPr>
          <w:rFonts w:ascii="Times New Roman" w:hAnsi="Times New Roman"/>
          <w:sz w:val="24"/>
        </w:rPr>
      </w:pPr>
      <w:r w:rsidRPr="009332A3">
        <w:rPr>
          <w:rFonts w:ascii="Times New Roman" w:hAnsi="Times New Roman"/>
          <w:sz w:val="24"/>
        </w:rPr>
        <w:t xml:space="preserve">A8. </w:t>
      </w:r>
      <w:r w:rsidR="00945CD6" w:rsidRPr="009332A3">
        <w:rPr>
          <w:rFonts w:ascii="Times New Roman" w:hAnsi="Times New Roman"/>
          <w:sz w:val="24"/>
        </w:rPr>
        <w:t>Federal Register Notice and Consultation</w:t>
      </w:r>
      <w:bookmarkEnd w:id="9"/>
    </w:p>
    <w:p w:rsidR="00CB2581" w:rsidRDefault="00CB2581" w:rsidP="00CB2581">
      <w:pPr>
        <w:rPr>
          <w:b/>
          <w:i/>
        </w:rPr>
      </w:pPr>
    </w:p>
    <w:p w:rsidR="00CB2581" w:rsidRPr="00B91D97" w:rsidRDefault="00B91D97" w:rsidP="00750772">
      <w:pPr>
        <w:spacing w:after="120"/>
        <w:rPr>
          <w:b/>
          <w:i/>
        </w:rPr>
      </w:pPr>
      <w:r w:rsidRPr="004B63ED">
        <w:rPr>
          <w:b/>
          <w:i/>
        </w:rPr>
        <w:t>Federal Register Notice and Comments</w:t>
      </w:r>
    </w:p>
    <w:p w:rsidR="00D90EF6" w:rsidRPr="00857339" w:rsidRDefault="00B03E90" w:rsidP="00292B70">
      <w:pPr>
        <w:rPr>
          <w:i/>
        </w:rPr>
      </w:pPr>
      <w:proofErr w:type="gramStart"/>
      <w:r w:rsidRPr="00857339">
        <w:t>In accordance with the Paperwork Reduction Act of 1995 (Pub.</w:t>
      </w:r>
      <w:proofErr w:type="gramEnd"/>
      <w:r w:rsidRPr="00857339">
        <w:t xml:space="preserve"> L. 104-13) and Office of Management and Budget (OMB) regulations at 5 CFR Part 1320 (60</w:t>
      </w:r>
      <w:r w:rsidR="00185920">
        <w:t xml:space="preserve"> FR 44978, August 29, 1995), OPRE</w:t>
      </w:r>
      <w:r w:rsidRPr="00857339">
        <w:t xml:space="preserve"> published a notice in the Federal Register announcing the agency’s intention to request an OMB review of this in</w:t>
      </w:r>
      <w:r w:rsidR="00857339" w:rsidRPr="00857339">
        <w:t xml:space="preserve">formation collection activity. </w:t>
      </w:r>
      <w:r w:rsidRPr="00857339">
        <w:t xml:space="preserve">This notice was published on </w:t>
      </w:r>
      <w:r w:rsidR="00185920">
        <w:t>March 31, 2015, Volume 80, Number 61, page 17048-17049</w:t>
      </w:r>
      <w:r w:rsidRPr="00857339">
        <w:t xml:space="preserve"> and provided a </w:t>
      </w:r>
      <w:r w:rsidR="00857339">
        <w:t>60</w:t>
      </w:r>
      <w:r w:rsidRPr="00857339">
        <w:t>-</w:t>
      </w:r>
      <w:r w:rsidR="00857339">
        <w:t xml:space="preserve">day period for public comment. </w:t>
      </w:r>
      <w:r w:rsidRPr="00857339">
        <w:t xml:space="preserve">A copy of this notice is attached as Appendix </w:t>
      </w:r>
      <w:r w:rsidR="00D97888">
        <w:t>B</w:t>
      </w:r>
      <w:r w:rsidRPr="00857339">
        <w:t xml:space="preserve">. During the notice and comment period, no comments were received.  </w:t>
      </w:r>
    </w:p>
    <w:p w:rsidR="00945CD6" w:rsidRPr="009332A3" w:rsidRDefault="00292B70" w:rsidP="005E3BBD">
      <w:pPr>
        <w:pStyle w:val="Heading1"/>
        <w:spacing w:after="0"/>
        <w:rPr>
          <w:rFonts w:ascii="Times New Roman" w:hAnsi="Times New Roman"/>
          <w:sz w:val="24"/>
        </w:rPr>
      </w:pPr>
      <w:bookmarkStart w:id="10" w:name="_Toc352332739"/>
      <w:r w:rsidRPr="009332A3">
        <w:rPr>
          <w:rFonts w:ascii="Times New Roman" w:hAnsi="Times New Roman"/>
          <w:sz w:val="24"/>
        </w:rPr>
        <w:lastRenderedPageBreak/>
        <w:t xml:space="preserve">A9. </w:t>
      </w:r>
      <w:r w:rsidR="00B66874" w:rsidRPr="009332A3">
        <w:rPr>
          <w:rFonts w:ascii="Times New Roman" w:hAnsi="Times New Roman"/>
          <w:sz w:val="24"/>
        </w:rPr>
        <w:t>Incentives for</w:t>
      </w:r>
      <w:r w:rsidR="00945CD6" w:rsidRPr="009332A3">
        <w:rPr>
          <w:rFonts w:ascii="Times New Roman" w:hAnsi="Times New Roman"/>
          <w:sz w:val="24"/>
        </w:rPr>
        <w:t xml:space="preserve"> Respondents</w:t>
      </w:r>
      <w:bookmarkEnd w:id="10"/>
    </w:p>
    <w:p w:rsidR="00CB2581" w:rsidRPr="0072204D" w:rsidRDefault="00CB2581" w:rsidP="00292B70">
      <w:pPr>
        <w:rPr>
          <w:b/>
        </w:rPr>
      </w:pPr>
    </w:p>
    <w:p w:rsidR="00956749" w:rsidRPr="00C168D1" w:rsidRDefault="00956749" w:rsidP="00956749">
      <w:pPr>
        <w:spacing w:after="120"/>
      </w:pPr>
      <w:r w:rsidRPr="00C168D1">
        <w:t>Research has shown that incentives are effective at increasing response rates for populations similar to participants in this study.</w:t>
      </w:r>
      <w:r w:rsidRPr="00C168D1">
        <w:rPr>
          <w:rStyle w:val="FootnoteReference"/>
          <w:rFonts w:ascii="Times New Roman" w:hAnsi="Times New Roman" w:cs="Times New Roman"/>
          <w:sz w:val="24"/>
        </w:rPr>
        <w:footnoteReference w:id="1"/>
      </w:r>
      <w:r w:rsidRPr="00C168D1">
        <w:t xml:space="preserve"> Cash payments of $40 for adults and $25 for youth will be provided to study participants in appreciation of their participation in the </w:t>
      </w:r>
      <w:proofErr w:type="gramStart"/>
      <w:r w:rsidRPr="00C168D1">
        <w:t>study .</w:t>
      </w:r>
      <w:proofErr w:type="gramEnd"/>
      <w:r w:rsidRPr="00C168D1">
        <w:t xml:space="preserve"> </w:t>
      </w:r>
      <w:r w:rsidRPr="00C168D1">
        <w:rPr>
          <w:rFonts w:eastAsiaTheme="minorHAnsi"/>
        </w:rPr>
        <w:t xml:space="preserve">The levels vary because of the ages of focus group participants; larger tokens of appreciation may be coercive to youth participants. </w:t>
      </w:r>
      <w:r w:rsidRPr="00C168D1">
        <w:t xml:space="preserve">The amounts indicated for respondents is similar to those offered in association with recent OMB-approved information collections conducted by the Urban Institute, including </w:t>
      </w:r>
      <w:r w:rsidRPr="00C168D1">
        <w:rPr>
          <w:i/>
          <w:iCs/>
        </w:rPr>
        <w:t>Fatherhood and Home Visiting</w:t>
      </w:r>
      <w:r w:rsidRPr="00C168D1">
        <w:t xml:space="preserve">, where adult participants were offered $40, and </w:t>
      </w:r>
      <w:r w:rsidRPr="00C168D1">
        <w:rPr>
          <w:i/>
          <w:iCs/>
        </w:rPr>
        <w:t>Understanding the Dynamics of Disconnection from Employment and Assistance</w:t>
      </w:r>
      <w:r w:rsidRPr="00C168D1">
        <w:t xml:space="preserve">, where adult participants were again offered $40. </w:t>
      </w:r>
    </w:p>
    <w:p w:rsidR="00956749" w:rsidRPr="00C168D1" w:rsidRDefault="00956749" w:rsidP="00956749">
      <w:pPr>
        <w:spacing w:after="120"/>
        <w:rPr>
          <w:rFonts w:eastAsiaTheme="minorHAnsi"/>
        </w:rPr>
      </w:pPr>
      <w:r w:rsidRPr="00C168D1">
        <w:t>The amounts have been successful in recruiting participants in these other, similar information collections, and are appropriate in size to thank respondents for their participation. Incentives are important tools to recruit and retain hard-to-reach populations, including populations that this project will serve including low-income adults and LGB adults. In addition, our surveys include potentially sensitive questions about the perception of LGB issues, and thus impose additional burden on respondents. Respondents who withdraw from the study during a focus group will still be offered the indicated token of appreciation.</w:t>
      </w:r>
    </w:p>
    <w:p w:rsidR="003C6EF2" w:rsidRDefault="003C6EF2" w:rsidP="003C6EF2">
      <w:pPr>
        <w:spacing w:after="120"/>
        <w:rPr>
          <w:rFonts w:eastAsiaTheme="minorHAnsi"/>
        </w:rPr>
      </w:pPr>
    </w:p>
    <w:p w:rsidR="00945CD6" w:rsidRDefault="00292B70" w:rsidP="009332A3">
      <w:pPr>
        <w:pStyle w:val="Heading1"/>
        <w:rPr>
          <w:rFonts w:ascii="Times New Roman" w:hAnsi="Times New Roman"/>
          <w:sz w:val="24"/>
        </w:rPr>
      </w:pPr>
      <w:bookmarkStart w:id="11" w:name="_Toc352332740"/>
      <w:r w:rsidRPr="009332A3">
        <w:rPr>
          <w:rFonts w:ascii="Times New Roman" w:hAnsi="Times New Roman"/>
          <w:sz w:val="24"/>
        </w:rPr>
        <w:t xml:space="preserve">A10. </w:t>
      </w:r>
      <w:r w:rsidR="00124EBF" w:rsidRPr="009332A3">
        <w:rPr>
          <w:rFonts w:ascii="Times New Roman" w:hAnsi="Times New Roman"/>
          <w:sz w:val="24"/>
        </w:rPr>
        <w:t>Privacy</w:t>
      </w:r>
      <w:r w:rsidR="00945CD6" w:rsidRPr="009332A3">
        <w:rPr>
          <w:rFonts w:ascii="Times New Roman" w:hAnsi="Times New Roman"/>
          <w:sz w:val="24"/>
        </w:rPr>
        <w:t xml:space="preserve"> of Respondents</w:t>
      </w:r>
      <w:bookmarkEnd w:id="11"/>
    </w:p>
    <w:p w:rsidR="005E3BBD" w:rsidRPr="005E3BBD" w:rsidRDefault="005E3BBD" w:rsidP="005E3BBD"/>
    <w:p w:rsidR="00FE7FDE" w:rsidRPr="005E3BBD" w:rsidRDefault="00FE7FDE" w:rsidP="00FE7FDE">
      <w:pPr>
        <w:pStyle w:val="ListBullet4"/>
        <w:numPr>
          <w:ilvl w:val="0"/>
          <w:numId w:val="0"/>
        </w:numPr>
        <w:contextualSpacing w:val="0"/>
      </w:pPr>
      <w:r w:rsidRPr="005E3BBD">
        <w:t>Prior to the start of each interview</w:t>
      </w:r>
      <w:r w:rsidR="00BB5136">
        <w:t xml:space="preserve"> and focus group</w:t>
      </w:r>
      <w:r w:rsidRPr="005E3BBD">
        <w:t>, the researchers will assure the respondents that the information provided will be kept private to the extent permitted by law.</w:t>
      </w:r>
      <w:r w:rsidR="00FA250E">
        <w:t xml:space="preserve"> </w:t>
      </w:r>
      <w:r w:rsidRPr="005E3BBD">
        <w:t>Specifically, none of the information obtained during the course of the study will be disclosed in such a way that individuals or organizations can be identified by anyone outside the research team, and the respondents will not be quoted by name</w:t>
      </w:r>
      <w:r w:rsidR="00D97888">
        <w:t xml:space="preserve"> in dissemination activities, such as the final research report, research briefs, federal briefings, and conference presentations</w:t>
      </w:r>
      <w:r w:rsidRPr="005E3BBD">
        <w:t xml:space="preserve">. </w:t>
      </w:r>
      <w:r w:rsidR="00DE31B0">
        <w:t>Additional</w:t>
      </w:r>
      <w:r w:rsidR="00DE31B0" w:rsidRPr="005E3BBD">
        <w:t xml:space="preserve"> </w:t>
      </w:r>
      <w:r w:rsidRPr="005E3BBD">
        <w:t xml:space="preserve">information will not be shared with anyone other than the research staff assigned to the study, all of whom will be required to sign the Urban Institute’s </w:t>
      </w:r>
      <w:r w:rsidRPr="005E3BBD">
        <w:rPr>
          <w:i/>
        </w:rPr>
        <w:t>Staff Confidentiality Pledge</w:t>
      </w:r>
      <w:r w:rsidR="00F76A1E">
        <w:t xml:space="preserve"> (s</w:t>
      </w:r>
      <w:r w:rsidRPr="005E3BBD">
        <w:t xml:space="preserve">ee </w:t>
      </w:r>
      <w:r w:rsidR="003316A7">
        <w:t xml:space="preserve">Attachment </w:t>
      </w:r>
      <w:r w:rsidR="00D97888">
        <w:t>C</w:t>
      </w:r>
      <w:r w:rsidR="00F76A1E">
        <w:t>)</w:t>
      </w:r>
      <w:r w:rsidRPr="005E3BBD">
        <w:t xml:space="preserve">. </w:t>
      </w:r>
    </w:p>
    <w:p w:rsidR="00FE7FDE" w:rsidRPr="005E3BBD" w:rsidRDefault="00324CCC" w:rsidP="00FE7FDE">
      <w:pPr>
        <w:tabs>
          <w:tab w:val="left" w:pos="0"/>
          <w:tab w:val="left" w:pos="288"/>
          <w:tab w:val="left" w:pos="662"/>
        </w:tabs>
        <w:spacing w:before="240" w:after="80"/>
      </w:pPr>
      <w:r>
        <w:t>All adult respondents will be given and asked to sign informed consent forms before the start of the interview or focus group. Youth respondents</w:t>
      </w:r>
      <w:r w:rsidR="001E7A98">
        <w:t>, defined as those under age 18,</w:t>
      </w:r>
      <w:r>
        <w:t xml:space="preserve"> will be given an assent form and asked to sign it, while their parents will be given and asked to sign consent forms on</w:t>
      </w:r>
      <w:r w:rsidR="00DE6666">
        <w:t xml:space="preserve"> their behalf. See Attachments A-2 through A-6</w:t>
      </w:r>
      <w:r>
        <w:t xml:space="preserve"> for copies of the consent forms for staff, adult participants, consent forms for parents, and assent forms for youth. </w:t>
      </w:r>
    </w:p>
    <w:p w:rsidR="00FE7FDE" w:rsidRPr="005E3BBD" w:rsidRDefault="00FE7FDE" w:rsidP="00FE7FDE">
      <w:pPr>
        <w:pStyle w:val="ListBullet4"/>
        <w:numPr>
          <w:ilvl w:val="0"/>
          <w:numId w:val="0"/>
        </w:numPr>
        <w:contextualSpacing w:val="0"/>
      </w:pPr>
    </w:p>
    <w:p w:rsidR="00FE7FDE" w:rsidRPr="00D80F0E" w:rsidRDefault="00FE7FDE" w:rsidP="00FE7FDE">
      <w:r w:rsidRPr="005E3BBD">
        <w:t>This study is also under the purview of the Urban Institute’s Institutional Review Board (IRB), which is registered under Federal</w:t>
      </w:r>
      <w:r w:rsidR="00956749">
        <w:t xml:space="preserve"> </w:t>
      </w:r>
      <w:r w:rsidRPr="005E3BBD">
        <w:t>wide Assurance number 00000189, indicating it adheres to the requirements in the HHS Protection of Human Subjects regu</w:t>
      </w:r>
      <w:r w:rsidR="00737A03">
        <w:t>lations at 45 CFR P</w:t>
      </w:r>
      <w:r w:rsidRPr="005E3BBD">
        <w:t xml:space="preserve">art 46. All data collection </w:t>
      </w:r>
      <w:r w:rsidRPr="00D80F0E">
        <w:t>and security procedures described in this package have been approved by the IRB</w:t>
      </w:r>
      <w:r w:rsidR="00396AC7" w:rsidRPr="00D80F0E">
        <w:t>: s</w:t>
      </w:r>
      <w:r w:rsidRPr="00D80F0E">
        <w:t xml:space="preserve">ee </w:t>
      </w:r>
      <w:r w:rsidR="00396AC7" w:rsidRPr="00D80F0E">
        <w:lastRenderedPageBreak/>
        <w:t xml:space="preserve">Attachment </w:t>
      </w:r>
      <w:r w:rsidR="00D97888" w:rsidRPr="00D80F0E">
        <w:t>D</w:t>
      </w:r>
      <w:r w:rsidRPr="00D80F0E">
        <w:t xml:space="preserve"> for a copy of the IRB Notice of Approval.  To receive IRB approval for this study, the data collection effort must adhere to the following principles:</w:t>
      </w:r>
    </w:p>
    <w:p w:rsidR="00FE7FDE" w:rsidRPr="00D80F0E" w:rsidRDefault="00FE7FDE" w:rsidP="00FE7FDE"/>
    <w:p w:rsidR="00FE7FDE" w:rsidRPr="00D80F0E" w:rsidRDefault="00FE7FDE" w:rsidP="00FE7FDE">
      <w:pPr>
        <w:numPr>
          <w:ilvl w:val="0"/>
          <w:numId w:val="29"/>
        </w:numPr>
      </w:pPr>
      <w:r w:rsidRPr="00D80F0E">
        <w:t>Subjects are informed of the nature of the research and how it will be used, and their consent</w:t>
      </w:r>
      <w:r w:rsidR="00724A76" w:rsidRPr="00D80F0E">
        <w:t>,</w:t>
      </w:r>
      <w:r w:rsidRPr="00D80F0E">
        <w:t xml:space="preserve"> either obtained or explicitly waived, where risks to them are determined to be minimal.</w:t>
      </w:r>
    </w:p>
    <w:p w:rsidR="00FE7FDE" w:rsidRPr="00D80F0E" w:rsidRDefault="00FE7FDE" w:rsidP="00FE7FDE">
      <w:pPr>
        <w:numPr>
          <w:ilvl w:val="0"/>
          <w:numId w:val="29"/>
        </w:numPr>
      </w:pPr>
      <w:r w:rsidRPr="00D80F0E">
        <w:t>Adequate provision is made to protect the privacy of subjects and to maintain privacy of data, where promised and as appropriate.</w:t>
      </w:r>
    </w:p>
    <w:p w:rsidR="00FE7FDE" w:rsidRPr="00D80F0E" w:rsidRDefault="00FE7FDE" w:rsidP="00FE7FDE">
      <w:pPr>
        <w:numPr>
          <w:ilvl w:val="0"/>
          <w:numId w:val="29"/>
        </w:numPr>
      </w:pPr>
      <w:r w:rsidRPr="00D80F0E">
        <w:t>Risks to subjects are minimized to the extent possible within research designs.</w:t>
      </w:r>
    </w:p>
    <w:p w:rsidR="00FE7FDE" w:rsidRPr="00D80F0E" w:rsidRDefault="00FE7FDE" w:rsidP="00FE7FDE">
      <w:pPr>
        <w:numPr>
          <w:ilvl w:val="0"/>
          <w:numId w:val="29"/>
        </w:numPr>
      </w:pPr>
      <w:r w:rsidRPr="00D80F0E">
        <w:t>Risks to subjects (from the research) are reasonable in relation to anticipated benefits (from the research).</w:t>
      </w:r>
    </w:p>
    <w:p w:rsidR="00131CB6" w:rsidRPr="00D80F0E" w:rsidRDefault="00FE7FDE" w:rsidP="00FE7FDE">
      <w:pPr>
        <w:numPr>
          <w:ilvl w:val="0"/>
          <w:numId w:val="29"/>
        </w:numPr>
      </w:pPr>
      <w:r w:rsidRPr="00D80F0E">
        <w:t>The selection of subjects is as equitable as possible (the burdens and benefits of the research are fairly distributed) and particular attention is paid to research involving vulnerable populations and protected health information.</w:t>
      </w:r>
    </w:p>
    <w:p w:rsidR="00945CD6" w:rsidRPr="00D80F0E" w:rsidRDefault="00292B70" w:rsidP="009332A3">
      <w:pPr>
        <w:pStyle w:val="Heading1"/>
        <w:rPr>
          <w:rFonts w:ascii="Times New Roman" w:hAnsi="Times New Roman"/>
          <w:sz w:val="24"/>
        </w:rPr>
      </w:pPr>
      <w:bookmarkStart w:id="12" w:name="_Toc352332741"/>
      <w:r w:rsidRPr="00D80F0E">
        <w:rPr>
          <w:rFonts w:ascii="Times New Roman" w:hAnsi="Times New Roman"/>
          <w:sz w:val="24"/>
        </w:rPr>
        <w:t xml:space="preserve">A11. </w:t>
      </w:r>
      <w:r w:rsidR="00945CD6" w:rsidRPr="00D80F0E">
        <w:rPr>
          <w:rFonts w:ascii="Times New Roman" w:hAnsi="Times New Roman"/>
          <w:sz w:val="24"/>
        </w:rPr>
        <w:t>Sensitive Questions</w:t>
      </w:r>
      <w:bookmarkEnd w:id="12"/>
    </w:p>
    <w:p w:rsidR="00134018" w:rsidRPr="00D80F0E" w:rsidRDefault="00134018" w:rsidP="00FE7FDE">
      <w:pPr>
        <w:pStyle w:val="ListBullet4"/>
        <w:numPr>
          <w:ilvl w:val="0"/>
          <w:numId w:val="0"/>
        </w:numPr>
        <w:contextualSpacing w:val="0"/>
      </w:pPr>
    </w:p>
    <w:p w:rsidR="00420E60" w:rsidRPr="00D80F0E" w:rsidRDefault="00134018" w:rsidP="00FE7FDE">
      <w:pPr>
        <w:pStyle w:val="ListBullet4"/>
        <w:numPr>
          <w:ilvl w:val="0"/>
          <w:numId w:val="0"/>
        </w:numPr>
        <w:contextualSpacing w:val="0"/>
      </w:pPr>
      <w:r w:rsidRPr="00D80F0E">
        <w:t xml:space="preserve">The </w:t>
      </w:r>
      <w:r w:rsidR="006F7C61" w:rsidRPr="00D80F0E">
        <w:t xml:space="preserve">focus group and </w:t>
      </w:r>
      <w:r w:rsidRPr="00D80F0E">
        <w:t>interview guides contain some questions that could be considered sensitive.</w:t>
      </w:r>
      <w:r w:rsidR="000B6E13" w:rsidRPr="00D80F0E">
        <w:t xml:space="preserve"> Specifically, </w:t>
      </w:r>
      <w:r w:rsidR="006F7C61" w:rsidRPr="00D80F0E">
        <w:t xml:space="preserve">attendees are asked about whether LGB issues were discussed in HMRE classes and program managers and experts are asked about LGB issues. Although nothing is asked about any individual’s sexual orientation or sexual identity, </w:t>
      </w:r>
      <w:proofErr w:type="gramStart"/>
      <w:r w:rsidR="006F7C61" w:rsidRPr="00D80F0E">
        <w:t>nor</w:t>
      </w:r>
      <w:proofErr w:type="gramEnd"/>
      <w:r w:rsidR="006F7C61" w:rsidRPr="00D80F0E">
        <w:t xml:space="preserve"> about any sexual behavior, even mentioning sexual orientation and LGB issues could be sensitive to some respondents. </w:t>
      </w:r>
      <w:r w:rsidR="00E839B1">
        <w:t>All respondents will be informed that their participation is voluntary and they may choose not to answer specific questions.</w:t>
      </w:r>
    </w:p>
    <w:p w:rsidR="00420E60" w:rsidRPr="00D80F0E" w:rsidRDefault="00420E60" w:rsidP="00FE7FDE">
      <w:pPr>
        <w:pStyle w:val="ListBullet4"/>
        <w:numPr>
          <w:ilvl w:val="0"/>
          <w:numId w:val="0"/>
        </w:numPr>
        <w:contextualSpacing w:val="0"/>
      </w:pPr>
    </w:p>
    <w:p w:rsidR="00103F85" w:rsidRPr="00D80F0E" w:rsidRDefault="00103F85" w:rsidP="00FE7FDE">
      <w:pPr>
        <w:pStyle w:val="ListBullet4"/>
        <w:numPr>
          <w:ilvl w:val="0"/>
          <w:numId w:val="0"/>
        </w:numPr>
        <w:contextualSpacing w:val="0"/>
      </w:pPr>
      <w:r w:rsidRPr="00D80F0E">
        <w:rPr>
          <w:szCs w:val="20"/>
        </w:rPr>
        <w:t xml:space="preserve">These data are integral to understanding </w:t>
      </w:r>
      <w:r w:rsidR="006F7C61" w:rsidRPr="00D80F0E">
        <w:rPr>
          <w:szCs w:val="20"/>
        </w:rPr>
        <w:t xml:space="preserve">how HMRE programs approach the needs of same-sex couples and integrating LGB information into programming. They are thus at the core of the research. </w:t>
      </w:r>
      <w:r w:rsidR="00420E60" w:rsidRPr="00D80F0E">
        <w:rPr>
          <w:color w:val="000000"/>
        </w:rPr>
        <w:t>Collecting these</w:t>
      </w:r>
      <w:r w:rsidRPr="00D80F0E">
        <w:rPr>
          <w:color w:val="000000"/>
        </w:rPr>
        <w:t xml:space="preserve"> data will contribute to filling gaps in knowledge</w:t>
      </w:r>
      <w:r w:rsidR="00420E60" w:rsidRPr="00D80F0E">
        <w:rPr>
          <w:color w:val="000000"/>
        </w:rPr>
        <w:t xml:space="preserve"> about </w:t>
      </w:r>
      <w:r w:rsidR="006F7C61" w:rsidRPr="00D80F0E">
        <w:rPr>
          <w:color w:val="000000"/>
        </w:rPr>
        <w:t xml:space="preserve">HMRE programs and same-sex needs. </w:t>
      </w:r>
    </w:p>
    <w:p w:rsidR="00945CD6" w:rsidRPr="00D80F0E" w:rsidRDefault="00292B70" w:rsidP="009332A3">
      <w:pPr>
        <w:pStyle w:val="Heading1"/>
        <w:rPr>
          <w:rFonts w:ascii="Times New Roman" w:hAnsi="Times New Roman"/>
          <w:sz w:val="24"/>
        </w:rPr>
      </w:pPr>
      <w:bookmarkStart w:id="13" w:name="_Toc352332742"/>
      <w:r w:rsidRPr="00D80F0E">
        <w:rPr>
          <w:rFonts w:ascii="Times New Roman" w:hAnsi="Times New Roman"/>
          <w:sz w:val="24"/>
        </w:rPr>
        <w:t xml:space="preserve">A12. </w:t>
      </w:r>
      <w:r w:rsidR="00945CD6" w:rsidRPr="00D80F0E">
        <w:rPr>
          <w:rFonts w:ascii="Times New Roman" w:hAnsi="Times New Roman"/>
          <w:sz w:val="24"/>
        </w:rPr>
        <w:t>Estimation of Information Collection Burden</w:t>
      </w:r>
      <w:bookmarkEnd w:id="13"/>
    </w:p>
    <w:p w:rsidR="006A0F7B" w:rsidRPr="00D80F0E" w:rsidRDefault="006A0F7B" w:rsidP="00CB2581">
      <w:pPr>
        <w:pStyle w:val="MediumGrid21"/>
        <w:rPr>
          <w:rFonts w:ascii="Times New Roman" w:hAnsi="Times New Roman"/>
          <w:szCs w:val="24"/>
        </w:rPr>
      </w:pPr>
    </w:p>
    <w:p w:rsidR="009332A3" w:rsidRPr="00D80F0E" w:rsidRDefault="006A0F7B" w:rsidP="00CB2581">
      <w:pPr>
        <w:pStyle w:val="MediumGrid21"/>
        <w:rPr>
          <w:rFonts w:ascii="Times New Roman" w:hAnsi="Times New Roman"/>
          <w:szCs w:val="24"/>
        </w:rPr>
      </w:pPr>
      <w:r w:rsidRPr="00D80F0E">
        <w:rPr>
          <w:rFonts w:ascii="Times New Roman" w:hAnsi="Times New Roman"/>
          <w:szCs w:val="24"/>
        </w:rPr>
        <w:t xml:space="preserve">Exhibit </w:t>
      </w:r>
      <w:r w:rsidR="007B4494" w:rsidRPr="00D80F0E">
        <w:rPr>
          <w:rFonts w:ascii="Times New Roman" w:hAnsi="Times New Roman"/>
          <w:szCs w:val="24"/>
        </w:rPr>
        <w:t>A-1</w:t>
      </w:r>
      <w:r w:rsidRPr="00D80F0E">
        <w:rPr>
          <w:rFonts w:ascii="Times New Roman" w:hAnsi="Times New Roman"/>
          <w:szCs w:val="24"/>
        </w:rPr>
        <w:t xml:space="preserve"> shows estimated burden of the information collection, which will take place within a one year period. The estimates of annualized hour burden include interviews with program staff and clients.</w:t>
      </w:r>
    </w:p>
    <w:p w:rsidR="006A0F7B" w:rsidRPr="00D80F0E" w:rsidRDefault="006A0F7B" w:rsidP="00CB2581">
      <w:pPr>
        <w:pStyle w:val="MediumGrid21"/>
        <w:rPr>
          <w:rFonts w:ascii="Times New Roman" w:hAnsi="Times New Roman"/>
          <w:szCs w:val="24"/>
        </w:rPr>
      </w:pPr>
    </w:p>
    <w:p w:rsidR="006A0F7B" w:rsidRPr="00D80F0E" w:rsidRDefault="00613347" w:rsidP="006A0F7B">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80F0E">
        <w:rPr>
          <w:b/>
        </w:rPr>
        <w:t xml:space="preserve">Focus Group Guide for Adult </w:t>
      </w:r>
      <w:r w:rsidR="00A716D7" w:rsidRPr="00D80F0E">
        <w:rPr>
          <w:b/>
        </w:rPr>
        <w:t xml:space="preserve">Program </w:t>
      </w:r>
      <w:r w:rsidRPr="00D80F0E">
        <w:rPr>
          <w:b/>
        </w:rPr>
        <w:t>Applicants (</w:t>
      </w:r>
      <w:r w:rsidR="00BA51FC" w:rsidRPr="00D80F0E">
        <w:rPr>
          <w:b/>
        </w:rPr>
        <w:t>Instrument #1</w:t>
      </w:r>
      <w:r w:rsidRPr="00D80F0E">
        <w:rPr>
          <w:b/>
        </w:rPr>
        <w:t>)</w:t>
      </w:r>
      <w:r w:rsidR="006A0F7B" w:rsidRPr="00D80F0E">
        <w:rPr>
          <w:b/>
        </w:rPr>
        <w:t xml:space="preserve">: </w:t>
      </w:r>
      <w:proofErr w:type="gramStart"/>
      <w:r w:rsidR="008079A4" w:rsidRPr="00D80F0E">
        <w:t>3</w:t>
      </w:r>
      <w:proofErr w:type="gramEnd"/>
      <w:r w:rsidR="00D511B0" w:rsidRPr="00D80F0E">
        <w:t xml:space="preserve"> focus groups </w:t>
      </w:r>
      <w:r w:rsidR="007A52DB" w:rsidRPr="00D80F0E">
        <w:t>with 6 adult applicants each (</w:t>
      </w:r>
      <w:r w:rsidR="008079A4" w:rsidRPr="00D80F0E">
        <w:t>18</w:t>
      </w:r>
      <w:r w:rsidR="00D511B0" w:rsidRPr="00D80F0E">
        <w:t xml:space="preserve"> total) to HMRE programs, </w:t>
      </w:r>
      <w:r w:rsidR="005F0FD5" w:rsidRPr="00D80F0E">
        <w:t xml:space="preserve">at an average length of </w:t>
      </w:r>
      <w:r w:rsidR="00251D7E">
        <w:t>120</w:t>
      </w:r>
      <w:r w:rsidR="00251D7E" w:rsidRPr="00D80F0E">
        <w:t xml:space="preserve"> </w:t>
      </w:r>
      <w:r w:rsidR="005F0FD5" w:rsidRPr="00D80F0E">
        <w:t>minutes</w:t>
      </w:r>
      <w:r w:rsidR="00135EE2" w:rsidRPr="00D80F0E">
        <w:t xml:space="preserve">. </w:t>
      </w:r>
    </w:p>
    <w:p w:rsidR="006A0F7B" w:rsidRPr="00D80F0E" w:rsidRDefault="00D511B0" w:rsidP="006A0F7B">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sidRPr="00D80F0E">
        <w:rPr>
          <w:b/>
          <w:szCs w:val="20"/>
        </w:rPr>
        <w:t xml:space="preserve">Focus Group Guide for Adult </w:t>
      </w:r>
      <w:r w:rsidR="00A716D7" w:rsidRPr="00D80F0E">
        <w:rPr>
          <w:b/>
          <w:szCs w:val="20"/>
        </w:rPr>
        <w:t xml:space="preserve">Program </w:t>
      </w:r>
      <w:r w:rsidRPr="00D80F0E">
        <w:rPr>
          <w:b/>
          <w:szCs w:val="20"/>
        </w:rPr>
        <w:t>Attendees (</w:t>
      </w:r>
      <w:r w:rsidR="00075238" w:rsidRPr="00D80F0E">
        <w:rPr>
          <w:b/>
          <w:szCs w:val="20"/>
        </w:rPr>
        <w:t>Instrument #2</w:t>
      </w:r>
      <w:r w:rsidRPr="00D80F0E">
        <w:rPr>
          <w:b/>
          <w:szCs w:val="20"/>
        </w:rPr>
        <w:t>):</w:t>
      </w:r>
      <w:r w:rsidR="00135EE2" w:rsidRPr="00D80F0E">
        <w:rPr>
          <w:szCs w:val="20"/>
        </w:rPr>
        <w:t xml:space="preserve"> </w:t>
      </w:r>
      <w:proofErr w:type="gramStart"/>
      <w:r w:rsidR="008079A4" w:rsidRPr="00D80F0E">
        <w:rPr>
          <w:szCs w:val="20"/>
        </w:rPr>
        <w:t>6</w:t>
      </w:r>
      <w:proofErr w:type="gramEnd"/>
      <w:r w:rsidR="00DE31B0" w:rsidRPr="00D80F0E">
        <w:rPr>
          <w:b/>
          <w:szCs w:val="20"/>
        </w:rPr>
        <w:t xml:space="preserve"> </w:t>
      </w:r>
      <w:r w:rsidRPr="00D80F0E">
        <w:rPr>
          <w:szCs w:val="20"/>
        </w:rPr>
        <w:t>focus groups</w:t>
      </w:r>
      <w:r w:rsidR="007A52DB" w:rsidRPr="00D80F0E">
        <w:rPr>
          <w:szCs w:val="20"/>
        </w:rPr>
        <w:t xml:space="preserve"> with 6 adult attendees each (</w:t>
      </w:r>
      <w:r w:rsidR="008079A4" w:rsidRPr="00D80F0E">
        <w:rPr>
          <w:szCs w:val="20"/>
        </w:rPr>
        <w:t>36</w:t>
      </w:r>
      <w:r w:rsidRPr="00D80F0E">
        <w:rPr>
          <w:szCs w:val="20"/>
        </w:rPr>
        <w:t xml:space="preserve"> total) to HMRE programs, at an average length of </w:t>
      </w:r>
      <w:r w:rsidR="00251D7E">
        <w:rPr>
          <w:szCs w:val="20"/>
        </w:rPr>
        <w:t>120</w:t>
      </w:r>
      <w:r w:rsidR="00251D7E" w:rsidRPr="00D80F0E">
        <w:rPr>
          <w:szCs w:val="20"/>
        </w:rPr>
        <w:t xml:space="preserve"> </w:t>
      </w:r>
      <w:r w:rsidRPr="00D80F0E">
        <w:rPr>
          <w:szCs w:val="20"/>
        </w:rPr>
        <w:t>minutes</w:t>
      </w:r>
      <w:r w:rsidR="00135EE2" w:rsidRPr="00D80F0E">
        <w:rPr>
          <w:szCs w:val="20"/>
        </w:rPr>
        <w:t>.</w:t>
      </w:r>
    </w:p>
    <w:p w:rsidR="00135EE2" w:rsidRPr="00D80F0E" w:rsidRDefault="00D511B0" w:rsidP="006A0F7B">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sidRPr="00D80F0E">
        <w:rPr>
          <w:b/>
          <w:szCs w:val="20"/>
        </w:rPr>
        <w:t xml:space="preserve">Focus Group Guide for Youth </w:t>
      </w:r>
      <w:r w:rsidR="00A716D7" w:rsidRPr="00D80F0E">
        <w:rPr>
          <w:b/>
          <w:szCs w:val="20"/>
        </w:rPr>
        <w:t xml:space="preserve">Program </w:t>
      </w:r>
      <w:r w:rsidRPr="00D80F0E">
        <w:rPr>
          <w:b/>
          <w:szCs w:val="20"/>
        </w:rPr>
        <w:t>Attendees (</w:t>
      </w:r>
      <w:r w:rsidR="00075238" w:rsidRPr="00D80F0E">
        <w:rPr>
          <w:b/>
          <w:szCs w:val="20"/>
        </w:rPr>
        <w:t>Instrument #3</w:t>
      </w:r>
      <w:r w:rsidRPr="00D80F0E">
        <w:rPr>
          <w:b/>
          <w:szCs w:val="20"/>
        </w:rPr>
        <w:t xml:space="preserve">): </w:t>
      </w:r>
      <w:proofErr w:type="gramStart"/>
      <w:r w:rsidR="00075238" w:rsidRPr="00D80F0E">
        <w:rPr>
          <w:szCs w:val="20"/>
        </w:rPr>
        <w:t>6</w:t>
      </w:r>
      <w:proofErr w:type="gramEnd"/>
      <w:r w:rsidRPr="00D80F0E">
        <w:rPr>
          <w:szCs w:val="20"/>
        </w:rPr>
        <w:t xml:space="preserve"> focus groups</w:t>
      </w:r>
      <w:r w:rsidR="007A52DB" w:rsidRPr="00D80F0E">
        <w:rPr>
          <w:szCs w:val="20"/>
        </w:rPr>
        <w:t xml:space="preserve"> with 6 youth attendees each (</w:t>
      </w:r>
      <w:r w:rsidR="00075238" w:rsidRPr="00D80F0E">
        <w:rPr>
          <w:szCs w:val="20"/>
        </w:rPr>
        <w:t>36</w:t>
      </w:r>
      <w:r w:rsidRPr="00D80F0E">
        <w:rPr>
          <w:szCs w:val="20"/>
        </w:rPr>
        <w:t xml:space="preserve"> total) to HMRE programs, at an average length of </w:t>
      </w:r>
      <w:r w:rsidR="00251D7E">
        <w:rPr>
          <w:szCs w:val="20"/>
        </w:rPr>
        <w:t>120</w:t>
      </w:r>
      <w:r w:rsidR="00251D7E" w:rsidRPr="00D80F0E">
        <w:rPr>
          <w:szCs w:val="20"/>
        </w:rPr>
        <w:t xml:space="preserve"> </w:t>
      </w:r>
      <w:r w:rsidRPr="00D80F0E">
        <w:rPr>
          <w:szCs w:val="20"/>
        </w:rPr>
        <w:t>minutes</w:t>
      </w:r>
      <w:r w:rsidR="005F0FD5" w:rsidRPr="00D80F0E">
        <w:t>.</w:t>
      </w:r>
    </w:p>
    <w:p w:rsidR="00135EE2" w:rsidRPr="00D80F0E" w:rsidRDefault="00135EE2" w:rsidP="006A0F7B">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sidRPr="00D80F0E">
        <w:rPr>
          <w:b/>
        </w:rPr>
        <w:lastRenderedPageBreak/>
        <w:t xml:space="preserve">Interview Guide for </w:t>
      </w:r>
      <w:r w:rsidR="00D511B0" w:rsidRPr="00D80F0E">
        <w:rPr>
          <w:b/>
        </w:rPr>
        <w:t>Experts (</w:t>
      </w:r>
      <w:r w:rsidR="00075238" w:rsidRPr="00D80F0E">
        <w:rPr>
          <w:b/>
        </w:rPr>
        <w:t>Instrument #4</w:t>
      </w:r>
      <w:r w:rsidR="00D511B0" w:rsidRPr="00D80F0E">
        <w:rPr>
          <w:b/>
        </w:rPr>
        <w:t>)</w:t>
      </w:r>
      <w:r w:rsidRPr="00D80F0E">
        <w:rPr>
          <w:b/>
        </w:rPr>
        <w:t xml:space="preserve">: </w:t>
      </w:r>
      <w:r w:rsidRPr="00D80F0E">
        <w:t xml:space="preserve">Interviews with </w:t>
      </w:r>
      <w:r w:rsidR="006B1446" w:rsidRPr="00D80F0E">
        <w:t>12</w:t>
      </w:r>
      <w:r w:rsidR="00DE31B0" w:rsidRPr="00D80F0E">
        <w:t xml:space="preserve"> </w:t>
      </w:r>
      <w:r w:rsidR="00D511B0" w:rsidRPr="00D80F0E">
        <w:t>HMRE experts, at an average length of 60 minutes</w:t>
      </w:r>
      <w:r w:rsidR="005F0FD5" w:rsidRPr="00D80F0E">
        <w:t>.</w:t>
      </w:r>
    </w:p>
    <w:p w:rsidR="00135EE2" w:rsidRPr="00D80F0E" w:rsidRDefault="00135EE2" w:rsidP="006A0F7B">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sidRPr="00D80F0E">
        <w:rPr>
          <w:b/>
          <w:szCs w:val="20"/>
        </w:rPr>
        <w:t xml:space="preserve">Interview Guide for </w:t>
      </w:r>
      <w:r w:rsidR="00D511B0" w:rsidRPr="00D80F0E">
        <w:rPr>
          <w:b/>
          <w:szCs w:val="20"/>
        </w:rPr>
        <w:t>Program Managers (</w:t>
      </w:r>
      <w:r w:rsidR="006B1446" w:rsidRPr="00D80F0E">
        <w:rPr>
          <w:b/>
          <w:szCs w:val="20"/>
        </w:rPr>
        <w:t>Instrument #5</w:t>
      </w:r>
      <w:r w:rsidR="00D511B0" w:rsidRPr="00D80F0E">
        <w:rPr>
          <w:b/>
          <w:szCs w:val="20"/>
        </w:rPr>
        <w:t>)</w:t>
      </w:r>
      <w:r w:rsidRPr="00D80F0E">
        <w:rPr>
          <w:b/>
          <w:szCs w:val="20"/>
        </w:rPr>
        <w:t>:</w:t>
      </w:r>
      <w:r w:rsidRPr="00D80F0E">
        <w:rPr>
          <w:b/>
          <w:sz w:val="32"/>
        </w:rPr>
        <w:t xml:space="preserve"> </w:t>
      </w:r>
      <w:r w:rsidR="007A52DB" w:rsidRPr="00D80F0E">
        <w:t xml:space="preserve">Interviews with </w:t>
      </w:r>
      <w:r w:rsidR="006B1446" w:rsidRPr="00D80F0E">
        <w:t xml:space="preserve">10 </w:t>
      </w:r>
      <w:r w:rsidR="00D511B0" w:rsidRPr="00D80F0E">
        <w:t>HMRE program managers, at an average length of 60 minutes</w:t>
      </w:r>
      <w:r w:rsidRPr="00D80F0E">
        <w:t xml:space="preserve">. </w:t>
      </w:r>
    </w:p>
    <w:p w:rsidR="00135EE2" w:rsidRPr="00C168D1" w:rsidRDefault="00135EE2" w:rsidP="00D96403">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80F0E">
        <w:rPr>
          <w:b/>
          <w:szCs w:val="20"/>
        </w:rPr>
        <w:t xml:space="preserve">Interview Guide for </w:t>
      </w:r>
      <w:r w:rsidR="00D511B0" w:rsidRPr="00D80F0E">
        <w:rPr>
          <w:b/>
          <w:szCs w:val="20"/>
        </w:rPr>
        <w:t>Facilitators (</w:t>
      </w:r>
      <w:r w:rsidR="006B1446" w:rsidRPr="00D80F0E">
        <w:rPr>
          <w:b/>
          <w:szCs w:val="20"/>
        </w:rPr>
        <w:t>Instrument #6</w:t>
      </w:r>
      <w:r w:rsidR="00D511B0" w:rsidRPr="00D80F0E">
        <w:rPr>
          <w:b/>
          <w:szCs w:val="20"/>
        </w:rPr>
        <w:t>)</w:t>
      </w:r>
      <w:r w:rsidRPr="00D80F0E">
        <w:rPr>
          <w:b/>
          <w:szCs w:val="20"/>
        </w:rPr>
        <w:t>:</w:t>
      </w:r>
      <w:r w:rsidRPr="00D80F0E">
        <w:rPr>
          <w:b/>
          <w:sz w:val="32"/>
        </w:rPr>
        <w:t xml:space="preserve"> </w:t>
      </w:r>
      <w:r w:rsidRPr="00D80F0E">
        <w:t>Interv</w:t>
      </w:r>
      <w:r w:rsidR="007A52DB" w:rsidRPr="00D80F0E">
        <w:t xml:space="preserve">iews with </w:t>
      </w:r>
      <w:r w:rsidR="006B1446" w:rsidRPr="00D80F0E">
        <w:t xml:space="preserve">10 </w:t>
      </w:r>
      <w:r w:rsidR="00D511B0" w:rsidRPr="00D80F0E">
        <w:t>HMRE program facilitators, at an average length of 60 minutes.</w:t>
      </w:r>
      <w:r w:rsidR="009E192C" w:rsidRPr="00D80F0E">
        <w:t xml:space="preserve"> </w:t>
      </w:r>
    </w:p>
    <w:p w:rsidR="00C168D1" w:rsidRPr="00D80F0E" w:rsidRDefault="00C168D1" w:rsidP="00D96403">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szCs w:val="20"/>
        </w:rPr>
        <w:t>Interview Guide for Recruitment of Adult and Youth Participants (Included in the Appendix):</w:t>
      </w:r>
      <w:r>
        <w:rPr>
          <w:b/>
        </w:rPr>
        <w:t xml:space="preserve"> Interview guide for program staff to administer to up to 90 potential program applicants and attendees to recruit youth and adult participants at an average length of 15 minutes.</w:t>
      </w:r>
    </w:p>
    <w:p w:rsidR="006A0F7B" w:rsidRPr="00D80F0E" w:rsidRDefault="006A0F7B" w:rsidP="00CB2581">
      <w:pPr>
        <w:pStyle w:val="MediumGrid21"/>
        <w:rPr>
          <w:rFonts w:ascii="Times New Roman" w:hAnsi="Times New Roman"/>
          <w:szCs w:val="24"/>
        </w:rPr>
      </w:pPr>
    </w:p>
    <w:tbl>
      <w:tblPr>
        <w:tblW w:w="8538" w:type="dxa"/>
        <w:tblInd w:w="93" w:type="dxa"/>
        <w:tblLook w:val="04A0" w:firstRow="1" w:lastRow="0" w:firstColumn="1" w:lastColumn="0" w:noHBand="0" w:noVBand="1"/>
      </w:tblPr>
      <w:tblGrid>
        <w:gridCol w:w="2635"/>
        <w:gridCol w:w="952"/>
        <w:gridCol w:w="926"/>
        <w:gridCol w:w="929"/>
        <w:gridCol w:w="940"/>
        <w:gridCol w:w="940"/>
        <w:gridCol w:w="1216"/>
      </w:tblGrid>
      <w:tr w:rsidR="00214CF2" w:rsidTr="00214CF2">
        <w:trPr>
          <w:trHeight w:val="1350"/>
        </w:trPr>
        <w:tc>
          <w:tcPr>
            <w:tcW w:w="2635"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214CF2" w:rsidRDefault="00214CF2">
            <w:pPr>
              <w:spacing w:line="276" w:lineRule="auto"/>
              <w:rPr>
                <w:b/>
                <w:bCs/>
                <w:color w:val="000000"/>
                <w:sz w:val="20"/>
                <w:szCs w:val="20"/>
              </w:rPr>
            </w:pPr>
            <w:r>
              <w:rPr>
                <w:b/>
                <w:bCs/>
                <w:color w:val="000000"/>
                <w:sz w:val="20"/>
                <w:szCs w:val="20"/>
              </w:rPr>
              <w:t xml:space="preserve">Instrument (and appendix number). </w:t>
            </w:r>
          </w:p>
        </w:tc>
        <w:tc>
          <w:tcPr>
            <w:tcW w:w="952" w:type="dxa"/>
            <w:tcBorders>
              <w:top w:val="single" w:sz="8" w:space="0" w:color="000000"/>
              <w:left w:val="nil"/>
              <w:bottom w:val="single" w:sz="8" w:space="0" w:color="000000"/>
              <w:right w:val="single" w:sz="8" w:space="0" w:color="000000"/>
            </w:tcBorders>
            <w:shd w:val="clear" w:color="auto" w:fill="BFBFBF"/>
            <w:textDirection w:val="btLr"/>
            <w:vAlign w:val="center"/>
            <w:hideMark/>
          </w:tcPr>
          <w:p w:rsidR="00214CF2" w:rsidRDefault="00214CF2">
            <w:pPr>
              <w:spacing w:line="276" w:lineRule="auto"/>
              <w:jc w:val="center"/>
              <w:rPr>
                <w:b/>
                <w:bCs/>
                <w:color w:val="000000"/>
                <w:sz w:val="20"/>
                <w:szCs w:val="20"/>
              </w:rPr>
            </w:pPr>
            <w:r>
              <w:rPr>
                <w:b/>
                <w:bCs/>
                <w:color w:val="000000"/>
                <w:sz w:val="20"/>
                <w:szCs w:val="20"/>
              </w:rPr>
              <w:t>Total Number of Respondents</w:t>
            </w:r>
          </w:p>
        </w:tc>
        <w:tc>
          <w:tcPr>
            <w:tcW w:w="926" w:type="dxa"/>
            <w:tcBorders>
              <w:top w:val="single" w:sz="8" w:space="0" w:color="000000"/>
              <w:left w:val="nil"/>
              <w:bottom w:val="single" w:sz="8" w:space="0" w:color="000000"/>
              <w:right w:val="single" w:sz="8" w:space="0" w:color="000000"/>
            </w:tcBorders>
            <w:shd w:val="clear" w:color="auto" w:fill="BFBFBF"/>
            <w:textDirection w:val="btLr"/>
            <w:vAlign w:val="center"/>
            <w:hideMark/>
          </w:tcPr>
          <w:p w:rsidR="00214CF2" w:rsidRDefault="00214CF2">
            <w:pPr>
              <w:spacing w:line="276" w:lineRule="auto"/>
              <w:jc w:val="center"/>
              <w:rPr>
                <w:b/>
                <w:bCs/>
                <w:color w:val="000000"/>
                <w:sz w:val="20"/>
                <w:szCs w:val="20"/>
              </w:rPr>
            </w:pPr>
            <w:r>
              <w:rPr>
                <w:b/>
                <w:bCs/>
                <w:color w:val="000000"/>
                <w:sz w:val="20"/>
                <w:szCs w:val="20"/>
              </w:rPr>
              <w:t>Number of Responses Per Respondent</w:t>
            </w:r>
          </w:p>
        </w:tc>
        <w:tc>
          <w:tcPr>
            <w:tcW w:w="929" w:type="dxa"/>
            <w:tcBorders>
              <w:top w:val="single" w:sz="8" w:space="0" w:color="000000"/>
              <w:left w:val="nil"/>
              <w:bottom w:val="single" w:sz="8" w:space="0" w:color="000000"/>
              <w:right w:val="single" w:sz="8" w:space="0" w:color="000000"/>
            </w:tcBorders>
            <w:shd w:val="clear" w:color="auto" w:fill="BFBFBF"/>
            <w:textDirection w:val="btLr"/>
            <w:vAlign w:val="center"/>
            <w:hideMark/>
          </w:tcPr>
          <w:p w:rsidR="00214CF2" w:rsidRDefault="00214CF2">
            <w:pPr>
              <w:spacing w:line="276" w:lineRule="auto"/>
              <w:jc w:val="center"/>
              <w:rPr>
                <w:b/>
                <w:bCs/>
                <w:color w:val="000000"/>
                <w:sz w:val="20"/>
                <w:szCs w:val="20"/>
              </w:rPr>
            </w:pPr>
            <w:r>
              <w:rPr>
                <w:b/>
                <w:bCs/>
                <w:color w:val="000000"/>
                <w:sz w:val="20"/>
                <w:szCs w:val="20"/>
              </w:rPr>
              <w:t>Average Burden Hours Per Response</w:t>
            </w:r>
          </w:p>
        </w:tc>
        <w:tc>
          <w:tcPr>
            <w:tcW w:w="940" w:type="dxa"/>
            <w:tcBorders>
              <w:top w:val="single" w:sz="8" w:space="0" w:color="000000"/>
              <w:left w:val="nil"/>
              <w:bottom w:val="single" w:sz="8" w:space="0" w:color="000000"/>
              <w:right w:val="single" w:sz="8" w:space="0" w:color="000000"/>
            </w:tcBorders>
            <w:shd w:val="clear" w:color="auto" w:fill="BFBFBF"/>
            <w:textDirection w:val="btLr"/>
            <w:vAlign w:val="center"/>
            <w:hideMark/>
          </w:tcPr>
          <w:p w:rsidR="00214CF2" w:rsidRDefault="00214CF2">
            <w:pPr>
              <w:spacing w:line="276" w:lineRule="auto"/>
              <w:jc w:val="center"/>
              <w:rPr>
                <w:b/>
                <w:bCs/>
                <w:color w:val="000000"/>
                <w:sz w:val="20"/>
                <w:szCs w:val="20"/>
              </w:rPr>
            </w:pPr>
            <w:r>
              <w:rPr>
                <w:b/>
                <w:bCs/>
                <w:color w:val="000000"/>
                <w:sz w:val="20"/>
                <w:szCs w:val="20"/>
              </w:rPr>
              <w:t>Annual Burden Hours</w:t>
            </w:r>
          </w:p>
        </w:tc>
        <w:tc>
          <w:tcPr>
            <w:tcW w:w="940" w:type="dxa"/>
            <w:tcBorders>
              <w:top w:val="single" w:sz="8" w:space="0" w:color="000000"/>
              <w:left w:val="nil"/>
              <w:bottom w:val="single" w:sz="8" w:space="0" w:color="000000"/>
              <w:right w:val="single" w:sz="8" w:space="0" w:color="000000"/>
            </w:tcBorders>
            <w:shd w:val="clear" w:color="auto" w:fill="BFBFBF"/>
            <w:textDirection w:val="btLr"/>
            <w:vAlign w:val="center"/>
            <w:hideMark/>
          </w:tcPr>
          <w:p w:rsidR="00214CF2" w:rsidRDefault="00214CF2">
            <w:pPr>
              <w:spacing w:line="276" w:lineRule="auto"/>
              <w:jc w:val="center"/>
              <w:rPr>
                <w:b/>
                <w:bCs/>
                <w:color w:val="000000"/>
                <w:sz w:val="20"/>
                <w:szCs w:val="20"/>
              </w:rPr>
            </w:pPr>
            <w:r>
              <w:rPr>
                <w:b/>
                <w:bCs/>
                <w:color w:val="000000"/>
                <w:sz w:val="20"/>
                <w:szCs w:val="20"/>
              </w:rPr>
              <w:t>Average Hourly Wage ($)</w:t>
            </w:r>
          </w:p>
        </w:tc>
        <w:tc>
          <w:tcPr>
            <w:tcW w:w="1216" w:type="dxa"/>
            <w:tcBorders>
              <w:top w:val="single" w:sz="8" w:space="0" w:color="000000"/>
              <w:left w:val="nil"/>
              <w:bottom w:val="single" w:sz="8" w:space="0" w:color="000000"/>
              <w:right w:val="single" w:sz="8" w:space="0" w:color="000000"/>
            </w:tcBorders>
            <w:shd w:val="clear" w:color="auto" w:fill="BFBFBF"/>
            <w:textDirection w:val="btLr"/>
            <w:vAlign w:val="center"/>
            <w:hideMark/>
          </w:tcPr>
          <w:p w:rsidR="00214CF2" w:rsidRDefault="00214CF2">
            <w:pPr>
              <w:spacing w:line="276" w:lineRule="auto"/>
              <w:jc w:val="center"/>
              <w:rPr>
                <w:b/>
                <w:bCs/>
                <w:color w:val="000000"/>
                <w:sz w:val="20"/>
                <w:szCs w:val="20"/>
              </w:rPr>
            </w:pPr>
            <w:r>
              <w:rPr>
                <w:b/>
                <w:bCs/>
                <w:color w:val="000000"/>
                <w:sz w:val="20"/>
                <w:szCs w:val="20"/>
              </w:rPr>
              <w:t>Total Annual Cost ($)</w:t>
            </w:r>
          </w:p>
        </w:tc>
      </w:tr>
      <w:tr w:rsidR="00214CF2" w:rsidTr="00214CF2">
        <w:trPr>
          <w:trHeight w:val="525"/>
        </w:trPr>
        <w:tc>
          <w:tcPr>
            <w:tcW w:w="2635" w:type="dxa"/>
            <w:tcBorders>
              <w:top w:val="nil"/>
              <w:left w:val="single" w:sz="8" w:space="0" w:color="000000"/>
              <w:bottom w:val="single" w:sz="8" w:space="0" w:color="000000"/>
              <w:right w:val="single" w:sz="8" w:space="0" w:color="000000"/>
            </w:tcBorders>
            <w:vAlign w:val="center"/>
            <w:hideMark/>
          </w:tcPr>
          <w:p w:rsidR="00214CF2" w:rsidRDefault="00214CF2">
            <w:pPr>
              <w:spacing w:line="276" w:lineRule="auto"/>
              <w:rPr>
                <w:color w:val="000000"/>
                <w:sz w:val="20"/>
                <w:szCs w:val="20"/>
              </w:rPr>
            </w:pPr>
            <w:r>
              <w:rPr>
                <w:color w:val="000000"/>
                <w:sz w:val="20"/>
                <w:szCs w:val="20"/>
              </w:rPr>
              <w:t>Focus Group Guide for Adult Applicants (Instrument #1)</w:t>
            </w:r>
          </w:p>
        </w:tc>
        <w:tc>
          <w:tcPr>
            <w:tcW w:w="952"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18</w:t>
            </w:r>
          </w:p>
        </w:tc>
        <w:tc>
          <w:tcPr>
            <w:tcW w:w="92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29" w:type="dxa"/>
            <w:tcBorders>
              <w:top w:val="nil"/>
              <w:left w:val="nil"/>
              <w:bottom w:val="single" w:sz="8" w:space="0" w:color="000000"/>
              <w:right w:val="single" w:sz="8" w:space="0" w:color="000000"/>
            </w:tcBorders>
            <w:vAlign w:val="center"/>
            <w:hideMark/>
          </w:tcPr>
          <w:p w:rsidR="00214CF2" w:rsidRDefault="00962F5B">
            <w:pPr>
              <w:spacing w:line="276" w:lineRule="auto"/>
              <w:jc w:val="center"/>
              <w:rPr>
                <w:rFonts w:ascii="Calibri" w:hAnsi="Calibri"/>
                <w:color w:val="000000"/>
                <w:sz w:val="16"/>
                <w:szCs w:val="16"/>
              </w:rPr>
            </w:pPr>
            <w:r>
              <w:rPr>
                <w:rFonts w:ascii="Calibri" w:hAnsi="Calibri"/>
                <w:color w:val="000000"/>
                <w:sz w:val="16"/>
                <w:szCs w:val="16"/>
              </w:rPr>
              <w:t>2</w:t>
            </w:r>
          </w:p>
        </w:tc>
        <w:tc>
          <w:tcPr>
            <w:tcW w:w="940" w:type="dxa"/>
            <w:tcBorders>
              <w:top w:val="nil"/>
              <w:left w:val="nil"/>
              <w:bottom w:val="single" w:sz="8" w:space="0" w:color="000000"/>
              <w:right w:val="single" w:sz="8" w:space="0" w:color="000000"/>
            </w:tcBorders>
            <w:vAlign w:val="center"/>
            <w:hideMark/>
          </w:tcPr>
          <w:p w:rsidR="00214CF2" w:rsidRDefault="00962F5B">
            <w:pPr>
              <w:spacing w:line="276" w:lineRule="auto"/>
              <w:jc w:val="center"/>
              <w:rPr>
                <w:rFonts w:ascii="Calibri" w:hAnsi="Calibri"/>
                <w:b/>
                <w:bCs/>
                <w:color w:val="000000"/>
                <w:sz w:val="16"/>
                <w:szCs w:val="16"/>
              </w:rPr>
            </w:pPr>
            <w:r>
              <w:rPr>
                <w:rFonts w:ascii="Calibri" w:hAnsi="Calibri"/>
                <w:b/>
                <w:bCs/>
                <w:color w:val="000000"/>
                <w:sz w:val="16"/>
                <w:szCs w:val="16"/>
              </w:rPr>
              <w:t>36</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 xml:space="preserve">$7.25 </w:t>
            </w:r>
          </w:p>
        </w:tc>
        <w:tc>
          <w:tcPr>
            <w:tcW w:w="1216" w:type="dxa"/>
            <w:tcBorders>
              <w:top w:val="nil"/>
              <w:left w:val="nil"/>
              <w:bottom w:val="single" w:sz="8" w:space="0" w:color="000000"/>
              <w:right w:val="single" w:sz="8" w:space="0" w:color="000000"/>
            </w:tcBorders>
            <w:vAlign w:val="center"/>
            <w:hideMark/>
          </w:tcPr>
          <w:p w:rsidR="00214CF2" w:rsidRDefault="00214CF2" w:rsidP="00962F5B">
            <w:pPr>
              <w:spacing w:line="276" w:lineRule="auto"/>
              <w:jc w:val="center"/>
              <w:rPr>
                <w:rFonts w:ascii="Calibri" w:hAnsi="Calibri"/>
                <w:b/>
                <w:bCs/>
                <w:color w:val="000000"/>
                <w:sz w:val="16"/>
                <w:szCs w:val="16"/>
              </w:rPr>
            </w:pPr>
            <w:r>
              <w:rPr>
                <w:rFonts w:ascii="Calibri" w:hAnsi="Calibri"/>
                <w:b/>
                <w:bCs/>
                <w:color w:val="000000"/>
                <w:sz w:val="16"/>
                <w:szCs w:val="16"/>
              </w:rPr>
              <w:t>$</w:t>
            </w:r>
            <w:r w:rsidR="00962F5B">
              <w:rPr>
                <w:rFonts w:ascii="Calibri" w:hAnsi="Calibri"/>
                <w:b/>
                <w:bCs/>
                <w:color w:val="000000"/>
                <w:sz w:val="16"/>
                <w:szCs w:val="16"/>
              </w:rPr>
              <w:t>261</w:t>
            </w:r>
            <w:r>
              <w:rPr>
                <w:rFonts w:ascii="Calibri" w:hAnsi="Calibri"/>
                <w:b/>
                <w:bCs/>
                <w:color w:val="000000"/>
                <w:sz w:val="16"/>
                <w:szCs w:val="16"/>
              </w:rPr>
              <w:t xml:space="preserve"> </w:t>
            </w:r>
          </w:p>
        </w:tc>
      </w:tr>
      <w:tr w:rsidR="00214CF2" w:rsidTr="00214CF2">
        <w:trPr>
          <w:trHeight w:val="525"/>
        </w:trPr>
        <w:tc>
          <w:tcPr>
            <w:tcW w:w="2635" w:type="dxa"/>
            <w:tcBorders>
              <w:top w:val="nil"/>
              <w:left w:val="single" w:sz="8" w:space="0" w:color="000000"/>
              <w:bottom w:val="single" w:sz="8" w:space="0" w:color="000000"/>
              <w:right w:val="single" w:sz="8" w:space="0" w:color="000000"/>
            </w:tcBorders>
            <w:vAlign w:val="center"/>
            <w:hideMark/>
          </w:tcPr>
          <w:p w:rsidR="00214CF2" w:rsidRDefault="00214CF2">
            <w:pPr>
              <w:spacing w:line="276" w:lineRule="auto"/>
              <w:rPr>
                <w:color w:val="000000"/>
                <w:sz w:val="20"/>
                <w:szCs w:val="20"/>
              </w:rPr>
            </w:pPr>
            <w:r>
              <w:rPr>
                <w:color w:val="000000"/>
                <w:sz w:val="20"/>
                <w:szCs w:val="20"/>
              </w:rPr>
              <w:t xml:space="preserve">Focus Group Guide for Adult Attendees (Instrument #2 </w:t>
            </w:r>
          </w:p>
        </w:tc>
        <w:tc>
          <w:tcPr>
            <w:tcW w:w="952"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36</w:t>
            </w:r>
          </w:p>
        </w:tc>
        <w:tc>
          <w:tcPr>
            <w:tcW w:w="92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29" w:type="dxa"/>
            <w:tcBorders>
              <w:top w:val="nil"/>
              <w:left w:val="nil"/>
              <w:bottom w:val="single" w:sz="8" w:space="0" w:color="000000"/>
              <w:right w:val="single" w:sz="8" w:space="0" w:color="000000"/>
            </w:tcBorders>
            <w:vAlign w:val="center"/>
            <w:hideMark/>
          </w:tcPr>
          <w:p w:rsidR="00214CF2" w:rsidRDefault="00962F5B">
            <w:pPr>
              <w:spacing w:line="276" w:lineRule="auto"/>
              <w:jc w:val="center"/>
              <w:rPr>
                <w:rFonts w:ascii="Calibri" w:hAnsi="Calibri"/>
                <w:color w:val="000000"/>
                <w:sz w:val="16"/>
                <w:szCs w:val="16"/>
              </w:rPr>
            </w:pPr>
            <w:r>
              <w:rPr>
                <w:rFonts w:ascii="Calibri" w:hAnsi="Calibri"/>
                <w:color w:val="000000"/>
                <w:sz w:val="16"/>
                <w:szCs w:val="16"/>
              </w:rPr>
              <w:t>2</w:t>
            </w:r>
          </w:p>
        </w:tc>
        <w:tc>
          <w:tcPr>
            <w:tcW w:w="940" w:type="dxa"/>
            <w:tcBorders>
              <w:top w:val="nil"/>
              <w:left w:val="nil"/>
              <w:bottom w:val="single" w:sz="8" w:space="0" w:color="000000"/>
              <w:right w:val="single" w:sz="8" w:space="0" w:color="000000"/>
            </w:tcBorders>
            <w:vAlign w:val="center"/>
            <w:hideMark/>
          </w:tcPr>
          <w:p w:rsidR="00214CF2" w:rsidRDefault="00962F5B">
            <w:pPr>
              <w:spacing w:line="276" w:lineRule="auto"/>
              <w:jc w:val="center"/>
              <w:rPr>
                <w:rFonts w:ascii="Calibri" w:hAnsi="Calibri"/>
                <w:b/>
                <w:bCs/>
                <w:color w:val="000000"/>
                <w:sz w:val="16"/>
                <w:szCs w:val="16"/>
              </w:rPr>
            </w:pPr>
            <w:r>
              <w:rPr>
                <w:rFonts w:ascii="Calibri" w:hAnsi="Calibri"/>
                <w:b/>
                <w:bCs/>
                <w:color w:val="000000"/>
                <w:sz w:val="16"/>
                <w:szCs w:val="16"/>
              </w:rPr>
              <w:t>72</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 xml:space="preserve">$7.25 </w:t>
            </w:r>
          </w:p>
        </w:tc>
        <w:tc>
          <w:tcPr>
            <w:tcW w:w="1216" w:type="dxa"/>
            <w:tcBorders>
              <w:top w:val="nil"/>
              <w:left w:val="nil"/>
              <w:bottom w:val="single" w:sz="8" w:space="0" w:color="000000"/>
              <w:right w:val="single" w:sz="8" w:space="0" w:color="000000"/>
            </w:tcBorders>
            <w:vAlign w:val="center"/>
            <w:hideMark/>
          </w:tcPr>
          <w:p w:rsidR="00214CF2" w:rsidRDefault="00214CF2" w:rsidP="00962F5B">
            <w:pPr>
              <w:spacing w:line="276" w:lineRule="auto"/>
              <w:jc w:val="center"/>
              <w:rPr>
                <w:rFonts w:ascii="Calibri" w:hAnsi="Calibri"/>
                <w:b/>
                <w:bCs/>
                <w:color w:val="000000"/>
                <w:sz w:val="16"/>
                <w:szCs w:val="16"/>
              </w:rPr>
            </w:pPr>
            <w:r>
              <w:rPr>
                <w:rFonts w:ascii="Calibri" w:hAnsi="Calibri"/>
                <w:b/>
                <w:bCs/>
                <w:color w:val="000000"/>
                <w:sz w:val="16"/>
                <w:szCs w:val="16"/>
              </w:rPr>
              <w:t>$</w:t>
            </w:r>
            <w:r w:rsidR="00962F5B">
              <w:rPr>
                <w:rFonts w:ascii="Calibri" w:hAnsi="Calibri"/>
                <w:b/>
                <w:bCs/>
                <w:color w:val="000000"/>
                <w:sz w:val="16"/>
                <w:szCs w:val="16"/>
              </w:rPr>
              <w:t>522</w:t>
            </w:r>
            <w:r>
              <w:rPr>
                <w:rFonts w:ascii="Calibri" w:hAnsi="Calibri"/>
                <w:b/>
                <w:bCs/>
                <w:color w:val="000000"/>
                <w:sz w:val="16"/>
                <w:szCs w:val="16"/>
              </w:rPr>
              <w:t xml:space="preserve"> </w:t>
            </w:r>
          </w:p>
        </w:tc>
      </w:tr>
      <w:tr w:rsidR="00214CF2" w:rsidTr="00214CF2">
        <w:trPr>
          <w:trHeight w:val="525"/>
        </w:trPr>
        <w:tc>
          <w:tcPr>
            <w:tcW w:w="2635" w:type="dxa"/>
            <w:tcBorders>
              <w:top w:val="nil"/>
              <w:left w:val="single" w:sz="8" w:space="0" w:color="000000"/>
              <w:bottom w:val="single" w:sz="8" w:space="0" w:color="000000"/>
              <w:right w:val="single" w:sz="8" w:space="0" w:color="000000"/>
            </w:tcBorders>
            <w:vAlign w:val="center"/>
            <w:hideMark/>
          </w:tcPr>
          <w:p w:rsidR="00214CF2" w:rsidRDefault="00214CF2">
            <w:pPr>
              <w:spacing w:line="276" w:lineRule="auto"/>
              <w:rPr>
                <w:color w:val="000000"/>
                <w:sz w:val="20"/>
                <w:szCs w:val="20"/>
              </w:rPr>
            </w:pPr>
            <w:r>
              <w:rPr>
                <w:color w:val="000000"/>
                <w:sz w:val="20"/>
                <w:szCs w:val="20"/>
              </w:rPr>
              <w:t>Focus Group Guide for Youth (Instrument #3)</w:t>
            </w:r>
          </w:p>
        </w:tc>
        <w:tc>
          <w:tcPr>
            <w:tcW w:w="952"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36</w:t>
            </w:r>
          </w:p>
        </w:tc>
        <w:tc>
          <w:tcPr>
            <w:tcW w:w="92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29" w:type="dxa"/>
            <w:tcBorders>
              <w:top w:val="nil"/>
              <w:left w:val="nil"/>
              <w:bottom w:val="single" w:sz="8" w:space="0" w:color="000000"/>
              <w:right w:val="single" w:sz="8" w:space="0" w:color="000000"/>
            </w:tcBorders>
            <w:vAlign w:val="center"/>
            <w:hideMark/>
          </w:tcPr>
          <w:p w:rsidR="00214CF2" w:rsidRDefault="00962F5B">
            <w:pPr>
              <w:spacing w:line="276" w:lineRule="auto"/>
              <w:jc w:val="center"/>
              <w:rPr>
                <w:rFonts w:ascii="Calibri" w:hAnsi="Calibri"/>
                <w:color w:val="000000"/>
                <w:sz w:val="16"/>
                <w:szCs w:val="16"/>
              </w:rPr>
            </w:pPr>
            <w:r>
              <w:rPr>
                <w:rFonts w:ascii="Calibri" w:hAnsi="Calibri"/>
                <w:color w:val="000000"/>
                <w:sz w:val="16"/>
                <w:szCs w:val="16"/>
              </w:rPr>
              <w:t>2</w:t>
            </w:r>
          </w:p>
        </w:tc>
        <w:tc>
          <w:tcPr>
            <w:tcW w:w="940" w:type="dxa"/>
            <w:tcBorders>
              <w:top w:val="nil"/>
              <w:left w:val="nil"/>
              <w:bottom w:val="single" w:sz="8" w:space="0" w:color="000000"/>
              <w:right w:val="single" w:sz="8" w:space="0" w:color="000000"/>
            </w:tcBorders>
            <w:vAlign w:val="center"/>
            <w:hideMark/>
          </w:tcPr>
          <w:p w:rsidR="00214CF2" w:rsidRDefault="00962F5B">
            <w:pPr>
              <w:spacing w:line="276" w:lineRule="auto"/>
              <w:jc w:val="center"/>
              <w:rPr>
                <w:rFonts w:ascii="Calibri" w:hAnsi="Calibri"/>
                <w:color w:val="000000"/>
                <w:sz w:val="16"/>
                <w:szCs w:val="16"/>
              </w:rPr>
            </w:pPr>
            <w:r>
              <w:rPr>
                <w:rFonts w:ascii="Calibri" w:hAnsi="Calibri"/>
                <w:color w:val="000000"/>
                <w:sz w:val="16"/>
                <w:szCs w:val="16"/>
              </w:rPr>
              <w:t>72</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 xml:space="preserve">$7.25 </w:t>
            </w:r>
          </w:p>
        </w:tc>
        <w:tc>
          <w:tcPr>
            <w:tcW w:w="1216" w:type="dxa"/>
            <w:tcBorders>
              <w:top w:val="nil"/>
              <w:left w:val="nil"/>
              <w:bottom w:val="single" w:sz="8" w:space="0" w:color="000000"/>
              <w:right w:val="single" w:sz="8" w:space="0" w:color="000000"/>
            </w:tcBorders>
            <w:vAlign w:val="center"/>
            <w:hideMark/>
          </w:tcPr>
          <w:p w:rsidR="00214CF2" w:rsidRDefault="00214CF2" w:rsidP="00962F5B">
            <w:pPr>
              <w:spacing w:line="276" w:lineRule="auto"/>
              <w:jc w:val="center"/>
              <w:rPr>
                <w:rFonts w:ascii="Calibri" w:hAnsi="Calibri"/>
                <w:b/>
                <w:bCs/>
                <w:color w:val="000000"/>
                <w:sz w:val="16"/>
                <w:szCs w:val="16"/>
              </w:rPr>
            </w:pPr>
            <w:r>
              <w:rPr>
                <w:rFonts w:ascii="Calibri" w:hAnsi="Calibri"/>
                <w:b/>
                <w:bCs/>
                <w:color w:val="000000"/>
                <w:sz w:val="16"/>
                <w:szCs w:val="16"/>
              </w:rPr>
              <w:t>$</w:t>
            </w:r>
            <w:r w:rsidR="00962F5B">
              <w:rPr>
                <w:rFonts w:ascii="Calibri" w:hAnsi="Calibri"/>
                <w:b/>
                <w:bCs/>
                <w:color w:val="000000"/>
                <w:sz w:val="16"/>
                <w:szCs w:val="16"/>
              </w:rPr>
              <w:t>522</w:t>
            </w:r>
            <w:r>
              <w:rPr>
                <w:rFonts w:ascii="Calibri" w:hAnsi="Calibri"/>
                <w:b/>
                <w:bCs/>
                <w:color w:val="000000"/>
                <w:sz w:val="16"/>
                <w:szCs w:val="16"/>
              </w:rPr>
              <w:t xml:space="preserve"> </w:t>
            </w:r>
          </w:p>
        </w:tc>
      </w:tr>
      <w:tr w:rsidR="00214CF2" w:rsidTr="00214CF2">
        <w:trPr>
          <w:trHeight w:val="525"/>
        </w:trPr>
        <w:tc>
          <w:tcPr>
            <w:tcW w:w="2635" w:type="dxa"/>
            <w:tcBorders>
              <w:top w:val="nil"/>
              <w:left w:val="single" w:sz="8" w:space="0" w:color="000000"/>
              <w:bottom w:val="single" w:sz="8" w:space="0" w:color="000000"/>
              <w:right w:val="single" w:sz="8" w:space="0" w:color="000000"/>
            </w:tcBorders>
            <w:vAlign w:val="center"/>
            <w:hideMark/>
          </w:tcPr>
          <w:p w:rsidR="00214CF2" w:rsidRDefault="00214CF2">
            <w:pPr>
              <w:spacing w:line="276" w:lineRule="auto"/>
              <w:rPr>
                <w:color w:val="000000"/>
                <w:sz w:val="20"/>
                <w:szCs w:val="20"/>
              </w:rPr>
            </w:pPr>
            <w:r>
              <w:rPr>
                <w:color w:val="000000"/>
                <w:sz w:val="20"/>
                <w:szCs w:val="20"/>
              </w:rPr>
              <w:t>Interview Guide with Experts (Instrument #4)</w:t>
            </w:r>
          </w:p>
        </w:tc>
        <w:tc>
          <w:tcPr>
            <w:tcW w:w="952"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12</w:t>
            </w:r>
          </w:p>
        </w:tc>
        <w:tc>
          <w:tcPr>
            <w:tcW w:w="92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29"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12</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 xml:space="preserve">$39.46 </w:t>
            </w:r>
          </w:p>
        </w:tc>
        <w:tc>
          <w:tcPr>
            <w:tcW w:w="121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 xml:space="preserve">$473.52 </w:t>
            </w:r>
          </w:p>
        </w:tc>
      </w:tr>
      <w:tr w:rsidR="00214CF2" w:rsidTr="00214CF2">
        <w:trPr>
          <w:trHeight w:val="525"/>
        </w:trPr>
        <w:tc>
          <w:tcPr>
            <w:tcW w:w="2635" w:type="dxa"/>
            <w:tcBorders>
              <w:top w:val="nil"/>
              <w:left w:val="single" w:sz="8" w:space="0" w:color="000000"/>
              <w:bottom w:val="single" w:sz="8" w:space="0" w:color="000000"/>
              <w:right w:val="single" w:sz="8" w:space="0" w:color="000000"/>
            </w:tcBorders>
            <w:vAlign w:val="center"/>
            <w:hideMark/>
          </w:tcPr>
          <w:p w:rsidR="00214CF2" w:rsidRDefault="00214CF2">
            <w:pPr>
              <w:spacing w:line="276" w:lineRule="auto"/>
              <w:rPr>
                <w:color w:val="000000"/>
                <w:sz w:val="20"/>
                <w:szCs w:val="20"/>
              </w:rPr>
            </w:pPr>
            <w:r>
              <w:rPr>
                <w:color w:val="000000"/>
                <w:sz w:val="20"/>
                <w:szCs w:val="20"/>
              </w:rPr>
              <w:t>Interview Guide with Program Managers (Instrument #5)</w:t>
            </w:r>
          </w:p>
        </w:tc>
        <w:tc>
          <w:tcPr>
            <w:tcW w:w="952"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10</w:t>
            </w:r>
          </w:p>
        </w:tc>
        <w:tc>
          <w:tcPr>
            <w:tcW w:w="92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29"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10</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 xml:space="preserve">$30.99 </w:t>
            </w:r>
          </w:p>
        </w:tc>
        <w:tc>
          <w:tcPr>
            <w:tcW w:w="121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$309.90</w:t>
            </w:r>
          </w:p>
        </w:tc>
      </w:tr>
      <w:tr w:rsidR="00214CF2" w:rsidTr="00214CF2">
        <w:trPr>
          <w:trHeight w:val="525"/>
        </w:trPr>
        <w:tc>
          <w:tcPr>
            <w:tcW w:w="2635" w:type="dxa"/>
            <w:tcBorders>
              <w:top w:val="nil"/>
              <w:left w:val="single" w:sz="8" w:space="0" w:color="000000"/>
              <w:bottom w:val="single" w:sz="8" w:space="0" w:color="000000"/>
              <w:right w:val="single" w:sz="8" w:space="0" w:color="000000"/>
            </w:tcBorders>
            <w:vAlign w:val="center"/>
            <w:hideMark/>
          </w:tcPr>
          <w:p w:rsidR="00214CF2" w:rsidRDefault="00214CF2">
            <w:pPr>
              <w:spacing w:line="276" w:lineRule="auto"/>
              <w:rPr>
                <w:color w:val="000000"/>
                <w:sz w:val="20"/>
                <w:szCs w:val="20"/>
              </w:rPr>
            </w:pPr>
            <w:r>
              <w:rPr>
                <w:color w:val="000000"/>
                <w:sz w:val="20"/>
                <w:szCs w:val="20"/>
              </w:rPr>
              <w:t>Interview Guide with Facilitators (Instrument #6)</w:t>
            </w:r>
          </w:p>
        </w:tc>
        <w:tc>
          <w:tcPr>
            <w:tcW w:w="952"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10</w:t>
            </w:r>
          </w:p>
        </w:tc>
        <w:tc>
          <w:tcPr>
            <w:tcW w:w="92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29"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10</w:t>
            </w: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$18.02</w:t>
            </w:r>
          </w:p>
        </w:tc>
        <w:tc>
          <w:tcPr>
            <w:tcW w:w="1216"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$180.20</w:t>
            </w:r>
          </w:p>
        </w:tc>
      </w:tr>
      <w:tr w:rsidR="00214CF2" w:rsidTr="00214CF2">
        <w:trPr>
          <w:trHeight w:val="525"/>
        </w:trPr>
        <w:tc>
          <w:tcPr>
            <w:tcW w:w="2635" w:type="dxa"/>
            <w:tcBorders>
              <w:top w:val="nil"/>
              <w:left w:val="single" w:sz="8" w:space="0" w:color="000000"/>
              <w:bottom w:val="single" w:sz="8" w:space="0" w:color="000000"/>
              <w:right w:val="single" w:sz="8" w:space="0" w:color="000000"/>
            </w:tcBorders>
            <w:vAlign w:val="center"/>
          </w:tcPr>
          <w:p w:rsidR="00214CF2" w:rsidRDefault="00214CF2">
            <w:pPr>
              <w:spacing w:line="276" w:lineRule="auto"/>
              <w:rPr>
                <w:color w:val="000000"/>
                <w:sz w:val="20"/>
                <w:szCs w:val="20"/>
              </w:rPr>
            </w:pPr>
            <w:r>
              <w:rPr>
                <w:color w:val="000000"/>
                <w:sz w:val="20"/>
                <w:szCs w:val="20"/>
              </w:rPr>
              <w:t>Staff Recruitment Script</w:t>
            </w:r>
          </w:p>
        </w:tc>
        <w:tc>
          <w:tcPr>
            <w:tcW w:w="952" w:type="dxa"/>
            <w:tcBorders>
              <w:top w:val="nil"/>
              <w:left w:val="nil"/>
              <w:bottom w:val="single" w:sz="8" w:space="0" w:color="000000"/>
              <w:right w:val="single" w:sz="8" w:space="0" w:color="000000"/>
            </w:tcBorders>
            <w:vAlign w:val="center"/>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90</w:t>
            </w:r>
          </w:p>
        </w:tc>
        <w:tc>
          <w:tcPr>
            <w:tcW w:w="926" w:type="dxa"/>
            <w:tcBorders>
              <w:top w:val="nil"/>
              <w:left w:val="nil"/>
              <w:bottom w:val="single" w:sz="8" w:space="0" w:color="000000"/>
              <w:right w:val="single" w:sz="8" w:space="0" w:color="000000"/>
            </w:tcBorders>
            <w:vAlign w:val="center"/>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1</w:t>
            </w:r>
          </w:p>
        </w:tc>
        <w:tc>
          <w:tcPr>
            <w:tcW w:w="929" w:type="dxa"/>
            <w:tcBorders>
              <w:top w:val="nil"/>
              <w:left w:val="nil"/>
              <w:bottom w:val="single" w:sz="8" w:space="0" w:color="000000"/>
              <w:right w:val="single" w:sz="8" w:space="0" w:color="000000"/>
            </w:tcBorders>
            <w:vAlign w:val="center"/>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.25</w:t>
            </w:r>
          </w:p>
        </w:tc>
        <w:tc>
          <w:tcPr>
            <w:tcW w:w="940" w:type="dxa"/>
            <w:tcBorders>
              <w:top w:val="nil"/>
              <w:left w:val="nil"/>
              <w:bottom w:val="single" w:sz="8" w:space="0" w:color="000000"/>
              <w:right w:val="single" w:sz="8" w:space="0" w:color="000000"/>
            </w:tcBorders>
            <w:vAlign w:val="center"/>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23</w:t>
            </w:r>
          </w:p>
        </w:tc>
        <w:tc>
          <w:tcPr>
            <w:tcW w:w="940" w:type="dxa"/>
            <w:tcBorders>
              <w:top w:val="nil"/>
              <w:left w:val="nil"/>
              <w:bottom w:val="single" w:sz="8" w:space="0" w:color="000000"/>
              <w:right w:val="single" w:sz="8" w:space="0" w:color="000000"/>
            </w:tcBorders>
            <w:vAlign w:val="center"/>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$18.02</w:t>
            </w:r>
          </w:p>
        </w:tc>
        <w:tc>
          <w:tcPr>
            <w:tcW w:w="1216" w:type="dxa"/>
            <w:tcBorders>
              <w:top w:val="nil"/>
              <w:left w:val="nil"/>
              <w:bottom w:val="single" w:sz="8" w:space="0" w:color="000000"/>
              <w:right w:val="single" w:sz="8" w:space="0" w:color="000000"/>
            </w:tcBorders>
            <w:vAlign w:val="center"/>
          </w:tcPr>
          <w:p w:rsidR="00214CF2" w:rsidRDefault="00214CF2" w:rsidP="00C168D1">
            <w:pPr>
              <w:spacing w:line="276" w:lineRule="auto"/>
              <w:jc w:val="center"/>
              <w:rPr>
                <w:rFonts w:ascii="Calibri" w:hAnsi="Calibri"/>
                <w:b/>
                <w:bCs/>
                <w:color w:val="000000"/>
                <w:sz w:val="16"/>
                <w:szCs w:val="16"/>
              </w:rPr>
            </w:pPr>
            <w:r>
              <w:rPr>
                <w:rFonts w:ascii="Calibri" w:hAnsi="Calibri"/>
                <w:b/>
                <w:bCs/>
                <w:color w:val="000000"/>
                <w:sz w:val="16"/>
                <w:szCs w:val="16"/>
              </w:rPr>
              <w:t>$414.16</w:t>
            </w:r>
          </w:p>
        </w:tc>
      </w:tr>
      <w:tr w:rsidR="00214CF2" w:rsidTr="00214CF2">
        <w:trPr>
          <w:trHeight w:val="525"/>
        </w:trPr>
        <w:tc>
          <w:tcPr>
            <w:tcW w:w="2635" w:type="dxa"/>
            <w:tcBorders>
              <w:top w:val="nil"/>
              <w:left w:val="single" w:sz="8" w:space="0" w:color="000000"/>
              <w:bottom w:val="single" w:sz="8" w:space="0" w:color="000000"/>
              <w:right w:val="single" w:sz="8" w:space="0" w:color="auto"/>
            </w:tcBorders>
            <w:vAlign w:val="center"/>
            <w:hideMark/>
          </w:tcPr>
          <w:p w:rsidR="00214CF2" w:rsidRDefault="00214CF2">
            <w:pPr>
              <w:spacing w:line="276" w:lineRule="auto"/>
              <w:rPr>
                <w:b/>
                <w:bCs/>
                <w:color w:val="000000"/>
                <w:sz w:val="20"/>
                <w:szCs w:val="20"/>
              </w:rPr>
            </w:pPr>
            <w:r>
              <w:rPr>
                <w:b/>
                <w:bCs/>
                <w:color w:val="000000"/>
                <w:sz w:val="20"/>
                <w:szCs w:val="20"/>
              </w:rPr>
              <w:t xml:space="preserve">Estimated Annual Burden </w:t>
            </w:r>
          </w:p>
        </w:tc>
        <w:tc>
          <w:tcPr>
            <w:tcW w:w="952" w:type="dxa"/>
            <w:tcBorders>
              <w:top w:val="nil"/>
              <w:left w:val="nil"/>
              <w:bottom w:val="single" w:sz="8" w:space="0" w:color="auto"/>
              <w:right w:val="single" w:sz="8" w:space="0" w:color="auto"/>
            </w:tcBorders>
            <w:vAlign w:val="center"/>
            <w:hideMark/>
          </w:tcPr>
          <w:p w:rsidR="00214CF2" w:rsidRDefault="00214CF2">
            <w:pPr>
              <w:spacing w:line="276" w:lineRule="auto"/>
              <w:jc w:val="center"/>
              <w:rPr>
                <w:rFonts w:ascii="Calibri" w:hAnsi="Calibri"/>
                <w:color w:val="000000"/>
                <w:sz w:val="16"/>
                <w:szCs w:val="16"/>
              </w:rPr>
            </w:pPr>
          </w:p>
        </w:tc>
        <w:tc>
          <w:tcPr>
            <w:tcW w:w="926" w:type="dxa"/>
            <w:tcBorders>
              <w:top w:val="nil"/>
              <w:left w:val="nil"/>
              <w:bottom w:val="single" w:sz="8" w:space="0" w:color="auto"/>
              <w:right w:val="single" w:sz="8" w:space="0" w:color="auto"/>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 </w:t>
            </w:r>
          </w:p>
        </w:tc>
        <w:tc>
          <w:tcPr>
            <w:tcW w:w="929" w:type="dxa"/>
            <w:tcBorders>
              <w:top w:val="nil"/>
              <w:left w:val="nil"/>
              <w:bottom w:val="single" w:sz="8" w:space="0" w:color="auto"/>
              <w:right w:val="single" w:sz="8" w:space="0" w:color="auto"/>
            </w:tcBorders>
            <w:vAlign w:val="center"/>
            <w:hideMark/>
          </w:tcPr>
          <w:p w:rsidR="00214CF2" w:rsidRDefault="00214CF2">
            <w:pPr>
              <w:spacing w:line="276" w:lineRule="auto"/>
              <w:jc w:val="center"/>
              <w:rPr>
                <w:rFonts w:ascii="Calibri" w:hAnsi="Calibri"/>
                <w:color w:val="000000"/>
                <w:sz w:val="16"/>
                <w:szCs w:val="16"/>
              </w:rPr>
            </w:pPr>
            <w:r>
              <w:rPr>
                <w:rFonts w:ascii="Calibri" w:hAnsi="Calibri"/>
                <w:color w:val="000000"/>
                <w:sz w:val="16"/>
                <w:szCs w:val="16"/>
              </w:rPr>
              <w:t> </w:t>
            </w:r>
          </w:p>
        </w:tc>
        <w:tc>
          <w:tcPr>
            <w:tcW w:w="940" w:type="dxa"/>
            <w:tcBorders>
              <w:top w:val="nil"/>
              <w:left w:val="nil"/>
              <w:bottom w:val="single" w:sz="8" w:space="0" w:color="000000"/>
              <w:right w:val="single" w:sz="8" w:space="0" w:color="000000"/>
            </w:tcBorders>
            <w:vAlign w:val="center"/>
            <w:hideMark/>
          </w:tcPr>
          <w:p w:rsidR="00214CF2" w:rsidRDefault="00251D7E">
            <w:pPr>
              <w:spacing w:line="276" w:lineRule="auto"/>
              <w:jc w:val="center"/>
              <w:rPr>
                <w:rFonts w:ascii="Calibri" w:hAnsi="Calibri"/>
                <w:b/>
                <w:bCs/>
                <w:color w:val="000000"/>
                <w:sz w:val="16"/>
                <w:szCs w:val="16"/>
              </w:rPr>
            </w:pPr>
            <w:r>
              <w:rPr>
                <w:rFonts w:ascii="Calibri" w:hAnsi="Calibri"/>
                <w:b/>
                <w:bCs/>
                <w:color w:val="000000"/>
                <w:sz w:val="16"/>
                <w:szCs w:val="16"/>
              </w:rPr>
              <w:t>235</w:t>
            </w:r>
          </w:p>
          <w:p w:rsidR="00214CF2" w:rsidRDefault="00214CF2" w:rsidP="00C168D1">
            <w:pPr>
              <w:spacing w:line="276" w:lineRule="auto"/>
              <w:rPr>
                <w:rFonts w:ascii="Calibri" w:hAnsi="Calibri"/>
                <w:b/>
                <w:bCs/>
                <w:color w:val="000000"/>
                <w:sz w:val="16"/>
                <w:szCs w:val="16"/>
              </w:rPr>
            </w:pPr>
          </w:p>
        </w:tc>
        <w:tc>
          <w:tcPr>
            <w:tcW w:w="940" w:type="dxa"/>
            <w:tcBorders>
              <w:top w:val="nil"/>
              <w:left w:val="nil"/>
              <w:bottom w:val="single" w:sz="8" w:space="0" w:color="000000"/>
              <w:right w:val="single" w:sz="8" w:space="0" w:color="000000"/>
            </w:tcBorders>
            <w:vAlign w:val="center"/>
            <w:hideMark/>
          </w:tcPr>
          <w:p w:rsidR="00214CF2" w:rsidRDefault="00214CF2">
            <w:pPr>
              <w:spacing w:line="276" w:lineRule="auto"/>
              <w:jc w:val="center"/>
              <w:rPr>
                <w:rFonts w:ascii="Calibri" w:hAnsi="Calibri"/>
                <w:b/>
                <w:bCs/>
                <w:color w:val="000000"/>
                <w:sz w:val="16"/>
                <w:szCs w:val="16"/>
              </w:rPr>
            </w:pPr>
            <w:r>
              <w:rPr>
                <w:rFonts w:ascii="Calibri" w:hAnsi="Calibri"/>
                <w:b/>
                <w:bCs/>
                <w:color w:val="000000"/>
                <w:sz w:val="16"/>
                <w:szCs w:val="16"/>
              </w:rPr>
              <w:t xml:space="preserve"> </w:t>
            </w:r>
          </w:p>
        </w:tc>
        <w:tc>
          <w:tcPr>
            <w:tcW w:w="1216" w:type="dxa"/>
            <w:tcBorders>
              <w:top w:val="nil"/>
              <w:left w:val="nil"/>
              <w:bottom w:val="single" w:sz="8" w:space="0" w:color="000000"/>
              <w:right w:val="single" w:sz="8" w:space="0" w:color="000000"/>
            </w:tcBorders>
            <w:vAlign w:val="center"/>
            <w:hideMark/>
          </w:tcPr>
          <w:p w:rsidR="00214CF2" w:rsidRDefault="00214CF2" w:rsidP="00962F5B">
            <w:pPr>
              <w:spacing w:line="276" w:lineRule="auto"/>
              <w:jc w:val="center"/>
              <w:rPr>
                <w:rFonts w:ascii="Calibri" w:hAnsi="Calibri"/>
                <w:b/>
                <w:bCs/>
                <w:color w:val="000000"/>
                <w:sz w:val="16"/>
                <w:szCs w:val="16"/>
                <w:highlight w:val="yellow"/>
              </w:rPr>
            </w:pPr>
            <w:r>
              <w:rPr>
                <w:rFonts w:ascii="Calibri" w:hAnsi="Calibri"/>
                <w:b/>
                <w:bCs/>
                <w:color w:val="000000"/>
                <w:sz w:val="16"/>
                <w:szCs w:val="16"/>
              </w:rPr>
              <w:t>$</w:t>
            </w:r>
            <w:r w:rsidR="00962F5B">
              <w:rPr>
                <w:rFonts w:ascii="Calibri" w:hAnsi="Calibri"/>
                <w:b/>
                <w:bCs/>
                <w:color w:val="000000"/>
                <w:sz w:val="16"/>
                <w:szCs w:val="16"/>
              </w:rPr>
              <w:t>2,682.78</w:t>
            </w:r>
          </w:p>
        </w:tc>
      </w:tr>
    </w:tbl>
    <w:p w:rsidR="00A61E0E" w:rsidRPr="00E746F6" w:rsidRDefault="00A61E0E" w:rsidP="00750772">
      <w:pPr>
        <w:spacing w:after="120"/>
        <w:rPr>
          <w:i/>
        </w:rPr>
      </w:pPr>
    </w:p>
    <w:p w:rsidR="009332A3" w:rsidRPr="00D80F0E" w:rsidRDefault="002338AC" w:rsidP="00750772">
      <w:pPr>
        <w:spacing w:after="120"/>
        <w:rPr>
          <w:b/>
          <w:i/>
        </w:rPr>
      </w:pPr>
      <w:r w:rsidRPr="00D80F0E">
        <w:rPr>
          <w:b/>
          <w:i/>
        </w:rPr>
        <w:t>Total Annual Cost</w:t>
      </w:r>
    </w:p>
    <w:p w:rsidR="006576E2" w:rsidRPr="00D80F0E" w:rsidRDefault="006576E2" w:rsidP="006576E2">
      <w:pPr>
        <w:spacing w:after="240"/>
      </w:pPr>
      <w:r w:rsidRPr="00D80F0E">
        <w:t>The estimated total annualized cost burden to respondents is based on the burden hours and estimated hourly wage rates for each data collection instrument, as shown in the two right-most columns of Exhibit A-</w:t>
      </w:r>
      <w:r w:rsidR="007B4494" w:rsidRPr="00D80F0E">
        <w:t>1</w:t>
      </w:r>
      <w:r w:rsidRPr="00D80F0E">
        <w:t>.  These estimates are based on:</w:t>
      </w:r>
    </w:p>
    <w:p w:rsidR="00AE7F91" w:rsidRPr="00D80F0E" w:rsidRDefault="00AE7F91" w:rsidP="00D80F0E">
      <w:pPr>
        <w:pStyle w:val="ListParagraph"/>
        <w:numPr>
          <w:ilvl w:val="0"/>
          <w:numId w:val="37"/>
        </w:numPr>
        <w:spacing w:after="240"/>
        <w:ind w:left="720"/>
        <w:contextualSpacing/>
      </w:pPr>
      <w:r w:rsidRPr="00D80F0E">
        <w:t>An assum</w:t>
      </w:r>
      <w:r w:rsidR="002E0FA7" w:rsidRPr="00D80F0E">
        <w:t>ed hourly wage of $39.46 for experts, based on mean hourly wage for “Miscellaneous Social Scientists and Related Workers</w:t>
      </w:r>
      <w:r w:rsidR="00DC31DA" w:rsidRPr="00D80F0E">
        <w:t>,</w:t>
      </w:r>
      <w:r w:rsidR="002E0FA7" w:rsidRPr="00D80F0E">
        <w:t>” as reported in the May 2012 U.S. Department of Labor, Bureau of Labor Statistics, Occupational Employment and Wage Estimates, http://www.bls.gov/oes/current/naics4_541700.htm#19-0000</w:t>
      </w:r>
    </w:p>
    <w:p w:rsidR="006576E2" w:rsidRPr="00D80F0E" w:rsidRDefault="00DC31DA" w:rsidP="00DF2A34">
      <w:pPr>
        <w:pStyle w:val="ListParagraph"/>
        <w:numPr>
          <w:ilvl w:val="0"/>
          <w:numId w:val="37"/>
        </w:numPr>
        <w:spacing w:after="240"/>
        <w:ind w:left="720"/>
        <w:contextualSpacing/>
      </w:pPr>
      <w:r w:rsidRPr="00D80F0E">
        <w:t>A</w:t>
      </w:r>
      <w:r w:rsidR="006576E2" w:rsidRPr="00D80F0E">
        <w:t>n assumed hourly wage of $</w:t>
      </w:r>
      <w:r w:rsidR="00DF2A34" w:rsidRPr="00D80F0E">
        <w:t>30.99</w:t>
      </w:r>
      <w:r w:rsidR="00C1421D" w:rsidRPr="00D80F0E">
        <w:t xml:space="preserve"> for program managers</w:t>
      </w:r>
      <w:r w:rsidR="006576E2" w:rsidRPr="00D80F0E">
        <w:t>, based on mean hourly wage for “</w:t>
      </w:r>
      <w:r w:rsidR="00DF2A34" w:rsidRPr="00D80F0E">
        <w:t>Social and Community Service Managers</w:t>
      </w:r>
      <w:r w:rsidRPr="00D80F0E">
        <w:t>,</w:t>
      </w:r>
      <w:r w:rsidR="006576E2" w:rsidRPr="00D80F0E">
        <w:t>” as reported in the May 201</w:t>
      </w:r>
      <w:r w:rsidR="00DF2A34" w:rsidRPr="00D80F0E">
        <w:t>2</w:t>
      </w:r>
      <w:r w:rsidR="006576E2" w:rsidRPr="00D80F0E">
        <w:t xml:space="preserve"> U.S. </w:t>
      </w:r>
      <w:r w:rsidR="006576E2" w:rsidRPr="00D80F0E">
        <w:lastRenderedPageBreak/>
        <w:t xml:space="preserve">Department of Labor, Bureau of Labor Statistics, Occupational Employment and Wage Estimates, </w:t>
      </w:r>
      <w:hyperlink r:id="rId14" w:history="1">
        <w:r w:rsidR="00DF2A34" w:rsidRPr="00D80F0E">
          <w:rPr>
            <w:rStyle w:val="Hyperlink"/>
          </w:rPr>
          <w:t>http://www.bls.gov/oes/current/oes119151.htm</w:t>
        </w:r>
      </w:hyperlink>
      <w:r w:rsidR="00DF2A34" w:rsidRPr="00D80F0E">
        <w:t xml:space="preserve">). </w:t>
      </w:r>
      <w:r w:rsidR="006576E2" w:rsidRPr="00D80F0E">
        <w:t xml:space="preserve">  </w:t>
      </w:r>
    </w:p>
    <w:p w:rsidR="006576E2" w:rsidRPr="00D80F0E" w:rsidRDefault="00DC31DA" w:rsidP="00DF2A34">
      <w:pPr>
        <w:pStyle w:val="ListParagraph"/>
        <w:numPr>
          <w:ilvl w:val="0"/>
          <w:numId w:val="37"/>
        </w:numPr>
        <w:spacing w:after="240"/>
        <w:ind w:left="720"/>
        <w:contextualSpacing/>
      </w:pPr>
      <w:r w:rsidRPr="00D80F0E">
        <w:t>A</w:t>
      </w:r>
      <w:r w:rsidR="006576E2" w:rsidRPr="00D80F0E">
        <w:t>n assumed hourly wage of $</w:t>
      </w:r>
      <w:r w:rsidR="00DF2A34" w:rsidRPr="00D80F0E">
        <w:t>18.02</w:t>
      </w:r>
      <w:r w:rsidR="00C1421D" w:rsidRPr="00D80F0E">
        <w:t xml:space="preserve"> for program facilitators</w:t>
      </w:r>
      <w:r w:rsidR="006576E2" w:rsidRPr="00D80F0E">
        <w:t>, based on mean hourly wage for “</w:t>
      </w:r>
      <w:r w:rsidR="00DF2A34" w:rsidRPr="00D80F0E">
        <w:t>Community Health Workers,” as reported in the May 2012</w:t>
      </w:r>
      <w:r w:rsidR="006576E2" w:rsidRPr="00D80F0E">
        <w:t xml:space="preserve"> U.S. Department of Labor, Bureau of Labor Statistics, Occupationa</w:t>
      </w:r>
      <w:r w:rsidR="00DF2A34" w:rsidRPr="00D80F0E">
        <w:t xml:space="preserve">l Employment and Wage Estimates, </w:t>
      </w:r>
      <w:hyperlink r:id="rId15" w:history="1">
        <w:r w:rsidR="00DF2A34" w:rsidRPr="00D80F0E">
          <w:rPr>
            <w:rStyle w:val="Hyperlink"/>
          </w:rPr>
          <w:t>http://www.bls.gov/oes/current/oes211094.htm</w:t>
        </w:r>
      </w:hyperlink>
      <w:r w:rsidR="00DF2A34" w:rsidRPr="00D80F0E">
        <w:t>)</w:t>
      </w:r>
      <w:r w:rsidR="006576E2" w:rsidRPr="00D80F0E">
        <w:t xml:space="preserve">.  </w:t>
      </w:r>
    </w:p>
    <w:p w:rsidR="00692011" w:rsidRPr="00D80F0E" w:rsidRDefault="00DC31DA" w:rsidP="00D80F0E">
      <w:pPr>
        <w:pStyle w:val="ListParagraph"/>
        <w:numPr>
          <w:ilvl w:val="0"/>
          <w:numId w:val="37"/>
        </w:numPr>
        <w:spacing w:after="240"/>
        <w:ind w:left="720"/>
        <w:contextualSpacing/>
      </w:pPr>
      <w:r w:rsidRPr="00D80F0E">
        <w:t>A</w:t>
      </w:r>
      <w:r w:rsidR="006576E2" w:rsidRPr="00D80F0E">
        <w:t>n assumed hourly rate of $</w:t>
      </w:r>
      <w:r w:rsidR="008079A4" w:rsidRPr="00D80F0E">
        <w:t>7.25</w:t>
      </w:r>
      <w:r w:rsidR="006576E2" w:rsidRPr="00D80F0E">
        <w:t xml:space="preserve"> for </w:t>
      </w:r>
      <w:r w:rsidR="00C1421D" w:rsidRPr="00D80F0E">
        <w:t>adult attendees</w:t>
      </w:r>
      <w:r w:rsidR="008079A4" w:rsidRPr="00D80F0E">
        <w:t>, equal to the federal minimum wage</w:t>
      </w:r>
      <w:r w:rsidR="00D20E85" w:rsidRPr="00D80F0E">
        <w:t>.</w:t>
      </w:r>
      <w:r w:rsidR="006576E2" w:rsidRPr="00D80F0E">
        <w:t xml:space="preserve"> </w:t>
      </w:r>
      <w:r w:rsidRPr="00D80F0E">
        <w:t>A</w:t>
      </w:r>
      <w:r w:rsidR="00692011" w:rsidRPr="00D80F0E">
        <w:t>n assumed hourly wage rate of $7.25 per hour for youth participants, equal to the federal minimum wage.</w:t>
      </w:r>
    </w:p>
    <w:p w:rsidR="006576E2" w:rsidRPr="00D80F0E" w:rsidRDefault="006576E2" w:rsidP="006576E2">
      <w:pPr>
        <w:rPr>
          <w:szCs w:val="18"/>
        </w:rPr>
      </w:pPr>
      <w:r w:rsidRPr="00D80F0E">
        <w:t xml:space="preserve">The estimated total annualized cost burden to respondents is </w:t>
      </w:r>
      <w:r w:rsidR="00C1421D" w:rsidRPr="00D80F0E">
        <w:rPr>
          <w:szCs w:val="18"/>
        </w:rPr>
        <w:t>$</w:t>
      </w:r>
      <w:r w:rsidR="00962F5B">
        <w:rPr>
          <w:szCs w:val="18"/>
        </w:rPr>
        <w:t>2,682.78</w:t>
      </w:r>
    </w:p>
    <w:p w:rsidR="00945CD6" w:rsidRPr="00D80F0E" w:rsidRDefault="00292B70" w:rsidP="009332A3">
      <w:pPr>
        <w:pStyle w:val="Heading1"/>
        <w:rPr>
          <w:rFonts w:ascii="Times New Roman" w:hAnsi="Times New Roman"/>
          <w:sz w:val="24"/>
        </w:rPr>
      </w:pPr>
      <w:bookmarkStart w:id="14" w:name="_Toc352332743"/>
      <w:r w:rsidRPr="00D80F0E">
        <w:rPr>
          <w:rFonts w:ascii="Times New Roman" w:hAnsi="Times New Roman"/>
          <w:sz w:val="24"/>
        </w:rPr>
        <w:t xml:space="preserve">A13. </w:t>
      </w:r>
      <w:r w:rsidR="00945CD6" w:rsidRPr="00D80F0E">
        <w:rPr>
          <w:rFonts w:ascii="Times New Roman" w:hAnsi="Times New Roman"/>
          <w:sz w:val="24"/>
        </w:rPr>
        <w:t>Cost Burden to Respondents or Record Keepers</w:t>
      </w:r>
      <w:bookmarkEnd w:id="14"/>
    </w:p>
    <w:p w:rsidR="00214B74" w:rsidRPr="00D80F0E" w:rsidRDefault="00B03E90" w:rsidP="00B03E90">
      <w:bookmarkStart w:id="15" w:name="_Toc352332744"/>
      <w:r w:rsidRPr="00D80F0E">
        <w:t xml:space="preserve">There are no additional costs to respondents or record keepers. </w:t>
      </w:r>
    </w:p>
    <w:p w:rsidR="00945CD6" w:rsidRPr="00D80F0E" w:rsidRDefault="00292B70" w:rsidP="009332A3">
      <w:pPr>
        <w:pStyle w:val="Heading1"/>
        <w:rPr>
          <w:rFonts w:ascii="Times New Roman" w:hAnsi="Times New Roman"/>
          <w:sz w:val="24"/>
        </w:rPr>
      </w:pPr>
      <w:r w:rsidRPr="00D80F0E">
        <w:rPr>
          <w:rFonts w:ascii="Times New Roman" w:hAnsi="Times New Roman"/>
          <w:sz w:val="24"/>
        </w:rPr>
        <w:t xml:space="preserve">A14. </w:t>
      </w:r>
      <w:r w:rsidR="00945CD6" w:rsidRPr="00D80F0E">
        <w:rPr>
          <w:rFonts w:ascii="Times New Roman" w:hAnsi="Times New Roman"/>
          <w:sz w:val="24"/>
        </w:rPr>
        <w:t>Estimate of Cost to the Federal Government</w:t>
      </w:r>
      <w:bookmarkEnd w:id="15"/>
    </w:p>
    <w:p w:rsidR="006A463B" w:rsidRPr="00D80F0E" w:rsidRDefault="007846D1" w:rsidP="00174993">
      <w:pPr>
        <w:rPr>
          <w:b/>
          <w:i/>
        </w:rPr>
      </w:pPr>
      <w:r w:rsidRPr="00D80F0E">
        <w:t>The total cost to the federal government of implementing the information collection activity is</w:t>
      </w:r>
      <w:r w:rsidR="00174993" w:rsidRPr="00D80F0E">
        <w:rPr>
          <w:b/>
          <w:i/>
        </w:rPr>
        <w:t xml:space="preserve"> </w:t>
      </w:r>
      <w:r w:rsidR="00537004" w:rsidRPr="00D80F0E">
        <w:t>$</w:t>
      </w:r>
      <w:r w:rsidR="003958FA" w:rsidRPr="00D80F0E">
        <w:t>289,641</w:t>
      </w:r>
      <w:r w:rsidR="00DC31DA" w:rsidRPr="00D80F0E">
        <w:t xml:space="preserve">; as data </w:t>
      </w:r>
      <w:proofErr w:type="gramStart"/>
      <w:r w:rsidR="00DC31DA" w:rsidRPr="00D80F0E">
        <w:t>will be collected</w:t>
      </w:r>
      <w:proofErr w:type="gramEnd"/>
      <w:r w:rsidR="00DC31DA" w:rsidRPr="00D80F0E">
        <w:t xml:space="preserve"> over one year, the a</w:t>
      </w:r>
      <w:r w:rsidR="00174C65" w:rsidRPr="00D80F0E">
        <w:t xml:space="preserve">nnual costs to the Federal government will be $289,641 for </w:t>
      </w:r>
      <w:r w:rsidR="006550A0" w:rsidRPr="00D80F0E">
        <w:t>th</w:t>
      </w:r>
      <w:r w:rsidR="006550A0">
        <w:t>is</w:t>
      </w:r>
      <w:r w:rsidR="006550A0" w:rsidRPr="00D80F0E">
        <w:t xml:space="preserve"> </w:t>
      </w:r>
      <w:r w:rsidR="00174C65" w:rsidRPr="00D80F0E">
        <w:t>proposed data collection</w:t>
      </w:r>
      <w:r w:rsidR="006550A0">
        <w:t>.</w:t>
      </w:r>
    </w:p>
    <w:p w:rsidR="00945CD6" w:rsidRPr="00D80F0E" w:rsidRDefault="00292B70" w:rsidP="009332A3">
      <w:pPr>
        <w:pStyle w:val="Heading1"/>
        <w:rPr>
          <w:rFonts w:ascii="Times New Roman" w:hAnsi="Times New Roman"/>
          <w:sz w:val="24"/>
        </w:rPr>
      </w:pPr>
      <w:bookmarkStart w:id="16" w:name="_Toc352332745"/>
      <w:r w:rsidRPr="00D80F0E">
        <w:rPr>
          <w:rFonts w:ascii="Times New Roman" w:hAnsi="Times New Roman"/>
          <w:sz w:val="24"/>
        </w:rPr>
        <w:t xml:space="preserve">A15. </w:t>
      </w:r>
      <w:r w:rsidR="00945CD6" w:rsidRPr="00D80F0E">
        <w:rPr>
          <w:rFonts w:ascii="Times New Roman" w:hAnsi="Times New Roman"/>
          <w:sz w:val="24"/>
        </w:rPr>
        <w:t>Change in Burden</w:t>
      </w:r>
      <w:bookmarkEnd w:id="16"/>
    </w:p>
    <w:p w:rsidR="00214B74" w:rsidRPr="00D80F0E" w:rsidRDefault="00B03E90" w:rsidP="00B03E90">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7" w:name="_Toc352332746"/>
      <w:r w:rsidRPr="00D80F0E">
        <w:t xml:space="preserve">This is a new data collection.  </w:t>
      </w:r>
    </w:p>
    <w:p w:rsidR="00D90EF6" w:rsidRPr="00D80F0E" w:rsidRDefault="00292B70" w:rsidP="009332A3">
      <w:pPr>
        <w:pStyle w:val="Heading1"/>
        <w:rPr>
          <w:rFonts w:ascii="Times New Roman" w:hAnsi="Times New Roman"/>
          <w:sz w:val="24"/>
        </w:rPr>
      </w:pPr>
      <w:r w:rsidRPr="00D80F0E">
        <w:rPr>
          <w:rFonts w:ascii="Times New Roman" w:hAnsi="Times New Roman"/>
          <w:sz w:val="24"/>
        </w:rPr>
        <w:t xml:space="preserve">A16. </w:t>
      </w:r>
      <w:r w:rsidR="00945CD6" w:rsidRPr="00D80F0E">
        <w:rPr>
          <w:rFonts w:ascii="Times New Roman" w:hAnsi="Times New Roman"/>
          <w:sz w:val="24"/>
        </w:rPr>
        <w:t>Plan and Time Schedule for Information Collection, Tabulation and Publication</w:t>
      </w:r>
      <w:bookmarkEnd w:id="17"/>
    </w:p>
    <w:p w:rsidR="007846D1" w:rsidRPr="00D80F0E" w:rsidRDefault="007846D1" w:rsidP="007846D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46D1" w:rsidRPr="00D80F0E" w:rsidRDefault="00174993" w:rsidP="007846D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80F0E">
        <w:t>Data collection</w:t>
      </w:r>
      <w:r w:rsidR="007846D1" w:rsidRPr="00D80F0E">
        <w:t xml:space="preserve"> will be completed </w:t>
      </w:r>
      <w:r w:rsidR="00C168D1">
        <w:t>within 7 months of OMB approval</w:t>
      </w:r>
      <w:r w:rsidR="007846D1" w:rsidRPr="00D80F0E">
        <w:t xml:space="preserve">. Findings from analysis of the information </w:t>
      </w:r>
      <w:r w:rsidRPr="00D80F0E">
        <w:t>collected</w:t>
      </w:r>
      <w:r w:rsidR="00C1421D" w:rsidRPr="00D80F0E">
        <w:t xml:space="preserve"> through </w:t>
      </w:r>
      <w:r w:rsidR="007846D1" w:rsidRPr="00D80F0E">
        <w:t xml:space="preserve">interviews </w:t>
      </w:r>
      <w:r w:rsidR="00C1421D" w:rsidRPr="00D80F0E">
        <w:t xml:space="preserve">and focus groups </w:t>
      </w:r>
      <w:r w:rsidR="007846D1" w:rsidRPr="00D80F0E">
        <w:t xml:space="preserve">will be presented by the research contractor in a final research report, expected </w:t>
      </w:r>
      <w:r w:rsidR="009E12BA" w:rsidRPr="00D80F0E">
        <w:t>to be completed by</w:t>
      </w:r>
      <w:r w:rsidR="007846D1" w:rsidRPr="00D80F0E">
        <w:t xml:space="preserve"> </w:t>
      </w:r>
      <w:r w:rsidR="00A716D7" w:rsidRPr="00D80F0E">
        <w:t xml:space="preserve">fall </w:t>
      </w:r>
      <w:r w:rsidR="00C1421D" w:rsidRPr="00D80F0E">
        <w:t>2016</w:t>
      </w:r>
      <w:r w:rsidR="007846D1" w:rsidRPr="00D80F0E">
        <w:t xml:space="preserve">. The final report will include an executive summary and sections devoted to study background, research questions, methods, major findings, and conclusions. Appendices will </w:t>
      </w:r>
      <w:r w:rsidR="004D6890" w:rsidRPr="00D80F0E">
        <w:t>include</w:t>
      </w:r>
      <w:r w:rsidR="007846D1" w:rsidRPr="00D80F0E">
        <w:t xml:space="preserve"> </w:t>
      </w:r>
      <w:r w:rsidR="004D6890" w:rsidRPr="00D80F0E">
        <w:t xml:space="preserve">data collection instruments and any </w:t>
      </w:r>
      <w:r w:rsidR="007846D1" w:rsidRPr="00D80F0E">
        <w:t>tech</w:t>
      </w:r>
      <w:r w:rsidR="004D6890" w:rsidRPr="00D80F0E">
        <w:t>nical details on site selection and</w:t>
      </w:r>
      <w:r w:rsidR="007846D1" w:rsidRPr="00D80F0E">
        <w:t xml:space="preserve"> data collection. This report will be publically disseminated through OPRE and the Urban Institute, and will likely be submitted for publication in peer-reviewed professional journals. Findings will also be presented at research and practitioner conferences. Additionally, the findings will be used by OPRE to generate hypotheses for </w:t>
      </w:r>
      <w:r w:rsidRPr="00D80F0E">
        <w:t>fut</w:t>
      </w:r>
      <w:r w:rsidR="00C1421D" w:rsidRPr="00D80F0E">
        <w:t>ure HMRE</w:t>
      </w:r>
      <w:r w:rsidRPr="00D80F0E">
        <w:t xml:space="preserve"> research</w:t>
      </w:r>
      <w:r w:rsidR="007846D1" w:rsidRPr="00D80F0E">
        <w:t xml:space="preserve">. </w:t>
      </w:r>
    </w:p>
    <w:p w:rsidR="00945CD6" w:rsidRPr="00D80F0E" w:rsidRDefault="00292B70" w:rsidP="009332A3">
      <w:pPr>
        <w:pStyle w:val="Heading1"/>
        <w:rPr>
          <w:rFonts w:ascii="Times New Roman" w:hAnsi="Times New Roman"/>
          <w:sz w:val="24"/>
        </w:rPr>
      </w:pPr>
      <w:bookmarkStart w:id="18" w:name="_Toc352332747"/>
      <w:r w:rsidRPr="00D80F0E">
        <w:rPr>
          <w:rFonts w:ascii="Times New Roman" w:hAnsi="Times New Roman"/>
          <w:sz w:val="24"/>
        </w:rPr>
        <w:t xml:space="preserve">A17. </w:t>
      </w:r>
      <w:r w:rsidR="00945CD6" w:rsidRPr="00D80F0E">
        <w:rPr>
          <w:rFonts w:ascii="Times New Roman" w:hAnsi="Times New Roman"/>
          <w:sz w:val="24"/>
        </w:rPr>
        <w:t>Reasons Not to Display OMB Expiration Date</w:t>
      </w:r>
      <w:bookmarkEnd w:id="18"/>
    </w:p>
    <w:p w:rsidR="00214B74" w:rsidRPr="00D80F0E" w:rsidRDefault="00B03E90" w:rsidP="00B03E90">
      <w:bookmarkStart w:id="19" w:name="_Toc352332748"/>
      <w:r w:rsidRPr="00D80F0E">
        <w:t>All instruments will display the expiration date for OMB approval.</w:t>
      </w:r>
    </w:p>
    <w:p w:rsidR="00945CD6" w:rsidRPr="00D80F0E" w:rsidRDefault="00292B70" w:rsidP="009332A3">
      <w:pPr>
        <w:pStyle w:val="Heading1"/>
        <w:rPr>
          <w:rFonts w:ascii="Times New Roman" w:hAnsi="Times New Roman"/>
          <w:sz w:val="24"/>
        </w:rPr>
      </w:pPr>
      <w:r w:rsidRPr="00D80F0E">
        <w:rPr>
          <w:rFonts w:ascii="Times New Roman" w:hAnsi="Times New Roman"/>
          <w:sz w:val="24"/>
        </w:rPr>
        <w:t>A18.</w:t>
      </w:r>
      <w:r w:rsidR="000B5EA8" w:rsidRPr="00D80F0E">
        <w:rPr>
          <w:rFonts w:ascii="Times New Roman" w:hAnsi="Times New Roman"/>
          <w:sz w:val="24"/>
        </w:rPr>
        <w:t xml:space="preserve"> Exceptions to Certification for Paperwork Reduction Act Submissions</w:t>
      </w:r>
      <w:bookmarkEnd w:id="19"/>
    </w:p>
    <w:p w:rsidR="00B03E90" w:rsidRPr="00035490" w:rsidRDefault="00B03E90" w:rsidP="00B03E90">
      <w:r w:rsidRPr="00D80F0E">
        <w:rPr>
          <w:szCs w:val="22"/>
        </w:rPr>
        <w:t>No exceptions are necessary for this information collection.</w:t>
      </w:r>
      <w:r w:rsidRPr="00035490">
        <w:tab/>
      </w:r>
    </w:p>
    <w:p w:rsidR="00A860C4" w:rsidRDefault="00A860C4">
      <w:r>
        <w:br w:type="page"/>
      </w:r>
    </w:p>
    <w:p w:rsidR="00AA29C0" w:rsidRDefault="00A860C4" w:rsidP="009332A3">
      <w:pPr>
        <w:rPr>
          <w:b/>
        </w:rPr>
      </w:pPr>
      <w:r>
        <w:rPr>
          <w:b/>
        </w:rPr>
        <w:lastRenderedPageBreak/>
        <w:t>References</w:t>
      </w:r>
    </w:p>
    <w:p w:rsidR="00EE4BB7" w:rsidRPr="00EE4BB7" w:rsidRDefault="00EE4BB7" w:rsidP="009332A3">
      <w:r>
        <w:t xml:space="preserve">Amato, PR (2000), “The Consequences of Divorce on Adults and Children,” </w:t>
      </w:r>
      <w:r>
        <w:rPr>
          <w:i/>
        </w:rPr>
        <w:t>Journal of Marriage and Family</w:t>
      </w:r>
      <w:r>
        <w:t xml:space="preserve"> 62(4): 1269-1287.</w:t>
      </w:r>
    </w:p>
    <w:p w:rsidR="00EE4BB7" w:rsidRDefault="00EE4BB7" w:rsidP="009332A3"/>
    <w:p w:rsidR="00A860C4" w:rsidRPr="00A860C4" w:rsidRDefault="00A860C4" w:rsidP="009332A3">
      <w:proofErr w:type="spellStart"/>
      <w:r>
        <w:t>Badgett</w:t>
      </w:r>
      <w:proofErr w:type="spellEnd"/>
      <w:r>
        <w:t xml:space="preserve">, M.V. L. (2001), </w:t>
      </w:r>
      <w:r>
        <w:rPr>
          <w:i/>
        </w:rPr>
        <w:t>Money, myths, and change: The economic lives of lesbians and gay men</w:t>
      </w:r>
      <w:r>
        <w:t>, Chicago: Chicago UP.</w:t>
      </w:r>
    </w:p>
    <w:p w:rsidR="00A860C4" w:rsidRDefault="00A860C4" w:rsidP="009332A3"/>
    <w:p w:rsidR="00A26CFC" w:rsidRPr="00A26CFC" w:rsidRDefault="00A26CFC" w:rsidP="009332A3">
      <w:proofErr w:type="spellStart"/>
      <w:r>
        <w:t>Cherlin</w:t>
      </w:r>
      <w:proofErr w:type="spellEnd"/>
      <w:r>
        <w:t xml:space="preserve">, AJ, Furstenberg, FF, Chase-Lansdale, L, Kiernan, KE, Robins, PK, Morrison, DR, </w:t>
      </w:r>
      <w:proofErr w:type="spellStart"/>
      <w:r>
        <w:t>Teitler</w:t>
      </w:r>
      <w:proofErr w:type="spellEnd"/>
      <w:r>
        <w:t xml:space="preserve">, JO (1991), “Longitudinal studies of effects of divorce on children in Great Britain and the United States,” </w:t>
      </w:r>
      <w:r>
        <w:rPr>
          <w:i/>
        </w:rPr>
        <w:t>Science</w:t>
      </w:r>
      <w:r>
        <w:t xml:space="preserve"> 252(5011): 1386-1389.</w:t>
      </w:r>
    </w:p>
    <w:p w:rsidR="00A26CFC" w:rsidRDefault="00A26CFC" w:rsidP="009332A3"/>
    <w:p w:rsidR="00A860C4" w:rsidRDefault="00A860C4" w:rsidP="009332A3">
      <w:r>
        <w:t xml:space="preserve">Gates, Gary J. (2015), “Marriage and Family: LGBT Individuals and Same-Sex Couples,” </w:t>
      </w:r>
      <w:r>
        <w:rPr>
          <w:i/>
        </w:rPr>
        <w:t xml:space="preserve">The Future of Children </w:t>
      </w:r>
      <w:r>
        <w:t>25(2): 67-87.</w:t>
      </w:r>
    </w:p>
    <w:p w:rsidR="00A860C4" w:rsidRDefault="00A860C4" w:rsidP="009332A3"/>
    <w:p w:rsidR="00A860C4" w:rsidRPr="00A860C4" w:rsidRDefault="00A860C4" w:rsidP="009332A3">
      <w:proofErr w:type="spellStart"/>
      <w:r>
        <w:t>Hatzenbueler</w:t>
      </w:r>
      <w:proofErr w:type="spellEnd"/>
      <w:r>
        <w:t xml:space="preserve">, ML (2011), “The Social Environment and Suicide Attempts in Lesbian, Gay, and Bisexual Youth,” </w:t>
      </w:r>
      <w:r>
        <w:rPr>
          <w:i/>
        </w:rPr>
        <w:t>Pediatrics</w:t>
      </w:r>
      <w:r>
        <w:t xml:space="preserve"> 127(5): 896-903.</w:t>
      </w:r>
    </w:p>
    <w:p w:rsidR="00A860C4" w:rsidRDefault="00A860C4" w:rsidP="009332A3"/>
    <w:p w:rsidR="00A860C4" w:rsidRDefault="00A860C4" w:rsidP="009332A3">
      <w:r>
        <w:t xml:space="preserve">Lewis, RJ, </w:t>
      </w:r>
      <w:proofErr w:type="spellStart"/>
      <w:r>
        <w:t>Dertega</w:t>
      </w:r>
      <w:proofErr w:type="spellEnd"/>
      <w:r>
        <w:t xml:space="preserve">, VJ, Griffin, JL, </w:t>
      </w:r>
      <w:proofErr w:type="spellStart"/>
      <w:r>
        <w:t>Krowinski</w:t>
      </w:r>
      <w:proofErr w:type="spellEnd"/>
      <w:r>
        <w:t xml:space="preserve">, AC (2003), “Stressors for Gay Men and Lesbians: Life Stress, Gay-Related Stress, Stigma Consciousness, and Depressive Symptoms,” </w:t>
      </w:r>
      <w:r>
        <w:rPr>
          <w:i/>
        </w:rPr>
        <w:t>Journal of Social and Clinical Psychology</w:t>
      </w:r>
      <w:r>
        <w:t xml:space="preserve"> 22(6): 716-729.</w:t>
      </w:r>
    </w:p>
    <w:p w:rsidR="00EE4BB7" w:rsidRDefault="00EE4BB7" w:rsidP="009332A3"/>
    <w:p w:rsidR="00EE4BB7" w:rsidRPr="00EE4BB7" w:rsidRDefault="00EE4BB7" w:rsidP="009332A3">
      <w:r>
        <w:t xml:space="preserve">Smock, P.J, Manning, and Gupta, S (1999), “The Effect of Marriage and Divorce on Women’s Economic Well-Being,” </w:t>
      </w:r>
      <w:r>
        <w:rPr>
          <w:i/>
        </w:rPr>
        <w:t>American Sociological Review</w:t>
      </w:r>
      <w:r>
        <w:t xml:space="preserve"> 64(6): 794-812.</w:t>
      </w:r>
    </w:p>
    <w:sectPr w:rsidR="00EE4BB7" w:rsidRPr="00EE4BB7" w:rsidSect="00D52103">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872" w:rsidRDefault="00A94872">
      <w:r>
        <w:separator/>
      </w:r>
    </w:p>
  </w:endnote>
  <w:endnote w:type="continuationSeparator" w:id="0">
    <w:p w:rsidR="00A94872" w:rsidRDefault="00A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NewCaledonia">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98" w:rsidRDefault="001E7A98" w:rsidP="00292B7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98" w:rsidRDefault="001E7A98">
    <w:pPr>
      <w:pStyle w:val="Footer"/>
      <w:jc w:val="center"/>
    </w:pPr>
  </w:p>
  <w:p w:rsidR="001E7A98" w:rsidRDefault="001E7A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98" w:rsidRDefault="001E7A98">
    <w:pPr>
      <w:pStyle w:val="Footer"/>
      <w:jc w:val="center"/>
    </w:pPr>
    <w:r>
      <w:fldChar w:fldCharType="begin"/>
    </w:r>
    <w:r>
      <w:instrText xml:space="preserve"> PAGE   \* MERGEFORMAT </w:instrText>
    </w:r>
    <w:r>
      <w:fldChar w:fldCharType="separate"/>
    </w:r>
    <w:r w:rsidR="00107E17">
      <w:rPr>
        <w:noProof/>
      </w:rPr>
      <w:t>10</w:t>
    </w:r>
    <w:r>
      <w:rPr>
        <w:noProof/>
      </w:rPr>
      <w:fldChar w:fldCharType="end"/>
    </w:r>
  </w:p>
  <w:p w:rsidR="001E7A98" w:rsidRDefault="001E7A98"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872" w:rsidRDefault="00A94872">
      <w:r>
        <w:separator/>
      </w:r>
    </w:p>
  </w:footnote>
  <w:footnote w:type="continuationSeparator" w:id="0">
    <w:p w:rsidR="00A94872" w:rsidRDefault="00A94872">
      <w:r>
        <w:continuationSeparator/>
      </w:r>
    </w:p>
  </w:footnote>
  <w:footnote w:id="1">
    <w:p w:rsidR="00956749" w:rsidRDefault="00956749" w:rsidP="00956749">
      <w:pPr>
        <w:autoSpaceDE w:val="0"/>
        <w:autoSpaceDN w:val="0"/>
      </w:pPr>
      <w:r>
        <w:rPr>
          <w:rStyle w:val="FootnoteReference"/>
        </w:rPr>
        <w:footnoteRef/>
      </w:r>
      <w:r>
        <w:t xml:space="preserve"> </w:t>
      </w:r>
      <w:proofErr w:type="gramStart"/>
      <w:r>
        <w:rPr>
          <w:rFonts w:ascii="NewCaledonia" w:hAnsi="NewCaledonia"/>
          <w:sz w:val="16"/>
          <w:szCs w:val="16"/>
        </w:rPr>
        <w:t xml:space="preserve">Berlin, Martha, Leyla </w:t>
      </w:r>
      <w:proofErr w:type="spellStart"/>
      <w:r>
        <w:rPr>
          <w:rFonts w:ascii="NewCaledonia" w:hAnsi="NewCaledonia"/>
          <w:sz w:val="16"/>
          <w:szCs w:val="16"/>
        </w:rPr>
        <w:t>Mohadjer</w:t>
      </w:r>
      <w:proofErr w:type="spellEnd"/>
      <w:r>
        <w:rPr>
          <w:rFonts w:ascii="NewCaledonia" w:hAnsi="NewCaledonia"/>
          <w:sz w:val="16"/>
          <w:szCs w:val="16"/>
        </w:rPr>
        <w:t xml:space="preserve">, Joseph </w:t>
      </w:r>
      <w:proofErr w:type="spellStart"/>
      <w:r>
        <w:rPr>
          <w:rFonts w:ascii="NewCaledonia" w:hAnsi="NewCaledonia"/>
          <w:sz w:val="16"/>
          <w:szCs w:val="16"/>
        </w:rPr>
        <w:t>Waksberg</w:t>
      </w:r>
      <w:proofErr w:type="spellEnd"/>
      <w:r>
        <w:rPr>
          <w:rFonts w:ascii="NewCaledonia" w:hAnsi="NewCaledonia"/>
          <w:sz w:val="16"/>
          <w:szCs w:val="16"/>
        </w:rPr>
        <w:t xml:space="preserve">, Andrew </w:t>
      </w:r>
      <w:proofErr w:type="spellStart"/>
      <w:r>
        <w:rPr>
          <w:rFonts w:ascii="NewCaledonia" w:hAnsi="NewCaledonia"/>
          <w:sz w:val="16"/>
          <w:szCs w:val="16"/>
        </w:rPr>
        <w:t>Kolstad</w:t>
      </w:r>
      <w:proofErr w:type="spellEnd"/>
      <w:r>
        <w:rPr>
          <w:rFonts w:ascii="NewCaledonia" w:hAnsi="NewCaledonia"/>
          <w:sz w:val="16"/>
          <w:szCs w:val="16"/>
        </w:rPr>
        <w:t xml:space="preserve">, Irwin Kirsch, D. Rock, and </w:t>
      </w:r>
      <w:proofErr w:type="spellStart"/>
      <w:r>
        <w:rPr>
          <w:rFonts w:ascii="NewCaledonia" w:hAnsi="NewCaledonia"/>
          <w:sz w:val="16"/>
          <w:szCs w:val="16"/>
        </w:rPr>
        <w:t>Kentaro</w:t>
      </w:r>
      <w:proofErr w:type="spellEnd"/>
      <w:r>
        <w:rPr>
          <w:rFonts w:ascii="NewCaledonia" w:hAnsi="NewCaledonia"/>
          <w:sz w:val="16"/>
          <w:szCs w:val="16"/>
        </w:rPr>
        <w:t xml:space="preserve"> Yamamoto.</w:t>
      </w:r>
      <w:proofErr w:type="gramEnd"/>
      <w:r>
        <w:rPr>
          <w:rFonts w:ascii="NewCaledonia" w:hAnsi="NewCaledonia"/>
          <w:sz w:val="16"/>
          <w:szCs w:val="16"/>
        </w:rPr>
        <w:t xml:space="preserve"> 1992. An experiment in monetary incentives. </w:t>
      </w:r>
      <w:proofErr w:type="gramStart"/>
      <w:r>
        <w:rPr>
          <w:rFonts w:ascii="NewCaledonia" w:hAnsi="NewCaledonia"/>
          <w:sz w:val="16"/>
          <w:szCs w:val="16"/>
        </w:rPr>
        <w:t xml:space="preserve">In </w:t>
      </w:r>
      <w:r>
        <w:rPr>
          <w:rFonts w:ascii="NewCaledonia-Italic" w:hAnsi="NewCaledonia-Italic"/>
          <w:i/>
          <w:iCs/>
          <w:sz w:val="16"/>
          <w:szCs w:val="16"/>
        </w:rPr>
        <w:t>JSM proceedings</w:t>
      </w:r>
      <w:r>
        <w:rPr>
          <w:rFonts w:ascii="NewCaledonia" w:hAnsi="NewCaledonia"/>
          <w:sz w:val="16"/>
          <w:szCs w:val="16"/>
        </w:rPr>
        <w:t>, 393–98.</w:t>
      </w:r>
      <w:proofErr w:type="gramEnd"/>
      <w:r>
        <w:rPr>
          <w:rFonts w:ascii="NewCaledonia" w:hAnsi="NewCaledonia"/>
          <w:sz w:val="16"/>
          <w:szCs w:val="16"/>
        </w:rPr>
        <w:t xml:space="preserve"> Alexandria, VA:  American Statistical Association.</w:t>
      </w:r>
    </w:p>
    <w:p w:rsidR="00956749" w:rsidRPr="002C03F7" w:rsidRDefault="00956749" w:rsidP="00956749">
      <w:pPr>
        <w:rPr>
          <w:color w:val="1F497D"/>
        </w:rPr>
      </w:pPr>
      <w:proofErr w:type="gramStart"/>
      <w:r w:rsidRPr="002C03F7">
        <w:rPr>
          <w:rFonts w:ascii="NewCaledonia" w:hAnsi="NewCaledonia"/>
          <w:sz w:val="16"/>
          <w:szCs w:val="16"/>
        </w:rPr>
        <w:t xml:space="preserve">Singer, Eleanor, and Richard A. </w:t>
      </w:r>
      <w:proofErr w:type="spellStart"/>
      <w:r w:rsidRPr="002C03F7">
        <w:rPr>
          <w:rFonts w:ascii="NewCaledonia" w:hAnsi="NewCaledonia"/>
          <w:sz w:val="16"/>
          <w:szCs w:val="16"/>
        </w:rPr>
        <w:t>Kulka</w:t>
      </w:r>
      <w:proofErr w:type="spellEnd"/>
      <w:r w:rsidRPr="002C03F7">
        <w:rPr>
          <w:rFonts w:ascii="NewCaledonia" w:hAnsi="NewCaledonia"/>
          <w:sz w:val="16"/>
          <w:szCs w:val="16"/>
        </w:rPr>
        <w:t>.</w:t>
      </w:r>
      <w:proofErr w:type="gramEnd"/>
      <w:r w:rsidRPr="002C03F7">
        <w:rPr>
          <w:rFonts w:ascii="NewCaledonia" w:hAnsi="NewCaledonia"/>
          <w:sz w:val="16"/>
          <w:szCs w:val="16"/>
        </w:rPr>
        <w:t xml:space="preserve"> 2002. Paying respondents for survey participation. In </w:t>
      </w:r>
      <w:r w:rsidRPr="002C03F7">
        <w:rPr>
          <w:rFonts w:ascii="NewCaledonia-Italic" w:hAnsi="NewCaledonia-Italic"/>
          <w:i/>
          <w:iCs/>
          <w:sz w:val="16"/>
          <w:szCs w:val="16"/>
        </w:rPr>
        <w:t>Studies of welfare populations: Data collection and research issues</w:t>
      </w:r>
      <w:r w:rsidRPr="002C03F7">
        <w:rPr>
          <w:rFonts w:ascii="NewCaledonia" w:hAnsi="NewCaledonia"/>
          <w:sz w:val="16"/>
          <w:szCs w:val="16"/>
        </w:rPr>
        <w:t xml:space="preserve">, eds. Michele </w:t>
      </w:r>
      <w:proofErr w:type="spellStart"/>
      <w:r w:rsidRPr="002C03F7">
        <w:rPr>
          <w:rFonts w:ascii="NewCaledonia" w:hAnsi="NewCaledonia"/>
          <w:sz w:val="16"/>
          <w:szCs w:val="16"/>
        </w:rPr>
        <w:t>Ver</w:t>
      </w:r>
      <w:proofErr w:type="spellEnd"/>
      <w:r w:rsidRPr="002C03F7">
        <w:rPr>
          <w:rFonts w:ascii="NewCaledonia" w:hAnsi="NewCaledonia"/>
          <w:sz w:val="16"/>
          <w:szCs w:val="16"/>
        </w:rPr>
        <w:t xml:space="preserve"> </w:t>
      </w:r>
      <w:proofErr w:type="spellStart"/>
      <w:r w:rsidRPr="002C03F7">
        <w:rPr>
          <w:rFonts w:ascii="NewCaledonia" w:hAnsi="NewCaledonia"/>
          <w:sz w:val="16"/>
          <w:szCs w:val="16"/>
        </w:rPr>
        <w:t>Ploeg</w:t>
      </w:r>
      <w:proofErr w:type="spellEnd"/>
      <w:r w:rsidRPr="002C03F7">
        <w:rPr>
          <w:rFonts w:ascii="NewCaledonia" w:hAnsi="NewCaledonia"/>
          <w:sz w:val="16"/>
          <w:szCs w:val="16"/>
        </w:rPr>
        <w:t xml:space="preserve">, Robert A. Moffitt, and Constance F. </w:t>
      </w:r>
      <w:proofErr w:type="spellStart"/>
      <w:r w:rsidRPr="002C03F7">
        <w:rPr>
          <w:rFonts w:ascii="NewCaledonia" w:hAnsi="NewCaledonia"/>
          <w:sz w:val="16"/>
          <w:szCs w:val="16"/>
        </w:rPr>
        <w:t>Citro</w:t>
      </w:r>
      <w:proofErr w:type="spellEnd"/>
      <w:r w:rsidRPr="002C03F7">
        <w:rPr>
          <w:rFonts w:ascii="NewCaledonia" w:hAnsi="NewCaledonia"/>
          <w:sz w:val="16"/>
          <w:szCs w:val="16"/>
        </w:rPr>
        <w:t>, 105–28. Washington, DC: National Academy Press.</w:t>
      </w:r>
    </w:p>
    <w:p w:rsidR="00956749" w:rsidRDefault="00956749" w:rsidP="0095674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7EE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2C7845A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01E730AF"/>
    <w:multiLevelType w:val="hybridMultilevel"/>
    <w:tmpl w:val="071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D0664"/>
    <w:multiLevelType w:val="hybridMultilevel"/>
    <w:tmpl w:val="C266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E565B"/>
    <w:multiLevelType w:val="hybridMultilevel"/>
    <w:tmpl w:val="D10E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012F15"/>
    <w:multiLevelType w:val="multilevel"/>
    <w:tmpl w:val="453EBA86"/>
    <w:numStyleLink w:val="Style1"/>
  </w:abstractNum>
  <w:abstractNum w:abstractNumId="9">
    <w:nsid w:val="09BA6529"/>
    <w:multiLevelType w:val="hybridMultilevel"/>
    <w:tmpl w:val="BF1C3F4C"/>
    <w:lvl w:ilvl="0" w:tplc="528AD73A">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ABC07FB"/>
    <w:multiLevelType w:val="hybridMultilevel"/>
    <w:tmpl w:val="96F6D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184F2B"/>
    <w:multiLevelType w:val="hybridMultilevel"/>
    <w:tmpl w:val="F7A29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60447CA"/>
    <w:multiLevelType w:val="hybridMultilevel"/>
    <w:tmpl w:val="A8A8B3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011F7"/>
    <w:multiLevelType w:val="hybridMultilevel"/>
    <w:tmpl w:val="0ABA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D2631E"/>
    <w:multiLevelType w:val="hybridMultilevel"/>
    <w:tmpl w:val="4CB8A4E0"/>
    <w:lvl w:ilvl="0" w:tplc="B8A40720">
      <w:start w:val="1"/>
      <w:numFmt w:val="bullet"/>
      <w:lvlText w:val=""/>
      <w:lvlJc w:val="left"/>
      <w:pPr>
        <w:ind w:left="2218" w:hanging="360"/>
      </w:pPr>
      <w:rPr>
        <w:rFonts w:ascii="Symbol" w:hAnsi="Symbol" w:hint="default"/>
        <w:color w:val="auto"/>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17">
    <w:nsid w:val="20285442"/>
    <w:multiLevelType w:val="hybridMultilevel"/>
    <w:tmpl w:val="5734EFA2"/>
    <w:lvl w:ilvl="0" w:tplc="8436AC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9C59CA"/>
    <w:multiLevelType w:val="hybridMultilevel"/>
    <w:tmpl w:val="221AC95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8E1F08"/>
    <w:multiLevelType w:val="hybridMultilevel"/>
    <w:tmpl w:val="FEE42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D339EA"/>
    <w:multiLevelType w:val="hybridMultilevel"/>
    <w:tmpl w:val="2CD8B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9D3624"/>
    <w:multiLevelType w:val="hybridMultilevel"/>
    <w:tmpl w:val="560A1C48"/>
    <w:lvl w:ilvl="0" w:tplc="D4149BD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C7C11C9"/>
    <w:multiLevelType w:val="hybridMultilevel"/>
    <w:tmpl w:val="A8CAFA44"/>
    <w:lvl w:ilvl="0" w:tplc="0268A7E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99969472">
      <w:start w:val="1"/>
      <w:numFmt w:val="bullet"/>
      <w:lvlText w:val=""/>
      <w:lvlJc w:val="left"/>
      <w:pPr>
        <w:ind w:left="2700" w:hanging="360"/>
      </w:pPr>
      <w:rPr>
        <w:rFonts w:ascii="Symbol" w:eastAsiaTheme="minorHAnsi"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3D6EA4"/>
    <w:multiLevelType w:val="hybridMultilevel"/>
    <w:tmpl w:val="ACB66858"/>
    <w:lvl w:ilvl="0" w:tplc="D4149BD0">
      <w:start w:val="1"/>
      <w:numFmt w:val="decimal"/>
      <w:lvlText w:val="%1."/>
      <w:lvlJc w:val="left"/>
      <w:pPr>
        <w:ind w:left="216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41E65C3"/>
    <w:multiLevelType w:val="hybridMultilevel"/>
    <w:tmpl w:val="781A1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6D80B71"/>
    <w:multiLevelType w:val="hybridMultilevel"/>
    <w:tmpl w:val="6672B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B43EA9"/>
    <w:multiLevelType w:val="hybridMultilevel"/>
    <w:tmpl w:val="0F52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9B0162"/>
    <w:multiLevelType w:val="hybridMultilevel"/>
    <w:tmpl w:val="B7A47D9E"/>
    <w:lvl w:ilvl="0" w:tplc="0409000F">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D18E9"/>
    <w:multiLevelType w:val="multilevel"/>
    <w:tmpl w:val="453EBA86"/>
    <w:styleLink w:val="Style1"/>
    <w:lvl w:ilvl="0">
      <w:start w:val="1"/>
      <w:numFmt w:val="upperRoman"/>
      <w:isLgl/>
      <w:lvlText w:val="%1."/>
      <w:lvlJc w:val="left"/>
      <w:pPr>
        <w:ind w:left="0" w:firstLine="0"/>
      </w:pPr>
      <w:rPr>
        <w:rFonts w:hint="default"/>
      </w:rPr>
    </w:lvl>
    <w:lvl w:ilvl="1">
      <w:start w:val="1"/>
      <w:numFmt w:val="upperLetter"/>
      <w:lvlText w:val="%2."/>
      <w:lvlJc w:val="left"/>
      <w:pPr>
        <w:ind w:left="720" w:firstLine="0"/>
      </w:pPr>
      <w:rPr>
        <w:rFonts w:hint="default"/>
        <w:b/>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nsid w:val="57BB6D01"/>
    <w:multiLevelType w:val="hybridMultilevel"/>
    <w:tmpl w:val="36EA189A"/>
    <w:lvl w:ilvl="0" w:tplc="B7523670">
      <w:start w:val="1"/>
      <w:numFmt w:val="bullet"/>
      <w:lvlText w:val=""/>
      <w:lvlJc w:val="left"/>
      <w:pPr>
        <w:ind w:left="720" w:hanging="360"/>
      </w:pPr>
      <w:rPr>
        <w:rFonts w:ascii="Symbol" w:hAnsi="Symbol" w:hint="default"/>
      </w:rPr>
    </w:lvl>
    <w:lvl w:ilvl="1" w:tplc="D9F8A472" w:tentative="1">
      <w:start w:val="1"/>
      <w:numFmt w:val="bullet"/>
      <w:lvlText w:val="o"/>
      <w:lvlJc w:val="left"/>
      <w:pPr>
        <w:ind w:left="1440" w:hanging="360"/>
      </w:pPr>
      <w:rPr>
        <w:rFonts w:ascii="Courier New" w:hAnsi="Courier New" w:cs="Courier New" w:hint="default"/>
      </w:rPr>
    </w:lvl>
    <w:lvl w:ilvl="2" w:tplc="3CCA880A" w:tentative="1">
      <w:start w:val="1"/>
      <w:numFmt w:val="bullet"/>
      <w:lvlText w:val=""/>
      <w:lvlJc w:val="left"/>
      <w:pPr>
        <w:ind w:left="2160" w:hanging="360"/>
      </w:pPr>
      <w:rPr>
        <w:rFonts w:ascii="Wingdings" w:hAnsi="Wingdings" w:hint="default"/>
      </w:rPr>
    </w:lvl>
    <w:lvl w:ilvl="3" w:tplc="91001C4C" w:tentative="1">
      <w:start w:val="1"/>
      <w:numFmt w:val="bullet"/>
      <w:lvlText w:val=""/>
      <w:lvlJc w:val="left"/>
      <w:pPr>
        <w:ind w:left="2880" w:hanging="360"/>
      </w:pPr>
      <w:rPr>
        <w:rFonts w:ascii="Symbol" w:hAnsi="Symbol" w:hint="default"/>
      </w:rPr>
    </w:lvl>
    <w:lvl w:ilvl="4" w:tplc="FE92DF52" w:tentative="1">
      <w:start w:val="1"/>
      <w:numFmt w:val="bullet"/>
      <w:lvlText w:val="o"/>
      <w:lvlJc w:val="left"/>
      <w:pPr>
        <w:ind w:left="3600" w:hanging="360"/>
      </w:pPr>
      <w:rPr>
        <w:rFonts w:ascii="Courier New" w:hAnsi="Courier New" w:cs="Courier New" w:hint="default"/>
      </w:rPr>
    </w:lvl>
    <w:lvl w:ilvl="5" w:tplc="ED8EE974" w:tentative="1">
      <w:start w:val="1"/>
      <w:numFmt w:val="bullet"/>
      <w:lvlText w:val=""/>
      <w:lvlJc w:val="left"/>
      <w:pPr>
        <w:ind w:left="4320" w:hanging="360"/>
      </w:pPr>
      <w:rPr>
        <w:rFonts w:ascii="Wingdings" w:hAnsi="Wingdings" w:hint="default"/>
      </w:rPr>
    </w:lvl>
    <w:lvl w:ilvl="6" w:tplc="C28271F8" w:tentative="1">
      <w:start w:val="1"/>
      <w:numFmt w:val="bullet"/>
      <w:lvlText w:val=""/>
      <w:lvlJc w:val="left"/>
      <w:pPr>
        <w:ind w:left="5040" w:hanging="360"/>
      </w:pPr>
      <w:rPr>
        <w:rFonts w:ascii="Symbol" w:hAnsi="Symbol" w:hint="default"/>
      </w:rPr>
    </w:lvl>
    <w:lvl w:ilvl="7" w:tplc="B9987AC8" w:tentative="1">
      <w:start w:val="1"/>
      <w:numFmt w:val="bullet"/>
      <w:lvlText w:val="o"/>
      <w:lvlJc w:val="left"/>
      <w:pPr>
        <w:ind w:left="5760" w:hanging="360"/>
      </w:pPr>
      <w:rPr>
        <w:rFonts w:ascii="Courier New" w:hAnsi="Courier New" w:cs="Courier New" w:hint="default"/>
      </w:rPr>
    </w:lvl>
    <w:lvl w:ilvl="8" w:tplc="AEC08F90" w:tentative="1">
      <w:start w:val="1"/>
      <w:numFmt w:val="bullet"/>
      <w:lvlText w:val=""/>
      <w:lvlJc w:val="left"/>
      <w:pPr>
        <w:ind w:left="6480" w:hanging="360"/>
      </w:pPr>
      <w:rPr>
        <w:rFonts w:ascii="Wingdings" w:hAnsi="Wingdings" w:hint="default"/>
      </w:rPr>
    </w:lvl>
  </w:abstractNum>
  <w:abstractNum w:abstractNumId="35">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9E5860"/>
    <w:multiLevelType w:val="hybridMultilevel"/>
    <w:tmpl w:val="36502A12"/>
    <w:lvl w:ilvl="0" w:tplc="04090001">
      <w:start w:val="1"/>
      <w:numFmt w:val="bullet"/>
      <w:lvlText w:val=""/>
      <w:lvlJc w:val="left"/>
      <w:pPr>
        <w:ind w:left="720" w:hanging="360"/>
      </w:pPr>
      <w:rPr>
        <w:rFonts w:ascii="Symbol" w:hAnsi="Symbol" w:hint="default"/>
      </w:rPr>
    </w:lvl>
    <w:lvl w:ilvl="1" w:tplc="B8A4072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28099E"/>
    <w:multiLevelType w:val="hybridMultilevel"/>
    <w:tmpl w:val="BF722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0D8196A"/>
    <w:multiLevelType w:val="hybridMultilevel"/>
    <w:tmpl w:val="BDBC7998"/>
    <w:lvl w:ilvl="0" w:tplc="528AD73A">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8F38DC"/>
    <w:multiLevelType w:val="hybridMultilevel"/>
    <w:tmpl w:val="22F0BC88"/>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D30717"/>
    <w:multiLevelType w:val="hybridMultilevel"/>
    <w:tmpl w:val="8BC6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E85410"/>
    <w:multiLevelType w:val="hybridMultilevel"/>
    <w:tmpl w:val="A72E3842"/>
    <w:lvl w:ilvl="0" w:tplc="9904A82C">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4441DB9"/>
    <w:multiLevelType w:val="hybridMultilevel"/>
    <w:tmpl w:val="25C8B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185534"/>
    <w:multiLevelType w:val="hybridMultilevel"/>
    <w:tmpl w:val="0650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3E6F5A"/>
    <w:multiLevelType w:val="hybridMultilevel"/>
    <w:tmpl w:val="3CC2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9ED3E37"/>
    <w:multiLevelType w:val="hybridMultilevel"/>
    <w:tmpl w:val="0E9A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5"/>
  </w:num>
  <w:num w:numId="4">
    <w:abstractNumId w:val="21"/>
  </w:num>
  <w:num w:numId="5">
    <w:abstractNumId w:val="22"/>
  </w:num>
  <w:num w:numId="6">
    <w:abstractNumId w:val="39"/>
  </w:num>
  <w:num w:numId="7">
    <w:abstractNumId w:val="36"/>
  </w:num>
  <w:num w:numId="8">
    <w:abstractNumId w:val="23"/>
  </w:num>
  <w:num w:numId="9">
    <w:abstractNumId w:val="27"/>
  </w:num>
  <w:num w:numId="10">
    <w:abstractNumId w:val="7"/>
  </w:num>
  <w:num w:numId="11">
    <w:abstractNumId w:val="4"/>
  </w:num>
  <w:num w:numId="12">
    <w:abstractNumId w:val="13"/>
  </w:num>
  <w:num w:numId="13">
    <w:abstractNumId w:val="41"/>
  </w:num>
  <w:num w:numId="14">
    <w:abstractNumId w:val="19"/>
  </w:num>
  <w:num w:numId="15">
    <w:abstractNumId w:val="12"/>
  </w:num>
  <w:num w:numId="16">
    <w:abstractNumId w:val="9"/>
  </w:num>
  <w:num w:numId="17">
    <w:abstractNumId w:val="40"/>
  </w:num>
  <w:num w:numId="18">
    <w:abstractNumId w:val="29"/>
  </w:num>
  <w:num w:numId="19">
    <w:abstractNumId w:val="11"/>
  </w:num>
  <w:num w:numId="20">
    <w:abstractNumId w:val="44"/>
  </w:num>
  <w:num w:numId="21">
    <w:abstractNumId w:val="42"/>
  </w:num>
  <w:num w:numId="22">
    <w:abstractNumId w:val="18"/>
  </w:num>
  <w:num w:numId="23">
    <w:abstractNumId w:val="10"/>
  </w:num>
  <w:num w:numId="24">
    <w:abstractNumId w:val="43"/>
  </w:num>
  <w:num w:numId="25">
    <w:abstractNumId w:val="2"/>
  </w:num>
  <w:num w:numId="26">
    <w:abstractNumId w:val="31"/>
  </w:num>
  <w:num w:numId="27">
    <w:abstractNumId w:val="1"/>
  </w:num>
  <w:num w:numId="28">
    <w:abstractNumId w:val="34"/>
  </w:num>
  <w:num w:numId="29">
    <w:abstractNumId w:val="17"/>
  </w:num>
  <w:num w:numId="30">
    <w:abstractNumId w:val="14"/>
  </w:num>
  <w:num w:numId="31">
    <w:abstractNumId w:val="37"/>
  </w:num>
  <w:num w:numId="32">
    <w:abstractNumId w:val="46"/>
  </w:num>
  <w:num w:numId="33">
    <w:abstractNumId w:val="0"/>
  </w:num>
  <w:num w:numId="34">
    <w:abstractNumId w:val="25"/>
  </w:num>
  <w:num w:numId="35">
    <w:abstractNumId w:val="28"/>
  </w:num>
  <w:num w:numId="36">
    <w:abstractNumId w:val="5"/>
  </w:num>
  <w:num w:numId="37">
    <w:abstractNumId w:val="16"/>
  </w:num>
  <w:num w:numId="38">
    <w:abstractNumId w:val="32"/>
  </w:num>
  <w:num w:numId="39">
    <w:abstractNumId w:val="45"/>
  </w:num>
  <w:num w:numId="40">
    <w:abstractNumId w:val="30"/>
  </w:num>
  <w:num w:numId="41">
    <w:abstractNumId w:val="38"/>
  </w:num>
  <w:num w:numId="42">
    <w:abstractNumId w:val="3"/>
  </w:num>
  <w:num w:numId="43">
    <w:abstractNumId w:val="26"/>
  </w:num>
  <w:num w:numId="44">
    <w:abstractNumId w:val="48"/>
  </w:num>
  <w:num w:numId="45">
    <w:abstractNumId w:val="33"/>
  </w:num>
  <w:num w:numId="46">
    <w:abstractNumId w:val="8"/>
    <w:lvlOverride w:ilvl="0">
      <w:lvl w:ilvl="0">
        <w:start w:val="1"/>
        <w:numFmt w:val="upperRoman"/>
        <w:isLgl/>
        <w:lvlText w:val="%1."/>
        <w:lvlJc w:val="left"/>
        <w:pPr>
          <w:ind w:left="0" w:firstLine="0"/>
        </w:pPr>
        <w:rPr>
          <w:rFonts w:hint="default"/>
          <w:b w:val="0"/>
        </w:rPr>
      </w:lvl>
    </w:lvlOverride>
  </w:num>
  <w:num w:numId="47">
    <w:abstractNumId w:val="47"/>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28E"/>
    <w:rsid w:val="00006CA8"/>
    <w:rsid w:val="000119EF"/>
    <w:rsid w:val="00012C4C"/>
    <w:rsid w:val="00012CD9"/>
    <w:rsid w:val="000136C9"/>
    <w:rsid w:val="00030366"/>
    <w:rsid w:val="00031BEB"/>
    <w:rsid w:val="00032996"/>
    <w:rsid w:val="00034C7B"/>
    <w:rsid w:val="00035490"/>
    <w:rsid w:val="00040646"/>
    <w:rsid w:val="000431B8"/>
    <w:rsid w:val="00051F55"/>
    <w:rsid w:val="00054008"/>
    <w:rsid w:val="00057166"/>
    <w:rsid w:val="00060968"/>
    <w:rsid w:val="00063C11"/>
    <w:rsid w:val="00063FDE"/>
    <w:rsid w:val="00074083"/>
    <w:rsid w:val="00075238"/>
    <w:rsid w:val="00076411"/>
    <w:rsid w:val="000775F5"/>
    <w:rsid w:val="00083DB4"/>
    <w:rsid w:val="00091C59"/>
    <w:rsid w:val="00092C38"/>
    <w:rsid w:val="0009521D"/>
    <w:rsid w:val="000A0552"/>
    <w:rsid w:val="000B2095"/>
    <w:rsid w:val="000B32C1"/>
    <w:rsid w:val="000B5EA8"/>
    <w:rsid w:val="000B6E13"/>
    <w:rsid w:val="000C423C"/>
    <w:rsid w:val="000C7F20"/>
    <w:rsid w:val="000D0470"/>
    <w:rsid w:val="000D51BE"/>
    <w:rsid w:val="000D53DF"/>
    <w:rsid w:val="000E2F8E"/>
    <w:rsid w:val="000E3564"/>
    <w:rsid w:val="000E5689"/>
    <w:rsid w:val="000F5914"/>
    <w:rsid w:val="00102B47"/>
    <w:rsid w:val="00103F85"/>
    <w:rsid w:val="0010439B"/>
    <w:rsid w:val="00107E17"/>
    <w:rsid w:val="00120DCF"/>
    <w:rsid w:val="00124EBF"/>
    <w:rsid w:val="0012635B"/>
    <w:rsid w:val="00130689"/>
    <w:rsid w:val="00131CB6"/>
    <w:rsid w:val="00134018"/>
    <w:rsid w:val="00134718"/>
    <w:rsid w:val="001349E9"/>
    <w:rsid w:val="00135EE2"/>
    <w:rsid w:val="00150AC0"/>
    <w:rsid w:val="00153441"/>
    <w:rsid w:val="00153F8A"/>
    <w:rsid w:val="0016012E"/>
    <w:rsid w:val="00163FE3"/>
    <w:rsid w:val="00165253"/>
    <w:rsid w:val="00173163"/>
    <w:rsid w:val="00174993"/>
    <w:rsid w:val="00174C65"/>
    <w:rsid w:val="00174CDA"/>
    <w:rsid w:val="0018295C"/>
    <w:rsid w:val="001830AD"/>
    <w:rsid w:val="00183C0F"/>
    <w:rsid w:val="00184D48"/>
    <w:rsid w:val="00185920"/>
    <w:rsid w:val="00190B7E"/>
    <w:rsid w:val="00195E76"/>
    <w:rsid w:val="001A5AF9"/>
    <w:rsid w:val="001A7648"/>
    <w:rsid w:val="001B278E"/>
    <w:rsid w:val="001B3354"/>
    <w:rsid w:val="001B4247"/>
    <w:rsid w:val="001C1A57"/>
    <w:rsid w:val="001C4CE5"/>
    <w:rsid w:val="001C4D60"/>
    <w:rsid w:val="001C5DC7"/>
    <w:rsid w:val="001C6AE7"/>
    <w:rsid w:val="001E7A98"/>
    <w:rsid w:val="001E7E81"/>
    <w:rsid w:val="00202639"/>
    <w:rsid w:val="0020382F"/>
    <w:rsid w:val="00211EF6"/>
    <w:rsid w:val="00214B74"/>
    <w:rsid w:val="00214B75"/>
    <w:rsid w:val="00214CF2"/>
    <w:rsid w:val="00216D03"/>
    <w:rsid w:val="002174B6"/>
    <w:rsid w:val="0022210E"/>
    <w:rsid w:val="002231FA"/>
    <w:rsid w:val="00224E80"/>
    <w:rsid w:val="00225AA0"/>
    <w:rsid w:val="002330C8"/>
    <w:rsid w:val="002338AC"/>
    <w:rsid w:val="00234E8D"/>
    <w:rsid w:val="00235A6D"/>
    <w:rsid w:val="00237EFC"/>
    <w:rsid w:val="002408DE"/>
    <w:rsid w:val="00240D95"/>
    <w:rsid w:val="00240E3E"/>
    <w:rsid w:val="00242D31"/>
    <w:rsid w:val="00246BF6"/>
    <w:rsid w:val="0025173C"/>
    <w:rsid w:val="00251D7E"/>
    <w:rsid w:val="00253148"/>
    <w:rsid w:val="002536EF"/>
    <w:rsid w:val="00254FEA"/>
    <w:rsid w:val="00256876"/>
    <w:rsid w:val="00260963"/>
    <w:rsid w:val="00265218"/>
    <w:rsid w:val="00272CE2"/>
    <w:rsid w:val="00275C05"/>
    <w:rsid w:val="00286CB9"/>
    <w:rsid w:val="00286F49"/>
    <w:rsid w:val="00292B70"/>
    <w:rsid w:val="00293E76"/>
    <w:rsid w:val="00294DED"/>
    <w:rsid w:val="00294EC9"/>
    <w:rsid w:val="00296D31"/>
    <w:rsid w:val="002A17DB"/>
    <w:rsid w:val="002A1F68"/>
    <w:rsid w:val="002B4511"/>
    <w:rsid w:val="002B4DBE"/>
    <w:rsid w:val="002B7D91"/>
    <w:rsid w:val="002C0610"/>
    <w:rsid w:val="002C2663"/>
    <w:rsid w:val="002C4329"/>
    <w:rsid w:val="002C49BE"/>
    <w:rsid w:val="002C4F75"/>
    <w:rsid w:val="002C7D36"/>
    <w:rsid w:val="002D116D"/>
    <w:rsid w:val="002D527D"/>
    <w:rsid w:val="002D58FB"/>
    <w:rsid w:val="002E0FA7"/>
    <w:rsid w:val="002E40C4"/>
    <w:rsid w:val="002E43B5"/>
    <w:rsid w:val="002E6F9A"/>
    <w:rsid w:val="002F1086"/>
    <w:rsid w:val="002F37DE"/>
    <w:rsid w:val="002F3F20"/>
    <w:rsid w:val="002F57B5"/>
    <w:rsid w:val="00301E71"/>
    <w:rsid w:val="00302261"/>
    <w:rsid w:val="003108AA"/>
    <w:rsid w:val="00310FF5"/>
    <w:rsid w:val="003213CA"/>
    <w:rsid w:val="0032395E"/>
    <w:rsid w:val="00323A9F"/>
    <w:rsid w:val="00324CCC"/>
    <w:rsid w:val="00327B2E"/>
    <w:rsid w:val="003315D3"/>
    <w:rsid w:val="003316A7"/>
    <w:rsid w:val="00334253"/>
    <w:rsid w:val="00337747"/>
    <w:rsid w:val="0034080F"/>
    <w:rsid w:val="003526AE"/>
    <w:rsid w:val="00353253"/>
    <w:rsid w:val="00353374"/>
    <w:rsid w:val="0035349D"/>
    <w:rsid w:val="00357A20"/>
    <w:rsid w:val="00357EED"/>
    <w:rsid w:val="003635BD"/>
    <w:rsid w:val="00364DA9"/>
    <w:rsid w:val="00364EFF"/>
    <w:rsid w:val="00374DAB"/>
    <w:rsid w:val="00375063"/>
    <w:rsid w:val="0037576B"/>
    <w:rsid w:val="0038291A"/>
    <w:rsid w:val="00382B1D"/>
    <w:rsid w:val="00384A6A"/>
    <w:rsid w:val="0038666D"/>
    <w:rsid w:val="00391A09"/>
    <w:rsid w:val="00395497"/>
    <w:rsid w:val="003958FA"/>
    <w:rsid w:val="00396AC7"/>
    <w:rsid w:val="003A2CC3"/>
    <w:rsid w:val="003B1C27"/>
    <w:rsid w:val="003B4C1D"/>
    <w:rsid w:val="003C1116"/>
    <w:rsid w:val="003C3191"/>
    <w:rsid w:val="003C3FD7"/>
    <w:rsid w:val="003C6EF2"/>
    <w:rsid w:val="003D0545"/>
    <w:rsid w:val="003D4C79"/>
    <w:rsid w:val="003D5231"/>
    <w:rsid w:val="003D528F"/>
    <w:rsid w:val="003D65B2"/>
    <w:rsid w:val="003D7255"/>
    <w:rsid w:val="003E0292"/>
    <w:rsid w:val="003E2A6D"/>
    <w:rsid w:val="003E55F6"/>
    <w:rsid w:val="003E7697"/>
    <w:rsid w:val="003F3134"/>
    <w:rsid w:val="00401CA2"/>
    <w:rsid w:val="00403963"/>
    <w:rsid w:val="00412249"/>
    <w:rsid w:val="004158D2"/>
    <w:rsid w:val="00420E60"/>
    <w:rsid w:val="00422C1B"/>
    <w:rsid w:val="004236D6"/>
    <w:rsid w:val="00434C29"/>
    <w:rsid w:val="00444996"/>
    <w:rsid w:val="00445D3C"/>
    <w:rsid w:val="00445DD7"/>
    <w:rsid w:val="004515BD"/>
    <w:rsid w:val="004522FF"/>
    <w:rsid w:val="004554B1"/>
    <w:rsid w:val="00456AF7"/>
    <w:rsid w:val="00456E2F"/>
    <w:rsid w:val="004570A6"/>
    <w:rsid w:val="0046030B"/>
    <w:rsid w:val="004645CB"/>
    <w:rsid w:val="00465BA1"/>
    <w:rsid w:val="0046626E"/>
    <w:rsid w:val="004706B1"/>
    <w:rsid w:val="00471F25"/>
    <w:rsid w:val="00482DDE"/>
    <w:rsid w:val="004846BE"/>
    <w:rsid w:val="00485EE9"/>
    <w:rsid w:val="004905BA"/>
    <w:rsid w:val="004971B0"/>
    <w:rsid w:val="0049734C"/>
    <w:rsid w:val="004A44DD"/>
    <w:rsid w:val="004A74ED"/>
    <w:rsid w:val="004B1853"/>
    <w:rsid w:val="004B1B7B"/>
    <w:rsid w:val="004B3111"/>
    <w:rsid w:val="004B587E"/>
    <w:rsid w:val="004C2ADD"/>
    <w:rsid w:val="004C49D1"/>
    <w:rsid w:val="004C52B5"/>
    <w:rsid w:val="004C5C0F"/>
    <w:rsid w:val="004C7FD3"/>
    <w:rsid w:val="004D6890"/>
    <w:rsid w:val="004D6CA9"/>
    <w:rsid w:val="004E0B0D"/>
    <w:rsid w:val="004E1689"/>
    <w:rsid w:val="004F338A"/>
    <w:rsid w:val="004F423F"/>
    <w:rsid w:val="004F4E1D"/>
    <w:rsid w:val="004F7BBF"/>
    <w:rsid w:val="00502991"/>
    <w:rsid w:val="0050356F"/>
    <w:rsid w:val="005046F0"/>
    <w:rsid w:val="00511536"/>
    <w:rsid w:val="00511C1D"/>
    <w:rsid w:val="005124E7"/>
    <w:rsid w:val="005140BF"/>
    <w:rsid w:val="00514ADB"/>
    <w:rsid w:val="005165B7"/>
    <w:rsid w:val="005204E3"/>
    <w:rsid w:val="00520737"/>
    <w:rsid w:val="0052336F"/>
    <w:rsid w:val="005353B7"/>
    <w:rsid w:val="00537004"/>
    <w:rsid w:val="005401A8"/>
    <w:rsid w:val="00541024"/>
    <w:rsid w:val="00541B68"/>
    <w:rsid w:val="005436EA"/>
    <w:rsid w:val="00544BF2"/>
    <w:rsid w:val="005456DF"/>
    <w:rsid w:val="0054653C"/>
    <w:rsid w:val="00546ACA"/>
    <w:rsid w:val="0055144E"/>
    <w:rsid w:val="00553B19"/>
    <w:rsid w:val="00555713"/>
    <w:rsid w:val="00556678"/>
    <w:rsid w:val="00557D44"/>
    <w:rsid w:val="00566668"/>
    <w:rsid w:val="005679C8"/>
    <w:rsid w:val="0057079B"/>
    <w:rsid w:val="00571318"/>
    <w:rsid w:val="00580812"/>
    <w:rsid w:val="0058145B"/>
    <w:rsid w:val="00581A3F"/>
    <w:rsid w:val="005953B7"/>
    <w:rsid w:val="005A03C4"/>
    <w:rsid w:val="005A64C5"/>
    <w:rsid w:val="005B15D0"/>
    <w:rsid w:val="005B62FE"/>
    <w:rsid w:val="005C3284"/>
    <w:rsid w:val="005C75D4"/>
    <w:rsid w:val="005C7F52"/>
    <w:rsid w:val="005D227E"/>
    <w:rsid w:val="005D55B3"/>
    <w:rsid w:val="005E3468"/>
    <w:rsid w:val="005E3BBD"/>
    <w:rsid w:val="005E5545"/>
    <w:rsid w:val="005E699C"/>
    <w:rsid w:val="005F0FD5"/>
    <w:rsid w:val="005F1C12"/>
    <w:rsid w:val="005F2061"/>
    <w:rsid w:val="005F444F"/>
    <w:rsid w:val="005F7DEA"/>
    <w:rsid w:val="0060312C"/>
    <w:rsid w:val="00606BFE"/>
    <w:rsid w:val="00607351"/>
    <w:rsid w:val="00613347"/>
    <w:rsid w:val="0061554E"/>
    <w:rsid w:val="00617D8E"/>
    <w:rsid w:val="0062263E"/>
    <w:rsid w:val="00623154"/>
    <w:rsid w:val="00626604"/>
    <w:rsid w:val="006268CD"/>
    <w:rsid w:val="00627E5E"/>
    <w:rsid w:val="00634B99"/>
    <w:rsid w:val="00635542"/>
    <w:rsid w:val="00641040"/>
    <w:rsid w:val="006425B6"/>
    <w:rsid w:val="00651DBA"/>
    <w:rsid w:val="006550A0"/>
    <w:rsid w:val="0065665A"/>
    <w:rsid w:val="00657424"/>
    <w:rsid w:val="006576E2"/>
    <w:rsid w:val="0066291C"/>
    <w:rsid w:val="0066582A"/>
    <w:rsid w:val="0067171A"/>
    <w:rsid w:val="00673AA1"/>
    <w:rsid w:val="00682E27"/>
    <w:rsid w:val="00685454"/>
    <w:rsid w:val="00690880"/>
    <w:rsid w:val="00691B0A"/>
    <w:rsid w:val="00692011"/>
    <w:rsid w:val="006953B2"/>
    <w:rsid w:val="006A0F7B"/>
    <w:rsid w:val="006A463B"/>
    <w:rsid w:val="006A7D0E"/>
    <w:rsid w:val="006B0B0A"/>
    <w:rsid w:val="006B0B90"/>
    <w:rsid w:val="006B1446"/>
    <w:rsid w:val="006B23BF"/>
    <w:rsid w:val="006B27F0"/>
    <w:rsid w:val="006B6845"/>
    <w:rsid w:val="006C2B7C"/>
    <w:rsid w:val="006C2D5B"/>
    <w:rsid w:val="006C7D28"/>
    <w:rsid w:val="006D44FA"/>
    <w:rsid w:val="006D473D"/>
    <w:rsid w:val="006D79BF"/>
    <w:rsid w:val="006E0F34"/>
    <w:rsid w:val="006E65E7"/>
    <w:rsid w:val="006F5C3D"/>
    <w:rsid w:val="006F7C61"/>
    <w:rsid w:val="00701045"/>
    <w:rsid w:val="00702500"/>
    <w:rsid w:val="00711BC5"/>
    <w:rsid w:val="007146D9"/>
    <w:rsid w:val="00715ED9"/>
    <w:rsid w:val="0072117D"/>
    <w:rsid w:val="00721F85"/>
    <w:rsid w:val="0072204D"/>
    <w:rsid w:val="00724A76"/>
    <w:rsid w:val="00734E51"/>
    <w:rsid w:val="00736F1D"/>
    <w:rsid w:val="00737A03"/>
    <w:rsid w:val="00737D4C"/>
    <w:rsid w:val="007408A4"/>
    <w:rsid w:val="0074390E"/>
    <w:rsid w:val="00750772"/>
    <w:rsid w:val="00753825"/>
    <w:rsid w:val="00754B5F"/>
    <w:rsid w:val="00761E85"/>
    <w:rsid w:val="007623CC"/>
    <w:rsid w:val="007679E1"/>
    <w:rsid w:val="00772457"/>
    <w:rsid w:val="0077388C"/>
    <w:rsid w:val="007769D8"/>
    <w:rsid w:val="007833D8"/>
    <w:rsid w:val="00784137"/>
    <w:rsid w:val="007846D1"/>
    <w:rsid w:val="007877E9"/>
    <w:rsid w:val="00791156"/>
    <w:rsid w:val="00797BB7"/>
    <w:rsid w:val="007A2C73"/>
    <w:rsid w:val="007A52DB"/>
    <w:rsid w:val="007A5C73"/>
    <w:rsid w:val="007B3125"/>
    <w:rsid w:val="007B4494"/>
    <w:rsid w:val="007B66AF"/>
    <w:rsid w:val="007C7B22"/>
    <w:rsid w:val="007D27B3"/>
    <w:rsid w:val="007D295D"/>
    <w:rsid w:val="007D2C70"/>
    <w:rsid w:val="007D47EF"/>
    <w:rsid w:val="007E0484"/>
    <w:rsid w:val="007F258C"/>
    <w:rsid w:val="007F25A0"/>
    <w:rsid w:val="007F3483"/>
    <w:rsid w:val="007F3D59"/>
    <w:rsid w:val="007F5520"/>
    <w:rsid w:val="007F5795"/>
    <w:rsid w:val="007F6BA0"/>
    <w:rsid w:val="0080293B"/>
    <w:rsid w:val="008039C8"/>
    <w:rsid w:val="008054EC"/>
    <w:rsid w:val="008079A4"/>
    <w:rsid w:val="008157AC"/>
    <w:rsid w:val="0082604B"/>
    <w:rsid w:val="008308F8"/>
    <w:rsid w:val="0085013D"/>
    <w:rsid w:val="00852291"/>
    <w:rsid w:val="00852B32"/>
    <w:rsid w:val="00854A3F"/>
    <w:rsid w:val="0085535F"/>
    <w:rsid w:val="00855C48"/>
    <w:rsid w:val="00856384"/>
    <w:rsid w:val="008572BD"/>
    <w:rsid w:val="00857339"/>
    <w:rsid w:val="008611DD"/>
    <w:rsid w:val="00866F31"/>
    <w:rsid w:val="0087234E"/>
    <w:rsid w:val="008726A2"/>
    <w:rsid w:val="00877DB6"/>
    <w:rsid w:val="00881D61"/>
    <w:rsid w:val="008828C5"/>
    <w:rsid w:val="00884BD0"/>
    <w:rsid w:val="00886B06"/>
    <w:rsid w:val="008915F7"/>
    <w:rsid w:val="00892DDF"/>
    <w:rsid w:val="008946B6"/>
    <w:rsid w:val="00895274"/>
    <w:rsid w:val="008959DA"/>
    <w:rsid w:val="008A13CB"/>
    <w:rsid w:val="008A76C6"/>
    <w:rsid w:val="008B43ED"/>
    <w:rsid w:val="008B7F2C"/>
    <w:rsid w:val="008C04DB"/>
    <w:rsid w:val="008C3A00"/>
    <w:rsid w:val="008C5694"/>
    <w:rsid w:val="008C7C5F"/>
    <w:rsid w:val="008D56D7"/>
    <w:rsid w:val="008E0B00"/>
    <w:rsid w:val="008E2475"/>
    <w:rsid w:val="008E4FC1"/>
    <w:rsid w:val="008E6785"/>
    <w:rsid w:val="008F10A2"/>
    <w:rsid w:val="008F3698"/>
    <w:rsid w:val="008F4498"/>
    <w:rsid w:val="008F46FD"/>
    <w:rsid w:val="008F4E12"/>
    <w:rsid w:val="008F7845"/>
    <w:rsid w:val="009003AB"/>
    <w:rsid w:val="0091228D"/>
    <w:rsid w:val="009122DA"/>
    <w:rsid w:val="00912996"/>
    <w:rsid w:val="00917C3D"/>
    <w:rsid w:val="0092644A"/>
    <w:rsid w:val="0093048C"/>
    <w:rsid w:val="00932D71"/>
    <w:rsid w:val="009332A3"/>
    <w:rsid w:val="00942C8F"/>
    <w:rsid w:val="00945CD6"/>
    <w:rsid w:val="00947BB1"/>
    <w:rsid w:val="009523A0"/>
    <w:rsid w:val="00953AEA"/>
    <w:rsid w:val="00953E56"/>
    <w:rsid w:val="00956749"/>
    <w:rsid w:val="00957AE3"/>
    <w:rsid w:val="00961A81"/>
    <w:rsid w:val="00962F5B"/>
    <w:rsid w:val="009648CE"/>
    <w:rsid w:val="009758A2"/>
    <w:rsid w:val="009812B1"/>
    <w:rsid w:val="00981972"/>
    <w:rsid w:val="00983906"/>
    <w:rsid w:val="00984CA2"/>
    <w:rsid w:val="009977D7"/>
    <w:rsid w:val="009A137A"/>
    <w:rsid w:val="009A4E03"/>
    <w:rsid w:val="009A5DCA"/>
    <w:rsid w:val="009B0ECE"/>
    <w:rsid w:val="009B116B"/>
    <w:rsid w:val="009B1638"/>
    <w:rsid w:val="009B417D"/>
    <w:rsid w:val="009C0645"/>
    <w:rsid w:val="009C14A5"/>
    <w:rsid w:val="009C4AB1"/>
    <w:rsid w:val="009D0E72"/>
    <w:rsid w:val="009D4065"/>
    <w:rsid w:val="009D4196"/>
    <w:rsid w:val="009D47D2"/>
    <w:rsid w:val="009E12BA"/>
    <w:rsid w:val="009E192C"/>
    <w:rsid w:val="009E2AF0"/>
    <w:rsid w:val="009F5785"/>
    <w:rsid w:val="00A16F49"/>
    <w:rsid w:val="00A213AA"/>
    <w:rsid w:val="00A22AAA"/>
    <w:rsid w:val="00A26CFC"/>
    <w:rsid w:val="00A31366"/>
    <w:rsid w:val="00A32646"/>
    <w:rsid w:val="00A35B0D"/>
    <w:rsid w:val="00A35E23"/>
    <w:rsid w:val="00A374DD"/>
    <w:rsid w:val="00A405A0"/>
    <w:rsid w:val="00A44209"/>
    <w:rsid w:val="00A523CB"/>
    <w:rsid w:val="00A61E0E"/>
    <w:rsid w:val="00A653AF"/>
    <w:rsid w:val="00A716D7"/>
    <w:rsid w:val="00A71C13"/>
    <w:rsid w:val="00A757CE"/>
    <w:rsid w:val="00A812B1"/>
    <w:rsid w:val="00A8430B"/>
    <w:rsid w:val="00A851F2"/>
    <w:rsid w:val="00A860C4"/>
    <w:rsid w:val="00A91424"/>
    <w:rsid w:val="00A920A6"/>
    <w:rsid w:val="00A93B30"/>
    <w:rsid w:val="00A94872"/>
    <w:rsid w:val="00AA13A2"/>
    <w:rsid w:val="00AA29C0"/>
    <w:rsid w:val="00AA68FC"/>
    <w:rsid w:val="00AB53E4"/>
    <w:rsid w:val="00AC3A49"/>
    <w:rsid w:val="00AD4A81"/>
    <w:rsid w:val="00AE277F"/>
    <w:rsid w:val="00AE3DBD"/>
    <w:rsid w:val="00AE7913"/>
    <w:rsid w:val="00AE7F91"/>
    <w:rsid w:val="00AF47B6"/>
    <w:rsid w:val="00AF5AB2"/>
    <w:rsid w:val="00B01013"/>
    <w:rsid w:val="00B03E90"/>
    <w:rsid w:val="00B06264"/>
    <w:rsid w:val="00B14396"/>
    <w:rsid w:val="00B1687D"/>
    <w:rsid w:val="00B2120C"/>
    <w:rsid w:val="00B21C6E"/>
    <w:rsid w:val="00B21E20"/>
    <w:rsid w:val="00B23572"/>
    <w:rsid w:val="00B279A8"/>
    <w:rsid w:val="00B303E3"/>
    <w:rsid w:val="00B36763"/>
    <w:rsid w:val="00B4456B"/>
    <w:rsid w:val="00B52ED9"/>
    <w:rsid w:val="00B54D4E"/>
    <w:rsid w:val="00B60529"/>
    <w:rsid w:val="00B6492B"/>
    <w:rsid w:val="00B65F79"/>
    <w:rsid w:val="00B66874"/>
    <w:rsid w:val="00B66AA7"/>
    <w:rsid w:val="00B73ACF"/>
    <w:rsid w:val="00B76962"/>
    <w:rsid w:val="00B81D6E"/>
    <w:rsid w:val="00B87710"/>
    <w:rsid w:val="00B91D97"/>
    <w:rsid w:val="00B92560"/>
    <w:rsid w:val="00B9354D"/>
    <w:rsid w:val="00B94A60"/>
    <w:rsid w:val="00BA307E"/>
    <w:rsid w:val="00BA466F"/>
    <w:rsid w:val="00BA51FC"/>
    <w:rsid w:val="00BA7C70"/>
    <w:rsid w:val="00BB1B5F"/>
    <w:rsid w:val="00BB21F2"/>
    <w:rsid w:val="00BB42FC"/>
    <w:rsid w:val="00BB5136"/>
    <w:rsid w:val="00BC2B05"/>
    <w:rsid w:val="00BD1F4A"/>
    <w:rsid w:val="00BD368A"/>
    <w:rsid w:val="00BD4CFB"/>
    <w:rsid w:val="00BD570D"/>
    <w:rsid w:val="00BE4742"/>
    <w:rsid w:val="00BE7952"/>
    <w:rsid w:val="00BF232F"/>
    <w:rsid w:val="00BF2B2D"/>
    <w:rsid w:val="00BF5E96"/>
    <w:rsid w:val="00BF63D4"/>
    <w:rsid w:val="00C109E4"/>
    <w:rsid w:val="00C119FA"/>
    <w:rsid w:val="00C12B95"/>
    <w:rsid w:val="00C1421D"/>
    <w:rsid w:val="00C14666"/>
    <w:rsid w:val="00C168D1"/>
    <w:rsid w:val="00C347AC"/>
    <w:rsid w:val="00C50621"/>
    <w:rsid w:val="00C53F5E"/>
    <w:rsid w:val="00C56EA9"/>
    <w:rsid w:val="00C625AD"/>
    <w:rsid w:val="00C7667C"/>
    <w:rsid w:val="00C92A97"/>
    <w:rsid w:val="00C934C8"/>
    <w:rsid w:val="00C96298"/>
    <w:rsid w:val="00CA5078"/>
    <w:rsid w:val="00CA7EEF"/>
    <w:rsid w:val="00CB2581"/>
    <w:rsid w:val="00CC42FD"/>
    <w:rsid w:val="00CC733B"/>
    <w:rsid w:val="00CD53E4"/>
    <w:rsid w:val="00CE6EFF"/>
    <w:rsid w:val="00CE7A5F"/>
    <w:rsid w:val="00CF262E"/>
    <w:rsid w:val="00CF48A8"/>
    <w:rsid w:val="00D012A6"/>
    <w:rsid w:val="00D01933"/>
    <w:rsid w:val="00D02ABA"/>
    <w:rsid w:val="00D03655"/>
    <w:rsid w:val="00D06925"/>
    <w:rsid w:val="00D06D5F"/>
    <w:rsid w:val="00D11668"/>
    <w:rsid w:val="00D1248F"/>
    <w:rsid w:val="00D139BC"/>
    <w:rsid w:val="00D13DA1"/>
    <w:rsid w:val="00D1495C"/>
    <w:rsid w:val="00D20E85"/>
    <w:rsid w:val="00D22CE4"/>
    <w:rsid w:val="00D23363"/>
    <w:rsid w:val="00D2542D"/>
    <w:rsid w:val="00D27E83"/>
    <w:rsid w:val="00D300C6"/>
    <w:rsid w:val="00D33E9A"/>
    <w:rsid w:val="00D374C8"/>
    <w:rsid w:val="00D37C3D"/>
    <w:rsid w:val="00D40809"/>
    <w:rsid w:val="00D42F63"/>
    <w:rsid w:val="00D462DA"/>
    <w:rsid w:val="00D511B0"/>
    <w:rsid w:val="00D519D9"/>
    <w:rsid w:val="00D52103"/>
    <w:rsid w:val="00D5485C"/>
    <w:rsid w:val="00D5497A"/>
    <w:rsid w:val="00D6256D"/>
    <w:rsid w:val="00D64882"/>
    <w:rsid w:val="00D67CBB"/>
    <w:rsid w:val="00D7006D"/>
    <w:rsid w:val="00D80F0E"/>
    <w:rsid w:val="00D8319C"/>
    <w:rsid w:val="00D85EDE"/>
    <w:rsid w:val="00D87B79"/>
    <w:rsid w:val="00D90EF6"/>
    <w:rsid w:val="00D940D4"/>
    <w:rsid w:val="00D96403"/>
    <w:rsid w:val="00D97888"/>
    <w:rsid w:val="00DA168C"/>
    <w:rsid w:val="00DA5E9B"/>
    <w:rsid w:val="00DB3F78"/>
    <w:rsid w:val="00DC1AFD"/>
    <w:rsid w:val="00DC31DA"/>
    <w:rsid w:val="00DC5DFB"/>
    <w:rsid w:val="00DD0CF4"/>
    <w:rsid w:val="00DD1FA2"/>
    <w:rsid w:val="00DE118C"/>
    <w:rsid w:val="00DE31B0"/>
    <w:rsid w:val="00DE4AD1"/>
    <w:rsid w:val="00DE6666"/>
    <w:rsid w:val="00DE6D31"/>
    <w:rsid w:val="00DE76C1"/>
    <w:rsid w:val="00DE7B50"/>
    <w:rsid w:val="00DF0131"/>
    <w:rsid w:val="00DF0690"/>
    <w:rsid w:val="00DF2A34"/>
    <w:rsid w:val="00DF2B1D"/>
    <w:rsid w:val="00DF544A"/>
    <w:rsid w:val="00E00860"/>
    <w:rsid w:val="00E01462"/>
    <w:rsid w:val="00E04309"/>
    <w:rsid w:val="00E05254"/>
    <w:rsid w:val="00E05A0A"/>
    <w:rsid w:val="00E05B13"/>
    <w:rsid w:val="00E06BFE"/>
    <w:rsid w:val="00E07588"/>
    <w:rsid w:val="00E242AA"/>
    <w:rsid w:val="00E31786"/>
    <w:rsid w:val="00E347B2"/>
    <w:rsid w:val="00E35D38"/>
    <w:rsid w:val="00E371BC"/>
    <w:rsid w:val="00E41B9E"/>
    <w:rsid w:val="00E41D46"/>
    <w:rsid w:val="00E43CBA"/>
    <w:rsid w:val="00E45FBC"/>
    <w:rsid w:val="00E53917"/>
    <w:rsid w:val="00E55AF6"/>
    <w:rsid w:val="00E62415"/>
    <w:rsid w:val="00E637F8"/>
    <w:rsid w:val="00E6632D"/>
    <w:rsid w:val="00E7247A"/>
    <w:rsid w:val="00E72E9A"/>
    <w:rsid w:val="00E746F6"/>
    <w:rsid w:val="00E76E7F"/>
    <w:rsid w:val="00E77607"/>
    <w:rsid w:val="00E839B1"/>
    <w:rsid w:val="00E8584F"/>
    <w:rsid w:val="00E90075"/>
    <w:rsid w:val="00E937E4"/>
    <w:rsid w:val="00EA16FD"/>
    <w:rsid w:val="00EA713E"/>
    <w:rsid w:val="00EB17F0"/>
    <w:rsid w:val="00EB1960"/>
    <w:rsid w:val="00EB5B54"/>
    <w:rsid w:val="00EB7017"/>
    <w:rsid w:val="00EC329F"/>
    <w:rsid w:val="00ED2EB8"/>
    <w:rsid w:val="00ED374D"/>
    <w:rsid w:val="00ED66FC"/>
    <w:rsid w:val="00ED7A14"/>
    <w:rsid w:val="00EE11F5"/>
    <w:rsid w:val="00EE2105"/>
    <w:rsid w:val="00EE4BB7"/>
    <w:rsid w:val="00EE6E1E"/>
    <w:rsid w:val="00EF5DE2"/>
    <w:rsid w:val="00F0304F"/>
    <w:rsid w:val="00F0559F"/>
    <w:rsid w:val="00F05FAA"/>
    <w:rsid w:val="00F06559"/>
    <w:rsid w:val="00F12B50"/>
    <w:rsid w:val="00F16BC4"/>
    <w:rsid w:val="00F17501"/>
    <w:rsid w:val="00F2130A"/>
    <w:rsid w:val="00F21B5D"/>
    <w:rsid w:val="00F21F90"/>
    <w:rsid w:val="00F23D7E"/>
    <w:rsid w:val="00F23F13"/>
    <w:rsid w:val="00F2614D"/>
    <w:rsid w:val="00F43087"/>
    <w:rsid w:val="00F53D18"/>
    <w:rsid w:val="00F549A6"/>
    <w:rsid w:val="00F566E6"/>
    <w:rsid w:val="00F63F50"/>
    <w:rsid w:val="00F72AEA"/>
    <w:rsid w:val="00F73374"/>
    <w:rsid w:val="00F76A1E"/>
    <w:rsid w:val="00F81611"/>
    <w:rsid w:val="00F83DA1"/>
    <w:rsid w:val="00F84A90"/>
    <w:rsid w:val="00F91436"/>
    <w:rsid w:val="00F91E92"/>
    <w:rsid w:val="00FA05FE"/>
    <w:rsid w:val="00FA250E"/>
    <w:rsid w:val="00FB5724"/>
    <w:rsid w:val="00FB75AA"/>
    <w:rsid w:val="00FC04C5"/>
    <w:rsid w:val="00FC4122"/>
    <w:rsid w:val="00FD1B70"/>
    <w:rsid w:val="00FD473F"/>
    <w:rsid w:val="00FD7600"/>
    <w:rsid w:val="00FD7A55"/>
    <w:rsid w:val="00FE7FDE"/>
    <w:rsid w:val="00FF3048"/>
    <w:rsid w:val="00FF34E6"/>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AA0"/>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425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EndnoteText">
    <w:name w:val="endnote text"/>
    <w:basedOn w:val="Normal"/>
    <w:link w:val="EndnoteTextChar"/>
    <w:uiPriority w:val="99"/>
    <w:unhideWhenUsed/>
    <w:rsid w:val="008A76C6"/>
    <w:rPr>
      <w:rFonts w:ascii="Calibri" w:eastAsia="Calibri" w:hAnsi="Calibri"/>
      <w:sz w:val="20"/>
      <w:szCs w:val="20"/>
    </w:rPr>
  </w:style>
  <w:style w:type="character" w:customStyle="1" w:styleId="EndnoteTextChar">
    <w:name w:val="Endnote Text Char"/>
    <w:link w:val="EndnoteText"/>
    <w:uiPriority w:val="99"/>
    <w:rsid w:val="008A76C6"/>
    <w:rPr>
      <w:rFonts w:ascii="Calibri" w:eastAsia="Calibri" w:hAnsi="Calibri"/>
    </w:rPr>
  </w:style>
  <w:style w:type="character" w:styleId="EndnoteReference">
    <w:name w:val="endnote reference"/>
    <w:uiPriority w:val="99"/>
    <w:unhideWhenUsed/>
    <w:rsid w:val="008A76C6"/>
    <w:rPr>
      <w:vertAlign w:val="superscript"/>
    </w:rPr>
  </w:style>
  <w:style w:type="paragraph" w:customStyle="1" w:styleId="ColorfulList-Accent11">
    <w:name w:val="Colorful List - Accent 11"/>
    <w:basedOn w:val="Normal"/>
    <w:link w:val="ColorfulList-Accent1Char"/>
    <w:uiPriority w:val="34"/>
    <w:qFormat/>
    <w:rsid w:val="00556678"/>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556678"/>
    <w:rPr>
      <w:rFonts w:ascii="Calibri" w:eastAsia="Calibri" w:hAnsi="Calibri"/>
      <w:sz w:val="22"/>
      <w:szCs w:val="22"/>
    </w:rPr>
  </w:style>
  <w:style w:type="table" w:styleId="TableGrid">
    <w:name w:val="Table Grid"/>
    <w:basedOn w:val="TableNormal"/>
    <w:uiPriority w:val="59"/>
    <w:rsid w:val="000D51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7146D9"/>
    <w:rPr>
      <w:rFonts w:cs="Gill Sans MT"/>
      <w:color w:val="4B4C4E"/>
      <w:sz w:val="28"/>
      <w:szCs w:val="28"/>
    </w:rPr>
  </w:style>
  <w:style w:type="paragraph" w:customStyle="1" w:styleId="Normal2">
    <w:name w:val="Normal 2"/>
    <w:basedOn w:val="Normal"/>
    <w:link w:val="Normal2Char"/>
    <w:rsid w:val="007B66AF"/>
    <w:pPr>
      <w:spacing w:line="360" w:lineRule="auto"/>
      <w:ind w:firstLine="720"/>
    </w:pPr>
    <w:rPr>
      <w:rFonts w:ascii="Arial" w:hAnsi="Arial"/>
      <w:bCs/>
      <w:sz w:val="22"/>
    </w:rPr>
  </w:style>
  <w:style w:type="character" w:customStyle="1" w:styleId="Normal2Char">
    <w:name w:val="Normal 2 Char"/>
    <w:link w:val="Normal2"/>
    <w:rsid w:val="007B66AF"/>
    <w:rPr>
      <w:rFonts w:ascii="Arial" w:hAnsi="Arial"/>
      <w:bCs/>
      <w:sz w:val="22"/>
      <w:szCs w:val="24"/>
    </w:rPr>
  </w:style>
  <w:style w:type="paragraph" w:styleId="PlainText">
    <w:name w:val="Plain Text"/>
    <w:basedOn w:val="Normal"/>
    <w:link w:val="PlainTextChar"/>
    <w:uiPriority w:val="99"/>
    <w:unhideWhenUsed/>
    <w:rsid w:val="00895274"/>
    <w:rPr>
      <w:rFonts w:ascii="Consolas" w:eastAsia="MS PGothic" w:hAnsi="Consolas"/>
      <w:sz w:val="21"/>
      <w:szCs w:val="21"/>
      <w:lang w:eastAsia="ja-JP"/>
    </w:rPr>
  </w:style>
  <w:style w:type="character" w:customStyle="1" w:styleId="PlainTextChar">
    <w:name w:val="Plain Text Char"/>
    <w:link w:val="PlainText"/>
    <w:uiPriority w:val="99"/>
    <w:rsid w:val="00895274"/>
    <w:rPr>
      <w:rFonts w:ascii="Consolas" w:eastAsia="MS PGothic" w:hAnsi="Consolas" w:cs="MS PGothic"/>
      <w:sz w:val="21"/>
      <w:szCs w:val="21"/>
      <w:lang w:eastAsia="ja-JP"/>
    </w:rPr>
  </w:style>
  <w:style w:type="paragraph" w:styleId="ListBullet4">
    <w:name w:val="List Bullet 4"/>
    <w:basedOn w:val="Normal"/>
    <w:rsid w:val="00131CB6"/>
    <w:pPr>
      <w:numPr>
        <w:numId w:val="27"/>
      </w:numPr>
      <w:contextualSpacing/>
    </w:pPr>
  </w:style>
  <w:style w:type="paragraph" w:styleId="ListParagraph">
    <w:name w:val="List Paragraph"/>
    <w:basedOn w:val="Normal"/>
    <w:link w:val="ListParagraphChar"/>
    <w:uiPriority w:val="34"/>
    <w:qFormat/>
    <w:rsid w:val="0009521D"/>
    <w:pPr>
      <w:ind w:left="720"/>
    </w:pPr>
  </w:style>
  <w:style w:type="paragraph" w:styleId="TOCHeading">
    <w:name w:val="TOC Heading"/>
    <w:basedOn w:val="Heading1"/>
    <w:next w:val="Normal"/>
    <w:uiPriority w:val="39"/>
    <w:semiHidden/>
    <w:unhideWhenUsed/>
    <w:qFormat/>
    <w:rsid w:val="00364EFF"/>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364EFF"/>
  </w:style>
  <w:style w:type="paragraph" w:styleId="Revision">
    <w:name w:val="Revision"/>
    <w:hidden/>
    <w:uiPriority w:val="99"/>
    <w:semiHidden/>
    <w:rsid w:val="00F06559"/>
    <w:rPr>
      <w:sz w:val="24"/>
      <w:szCs w:val="24"/>
    </w:rPr>
  </w:style>
  <w:style w:type="character" w:customStyle="1" w:styleId="ListParagraphChar">
    <w:name w:val="List Paragraph Char"/>
    <w:link w:val="ListParagraph"/>
    <w:uiPriority w:val="34"/>
    <w:locked/>
    <w:rsid w:val="00BA307E"/>
    <w:rPr>
      <w:sz w:val="24"/>
      <w:szCs w:val="24"/>
    </w:rPr>
  </w:style>
  <w:style w:type="character" w:customStyle="1" w:styleId="Heading2Char">
    <w:name w:val="Heading 2 Char"/>
    <w:basedOn w:val="DefaultParagraphFont"/>
    <w:link w:val="Heading2"/>
    <w:semiHidden/>
    <w:rsid w:val="006425B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6425B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425B6"/>
    <w:rPr>
      <w:rFonts w:asciiTheme="minorHAnsi" w:eastAsiaTheme="minorHAnsi" w:hAnsiTheme="minorHAnsi" w:cstheme="minorBidi"/>
    </w:rPr>
  </w:style>
  <w:style w:type="character" w:styleId="FootnoteReference">
    <w:name w:val="footnote reference"/>
    <w:basedOn w:val="DefaultParagraphFont"/>
    <w:uiPriority w:val="99"/>
    <w:unhideWhenUsed/>
    <w:rsid w:val="006425B6"/>
    <w:rPr>
      <w:rFonts w:ascii="Arial" w:hAnsi="Arial" w:cs="Arial" w:hint="default"/>
      <w:sz w:val="18"/>
      <w:vertAlign w:val="superscript"/>
    </w:rPr>
  </w:style>
  <w:style w:type="numbering" w:customStyle="1" w:styleId="Style1">
    <w:name w:val="Style1"/>
    <w:uiPriority w:val="99"/>
    <w:rsid w:val="006425B6"/>
    <w:pPr>
      <w:numPr>
        <w:numId w:val="45"/>
      </w:numPr>
    </w:pPr>
  </w:style>
  <w:style w:type="character" w:styleId="FollowedHyperlink">
    <w:name w:val="FollowedHyperlink"/>
    <w:basedOn w:val="DefaultParagraphFont"/>
    <w:rsid w:val="006576E2"/>
    <w:rPr>
      <w:color w:val="800080" w:themeColor="followedHyperlink"/>
      <w:u w:val="single"/>
    </w:rPr>
  </w:style>
  <w:style w:type="paragraph" w:styleId="NoSpacing">
    <w:name w:val="No Spacing"/>
    <w:uiPriority w:val="1"/>
    <w:qFormat/>
    <w:rsid w:val="00A86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AA0"/>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425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EndnoteText">
    <w:name w:val="endnote text"/>
    <w:basedOn w:val="Normal"/>
    <w:link w:val="EndnoteTextChar"/>
    <w:uiPriority w:val="99"/>
    <w:unhideWhenUsed/>
    <w:rsid w:val="008A76C6"/>
    <w:rPr>
      <w:rFonts w:ascii="Calibri" w:eastAsia="Calibri" w:hAnsi="Calibri"/>
      <w:sz w:val="20"/>
      <w:szCs w:val="20"/>
    </w:rPr>
  </w:style>
  <w:style w:type="character" w:customStyle="1" w:styleId="EndnoteTextChar">
    <w:name w:val="Endnote Text Char"/>
    <w:link w:val="EndnoteText"/>
    <w:uiPriority w:val="99"/>
    <w:rsid w:val="008A76C6"/>
    <w:rPr>
      <w:rFonts w:ascii="Calibri" w:eastAsia="Calibri" w:hAnsi="Calibri"/>
    </w:rPr>
  </w:style>
  <w:style w:type="character" w:styleId="EndnoteReference">
    <w:name w:val="endnote reference"/>
    <w:uiPriority w:val="99"/>
    <w:unhideWhenUsed/>
    <w:rsid w:val="008A76C6"/>
    <w:rPr>
      <w:vertAlign w:val="superscript"/>
    </w:rPr>
  </w:style>
  <w:style w:type="paragraph" w:customStyle="1" w:styleId="ColorfulList-Accent11">
    <w:name w:val="Colorful List - Accent 11"/>
    <w:basedOn w:val="Normal"/>
    <w:link w:val="ColorfulList-Accent1Char"/>
    <w:uiPriority w:val="34"/>
    <w:qFormat/>
    <w:rsid w:val="00556678"/>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556678"/>
    <w:rPr>
      <w:rFonts w:ascii="Calibri" w:eastAsia="Calibri" w:hAnsi="Calibri"/>
      <w:sz w:val="22"/>
      <w:szCs w:val="22"/>
    </w:rPr>
  </w:style>
  <w:style w:type="table" w:styleId="TableGrid">
    <w:name w:val="Table Grid"/>
    <w:basedOn w:val="TableNormal"/>
    <w:uiPriority w:val="59"/>
    <w:rsid w:val="000D51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7146D9"/>
    <w:rPr>
      <w:rFonts w:cs="Gill Sans MT"/>
      <w:color w:val="4B4C4E"/>
      <w:sz w:val="28"/>
      <w:szCs w:val="28"/>
    </w:rPr>
  </w:style>
  <w:style w:type="paragraph" w:customStyle="1" w:styleId="Normal2">
    <w:name w:val="Normal 2"/>
    <w:basedOn w:val="Normal"/>
    <w:link w:val="Normal2Char"/>
    <w:rsid w:val="007B66AF"/>
    <w:pPr>
      <w:spacing w:line="360" w:lineRule="auto"/>
      <w:ind w:firstLine="720"/>
    </w:pPr>
    <w:rPr>
      <w:rFonts w:ascii="Arial" w:hAnsi="Arial"/>
      <w:bCs/>
      <w:sz w:val="22"/>
    </w:rPr>
  </w:style>
  <w:style w:type="character" w:customStyle="1" w:styleId="Normal2Char">
    <w:name w:val="Normal 2 Char"/>
    <w:link w:val="Normal2"/>
    <w:rsid w:val="007B66AF"/>
    <w:rPr>
      <w:rFonts w:ascii="Arial" w:hAnsi="Arial"/>
      <w:bCs/>
      <w:sz w:val="22"/>
      <w:szCs w:val="24"/>
    </w:rPr>
  </w:style>
  <w:style w:type="paragraph" w:styleId="PlainText">
    <w:name w:val="Plain Text"/>
    <w:basedOn w:val="Normal"/>
    <w:link w:val="PlainTextChar"/>
    <w:uiPriority w:val="99"/>
    <w:unhideWhenUsed/>
    <w:rsid w:val="00895274"/>
    <w:rPr>
      <w:rFonts w:ascii="Consolas" w:eastAsia="MS PGothic" w:hAnsi="Consolas"/>
      <w:sz w:val="21"/>
      <w:szCs w:val="21"/>
      <w:lang w:eastAsia="ja-JP"/>
    </w:rPr>
  </w:style>
  <w:style w:type="character" w:customStyle="1" w:styleId="PlainTextChar">
    <w:name w:val="Plain Text Char"/>
    <w:link w:val="PlainText"/>
    <w:uiPriority w:val="99"/>
    <w:rsid w:val="00895274"/>
    <w:rPr>
      <w:rFonts w:ascii="Consolas" w:eastAsia="MS PGothic" w:hAnsi="Consolas" w:cs="MS PGothic"/>
      <w:sz w:val="21"/>
      <w:szCs w:val="21"/>
      <w:lang w:eastAsia="ja-JP"/>
    </w:rPr>
  </w:style>
  <w:style w:type="paragraph" w:styleId="ListBullet4">
    <w:name w:val="List Bullet 4"/>
    <w:basedOn w:val="Normal"/>
    <w:rsid w:val="00131CB6"/>
    <w:pPr>
      <w:numPr>
        <w:numId w:val="27"/>
      </w:numPr>
      <w:contextualSpacing/>
    </w:pPr>
  </w:style>
  <w:style w:type="paragraph" w:styleId="ListParagraph">
    <w:name w:val="List Paragraph"/>
    <w:basedOn w:val="Normal"/>
    <w:link w:val="ListParagraphChar"/>
    <w:uiPriority w:val="34"/>
    <w:qFormat/>
    <w:rsid w:val="0009521D"/>
    <w:pPr>
      <w:ind w:left="720"/>
    </w:pPr>
  </w:style>
  <w:style w:type="paragraph" w:styleId="TOCHeading">
    <w:name w:val="TOC Heading"/>
    <w:basedOn w:val="Heading1"/>
    <w:next w:val="Normal"/>
    <w:uiPriority w:val="39"/>
    <w:semiHidden/>
    <w:unhideWhenUsed/>
    <w:qFormat/>
    <w:rsid w:val="00364EFF"/>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364EFF"/>
  </w:style>
  <w:style w:type="paragraph" w:styleId="Revision">
    <w:name w:val="Revision"/>
    <w:hidden/>
    <w:uiPriority w:val="99"/>
    <w:semiHidden/>
    <w:rsid w:val="00F06559"/>
    <w:rPr>
      <w:sz w:val="24"/>
      <w:szCs w:val="24"/>
    </w:rPr>
  </w:style>
  <w:style w:type="character" w:customStyle="1" w:styleId="ListParagraphChar">
    <w:name w:val="List Paragraph Char"/>
    <w:link w:val="ListParagraph"/>
    <w:uiPriority w:val="34"/>
    <w:locked/>
    <w:rsid w:val="00BA307E"/>
    <w:rPr>
      <w:sz w:val="24"/>
      <w:szCs w:val="24"/>
    </w:rPr>
  </w:style>
  <w:style w:type="character" w:customStyle="1" w:styleId="Heading2Char">
    <w:name w:val="Heading 2 Char"/>
    <w:basedOn w:val="DefaultParagraphFont"/>
    <w:link w:val="Heading2"/>
    <w:semiHidden/>
    <w:rsid w:val="006425B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6425B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425B6"/>
    <w:rPr>
      <w:rFonts w:asciiTheme="minorHAnsi" w:eastAsiaTheme="minorHAnsi" w:hAnsiTheme="minorHAnsi" w:cstheme="minorBidi"/>
    </w:rPr>
  </w:style>
  <w:style w:type="character" w:styleId="FootnoteReference">
    <w:name w:val="footnote reference"/>
    <w:basedOn w:val="DefaultParagraphFont"/>
    <w:uiPriority w:val="99"/>
    <w:unhideWhenUsed/>
    <w:rsid w:val="006425B6"/>
    <w:rPr>
      <w:rFonts w:ascii="Arial" w:hAnsi="Arial" w:cs="Arial" w:hint="default"/>
      <w:sz w:val="18"/>
      <w:vertAlign w:val="superscript"/>
    </w:rPr>
  </w:style>
  <w:style w:type="numbering" w:customStyle="1" w:styleId="Style1">
    <w:name w:val="Style1"/>
    <w:uiPriority w:val="99"/>
    <w:rsid w:val="006425B6"/>
    <w:pPr>
      <w:numPr>
        <w:numId w:val="45"/>
      </w:numPr>
    </w:pPr>
  </w:style>
  <w:style w:type="character" w:styleId="FollowedHyperlink">
    <w:name w:val="FollowedHyperlink"/>
    <w:basedOn w:val="DefaultParagraphFont"/>
    <w:rsid w:val="006576E2"/>
    <w:rPr>
      <w:color w:val="800080" w:themeColor="followedHyperlink"/>
      <w:u w:val="single"/>
    </w:rPr>
  </w:style>
  <w:style w:type="paragraph" w:styleId="NoSpacing">
    <w:name w:val="No Spacing"/>
    <w:uiPriority w:val="1"/>
    <w:qFormat/>
    <w:rsid w:val="00A86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0398">
      <w:bodyDiv w:val="1"/>
      <w:marLeft w:val="0"/>
      <w:marRight w:val="0"/>
      <w:marTop w:val="0"/>
      <w:marBottom w:val="0"/>
      <w:divBdr>
        <w:top w:val="none" w:sz="0" w:space="0" w:color="auto"/>
        <w:left w:val="none" w:sz="0" w:space="0" w:color="auto"/>
        <w:bottom w:val="none" w:sz="0" w:space="0" w:color="auto"/>
        <w:right w:val="none" w:sz="0" w:space="0" w:color="auto"/>
      </w:divBdr>
    </w:div>
    <w:div w:id="407387298">
      <w:bodyDiv w:val="1"/>
      <w:marLeft w:val="0"/>
      <w:marRight w:val="0"/>
      <w:marTop w:val="0"/>
      <w:marBottom w:val="0"/>
      <w:divBdr>
        <w:top w:val="none" w:sz="0" w:space="0" w:color="auto"/>
        <w:left w:val="none" w:sz="0" w:space="0" w:color="auto"/>
        <w:bottom w:val="none" w:sz="0" w:space="0" w:color="auto"/>
        <w:right w:val="none" w:sz="0" w:space="0" w:color="auto"/>
      </w:divBdr>
    </w:div>
    <w:div w:id="868951993">
      <w:bodyDiv w:val="1"/>
      <w:marLeft w:val="0"/>
      <w:marRight w:val="0"/>
      <w:marTop w:val="0"/>
      <w:marBottom w:val="0"/>
      <w:divBdr>
        <w:top w:val="none" w:sz="0" w:space="0" w:color="auto"/>
        <w:left w:val="none" w:sz="0" w:space="0" w:color="auto"/>
        <w:bottom w:val="none" w:sz="0" w:space="0" w:color="auto"/>
        <w:right w:val="none" w:sz="0" w:space="0" w:color="auto"/>
      </w:divBdr>
    </w:div>
    <w:div w:id="870192448">
      <w:bodyDiv w:val="1"/>
      <w:marLeft w:val="0"/>
      <w:marRight w:val="0"/>
      <w:marTop w:val="0"/>
      <w:marBottom w:val="0"/>
      <w:divBdr>
        <w:top w:val="none" w:sz="0" w:space="0" w:color="auto"/>
        <w:left w:val="none" w:sz="0" w:space="0" w:color="auto"/>
        <w:bottom w:val="none" w:sz="0" w:space="0" w:color="auto"/>
        <w:right w:val="none" w:sz="0" w:space="0" w:color="auto"/>
      </w:divBdr>
    </w:div>
    <w:div w:id="1359769154">
      <w:bodyDiv w:val="1"/>
      <w:marLeft w:val="0"/>
      <w:marRight w:val="0"/>
      <w:marTop w:val="0"/>
      <w:marBottom w:val="0"/>
      <w:divBdr>
        <w:top w:val="none" w:sz="0" w:space="0" w:color="auto"/>
        <w:left w:val="none" w:sz="0" w:space="0" w:color="auto"/>
        <w:bottom w:val="none" w:sz="0" w:space="0" w:color="auto"/>
        <w:right w:val="none" w:sz="0" w:space="0" w:color="auto"/>
      </w:divBdr>
    </w:div>
    <w:div w:id="1375427357">
      <w:bodyDiv w:val="1"/>
      <w:marLeft w:val="0"/>
      <w:marRight w:val="0"/>
      <w:marTop w:val="0"/>
      <w:marBottom w:val="0"/>
      <w:divBdr>
        <w:top w:val="none" w:sz="0" w:space="0" w:color="auto"/>
        <w:left w:val="none" w:sz="0" w:space="0" w:color="auto"/>
        <w:bottom w:val="none" w:sz="0" w:space="0" w:color="auto"/>
        <w:right w:val="none" w:sz="0" w:space="0" w:color="auto"/>
      </w:divBdr>
    </w:div>
    <w:div w:id="1719891208">
      <w:bodyDiv w:val="1"/>
      <w:marLeft w:val="0"/>
      <w:marRight w:val="0"/>
      <w:marTop w:val="0"/>
      <w:marBottom w:val="0"/>
      <w:divBdr>
        <w:top w:val="none" w:sz="0" w:space="0" w:color="auto"/>
        <w:left w:val="none" w:sz="0" w:space="0" w:color="auto"/>
        <w:bottom w:val="none" w:sz="0" w:space="0" w:color="auto"/>
        <w:right w:val="none" w:sz="0" w:space="0" w:color="auto"/>
      </w:divBdr>
    </w:div>
    <w:div w:id="1801340336">
      <w:bodyDiv w:val="1"/>
      <w:marLeft w:val="0"/>
      <w:marRight w:val="0"/>
      <w:marTop w:val="0"/>
      <w:marBottom w:val="0"/>
      <w:divBdr>
        <w:top w:val="none" w:sz="0" w:space="0" w:color="auto"/>
        <w:left w:val="none" w:sz="0" w:space="0" w:color="auto"/>
        <w:bottom w:val="none" w:sz="0" w:space="0" w:color="auto"/>
        <w:right w:val="none" w:sz="0" w:space="0" w:color="auto"/>
      </w:divBdr>
    </w:div>
    <w:div w:id="1918779364">
      <w:bodyDiv w:val="1"/>
      <w:marLeft w:val="0"/>
      <w:marRight w:val="0"/>
      <w:marTop w:val="0"/>
      <w:marBottom w:val="0"/>
      <w:divBdr>
        <w:top w:val="none" w:sz="0" w:space="0" w:color="auto"/>
        <w:left w:val="none" w:sz="0" w:space="0" w:color="auto"/>
        <w:bottom w:val="none" w:sz="0" w:space="0" w:color="auto"/>
        <w:right w:val="none" w:sz="0" w:space="0" w:color="auto"/>
      </w:divBdr>
    </w:div>
    <w:div w:id="2072148176">
      <w:bodyDiv w:val="1"/>
      <w:marLeft w:val="0"/>
      <w:marRight w:val="0"/>
      <w:marTop w:val="0"/>
      <w:marBottom w:val="0"/>
      <w:divBdr>
        <w:top w:val="none" w:sz="0" w:space="0" w:color="auto"/>
        <w:left w:val="none" w:sz="0" w:space="0" w:color="auto"/>
        <w:bottom w:val="none" w:sz="0" w:space="0" w:color="auto"/>
        <w:right w:val="none" w:sz="0" w:space="0" w:color="auto"/>
      </w:divBdr>
    </w:div>
    <w:div w:id="21098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oes211094.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78AF4-BE4E-4788-85B1-69FDC9EAA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6026703-D82A-4D04-849D-0D507DF28969}">
  <ds:schemaRefs>
    <ds:schemaRef ds:uri="http://schemas.microsoft.com/sharepoint/v3/contenttype/forms"/>
  </ds:schemaRefs>
</ds:datastoreItem>
</file>

<file path=customXml/itemProps3.xml><?xml version="1.0" encoding="utf-8"?>
<ds:datastoreItem xmlns:ds="http://schemas.openxmlformats.org/officeDocument/2006/customXml" ds:itemID="{D7AC01AC-2EE0-48BB-87F0-6E9B633E4AF6}">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0FEBFF-EA52-4F76-B1B3-EE44E5FC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OMB Clearance Manual Part A</vt:lpstr>
    </vt:vector>
  </TitlesOfParts>
  <Company>DHHS</Company>
  <LinksUpToDate>false</LinksUpToDate>
  <CharactersWithSpaces>30158</CharactersWithSpaces>
  <SharedDoc>false</SharedDoc>
  <HLinks>
    <vt:vector size="126" baseType="variant">
      <vt:variant>
        <vt:i4>1638480</vt:i4>
      </vt:variant>
      <vt:variant>
        <vt:i4>117</vt:i4>
      </vt:variant>
      <vt:variant>
        <vt:i4>0</vt:i4>
      </vt:variant>
      <vt:variant>
        <vt:i4>5</vt:i4>
      </vt:variant>
      <vt:variant>
        <vt:lpwstr>http://www.bls.gov/oes/current/oes252012.htm</vt:lpwstr>
      </vt:variant>
      <vt:variant>
        <vt:lpwstr/>
      </vt:variant>
      <vt:variant>
        <vt:i4>1704016</vt:i4>
      </vt:variant>
      <vt:variant>
        <vt:i4>114</vt:i4>
      </vt:variant>
      <vt:variant>
        <vt:i4>0</vt:i4>
      </vt:variant>
      <vt:variant>
        <vt:i4>5</vt:i4>
      </vt:variant>
      <vt:variant>
        <vt:lpwstr>http://www.bls.gov/oes/current/oes252011.htm</vt:lpwstr>
      </vt:variant>
      <vt:variant>
        <vt:lpwstr/>
      </vt:variant>
      <vt:variant>
        <vt:i4>1966170</vt:i4>
      </vt:variant>
      <vt:variant>
        <vt:i4>111</vt:i4>
      </vt:variant>
      <vt:variant>
        <vt:i4>0</vt:i4>
      </vt:variant>
      <vt:variant>
        <vt:i4>5</vt:i4>
      </vt:variant>
      <vt:variant>
        <vt:lpwstr>http://www.bls.gov/oes/current/oes119031.htm</vt:lpwstr>
      </vt:variant>
      <vt:variant>
        <vt:lpwstr/>
      </vt:variant>
      <vt:variant>
        <vt:i4>1966132</vt:i4>
      </vt:variant>
      <vt:variant>
        <vt:i4>104</vt:i4>
      </vt:variant>
      <vt:variant>
        <vt:i4>0</vt:i4>
      </vt:variant>
      <vt:variant>
        <vt:i4>5</vt:i4>
      </vt:variant>
      <vt:variant>
        <vt:lpwstr/>
      </vt:variant>
      <vt:variant>
        <vt:lpwstr>_Toc347387891</vt:lpwstr>
      </vt:variant>
      <vt:variant>
        <vt:i4>1966132</vt:i4>
      </vt:variant>
      <vt:variant>
        <vt:i4>98</vt:i4>
      </vt:variant>
      <vt:variant>
        <vt:i4>0</vt:i4>
      </vt:variant>
      <vt:variant>
        <vt:i4>5</vt:i4>
      </vt:variant>
      <vt:variant>
        <vt:lpwstr/>
      </vt:variant>
      <vt:variant>
        <vt:lpwstr>_Toc347387890</vt:lpwstr>
      </vt:variant>
      <vt:variant>
        <vt:i4>2031668</vt:i4>
      </vt:variant>
      <vt:variant>
        <vt:i4>92</vt:i4>
      </vt:variant>
      <vt:variant>
        <vt:i4>0</vt:i4>
      </vt:variant>
      <vt:variant>
        <vt:i4>5</vt:i4>
      </vt:variant>
      <vt:variant>
        <vt:lpwstr/>
      </vt:variant>
      <vt:variant>
        <vt:lpwstr>_Toc347387889</vt:lpwstr>
      </vt:variant>
      <vt:variant>
        <vt:i4>2031668</vt:i4>
      </vt:variant>
      <vt:variant>
        <vt:i4>86</vt:i4>
      </vt:variant>
      <vt:variant>
        <vt:i4>0</vt:i4>
      </vt:variant>
      <vt:variant>
        <vt:i4>5</vt:i4>
      </vt:variant>
      <vt:variant>
        <vt:lpwstr/>
      </vt:variant>
      <vt:variant>
        <vt:lpwstr>_Toc347387888</vt:lpwstr>
      </vt:variant>
      <vt:variant>
        <vt:i4>2031668</vt:i4>
      </vt:variant>
      <vt:variant>
        <vt:i4>80</vt:i4>
      </vt:variant>
      <vt:variant>
        <vt:i4>0</vt:i4>
      </vt:variant>
      <vt:variant>
        <vt:i4>5</vt:i4>
      </vt:variant>
      <vt:variant>
        <vt:lpwstr/>
      </vt:variant>
      <vt:variant>
        <vt:lpwstr>_Toc347387887</vt:lpwstr>
      </vt:variant>
      <vt:variant>
        <vt:i4>2031668</vt:i4>
      </vt:variant>
      <vt:variant>
        <vt:i4>74</vt:i4>
      </vt:variant>
      <vt:variant>
        <vt:i4>0</vt:i4>
      </vt:variant>
      <vt:variant>
        <vt:i4>5</vt:i4>
      </vt:variant>
      <vt:variant>
        <vt:lpwstr/>
      </vt:variant>
      <vt:variant>
        <vt:lpwstr>_Toc347387886</vt:lpwstr>
      </vt:variant>
      <vt:variant>
        <vt:i4>2031668</vt:i4>
      </vt:variant>
      <vt:variant>
        <vt:i4>68</vt:i4>
      </vt:variant>
      <vt:variant>
        <vt:i4>0</vt:i4>
      </vt:variant>
      <vt:variant>
        <vt:i4>5</vt:i4>
      </vt:variant>
      <vt:variant>
        <vt:lpwstr/>
      </vt:variant>
      <vt:variant>
        <vt:lpwstr>_Toc347387885</vt:lpwstr>
      </vt:variant>
      <vt:variant>
        <vt:i4>2031668</vt:i4>
      </vt:variant>
      <vt:variant>
        <vt:i4>62</vt:i4>
      </vt:variant>
      <vt:variant>
        <vt:i4>0</vt:i4>
      </vt:variant>
      <vt:variant>
        <vt:i4>5</vt:i4>
      </vt:variant>
      <vt:variant>
        <vt:lpwstr/>
      </vt:variant>
      <vt:variant>
        <vt:lpwstr>_Toc347387884</vt:lpwstr>
      </vt:variant>
      <vt:variant>
        <vt:i4>2031668</vt:i4>
      </vt:variant>
      <vt:variant>
        <vt:i4>56</vt:i4>
      </vt:variant>
      <vt:variant>
        <vt:i4>0</vt:i4>
      </vt:variant>
      <vt:variant>
        <vt:i4>5</vt:i4>
      </vt:variant>
      <vt:variant>
        <vt:lpwstr/>
      </vt:variant>
      <vt:variant>
        <vt:lpwstr>_Toc347387883</vt:lpwstr>
      </vt:variant>
      <vt:variant>
        <vt:i4>2031668</vt:i4>
      </vt:variant>
      <vt:variant>
        <vt:i4>50</vt:i4>
      </vt:variant>
      <vt:variant>
        <vt:i4>0</vt:i4>
      </vt:variant>
      <vt:variant>
        <vt:i4>5</vt:i4>
      </vt:variant>
      <vt:variant>
        <vt:lpwstr/>
      </vt:variant>
      <vt:variant>
        <vt:lpwstr>_Toc347387882</vt:lpwstr>
      </vt:variant>
      <vt:variant>
        <vt:i4>2031668</vt:i4>
      </vt:variant>
      <vt:variant>
        <vt:i4>44</vt:i4>
      </vt:variant>
      <vt:variant>
        <vt:i4>0</vt:i4>
      </vt:variant>
      <vt:variant>
        <vt:i4>5</vt:i4>
      </vt:variant>
      <vt:variant>
        <vt:lpwstr/>
      </vt:variant>
      <vt:variant>
        <vt:lpwstr>_Toc347387881</vt:lpwstr>
      </vt:variant>
      <vt:variant>
        <vt:i4>2031668</vt:i4>
      </vt:variant>
      <vt:variant>
        <vt:i4>38</vt:i4>
      </vt:variant>
      <vt:variant>
        <vt:i4>0</vt:i4>
      </vt:variant>
      <vt:variant>
        <vt:i4>5</vt:i4>
      </vt:variant>
      <vt:variant>
        <vt:lpwstr/>
      </vt:variant>
      <vt:variant>
        <vt:lpwstr>_Toc347387880</vt:lpwstr>
      </vt:variant>
      <vt:variant>
        <vt:i4>1048628</vt:i4>
      </vt:variant>
      <vt:variant>
        <vt:i4>32</vt:i4>
      </vt:variant>
      <vt:variant>
        <vt:i4>0</vt:i4>
      </vt:variant>
      <vt:variant>
        <vt:i4>5</vt:i4>
      </vt:variant>
      <vt:variant>
        <vt:lpwstr/>
      </vt:variant>
      <vt:variant>
        <vt:lpwstr>_Toc347387879</vt:lpwstr>
      </vt:variant>
      <vt:variant>
        <vt:i4>1048628</vt:i4>
      </vt:variant>
      <vt:variant>
        <vt:i4>26</vt:i4>
      </vt:variant>
      <vt:variant>
        <vt:i4>0</vt:i4>
      </vt:variant>
      <vt:variant>
        <vt:i4>5</vt:i4>
      </vt:variant>
      <vt:variant>
        <vt:lpwstr/>
      </vt:variant>
      <vt:variant>
        <vt:lpwstr>_Toc347387878</vt:lpwstr>
      </vt:variant>
      <vt:variant>
        <vt:i4>1048628</vt:i4>
      </vt:variant>
      <vt:variant>
        <vt:i4>20</vt:i4>
      </vt:variant>
      <vt:variant>
        <vt:i4>0</vt:i4>
      </vt:variant>
      <vt:variant>
        <vt:i4>5</vt:i4>
      </vt:variant>
      <vt:variant>
        <vt:lpwstr/>
      </vt:variant>
      <vt:variant>
        <vt:lpwstr>_Toc347387877</vt:lpwstr>
      </vt:variant>
      <vt:variant>
        <vt:i4>1048628</vt:i4>
      </vt:variant>
      <vt:variant>
        <vt:i4>14</vt:i4>
      </vt:variant>
      <vt:variant>
        <vt:i4>0</vt:i4>
      </vt:variant>
      <vt:variant>
        <vt:i4>5</vt:i4>
      </vt:variant>
      <vt:variant>
        <vt:lpwstr/>
      </vt:variant>
      <vt:variant>
        <vt:lpwstr>_Toc347387876</vt:lpwstr>
      </vt:variant>
      <vt:variant>
        <vt:i4>1048628</vt:i4>
      </vt:variant>
      <vt:variant>
        <vt:i4>8</vt:i4>
      </vt:variant>
      <vt:variant>
        <vt:i4>0</vt:i4>
      </vt:variant>
      <vt:variant>
        <vt:i4>5</vt:i4>
      </vt:variant>
      <vt:variant>
        <vt:lpwstr/>
      </vt:variant>
      <vt:variant>
        <vt:lpwstr>_Toc347387875</vt:lpwstr>
      </vt:variant>
      <vt:variant>
        <vt:i4>1048628</vt:i4>
      </vt:variant>
      <vt:variant>
        <vt:i4>2</vt:i4>
      </vt:variant>
      <vt:variant>
        <vt:i4>0</vt:i4>
      </vt:variant>
      <vt:variant>
        <vt:i4>5</vt:i4>
      </vt:variant>
      <vt:variant>
        <vt:lpwstr/>
      </vt:variant>
      <vt:variant>
        <vt:lpwstr>_Toc347387874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Manual Part A</dc:title>
  <dc:creator>DHHS</dc:creator>
  <cp:lastModifiedBy>Molly</cp:lastModifiedBy>
  <cp:revision>2</cp:revision>
  <cp:lastPrinted>2013-03-29T10:51:00Z</cp:lastPrinted>
  <dcterms:created xsi:type="dcterms:W3CDTF">2016-04-14T20:06:00Z</dcterms:created>
  <dcterms:modified xsi:type="dcterms:W3CDTF">2016-04-14T20:06:00Z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