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AE369" w14:textId="77777777" w:rsidR="00667A13" w:rsidRPr="00667A13" w:rsidRDefault="00667A13" w:rsidP="00A254BA">
      <w:pPr>
        <w:tabs>
          <w:tab w:val="left" w:pos="8010"/>
        </w:tabs>
        <w:spacing w:line="420" w:lineRule="exact"/>
        <w:ind w:firstLine="0"/>
        <w:rPr>
          <w:rFonts w:ascii="Arial" w:hAnsi="Arial" w:cs="Arial"/>
          <w:b/>
          <w:sz w:val="40"/>
          <w:szCs w:val="40"/>
        </w:rPr>
      </w:pPr>
    </w:p>
    <w:p w14:paraId="71F32A6D" w14:textId="0DE73FA0" w:rsidR="00667A13" w:rsidRPr="00667A13" w:rsidRDefault="00F3125B" w:rsidP="00667A13">
      <w:pPr>
        <w:spacing w:line="420" w:lineRule="exact"/>
        <w:ind w:firstLine="0"/>
        <w:jc w:val="center"/>
        <w:rPr>
          <w:rFonts w:ascii="Arial" w:hAnsi="Arial" w:cs="Arial"/>
          <w:b/>
          <w:sz w:val="40"/>
          <w:szCs w:val="40"/>
        </w:rPr>
      </w:pPr>
      <w:r>
        <w:rPr>
          <w:rFonts w:ascii="Arial" w:eastAsia="Arial Unicode MS" w:hAnsi="Arial" w:cs="Arial"/>
          <w:b/>
          <w:noProof/>
          <w:sz w:val="40"/>
          <w:szCs w:val="40"/>
        </w:rPr>
        <w:t xml:space="preserve">National Center </w:t>
      </w:r>
      <w:r w:rsidR="009C048D">
        <w:rPr>
          <w:rFonts w:ascii="Arial" w:eastAsia="Arial Unicode MS" w:hAnsi="Arial" w:cs="Arial"/>
          <w:b/>
          <w:noProof/>
          <w:sz w:val="40"/>
          <w:szCs w:val="40"/>
        </w:rPr>
        <w:t>on</w:t>
      </w:r>
      <w:r>
        <w:rPr>
          <w:rFonts w:ascii="Arial" w:eastAsia="Arial Unicode MS" w:hAnsi="Arial" w:cs="Arial"/>
          <w:b/>
          <w:noProof/>
          <w:sz w:val="40"/>
          <w:szCs w:val="40"/>
        </w:rPr>
        <w:t xml:space="preserve"> Early Head Start</w:t>
      </w:r>
      <w:r w:rsidR="00A22B36">
        <w:rPr>
          <w:rFonts w:ascii="Arial" w:eastAsia="Arial Unicode MS" w:hAnsi="Arial" w:cs="Arial"/>
          <w:b/>
          <w:noProof/>
          <w:sz w:val="40"/>
          <w:szCs w:val="40"/>
        </w:rPr>
        <w:t>–</w:t>
      </w:r>
      <w:r>
        <w:rPr>
          <w:rFonts w:ascii="Arial" w:eastAsia="Arial Unicode MS" w:hAnsi="Arial" w:cs="Arial"/>
          <w:b/>
          <w:noProof/>
          <w:sz w:val="40"/>
          <w:szCs w:val="40"/>
        </w:rPr>
        <w:t>Child Care Partnerships Evaluation</w:t>
      </w:r>
    </w:p>
    <w:p w14:paraId="18AF9E65" w14:textId="77777777" w:rsidR="00667A13" w:rsidRPr="00667A13" w:rsidRDefault="00667A13" w:rsidP="00667A13">
      <w:pPr>
        <w:spacing w:line="420" w:lineRule="exact"/>
        <w:ind w:firstLine="0"/>
        <w:rPr>
          <w:rFonts w:ascii="Arial" w:hAnsi="Arial" w:cs="Arial"/>
          <w:b/>
          <w:sz w:val="40"/>
          <w:szCs w:val="40"/>
        </w:rPr>
      </w:pPr>
    </w:p>
    <w:p w14:paraId="05EF5C15" w14:textId="77777777" w:rsidR="00667A13" w:rsidRPr="00667A13" w:rsidRDefault="00667A13" w:rsidP="00667A13">
      <w:pPr>
        <w:spacing w:line="420" w:lineRule="exact"/>
        <w:ind w:firstLine="0"/>
        <w:jc w:val="center"/>
        <w:rPr>
          <w:rFonts w:ascii="Arial" w:hAnsi="Arial" w:cs="Arial"/>
          <w:b/>
          <w:sz w:val="32"/>
          <w:szCs w:val="32"/>
        </w:rPr>
      </w:pPr>
      <w:r w:rsidRPr="00667A13">
        <w:rPr>
          <w:rFonts w:ascii="Arial" w:hAnsi="Arial" w:cs="Arial"/>
          <w:b/>
          <w:sz w:val="32"/>
          <w:szCs w:val="32"/>
        </w:rPr>
        <w:t>OMB Information Collection Request</w:t>
      </w:r>
    </w:p>
    <w:p w14:paraId="4AAC5656" w14:textId="4EB7718C" w:rsidR="00667A13" w:rsidRPr="00667A13" w:rsidRDefault="00B66C0E" w:rsidP="009E2FA4">
      <w:pPr>
        <w:spacing w:after="1200" w:line="420" w:lineRule="exact"/>
        <w:ind w:firstLine="0"/>
        <w:jc w:val="center"/>
        <w:rPr>
          <w:rFonts w:ascii="Arial" w:hAnsi="Arial" w:cs="Arial"/>
          <w:b/>
          <w:sz w:val="32"/>
          <w:szCs w:val="32"/>
        </w:rPr>
      </w:pPr>
      <w:r w:rsidRPr="00B66C0E">
        <w:rPr>
          <w:rFonts w:ascii="Arial" w:hAnsi="Arial" w:cs="Arial"/>
          <w:b/>
          <w:sz w:val="32"/>
          <w:szCs w:val="32"/>
        </w:rPr>
        <w:t>New Collection</w:t>
      </w:r>
    </w:p>
    <w:p w14:paraId="1158BBC4" w14:textId="77777777" w:rsidR="00667A13" w:rsidRPr="00667A13" w:rsidRDefault="00667A13" w:rsidP="00667A13">
      <w:pPr>
        <w:spacing w:after="360" w:line="240" w:lineRule="auto"/>
        <w:ind w:firstLine="0"/>
        <w:jc w:val="center"/>
        <w:rPr>
          <w:rFonts w:ascii="Arial" w:hAnsi="Arial" w:cs="Arial"/>
          <w:b/>
          <w:sz w:val="48"/>
          <w:szCs w:val="48"/>
        </w:rPr>
      </w:pPr>
      <w:r w:rsidRPr="00667A13">
        <w:rPr>
          <w:rFonts w:ascii="Arial" w:hAnsi="Arial" w:cs="Arial"/>
          <w:b/>
          <w:sz w:val="48"/>
          <w:szCs w:val="48"/>
        </w:rPr>
        <w:t>Supporting Statement</w:t>
      </w:r>
    </w:p>
    <w:p w14:paraId="1428159D" w14:textId="77777777" w:rsidR="00667A13" w:rsidRPr="00667A13" w:rsidRDefault="00667A13" w:rsidP="00667A13">
      <w:pPr>
        <w:spacing w:after="360" w:line="240" w:lineRule="auto"/>
        <w:ind w:firstLine="0"/>
        <w:jc w:val="center"/>
        <w:rPr>
          <w:rFonts w:ascii="Arial" w:hAnsi="Arial" w:cs="Arial"/>
          <w:b/>
          <w:sz w:val="48"/>
          <w:szCs w:val="48"/>
        </w:rPr>
      </w:pPr>
      <w:r w:rsidRPr="00667A13">
        <w:rPr>
          <w:rFonts w:ascii="Arial" w:hAnsi="Arial" w:cs="Arial"/>
          <w:b/>
          <w:sz w:val="48"/>
          <w:szCs w:val="48"/>
        </w:rPr>
        <w:t>Part A</w:t>
      </w:r>
    </w:p>
    <w:p w14:paraId="60D1DF7B" w14:textId="11FDE58A" w:rsidR="00667A13" w:rsidRPr="00667A13" w:rsidRDefault="00243CBF" w:rsidP="009E2FA4">
      <w:pPr>
        <w:spacing w:after="1320" w:line="260" w:lineRule="exact"/>
        <w:ind w:firstLine="0"/>
        <w:jc w:val="center"/>
        <w:rPr>
          <w:rFonts w:ascii="Arial" w:hAnsi="Arial" w:cs="Arial"/>
          <w:b/>
        </w:rPr>
      </w:pPr>
      <w:r>
        <w:rPr>
          <w:rFonts w:ascii="Arial" w:hAnsi="Arial" w:cs="Arial"/>
          <w:b/>
        </w:rPr>
        <w:t>June 27, 2016</w:t>
      </w:r>
    </w:p>
    <w:p w14:paraId="73FA89EE" w14:textId="65DA68D7" w:rsidR="00667A13" w:rsidRPr="00667A13" w:rsidRDefault="00E9787E" w:rsidP="00667A13">
      <w:pPr>
        <w:spacing w:line="240" w:lineRule="auto"/>
        <w:ind w:firstLine="0"/>
        <w:jc w:val="center"/>
        <w:rPr>
          <w:rFonts w:ascii="Arial" w:hAnsi="Arial" w:cs="Arial"/>
          <w:szCs w:val="24"/>
        </w:rPr>
      </w:pPr>
      <w:r>
        <w:rPr>
          <w:rFonts w:ascii="Arial" w:hAnsi="Arial" w:cs="Arial"/>
          <w:szCs w:val="24"/>
        </w:rPr>
        <w:t>Submitted b</w:t>
      </w:r>
      <w:r w:rsidR="00667A13" w:rsidRPr="00667A13">
        <w:rPr>
          <w:rFonts w:ascii="Arial" w:hAnsi="Arial" w:cs="Arial"/>
          <w:szCs w:val="24"/>
        </w:rPr>
        <w:t>y:</w:t>
      </w:r>
    </w:p>
    <w:p w14:paraId="3E7B5881"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Office of Planning, Research and Evaluation</w:t>
      </w:r>
    </w:p>
    <w:p w14:paraId="1CFF1D7D"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 xml:space="preserve">Administration for Children and Families </w:t>
      </w:r>
    </w:p>
    <w:p w14:paraId="021B08F9"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U.S. Department of Health and Human Services</w:t>
      </w:r>
    </w:p>
    <w:p w14:paraId="6233F3A6" w14:textId="77777777" w:rsidR="00607856" w:rsidRPr="00607856" w:rsidRDefault="00607856" w:rsidP="00607856">
      <w:pPr>
        <w:spacing w:line="240" w:lineRule="auto"/>
        <w:ind w:firstLine="0"/>
        <w:jc w:val="center"/>
        <w:rPr>
          <w:rFonts w:ascii="Arial" w:hAnsi="Arial" w:cs="Arial"/>
          <w:szCs w:val="24"/>
        </w:rPr>
      </w:pPr>
    </w:p>
    <w:p w14:paraId="7E17142D"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7</w:t>
      </w:r>
      <w:r w:rsidRPr="00607856">
        <w:rPr>
          <w:rFonts w:ascii="Arial" w:hAnsi="Arial" w:cs="Arial"/>
          <w:szCs w:val="24"/>
          <w:vertAlign w:val="superscript"/>
        </w:rPr>
        <w:t>th</w:t>
      </w:r>
      <w:r w:rsidRPr="00607856">
        <w:rPr>
          <w:rFonts w:ascii="Arial" w:hAnsi="Arial" w:cs="Arial"/>
          <w:szCs w:val="24"/>
        </w:rPr>
        <w:t xml:space="preserve"> Floor, West Aerospace Building</w:t>
      </w:r>
    </w:p>
    <w:p w14:paraId="566DF044"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370 L’Enfant Promenade, SW</w:t>
      </w:r>
    </w:p>
    <w:p w14:paraId="52A74C86" w14:textId="77777777"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Washington, D.C. 20447</w:t>
      </w:r>
    </w:p>
    <w:p w14:paraId="772F9920" w14:textId="77777777" w:rsidR="00607856" w:rsidRPr="00607856" w:rsidRDefault="00607856" w:rsidP="00607856">
      <w:pPr>
        <w:spacing w:line="240" w:lineRule="auto"/>
        <w:ind w:firstLine="0"/>
        <w:jc w:val="center"/>
        <w:rPr>
          <w:rFonts w:ascii="Arial" w:hAnsi="Arial" w:cs="Arial"/>
          <w:szCs w:val="24"/>
        </w:rPr>
      </w:pPr>
    </w:p>
    <w:p w14:paraId="781268C4" w14:textId="310DBE08" w:rsidR="00607856" w:rsidRPr="00607856" w:rsidRDefault="00607856" w:rsidP="00607856">
      <w:pPr>
        <w:spacing w:line="240" w:lineRule="auto"/>
        <w:ind w:firstLine="0"/>
        <w:jc w:val="center"/>
        <w:rPr>
          <w:rFonts w:ascii="Arial" w:hAnsi="Arial" w:cs="Arial"/>
          <w:szCs w:val="24"/>
        </w:rPr>
      </w:pPr>
      <w:r w:rsidRPr="00607856">
        <w:rPr>
          <w:rFonts w:ascii="Arial" w:hAnsi="Arial" w:cs="Arial"/>
          <w:szCs w:val="24"/>
        </w:rPr>
        <w:t>Project Officer:</w:t>
      </w:r>
    </w:p>
    <w:p w14:paraId="286D3755" w14:textId="6DF4C881" w:rsidR="00667A13" w:rsidRDefault="00607856" w:rsidP="00667A13">
      <w:pPr>
        <w:spacing w:line="240" w:lineRule="auto"/>
        <w:ind w:firstLine="0"/>
        <w:jc w:val="center"/>
        <w:rPr>
          <w:rFonts w:ascii="Arial" w:hAnsi="Arial" w:cs="Arial"/>
          <w:szCs w:val="24"/>
        </w:rPr>
      </w:pPr>
      <w:r>
        <w:rPr>
          <w:rFonts w:ascii="Arial" w:hAnsi="Arial" w:cs="Arial"/>
          <w:szCs w:val="24"/>
        </w:rPr>
        <w:t>Andrew Williams</w:t>
      </w:r>
    </w:p>
    <w:p w14:paraId="00F0868F" w14:textId="77777777" w:rsidR="00667A13" w:rsidRDefault="00667A13" w:rsidP="00667A13">
      <w:pPr>
        <w:spacing w:line="240" w:lineRule="auto"/>
        <w:ind w:firstLine="0"/>
        <w:jc w:val="center"/>
        <w:rPr>
          <w:rFonts w:ascii="Arial" w:hAnsi="Arial" w:cs="Arial"/>
          <w:szCs w:val="24"/>
        </w:rPr>
      </w:pPr>
    </w:p>
    <w:p w14:paraId="2666C4C9" w14:textId="77777777" w:rsidR="00667A13" w:rsidRDefault="00667A13" w:rsidP="00667A13">
      <w:pPr>
        <w:spacing w:line="240" w:lineRule="auto"/>
        <w:ind w:firstLine="0"/>
        <w:jc w:val="center"/>
        <w:rPr>
          <w:rFonts w:ascii="Arial" w:hAnsi="Arial" w:cs="Arial"/>
          <w:szCs w:val="24"/>
        </w:rPr>
      </w:pPr>
    </w:p>
    <w:p w14:paraId="4F982CA2" w14:textId="77777777" w:rsidR="00667A13" w:rsidRPr="00667A13" w:rsidRDefault="00667A13" w:rsidP="00667A13">
      <w:pPr>
        <w:spacing w:line="240" w:lineRule="auto"/>
        <w:ind w:firstLine="0"/>
        <w:jc w:val="center"/>
        <w:rPr>
          <w:rFonts w:ascii="Arial" w:hAnsi="Arial" w:cs="Arial"/>
          <w:szCs w:val="24"/>
        </w:rPr>
      </w:pPr>
    </w:p>
    <w:p w14:paraId="2863F329" w14:textId="77777777" w:rsidR="00907632" w:rsidRDefault="00907632" w:rsidP="00731D00">
      <w:pPr>
        <w:pStyle w:val="Heading3"/>
        <w:sectPr w:rsidR="00907632" w:rsidSect="00B07B93">
          <w:headerReference w:type="default" r:id="rId12"/>
          <w:footerReference w:type="default" r:id="rId13"/>
          <w:endnotePr>
            <w:numFmt w:val="decimal"/>
          </w:endnotePr>
          <w:pgSz w:w="12240" w:h="15840" w:code="1"/>
          <w:pgMar w:top="1440" w:right="1440" w:bottom="1440" w:left="1440" w:header="720" w:footer="576" w:gutter="0"/>
          <w:pgNumType w:start="1"/>
          <w:cols w:space="720"/>
          <w:docGrid w:linePitch="326"/>
        </w:sectPr>
      </w:pPr>
    </w:p>
    <w:p w14:paraId="101A152E" w14:textId="13D2089F" w:rsidR="00907632" w:rsidRDefault="00907632" w:rsidP="00907632">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45DD55DA" w14:textId="5D7621F3" w:rsidR="00741C76" w:rsidRDefault="00907632" w:rsidP="00741C76">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741C76">
        <w:t>A1</w:t>
      </w:r>
      <w:r w:rsidR="00741C76">
        <w:tab/>
        <w:t>Necessity for the data collection</w:t>
      </w:r>
      <w:r w:rsidR="00741C76">
        <w:rPr>
          <w:webHidden/>
        </w:rPr>
        <w:tab/>
      </w:r>
      <w:r w:rsidR="00741C76">
        <w:rPr>
          <w:webHidden/>
        </w:rPr>
        <w:fldChar w:fldCharType="begin"/>
      </w:r>
      <w:r w:rsidR="00741C76">
        <w:rPr>
          <w:webHidden/>
        </w:rPr>
        <w:instrText xml:space="preserve"> PAGEREF _Toc423425546 \h </w:instrText>
      </w:r>
      <w:r w:rsidR="00741C76">
        <w:rPr>
          <w:webHidden/>
        </w:rPr>
      </w:r>
      <w:r w:rsidR="00741C76">
        <w:rPr>
          <w:webHidden/>
        </w:rPr>
        <w:fldChar w:fldCharType="separate"/>
      </w:r>
      <w:r w:rsidR="00787F29">
        <w:rPr>
          <w:webHidden/>
        </w:rPr>
        <w:t>1</w:t>
      </w:r>
      <w:r w:rsidR="00741C76">
        <w:rPr>
          <w:webHidden/>
        </w:rPr>
        <w:fldChar w:fldCharType="end"/>
      </w:r>
    </w:p>
    <w:p w14:paraId="5733619D" w14:textId="77777777" w:rsidR="00741C76" w:rsidRDefault="00741C76" w:rsidP="00741C76">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Study background</w:t>
      </w:r>
      <w:r>
        <w:rPr>
          <w:webHidden/>
        </w:rPr>
        <w:tab/>
      </w:r>
      <w:r>
        <w:rPr>
          <w:webHidden/>
        </w:rPr>
        <w:fldChar w:fldCharType="begin"/>
      </w:r>
      <w:r>
        <w:rPr>
          <w:webHidden/>
        </w:rPr>
        <w:instrText xml:space="preserve"> PAGEREF _Toc423425547 \h </w:instrText>
      </w:r>
      <w:r>
        <w:rPr>
          <w:webHidden/>
        </w:rPr>
      </w:r>
      <w:r>
        <w:rPr>
          <w:webHidden/>
        </w:rPr>
        <w:fldChar w:fldCharType="separate"/>
      </w:r>
      <w:r w:rsidR="00787F29">
        <w:rPr>
          <w:webHidden/>
        </w:rPr>
        <w:t>1</w:t>
      </w:r>
      <w:r>
        <w:rPr>
          <w:webHidden/>
        </w:rPr>
        <w:fldChar w:fldCharType="end"/>
      </w:r>
    </w:p>
    <w:p w14:paraId="6934A092" w14:textId="77777777" w:rsidR="00741C76" w:rsidRDefault="00741C76" w:rsidP="00741C76">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_Toc423425548 \h </w:instrText>
      </w:r>
      <w:r>
        <w:rPr>
          <w:webHidden/>
        </w:rPr>
      </w:r>
      <w:r>
        <w:rPr>
          <w:webHidden/>
        </w:rPr>
        <w:fldChar w:fldCharType="separate"/>
      </w:r>
      <w:r w:rsidR="00787F29">
        <w:rPr>
          <w:webHidden/>
        </w:rPr>
        <w:t>3</w:t>
      </w:r>
      <w:r>
        <w:rPr>
          <w:webHidden/>
        </w:rPr>
        <w:fldChar w:fldCharType="end"/>
      </w:r>
    </w:p>
    <w:p w14:paraId="2300E765" w14:textId="46E87C1C" w:rsidR="00741C76" w:rsidRDefault="00741C76" w:rsidP="00741C76">
      <w:pPr>
        <w:pStyle w:val="TOC2"/>
        <w:rPr>
          <w:rFonts w:asciiTheme="minorHAnsi" w:eastAsiaTheme="minorEastAsia" w:hAnsiTheme="minorHAnsi" w:cstheme="minorBidi"/>
          <w:sz w:val="22"/>
          <w:szCs w:val="22"/>
        </w:rPr>
      </w:pPr>
      <w:r>
        <w:t>A2</w:t>
      </w:r>
      <w:r>
        <w:tab/>
        <w:t>Purpose of survey and data collection procedures</w:t>
      </w:r>
      <w:r>
        <w:rPr>
          <w:webHidden/>
        </w:rPr>
        <w:tab/>
      </w:r>
      <w:r>
        <w:rPr>
          <w:webHidden/>
        </w:rPr>
        <w:fldChar w:fldCharType="begin"/>
      </w:r>
      <w:r>
        <w:rPr>
          <w:webHidden/>
        </w:rPr>
        <w:instrText xml:space="preserve"> PAGEREF _Toc423425549 \h </w:instrText>
      </w:r>
      <w:r>
        <w:rPr>
          <w:webHidden/>
        </w:rPr>
      </w:r>
      <w:r>
        <w:rPr>
          <w:webHidden/>
        </w:rPr>
        <w:fldChar w:fldCharType="separate"/>
      </w:r>
      <w:r w:rsidR="00787F29">
        <w:rPr>
          <w:webHidden/>
        </w:rPr>
        <w:t>3</w:t>
      </w:r>
      <w:r>
        <w:rPr>
          <w:webHidden/>
        </w:rPr>
        <w:fldChar w:fldCharType="end"/>
      </w:r>
    </w:p>
    <w:p w14:paraId="74B9C5CF" w14:textId="77777777" w:rsidR="00741C76" w:rsidRDefault="00741C76" w:rsidP="00741C76">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Overview of purpose and approach</w:t>
      </w:r>
      <w:r>
        <w:rPr>
          <w:webHidden/>
        </w:rPr>
        <w:tab/>
      </w:r>
      <w:r>
        <w:rPr>
          <w:webHidden/>
        </w:rPr>
        <w:fldChar w:fldCharType="begin"/>
      </w:r>
      <w:r>
        <w:rPr>
          <w:webHidden/>
        </w:rPr>
        <w:instrText xml:space="preserve"> PAGEREF _Toc423425550 \h </w:instrText>
      </w:r>
      <w:r>
        <w:rPr>
          <w:webHidden/>
        </w:rPr>
      </w:r>
      <w:r>
        <w:rPr>
          <w:webHidden/>
        </w:rPr>
        <w:fldChar w:fldCharType="separate"/>
      </w:r>
      <w:r w:rsidR="00787F29">
        <w:rPr>
          <w:webHidden/>
        </w:rPr>
        <w:t>3</w:t>
      </w:r>
      <w:r>
        <w:rPr>
          <w:webHidden/>
        </w:rPr>
        <w:fldChar w:fldCharType="end"/>
      </w:r>
    </w:p>
    <w:p w14:paraId="15E69847" w14:textId="77777777" w:rsidR="00741C76" w:rsidRDefault="00741C76" w:rsidP="00741C76">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Research questions</w:t>
      </w:r>
      <w:r>
        <w:rPr>
          <w:webHidden/>
        </w:rPr>
        <w:tab/>
      </w:r>
      <w:r>
        <w:rPr>
          <w:webHidden/>
        </w:rPr>
        <w:fldChar w:fldCharType="begin"/>
      </w:r>
      <w:r>
        <w:rPr>
          <w:webHidden/>
        </w:rPr>
        <w:instrText xml:space="preserve"> PAGEREF _Toc423425551 \h </w:instrText>
      </w:r>
      <w:r>
        <w:rPr>
          <w:webHidden/>
        </w:rPr>
      </w:r>
      <w:r>
        <w:rPr>
          <w:webHidden/>
        </w:rPr>
        <w:fldChar w:fldCharType="separate"/>
      </w:r>
      <w:r w:rsidR="00787F29">
        <w:rPr>
          <w:webHidden/>
        </w:rPr>
        <w:t>4</w:t>
      </w:r>
      <w:r>
        <w:rPr>
          <w:webHidden/>
        </w:rPr>
        <w:fldChar w:fldCharType="end"/>
      </w:r>
    </w:p>
    <w:p w14:paraId="4A6C9BDB" w14:textId="77777777" w:rsidR="00741C76" w:rsidRDefault="00741C76" w:rsidP="00741C76">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Study design</w:t>
      </w:r>
      <w:r>
        <w:rPr>
          <w:webHidden/>
        </w:rPr>
        <w:tab/>
      </w:r>
      <w:r>
        <w:rPr>
          <w:webHidden/>
        </w:rPr>
        <w:fldChar w:fldCharType="begin"/>
      </w:r>
      <w:r>
        <w:rPr>
          <w:webHidden/>
        </w:rPr>
        <w:instrText xml:space="preserve"> PAGEREF _Toc423425552 \h </w:instrText>
      </w:r>
      <w:r>
        <w:rPr>
          <w:webHidden/>
        </w:rPr>
      </w:r>
      <w:r>
        <w:rPr>
          <w:webHidden/>
        </w:rPr>
        <w:fldChar w:fldCharType="separate"/>
      </w:r>
      <w:r w:rsidR="00787F29">
        <w:rPr>
          <w:webHidden/>
        </w:rPr>
        <w:t>4</w:t>
      </w:r>
      <w:r>
        <w:rPr>
          <w:webHidden/>
        </w:rPr>
        <w:fldChar w:fldCharType="end"/>
      </w:r>
    </w:p>
    <w:p w14:paraId="43A40603" w14:textId="77777777" w:rsidR="00741C76" w:rsidRDefault="00741C76" w:rsidP="00741C76">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Universe of data collection efforts</w:t>
      </w:r>
      <w:r>
        <w:rPr>
          <w:webHidden/>
        </w:rPr>
        <w:tab/>
      </w:r>
      <w:r>
        <w:rPr>
          <w:webHidden/>
        </w:rPr>
        <w:fldChar w:fldCharType="begin"/>
      </w:r>
      <w:r>
        <w:rPr>
          <w:webHidden/>
        </w:rPr>
        <w:instrText xml:space="preserve"> PAGEREF _Toc423425553 \h </w:instrText>
      </w:r>
      <w:r>
        <w:rPr>
          <w:webHidden/>
        </w:rPr>
      </w:r>
      <w:r>
        <w:rPr>
          <w:webHidden/>
        </w:rPr>
        <w:fldChar w:fldCharType="separate"/>
      </w:r>
      <w:r w:rsidR="00787F29">
        <w:rPr>
          <w:webHidden/>
        </w:rPr>
        <w:t>5</w:t>
      </w:r>
      <w:r>
        <w:rPr>
          <w:webHidden/>
        </w:rPr>
        <w:fldChar w:fldCharType="end"/>
      </w:r>
    </w:p>
    <w:p w14:paraId="068778AF" w14:textId="690EA506" w:rsidR="00741C76" w:rsidRDefault="00741C76" w:rsidP="00741C76">
      <w:pPr>
        <w:pStyle w:val="TOC2"/>
        <w:rPr>
          <w:rFonts w:asciiTheme="minorHAnsi" w:eastAsiaTheme="minorEastAsia" w:hAnsiTheme="minorHAnsi" w:cstheme="minorBidi"/>
          <w:sz w:val="22"/>
          <w:szCs w:val="22"/>
        </w:rPr>
      </w:pPr>
      <w:r>
        <w:t>A3</w:t>
      </w:r>
      <w:r>
        <w:tab/>
        <w:t>Improved information technology to reduce burden</w:t>
      </w:r>
      <w:r>
        <w:rPr>
          <w:webHidden/>
        </w:rPr>
        <w:tab/>
      </w:r>
      <w:r>
        <w:rPr>
          <w:webHidden/>
        </w:rPr>
        <w:fldChar w:fldCharType="begin"/>
      </w:r>
      <w:r>
        <w:rPr>
          <w:webHidden/>
        </w:rPr>
        <w:instrText xml:space="preserve"> PAGEREF _Toc423425554 \h </w:instrText>
      </w:r>
      <w:r>
        <w:rPr>
          <w:webHidden/>
        </w:rPr>
      </w:r>
      <w:r>
        <w:rPr>
          <w:webHidden/>
        </w:rPr>
        <w:fldChar w:fldCharType="separate"/>
      </w:r>
      <w:r w:rsidR="00787F29">
        <w:rPr>
          <w:webHidden/>
        </w:rPr>
        <w:t>6</w:t>
      </w:r>
      <w:r>
        <w:rPr>
          <w:webHidden/>
        </w:rPr>
        <w:fldChar w:fldCharType="end"/>
      </w:r>
    </w:p>
    <w:p w14:paraId="162D9204" w14:textId="42912DF1" w:rsidR="00741C76" w:rsidRDefault="00741C76" w:rsidP="00741C76">
      <w:pPr>
        <w:pStyle w:val="TOC2"/>
        <w:rPr>
          <w:rFonts w:asciiTheme="minorHAnsi" w:eastAsiaTheme="minorEastAsia" w:hAnsiTheme="minorHAnsi" w:cstheme="minorBidi"/>
          <w:sz w:val="22"/>
          <w:szCs w:val="22"/>
        </w:rPr>
      </w:pPr>
      <w:r>
        <w:t>A4</w:t>
      </w:r>
      <w:r>
        <w:tab/>
        <w:t>Efforts to identify duplication</w:t>
      </w:r>
      <w:r>
        <w:rPr>
          <w:webHidden/>
        </w:rPr>
        <w:tab/>
      </w:r>
      <w:r>
        <w:rPr>
          <w:webHidden/>
        </w:rPr>
        <w:fldChar w:fldCharType="begin"/>
      </w:r>
      <w:r>
        <w:rPr>
          <w:webHidden/>
        </w:rPr>
        <w:instrText xml:space="preserve"> PAGEREF _Toc423425555 \h </w:instrText>
      </w:r>
      <w:r>
        <w:rPr>
          <w:webHidden/>
        </w:rPr>
      </w:r>
      <w:r>
        <w:rPr>
          <w:webHidden/>
        </w:rPr>
        <w:fldChar w:fldCharType="separate"/>
      </w:r>
      <w:r w:rsidR="00787F29">
        <w:rPr>
          <w:webHidden/>
        </w:rPr>
        <w:t>6</w:t>
      </w:r>
      <w:r>
        <w:rPr>
          <w:webHidden/>
        </w:rPr>
        <w:fldChar w:fldCharType="end"/>
      </w:r>
    </w:p>
    <w:p w14:paraId="6D475F05" w14:textId="1E99B169" w:rsidR="00741C76" w:rsidRDefault="00741C76" w:rsidP="00741C76">
      <w:pPr>
        <w:pStyle w:val="TOC2"/>
        <w:rPr>
          <w:rFonts w:asciiTheme="minorHAnsi" w:eastAsiaTheme="minorEastAsia" w:hAnsiTheme="minorHAnsi" w:cstheme="minorBidi"/>
          <w:sz w:val="22"/>
          <w:szCs w:val="22"/>
        </w:rPr>
      </w:pPr>
      <w:r>
        <w:t>A5</w:t>
      </w:r>
      <w:r>
        <w:tab/>
        <w:t>Involvement of small organizations</w:t>
      </w:r>
      <w:r>
        <w:rPr>
          <w:webHidden/>
        </w:rPr>
        <w:tab/>
      </w:r>
      <w:r>
        <w:rPr>
          <w:webHidden/>
        </w:rPr>
        <w:fldChar w:fldCharType="begin"/>
      </w:r>
      <w:r>
        <w:rPr>
          <w:webHidden/>
        </w:rPr>
        <w:instrText xml:space="preserve"> PAGEREF _Toc423425556 \h </w:instrText>
      </w:r>
      <w:r>
        <w:rPr>
          <w:webHidden/>
        </w:rPr>
      </w:r>
      <w:r>
        <w:rPr>
          <w:webHidden/>
        </w:rPr>
        <w:fldChar w:fldCharType="separate"/>
      </w:r>
      <w:r w:rsidR="00787F29">
        <w:rPr>
          <w:webHidden/>
        </w:rPr>
        <w:t>6</w:t>
      </w:r>
      <w:r>
        <w:rPr>
          <w:webHidden/>
        </w:rPr>
        <w:fldChar w:fldCharType="end"/>
      </w:r>
    </w:p>
    <w:p w14:paraId="66152C2A" w14:textId="3CA79647" w:rsidR="00741C76" w:rsidRDefault="00741C76" w:rsidP="00741C76">
      <w:pPr>
        <w:pStyle w:val="TOC2"/>
        <w:rPr>
          <w:rFonts w:asciiTheme="minorHAnsi" w:eastAsiaTheme="minorEastAsia" w:hAnsiTheme="minorHAnsi" w:cstheme="minorBidi"/>
          <w:sz w:val="22"/>
          <w:szCs w:val="22"/>
        </w:rPr>
      </w:pPr>
      <w:r>
        <w:t>A6</w:t>
      </w:r>
      <w:r>
        <w:tab/>
        <w:t>Consequences of less frequent data collection</w:t>
      </w:r>
      <w:r>
        <w:rPr>
          <w:webHidden/>
        </w:rPr>
        <w:tab/>
      </w:r>
      <w:r>
        <w:rPr>
          <w:webHidden/>
        </w:rPr>
        <w:fldChar w:fldCharType="begin"/>
      </w:r>
      <w:r>
        <w:rPr>
          <w:webHidden/>
        </w:rPr>
        <w:instrText xml:space="preserve"> PAGEREF _Toc423425557 \h </w:instrText>
      </w:r>
      <w:r>
        <w:rPr>
          <w:webHidden/>
        </w:rPr>
      </w:r>
      <w:r>
        <w:rPr>
          <w:webHidden/>
        </w:rPr>
        <w:fldChar w:fldCharType="separate"/>
      </w:r>
      <w:r w:rsidR="00787F29">
        <w:rPr>
          <w:webHidden/>
        </w:rPr>
        <w:t>7</w:t>
      </w:r>
      <w:r>
        <w:rPr>
          <w:webHidden/>
        </w:rPr>
        <w:fldChar w:fldCharType="end"/>
      </w:r>
    </w:p>
    <w:p w14:paraId="554C3015" w14:textId="4F09F0FF" w:rsidR="00741C76" w:rsidRDefault="00741C76" w:rsidP="00741C76">
      <w:pPr>
        <w:pStyle w:val="TOC2"/>
        <w:rPr>
          <w:rFonts w:asciiTheme="minorHAnsi" w:eastAsiaTheme="minorEastAsia" w:hAnsiTheme="minorHAnsi" w:cstheme="minorBidi"/>
          <w:sz w:val="22"/>
          <w:szCs w:val="22"/>
        </w:rPr>
      </w:pPr>
      <w:r>
        <w:t>A7</w:t>
      </w:r>
      <w:r>
        <w:tab/>
        <w:t>Special circumstances</w:t>
      </w:r>
      <w:r>
        <w:rPr>
          <w:webHidden/>
        </w:rPr>
        <w:tab/>
      </w:r>
      <w:r>
        <w:rPr>
          <w:webHidden/>
        </w:rPr>
        <w:fldChar w:fldCharType="begin"/>
      </w:r>
      <w:r>
        <w:rPr>
          <w:webHidden/>
        </w:rPr>
        <w:instrText xml:space="preserve"> PAGEREF _Toc423425558 \h </w:instrText>
      </w:r>
      <w:r>
        <w:rPr>
          <w:webHidden/>
        </w:rPr>
      </w:r>
      <w:r>
        <w:rPr>
          <w:webHidden/>
        </w:rPr>
        <w:fldChar w:fldCharType="separate"/>
      </w:r>
      <w:r w:rsidR="00787F29">
        <w:rPr>
          <w:webHidden/>
        </w:rPr>
        <w:t>7</w:t>
      </w:r>
      <w:r>
        <w:rPr>
          <w:webHidden/>
        </w:rPr>
        <w:fldChar w:fldCharType="end"/>
      </w:r>
    </w:p>
    <w:p w14:paraId="66DD73E3" w14:textId="05264436" w:rsidR="00741C76" w:rsidRDefault="00741C76" w:rsidP="00741C76">
      <w:pPr>
        <w:pStyle w:val="TOC2"/>
        <w:rPr>
          <w:rFonts w:asciiTheme="minorHAnsi" w:eastAsiaTheme="minorEastAsia" w:hAnsiTheme="minorHAnsi" w:cstheme="minorBidi"/>
          <w:sz w:val="22"/>
          <w:szCs w:val="22"/>
        </w:rPr>
      </w:pPr>
      <w:r>
        <w:t>A8</w:t>
      </w:r>
      <w:r>
        <w:tab/>
      </w:r>
      <w:r w:rsidRPr="00F56D8E">
        <w:rPr>
          <w:i/>
        </w:rPr>
        <w:t>Federal Register</w:t>
      </w:r>
      <w:r>
        <w:t xml:space="preserve"> notice and consultation</w:t>
      </w:r>
      <w:r>
        <w:rPr>
          <w:webHidden/>
        </w:rPr>
        <w:tab/>
      </w:r>
      <w:r>
        <w:rPr>
          <w:webHidden/>
        </w:rPr>
        <w:fldChar w:fldCharType="begin"/>
      </w:r>
      <w:r>
        <w:rPr>
          <w:webHidden/>
        </w:rPr>
        <w:instrText xml:space="preserve"> PAGEREF _Toc423425559 \h </w:instrText>
      </w:r>
      <w:r>
        <w:rPr>
          <w:webHidden/>
        </w:rPr>
      </w:r>
      <w:r>
        <w:rPr>
          <w:webHidden/>
        </w:rPr>
        <w:fldChar w:fldCharType="separate"/>
      </w:r>
      <w:r w:rsidR="00787F29">
        <w:rPr>
          <w:webHidden/>
        </w:rPr>
        <w:t>7</w:t>
      </w:r>
      <w:r>
        <w:rPr>
          <w:webHidden/>
        </w:rPr>
        <w:fldChar w:fldCharType="end"/>
      </w:r>
    </w:p>
    <w:p w14:paraId="58B3B8A2" w14:textId="77777777" w:rsidR="00741C76" w:rsidRDefault="00741C76" w:rsidP="00741C76">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rsidRPr="00F56D8E">
        <w:rPr>
          <w:i/>
        </w:rPr>
        <w:t>Federal Register</w:t>
      </w:r>
      <w:r>
        <w:t xml:space="preserve"> notice and comments</w:t>
      </w:r>
      <w:r>
        <w:rPr>
          <w:webHidden/>
        </w:rPr>
        <w:tab/>
      </w:r>
      <w:r>
        <w:rPr>
          <w:webHidden/>
        </w:rPr>
        <w:fldChar w:fldCharType="begin"/>
      </w:r>
      <w:r>
        <w:rPr>
          <w:webHidden/>
        </w:rPr>
        <w:instrText xml:space="preserve"> PAGEREF _Toc423425560 \h </w:instrText>
      </w:r>
      <w:r>
        <w:rPr>
          <w:webHidden/>
        </w:rPr>
      </w:r>
      <w:r>
        <w:rPr>
          <w:webHidden/>
        </w:rPr>
        <w:fldChar w:fldCharType="separate"/>
      </w:r>
      <w:r w:rsidR="00787F29">
        <w:rPr>
          <w:webHidden/>
        </w:rPr>
        <w:t>7</w:t>
      </w:r>
      <w:r>
        <w:rPr>
          <w:webHidden/>
        </w:rPr>
        <w:fldChar w:fldCharType="end"/>
      </w:r>
    </w:p>
    <w:p w14:paraId="01BF11A5" w14:textId="77777777" w:rsidR="00741C76" w:rsidRDefault="00741C76" w:rsidP="00741C76">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Consultation with experts outside of the study</w:t>
      </w:r>
      <w:r>
        <w:rPr>
          <w:webHidden/>
        </w:rPr>
        <w:tab/>
      </w:r>
      <w:r>
        <w:rPr>
          <w:webHidden/>
        </w:rPr>
        <w:fldChar w:fldCharType="begin"/>
      </w:r>
      <w:r>
        <w:rPr>
          <w:webHidden/>
        </w:rPr>
        <w:instrText xml:space="preserve"> PAGEREF _Toc423425561 \h </w:instrText>
      </w:r>
      <w:r>
        <w:rPr>
          <w:webHidden/>
        </w:rPr>
      </w:r>
      <w:r>
        <w:rPr>
          <w:webHidden/>
        </w:rPr>
        <w:fldChar w:fldCharType="separate"/>
      </w:r>
      <w:r w:rsidR="00787F29">
        <w:rPr>
          <w:webHidden/>
        </w:rPr>
        <w:t>7</w:t>
      </w:r>
      <w:r>
        <w:rPr>
          <w:webHidden/>
        </w:rPr>
        <w:fldChar w:fldCharType="end"/>
      </w:r>
    </w:p>
    <w:p w14:paraId="1A14A4E9" w14:textId="11BA0DF8" w:rsidR="00741C76" w:rsidRDefault="00741C76" w:rsidP="00741C76">
      <w:pPr>
        <w:pStyle w:val="TOC2"/>
        <w:rPr>
          <w:rFonts w:asciiTheme="minorHAnsi" w:eastAsiaTheme="minorEastAsia" w:hAnsiTheme="minorHAnsi" w:cstheme="minorBidi"/>
          <w:sz w:val="22"/>
          <w:szCs w:val="22"/>
        </w:rPr>
      </w:pPr>
      <w:r>
        <w:t>A9</w:t>
      </w:r>
      <w:r>
        <w:tab/>
        <w:t>Incentives for respondents</w:t>
      </w:r>
      <w:r>
        <w:rPr>
          <w:webHidden/>
        </w:rPr>
        <w:tab/>
      </w:r>
      <w:r>
        <w:rPr>
          <w:webHidden/>
        </w:rPr>
        <w:fldChar w:fldCharType="begin"/>
      </w:r>
      <w:r>
        <w:rPr>
          <w:webHidden/>
        </w:rPr>
        <w:instrText xml:space="preserve"> PAGEREF _Toc423425562 \h </w:instrText>
      </w:r>
      <w:r>
        <w:rPr>
          <w:webHidden/>
        </w:rPr>
      </w:r>
      <w:r>
        <w:rPr>
          <w:webHidden/>
        </w:rPr>
        <w:fldChar w:fldCharType="separate"/>
      </w:r>
      <w:r w:rsidR="00787F29">
        <w:rPr>
          <w:webHidden/>
        </w:rPr>
        <w:t>7</w:t>
      </w:r>
      <w:r>
        <w:rPr>
          <w:webHidden/>
        </w:rPr>
        <w:fldChar w:fldCharType="end"/>
      </w:r>
    </w:p>
    <w:p w14:paraId="25073A71" w14:textId="5C119857" w:rsidR="00741C76" w:rsidRDefault="00741C76" w:rsidP="00741C76">
      <w:pPr>
        <w:pStyle w:val="TOC2"/>
        <w:rPr>
          <w:rFonts w:asciiTheme="minorHAnsi" w:eastAsiaTheme="minorEastAsia" w:hAnsiTheme="minorHAnsi" w:cstheme="minorBidi"/>
          <w:sz w:val="22"/>
          <w:szCs w:val="22"/>
        </w:rPr>
      </w:pPr>
      <w:r>
        <w:t>A10</w:t>
      </w:r>
      <w:r>
        <w:tab/>
        <w:t>Privacy of respondents</w:t>
      </w:r>
      <w:r>
        <w:rPr>
          <w:webHidden/>
        </w:rPr>
        <w:tab/>
      </w:r>
      <w:r>
        <w:rPr>
          <w:webHidden/>
        </w:rPr>
        <w:fldChar w:fldCharType="begin"/>
      </w:r>
      <w:r>
        <w:rPr>
          <w:webHidden/>
        </w:rPr>
        <w:instrText xml:space="preserve"> PAGEREF _Toc423425563 \h </w:instrText>
      </w:r>
      <w:r>
        <w:rPr>
          <w:webHidden/>
        </w:rPr>
      </w:r>
      <w:r>
        <w:rPr>
          <w:webHidden/>
        </w:rPr>
        <w:fldChar w:fldCharType="separate"/>
      </w:r>
      <w:r w:rsidR="00787F29">
        <w:rPr>
          <w:webHidden/>
        </w:rPr>
        <w:t>7</w:t>
      </w:r>
      <w:r>
        <w:rPr>
          <w:webHidden/>
        </w:rPr>
        <w:fldChar w:fldCharType="end"/>
      </w:r>
    </w:p>
    <w:p w14:paraId="2159C995" w14:textId="7C1FC07C" w:rsidR="00741C76" w:rsidRDefault="00741C76" w:rsidP="00741C76">
      <w:pPr>
        <w:pStyle w:val="TOC2"/>
        <w:rPr>
          <w:rFonts w:asciiTheme="minorHAnsi" w:eastAsiaTheme="minorEastAsia" w:hAnsiTheme="minorHAnsi" w:cstheme="minorBidi"/>
          <w:sz w:val="22"/>
          <w:szCs w:val="22"/>
        </w:rPr>
      </w:pPr>
      <w:r>
        <w:t>A11</w:t>
      </w:r>
      <w:r>
        <w:tab/>
        <w:t>Sensitive questions</w:t>
      </w:r>
      <w:r>
        <w:rPr>
          <w:webHidden/>
        </w:rPr>
        <w:tab/>
      </w:r>
      <w:r>
        <w:rPr>
          <w:webHidden/>
        </w:rPr>
        <w:fldChar w:fldCharType="begin"/>
      </w:r>
      <w:r>
        <w:rPr>
          <w:webHidden/>
        </w:rPr>
        <w:instrText xml:space="preserve"> PAGEREF _Toc423425564 \h </w:instrText>
      </w:r>
      <w:r>
        <w:rPr>
          <w:webHidden/>
        </w:rPr>
      </w:r>
      <w:r>
        <w:rPr>
          <w:webHidden/>
        </w:rPr>
        <w:fldChar w:fldCharType="separate"/>
      </w:r>
      <w:r w:rsidR="00787F29">
        <w:rPr>
          <w:webHidden/>
        </w:rPr>
        <w:t>8</w:t>
      </w:r>
      <w:r>
        <w:rPr>
          <w:webHidden/>
        </w:rPr>
        <w:fldChar w:fldCharType="end"/>
      </w:r>
    </w:p>
    <w:p w14:paraId="0C972C61" w14:textId="4BA326B0" w:rsidR="00741C76" w:rsidRDefault="00741C76" w:rsidP="00741C76">
      <w:pPr>
        <w:pStyle w:val="TOC2"/>
        <w:rPr>
          <w:rFonts w:asciiTheme="minorHAnsi" w:eastAsiaTheme="minorEastAsia" w:hAnsiTheme="minorHAnsi" w:cstheme="minorBidi"/>
          <w:sz w:val="22"/>
          <w:szCs w:val="22"/>
        </w:rPr>
      </w:pPr>
      <w:r>
        <w:t>A12</w:t>
      </w:r>
      <w:r>
        <w:tab/>
        <w:t>Estimation of information collection burden</w:t>
      </w:r>
      <w:r>
        <w:rPr>
          <w:webHidden/>
        </w:rPr>
        <w:tab/>
      </w:r>
      <w:r>
        <w:rPr>
          <w:webHidden/>
        </w:rPr>
        <w:fldChar w:fldCharType="begin"/>
      </w:r>
      <w:r>
        <w:rPr>
          <w:webHidden/>
        </w:rPr>
        <w:instrText xml:space="preserve"> PAGEREF _Toc423425565 \h </w:instrText>
      </w:r>
      <w:r>
        <w:rPr>
          <w:webHidden/>
        </w:rPr>
      </w:r>
      <w:r>
        <w:rPr>
          <w:webHidden/>
        </w:rPr>
        <w:fldChar w:fldCharType="separate"/>
      </w:r>
      <w:r w:rsidR="00787F29">
        <w:rPr>
          <w:webHidden/>
        </w:rPr>
        <w:t>8</w:t>
      </w:r>
      <w:r>
        <w:rPr>
          <w:webHidden/>
        </w:rPr>
        <w:fldChar w:fldCharType="end"/>
      </w:r>
    </w:p>
    <w:p w14:paraId="1E8E3126" w14:textId="4D101364" w:rsidR="00741C76" w:rsidRDefault="00741C76" w:rsidP="00741C76">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Total burden requested under this information collection</w:t>
      </w:r>
      <w:r>
        <w:rPr>
          <w:webHidden/>
        </w:rPr>
        <w:tab/>
      </w:r>
      <w:r>
        <w:rPr>
          <w:webHidden/>
        </w:rPr>
        <w:fldChar w:fldCharType="begin"/>
      </w:r>
      <w:r>
        <w:rPr>
          <w:webHidden/>
        </w:rPr>
        <w:instrText xml:space="preserve"> PAGEREF _Toc423425566 \h </w:instrText>
      </w:r>
      <w:r>
        <w:rPr>
          <w:webHidden/>
        </w:rPr>
      </w:r>
      <w:r>
        <w:rPr>
          <w:webHidden/>
        </w:rPr>
        <w:fldChar w:fldCharType="separate"/>
      </w:r>
      <w:r w:rsidR="00787F29">
        <w:rPr>
          <w:webHidden/>
        </w:rPr>
        <w:t>8</w:t>
      </w:r>
      <w:r>
        <w:rPr>
          <w:webHidden/>
        </w:rPr>
        <w:fldChar w:fldCharType="end"/>
      </w:r>
    </w:p>
    <w:p w14:paraId="50004337" w14:textId="77777777" w:rsidR="00741C76" w:rsidRDefault="00741C76" w:rsidP="00741C76">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Total annual cost</w:t>
      </w:r>
      <w:r>
        <w:rPr>
          <w:webHidden/>
        </w:rPr>
        <w:tab/>
      </w:r>
      <w:r>
        <w:rPr>
          <w:webHidden/>
        </w:rPr>
        <w:fldChar w:fldCharType="begin"/>
      </w:r>
      <w:r>
        <w:rPr>
          <w:webHidden/>
        </w:rPr>
        <w:instrText xml:space="preserve"> PAGEREF _Toc423425567 \h </w:instrText>
      </w:r>
      <w:r>
        <w:rPr>
          <w:webHidden/>
        </w:rPr>
      </w:r>
      <w:r>
        <w:rPr>
          <w:webHidden/>
        </w:rPr>
        <w:fldChar w:fldCharType="separate"/>
      </w:r>
      <w:r w:rsidR="00787F29">
        <w:rPr>
          <w:webHidden/>
        </w:rPr>
        <w:t>8</w:t>
      </w:r>
      <w:r>
        <w:rPr>
          <w:webHidden/>
        </w:rPr>
        <w:fldChar w:fldCharType="end"/>
      </w:r>
    </w:p>
    <w:p w14:paraId="351F689A" w14:textId="19CA69EB" w:rsidR="00741C76" w:rsidRDefault="00741C76" w:rsidP="00741C76">
      <w:pPr>
        <w:pStyle w:val="TOC2"/>
        <w:rPr>
          <w:rFonts w:asciiTheme="minorHAnsi" w:eastAsiaTheme="minorEastAsia" w:hAnsiTheme="minorHAnsi" w:cstheme="minorBidi"/>
          <w:sz w:val="22"/>
          <w:szCs w:val="22"/>
        </w:rPr>
      </w:pPr>
      <w:r>
        <w:t>A13</w:t>
      </w:r>
      <w:r>
        <w:tab/>
        <w:t>Cost burden to respondents or record keepers</w:t>
      </w:r>
      <w:r>
        <w:rPr>
          <w:webHidden/>
        </w:rPr>
        <w:tab/>
      </w:r>
      <w:r>
        <w:rPr>
          <w:webHidden/>
        </w:rPr>
        <w:fldChar w:fldCharType="begin"/>
      </w:r>
      <w:r>
        <w:rPr>
          <w:webHidden/>
        </w:rPr>
        <w:instrText xml:space="preserve"> PAGEREF _Toc423425568 \h </w:instrText>
      </w:r>
      <w:r>
        <w:rPr>
          <w:webHidden/>
        </w:rPr>
      </w:r>
      <w:r>
        <w:rPr>
          <w:webHidden/>
        </w:rPr>
        <w:fldChar w:fldCharType="separate"/>
      </w:r>
      <w:r w:rsidR="00787F29">
        <w:rPr>
          <w:webHidden/>
        </w:rPr>
        <w:t>9</w:t>
      </w:r>
      <w:r>
        <w:rPr>
          <w:webHidden/>
        </w:rPr>
        <w:fldChar w:fldCharType="end"/>
      </w:r>
    </w:p>
    <w:p w14:paraId="10FCAAB3" w14:textId="5CA8D29E" w:rsidR="00741C76" w:rsidRDefault="00741C76" w:rsidP="00741C76">
      <w:pPr>
        <w:pStyle w:val="TOC2"/>
        <w:rPr>
          <w:rFonts w:asciiTheme="minorHAnsi" w:eastAsiaTheme="minorEastAsia" w:hAnsiTheme="minorHAnsi" w:cstheme="minorBidi"/>
          <w:sz w:val="22"/>
          <w:szCs w:val="22"/>
        </w:rPr>
      </w:pPr>
      <w:r>
        <w:t>A14</w:t>
      </w:r>
      <w:r>
        <w:tab/>
        <w:t>Estimate of cost to the federal government</w:t>
      </w:r>
      <w:r>
        <w:rPr>
          <w:webHidden/>
        </w:rPr>
        <w:tab/>
      </w:r>
      <w:r>
        <w:rPr>
          <w:webHidden/>
        </w:rPr>
        <w:fldChar w:fldCharType="begin"/>
      </w:r>
      <w:r>
        <w:rPr>
          <w:webHidden/>
        </w:rPr>
        <w:instrText xml:space="preserve"> PAGEREF _Toc423425569 \h </w:instrText>
      </w:r>
      <w:r>
        <w:rPr>
          <w:webHidden/>
        </w:rPr>
      </w:r>
      <w:r>
        <w:rPr>
          <w:webHidden/>
        </w:rPr>
        <w:fldChar w:fldCharType="separate"/>
      </w:r>
      <w:r w:rsidR="00787F29">
        <w:rPr>
          <w:webHidden/>
        </w:rPr>
        <w:t>9</w:t>
      </w:r>
      <w:r>
        <w:rPr>
          <w:webHidden/>
        </w:rPr>
        <w:fldChar w:fldCharType="end"/>
      </w:r>
    </w:p>
    <w:p w14:paraId="482D44D5" w14:textId="03721689" w:rsidR="00741C76" w:rsidRDefault="00741C76" w:rsidP="00741C76">
      <w:pPr>
        <w:pStyle w:val="TOC2"/>
        <w:rPr>
          <w:rFonts w:asciiTheme="minorHAnsi" w:eastAsiaTheme="minorEastAsia" w:hAnsiTheme="minorHAnsi" w:cstheme="minorBidi"/>
          <w:sz w:val="22"/>
          <w:szCs w:val="22"/>
        </w:rPr>
      </w:pPr>
      <w:r>
        <w:t>A15</w:t>
      </w:r>
      <w:r>
        <w:tab/>
        <w:t>Change in burden</w:t>
      </w:r>
      <w:r>
        <w:rPr>
          <w:webHidden/>
        </w:rPr>
        <w:tab/>
      </w:r>
      <w:r>
        <w:rPr>
          <w:webHidden/>
        </w:rPr>
        <w:fldChar w:fldCharType="begin"/>
      </w:r>
      <w:r>
        <w:rPr>
          <w:webHidden/>
        </w:rPr>
        <w:instrText xml:space="preserve"> PAGEREF _Toc423425570 \h </w:instrText>
      </w:r>
      <w:r>
        <w:rPr>
          <w:webHidden/>
        </w:rPr>
      </w:r>
      <w:r>
        <w:rPr>
          <w:webHidden/>
        </w:rPr>
        <w:fldChar w:fldCharType="separate"/>
      </w:r>
      <w:r w:rsidR="00787F29">
        <w:rPr>
          <w:webHidden/>
        </w:rPr>
        <w:t>9</w:t>
      </w:r>
      <w:r>
        <w:rPr>
          <w:webHidden/>
        </w:rPr>
        <w:fldChar w:fldCharType="end"/>
      </w:r>
    </w:p>
    <w:p w14:paraId="0BB674E0" w14:textId="0C570DF1" w:rsidR="00741C76" w:rsidRDefault="00741C76" w:rsidP="00741C76">
      <w:pPr>
        <w:pStyle w:val="TOC2"/>
        <w:rPr>
          <w:rFonts w:asciiTheme="minorHAnsi" w:eastAsiaTheme="minorEastAsia" w:hAnsiTheme="minorHAnsi" w:cstheme="minorBidi"/>
          <w:sz w:val="22"/>
          <w:szCs w:val="22"/>
        </w:rPr>
      </w:pPr>
      <w:r>
        <w:t>A16</w:t>
      </w:r>
      <w:r>
        <w:tab/>
        <w:t>Plan and time schedule for information collection, tabulation, and publication</w:t>
      </w:r>
      <w:r>
        <w:rPr>
          <w:webHidden/>
        </w:rPr>
        <w:tab/>
      </w:r>
      <w:r>
        <w:rPr>
          <w:webHidden/>
        </w:rPr>
        <w:fldChar w:fldCharType="begin"/>
      </w:r>
      <w:r>
        <w:rPr>
          <w:webHidden/>
        </w:rPr>
        <w:instrText xml:space="preserve"> PAGEREF _Toc423425571 \h </w:instrText>
      </w:r>
      <w:r>
        <w:rPr>
          <w:webHidden/>
        </w:rPr>
      </w:r>
      <w:r>
        <w:rPr>
          <w:webHidden/>
        </w:rPr>
        <w:fldChar w:fldCharType="separate"/>
      </w:r>
      <w:r w:rsidR="00787F29">
        <w:rPr>
          <w:webHidden/>
        </w:rPr>
        <w:t>9</w:t>
      </w:r>
      <w:r>
        <w:rPr>
          <w:webHidden/>
        </w:rPr>
        <w:fldChar w:fldCharType="end"/>
      </w:r>
    </w:p>
    <w:p w14:paraId="71AE7284" w14:textId="77777777" w:rsidR="00741C76" w:rsidRDefault="00741C76" w:rsidP="00741C76">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Analysis plan</w:t>
      </w:r>
      <w:r>
        <w:rPr>
          <w:webHidden/>
        </w:rPr>
        <w:tab/>
      </w:r>
      <w:r>
        <w:rPr>
          <w:webHidden/>
        </w:rPr>
        <w:fldChar w:fldCharType="begin"/>
      </w:r>
      <w:r>
        <w:rPr>
          <w:webHidden/>
        </w:rPr>
        <w:instrText xml:space="preserve"> PAGEREF _Toc423425572 \h </w:instrText>
      </w:r>
      <w:r>
        <w:rPr>
          <w:webHidden/>
        </w:rPr>
      </w:r>
      <w:r>
        <w:rPr>
          <w:webHidden/>
        </w:rPr>
        <w:fldChar w:fldCharType="separate"/>
      </w:r>
      <w:r w:rsidR="00787F29">
        <w:rPr>
          <w:webHidden/>
        </w:rPr>
        <w:t>9</w:t>
      </w:r>
      <w:r>
        <w:rPr>
          <w:webHidden/>
        </w:rPr>
        <w:fldChar w:fldCharType="end"/>
      </w:r>
    </w:p>
    <w:p w14:paraId="4C6C142F" w14:textId="77777777" w:rsidR="00741C76" w:rsidRDefault="00741C76" w:rsidP="00741C76">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Time schedule and publications</w:t>
      </w:r>
      <w:r>
        <w:rPr>
          <w:webHidden/>
        </w:rPr>
        <w:tab/>
      </w:r>
      <w:r>
        <w:rPr>
          <w:webHidden/>
        </w:rPr>
        <w:fldChar w:fldCharType="begin"/>
      </w:r>
      <w:r>
        <w:rPr>
          <w:webHidden/>
        </w:rPr>
        <w:instrText xml:space="preserve"> PAGEREF _Toc423425573 \h </w:instrText>
      </w:r>
      <w:r>
        <w:rPr>
          <w:webHidden/>
        </w:rPr>
      </w:r>
      <w:r>
        <w:rPr>
          <w:webHidden/>
        </w:rPr>
        <w:fldChar w:fldCharType="separate"/>
      </w:r>
      <w:r w:rsidR="00787F29">
        <w:rPr>
          <w:webHidden/>
        </w:rPr>
        <w:t>10</w:t>
      </w:r>
      <w:r>
        <w:rPr>
          <w:webHidden/>
        </w:rPr>
        <w:fldChar w:fldCharType="end"/>
      </w:r>
    </w:p>
    <w:p w14:paraId="694F2E02" w14:textId="08636C4D" w:rsidR="00741C76" w:rsidRDefault="00741C76" w:rsidP="00741C76">
      <w:pPr>
        <w:pStyle w:val="TOC2"/>
        <w:rPr>
          <w:rFonts w:asciiTheme="minorHAnsi" w:eastAsiaTheme="minorEastAsia" w:hAnsiTheme="minorHAnsi" w:cstheme="minorBidi"/>
          <w:sz w:val="22"/>
          <w:szCs w:val="22"/>
        </w:rPr>
      </w:pPr>
      <w:r>
        <w:t>A17</w:t>
      </w:r>
      <w:r>
        <w:tab/>
        <w:t>Reasons not to display OMB expiration date</w:t>
      </w:r>
      <w:r>
        <w:rPr>
          <w:webHidden/>
        </w:rPr>
        <w:tab/>
      </w:r>
      <w:r>
        <w:rPr>
          <w:webHidden/>
        </w:rPr>
        <w:fldChar w:fldCharType="begin"/>
      </w:r>
      <w:r>
        <w:rPr>
          <w:webHidden/>
        </w:rPr>
        <w:instrText xml:space="preserve"> PAGEREF _Toc423425574 \h </w:instrText>
      </w:r>
      <w:r>
        <w:rPr>
          <w:webHidden/>
        </w:rPr>
      </w:r>
      <w:r>
        <w:rPr>
          <w:webHidden/>
        </w:rPr>
        <w:fldChar w:fldCharType="separate"/>
      </w:r>
      <w:r w:rsidR="00787F29">
        <w:rPr>
          <w:webHidden/>
        </w:rPr>
        <w:t>11</w:t>
      </w:r>
      <w:r>
        <w:rPr>
          <w:webHidden/>
        </w:rPr>
        <w:fldChar w:fldCharType="end"/>
      </w:r>
    </w:p>
    <w:p w14:paraId="1DA4E1E3" w14:textId="24798F28" w:rsidR="00741C76" w:rsidRDefault="00741C76" w:rsidP="00741C76">
      <w:pPr>
        <w:pStyle w:val="TOC2"/>
        <w:rPr>
          <w:rFonts w:asciiTheme="minorHAnsi" w:eastAsiaTheme="minorEastAsia" w:hAnsiTheme="minorHAnsi" w:cstheme="minorBidi"/>
          <w:sz w:val="22"/>
          <w:szCs w:val="22"/>
        </w:rPr>
      </w:pPr>
      <w:r>
        <w:t>A18</w:t>
      </w:r>
      <w:r>
        <w:tab/>
        <w:t>Exceptions to certification for Paperwork Reduction Act submissions</w:t>
      </w:r>
      <w:r>
        <w:rPr>
          <w:webHidden/>
        </w:rPr>
        <w:tab/>
      </w:r>
      <w:r>
        <w:rPr>
          <w:webHidden/>
        </w:rPr>
        <w:fldChar w:fldCharType="begin"/>
      </w:r>
      <w:r>
        <w:rPr>
          <w:webHidden/>
        </w:rPr>
        <w:instrText xml:space="preserve"> PAGEREF _Toc423425575 \h </w:instrText>
      </w:r>
      <w:r>
        <w:rPr>
          <w:webHidden/>
        </w:rPr>
      </w:r>
      <w:r>
        <w:rPr>
          <w:webHidden/>
        </w:rPr>
        <w:fldChar w:fldCharType="separate"/>
      </w:r>
      <w:r w:rsidR="00787F29">
        <w:rPr>
          <w:webHidden/>
        </w:rPr>
        <w:t>11</w:t>
      </w:r>
      <w:r>
        <w:rPr>
          <w:webHidden/>
        </w:rPr>
        <w:fldChar w:fldCharType="end"/>
      </w:r>
    </w:p>
    <w:p w14:paraId="139AEC2B" w14:textId="77777777" w:rsidR="005109BB" w:rsidRDefault="00741C76" w:rsidP="00741C76">
      <w:pPr>
        <w:pStyle w:val="TOC2"/>
        <w:rPr>
          <w:webHidden/>
        </w:rPr>
      </w:pPr>
      <w:r>
        <w:t>REFERENCES</w:t>
      </w:r>
      <w:r>
        <w:rPr>
          <w:webHidden/>
        </w:rPr>
        <w:tab/>
      </w:r>
      <w:r>
        <w:rPr>
          <w:webHidden/>
        </w:rPr>
        <w:fldChar w:fldCharType="begin"/>
      </w:r>
      <w:r>
        <w:rPr>
          <w:webHidden/>
        </w:rPr>
        <w:instrText xml:space="preserve"> PAGEREF _Toc423425576 \h </w:instrText>
      </w:r>
      <w:r>
        <w:rPr>
          <w:webHidden/>
        </w:rPr>
      </w:r>
      <w:r>
        <w:rPr>
          <w:webHidden/>
        </w:rPr>
        <w:fldChar w:fldCharType="separate"/>
      </w:r>
      <w:r w:rsidR="00787F29">
        <w:rPr>
          <w:webHidden/>
        </w:rPr>
        <w:t>12</w:t>
      </w:r>
      <w:r>
        <w:rPr>
          <w:webHidden/>
        </w:rPr>
        <w:fldChar w:fldCharType="end"/>
      </w:r>
    </w:p>
    <w:p w14:paraId="78891A8E" w14:textId="0739875F" w:rsidR="005109BB" w:rsidRPr="005109BB" w:rsidRDefault="005109BB" w:rsidP="005109BB">
      <w:pPr>
        <w:pStyle w:val="H2Chapter"/>
        <w:pBdr>
          <w:bottom w:val="single" w:sz="2" w:space="0" w:color="auto"/>
        </w:pBdr>
        <w:rPr>
          <w:noProof/>
        </w:rPr>
      </w:pPr>
      <w:r>
        <w:rPr>
          <w:noProof/>
        </w:rPr>
        <w:lastRenderedPageBreak/>
        <w:t>attachments</w:t>
      </w:r>
    </w:p>
    <w:p w14:paraId="0190AF3F" w14:textId="45078D75" w:rsidR="005109BB" w:rsidRDefault="005109BB" w:rsidP="005109BB">
      <w:pPr>
        <w:pStyle w:val="TOC8"/>
        <w:rPr>
          <w:noProof/>
        </w:rPr>
      </w:pPr>
      <w:r>
        <w:rPr>
          <w:noProof/>
        </w:rPr>
        <w:t xml:space="preserve">Attachment A: </w:t>
      </w:r>
      <w:r w:rsidR="004F3FDF" w:rsidRPr="004F3FDF">
        <w:rPr>
          <w:noProof/>
        </w:rPr>
        <w:t>NCEHS-CCP Preliminary Logic Model</w:t>
      </w:r>
    </w:p>
    <w:p w14:paraId="269FA6BB" w14:textId="2915AD36" w:rsidR="005109BB" w:rsidRDefault="005109BB" w:rsidP="005109BB">
      <w:pPr>
        <w:pStyle w:val="TOC8"/>
        <w:rPr>
          <w:noProof/>
        </w:rPr>
      </w:pPr>
      <w:r>
        <w:rPr>
          <w:noProof/>
        </w:rPr>
        <w:t xml:space="preserve">Attachment B: Stakeholder survey </w:t>
      </w:r>
    </w:p>
    <w:p w14:paraId="55CC192B" w14:textId="31680A57" w:rsidR="005109BB" w:rsidRDefault="005109BB" w:rsidP="005109BB">
      <w:pPr>
        <w:pStyle w:val="TOC8"/>
        <w:rPr>
          <w:noProof/>
        </w:rPr>
      </w:pPr>
      <w:r>
        <w:rPr>
          <w:noProof/>
        </w:rPr>
        <w:t xml:space="preserve">Attachment C: Stakeholder </w:t>
      </w:r>
      <w:r w:rsidR="00242980">
        <w:rPr>
          <w:noProof/>
        </w:rPr>
        <w:t xml:space="preserve">telePhone </w:t>
      </w:r>
      <w:r>
        <w:rPr>
          <w:noProof/>
        </w:rPr>
        <w:t xml:space="preserve">interviews topic guide </w:t>
      </w:r>
    </w:p>
    <w:p w14:paraId="11EE65AC" w14:textId="608EBB15" w:rsidR="005109BB" w:rsidRDefault="005109BB" w:rsidP="005109BB">
      <w:pPr>
        <w:pStyle w:val="TOC8"/>
        <w:rPr>
          <w:noProof/>
        </w:rPr>
      </w:pPr>
      <w:r>
        <w:rPr>
          <w:noProof/>
        </w:rPr>
        <w:t>Attachment D: 60 day federal register notice</w:t>
      </w:r>
    </w:p>
    <w:p w14:paraId="01BF2798" w14:textId="5EAC07DE" w:rsidR="005109BB" w:rsidRDefault="005109BB" w:rsidP="005109BB">
      <w:pPr>
        <w:pStyle w:val="TOC8"/>
        <w:rPr>
          <w:noProof/>
        </w:rPr>
      </w:pPr>
      <w:r>
        <w:rPr>
          <w:noProof/>
        </w:rPr>
        <w:t xml:space="preserve">Attachment E: Stakeholder survey supplemental materials </w:t>
      </w:r>
    </w:p>
    <w:p w14:paraId="1F017E54" w14:textId="7F617A6D" w:rsidR="005109BB" w:rsidRDefault="005109BB" w:rsidP="005109BB">
      <w:pPr>
        <w:pStyle w:val="TOC8"/>
        <w:rPr>
          <w:noProof/>
        </w:rPr>
      </w:pPr>
      <w:r>
        <w:rPr>
          <w:noProof/>
        </w:rPr>
        <w:t xml:space="preserve">Attachment F: Stakeholder </w:t>
      </w:r>
      <w:r w:rsidR="00242980">
        <w:rPr>
          <w:noProof/>
        </w:rPr>
        <w:t xml:space="preserve">telephone </w:t>
      </w:r>
      <w:r>
        <w:rPr>
          <w:noProof/>
        </w:rPr>
        <w:t xml:space="preserve">interview supplemental materials </w:t>
      </w:r>
    </w:p>
    <w:p w14:paraId="4B6E3541" w14:textId="77777777" w:rsidR="005109BB" w:rsidRDefault="005109BB" w:rsidP="005109BB">
      <w:pPr>
        <w:rPr>
          <w:noProof/>
          <w:webHidden/>
        </w:rPr>
      </w:pPr>
    </w:p>
    <w:p w14:paraId="5DFDE51D" w14:textId="77777777" w:rsidR="005109BB" w:rsidRDefault="005109BB" w:rsidP="005109BB">
      <w:pPr>
        <w:rPr>
          <w:noProof/>
          <w:webHidden/>
        </w:rPr>
      </w:pPr>
    </w:p>
    <w:p w14:paraId="1D78781D" w14:textId="77777777" w:rsidR="005109BB" w:rsidRPr="005109BB" w:rsidRDefault="005109BB" w:rsidP="005109BB">
      <w:pPr>
        <w:rPr>
          <w:noProof/>
          <w:webHidden/>
        </w:rPr>
        <w:sectPr w:rsidR="005109BB" w:rsidRPr="005109BB" w:rsidSect="005109BB">
          <w:headerReference w:type="default" r:id="rId14"/>
          <w:footerReference w:type="default" r:id="rId15"/>
          <w:endnotePr>
            <w:numFmt w:val="decimal"/>
          </w:endnotePr>
          <w:pgSz w:w="12240" w:h="15840" w:code="1"/>
          <w:pgMar w:top="1440" w:right="1440" w:bottom="1440" w:left="1440" w:header="720" w:footer="576" w:gutter="0"/>
          <w:pgNumType w:fmt="lowerRoman"/>
          <w:cols w:space="720"/>
          <w:docGrid w:linePitch="326"/>
        </w:sectPr>
      </w:pPr>
    </w:p>
    <w:p w14:paraId="4D4A7CFB" w14:textId="46CAB30F" w:rsidR="00731D00" w:rsidRPr="00EF6453" w:rsidRDefault="00907632" w:rsidP="007F2342">
      <w:pPr>
        <w:pStyle w:val="H3Alpha"/>
      </w:pPr>
      <w:r>
        <w:lastRenderedPageBreak/>
        <w:fldChar w:fldCharType="end"/>
      </w:r>
      <w:bookmarkStart w:id="0" w:name="_Toc423425546"/>
      <w:r w:rsidRPr="00EF6453">
        <w:t xml:space="preserve">A1. </w:t>
      </w:r>
      <w:r w:rsidR="00CE37B8" w:rsidRPr="00EF6453">
        <w:t>Necessity for the data c</w:t>
      </w:r>
      <w:r w:rsidR="00731D00" w:rsidRPr="00EF6453">
        <w:t>ollection</w:t>
      </w:r>
      <w:bookmarkEnd w:id="0"/>
    </w:p>
    <w:p w14:paraId="5E55F684" w14:textId="56CD085F" w:rsidR="00AE74ED" w:rsidRDefault="00ED5606" w:rsidP="00B61606">
      <w:pPr>
        <w:pStyle w:val="NormalSS"/>
      </w:pPr>
      <w:r w:rsidRPr="00ED5606">
        <w:t>The Administration for Children and Families (ACF) at the U.S. Department of Health and Human Services (HHS) seeks</w:t>
      </w:r>
      <w:r>
        <w:t xml:space="preserve"> approval for an evaluation of the </w:t>
      </w:r>
      <w:r w:rsidR="00FA496D">
        <w:t xml:space="preserve">National Center on </w:t>
      </w:r>
      <w:r>
        <w:t>Early Head Start</w:t>
      </w:r>
      <w:r w:rsidR="00386F8F">
        <w:t>–</w:t>
      </w:r>
      <w:r>
        <w:t>Child Care Partnerships (</w:t>
      </w:r>
      <w:r w:rsidR="00FA496D">
        <w:t>NC</w:t>
      </w:r>
      <w:r>
        <w:t xml:space="preserve">EHS-CCP). </w:t>
      </w:r>
      <w:r w:rsidR="00AE74ED" w:rsidRPr="00C379B2">
        <w:t>In fiscal year 2014, the federal government funded an expansion of effective early learning opportunities for children from birth to age 3 through Early Head Start</w:t>
      </w:r>
      <w:r w:rsidR="00386F8F">
        <w:t>–</w:t>
      </w:r>
      <w:r w:rsidR="00AE74ED" w:rsidRPr="00C379B2">
        <w:t>C</w:t>
      </w:r>
      <w:r>
        <w:t>hild Care Partnerships</w:t>
      </w:r>
      <w:r w:rsidR="00FA496D">
        <w:t xml:space="preserve"> (EHS-CCP)</w:t>
      </w:r>
      <w:r w:rsidR="00AE74ED" w:rsidRPr="00C379B2">
        <w:t xml:space="preserve">. The $500 million in new grants will enable new or existing Early Head Start grantees to partner with local child care centers and family child care providers </w:t>
      </w:r>
      <w:r w:rsidR="00386F8F">
        <w:t>that serve</w:t>
      </w:r>
      <w:r w:rsidR="00386F8F" w:rsidRPr="00C379B2">
        <w:t xml:space="preserve"> </w:t>
      </w:r>
      <w:r w:rsidR="00AE74ED" w:rsidRPr="00C379B2">
        <w:t xml:space="preserve">low-income families with infants and toddlers. </w:t>
      </w:r>
    </w:p>
    <w:p w14:paraId="096E0DCF" w14:textId="67A99035" w:rsidR="00B66886" w:rsidRPr="00B66886" w:rsidRDefault="0011556C" w:rsidP="00B61606">
      <w:pPr>
        <w:pStyle w:val="NormalSS"/>
        <w:rPr>
          <w:szCs w:val="24"/>
        </w:rPr>
      </w:pPr>
      <w:r>
        <w:t>NCEHS-CCP</w:t>
      </w:r>
      <w:r w:rsidR="00AE74ED" w:rsidRPr="00C379B2">
        <w:t xml:space="preserve"> will support the effective implementation of new</w:t>
      </w:r>
      <w:r>
        <w:t xml:space="preserve"> EHS</w:t>
      </w:r>
      <w:r w:rsidR="00FA496D">
        <w:t>-</w:t>
      </w:r>
      <w:r>
        <w:t>CCP</w:t>
      </w:r>
      <w:r w:rsidR="00AE74ED" w:rsidRPr="00C379B2">
        <w:t xml:space="preserve"> grants by disseminating information through </w:t>
      </w:r>
      <w:r w:rsidR="00DE5D5E" w:rsidRPr="00C379B2">
        <w:t>training</w:t>
      </w:r>
      <w:r w:rsidR="00DE5D5E">
        <w:t>,</w:t>
      </w:r>
      <w:r w:rsidR="00DE5D5E" w:rsidRPr="00C379B2">
        <w:t xml:space="preserve"> technical</w:t>
      </w:r>
      <w:r w:rsidR="00AE74ED" w:rsidRPr="00C379B2">
        <w:t xml:space="preserve"> assistance (T</w:t>
      </w:r>
      <w:r w:rsidR="00AE74ED" w:rsidRPr="00191D0A">
        <w:t>/</w:t>
      </w:r>
      <w:r w:rsidR="00AE74ED" w:rsidRPr="00C379B2">
        <w:t>TA)</w:t>
      </w:r>
      <w:r w:rsidR="00223FBA">
        <w:t>,</w:t>
      </w:r>
      <w:r w:rsidR="00AE74ED" w:rsidRPr="00C379B2">
        <w:t xml:space="preserve"> resources and materials. </w:t>
      </w:r>
      <w:r>
        <w:t>NCEHS-CCP</w:t>
      </w:r>
      <w:r w:rsidR="00AE74ED" w:rsidRPr="00C379B2">
        <w:t xml:space="preserve"> is primarily targeted to T/TA providers working directly with the</w:t>
      </w:r>
      <w:r>
        <w:t xml:space="preserve"> EHS</w:t>
      </w:r>
      <w:r w:rsidR="00FA496D">
        <w:t>-</w:t>
      </w:r>
      <w:r>
        <w:t>CCP</w:t>
      </w:r>
      <w:r w:rsidR="00AE74ED" w:rsidRPr="00C379B2">
        <w:t xml:space="preserve"> grantees</w:t>
      </w:r>
      <w:r w:rsidR="00FA496D">
        <w:t xml:space="preserve">, </w:t>
      </w:r>
      <w:r w:rsidR="00AE74ED" w:rsidRPr="00C379B2">
        <w:t xml:space="preserve">including </w:t>
      </w:r>
      <w:r w:rsidR="00FA496D">
        <w:t>the Office of Head Start (</w:t>
      </w:r>
      <w:r w:rsidR="00AE74ED" w:rsidRPr="00C379B2">
        <w:t>OHS</w:t>
      </w:r>
      <w:r w:rsidR="00FA496D">
        <w:t>)</w:t>
      </w:r>
      <w:r w:rsidR="00223FBA">
        <w:t>,</w:t>
      </w:r>
      <w:r w:rsidR="00AE74ED" w:rsidRPr="00C379B2">
        <w:t xml:space="preserve"> </w:t>
      </w:r>
      <w:r w:rsidR="00FA496D">
        <w:t>the Office of Child Care</w:t>
      </w:r>
      <w:r w:rsidR="00AE74ED" w:rsidRPr="00C379B2">
        <w:t xml:space="preserve"> </w:t>
      </w:r>
      <w:r w:rsidR="00FA496D">
        <w:t>(</w:t>
      </w:r>
      <w:r w:rsidR="00AE74ED" w:rsidRPr="00C379B2">
        <w:t>OCC</w:t>
      </w:r>
      <w:r w:rsidR="00FA496D">
        <w:t>)</w:t>
      </w:r>
      <w:r w:rsidR="00AE74ED" w:rsidRPr="00C379B2">
        <w:t xml:space="preserve"> </w:t>
      </w:r>
      <w:r w:rsidR="00EC4632">
        <w:t>n</w:t>
      </w:r>
      <w:r w:rsidR="00AE74ED" w:rsidRPr="00C379B2">
        <w:t xml:space="preserve">ational </w:t>
      </w:r>
      <w:r w:rsidR="00EC4632">
        <w:t>c</w:t>
      </w:r>
      <w:r w:rsidR="00AE74ED" w:rsidRPr="00C379B2">
        <w:t xml:space="preserve">enters, regional T/TA specialists, implementation planners and fiscal consultants. </w:t>
      </w:r>
      <w:r>
        <w:t>NCEHS-CCP</w:t>
      </w:r>
      <w:r w:rsidR="0058730C">
        <w:t xml:space="preserve"> also has helpful information on partnerships for </w:t>
      </w:r>
      <w:r w:rsidR="00FA496D">
        <w:t>s</w:t>
      </w:r>
      <w:r w:rsidR="00AE74ED" w:rsidRPr="00C379B2">
        <w:t>tate and federal agencies</w:t>
      </w:r>
      <w:r w:rsidR="00FA496D">
        <w:t xml:space="preserve">, </w:t>
      </w:r>
      <w:r w:rsidR="00AE74ED" w:rsidRPr="00B66886">
        <w:rPr>
          <w:szCs w:val="24"/>
        </w:rPr>
        <w:t xml:space="preserve">including OHS and OCC federal staff, Child Care </w:t>
      </w:r>
      <w:r w:rsidR="00FA496D" w:rsidRPr="00B66886">
        <w:rPr>
          <w:szCs w:val="24"/>
        </w:rPr>
        <w:t xml:space="preserve">and </w:t>
      </w:r>
      <w:r w:rsidR="00AE74ED" w:rsidRPr="00B66886">
        <w:rPr>
          <w:szCs w:val="24"/>
        </w:rPr>
        <w:t xml:space="preserve">Development Fund </w:t>
      </w:r>
      <w:r w:rsidR="00D13D23" w:rsidRPr="00B66886">
        <w:rPr>
          <w:szCs w:val="24"/>
        </w:rPr>
        <w:t xml:space="preserve">(CCDF) </w:t>
      </w:r>
      <w:r w:rsidR="00AE74ED" w:rsidRPr="00B66886">
        <w:rPr>
          <w:szCs w:val="24"/>
        </w:rPr>
        <w:t xml:space="preserve">administrators, </w:t>
      </w:r>
      <w:r w:rsidR="00FA496D" w:rsidRPr="00B66886">
        <w:rPr>
          <w:szCs w:val="24"/>
        </w:rPr>
        <w:t xml:space="preserve">and </w:t>
      </w:r>
      <w:r w:rsidR="00AE74ED" w:rsidRPr="00B66886">
        <w:rPr>
          <w:szCs w:val="24"/>
        </w:rPr>
        <w:t xml:space="preserve">Head Start </w:t>
      </w:r>
      <w:r w:rsidR="00EC4632" w:rsidRPr="00B66886">
        <w:rPr>
          <w:szCs w:val="24"/>
        </w:rPr>
        <w:t>s</w:t>
      </w:r>
      <w:r w:rsidR="00AE74ED" w:rsidRPr="00B66886">
        <w:rPr>
          <w:szCs w:val="24"/>
        </w:rPr>
        <w:t>tate</w:t>
      </w:r>
      <w:r w:rsidR="00223FBA">
        <w:rPr>
          <w:szCs w:val="24"/>
        </w:rPr>
        <w:t>,</w:t>
      </w:r>
      <w:r w:rsidR="00AE74ED" w:rsidRPr="00B66886">
        <w:rPr>
          <w:szCs w:val="24"/>
        </w:rPr>
        <w:t xml:space="preserve"> </w:t>
      </w:r>
      <w:r w:rsidR="00EC4632" w:rsidRPr="00B66886">
        <w:rPr>
          <w:szCs w:val="24"/>
        </w:rPr>
        <w:t>n</w:t>
      </w:r>
      <w:r w:rsidR="00AE74ED" w:rsidRPr="00B66886">
        <w:rPr>
          <w:szCs w:val="24"/>
        </w:rPr>
        <w:t xml:space="preserve">ational </w:t>
      </w:r>
      <w:r w:rsidR="00EC4632" w:rsidRPr="00B66886">
        <w:rPr>
          <w:szCs w:val="24"/>
        </w:rPr>
        <w:t>c</w:t>
      </w:r>
      <w:r w:rsidR="00AE74ED" w:rsidRPr="00B66886">
        <w:rPr>
          <w:szCs w:val="24"/>
        </w:rPr>
        <w:t xml:space="preserve">ollaboration </w:t>
      </w:r>
      <w:r w:rsidR="00EC4632" w:rsidRPr="00B66886">
        <w:rPr>
          <w:szCs w:val="24"/>
        </w:rPr>
        <w:t xml:space="preserve">office </w:t>
      </w:r>
      <w:r w:rsidR="00AE74ED" w:rsidRPr="00B66886">
        <w:rPr>
          <w:szCs w:val="24"/>
        </w:rPr>
        <w:t>directors.</w:t>
      </w:r>
      <w:r w:rsidR="00B66886" w:rsidRPr="00B66886">
        <w:rPr>
          <w:szCs w:val="24"/>
        </w:rPr>
        <w:t xml:space="preserve"> A system for continuous quality improvement is critical to the success of NCEHS-CCP to ensure that it consistently provides highly relevant, high quality support that meets the needs</w:t>
      </w:r>
      <w:r w:rsidR="00B66886">
        <w:rPr>
          <w:szCs w:val="24"/>
        </w:rPr>
        <w:t xml:space="preserve"> of its intended audience. To inform NCEHS-CCP’s </w:t>
      </w:r>
      <w:r w:rsidR="00B66886" w:rsidRPr="00B66886">
        <w:rPr>
          <w:szCs w:val="24"/>
        </w:rPr>
        <w:t xml:space="preserve">continuing work, Mathematica will conduct ongoing evaluation activities to </w:t>
      </w:r>
      <w:r w:rsidR="00120737">
        <w:rPr>
          <w:szCs w:val="24"/>
        </w:rPr>
        <w:t xml:space="preserve">track activities </w:t>
      </w:r>
      <w:r w:rsidR="00B66886" w:rsidRPr="00B66886">
        <w:rPr>
          <w:szCs w:val="24"/>
        </w:rPr>
        <w:t>and assess its progress toward its goals and objectives.</w:t>
      </w:r>
      <w:r w:rsidR="00120737">
        <w:rPr>
          <w:szCs w:val="24"/>
        </w:rPr>
        <w:t xml:space="preserve"> D</w:t>
      </w:r>
      <w:r w:rsidR="00120737" w:rsidRPr="00120737">
        <w:rPr>
          <w:szCs w:val="24"/>
        </w:rPr>
        <w:t>ata</w:t>
      </w:r>
      <w:r w:rsidR="00120737">
        <w:rPr>
          <w:szCs w:val="24"/>
        </w:rPr>
        <w:t xml:space="preserve"> </w:t>
      </w:r>
      <w:r w:rsidR="00A34021">
        <w:rPr>
          <w:szCs w:val="24"/>
        </w:rPr>
        <w:t>analyzed</w:t>
      </w:r>
      <w:r w:rsidR="00120737">
        <w:rPr>
          <w:szCs w:val="24"/>
        </w:rPr>
        <w:t xml:space="preserve"> by the evaluation </w:t>
      </w:r>
      <w:r w:rsidR="00A34021">
        <w:rPr>
          <w:szCs w:val="24"/>
        </w:rPr>
        <w:t xml:space="preserve">team </w:t>
      </w:r>
      <w:r w:rsidR="00120737">
        <w:rPr>
          <w:szCs w:val="24"/>
        </w:rPr>
        <w:t xml:space="preserve">will be </w:t>
      </w:r>
      <w:r w:rsidR="00120737" w:rsidRPr="00120737">
        <w:rPr>
          <w:szCs w:val="24"/>
        </w:rPr>
        <w:t>translated into action steps to inform continuous quality improvement</w:t>
      </w:r>
      <w:r w:rsidR="00120737">
        <w:rPr>
          <w:szCs w:val="24"/>
        </w:rPr>
        <w:t xml:space="preserve"> of NCEHS-CCP</w:t>
      </w:r>
      <w:r w:rsidR="00120737" w:rsidRPr="00120737">
        <w:rPr>
          <w:szCs w:val="24"/>
        </w:rPr>
        <w:t>.</w:t>
      </w:r>
    </w:p>
    <w:p w14:paraId="1CD3E2C0" w14:textId="6493D58A" w:rsidR="00F209EB" w:rsidRPr="00EF6453" w:rsidRDefault="00092181" w:rsidP="00EF6453">
      <w:pPr>
        <w:pStyle w:val="H4Number"/>
      </w:pPr>
      <w:bookmarkStart w:id="1" w:name="_Toc423425547"/>
      <w:r w:rsidRPr="00EF6453">
        <w:t>A.</w:t>
      </w:r>
      <w:r w:rsidR="00907632" w:rsidRPr="00EF6453">
        <w:tab/>
      </w:r>
      <w:r w:rsidR="00F209EB" w:rsidRPr="00EF6453">
        <w:t xml:space="preserve">Study </w:t>
      </w:r>
      <w:r w:rsidR="00CE37B8" w:rsidRPr="00EF6453">
        <w:t>b</w:t>
      </w:r>
      <w:r w:rsidR="00F209EB" w:rsidRPr="00EF6453">
        <w:t>ackground</w:t>
      </w:r>
      <w:bookmarkEnd w:id="1"/>
      <w:r w:rsidR="003F0117">
        <w:t xml:space="preserve"> </w:t>
      </w:r>
    </w:p>
    <w:p w14:paraId="6B9A4FB3" w14:textId="421E98CF" w:rsidR="00F137A0" w:rsidRPr="00F137A0" w:rsidRDefault="00F137A0" w:rsidP="00B61606">
      <w:pPr>
        <w:pStyle w:val="NormalSS"/>
      </w:pPr>
      <w:r w:rsidRPr="00F137A0">
        <w:t>The purpose of NCEHS-CCP</w:t>
      </w:r>
      <w:r w:rsidRPr="007D7E70">
        <w:t>, operated by ZERO TO THREE and its partners Child Care Aware of America and FHI</w:t>
      </w:r>
      <w:r w:rsidR="00F3408D">
        <w:t xml:space="preserve"> </w:t>
      </w:r>
      <w:r w:rsidRPr="007D7E70">
        <w:t>360</w:t>
      </w:r>
      <w:r>
        <w:t>,</w:t>
      </w:r>
      <w:r w:rsidRPr="00F137A0">
        <w:t xml:space="preserve"> is to support the effective implementation of the new EHS-CCP grantees. NCEHS-CCP will help awardees deliver high quality, comprehensive services to low-income infants, toddlers, and their families. NCEHS-CCP will do this by providing T/TA and other resources to OHS</w:t>
      </w:r>
      <w:r w:rsidR="00223FBA">
        <w:t>,</w:t>
      </w:r>
      <w:r w:rsidR="00DE5D5E">
        <w:t xml:space="preserve"> </w:t>
      </w:r>
      <w:r w:rsidRPr="00F137A0">
        <w:t>OCC federal and national center staffs, regional T/TA specialists, implementation planners and fiscal consultants, CCDF administrators, and Head Start state and national collaboration office directors so that they are equipped to meet the needs of the EHS-CCP grantees.</w:t>
      </w:r>
    </w:p>
    <w:p w14:paraId="3A95ED64" w14:textId="468253C6" w:rsidR="00803A58" w:rsidRPr="00D13D23" w:rsidRDefault="00C04E33" w:rsidP="00B61606">
      <w:pPr>
        <w:pStyle w:val="NormalSS"/>
      </w:pPr>
      <w:proofErr w:type="gramStart"/>
      <w:r w:rsidRPr="00B61606">
        <w:rPr>
          <w:b/>
        </w:rPr>
        <w:t xml:space="preserve">Target </w:t>
      </w:r>
      <w:r w:rsidR="00C92540" w:rsidRPr="00B61606">
        <w:rPr>
          <w:b/>
        </w:rPr>
        <w:t>p</w:t>
      </w:r>
      <w:r w:rsidRPr="00B61606">
        <w:rPr>
          <w:b/>
        </w:rPr>
        <w:t>opulation</w:t>
      </w:r>
      <w:r w:rsidR="00836E87" w:rsidRPr="007D7E70">
        <w:rPr>
          <w:b/>
        </w:rPr>
        <w:t>.</w:t>
      </w:r>
      <w:proofErr w:type="gramEnd"/>
      <w:r w:rsidR="00836E87" w:rsidRPr="007D7E70">
        <w:t xml:space="preserve"> </w:t>
      </w:r>
      <w:r w:rsidR="0011556C" w:rsidRPr="007D7E70">
        <w:t>NCEHS-CCP</w:t>
      </w:r>
      <w:r w:rsidR="00F137A0">
        <w:t xml:space="preserve"> </w:t>
      </w:r>
      <w:r w:rsidR="00850154" w:rsidRPr="00D13D23">
        <w:t>provides</w:t>
      </w:r>
      <w:r w:rsidR="00803A58" w:rsidRPr="00D13D23">
        <w:t xml:space="preserve"> training, resources, and materials to </w:t>
      </w:r>
      <w:r w:rsidR="00F45D09" w:rsidRPr="00D13D23">
        <w:t xml:space="preserve">OHS and the OCC </w:t>
      </w:r>
      <w:r w:rsidR="008A37E2" w:rsidRPr="00D13D23">
        <w:t xml:space="preserve">federal and </w:t>
      </w:r>
      <w:r w:rsidR="00F45D09" w:rsidRPr="00D13D23">
        <w:t>n</w:t>
      </w:r>
      <w:r w:rsidR="00FA496D" w:rsidRPr="00D13D23">
        <w:t>atio</w:t>
      </w:r>
      <w:r w:rsidR="00F45D09" w:rsidRPr="00D13D23">
        <w:t>nal c</w:t>
      </w:r>
      <w:r w:rsidR="00FA496D" w:rsidRPr="00D13D23">
        <w:t>enter staff</w:t>
      </w:r>
      <w:r w:rsidR="008A37E2" w:rsidRPr="00D13D23">
        <w:t>s</w:t>
      </w:r>
      <w:r w:rsidR="00FA496D" w:rsidRPr="00D13D23">
        <w:t xml:space="preserve">, regional T/TA specialists, implementation planners and fiscal consultants, </w:t>
      </w:r>
      <w:r w:rsidR="00D13D23" w:rsidRPr="00D13D23">
        <w:t>CCDF</w:t>
      </w:r>
      <w:r w:rsidR="00FA496D" w:rsidRPr="00D13D23">
        <w:t xml:space="preserve"> administrators, and </w:t>
      </w:r>
      <w:r w:rsidR="00F45D09" w:rsidRPr="00D13D23">
        <w:t>Head Start state and n</w:t>
      </w:r>
      <w:r w:rsidR="00FA496D" w:rsidRPr="00D13D23">
        <w:t xml:space="preserve">ational </w:t>
      </w:r>
      <w:r w:rsidR="00F45D09" w:rsidRPr="00D13D23">
        <w:t>c</w:t>
      </w:r>
      <w:r w:rsidR="00FA496D" w:rsidRPr="00D13D23">
        <w:t xml:space="preserve">ollaboration </w:t>
      </w:r>
      <w:r w:rsidR="00F45D09" w:rsidRPr="00D13D23">
        <w:t xml:space="preserve">office </w:t>
      </w:r>
      <w:r w:rsidR="00FA496D" w:rsidRPr="00D13D23">
        <w:t>directors</w:t>
      </w:r>
      <w:r w:rsidR="00A94B1C" w:rsidRPr="00D13D23">
        <w:t xml:space="preserve">. </w:t>
      </w:r>
    </w:p>
    <w:p w14:paraId="1867C766" w14:textId="02ADBD82" w:rsidR="00803A58" w:rsidRPr="00D13D23" w:rsidRDefault="00C04E33" w:rsidP="00B61606">
      <w:pPr>
        <w:pStyle w:val="NormalSS"/>
      </w:pPr>
      <w:r w:rsidRPr="00B61606">
        <w:rPr>
          <w:b/>
        </w:rPr>
        <w:t xml:space="preserve">Need for </w:t>
      </w:r>
      <w:r w:rsidR="00C92540" w:rsidRPr="00B61606">
        <w:rPr>
          <w:b/>
        </w:rPr>
        <w:t>a</w:t>
      </w:r>
      <w:r w:rsidRPr="00B61606">
        <w:rPr>
          <w:b/>
        </w:rPr>
        <w:t>ssistance</w:t>
      </w:r>
      <w:r w:rsidR="00836E87" w:rsidRPr="00B61606">
        <w:rPr>
          <w:b/>
        </w:rPr>
        <w:t>.</w:t>
      </w:r>
      <w:r w:rsidRPr="007D7E70">
        <w:t xml:space="preserve"> </w:t>
      </w:r>
      <w:r w:rsidR="00803A58" w:rsidRPr="007D7E70">
        <w:t>With the implementation of EHS-CC</w:t>
      </w:r>
      <w:r w:rsidR="00FA496D" w:rsidRPr="007D7E70">
        <w:t>P</w:t>
      </w:r>
      <w:r w:rsidR="00803A58" w:rsidRPr="007D7E70">
        <w:t xml:space="preserve"> there will be significantly more opportunities for low-income infants and toddlers and their families across the country to access high quality early learning programs and comprehensive services to meet the</w:t>
      </w:r>
      <w:r w:rsidR="008A37E2" w:rsidRPr="00D13D23">
        <w:t xml:space="preserve"> children’s</w:t>
      </w:r>
      <w:r w:rsidR="00803A58" w:rsidRPr="00D13D23">
        <w:t xml:space="preserve"> developmental needs. </w:t>
      </w:r>
      <w:r w:rsidR="00EC4344">
        <w:t>H</w:t>
      </w:r>
      <w:r w:rsidR="00803A58" w:rsidRPr="007D7E70">
        <w:t>igh demand for quality services for infants and toddlers</w:t>
      </w:r>
      <w:r w:rsidR="008A37E2" w:rsidRPr="007D7E70">
        <w:t>,</w:t>
      </w:r>
      <w:r w:rsidR="00803A58" w:rsidRPr="007D7E70">
        <w:t xml:space="preserve"> combined with low</w:t>
      </w:r>
      <w:r w:rsidR="008A37E2" w:rsidRPr="00D13D23">
        <w:t>-</w:t>
      </w:r>
      <w:r w:rsidR="00803A58" w:rsidRPr="00D13D23">
        <w:t xml:space="preserve">quality early learning programs, insufficiency of comprehensive services, and inadequate state policies addressing the needs of infants and toddlers, will result in the need for specialized T/TA from the existing OHS and OCC T/TA systems. </w:t>
      </w:r>
      <w:r w:rsidR="00EC4632" w:rsidRPr="00D13D23">
        <w:t xml:space="preserve">OHS and OCC </w:t>
      </w:r>
      <w:r w:rsidR="008A37E2" w:rsidRPr="00D13D23">
        <w:t xml:space="preserve">federal and </w:t>
      </w:r>
      <w:r w:rsidR="00A94B1C" w:rsidRPr="00D13D23">
        <w:t>n</w:t>
      </w:r>
      <w:r w:rsidR="00EC4632" w:rsidRPr="00D13D23">
        <w:t xml:space="preserve">ational </w:t>
      </w:r>
      <w:r w:rsidR="00A94B1C" w:rsidRPr="00D13D23">
        <w:t>c</w:t>
      </w:r>
      <w:r w:rsidR="00EC4632" w:rsidRPr="00D13D23">
        <w:t xml:space="preserve">enter </w:t>
      </w:r>
      <w:r w:rsidR="00EC4632" w:rsidRPr="00D13D23">
        <w:lastRenderedPageBreak/>
        <w:t>staff</w:t>
      </w:r>
      <w:r w:rsidR="008A37E2" w:rsidRPr="00D13D23">
        <w:t>s</w:t>
      </w:r>
      <w:r w:rsidR="00EC4632" w:rsidRPr="00D13D23">
        <w:t xml:space="preserve">, regional T/TA specialists, implementation planners and fiscal consultants, </w:t>
      </w:r>
      <w:r w:rsidR="00EC4344">
        <w:t>CCDF</w:t>
      </w:r>
      <w:r w:rsidR="00EC4632" w:rsidRPr="007D7E70">
        <w:t xml:space="preserve"> administrators, and Head Start </w:t>
      </w:r>
      <w:r w:rsidR="00A94B1C" w:rsidRPr="007D7E70">
        <w:t>s</w:t>
      </w:r>
      <w:r w:rsidR="00EC4632" w:rsidRPr="007D7E70">
        <w:t xml:space="preserve">tate and </w:t>
      </w:r>
      <w:r w:rsidR="00A94B1C" w:rsidRPr="007D7E70">
        <w:t>n</w:t>
      </w:r>
      <w:r w:rsidR="00EC4632" w:rsidRPr="007D7E70">
        <w:t xml:space="preserve">ational </w:t>
      </w:r>
      <w:r w:rsidR="00A94B1C" w:rsidRPr="007D7E70">
        <w:t>c</w:t>
      </w:r>
      <w:r w:rsidR="00EC4632" w:rsidRPr="00D13D23">
        <w:t xml:space="preserve">ollaboration directors will require resources and support so </w:t>
      </w:r>
      <w:r w:rsidR="00C92540" w:rsidRPr="00D13D23">
        <w:t xml:space="preserve">that </w:t>
      </w:r>
      <w:r w:rsidR="00EC4632" w:rsidRPr="00D13D23">
        <w:t xml:space="preserve">they can meet the unique needs of new grantees. </w:t>
      </w:r>
      <w:r w:rsidR="00803A58" w:rsidRPr="00D13D23">
        <w:t>The factors that will inform the needs experienced by federal, regional</w:t>
      </w:r>
      <w:r w:rsidR="00C92540" w:rsidRPr="00D13D23">
        <w:t>,</w:t>
      </w:r>
      <w:r w:rsidR="00803A58" w:rsidRPr="00D13D23">
        <w:t xml:space="preserve"> and state T/TA providers are summarized below. </w:t>
      </w:r>
    </w:p>
    <w:p w14:paraId="7ABDCFB6" w14:textId="1C7A9C5F" w:rsidR="000657BD" w:rsidRPr="007D7E70" w:rsidRDefault="00803A58" w:rsidP="00B61606">
      <w:pPr>
        <w:pStyle w:val="NormalSS"/>
      </w:pPr>
      <w:r w:rsidRPr="00D13D23">
        <w:t>There are 12 million infants and toddlers in the United States and nearly half of them need child care daily</w:t>
      </w:r>
      <w:r w:rsidR="00EB3DB7" w:rsidRPr="00D13D23">
        <w:t xml:space="preserve">. Of these children, </w:t>
      </w:r>
      <w:r w:rsidRPr="00D13D23">
        <w:t>46</w:t>
      </w:r>
      <w:r w:rsidR="00C92540" w:rsidRPr="00D13D23">
        <w:t xml:space="preserve"> percent</w:t>
      </w:r>
      <w:r w:rsidRPr="00D13D23">
        <w:t xml:space="preserve"> live in low-income families and 24</w:t>
      </w:r>
      <w:r w:rsidR="00C92540" w:rsidRPr="00D13D23">
        <w:t xml:space="preserve"> percent</w:t>
      </w:r>
      <w:r w:rsidRPr="00D13D23">
        <w:t xml:space="preserve"> live in families with incomes at or below the federal poverty level</w:t>
      </w:r>
      <w:r w:rsidR="004C28D2" w:rsidRPr="00D13D23">
        <w:t xml:space="preserve"> (Chau et al. 2010)</w:t>
      </w:r>
      <w:r w:rsidRPr="00D13D23">
        <w:t>.</w:t>
      </w:r>
      <w:r w:rsidRPr="007D7E70">
        <w:t xml:space="preserve"> High demand and low availability of licensed infant and toddler care challenges families of all incomes. </w:t>
      </w:r>
      <w:r w:rsidR="00EB3DB7" w:rsidRPr="007D7E70">
        <w:t xml:space="preserve">But it is </w:t>
      </w:r>
      <w:r w:rsidRPr="007D7E70">
        <w:t xml:space="preserve">particularly difficult </w:t>
      </w:r>
      <w:r w:rsidR="00EB3DB7" w:rsidRPr="007D7E70">
        <w:t xml:space="preserve">for low-income families </w:t>
      </w:r>
      <w:r w:rsidRPr="00D13D23">
        <w:t>to find care for their infants and toddlers due to increased need for part-time care and care during nontraditional work hours</w:t>
      </w:r>
      <w:r w:rsidR="00064F9D" w:rsidRPr="00D13D23">
        <w:t xml:space="preserve"> (Child Care Aware of America 2013)</w:t>
      </w:r>
      <w:r w:rsidRPr="00D13D23">
        <w:t>,</w:t>
      </w:r>
      <w:r w:rsidRPr="007D7E70">
        <w:t xml:space="preserve"> as well as </w:t>
      </w:r>
      <w:r w:rsidR="00EB3DB7" w:rsidRPr="007D7E70">
        <w:t xml:space="preserve">the </w:t>
      </w:r>
      <w:r w:rsidRPr="007D7E70">
        <w:t>limited ability to cover the cost of care, which can exceed the cost of higher education in</w:t>
      </w:r>
      <w:r w:rsidRPr="00D13D23">
        <w:t xml:space="preserve"> most states</w:t>
      </w:r>
      <w:r w:rsidR="00C40B15" w:rsidRPr="00D13D23">
        <w:t xml:space="preserve"> (Child Care Aware of America 201</w:t>
      </w:r>
      <w:r w:rsidR="005146AE">
        <w:t>4</w:t>
      </w:r>
      <w:r w:rsidR="00273660">
        <w:t>)</w:t>
      </w:r>
      <w:r w:rsidRPr="007D7E70">
        <w:t xml:space="preserve">. </w:t>
      </w:r>
    </w:p>
    <w:p w14:paraId="34D84B57" w14:textId="06957E02" w:rsidR="00C04E33" w:rsidRPr="007D7E70" w:rsidRDefault="00C9110D" w:rsidP="00B61606">
      <w:pPr>
        <w:pStyle w:val="NormalSS"/>
      </w:pPr>
      <w:r w:rsidRPr="007D7E70">
        <w:t>In addition to access and affordability, the quality of most infant and toddler care is low, regardless of the tools used to measure quality. For example, across all non-parental settings (grandparents, i</w:t>
      </w:r>
      <w:r w:rsidRPr="00D13D23">
        <w:t xml:space="preserve">n-home sitters, family child care homes, and centers), research found only 9 percent of toddlers were served in settings characterized as providing positive caregiving. </w:t>
      </w:r>
      <w:r w:rsidR="00803A58" w:rsidRPr="00D13D23">
        <w:t>Other studies found good quality</w:t>
      </w:r>
      <w:r w:rsidR="00E01E13" w:rsidRPr="00D13D23">
        <w:t xml:space="preserve"> and </w:t>
      </w:r>
      <w:r w:rsidR="00803A58" w:rsidRPr="00D13D23">
        <w:t xml:space="preserve">developmentally appropriate care in just over </w:t>
      </w:r>
      <w:r w:rsidR="00E01E13" w:rsidRPr="00D13D23">
        <w:t xml:space="preserve">8 </w:t>
      </w:r>
      <w:r w:rsidR="00803A58" w:rsidRPr="00D13D23">
        <w:t>percent of infant and toddler settings. The evaluation of the quality of family child care is similarly sobering</w:t>
      </w:r>
      <w:r w:rsidR="00EB3DB7" w:rsidRPr="00D13D23">
        <w:t>—</w:t>
      </w:r>
      <w:r w:rsidR="00803A58" w:rsidRPr="00D13D23">
        <w:t xml:space="preserve">the range of </w:t>
      </w:r>
      <w:r w:rsidR="00C04E33" w:rsidRPr="00B61606">
        <w:rPr>
          <w:rFonts w:eastAsiaTheme="minorEastAsia"/>
        </w:rPr>
        <w:t>quality varies significantly, with little high quality care for infants and toddlers identified</w:t>
      </w:r>
      <w:r w:rsidR="00D13416" w:rsidRPr="00B61606">
        <w:rPr>
          <w:rFonts w:eastAsiaTheme="minorEastAsia"/>
        </w:rPr>
        <w:t xml:space="preserve"> </w:t>
      </w:r>
      <w:r w:rsidR="00D13416" w:rsidRPr="00B61606">
        <w:t>(</w:t>
      </w:r>
      <w:proofErr w:type="spellStart"/>
      <w:r w:rsidR="00D13416" w:rsidRPr="00B61606">
        <w:t>Kreader</w:t>
      </w:r>
      <w:proofErr w:type="spellEnd"/>
      <w:r w:rsidR="00D13416" w:rsidRPr="00B61606">
        <w:t xml:space="preserve"> et al. 2005)</w:t>
      </w:r>
      <w:r w:rsidR="00C04E33" w:rsidRPr="007D7E70">
        <w:rPr>
          <w:rFonts w:eastAsiaTheme="minorEastAsia"/>
        </w:rPr>
        <w:t>.</w:t>
      </w:r>
    </w:p>
    <w:p w14:paraId="68CF182D" w14:textId="5AAC9C35" w:rsidR="00C04E33" w:rsidRPr="007D7E70" w:rsidRDefault="004C28D2" w:rsidP="00B61606">
      <w:pPr>
        <w:pStyle w:val="NormalSS"/>
      </w:pPr>
      <w:r w:rsidRPr="007D7E70">
        <w:t>I</w:t>
      </w:r>
      <w:r w:rsidR="00C04E33" w:rsidRPr="007D7E70">
        <w:t>mportant factor</w:t>
      </w:r>
      <w:r w:rsidRPr="00D13D23">
        <w:t>s</w:t>
      </w:r>
      <w:r w:rsidR="00C04E33" w:rsidRPr="00D13D23">
        <w:t xml:space="preserve"> contributing to quality </w:t>
      </w:r>
      <w:r w:rsidR="00EC4632" w:rsidRPr="00D13D23">
        <w:t xml:space="preserve">may be </w:t>
      </w:r>
      <w:r w:rsidR="00C04E33" w:rsidRPr="00D13D23">
        <w:t xml:space="preserve">the preparation of the teachers and </w:t>
      </w:r>
      <w:r w:rsidRPr="00D13D23">
        <w:t xml:space="preserve">the </w:t>
      </w:r>
      <w:r w:rsidR="00C04E33" w:rsidRPr="00D13D23">
        <w:t>quality</w:t>
      </w:r>
      <w:r w:rsidRPr="00D13D23">
        <w:t xml:space="preserve"> of the</w:t>
      </w:r>
      <w:r w:rsidR="00C04E33" w:rsidRPr="00D13D23">
        <w:t xml:space="preserve"> adult-child interactions. Early childhood workforce data and research show significant needs related to the professional development of infant and toddler caregivers. Data from the National Survey of Early Care and Education show education and training levels are </w:t>
      </w:r>
      <w:r w:rsidR="00C04E33" w:rsidRPr="00B61606">
        <w:t>lowest for professionals serving infants and toddlers</w:t>
      </w:r>
      <w:r w:rsidR="00D13416" w:rsidRPr="00B61606">
        <w:t xml:space="preserve"> (</w:t>
      </w:r>
      <w:r w:rsidR="00273660" w:rsidRPr="00273660">
        <w:t>National Survey of Early Care and Education Project Team</w:t>
      </w:r>
      <w:r w:rsidR="00273660" w:rsidRPr="007D7E70" w:rsidDel="00273660">
        <w:t xml:space="preserve"> </w:t>
      </w:r>
      <w:r w:rsidR="00D13416" w:rsidRPr="00B61606">
        <w:t>2013)</w:t>
      </w:r>
      <w:r w:rsidR="00C04E33" w:rsidRPr="007D7E70">
        <w:t>.</w:t>
      </w:r>
    </w:p>
    <w:p w14:paraId="6BDF72CD" w14:textId="0E7DCDDB" w:rsidR="00C04E33" w:rsidRPr="007D7E70" w:rsidRDefault="00C04E33" w:rsidP="00B61606">
      <w:pPr>
        <w:pStyle w:val="NormalSS"/>
      </w:pPr>
      <w:r w:rsidRPr="007D7E70">
        <w:t>A 2013 Center for Law and Social Policy analysis of state infant and toddler policies found that most states are not implementing policies that meet the needs of infants and toddlers and are struggling to provide quality, affordable child care for very young children</w:t>
      </w:r>
      <w:r w:rsidR="00D13416" w:rsidRPr="007D7E70">
        <w:t xml:space="preserve"> </w:t>
      </w:r>
      <w:r w:rsidR="00D13416" w:rsidRPr="00B61606">
        <w:t>(</w:t>
      </w:r>
      <w:proofErr w:type="spellStart"/>
      <w:r w:rsidR="00D13416" w:rsidRPr="00B61606">
        <w:t>Schmit</w:t>
      </w:r>
      <w:proofErr w:type="spellEnd"/>
      <w:r w:rsidR="00D13416" w:rsidRPr="00B61606">
        <w:t xml:space="preserve"> and Matthews 2013)</w:t>
      </w:r>
      <w:r w:rsidRPr="007D7E70">
        <w:t>.</w:t>
      </w:r>
    </w:p>
    <w:p w14:paraId="7644175C" w14:textId="511299ED" w:rsidR="00C04E33" w:rsidRPr="00D13D23" w:rsidRDefault="00C04E33" w:rsidP="00B61606">
      <w:pPr>
        <w:pStyle w:val="NormalSS"/>
      </w:pPr>
      <w:r w:rsidRPr="007D7E70">
        <w:t>Taken together</w:t>
      </w:r>
      <w:r w:rsidR="00EB3DB7" w:rsidRPr="007D7E70">
        <w:t>,</w:t>
      </w:r>
      <w:r w:rsidRPr="007D7E70">
        <w:t xml:space="preserve"> the evidence demonstrates that </w:t>
      </w:r>
      <w:r w:rsidR="001D7980" w:rsidRPr="007D7E70">
        <w:t>many</w:t>
      </w:r>
      <w:r w:rsidR="00190B01" w:rsidRPr="007D7E70">
        <w:t xml:space="preserve"> </w:t>
      </w:r>
      <w:r w:rsidR="00EC4344">
        <w:t>e</w:t>
      </w:r>
      <w:r w:rsidR="00190B01" w:rsidRPr="007D7E70">
        <w:t xml:space="preserve">arly </w:t>
      </w:r>
      <w:r w:rsidR="00EC4344">
        <w:t>c</w:t>
      </w:r>
      <w:r w:rsidR="00190B01" w:rsidRPr="007D7E70">
        <w:t xml:space="preserve">are and </w:t>
      </w:r>
      <w:r w:rsidR="00EC4344">
        <w:t>e</w:t>
      </w:r>
      <w:r w:rsidR="00190B01" w:rsidRPr="007D7E70">
        <w:t xml:space="preserve">ducation </w:t>
      </w:r>
      <w:r w:rsidRPr="00D13D23">
        <w:t xml:space="preserve">programs, professional preparation requirements, and state policies will require improvements. </w:t>
      </w:r>
      <w:r w:rsidR="001D7980" w:rsidRPr="00D13D23">
        <w:t>EHS-CCP</w:t>
      </w:r>
      <w:r w:rsidRPr="00D13D23">
        <w:t xml:space="preserve"> provide</w:t>
      </w:r>
      <w:r w:rsidR="001D7980" w:rsidRPr="00D13D23">
        <w:t>s</w:t>
      </w:r>
      <w:r w:rsidRPr="00D13D23">
        <w:t xml:space="preserve"> tremendous opportunities to not only improve the quality and comprehensiveness of services for low-income children in linguistically and culturally diverse communities, but also </w:t>
      </w:r>
      <w:r w:rsidR="00E01E13" w:rsidRPr="00D13D23">
        <w:t xml:space="preserve">to </w:t>
      </w:r>
      <w:r w:rsidRPr="00D13D23">
        <w:t xml:space="preserve">strengthen state and local policies. </w:t>
      </w:r>
    </w:p>
    <w:p w14:paraId="0758FF35" w14:textId="22965D41" w:rsidR="00803A58" w:rsidRPr="00273660" w:rsidRDefault="00C04E33" w:rsidP="00B61606">
      <w:pPr>
        <w:pStyle w:val="NormalSS"/>
      </w:pPr>
      <w:r w:rsidRPr="00B61606">
        <w:rPr>
          <w:b/>
        </w:rPr>
        <w:t>Types of T/TA needed</w:t>
      </w:r>
      <w:r w:rsidR="00836E87" w:rsidRPr="00B61606">
        <w:rPr>
          <w:b/>
        </w:rPr>
        <w:t>.</w:t>
      </w:r>
      <w:r w:rsidRPr="007D7E70">
        <w:t xml:space="preserve"> </w:t>
      </w:r>
      <w:r w:rsidR="0011556C" w:rsidRPr="007D7E70">
        <w:t>NCEHS-CCP</w:t>
      </w:r>
      <w:r w:rsidR="00941F3F" w:rsidRPr="007D7E70">
        <w:t xml:space="preserve"> </w:t>
      </w:r>
      <w:r w:rsidR="00803A58" w:rsidRPr="007D7E70">
        <w:t xml:space="preserve">employs innovative strategies and tiered T/TA to effectively support </w:t>
      </w:r>
      <w:r w:rsidR="00EC4632" w:rsidRPr="00273660">
        <w:t xml:space="preserve">the T/TA systems that directly work with EHS-CCP grantees. </w:t>
      </w:r>
      <w:r w:rsidR="00DB74AB" w:rsidRPr="00273660">
        <w:t>S</w:t>
      </w:r>
      <w:r w:rsidR="00803A58" w:rsidRPr="00273660">
        <w:t xml:space="preserve">trategies include </w:t>
      </w:r>
      <w:r w:rsidR="00056EB7" w:rsidRPr="00273660">
        <w:t xml:space="preserve">(1) </w:t>
      </w:r>
      <w:r w:rsidR="00803A58" w:rsidRPr="00273660">
        <w:t>creati</w:t>
      </w:r>
      <w:r w:rsidR="00056EB7" w:rsidRPr="00273660">
        <w:t>ng</w:t>
      </w:r>
      <w:r w:rsidR="00803A58" w:rsidRPr="00273660">
        <w:t xml:space="preserve"> an interactive catalog of existing resources, </w:t>
      </w:r>
      <w:r w:rsidR="00056EB7" w:rsidRPr="00273660">
        <w:t xml:space="preserve">(2) </w:t>
      </w:r>
      <w:r w:rsidR="00803A58" w:rsidRPr="00273660">
        <w:t xml:space="preserve">adapting current and developing new resources to meet emerging needs, </w:t>
      </w:r>
      <w:r w:rsidR="00056EB7" w:rsidRPr="00273660">
        <w:t xml:space="preserve">(3) using </w:t>
      </w:r>
      <w:r w:rsidR="00803A58" w:rsidRPr="00273660">
        <w:t xml:space="preserve">a phased T/TA approach and </w:t>
      </w:r>
      <w:r w:rsidR="00B8328E" w:rsidRPr="00273660">
        <w:t xml:space="preserve">new </w:t>
      </w:r>
      <w:r w:rsidR="00803A58" w:rsidRPr="00273660">
        <w:t xml:space="preserve">interactive tools to meet needs, and </w:t>
      </w:r>
      <w:r w:rsidR="00056EB7" w:rsidRPr="00273660">
        <w:t>(4)</w:t>
      </w:r>
      <w:r w:rsidR="00803A58" w:rsidRPr="00273660">
        <w:t xml:space="preserve"> train</w:t>
      </w:r>
      <w:r w:rsidR="00056EB7" w:rsidRPr="00273660">
        <w:t>ing a</w:t>
      </w:r>
      <w:r w:rsidR="00803A58" w:rsidRPr="00273660">
        <w:t xml:space="preserve"> cadre of </w:t>
      </w:r>
      <w:r w:rsidR="00EC4632" w:rsidRPr="00273660">
        <w:t>i</w:t>
      </w:r>
      <w:r w:rsidR="00803A58" w:rsidRPr="00273660">
        <w:t xml:space="preserve">mplementation </w:t>
      </w:r>
      <w:r w:rsidR="00EC4632" w:rsidRPr="00273660">
        <w:t>p</w:t>
      </w:r>
      <w:r w:rsidR="00DB74AB" w:rsidRPr="00273660">
        <w:t xml:space="preserve">lanners and </w:t>
      </w:r>
      <w:r w:rsidR="00EC4632" w:rsidRPr="00273660">
        <w:t>f</w:t>
      </w:r>
      <w:r w:rsidR="00DB74AB" w:rsidRPr="00273660">
        <w:t xml:space="preserve">iscal </w:t>
      </w:r>
      <w:r w:rsidR="00EC4632" w:rsidRPr="00273660">
        <w:t>c</w:t>
      </w:r>
      <w:r w:rsidR="00DB74AB" w:rsidRPr="00273660">
        <w:t>onsultants.</w:t>
      </w:r>
    </w:p>
    <w:p w14:paraId="14B4DE89" w14:textId="31A41D09" w:rsidR="00D35E00" w:rsidRPr="00D35E00" w:rsidRDefault="00F137A0" w:rsidP="00D35E00">
      <w:pPr>
        <w:pStyle w:val="NormalSS"/>
      </w:pPr>
      <w:r>
        <w:rPr>
          <w:b/>
        </w:rPr>
        <w:lastRenderedPageBreak/>
        <w:t>Study</w:t>
      </w:r>
      <w:r w:rsidR="0039650E" w:rsidRPr="00B61606">
        <w:rPr>
          <w:b/>
        </w:rPr>
        <w:t xml:space="preserve"> </w:t>
      </w:r>
      <w:r w:rsidR="00056EB7" w:rsidRPr="00B61606">
        <w:rPr>
          <w:b/>
        </w:rPr>
        <w:t>p</w:t>
      </w:r>
      <w:r w:rsidR="00752D1F" w:rsidRPr="00B61606">
        <w:rPr>
          <w:b/>
        </w:rPr>
        <w:t>urpose</w:t>
      </w:r>
      <w:r w:rsidR="00836E87" w:rsidRPr="00B61606">
        <w:rPr>
          <w:b/>
        </w:rPr>
        <w:t>.</w:t>
      </w:r>
      <w:r w:rsidR="0039650E" w:rsidRPr="007D7E70">
        <w:t xml:space="preserve"> </w:t>
      </w:r>
      <w:r w:rsidR="004572EC" w:rsidRPr="00A34021">
        <w:t xml:space="preserve">The purpose of </w:t>
      </w:r>
      <w:r w:rsidR="0011556C" w:rsidRPr="00A34021">
        <w:t>NCEHS-CCP</w:t>
      </w:r>
      <w:r w:rsidR="00A34021" w:rsidRPr="00A34021">
        <w:t xml:space="preserve"> evaluation is to track activities and assess its progress </w:t>
      </w:r>
      <w:r w:rsidR="00A34021" w:rsidRPr="00D35E00">
        <w:t>toward its goals and objectives</w:t>
      </w:r>
      <w:r w:rsidR="004572EC" w:rsidRPr="00D35E00">
        <w:t>.</w:t>
      </w:r>
      <w:r w:rsidR="0039650E" w:rsidRPr="00D35E00">
        <w:t xml:space="preserve"> </w:t>
      </w:r>
      <w:r w:rsidR="00A34021" w:rsidRPr="00D35E00">
        <w:t>Data analyzed by the evaluation team will be translated into action steps to inform continuous quality improvement of NCEHS-CCP.</w:t>
      </w:r>
      <w:r w:rsidR="00D35E00" w:rsidRPr="00D35E00">
        <w:t xml:space="preserve"> The evaluation team will work collaboratively with NCEHS-CCP staff to implement the “Plan-Do-Study-Act” cycle (</w:t>
      </w:r>
      <w:proofErr w:type="spellStart"/>
      <w:r w:rsidR="00D35E00" w:rsidRPr="00D35E00">
        <w:t>Shewhart</w:t>
      </w:r>
      <w:proofErr w:type="spellEnd"/>
      <w:r w:rsidR="00D35E00" w:rsidRPr="00D35E00">
        <w:t xml:space="preserve"> 1931). The “Plan-Do-Study-Act” cycle involves an approach continuous quality improvement in which the steps are conducted over iterative cycles designed to identify and address problems. Organizations implementing this approach to continuous quality improvement carry out the following steps: (1) </w:t>
      </w:r>
      <w:r w:rsidR="00D35E00" w:rsidRPr="00D35E00">
        <w:rPr>
          <w:i/>
        </w:rPr>
        <w:t>plan</w:t>
      </w:r>
      <w:r w:rsidR="00D35E00" w:rsidRPr="00D35E00">
        <w:t xml:space="preserve"> an improvement, predict what should happen, and decide how to measure change; (2) </w:t>
      </w:r>
      <w:r w:rsidR="00D35E00" w:rsidRPr="000251A4">
        <w:rPr>
          <w:i/>
        </w:rPr>
        <w:t>do</w:t>
      </w:r>
      <w:r w:rsidR="00D35E00" w:rsidRPr="00D35E00">
        <w:t xml:space="preserve"> or enact the plan and collect data required to assess change; (3) </w:t>
      </w:r>
      <w:r w:rsidR="00D35E00" w:rsidRPr="000251A4">
        <w:rPr>
          <w:i/>
        </w:rPr>
        <w:t>study</w:t>
      </w:r>
      <w:r w:rsidR="00D35E00" w:rsidRPr="00D35E00">
        <w:t xml:space="preserve"> the data and how they compare to predictions and expectations; and (4) </w:t>
      </w:r>
      <w:r w:rsidR="00D35E00" w:rsidRPr="000251A4">
        <w:rPr>
          <w:i/>
        </w:rPr>
        <w:t>act</w:t>
      </w:r>
      <w:r w:rsidR="00D35E00" w:rsidRPr="00D35E00">
        <w:t xml:space="preserve"> to assess whether the improvement was successful, and if needed start the cycle again with a modified improvement designed to achieve the desired outcomes. </w:t>
      </w:r>
    </w:p>
    <w:p w14:paraId="2537F1C8" w14:textId="0DAEFA48" w:rsidR="00092181" w:rsidRPr="00DD7810" w:rsidRDefault="00092181" w:rsidP="00EF6453">
      <w:pPr>
        <w:pStyle w:val="H4Number"/>
      </w:pPr>
      <w:bookmarkStart w:id="2" w:name="_Toc423425548"/>
      <w:r>
        <w:t>B.</w:t>
      </w:r>
      <w:r w:rsidR="00907632">
        <w:tab/>
      </w:r>
      <w:r w:rsidR="00CE37B8">
        <w:t>Legal or administrative r</w:t>
      </w:r>
      <w:r w:rsidRPr="00DD7810">
        <w:t>equir</w:t>
      </w:r>
      <w:r w:rsidR="00CE37B8">
        <w:t>ements that necessitate the c</w:t>
      </w:r>
      <w:r w:rsidRPr="00DD7810">
        <w:t>ollection</w:t>
      </w:r>
      <w:bookmarkEnd w:id="2"/>
      <w:r w:rsidRPr="00DD7810">
        <w:t xml:space="preserve"> </w:t>
      </w:r>
    </w:p>
    <w:p w14:paraId="7BAC69D8" w14:textId="4E00312C" w:rsidR="00EE4BBA" w:rsidRPr="00273660" w:rsidRDefault="00801315" w:rsidP="00B61606">
      <w:pPr>
        <w:pStyle w:val="NormalSS"/>
      </w:pPr>
      <w:r w:rsidRPr="00A34021">
        <w:t>Mathematica Policy Research</w:t>
      </w:r>
      <w:r w:rsidR="00DD7810" w:rsidRPr="00A34021">
        <w:t xml:space="preserve"> is undertaking the collection to </w:t>
      </w:r>
      <w:r w:rsidRPr="00A34021">
        <w:t>document the T/TA</w:t>
      </w:r>
      <w:r w:rsidR="00DD7810" w:rsidRPr="00A34021">
        <w:t xml:space="preserve"> activities </w:t>
      </w:r>
      <w:r w:rsidR="00DF1DC3" w:rsidRPr="00A34021">
        <w:t xml:space="preserve">carried out by </w:t>
      </w:r>
      <w:r w:rsidR="0011556C" w:rsidRPr="00A34021">
        <w:t>NCEHS-CCP</w:t>
      </w:r>
      <w:r w:rsidR="00A34021">
        <w:t xml:space="preserve"> and inform continuous quality improvement</w:t>
      </w:r>
      <w:r w:rsidR="00EE4BBA" w:rsidRPr="00A34021">
        <w:t>.</w:t>
      </w:r>
      <w:r w:rsidR="00EE4BBA" w:rsidRPr="00273660">
        <w:t xml:space="preserve"> </w:t>
      </w:r>
    </w:p>
    <w:p w14:paraId="0D56472B" w14:textId="0A49FB15" w:rsidR="00FC3F6F" w:rsidRPr="00941821" w:rsidRDefault="00667A13" w:rsidP="00EF6453">
      <w:pPr>
        <w:pStyle w:val="H3Alpha"/>
      </w:pPr>
      <w:bookmarkStart w:id="3" w:name="_Toc423425549"/>
      <w:r w:rsidRPr="00941821">
        <w:t>A</w:t>
      </w:r>
      <w:r w:rsidR="00CE37B8" w:rsidRPr="00941821">
        <w:t>2.</w:t>
      </w:r>
      <w:r w:rsidR="00907632" w:rsidRPr="00941821">
        <w:t xml:space="preserve"> </w:t>
      </w:r>
      <w:r w:rsidR="00CE37B8" w:rsidRPr="00941821">
        <w:t>Purpose of survey and data collection p</w:t>
      </w:r>
      <w:r w:rsidR="00FC3F6F" w:rsidRPr="00941821">
        <w:t>rocedures</w:t>
      </w:r>
      <w:bookmarkEnd w:id="3"/>
    </w:p>
    <w:p w14:paraId="28B7DD03" w14:textId="40E98B6E" w:rsidR="00CC7DDC" w:rsidRPr="00B10274" w:rsidRDefault="00910C04" w:rsidP="00EF6453">
      <w:pPr>
        <w:pStyle w:val="H4Number"/>
      </w:pPr>
      <w:bookmarkStart w:id="4" w:name="_Toc423425550"/>
      <w:r w:rsidRPr="00CA129E">
        <w:t>A</w:t>
      </w:r>
      <w:r w:rsidR="00CC7DDC" w:rsidRPr="00CA129E">
        <w:t>.</w:t>
      </w:r>
      <w:r w:rsidR="00907632">
        <w:tab/>
      </w:r>
      <w:r w:rsidR="00CE37B8">
        <w:t>Overview of purpose and a</w:t>
      </w:r>
      <w:r w:rsidR="00F40EF4" w:rsidRPr="00464F61">
        <w:t>pproach</w:t>
      </w:r>
      <w:bookmarkEnd w:id="4"/>
    </w:p>
    <w:p w14:paraId="0B082D2D" w14:textId="1977AE86" w:rsidR="00AA1797" w:rsidRPr="00273660" w:rsidRDefault="00AA1797" w:rsidP="00B61606">
      <w:pPr>
        <w:pStyle w:val="NormalSS"/>
      </w:pPr>
      <w:r w:rsidRPr="007D7E70">
        <w:t xml:space="preserve">To evaluate </w:t>
      </w:r>
      <w:r w:rsidR="0011556C" w:rsidRPr="007D7E70">
        <w:t>NCEHS-CCP</w:t>
      </w:r>
      <w:r w:rsidR="00056EB7" w:rsidRPr="007D7E70">
        <w:t>,</w:t>
      </w:r>
      <w:r w:rsidRPr="007D7E70">
        <w:t xml:space="preserve"> the study team will measure the </w:t>
      </w:r>
      <w:r w:rsidR="003F35EE" w:rsidRPr="007D7E70">
        <w:t>progress</w:t>
      </w:r>
      <w:r w:rsidR="004572EC" w:rsidRPr="007D7E70">
        <w:t xml:space="preserve"> </w:t>
      </w:r>
      <w:r w:rsidRPr="00273660">
        <w:t xml:space="preserve">of </w:t>
      </w:r>
      <w:r w:rsidR="0011556C" w:rsidRPr="00273660">
        <w:t>NCEHS-CCP</w:t>
      </w:r>
      <w:r w:rsidRPr="00273660">
        <w:t>’s</w:t>
      </w:r>
      <w:r w:rsidR="003F35EE" w:rsidRPr="00273660">
        <w:t xml:space="preserve"> implementation of</w:t>
      </w:r>
      <w:r w:rsidRPr="00273660">
        <w:t xml:space="preserve"> three overarching activities:</w:t>
      </w:r>
    </w:p>
    <w:p w14:paraId="4B32B965" w14:textId="52EE438F" w:rsidR="00AA1797" w:rsidRPr="00F264BE" w:rsidRDefault="00AA1797" w:rsidP="00836E87">
      <w:pPr>
        <w:pStyle w:val="NumberedBullet"/>
        <w:ind w:hanging="792"/>
        <w:rPr>
          <w:b/>
        </w:rPr>
      </w:pPr>
      <w:r w:rsidRPr="004378EA">
        <w:t>Knowledge and resource development</w:t>
      </w:r>
      <w:r w:rsidRPr="00F264BE">
        <w:rPr>
          <w:b/>
        </w:rPr>
        <w:t xml:space="preserve"> </w:t>
      </w:r>
    </w:p>
    <w:p w14:paraId="37BE06DB" w14:textId="77777777" w:rsidR="00B440AA" w:rsidRPr="00B440AA" w:rsidRDefault="00AA1797" w:rsidP="00836E87">
      <w:pPr>
        <w:pStyle w:val="NumberedBullet"/>
        <w:ind w:hanging="792"/>
        <w:rPr>
          <w:b/>
        </w:rPr>
      </w:pPr>
      <w:r w:rsidRPr="004378EA">
        <w:t>Collaboration with OHS and OCC T/TA systems</w:t>
      </w:r>
    </w:p>
    <w:p w14:paraId="1ECE8F15" w14:textId="09E51FC9" w:rsidR="00AA1797" w:rsidRPr="00B440AA" w:rsidRDefault="00AA1797" w:rsidP="00836E87">
      <w:pPr>
        <w:pStyle w:val="NumberedBullet"/>
        <w:ind w:hanging="792"/>
        <w:rPr>
          <w:b/>
        </w:rPr>
      </w:pPr>
      <w:r w:rsidRPr="004378EA">
        <w:t>T/TA provision</w:t>
      </w:r>
      <w:r w:rsidRPr="00B440AA">
        <w:rPr>
          <w:b/>
        </w:rPr>
        <w:t xml:space="preserve"> </w:t>
      </w:r>
      <w:r w:rsidRPr="00F264BE">
        <w:t>to key stakeholders</w:t>
      </w:r>
    </w:p>
    <w:p w14:paraId="4F1B4FB0" w14:textId="27AA068A" w:rsidR="00AA1797" w:rsidRDefault="006526BD" w:rsidP="00B61606">
      <w:pPr>
        <w:pStyle w:val="NormalSS"/>
      </w:pPr>
      <w:r>
        <w:t>Within each of the three major activities are more detailed processes that lead to expected outputs and, ultimately, outcomes as depicted in the logic model for NCEHS-CCP (</w:t>
      </w:r>
      <w:r w:rsidRPr="00B61606">
        <w:t>se</w:t>
      </w:r>
      <w:r w:rsidR="00EC4344">
        <w:t>e Attachment A</w:t>
      </w:r>
      <w:r w:rsidR="00C55B5A">
        <w:t xml:space="preserve">). </w:t>
      </w:r>
      <w:r>
        <w:t xml:space="preserve">The evaluation will measure the processes and outputs. </w:t>
      </w:r>
      <w:r w:rsidR="00AA1797" w:rsidRPr="004D4D8E">
        <w:t xml:space="preserve">Key sources of data for the evaluation include </w:t>
      </w:r>
      <w:r w:rsidR="00941821" w:rsidRPr="004D4D8E">
        <w:t xml:space="preserve">administrative data collected by </w:t>
      </w:r>
      <w:r w:rsidR="0011556C" w:rsidRPr="004D4D8E">
        <w:t>NCEHS-CCP</w:t>
      </w:r>
      <w:r w:rsidR="00941821" w:rsidRPr="004D4D8E">
        <w:t xml:space="preserve">, </w:t>
      </w:r>
      <w:r w:rsidR="004F0C7B" w:rsidRPr="004D4D8E">
        <w:t>training feedback forms administered by NCEHS-CCP</w:t>
      </w:r>
      <w:r w:rsidR="00B440AA" w:rsidRPr="004D4D8E">
        <w:t>,</w:t>
      </w:r>
      <w:r w:rsidR="001E497F" w:rsidRPr="004D4D8E">
        <w:t xml:space="preserve"> </w:t>
      </w:r>
      <w:r w:rsidR="00B440AA" w:rsidRPr="004D4D8E">
        <w:t xml:space="preserve">a </w:t>
      </w:r>
      <w:r w:rsidR="00F45D09" w:rsidRPr="004D4D8E">
        <w:t>stakeholder</w:t>
      </w:r>
      <w:r w:rsidR="001E497F" w:rsidRPr="004D4D8E">
        <w:t xml:space="preserve"> survey</w:t>
      </w:r>
      <w:r w:rsidR="00941821" w:rsidRPr="004D4D8E">
        <w:t xml:space="preserve"> and </w:t>
      </w:r>
      <w:r w:rsidR="00F45D09" w:rsidRPr="004D4D8E">
        <w:t>stakeholder</w:t>
      </w:r>
      <w:r w:rsidR="00941821" w:rsidRPr="004D4D8E">
        <w:t xml:space="preserve"> telephone interviews. The </w:t>
      </w:r>
      <w:r w:rsidR="00F45D09" w:rsidRPr="004D4D8E">
        <w:t>stakeholder</w:t>
      </w:r>
      <w:r w:rsidR="00941821" w:rsidRPr="004D4D8E">
        <w:t xml:space="preserve"> survey and </w:t>
      </w:r>
      <w:r w:rsidR="004D4D8E" w:rsidRPr="004D4D8E">
        <w:t xml:space="preserve">stakeholder </w:t>
      </w:r>
      <w:r w:rsidR="00941821" w:rsidRPr="004D4D8E">
        <w:t>tele</w:t>
      </w:r>
      <w:r w:rsidR="00BD572A" w:rsidRPr="004D4D8E">
        <w:t>phone interviews will collect</w:t>
      </w:r>
      <w:r w:rsidR="00941821" w:rsidRPr="004D4D8E">
        <w:t xml:space="preserve"> information about the type</w:t>
      </w:r>
      <w:r w:rsidR="00F85A73" w:rsidRPr="004D4D8E">
        <w:t xml:space="preserve"> of</w:t>
      </w:r>
      <w:r w:rsidR="00941821" w:rsidRPr="004D4D8E">
        <w:t xml:space="preserve"> T/TA support participants have received from </w:t>
      </w:r>
      <w:r w:rsidR="0011556C" w:rsidRPr="004D4D8E">
        <w:t>NCEHS-CCP</w:t>
      </w:r>
      <w:r w:rsidR="00F45D09" w:rsidRPr="004D4D8E">
        <w:t xml:space="preserve"> and their satisfaction with that support</w:t>
      </w:r>
      <w:r w:rsidR="00941821" w:rsidRPr="004D4D8E">
        <w:t xml:space="preserve">. </w:t>
      </w:r>
      <w:r w:rsidR="004D4D8E" w:rsidRPr="004D4D8E">
        <w:t xml:space="preserve">When we use the term stakeholders moving forward, we are referring to </w:t>
      </w:r>
      <w:r w:rsidR="004D4D8E" w:rsidRPr="004239D2">
        <w:t>regional T/TA specialists, implementation planners and fiscal consultants, CCDF administrators, and Head Start state and national collaboration office directors</w:t>
      </w:r>
      <w:r w:rsidR="004D4D8E" w:rsidRPr="004D4D8E">
        <w:t>.</w:t>
      </w:r>
      <w:r w:rsidR="004D4D8E">
        <w:t xml:space="preserve"> EHS-CCP grantees are not included as stakeholders for the purpose of this data collection because they are not the primary target audience for NCEHS-CCP. </w:t>
      </w:r>
      <w:r w:rsidR="00941821">
        <w:t xml:space="preserve">The survey slated for </w:t>
      </w:r>
      <w:r w:rsidR="001479C6">
        <w:t xml:space="preserve">summer </w:t>
      </w:r>
      <w:r w:rsidR="00941821">
        <w:t xml:space="preserve">of 2016 </w:t>
      </w:r>
      <w:r w:rsidR="0050247D">
        <w:t xml:space="preserve">(pending OMB approval) </w:t>
      </w:r>
      <w:r w:rsidR="00941821">
        <w:t xml:space="preserve">and 2018 will </w:t>
      </w:r>
      <w:r w:rsidR="005838D0">
        <w:t xml:space="preserve">query </w:t>
      </w:r>
      <w:r w:rsidR="00F45D09">
        <w:t xml:space="preserve">the key stakeholders </w:t>
      </w:r>
      <w:r w:rsidR="0012114B">
        <w:t xml:space="preserve">that </w:t>
      </w:r>
      <w:r w:rsidR="00F45D09">
        <w:t>NCEHS-CCP is designed to support</w:t>
      </w:r>
      <w:r w:rsidR="00941821">
        <w:t xml:space="preserve">. The telephone interviews will be conducted in </w:t>
      </w:r>
      <w:r w:rsidR="001479C6">
        <w:t xml:space="preserve">summer </w:t>
      </w:r>
      <w:r w:rsidR="00941821">
        <w:t xml:space="preserve">of 2017 and </w:t>
      </w:r>
      <w:r w:rsidR="00A46E9A">
        <w:t xml:space="preserve">again in </w:t>
      </w:r>
      <w:r w:rsidR="00941821">
        <w:t xml:space="preserve">2019 among a subset of </w:t>
      </w:r>
      <w:r w:rsidR="00F45D09">
        <w:t xml:space="preserve">the </w:t>
      </w:r>
      <w:r w:rsidR="00941821">
        <w:t>stakeholders</w:t>
      </w:r>
      <w:r w:rsidR="00F45D09">
        <w:t xml:space="preserve"> targeted for the survey</w:t>
      </w:r>
      <w:r w:rsidR="00941821">
        <w:t xml:space="preserve">. </w:t>
      </w:r>
    </w:p>
    <w:p w14:paraId="385A0EFC" w14:textId="4A4691DD" w:rsidR="00CC7DDC" w:rsidRPr="004378EA" w:rsidRDefault="00F40EF4" w:rsidP="00EF6453">
      <w:pPr>
        <w:pStyle w:val="H4Number"/>
      </w:pPr>
      <w:bookmarkStart w:id="5" w:name="_Toc423425551"/>
      <w:r w:rsidRPr="004378EA">
        <w:lastRenderedPageBreak/>
        <w:t>B.</w:t>
      </w:r>
      <w:r w:rsidR="00CC7DDC" w:rsidRPr="004378EA">
        <w:tab/>
        <w:t xml:space="preserve">Research </w:t>
      </w:r>
      <w:r w:rsidR="00CE37B8" w:rsidRPr="004378EA">
        <w:t>q</w:t>
      </w:r>
      <w:r w:rsidR="00CC7DDC" w:rsidRPr="004378EA">
        <w:t>uestions</w:t>
      </w:r>
      <w:bookmarkEnd w:id="5"/>
    </w:p>
    <w:p w14:paraId="559535F6" w14:textId="23D754B2" w:rsidR="00F4318C" w:rsidRPr="00273660" w:rsidRDefault="00CC7DDC" w:rsidP="007D7E70">
      <w:pPr>
        <w:pStyle w:val="NormalSS"/>
      </w:pPr>
      <w:r w:rsidRPr="007D7E70">
        <w:t>T</w:t>
      </w:r>
      <w:r w:rsidR="006434DF" w:rsidRPr="007D7E70">
        <w:t>he</w:t>
      </w:r>
      <w:r w:rsidR="00C443EB" w:rsidRPr="007D7E70">
        <w:t xml:space="preserve"> data collection and reporting activities to be conducted as part of the </w:t>
      </w:r>
      <w:r w:rsidR="00367A50" w:rsidRPr="007D7E70">
        <w:t>evaluation</w:t>
      </w:r>
      <w:r w:rsidR="006434DF" w:rsidRPr="007D7E70">
        <w:t xml:space="preserve"> of </w:t>
      </w:r>
      <w:r w:rsidR="00F45D09" w:rsidRPr="00273660">
        <w:t>NCEHS-CCP</w:t>
      </w:r>
      <w:r w:rsidR="005C0B4A" w:rsidRPr="00273660">
        <w:t xml:space="preserve"> seek to address </w:t>
      </w:r>
      <w:r w:rsidR="00A34021">
        <w:t>five</w:t>
      </w:r>
      <w:r w:rsidR="004F0C7B" w:rsidRPr="00273660">
        <w:t xml:space="preserve"> </w:t>
      </w:r>
      <w:r w:rsidR="00ED7D86" w:rsidRPr="00273660">
        <w:t>research questions</w:t>
      </w:r>
      <w:r w:rsidR="00A13200" w:rsidRPr="00273660">
        <w:t xml:space="preserve">: </w:t>
      </w:r>
    </w:p>
    <w:p w14:paraId="6AEA0B35" w14:textId="3193534F" w:rsidR="004F0C7B" w:rsidRPr="004378EA" w:rsidRDefault="004F0C7B" w:rsidP="00055807">
      <w:pPr>
        <w:pStyle w:val="Bullet"/>
        <w:numPr>
          <w:ilvl w:val="0"/>
          <w:numId w:val="12"/>
        </w:numPr>
        <w:tabs>
          <w:tab w:val="clear" w:pos="432"/>
        </w:tabs>
        <w:spacing w:after="240"/>
        <w:ind w:left="446"/>
        <w:jc w:val="both"/>
      </w:pPr>
      <w:r w:rsidRPr="004378EA">
        <w:t xml:space="preserve">What T/TA supports are offered and delivered by NCEHS-CCP? </w:t>
      </w:r>
    </w:p>
    <w:p w14:paraId="31A8629C" w14:textId="6F4A45EC" w:rsidR="00A13200" w:rsidRPr="004378EA" w:rsidRDefault="004F0C7B" w:rsidP="00055807">
      <w:pPr>
        <w:pStyle w:val="Bullet"/>
        <w:numPr>
          <w:ilvl w:val="0"/>
          <w:numId w:val="12"/>
        </w:numPr>
        <w:tabs>
          <w:tab w:val="clear" w:pos="432"/>
        </w:tabs>
        <w:spacing w:after="240"/>
        <w:ind w:left="446"/>
        <w:jc w:val="both"/>
      </w:pPr>
      <w:r w:rsidRPr="004378EA">
        <w:t>Who are the r</w:t>
      </w:r>
      <w:r w:rsidR="00F823F2">
        <w:t>ecipients</w:t>
      </w:r>
      <w:r w:rsidRPr="004378EA">
        <w:t xml:space="preserve"> of the T/TA delivered? </w:t>
      </w:r>
    </w:p>
    <w:p w14:paraId="273B0519" w14:textId="5CEC53C1" w:rsidR="004F0C7B" w:rsidRPr="004378EA" w:rsidRDefault="004F0C7B" w:rsidP="00055807">
      <w:pPr>
        <w:pStyle w:val="Bullet"/>
        <w:numPr>
          <w:ilvl w:val="0"/>
          <w:numId w:val="12"/>
        </w:numPr>
        <w:tabs>
          <w:tab w:val="clear" w:pos="432"/>
        </w:tabs>
        <w:spacing w:after="240"/>
        <w:ind w:left="446"/>
        <w:jc w:val="both"/>
      </w:pPr>
      <w:r w:rsidRPr="004378EA">
        <w:t xml:space="preserve">How satisfied are T/TA participants with the supports offered by NCEHS-CCP? </w:t>
      </w:r>
    </w:p>
    <w:p w14:paraId="7155FD49" w14:textId="383DE89E" w:rsidR="004F0C7B" w:rsidRPr="004378EA" w:rsidRDefault="004F0C7B" w:rsidP="00055807">
      <w:pPr>
        <w:pStyle w:val="Bullet"/>
        <w:numPr>
          <w:ilvl w:val="0"/>
          <w:numId w:val="12"/>
        </w:numPr>
        <w:tabs>
          <w:tab w:val="clear" w:pos="432"/>
        </w:tabs>
        <w:spacing w:after="240"/>
        <w:ind w:left="446"/>
        <w:jc w:val="both"/>
      </w:pPr>
      <w:r w:rsidRPr="004378EA">
        <w:t xml:space="preserve">How do T/TA participants use the information learned from T/TA offered by NCEHS-CCP in their work with EHS-CCP grantees? </w:t>
      </w:r>
    </w:p>
    <w:p w14:paraId="7AE65D83" w14:textId="171AA468" w:rsidR="00A34021" w:rsidRDefault="00A34021" w:rsidP="00A34021">
      <w:pPr>
        <w:pStyle w:val="Bullet"/>
        <w:numPr>
          <w:ilvl w:val="0"/>
          <w:numId w:val="12"/>
        </w:numPr>
        <w:tabs>
          <w:tab w:val="clear" w:pos="432"/>
        </w:tabs>
        <w:spacing w:after="240"/>
        <w:ind w:left="446"/>
        <w:jc w:val="both"/>
      </w:pPr>
      <w:r>
        <w:t>How</w:t>
      </w:r>
      <w:r w:rsidRPr="004378EA">
        <w:t xml:space="preserve"> can the T/TA offered by NCEHS-CCP be improved? </w:t>
      </w:r>
      <w:r>
        <w:t>What additional information do T/TA participants need?</w:t>
      </w:r>
    </w:p>
    <w:p w14:paraId="01055F80" w14:textId="64E766DE" w:rsidR="00B10274" w:rsidRDefault="00F40EF4" w:rsidP="00EF6453">
      <w:pPr>
        <w:pStyle w:val="H4Number"/>
      </w:pPr>
      <w:bookmarkStart w:id="6" w:name="_Toc423425552"/>
      <w:r>
        <w:t>C.</w:t>
      </w:r>
      <w:r w:rsidR="00B10274">
        <w:tab/>
      </w:r>
      <w:r w:rsidR="005845B5">
        <w:t xml:space="preserve">Study </w:t>
      </w:r>
      <w:r w:rsidR="00CE37B8">
        <w:t>d</w:t>
      </w:r>
      <w:r w:rsidR="00B10274" w:rsidRPr="00B10274">
        <w:t>esign</w:t>
      </w:r>
      <w:bookmarkEnd w:id="6"/>
    </w:p>
    <w:p w14:paraId="5AD9B534" w14:textId="32363FD7" w:rsidR="00367A50" w:rsidRPr="00273660" w:rsidRDefault="00BD572A" w:rsidP="00B61606">
      <w:pPr>
        <w:pStyle w:val="NormalSS"/>
      </w:pPr>
      <w:r w:rsidRPr="007D7E70">
        <w:t xml:space="preserve">To </w:t>
      </w:r>
      <w:r w:rsidR="000C5FAB" w:rsidRPr="007D7E70">
        <w:t>answer each research question</w:t>
      </w:r>
      <w:r w:rsidRPr="007D7E70">
        <w:t xml:space="preserve">, </w:t>
      </w:r>
      <w:r w:rsidR="00367A50" w:rsidRPr="007D7E70">
        <w:t xml:space="preserve">the study </w:t>
      </w:r>
      <w:r w:rsidR="000C5FAB" w:rsidRPr="007D7E70">
        <w:t xml:space="preserve">will include </w:t>
      </w:r>
      <w:r w:rsidR="00367A50" w:rsidRPr="007D7E70">
        <w:t xml:space="preserve">four key sources of data </w:t>
      </w:r>
      <w:r w:rsidR="000C5FAB" w:rsidRPr="00273660">
        <w:t>(</w:t>
      </w:r>
      <w:r w:rsidR="00367A50" w:rsidRPr="00273660">
        <w:t xml:space="preserve">Table </w:t>
      </w:r>
      <w:r w:rsidR="002B5E0F" w:rsidRPr="00273660">
        <w:t>A.</w:t>
      </w:r>
      <w:r w:rsidR="00367A50" w:rsidRPr="00273660">
        <w:t>1</w:t>
      </w:r>
      <w:r w:rsidR="000C5FAB" w:rsidRPr="00273660">
        <w:t>)</w:t>
      </w:r>
      <w:r w:rsidR="00367A50" w:rsidRPr="00273660">
        <w:t>:</w:t>
      </w:r>
    </w:p>
    <w:p w14:paraId="6C4741D1" w14:textId="40C9AACF" w:rsidR="00367A50" w:rsidRPr="00324222" w:rsidRDefault="00367A50" w:rsidP="00B61606">
      <w:pPr>
        <w:pStyle w:val="Bullet"/>
        <w:numPr>
          <w:ilvl w:val="0"/>
          <w:numId w:val="20"/>
        </w:numPr>
        <w:tabs>
          <w:tab w:val="clear" w:pos="432"/>
        </w:tabs>
        <w:ind w:left="450" w:hanging="450"/>
      </w:pPr>
      <w:r w:rsidRPr="00B61606">
        <w:rPr>
          <w:b/>
        </w:rPr>
        <w:t>Administrat</w:t>
      </w:r>
      <w:r w:rsidR="001E497F" w:rsidRPr="00B61606">
        <w:rPr>
          <w:b/>
        </w:rPr>
        <w:t>ive data</w:t>
      </w:r>
      <w:r w:rsidR="005811FF" w:rsidRPr="00B61606">
        <w:t>,</w:t>
      </w:r>
      <w:r w:rsidR="001E497F" w:rsidRPr="001E497F">
        <w:t xml:space="preserve"> collected by </w:t>
      </w:r>
      <w:r w:rsidR="0011556C">
        <w:t>NCEHS-CCP</w:t>
      </w:r>
      <w:r w:rsidR="008C45E9">
        <w:t>. These include</w:t>
      </w:r>
      <w:r w:rsidRPr="00324222">
        <w:t xml:space="preserve"> (1) data on training</w:t>
      </w:r>
      <w:r w:rsidR="00B8328E">
        <w:t>s</w:t>
      </w:r>
      <w:r w:rsidR="00E534E5">
        <w:t xml:space="preserve"> offered</w:t>
      </w:r>
      <w:r w:rsidR="0080037C">
        <w:t xml:space="preserve"> to stakeholders</w:t>
      </w:r>
      <w:r w:rsidRPr="00324222">
        <w:t xml:space="preserve"> (the types, content, frequency of trainings provided</w:t>
      </w:r>
      <w:r w:rsidR="00F85A73">
        <w:t>,</w:t>
      </w:r>
      <w:r w:rsidRPr="00324222">
        <w:t xml:space="preserve"> and information on the participants); (2) data on the </w:t>
      </w:r>
      <w:r w:rsidR="00B8328E">
        <w:t>Q</w:t>
      </w:r>
      <w:r w:rsidRPr="00324222">
        <w:t xml:space="preserve">uick </w:t>
      </w:r>
      <w:r w:rsidR="00B8328E">
        <w:t>R</w:t>
      </w:r>
      <w:r w:rsidRPr="00324222">
        <w:t xml:space="preserve">esponse </w:t>
      </w:r>
      <w:r w:rsidR="00B8328E">
        <w:t>S</w:t>
      </w:r>
      <w:r w:rsidRPr="00324222">
        <w:t>ystem</w:t>
      </w:r>
      <w:r w:rsidR="0080037C">
        <w:t xml:space="preserve"> used by stakeholders</w:t>
      </w:r>
      <w:r w:rsidRPr="00324222">
        <w:t xml:space="preserve"> (the number of inquiries, content areas of the inquiries, and average response times to inquiries); and (3) data </w:t>
      </w:r>
      <w:r w:rsidR="001E497F">
        <w:t xml:space="preserve">on </w:t>
      </w:r>
      <w:r w:rsidRPr="00324222">
        <w:t xml:space="preserve">the number and content of materials produced </w:t>
      </w:r>
      <w:r w:rsidR="00B8328E">
        <w:t>as well as</w:t>
      </w:r>
      <w:r w:rsidRPr="00324222">
        <w:t xml:space="preserve"> the frequency </w:t>
      </w:r>
      <w:r w:rsidR="00F85A73">
        <w:t xml:space="preserve">with which </w:t>
      </w:r>
      <w:r w:rsidRPr="00324222">
        <w:t xml:space="preserve">materials are viewed and downloaded from the </w:t>
      </w:r>
      <w:r w:rsidR="0011556C">
        <w:t>NCEHS-CCP</w:t>
      </w:r>
      <w:r w:rsidRPr="00324222">
        <w:t xml:space="preserve"> web</w:t>
      </w:r>
      <w:r w:rsidR="00E534E5">
        <w:t xml:space="preserve"> portal</w:t>
      </w:r>
      <w:r w:rsidR="0080037C">
        <w:t xml:space="preserve"> by stakeholders</w:t>
      </w:r>
      <w:r w:rsidRPr="00324222">
        <w:t xml:space="preserve">. These data will be analyzed </w:t>
      </w:r>
      <w:r w:rsidR="00EF0852">
        <w:t xml:space="preserve">by the research team </w:t>
      </w:r>
      <w:r w:rsidRPr="00324222">
        <w:t xml:space="preserve">annually. </w:t>
      </w:r>
      <w:r w:rsidR="00EF0852">
        <w:t>These data</w:t>
      </w:r>
      <w:r w:rsidR="00324222">
        <w:t xml:space="preserve"> will provide information on the number of activities that </w:t>
      </w:r>
      <w:r w:rsidR="0011556C">
        <w:t>NCEHS-CCP</w:t>
      </w:r>
      <w:r w:rsidR="00324222">
        <w:t xml:space="preserve"> has undertaken each year. </w:t>
      </w:r>
    </w:p>
    <w:p w14:paraId="04B4E4DE" w14:textId="13AA9667" w:rsidR="00367A50" w:rsidRPr="00324222" w:rsidRDefault="00367A50" w:rsidP="00B61606">
      <w:pPr>
        <w:pStyle w:val="Bullet"/>
        <w:numPr>
          <w:ilvl w:val="0"/>
          <w:numId w:val="20"/>
        </w:numPr>
        <w:tabs>
          <w:tab w:val="clear" w:pos="432"/>
        </w:tabs>
        <w:ind w:left="450" w:hanging="450"/>
      </w:pPr>
      <w:r w:rsidRPr="00B61606">
        <w:rPr>
          <w:b/>
        </w:rPr>
        <w:t>Training feedback forms</w:t>
      </w:r>
      <w:r w:rsidR="005811FF" w:rsidRPr="00B61606">
        <w:t>,</w:t>
      </w:r>
      <w:r w:rsidR="00EF0852">
        <w:t xml:space="preserve"> distributed </w:t>
      </w:r>
      <w:r w:rsidR="005811FF">
        <w:t xml:space="preserve">to participants </w:t>
      </w:r>
      <w:r w:rsidR="00EF0852">
        <w:t xml:space="preserve">by </w:t>
      </w:r>
      <w:r w:rsidR="0011556C">
        <w:t>NCEHS-CCP</w:t>
      </w:r>
      <w:r w:rsidRPr="00324222">
        <w:t xml:space="preserve"> as part of each training session and webinar</w:t>
      </w:r>
      <w:r w:rsidR="0080037C">
        <w:t xml:space="preserve"> conducted for stakeholders</w:t>
      </w:r>
      <w:r w:rsidR="008C45E9">
        <w:t xml:space="preserve">. The forms </w:t>
      </w:r>
      <w:r w:rsidRPr="00324222">
        <w:t xml:space="preserve">collect </w:t>
      </w:r>
      <w:r w:rsidR="00E534E5">
        <w:t xml:space="preserve">immediate </w:t>
      </w:r>
      <w:r w:rsidRPr="00324222">
        <w:t>feedback on the training</w:t>
      </w:r>
      <w:r w:rsidR="00E534E5">
        <w:t xml:space="preserve"> received</w:t>
      </w:r>
      <w:r w:rsidRPr="00324222">
        <w:t xml:space="preserve">. These data will be analyzed </w:t>
      </w:r>
      <w:r w:rsidR="00EF0852">
        <w:t xml:space="preserve">by the research team </w:t>
      </w:r>
      <w:r w:rsidRPr="00324222">
        <w:t>annually</w:t>
      </w:r>
      <w:r w:rsidR="005811FF">
        <w:t xml:space="preserve"> and</w:t>
      </w:r>
      <w:r w:rsidR="00EF0852">
        <w:t xml:space="preserve"> will provide information about participants’ </w:t>
      </w:r>
      <w:r w:rsidR="00B8328E">
        <w:t xml:space="preserve">levels of </w:t>
      </w:r>
      <w:r w:rsidR="00EF0852">
        <w:t>satisfaction with the training the</w:t>
      </w:r>
      <w:r w:rsidR="00F85A73">
        <w:t>y</w:t>
      </w:r>
      <w:r w:rsidR="00EF0852">
        <w:t xml:space="preserve"> received from NCEHS-CCP. </w:t>
      </w:r>
    </w:p>
    <w:p w14:paraId="2ABCC887" w14:textId="21882E8E" w:rsidR="00367A50" w:rsidRPr="00324222" w:rsidRDefault="005811FF" w:rsidP="00B61606">
      <w:pPr>
        <w:pStyle w:val="Bullet"/>
        <w:numPr>
          <w:ilvl w:val="0"/>
          <w:numId w:val="20"/>
        </w:numPr>
        <w:tabs>
          <w:tab w:val="clear" w:pos="432"/>
        </w:tabs>
        <w:ind w:left="450" w:hanging="450"/>
      </w:pPr>
      <w:r w:rsidRPr="00B61606">
        <w:rPr>
          <w:b/>
        </w:rPr>
        <w:t xml:space="preserve">Stakeholder </w:t>
      </w:r>
      <w:r w:rsidR="001E497F" w:rsidRPr="00B61606">
        <w:rPr>
          <w:b/>
        </w:rPr>
        <w:t>survey</w:t>
      </w:r>
      <w:r w:rsidR="008C45E9">
        <w:rPr>
          <w:b/>
        </w:rPr>
        <w:t>s</w:t>
      </w:r>
      <w:r w:rsidRPr="00B61606">
        <w:t>,</w:t>
      </w:r>
      <w:r w:rsidR="00367A50" w:rsidRPr="00324222">
        <w:t xml:space="preserve"> </w:t>
      </w:r>
      <w:r w:rsidR="00EF0852">
        <w:t xml:space="preserve">administered by the research team </w:t>
      </w:r>
      <w:r w:rsidR="00367A50" w:rsidRPr="00324222">
        <w:t xml:space="preserve">in the </w:t>
      </w:r>
      <w:r w:rsidR="0080037C">
        <w:t>summer</w:t>
      </w:r>
      <w:r w:rsidR="0080037C" w:rsidRPr="00324222">
        <w:t xml:space="preserve"> </w:t>
      </w:r>
      <w:r w:rsidR="00367A50" w:rsidRPr="00324222">
        <w:t xml:space="preserve">of 2016 </w:t>
      </w:r>
      <w:r w:rsidR="00A75A70">
        <w:t xml:space="preserve">(pending OMB approval) </w:t>
      </w:r>
      <w:r w:rsidR="00367A50" w:rsidRPr="00324222">
        <w:t xml:space="preserve">and </w:t>
      </w:r>
      <w:bookmarkStart w:id="7" w:name="_GoBack"/>
      <w:bookmarkEnd w:id="7"/>
      <w:r w:rsidR="00367A50" w:rsidRPr="00324222">
        <w:t>2018 with key stakeholders</w:t>
      </w:r>
      <w:r w:rsidR="008C45E9">
        <w:t xml:space="preserve">. The stakeholders will </w:t>
      </w:r>
      <w:r w:rsidR="004378EA">
        <w:t>includ</w:t>
      </w:r>
      <w:r w:rsidR="008C45E9">
        <w:t>e</w:t>
      </w:r>
      <w:r w:rsidR="004378EA">
        <w:t xml:space="preserve"> </w:t>
      </w:r>
      <w:r w:rsidR="004378EA" w:rsidRPr="004378EA">
        <w:t xml:space="preserve">regional T/TA specialists, implementation planners and fiscal consultants, </w:t>
      </w:r>
      <w:r w:rsidR="00EC4344">
        <w:t>CCDF</w:t>
      </w:r>
      <w:r w:rsidR="004378EA" w:rsidRPr="004378EA">
        <w:t xml:space="preserve"> administrators, and Head Start state and national collaboration office directors</w:t>
      </w:r>
      <w:r w:rsidR="00367A50" w:rsidRPr="00324222">
        <w:t>. The surveys will collect information about the type</w:t>
      </w:r>
      <w:r>
        <w:t>s</w:t>
      </w:r>
      <w:r w:rsidR="00367A50" w:rsidRPr="00324222">
        <w:t xml:space="preserve"> of support </w:t>
      </w:r>
      <w:r w:rsidR="00EF0852">
        <w:t>respondents</w:t>
      </w:r>
      <w:r w:rsidR="00EF0852" w:rsidRPr="00324222">
        <w:t xml:space="preserve"> </w:t>
      </w:r>
      <w:r w:rsidR="00367A50" w:rsidRPr="00324222">
        <w:t xml:space="preserve">received from </w:t>
      </w:r>
      <w:r w:rsidR="0011556C">
        <w:t>NCEHS-CCP</w:t>
      </w:r>
      <w:r w:rsidR="00367A50" w:rsidRPr="00324222">
        <w:t xml:space="preserve"> in the </w:t>
      </w:r>
      <w:r w:rsidR="00EF0852">
        <w:t>previous</w:t>
      </w:r>
      <w:r w:rsidR="00EF0852" w:rsidRPr="00324222">
        <w:t xml:space="preserve"> </w:t>
      </w:r>
      <w:r w:rsidR="00367A50" w:rsidRPr="00324222">
        <w:t xml:space="preserve">year, how </w:t>
      </w:r>
      <w:r w:rsidR="00EF0852">
        <w:t xml:space="preserve">the </w:t>
      </w:r>
      <w:r w:rsidR="00367A50" w:rsidRPr="00324222">
        <w:t>T/TA informed their work with</w:t>
      </w:r>
      <w:r w:rsidR="0011556C">
        <w:t xml:space="preserve"> EHS</w:t>
      </w:r>
      <w:r w:rsidR="00EF0852">
        <w:t>-</w:t>
      </w:r>
      <w:r w:rsidR="0011556C">
        <w:t>CCP</w:t>
      </w:r>
      <w:r w:rsidR="00367A50" w:rsidRPr="00324222">
        <w:t xml:space="preserve"> grantees, and </w:t>
      </w:r>
      <w:r w:rsidR="00EF0852">
        <w:t>suggestions</w:t>
      </w:r>
      <w:r w:rsidR="00EF0852" w:rsidRPr="00324222">
        <w:t xml:space="preserve"> </w:t>
      </w:r>
      <w:r w:rsidR="00EF0852">
        <w:t>for</w:t>
      </w:r>
      <w:r w:rsidR="00367A50" w:rsidRPr="00324222">
        <w:t xml:space="preserve"> improv</w:t>
      </w:r>
      <w:r w:rsidR="00EF0852">
        <w:t>ing the supports offered by NCEHS-CCP</w:t>
      </w:r>
      <w:r w:rsidR="00367A50" w:rsidRPr="00324222">
        <w:t xml:space="preserve">. </w:t>
      </w:r>
    </w:p>
    <w:p w14:paraId="05709740" w14:textId="31DC00DD" w:rsidR="00367A50" w:rsidRPr="00324222" w:rsidRDefault="0080037C" w:rsidP="00B61606">
      <w:pPr>
        <w:pStyle w:val="Bullet"/>
        <w:numPr>
          <w:ilvl w:val="0"/>
          <w:numId w:val="20"/>
        </w:numPr>
        <w:tabs>
          <w:tab w:val="clear" w:pos="432"/>
        </w:tabs>
        <w:spacing w:after="240"/>
        <w:ind w:left="446" w:hanging="446"/>
      </w:pPr>
      <w:r>
        <w:rPr>
          <w:b/>
        </w:rPr>
        <w:t>Stakeholder</w:t>
      </w:r>
      <w:r w:rsidR="00367A50" w:rsidRPr="00B61606">
        <w:rPr>
          <w:b/>
        </w:rPr>
        <w:t xml:space="preserve"> telephone interviews</w:t>
      </w:r>
      <w:r w:rsidR="00D973A5">
        <w:t>,</w:t>
      </w:r>
      <w:r w:rsidR="00EF0852">
        <w:t xml:space="preserve"> conducted by the research team</w:t>
      </w:r>
      <w:r w:rsidR="00367A50" w:rsidRPr="00324222">
        <w:t xml:space="preserve"> in </w:t>
      </w:r>
      <w:r>
        <w:t>summer</w:t>
      </w:r>
      <w:r w:rsidRPr="00324222">
        <w:t xml:space="preserve"> </w:t>
      </w:r>
      <w:r w:rsidR="00367A50" w:rsidRPr="00324222">
        <w:t>of 2017 and 2019 with a subset of stakeholders</w:t>
      </w:r>
      <w:r w:rsidR="008C45E9">
        <w:t>. These interviews</w:t>
      </w:r>
      <w:r w:rsidR="00367A50" w:rsidRPr="00324222">
        <w:t xml:space="preserve"> will explore in more detail how th</w:t>
      </w:r>
      <w:r w:rsidR="00EF0852">
        <w:t xml:space="preserve">e support received from NCEHS-CCP </w:t>
      </w:r>
      <w:r w:rsidR="00367A50" w:rsidRPr="00324222">
        <w:t xml:space="preserve">informed </w:t>
      </w:r>
      <w:r w:rsidR="00EF0852">
        <w:t>respondents’</w:t>
      </w:r>
      <w:r w:rsidR="00EF0852" w:rsidRPr="00324222">
        <w:t xml:space="preserve"> </w:t>
      </w:r>
      <w:r w:rsidR="00367A50" w:rsidRPr="00324222">
        <w:t>work</w:t>
      </w:r>
      <w:r w:rsidR="00EF0852">
        <w:t xml:space="preserve"> with EHS-CCP grantees</w:t>
      </w:r>
      <w:r w:rsidR="00367A50" w:rsidRPr="00324222">
        <w:t>,</w:t>
      </w:r>
      <w:r w:rsidR="00EF0852">
        <w:t xml:space="preserve"> </w:t>
      </w:r>
      <w:r w:rsidR="00E534E5">
        <w:lastRenderedPageBreak/>
        <w:t xml:space="preserve">their </w:t>
      </w:r>
      <w:r w:rsidR="00367A50" w:rsidRPr="00324222">
        <w:t>successes and challenges</w:t>
      </w:r>
      <w:r w:rsidR="00E534E5">
        <w:t xml:space="preserve"> accessing supports and incorporating the information into their </w:t>
      </w:r>
      <w:r w:rsidR="00A10644">
        <w:t>work with grantees</w:t>
      </w:r>
      <w:r w:rsidR="00367A50" w:rsidRPr="00324222">
        <w:t xml:space="preserve">, and suggestions for improvement. </w:t>
      </w:r>
    </w:p>
    <w:p w14:paraId="4084EE5E" w14:textId="4BDB32EE" w:rsidR="00C23315" w:rsidRDefault="00C23315" w:rsidP="00863435">
      <w:pPr>
        <w:pStyle w:val="MarkforTableTitle"/>
        <w:ind w:left="-360" w:firstLine="360"/>
      </w:pPr>
      <w:r>
        <w:t>Table A.1. Research questions addressed by the study instruments</w:t>
      </w:r>
    </w:p>
    <w:tbl>
      <w:tblPr>
        <w:tblStyle w:val="LightList"/>
        <w:tblW w:w="5000" w:type="pct"/>
        <w:tblBorders>
          <w:top w:val="none" w:sz="0" w:space="0" w:color="auto"/>
          <w:left w:val="none" w:sz="0" w:space="0" w:color="auto"/>
          <w:right w:val="none" w:sz="0" w:space="0" w:color="auto"/>
        </w:tblBorders>
        <w:tblLayout w:type="fixed"/>
        <w:tblCellMar>
          <w:left w:w="144" w:type="dxa"/>
          <w:right w:w="144" w:type="dxa"/>
        </w:tblCellMar>
        <w:tblLook w:val="0620" w:firstRow="1" w:lastRow="0" w:firstColumn="0" w:lastColumn="0" w:noHBand="1" w:noVBand="1"/>
      </w:tblPr>
      <w:tblGrid>
        <w:gridCol w:w="4638"/>
        <w:gridCol w:w="2505"/>
        <w:gridCol w:w="2505"/>
      </w:tblGrid>
      <w:tr w:rsidR="000C5FAB" w:rsidRPr="00346CDB" w14:paraId="2C4871F0" w14:textId="77777777" w:rsidTr="00F823F2">
        <w:trPr>
          <w:cnfStyle w:val="100000000000" w:firstRow="1" w:lastRow="0" w:firstColumn="0" w:lastColumn="0" w:oddVBand="0" w:evenVBand="0" w:oddHBand="0" w:evenHBand="0" w:firstRowFirstColumn="0" w:firstRowLastColumn="0" w:lastRowFirstColumn="0" w:lastRowLastColumn="0"/>
          <w:tblHeader/>
        </w:trPr>
        <w:tc>
          <w:tcPr>
            <w:tcW w:w="2404" w:type="pct"/>
            <w:tcBorders>
              <w:top w:val="single" w:sz="8" w:space="0" w:color="FFFFFF" w:themeColor="background1"/>
              <w:left w:val="nil"/>
              <w:bottom w:val="nil"/>
              <w:right w:val="nil"/>
            </w:tcBorders>
            <w:shd w:val="clear" w:color="auto" w:fill="6C6F70"/>
            <w:vAlign w:val="center"/>
          </w:tcPr>
          <w:p w14:paraId="5F877A01" w14:textId="4983292B" w:rsidR="000C5FAB" w:rsidRPr="00346CDB" w:rsidRDefault="000C5FAB" w:rsidP="00B61606">
            <w:pPr>
              <w:pStyle w:val="TableHeaderCenter"/>
              <w:spacing w:before="60"/>
              <w:jc w:val="left"/>
              <w:rPr>
                <w:b/>
                <w:bCs w:val="0"/>
                <w:sz w:val="20"/>
                <w:szCs w:val="16"/>
                <w:lang w:bidi="ar-SA"/>
              </w:rPr>
            </w:pPr>
            <w:r>
              <w:rPr>
                <w:b/>
                <w:sz w:val="20"/>
                <w:szCs w:val="16"/>
              </w:rPr>
              <w:t>Research question</w:t>
            </w:r>
          </w:p>
        </w:tc>
        <w:tc>
          <w:tcPr>
            <w:tcW w:w="1298" w:type="pct"/>
            <w:tcBorders>
              <w:top w:val="single" w:sz="8" w:space="0" w:color="FFFFFF" w:themeColor="background1"/>
              <w:left w:val="nil"/>
              <w:bottom w:val="nil"/>
              <w:right w:val="nil"/>
            </w:tcBorders>
            <w:shd w:val="clear" w:color="auto" w:fill="6C6F70"/>
            <w:vAlign w:val="center"/>
          </w:tcPr>
          <w:p w14:paraId="6E4BEC5D" w14:textId="39941EDE" w:rsidR="000C5FAB" w:rsidRPr="00346CDB" w:rsidRDefault="000C5FAB" w:rsidP="0044528E">
            <w:pPr>
              <w:pStyle w:val="TableHeaderCenter"/>
              <w:spacing w:before="60"/>
              <w:rPr>
                <w:b/>
                <w:sz w:val="20"/>
                <w:szCs w:val="16"/>
              </w:rPr>
            </w:pPr>
            <w:r w:rsidRPr="00346CDB">
              <w:rPr>
                <w:b/>
                <w:sz w:val="20"/>
                <w:szCs w:val="16"/>
              </w:rPr>
              <w:t>Data source</w:t>
            </w:r>
          </w:p>
        </w:tc>
        <w:tc>
          <w:tcPr>
            <w:tcW w:w="1298" w:type="pct"/>
            <w:tcBorders>
              <w:top w:val="single" w:sz="8" w:space="0" w:color="FFFFFF" w:themeColor="background1"/>
              <w:left w:val="nil"/>
              <w:bottom w:val="nil"/>
            </w:tcBorders>
            <w:shd w:val="clear" w:color="auto" w:fill="6C6F70"/>
            <w:vAlign w:val="center"/>
          </w:tcPr>
          <w:p w14:paraId="71B79E7F" w14:textId="460249DC" w:rsidR="000C5FAB" w:rsidRPr="00346CDB" w:rsidRDefault="000C5FAB" w:rsidP="0044528E">
            <w:pPr>
              <w:pStyle w:val="TableHeaderCenter"/>
              <w:spacing w:before="60"/>
              <w:rPr>
                <w:b/>
                <w:sz w:val="20"/>
                <w:szCs w:val="16"/>
              </w:rPr>
            </w:pPr>
            <w:r w:rsidRPr="00346CDB">
              <w:rPr>
                <w:b/>
                <w:sz w:val="20"/>
                <w:szCs w:val="16"/>
              </w:rPr>
              <w:t>Timing</w:t>
            </w:r>
          </w:p>
        </w:tc>
      </w:tr>
      <w:tr w:rsidR="000C5FAB" w:rsidRPr="00AA795E" w14:paraId="74B99A14" w14:textId="77777777" w:rsidTr="00F823F2">
        <w:tc>
          <w:tcPr>
            <w:tcW w:w="2404" w:type="pct"/>
            <w:vMerge w:val="restart"/>
            <w:tcBorders>
              <w:top w:val="nil"/>
              <w:left w:val="nil"/>
              <w:right w:val="nil"/>
            </w:tcBorders>
          </w:tcPr>
          <w:p w14:paraId="096D4DA5" w14:textId="77777777" w:rsidR="000C5FAB" w:rsidRPr="004378EA" w:rsidRDefault="000C5FAB" w:rsidP="000C5FAB">
            <w:pPr>
              <w:pStyle w:val="TableText"/>
            </w:pPr>
            <w:r w:rsidRPr="004378EA">
              <w:t xml:space="preserve">What T/TA supports are offered and delivered by NCEHS-CCP? </w:t>
            </w:r>
          </w:p>
          <w:p w14:paraId="19EE3636" w14:textId="3DC353A9" w:rsidR="000C5FAB" w:rsidRPr="00AA795E" w:rsidRDefault="000C5FAB" w:rsidP="000C5FAB">
            <w:pPr>
              <w:pStyle w:val="TableText"/>
            </w:pPr>
          </w:p>
        </w:tc>
        <w:tc>
          <w:tcPr>
            <w:tcW w:w="1298" w:type="pct"/>
            <w:tcBorders>
              <w:top w:val="nil"/>
              <w:left w:val="nil"/>
              <w:bottom w:val="nil"/>
              <w:right w:val="nil"/>
            </w:tcBorders>
          </w:tcPr>
          <w:p w14:paraId="0BB4EEBF" w14:textId="2F4BE7CD" w:rsidR="000C5FAB" w:rsidRPr="00C23315" w:rsidRDefault="000C5FAB" w:rsidP="0044528E">
            <w:pPr>
              <w:pStyle w:val="TableText"/>
              <w:spacing w:before="60" w:after="60"/>
            </w:pPr>
            <w:r>
              <w:t>Administrative data</w:t>
            </w:r>
          </w:p>
        </w:tc>
        <w:tc>
          <w:tcPr>
            <w:tcW w:w="1298" w:type="pct"/>
            <w:tcBorders>
              <w:top w:val="nil"/>
              <w:left w:val="nil"/>
              <w:bottom w:val="nil"/>
            </w:tcBorders>
          </w:tcPr>
          <w:p w14:paraId="3737DA2C" w14:textId="22A258EF" w:rsidR="000C5FAB" w:rsidRPr="00C23315" w:rsidRDefault="000C5FAB" w:rsidP="001A7B4A">
            <w:pPr>
              <w:pStyle w:val="TableText"/>
              <w:spacing w:before="60" w:after="60"/>
            </w:pPr>
            <w:r>
              <w:t>Summer 2015</w:t>
            </w:r>
            <w:r w:rsidR="00D37F94">
              <w:t>–</w:t>
            </w:r>
            <w:r>
              <w:t xml:space="preserve">2019 </w:t>
            </w:r>
          </w:p>
        </w:tc>
      </w:tr>
      <w:tr w:rsidR="000C5FAB" w:rsidRPr="00AA795E" w14:paraId="53A518D7" w14:textId="77777777" w:rsidTr="00F823F2">
        <w:tc>
          <w:tcPr>
            <w:tcW w:w="2404" w:type="pct"/>
            <w:vMerge/>
            <w:tcBorders>
              <w:left w:val="nil"/>
              <w:right w:val="nil"/>
            </w:tcBorders>
          </w:tcPr>
          <w:p w14:paraId="4505CDC8" w14:textId="77777777" w:rsidR="000C5FAB" w:rsidRPr="00CA44FA" w:rsidRDefault="000C5FAB" w:rsidP="000C5FAB">
            <w:pPr>
              <w:pStyle w:val="TableText"/>
            </w:pPr>
          </w:p>
        </w:tc>
        <w:tc>
          <w:tcPr>
            <w:tcW w:w="1298" w:type="pct"/>
            <w:tcBorders>
              <w:top w:val="nil"/>
              <w:left w:val="nil"/>
              <w:bottom w:val="nil"/>
              <w:right w:val="nil"/>
            </w:tcBorders>
          </w:tcPr>
          <w:p w14:paraId="4267D14F" w14:textId="4AB3DEAE" w:rsidR="000C5FAB" w:rsidRDefault="000C5FAB" w:rsidP="0044528E">
            <w:pPr>
              <w:pStyle w:val="TableText"/>
              <w:spacing w:before="60" w:after="60"/>
            </w:pPr>
            <w:r>
              <w:t>Stakeholder survey</w:t>
            </w:r>
          </w:p>
        </w:tc>
        <w:tc>
          <w:tcPr>
            <w:tcW w:w="1298" w:type="pct"/>
            <w:tcBorders>
              <w:top w:val="nil"/>
              <w:left w:val="nil"/>
              <w:bottom w:val="nil"/>
            </w:tcBorders>
          </w:tcPr>
          <w:p w14:paraId="23D59440" w14:textId="6019F760" w:rsidR="000C5FAB" w:rsidRDefault="0080037C" w:rsidP="000C5FAB">
            <w:pPr>
              <w:pStyle w:val="TableText"/>
              <w:spacing w:before="60" w:after="60"/>
            </w:pPr>
            <w:r>
              <w:t xml:space="preserve">Summer </w:t>
            </w:r>
            <w:r w:rsidR="000C5FAB">
              <w:t xml:space="preserve">2016 </w:t>
            </w:r>
            <w:r w:rsidR="00F44EF7">
              <w:t xml:space="preserve">(pending OMB approval) </w:t>
            </w:r>
            <w:r w:rsidR="000C5FAB">
              <w:t>and 2018</w:t>
            </w:r>
          </w:p>
        </w:tc>
      </w:tr>
      <w:tr w:rsidR="000C5FAB" w:rsidRPr="00AA795E" w14:paraId="488943CA" w14:textId="77777777" w:rsidTr="00F823F2">
        <w:trPr>
          <w:trHeight w:val="153"/>
        </w:trPr>
        <w:tc>
          <w:tcPr>
            <w:tcW w:w="2404" w:type="pct"/>
            <w:vMerge/>
            <w:tcBorders>
              <w:left w:val="nil"/>
              <w:bottom w:val="single" w:sz="4" w:space="0" w:color="BFBFBF" w:themeColor="background1" w:themeShade="BF"/>
              <w:right w:val="nil"/>
            </w:tcBorders>
          </w:tcPr>
          <w:p w14:paraId="19BB2440" w14:textId="77777777" w:rsidR="000C5FAB" w:rsidRPr="00CA44FA" w:rsidRDefault="000C5FAB" w:rsidP="000C5FAB">
            <w:pPr>
              <w:pStyle w:val="TableText"/>
            </w:pPr>
          </w:p>
        </w:tc>
        <w:tc>
          <w:tcPr>
            <w:tcW w:w="1298" w:type="pct"/>
            <w:tcBorders>
              <w:top w:val="nil"/>
              <w:left w:val="nil"/>
              <w:bottom w:val="single" w:sz="4" w:space="0" w:color="BFBFBF" w:themeColor="background1" w:themeShade="BF"/>
              <w:right w:val="nil"/>
            </w:tcBorders>
          </w:tcPr>
          <w:p w14:paraId="7BC0C2BB" w14:textId="13C1E46F" w:rsidR="000C5FAB" w:rsidRDefault="00F823F2" w:rsidP="0044528E">
            <w:pPr>
              <w:pStyle w:val="TableText"/>
              <w:spacing w:before="60" w:after="60"/>
            </w:pPr>
            <w:r>
              <w:t xml:space="preserve">Stakeholder </w:t>
            </w:r>
            <w:r w:rsidR="00F335E0">
              <w:t xml:space="preserve">telephone </w:t>
            </w:r>
            <w:r>
              <w:t>interviews</w:t>
            </w:r>
          </w:p>
        </w:tc>
        <w:tc>
          <w:tcPr>
            <w:tcW w:w="1298" w:type="pct"/>
            <w:tcBorders>
              <w:top w:val="nil"/>
              <w:left w:val="nil"/>
              <w:bottom w:val="single" w:sz="4" w:space="0" w:color="BFBFBF" w:themeColor="background1" w:themeShade="BF"/>
            </w:tcBorders>
          </w:tcPr>
          <w:p w14:paraId="2CFB877B" w14:textId="5F340217" w:rsidR="000C5FAB" w:rsidRDefault="0080037C" w:rsidP="005C30B1">
            <w:pPr>
              <w:pStyle w:val="TableText"/>
              <w:spacing w:before="60" w:after="60"/>
            </w:pPr>
            <w:r>
              <w:t xml:space="preserve">Summer </w:t>
            </w:r>
            <w:r w:rsidR="00F823F2">
              <w:t>2017 and 2019</w:t>
            </w:r>
          </w:p>
        </w:tc>
      </w:tr>
      <w:tr w:rsidR="00F823F2" w:rsidRPr="00AA795E" w14:paraId="13BBC4E7" w14:textId="77777777" w:rsidTr="00F823F2">
        <w:tc>
          <w:tcPr>
            <w:tcW w:w="2404" w:type="pct"/>
            <w:vMerge w:val="restart"/>
            <w:tcBorders>
              <w:top w:val="single" w:sz="4" w:space="0" w:color="BFBFBF" w:themeColor="background1" w:themeShade="BF"/>
              <w:left w:val="nil"/>
              <w:right w:val="nil"/>
            </w:tcBorders>
          </w:tcPr>
          <w:p w14:paraId="6A039981" w14:textId="019D669C" w:rsidR="00F823F2" w:rsidRPr="00AA795E" w:rsidRDefault="00F823F2" w:rsidP="007F2342">
            <w:pPr>
              <w:pStyle w:val="TableText"/>
            </w:pPr>
            <w:r w:rsidRPr="004378EA">
              <w:t xml:space="preserve">Who are the </w:t>
            </w:r>
            <w:r>
              <w:t>recipients</w:t>
            </w:r>
            <w:r w:rsidRPr="004378EA">
              <w:t xml:space="preserve"> of the T/TA delivered? </w:t>
            </w:r>
          </w:p>
        </w:tc>
        <w:tc>
          <w:tcPr>
            <w:tcW w:w="1298" w:type="pct"/>
            <w:tcBorders>
              <w:top w:val="single" w:sz="4" w:space="0" w:color="BFBFBF" w:themeColor="background1" w:themeShade="BF"/>
              <w:left w:val="nil"/>
              <w:right w:val="nil"/>
            </w:tcBorders>
          </w:tcPr>
          <w:p w14:paraId="4D42EAB6" w14:textId="3DE11196" w:rsidR="00F823F2" w:rsidRPr="00C23315" w:rsidRDefault="00F823F2" w:rsidP="00F823F2">
            <w:pPr>
              <w:pStyle w:val="TableText"/>
              <w:spacing w:before="60" w:after="60"/>
            </w:pPr>
            <w:r>
              <w:t>Administrative data</w:t>
            </w:r>
          </w:p>
        </w:tc>
        <w:tc>
          <w:tcPr>
            <w:tcW w:w="1298" w:type="pct"/>
            <w:tcBorders>
              <w:top w:val="single" w:sz="4" w:space="0" w:color="BFBFBF" w:themeColor="background1" w:themeShade="BF"/>
              <w:left w:val="nil"/>
            </w:tcBorders>
          </w:tcPr>
          <w:p w14:paraId="1B332269" w14:textId="493A848B" w:rsidR="00F823F2" w:rsidRPr="00F55710" w:rsidRDefault="00F823F2" w:rsidP="00F823F2">
            <w:pPr>
              <w:pStyle w:val="TableText"/>
              <w:spacing w:before="60" w:after="60"/>
              <w:rPr>
                <w:rFonts w:asciiTheme="minorHAnsi" w:hAnsiTheme="minorHAnsi"/>
                <w:sz w:val="24"/>
                <w:szCs w:val="24"/>
              </w:rPr>
            </w:pPr>
            <w:r>
              <w:t>Summer 2015</w:t>
            </w:r>
            <w:r w:rsidR="00D37F94">
              <w:t>–</w:t>
            </w:r>
            <w:r>
              <w:t xml:space="preserve">2019 </w:t>
            </w:r>
          </w:p>
        </w:tc>
      </w:tr>
      <w:tr w:rsidR="00F823F2" w:rsidRPr="00AA795E" w14:paraId="4583DD5D" w14:textId="77777777" w:rsidTr="00F823F2">
        <w:tc>
          <w:tcPr>
            <w:tcW w:w="2404" w:type="pct"/>
            <w:vMerge/>
            <w:tcBorders>
              <w:left w:val="nil"/>
              <w:right w:val="nil"/>
            </w:tcBorders>
          </w:tcPr>
          <w:p w14:paraId="222DEA1A" w14:textId="7E9EE1A4" w:rsidR="00F823F2" w:rsidRPr="00AA795E" w:rsidRDefault="00F823F2" w:rsidP="00F823F2">
            <w:pPr>
              <w:pStyle w:val="TableText"/>
            </w:pPr>
          </w:p>
        </w:tc>
        <w:tc>
          <w:tcPr>
            <w:tcW w:w="1298" w:type="pct"/>
            <w:tcBorders>
              <w:left w:val="nil"/>
              <w:bottom w:val="nil"/>
              <w:right w:val="nil"/>
            </w:tcBorders>
          </w:tcPr>
          <w:p w14:paraId="39343A4B" w14:textId="41FB0FDA" w:rsidR="00F823F2" w:rsidRPr="00F55710" w:rsidRDefault="00F823F2" w:rsidP="00F823F2">
            <w:pPr>
              <w:pStyle w:val="TableText"/>
              <w:spacing w:before="60" w:after="60"/>
              <w:rPr>
                <w:rFonts w:asciiTheme="minorHAnsi" w:hAnsiTheme="minorHAnsi"/>
                <w:sz w:val="24"/>
                <w:szCs w:val="24"/>
              </w:rPr>
            </w:pPr>
            <w:r>
              <w:t>Stakeholder survey</w:t>
            </w:r>
          </w:p>
        </w:tc>
        <w:tc>
          <w:tcPr>
            <w:tcW w:w="1298" w:type="pct"/>
            <w:tcBorders>
              <w:left w:val="nil"/>
              <w:bottom w:val="nil"/>
            </w:tcBorders>
          </w:tcPr>
          <w:p w14:paraId="23AD2C29" w14:textId="69411733" w:rsidR="00F823F2" w:rsidRPr="00F55710" w:rsidRDefault="0080037C" w:rsidP="00F823F2">
            <w:pPr>
              <w:pStyle w:val="TableText"/>
              <w:spacing w:before="60" w:after="60"/>
              <w:rPr>
                <w:rFonts w:asciiTheme="minorHAnsi" w:hAnsiTheme="minorHAnsi"/>
                <w:sz w:val="24"/>
                <w:szCs w:val="24"/>
              </w:rPr>
            </w:pPr>
            <w:r>
              <w:t xml:space="preserve">Summer </w:t>
            </w:r>
            <w:r w:rsidR="00F823F2">
              <w:t xml:space="preserve">2016 </w:t>
            </w:r>
            <w:r w:rsidR="00F44EF7" w:rsidRPr="00F44EF7">
              <w:t xml:space="preserve">(pending OMB approval) </w:t>
            </w:r>
            <w:r w:rsidR="00F823F2">
              <w:t>and 2018</w:t>
            </w:r>
          </w:p>
        </w:tc>
      </w:tr>
      <w:tr w:rsidR="00F823F2" w:rsidRPr="00AA795E" w14:paraId="52F765AB" w14:textId="77777777" w:rsidTr="00F823F2">
        <w:tc>
          <w:tcPr>
            <w:tcW w:w="2404" w:type="pct"/>
            <w:vMerge w:val="restart"/>
            <w:tcBorders>
              <w:top w:val="single" w:sz="4" w:space="0" w:color="BFBFBF" w:themeColor="background1" w:themeShade="BF"/>
              <w:left w:val="nil"/>
              <w:right w:val="nil"/>
            </w:tcBorders>
          </w:tcPr>
          <w:p w14:paraId="68602DBC" w14:textId="77777777" w:rsidR="00F823F2" w:rsidRPr="004378EA" w:rsidRDefault="00F823F2" w:rsidP="00F823F2">
            <w:pPr>
              <w:pStyle w:val="TableText"/>
            </w:pPr>
            <w:r w:rsidRPr="004378EA">
              <w:t xml:space="preserve">How satisfied are T/TA participants with the supports offered by NCEHS-CCP? </w:t>
            </w:r>
          </w:p>
          <w:p w14:paraId="3AE78CB3" w14:textId="0B78463E" w:rsidR="00F823F2" w:rsidRPr="00AA795E" w:rsidRDefault="00F823F2" w:rsidP="00F823F2">
            <w:pPr>
              <w:pStyle w:val="TableText"/>
            </w:pPr>
          </w:p>
        </w:tc>
        <w:tc>
          <w:tcPr>
            <w:tcW w:w="1298" w:type="pct"/>
            <w:tcBorders>
              <w:top w:val="single" w:sz="4" w:space="0" w:color="BFBFBF" w:themeColor="background1" w:themeShade="BF"/>
              <w:left w:val="nil"/>
              <w:right w:val="nil"/>
            </w:tcBorders>
          </w:tcPr>
          <w:p w14:paraId="0062B42E" w14:textId="6F25D0BC" w:rsidR="00F823F2" w:rsidRPr="00F55710" w:rsidRDefault="00F823F2" w:rsidP="00F823F2">
            <w:pPr>
              <w:pStyle w:val="TableText"/>
              <w:spacing w:before="60" w:after="60"/>
              <w:rPr>
                <w:rFonts w:asciiTheme="minorHAnsi" w:hAnsiTheme="minorHAnsi"/>
                <w:sz w:val="24"/>
                <w:szCs w:val="24"/>
              </w:rPr>
            </w:pPr>
            <w:r>
              <w:t>Training feedback forms</w:t>
            </w:r>
          </w:p>
        </w:tc>
        <w:tc>
          <w:tcPr>
            <w:tcW w:w="1298" w:type="pct"/>
            <w:tcBorders>
              <w:top w:val="single" w:sz="4" w:space="0" w:color="BFBFBF" w:themeColor="background1" w:themeShade="BF"/>
              <w:left w:val="nil"/>
            </w:tcBorders>
          </w:tcPr>
          <w:p w14:paraId="65A701A8" w14:textId="64FB996B" w:rsidR="00F823F2" w:rsidRPr="00F55710" w:rsidRDefault="00F823F2" w:rsidP="00F823F2">
            <w:pPr>
              <w:pStyle w:val="TableText"/>
              <w:spacing w:before="60" w:after="60"/>
              <w:rPr>
                <w:rFonts w:asciiTheme="minorHAnsi" w:hAnsiTheme="minorHAnsi"/>
                <w:sz w:val="24"/>
                <w:szCs w:val="24"/>
              </w:rPr>
            </w:pPr>
            <w:r>
              <w:t>Summer 2015</w:t>
            </w:r>
            <w:r w:rsidR="00D37F94">
              <w:t>–</w:t>
            </w:r>
            <w:r>
              <w:t xml:space="preserve">2019 </w:t>
            </w:r>
          </w:p>
        </w:tc>
      </w:tr>
      <w:tr w:rsidR="00F823F2" w:rsidRPr="00AA795E" w14:paraId="64531489" w14:textId="77777777" w:rsidTr="00F823F2">
        <w:tc>
          <w:tcPr>
            <w:tcW w:w="2404" w:type="pct"/>
            <w:vMerge/>
            <w:tcBorders>
              <w:left w:val="nil"/>
              <w:right w:val="nil"/>
            </w:tcBorders>
          </w:tcPr>
          <w:p w14:paraId="2C88310D" w14:textId="77777777" w:rsidR="00F823F2" w:rsidRPr="00CA44FA" w:rsidRDefault="00F823F2" w:rsidP="00F823F2">
            <w:pPr>
              <w:pStyle w:val="TableText"/>
            </w:pPr>
          </w:p>
        </w:tc>
        <w:tc>
          <w:tcPr>
            <w:tcW w:w="1298" w:type="pct"/>
            <w:tcBorders>
              <w:left w:val="nil"/>
              <w:right w:val="nil"/>
            </w:tcBorders>
          </w:tcPr>
          <w:p w14:paraId="33F8AA25" w14:textId="3D859450" w:rsidR="00F823F2" w:rsidRPr="00F55710" w:rsidRDefault="00F823F2" w:rsidP="00F823F2">
            <w:pPr>
              <w:pStyle w:val="TableText"/>
              <w:spacing w:before="60" w:after="60"/>
              <w:rPr>
                <w:rFonts w:asciiTheme="minorHAnsi" w:hAnsiTheme="minorHAnsi"/>
                <w:sz w:val="24"/>
                <w:szCs w:val="24"/>
              </w:rPr>
            </w:pPr>
            <w:r>
              <w:t>Stakeholder</w:t>
            </w:r>
            <w:r w:rsidRPr="0044528E">
              <w:t xml:space="preserve"> </w:t>
            </w:r>
            <w:r>
              <w:t>survey</w:t>
            </w:r>
          </w:p>
        </w:tc>
        <w:tc>
          <w:tcPr>
            <w:tcW w:w="1298" w:type="pct"/>
            <w:tcBorders>
              <w:left w:val="nil"/>
            </w:tcBorders>
          </w:tcPr>
          <w:p w14:paraId="65A41F56" w14:textId="0124007C" w:rsidR="00F823F2" w:rsidRPr="00F55710" w:rsidRDefault="0080037C" w:rsidP="00F823F2">
            <w:pPr>
              <w:pStyle w:val="TableText"/>
              <w:spacing w:before="60" w:after="60"/>
              <w:rPr>
                <w:rFonts w:asciiTheme="minorHAnsi" w:hAnsiTheme="minorHAnsi"/>
                <w:sz w:val="24"/>
                <w:szCs w:val="24"/>
              </w:rPr>
            </w:pPr>
            <w:r>
              <w:t xml:space="preserve">Summer </w:t>
            </w:r>
            <w:r w:rsidR="00F823F2">
              <w:t xml:space="preserve">2016 </w:t>
            </w:r>
            <w:r w:rsidR="00F44EF7" w:rsidRPr="00F44EF7">
              <w:t xml:space="preserve">(pending OMB approval) </w:t>
            </w:r>
            <w:r w:rsidR="00F823F2">
              <w:t>and 2018</w:t>
            </w:r>
          </w:p>
        </w:tc>
      </w:tr>
      <w:tr w:rsidR="00F823F2" w:rsidRPr="00AA795E" w14:paraId="3A4588D2" w14:textId="77777777" w:rsidTr="00F823F2">
        <w:tc>
          <w:tcPr>
            <w:tcW w:w="2404" w:type="pct"/>
            <w:vMerge/>
            <w:tcBorders>
              <w:left w:val="nil"/>
              <w:bottom w:val="single" w:sz="4" w:space="0" w:color="BFBFBF" w:themeColor="background1" w:themeShade="BF"/>
              <w:right w:val="nil"/>
            </w:tcBorders>
          </w:tcPr>
          <w:p w14:paraId="407F63EB" w14:textId="77777777" w:rsidR="00F823F2" w:rsidRPr="00CA44FA" w:rsidRDefault="00F823F2" w:rsidP="00F823F2">
            <w:pPr>
              <w:pStyle w:val="TableText"/>
            </w:pPr>
          </w:p>
        </w:tc>
        <w:tc>
          <w:tcPr>
            <w:tcW w:w="1298" w:type="pct"/>
            <w:tcBorders>
              <w:left w:val="nil"/>
              <w:bottom w:val="single" w:sz="4" w:space="0" w:color="BFBFBF" w:themeColor="background1" w:themeShade="BF"/>
              <w:right w:val="nil"/>
            </w:tcBorders>
          </w:tcPr>
          <w:p w14:paraId="2D2F5A24" w14:textId="234357AA" w:rsidR="00F823F2" w:rsidRPr="00F55710" w:rsidRDefault="00F823F2" w:rsidP="00F823F2">
            <w:pPr>
              <w:pStyle w:val="TableText"/>
              <w:spacing w:before="60" w:after="60"/>
              <w:rPr>
                <w:rFonts w:asciiTheme="minorHAnsi" w:hAnsiTheme="minorHAnsi"/>
                <w:sz w:val="24"/>
                <w:szCs w:val="24"/>
              </w:rPr>
            </w:pPr>
            <w:r>
              <w:t xml:space="preserve">Stakeholder </w:t>
            </w:r>
            <w:r w:rsidR="00F335E0" w:rsidRPr="00F335E0">
              <w:t xml:space="preserve">telephone </w:t>
            </w:r>
            <w:r w:rsidRPr="0044528E">
              <w:t>interviews</w:t>
            </w:r>
          </w:p>
        </w:tc>
        <w:tc>
          <w:tcPr>
            <w:tcW w:w="1298" w:type="pct"/>
            <w:tcBorders>
              <w:left w:val="nil"/>
              <w:bottom w:val="single" w:sz="4" w:space="0" w:color="BFBFBF" w:themeColor="background1" w:themeShade="BF"/>
            </w:tcBorders>
          </w:tcPr>
          <w:p w14:paraId="0CA1E7C8" w14:textId="5D333950" w:rsidR="00F823F2" w:rsidRPr="00F55710" w:rsidRDefault="00F335E0" w:rsidP="00F823F2">
            <w:pPr>
              <w:pStyle w:val="TableText"/>
              <w:spacing w:before="60" w:after="60"/>
              <w:rPr>
                <w:rFonts w:asciiTheme="minorHAnsi" w:hAnsiTheme="minorHAnsi"/>
                <w:sz w:val="24"/>
                <w:szCs w:val="24"/>
              </w:rPr>
            </w:pPr>
            <w:r>
              <w:t xml:space="preserve">Summer </w:t>
            </w:r>
            <w:r w:rsidR="00F823F2">
              <w:t>2017 and 2019</w:t>
            </w:r>
          </w:p>
        </w:tc>
      </w:tr>
      <w:tr w:rsidR="00F823F2" w:rsidRPr="00AA795E" w14:paraId="16B91AD9" w14:textId="77777777" w:rsidTr="00F823F2">
        <w:tc>
          <w:tcPr>
            <w:tcW w:w="2404" w:type="pct"/>
            <w:vMerge w:val="restart"/>
            <w:tcBorders>
              <w:top w:val="single" w:sz="4" w:space="0" w:color="BFBFBF" w:themeColor="background1" w:themeShade="BF"/>
              <w:left w:val="nil"/>
              <w:bottom w:val="nil"/>
              <w:right w:val="nil"/>
            </w:tcBorders>
          </w:tcPr>
          <w:p w14:paraId="33B976AD" w14:textId="77777777" w:rsidR="00F823F2" w:rsidRPr="004378EA" w:rsidRDefault="00F823F2" w:rsidP="00F823F2">
            <w:pPr>
              <w:pStyle w:val="TableText"/>
            </w:pPr>
            <w:r w:rsidRPr="004378EA">
              <w:t xml:space="preserve">How do T/TA participants use the information learned from T/TA offered by NCEHS-CCP in their work with EHS-CCP grantees? </w:t>
            </w:r>
          </w:p>
          <w:p w14:paraId="38276062" w14:textId="3E567C9A" w:rsidR="00F823F2" w:rsidRPr="00CA44FA" w:rsidRDefault="00F823F2" w:rsidP="00F823F2">
            <w:pPr>
              <w:pStyle w:val="TableText"/>
            </w:pPr>
          </w:p>
        </w:tc>
        <w:tc>
          <w:tcPr>
            <w:tcW w:w="1298" w:type="pct"/>
            <w:tcBorders>
              <w:top w:val="single" w:sz="4" w:space="0" w:color="BFBFBF" w:themeColor="background1" w:themeShade="BF"/>
              <w:left w:val="nil"/>
              <w:bottom w:val="nil"/>
              <w:right w:val="nil"/>
            </w:tcBorders>
          </w:tcPr>
          <w:p w14:paraId="5025896A" w14:textId="7C5B05DA" w:rsidR="00F823F2" w:rsidRPr="00F55710" w:rsidRDefault="00F823F2" w:rsidP="00F823F2">
            <w:pPr>
              <w:pStyle w:val="TableText"/>
              <w:spacing w:before="60" w:after="60"/>
              <w:rPr>
                <w:rFonts w:asciiTheme="minorHAnsi" w:hAnsiTheme="minorHAnsi"/>
                <w:sz w:val="24"/>
                <w:szCs w:val="24"/>
              </w:rPr>
            </w:pPr>
            <w:r>
              <w:t>Stakeholder</w:t>
            </w:r>
            <w:r w:rsidRPr="0044528E">
              <w:t xml:space="preserve"> </w:t>
            </w:r>
            <w:r>
              <w:t>survey</w:t>
            </w:r>
          </w:p>
        </w:tc>
        <w:tc>
          <w:tcPr>
            <w:tcW w:w="1298" w:type="pct"/>
            <w:tcBorders>
              <w:top w:val="single" w:sz="4" w:space="0" w:color="BFBFBF" w:themeColor="background1" w:themeShade="BF"/>
              <w:left w:val="nil"/>
              <w:bottom w:val="nil"/>
            </w:tcBorders>
          </w:tcPr>
          <w:p w14:paraId="4B1599C6" w14:textId="112A889C" w:rsidR="00F823F2" w:rsidRPr="00F55710" w:rsidRDefault="00F335E0" w:rsidP="00F823F2">
            <w:pPr>
              <w:pStyle w:val="TableText"/>
              <w:spacing w:before="60" w:after="60"/>
              <w:rPr>
                <w:rFonts w:asciiTheme="minorHAnsi" w:hAnsiTheme="minorHAnsi"/>
                <w:sz w:val="24"/>
                <w:szCs w:val="24"/>
              </w:rPr>
            </w:pPr>
            <w:r>
              <w:t xml:space="preserve">Summer </w:t>
            </w:r>
            <w:r w:rsidR="00F823F2">
              <w:t xml:space="preserve">2016 </w:t>
            </w:r>
            <w:r w:rsidR="00F44EF7" w:rsidRPr="00F44EF7">
              <w:t xml:space="preserve">(pending OMB approval) </w:t>
            </w:r>
            <w:r w:rsidR="00F823F2">
              <w:t>and 2018</w:t>
            </w:r>
          </w:p>
        </w:tc>
      </w:tr>
      <w:tr w:rsidR="00F823F2" w:rsidRPr="00AA795E" w14:paraId="391E9333" w14:textId="77777777" w:rsidTr="00F823F2">
        <w:tc>
          <w:tcPr>
            <w:tcW w:w="2404" w:type="pct"/>
            <w:vMerge/>
            <w:tcBorders>
              <w:left w:val="nil"/>
              <w:bottom w:val="nil"/>
              <w:right w:val="nil"/>
            </w:tcBorders>
          </w:tcPr>
          <w:p w14:paraId="2641AD60" w14:textId="77777777" w:rsidR="00F823F2" w:rsidRPr="00CA44FA" w:rsidRDefault="00F823F2" w:rsidP="00F823F2">
            <w:pPr>
              <w:pStyle w:val="TableText"/>
            </w:pPr>
          </w:p>
        </w:tc>
        <w:tc>
          <w:tcPr>
            <w:tcW w:w="1298" w:type="pct"/>
            <w:tcBorders>
              <w:top w:val="nil"/>
              <w:left w:val="nil"/>
              <w:bottom w:val="nil"/>
              <w:right w:val="nil"/>
            </w:tcBorders>
          </w:tcPr>
          <w:p w14:paraId="1786E76F" w14:textId="4F26DAA1" w:rsidR="00F823F2" w:rsidRPr="00F55710" w:rsidRDefault="00F823F2" w:rsidP="00F823F2">
            <w:pPr>
              <w:pStyle w:val="TableText"/>
              <w:spacing w:before="60" w:after="60"/>
              <w:rPr>
                <w:rFonts w:asciiTheme="minorHAnsi" w:hAnsiTheme="minorHAnsi"/>
                <w:sz w:val="24"/>
                <w:szCs w:val="24"/>
              </w:rPr>
            </w:pPr>
            <w:r>
              <w:t xml:space="preserve">Stakeholder </w:t>
            </w:r>
            <w:r w:rsidR="00F335E0" w:rsidRPr="00F335E0">
              <w:t xml:space="preserve">telephone </w:t>
            </w:r>
            <w:r w:rsidRPr="0044528E">
              <w:t>interviews</w:t>
            </w:r>
          </w:p>
        </w:tc>
        <w:tc>
          <w:tcPr>
            <w:tcW w:w="1298" w:type="pct"/>
            <w:tcBorders>
              <w:top w:val="nil"/>
              <w:left w:val="nil"/>
              <w:bottom w:val="nil"/>
            </w:tcBorders>
          </w:tcPr>
          <w:p w14:paraId="2D693B8E" w14:textId="27C77FBF" w:rsidR="00F823F2" w:rsidRPr="00F55710" w:rsidRDefault="00F335E0" w:rsidP="00F823F2">
            <w:pPr>
              <w:pStyle w:val="TableText"/>
              <w:spacing w:before="60" w:after="60"/>
              <w:rPr>
                <w:rFonts w:asciiTheme="minorHAnsi" w:hAnsiTheme="minorHAnsi"/>
                <w:sz w:val="24"/>
                <w:szCs w:val="24"/>
              </w:rPr>
            </w:pPr>
            <w:r>
              <w:t xml:space="preserve">Summer </w:t>
            </w:r>
            <w:r w:rsidR="00F823F2">
              <w:t>2017 and 2019</w:t>
            </w:r>
          </w:p>
        </w:tc>
      </w:tr>
      <w:tr w:rsidR="00F823F2" w:rsidRPr="00AA795E" w14:paraId="0A67C550" w14:textId="77777777" w:rsidTr="00F823F2">
        <w:tc>
          <w:tcPr>
            <w:tcW w:w="2404" w:type="pct"/>
            <w:vMerge w:val="restart"/>
            <w:tcBorders>
              <w:top w:val="single" w:sz="4" w:space="0" w:color="BFBFBF" w:themeColor="background1" w:themeShade="BF"/>
              <w:left w:val="nil"/>
              <w:right w:val="nil"/>
            </w:tcBorders>
          </w:tcPr>
          <w:p w14:paraId="6082448B" w14:textId="77777777" w:rsidR="00A34021" w:rsidRDefault="00F823F2" w:rsidP="00A34021">
            <w:pPr>
              <w:pStyle w:val="TableText"/>
            </w:pPr>
            <w:r>
              <w:t>How</w:t>
            </w:r>
            <w:r w:rsidRPr="004378EA">
              <w:t xml:space="preserve"> can the T/TA offered by NCEHS-CCP be improved? </w:t>
            </w:r>
            <w:r w:rsidR="00A34021">
              <w:t>What additional information do T/TA participants need?</w:t>
            </w:r>
          </w:p>
          <w:p w14:paraId="0ACB64F3" w14:textId="611FA416" w:rsidR="00F823F2" w:rsidRPr="00AA795E" w:rsidRDefault="00F823F2" w:rsidP="00EF6453">
            <w:pPr>
              <w:pStyle w:val="TableText"/>
            </w:pPr>
          </w:p>
        </w:tc>
        <w:tc>
          <w:tcPr>
            <w:tcW w:w="1298" w:type="pct"/>
            <w:tcBorders>
              <w:top w:val="single" w:sz="4" w:space="0" w:color="BFBFBF" w:themeColor="background1" w:themeShade="BF"/>
              <w:left w:val="nil"/>
              <w:bottom w:val="nil"/>
              <w:right w:val="nil"/>
            </w:tcBorders>
          </w:tcPr>
          <w:p w14:paraId="06365AE2" w14:textId="797F9F88" w:rsidR="00F823F2" w:rsidRPr="00F55710" w:rsidRDefault="00F823F2" w:rsidP="00F823F2">
            <w:pPr>
              <w:pStyle w:val="TableText"/>
              <w:spacing w:before="60" w:after="60"/>
              <w:rPr>
                <w:rFonts w:asciiTheme="minorHAnsi" w:hAnsiTheme="minorHAnsi"/>
                <w:sz w:val="24"/>
                <w:szCs w:val="24"/>
              </w:rPr>
            </w:pPr>
            <w:r>
              <w:t>Stakeholder</w:t>
            </w:r>
            <w:r w:rsidRPr="0044528E">
              <w:t xml:space="preserve"> </w:t>
            </w:r>
            <w:r>
              <w:t>survey</w:t>
            </w:r>
          </w:p>
        </w:tc>
        <w:tc>
          <w:tcPr>
            <w:tcW w:w="1298" w:type="pct"/>
            <w:tcBorders>
              <w:top w:val="single" w:sz="4" w:space="0" w:color="BFBFBF" w:themeColor="background1" w:themeShade="BF"/>
              <w:left w:val="nil"/>
              <w:bottom w:val="nil"/>
            </w:tcBorders>
          </w:tcPr>
          <w:p w14:paraId="6E493AF5" w14:textId="2B7C8945" w:rsidR="00F823F2" w:rsidRPr="00F55710" w:rsidRDefault="00F335E0" w:rsidP="00F823F2">
            <w:pPr>
              <w:pStyle w:val="TableText"/>
              <w:spacing w:before="60" w:after="60"/>
              <w:rPr>
                <w:rFonts w:asciiTheme="minorHAnsi" w:hAnsiTheme="minorHAnsi"/>
                <w:sz w:val="24"/>
                <w:szCs w:val="24"/>
              </w:rPr>
            </w:pPr>
            <w:r>
              <w:t xml:space="preserve">Summer </w:t>
            </w:r>
            <w:r w:rsidR="00F823F2">
              <w:t xml:space="preserve">2016 </w:t>
            </w:r>
            <w:r w:rsidR="00F44EF7" w:rsidRPr="00F44EF7">
              <w:t xml:space="preserve">(pending OMB approval) </w:t>
            </w:r>
            <w:r w:rsidR="00F823F2">
              <w:t>and 2018</w:t>
            </w:r>
          </w:p>
        </w:tc>
      </w:tr>
      <w:tr w:rsidR="00F823F2" w:rsidRPr="00AA795E" w14:paraId="244CA640" w14:textId="77777777" w:rsidTr="00F823F2">
        <w:tc>
          <w:tcPr>
            <w:tcW w:w="2404" w:type="pct"/>
            <w:vMerge/>
            <w:tcBorders>
              <w:left w:val="nil"/>
              <w:right w:val="nil"/>
            </w:tcBorders>
          </w:tcPr>
          <w:p w14:paraId="01542B76" w14:textId="77777777" w:rsidR="00F823F2" w:rsidRPr="00CA44FA" w:rsidRDefault="00F823F2" w:rsidP="00F823F2">
            <w:pPr>
              <w:pStyle w:val="TableText"/>
              <w:spacing w:before="60" w:after="60"/>
            </w:pPr>
          </w:p>
        </w:tc>
        <w:tc>
          <w:tcPr>
            <w:tcW w:w="1298" w:type="pct"/>
            <w:tcBorders>
              <w:top w:val="nil"/>
              <w:left w:val="nil"/>
              <w:right w:val="nil"/>
            </w:tcBorders>
          </w:tcPr>
          <w:p w14:paraId="3DB7C54B" w14:textId="71283093" w:rsidR="00F823F2" w:rsidRPr="00F55710" w:rsidRDefault="00F823F2" w:rsidP="00F823F2">
            <w:pPr>
              <w:pStyle w:val="TableText"/>
              <w:spacing w:before="60" w:after="60"/>
              <w:rPr>
                <w:rFonts w:asciiTheme="minorHAnsi" w:hAnsiTheme="minorHAnsi"/>
                <w:sz w:val="24"/>
                <w:szCs w:val="24"/>
              </w:rPr>
            </w:pPr>
            <w:r>
              <w:t>Stakeholder</w:t>
            </w:r>
            <w:r w:rsidRPr="0044528E">
              <w:t xml:space="preserve"> </w:t>
            </w:r>
            <w:r w:rsidR="00F335E0" w:rsidRPr="00F335E0">
              <w:t xml:space="preserve">telephone </w:t>
            </w:r>
            <w:r w:rsidRPr="0044528E">
              <w:t>interviews</w:t>
            </w:r>
          </w:p>
        </w:tc>
        <w:tc>
          <w:tcPr>
            <w:tcW w:w="1298" w:type="pct"/>
            <w:tcBorders>
              <w:top w:val="nil"/>
              <w:left w:val="nil"/>
            </w:tcBorders>
          </w:tcPr>
          <w:p w14:paraId="4E18B10A" w14:textId="63AAEF76" w:rsidR="00F823F2" w:rsidRPr="00F55710" w:rsidRDefault="00F335E0" w:rsidP="00F823F2">
            <w:pPr>
              <w:pStyle w:val="TableText"/>
              <w:spacing w:before="60" w:after="60"/>
              <w:rPr>
                <w:rFonts w:asciiTheme="minorHAnsi" w:hAnsiTheme="minorHAnsi"/>
                <w:sz w:val="24"/>
                <w:szCs w:val="24"/>
              </w:rPr>
            </w:pPr>
            <w:r>
              <w:t>Summer</w:t>
            </w:r>
            <w:r w:rsidRPr="00F823F2">
              <w:t xml:space="preserve"> </w:t>
            </w:r>
            <w:r w:rsidR="00F823F2" w:rsidRPr="00F823F2">
              <w:t>2017 and 2019</w:t>
            </w:r>
          </w:p>
        </w:tc>
      </w:tr>
    </w:tbl>
    <w:p w14:paraId="2C291449" w14:textId="77777777" w:rsidR="002B5E0F" w:rsidRDefault="002B5E0F" w:rsidP="00EF6453">
      <w:pPr>
        <w:pStyle w:val="H4Number"/>
        <w:spacing w:after="0"/>
      </w:pPr>
    </w:p>
    <w:p w14:paraId="612AC223" w14:textId="56A4AB88" w:rsidR="00910C04" w:rsidRDefault="00667A13" w:rsidP="00EF6453">
      <w:pPr>
        <w:pStyle w:val="H4Number"/>
      </w:pPr>
      <w:bookmarkStart w:id="8" w:name="_Toc423425553"/>
      <w:r>
        <w:t>D</w:t>
      </w:r>
      <w:r w:rsidR="00910C04">
        <w:t>.</w:t>
      </w:r>
      <w:r w:rsidR="00910C04">
        <w:tab/>
      </w:r>
      <w:r w:rsidR="00727AE6">
        <w:t xml:space="preserve">Universe of </w:t>
      </w:r>
      <w:r w:rsidR="00CE37B8">
        <w:t>d</w:t>
      </w:r>
      <w:r w:rsidR="00727AE6">
        <w:t xml:space="preserve">ata </w:t>
      </w:r>
      <w:r w:rsidR="00CE37B8">
        <w:t>c</w:t>
      </w:r>
      <w:r w:rsidR="00727AE6">
        <w:t xml:space="preserve">ollection </w:t>
      </w:r>
      <w:r w:rsidR="00CE37B8">
        <w:t>e</w:t>
      </w:r>
      <w:r w:rsidR="00727AE6">
        <w:t>fforts</w:t>
      </w:r>
      <w:bookmarkEnd w:id="8"/>
    </w:p>
    <w:p w14:paraId="4E1208B2" w14:textId="4D4F1798" w:rsidR="009857FE" w:rsidRDefault="0032448F" w:rsidP="00B61606">
      <w:pPr>
        <w:pStyle w:val="NormalSS"/>
      </w:pPr>
      <w:r w:rsidRPr="004C0BF9">
        <w:t xml:space="preserve">Clearance is requested for the following data collection </w:t>
      </w:r>
      <w:r w:rsidRPr="00F833AC">
        <w:t xml:space="preserve">activities designed to support data collection </w:t>
      </w:r>
      <w:r w:rsidR="009857FE" w:rsidRPr="00F833AC">
        <w:t xml:space="preserve">for the </w:t>
      </w:r>
      <w:r w:rsidR="002B5E0F">
        <w:t xml:space="preserve">evaluation </w:t>
      </w:r>
      <w:r w:rsidR="009857FE" w:rsidRPr="00F833AC">
        <w:t xml:space="preserve">of </w:t>
      </w:r>
      <w:r w:rsidR="00E534E5">
        <w:t>NCEHS-CCP</w:t>
      </w:r>
      <w:r w:rsidR="009857FE" w:rsidRPr="00F833AC">
        <w:t xml:space="preserve">. </w:t>
      </w:r>
      <w:r w:rsidR="00251DBB" w:rsidRPr="00F833AC">
        <w:t>Table A.</w:t>
      </w:r>
      <w:r w:rsidR="006D2845" w:rsidRPr="00F833AC">
        <w:t>1</w:t>
      </w:r>
      <w:r w:rsidR="008B60C1" w:rsidRPr="00F833AC">
        <w:t xml:space="preserve"> provides a </w:t>
      </w:r>
      <w:r w:rsidR="008B60C1" w:rsidRPr="00635719">
        <w:t>crosswalk</w:t>
      </w:r>
      <w:r w:rsidR="008B60C1" w:rsidRPr="00F833AC">
        <w:t xml:space="preserve"> between the study instruments and the </w:t>
      </w:r>
      <w:r w:rsidR="005838D0">
        <w:t>research questions</w:t>
      </w:r>
      <w:r w:rsidR="008B60C1" w:rsidRPr="00F833AC">
        <w:t xml:space="preserve"> each is designed to address. </w:t>
      </w:r>
    </w:p>
    <w:p w14:paraId="2EAEBA9B" w14:textId="688D82D4" w:rsidR="00BC55D9" w:rsidRPr="007F76AC" w:rsidRDefault="006167E7" w:rsidP="00B61606">
      <w:pPr>
        <w:pStyle w:val="Bullet"/>
        <w:numPr>
          <w:ilvl w:val="0"/>
          <w:numId w:val="13"/>
        </w:numPr>
        <w:tabs>
          <w:tab w:val="clear" w:pos="432"/>
        </w:tabs>
        <w:ind w:hanging="450"/>
      </w:pPr>
      <w:r>
        <w:rPr>
          <w:b/>
        </w:rPr>
        <w:t>Stakeholder survey</w:t>
      </w:r>
      <w:r w:rsidR="002127F7">
        <w:rPr>
          <w:b/>
        </w:rPr>
        <w:t>.</w:t>
      </w:r>
      <w:r w:rsidR="002127F7">
        <w:t xml:space="preserve"> Th</w:t>
      </w:r>
      <w:r w:rsidR="00E534E5">
        <w:t>e</w:t>
      </w:r>
      <w:r w:rsidR="002127F7">
        <w:t xml:space="preserve"> web-</w:t>
      </w:r>
      <w:r w:rsidR="002127F7" w:rsidRPr="00F833AC">
        <w:t>based survey</w:t>
      </w:r>
      <w:r w:rsidR="00BC1B0C" w:rsidRPr="00F833AC">
        <w:t xml:space="preserve"> </w:t>
      </w:r>
      <w:r w:rsidR="00BC1B0C" w:rsidRPr="00F44EF7">
        <w:rPr>
          <w:b/>
        </w:rPr>
        <w:t xml:space="preserve">(Attachment </w:t>
      </w:r>
      <w:r w:rsidR="007F76AC" w:rsidRPr="00F44EF7">
        <w:rPr>
          <w:b/>
        </w:rPr>
        <w:t>B</w:t>
      </w:r>
      <w:r w:rsidR="00BC1B0C" w:rsidRPr="00F44EF7">
        <w:rPr>
          <w:b/>
        </w:rPr>
        <w:t>)</w:t>
      </w:r>
      <w:r w:rsidR="002127F7" w:rsidRPr="007D7E70">
        <w:t xml:space="preserve"> will be administered to </w:t>
      </w:r>
      <w:r w:rsidRPr="007D7E70">
        <w:t>key stakeholders (</w:t>
      </w:r>
      <w:r w:rsidR="00BC55D9" w:rsidRPr="007F76AC">
        <w:t>including</w:t>
      </w:r>
      <w:r w:rsidR="00027CB1" w:rsidRPr="007F76AC">
        <w:t>,</w:t>
      </w:r>
      <w:r w:rsidR="00BC55D9" w:rsidRPr="007F76AC">
        <w:t xml:space="preserve"> regional T/TA specialists, implementation planners and fiscal consultants, </w:t>
      </w:r>
      <w:r w:rsidR="00EC4344" w:rsidRPr="007F76AC">
        <w:t>CCDF</w:t>
      </w:r>
      <w:r w:rsidR="00BC55D9" w:rsidRPr="007F76AC">
        <w:t xml:space="preserve"> administrators, and Head Start state and national collaboration office directors</w:t>
      </w:r>
      <w:r w:rsidR="003F1CF9" w:rsidRPr="007F76AC">
        <w:t>)</w:t>
      </w:r>
      <w:r w:rsidR="002127F7" w:rsidRPr="007F76AC">
        <w:t xml:space="preserve"> to gather information about the </w:t>
      </w:r>
      <w:r w:rsidRPr="007F76AC">
        <w:t>type</w:t>
      </w:r>
      <w:r w:rsidR="00B23096" w:rsidRPr="007F76AC">
        <w:t>s</w:t>
      </w:r>
      <w:r w:rsidRPr="007F76AC">
        <w:t xml:space="preserve"> </w:t>
      </w:r>
      <w:r w:rsidR="00BC55D9" w:rsidRPr="007F76AC">
        <w:t>of support respondents received from NCEHS-CCP in the previous year, how the T/TA informed their work with EHS-CCP grantees, and suggestions for improving the support offered by NCEHS-CCP</w:t>
      </w:r>
      <w:r w:rsidR="000251A4">
        <w:t>, including their ongoing information needs</w:t>
      </w:r>
      <w:r w:rsidR="00BC55D9" w:rsidRPr="007F76AC">
        <w:t xml:space="preserve">. </w:t>
      </w:r>
      <w:r w:rsidRPr="007F76AC">
        <w:t xml:space="preserve">The survey will be conducted during the spring of 2016 and </w:t>
      </w:r>
      <w:r w:rsidR="00503BA0">
        <w:t xml:space="preserve">repeated with those in the same position in </w:t>
      </w:r>
      <w:r w:rsidRPr="007F76AC">
        <w:t xml:space="preserve">2018 with an estimated sample size of </w:t>
      </w:r>
      <w:r w:rsidR="003F1CF9" w:rsidRPr="007F76AC">
        <w:t>350</w:t>
      </w:r>
      <w:r w:rsidRPr="007F76AC">
        <w:t xml:space="preserve"> stakeholders</w:t>
      </w:r>
      <w:r w:rsidR="003F1CF9" w:rsidRPr="007F76AC">
        <w:t xml:space="preserve"> each year</w:t>
      </w:r>
      <w:r w:rsidRPr="007F76AC">
        <w:t xml:space="preserve">. </w:t>
      </w:r>
    </w:p>
    <w:p w14:paraId="3DA8295E" w14:textId="59A2AB18" w:rsidR="00BC55D9" w:rsidRDefault="006167E7" w:rsidP="00B61606">
      <w:pPr>
        <w:pStyle w:val="Bullet"/>
        <w:numPr>
          <w:ilvl w:val="0"/>
          <w:numId w:val="13"/>
        </w:numPr>
        <w:tabs>
          <w:tab w:val="clear" w:pos="432"/>
        </w:tabs>
        <w:spacing w:after="240"/>
        <w:ind w:hanging="450"/>
      </w:pPr>
      <w:r w:rsidRPr="007F76AC">
        <w:rPr>
          <w:b/>
        </w:rPr>
        <w:t xml:space="preserve">Stakeholder </w:t>
      </w:r>
      <w:r w:rsidR="00242980">
        <w:rPr>
          <w:b/>
        </w:rPr>
        <w:t xml:space="preserve">telephone </w:t>
      </w:r>
      <w:r w:rsidRPr="007F76AC">
        <w:rPr>
          <w:b/>
        </w:rPr>
        <w:t>interview</w:t>
      </w:r>
      <w:r w:rsidR="007F76AC" w:rsidRPr="007F76AC">
        <w:rPr>
          <w:b/>
        </w:rPr>
        <w:t>s</w:t>
      </w:r>
      <w:r w:rsidRPr="007F76AC">
        <w:rPr>
          <w:b/>
        </w:rPr>
        <w:t>.</w:t>
      </w:r>
      <w:r w:rsidRPr="007F76AC">
        <w:t xml:space="preserve"> </w:t>
      </w:r>
      <w:r w:rsidR="00E534E5" w:rsidRPr="007F76AC">
        <w:t>The research team will conduct</w:t>
      </w:r>
      <w:r w:rsidRPr="007F76AC">
        <w:t xml:space="preserve"> semi-structured telephone interviews with </w:t>
      </w:r>
      <w:r w:rsidR="003F1CF9" w:rsidRPr="007F76AC">
        <w:t>75</w:t>
      </w:r>
      <w:r w:rsidRPr="007F76AC">
        <w:t xml:space="preserve"> </w:t>
      </w:r>
      <w:r w:rsidR="008D686B" w:rsidRPr="007F76AC">
        <w:t>stakeholders</w:t>
      </w:r>
      <w:r w:rsidR="00E534E5" w:rsidRPr="007F76AC">
        <w:t xml:space="preserve"> in the spring of 2017 and 2019, </w:t>
      </w:r>
      <w:r w:rsidR="008C01B4">
        <w:t xml:space="preserve">representing purposively selected </w:t>
      </w:r>
      <w:r w:rsidR="008D686B" w:rsidRPr="007F76AC">
        <w:t>subset</w:t>
      </w:r>
      <w:r w:rsidR="008C01B4">
        <w:t>s</w:t>
      </w:r>
      <w:r w:rsidR="008D686B" w:rsidRPr="007F76AC">
        <w:t xml:space="preserve"> of the stakeholders surveyed in 2016 and 2018 </w:t>
      </w:r>
      <w:r w:rsidR="008D686B" w:rsidRPr="00814057">
        <w:rPr>
          <w:b/>
        </w:rPr>
        <w:t xml:space="preserve">(Attachment </w:t>
      </w:r>
      <w:r w:rsidR="007F76AC" w:rsidRPr="00814057">
        <w:rPr>
          <w:b/>
        </w:rPr>
        <w:t>C</w:t>
      </w:r>
      <w:r w:rsidR="008D686B" w:rsidRPr="00814057">
        <w:rPr>
          <w:b/>
        </w:rPr>
        <w:t>)</w:t>
      </w:r>
      <w:r w:rsidR="008D686B">
        <w:t xml:space="preserve">. The interviews will explore in more detail </w:t>
      </w:r>
      <w:r w:rsidR="00BC55D9" w:rsidRPr="00324222">
        <w:t>how th</w:t>
      </w:r>
      <w:r w:rsidR="00BC55D9">
        <w:t xml:space="preserve">e support received from NCEHS-CCP </w:t>
      </w:r>
      <w:r w:rsidR="00BC55D9" w:rsidRPr="00324222">
        <w:lastRenderedPageBreak/>
        <w:t xml:space="preserve">informed </w:t>
      </w:r>
      <w:r w:rsidR="00BC55D9">
        <w:t>respondents’</w:t>
      </w:r>
      <w:r w:rsidR="00BC55D9" w:rsidRPr="00324222">
        <w:t xml:space="preserve"> work</w:t>
      </w:r>
      <w:r w:rsidR="00BC55D9">
        <w:t xml:space="preserve"> with EHS-CCP grantees</w:t>
      </w:r>
      <w:r w:rsidR="00BC55D9" w:rsidRPr="00324222">
        <w:t>,</w:t>
      </w:r>
      <w:r w:rsidR="00BC55D9">
        <w:t xml:space="preserve"> their </w:t>
      </w:r>
      <w:r w:rsidR="00BC55D9" w:rsidRPr="00324222">
        <w:t>successes and challenges</w:t>
      </w:r>
      <w:r w:rsidR="00BC55D9">
        <w:t xml:space="preserve"> accessing supports and incorporating the information into their work with grantees</w:t>
      </w:r>
      <w:r w:rsidR="00BC55D9" w:rsidRPr="00324222">
        <w:t xml:space="preserve">, and suggestions for improvement. </w:t>
      </w:r>
    </w:p>
    <w:p w14:paraId="2B059C71" w14:textId="47C41F6A" w:rsidR="00A8484A" w:rsidRPr="00CE41A7" w:rsidRDefault="00667A13" w:rsidP="00EF6453">
      <w:pPr>
        <w:pStyle w:val="H3Alpha"/>
      </w:pPr>
      <w:bookmarkStart w:id="9" w:name="_Toc423425554"/>
      <w:r w:rsidRPr="00CE41A7">
        <w:t>A</w:t>
      </w:r>
      <w:r w:rsidR="00A8484A" w:rsidRPr="00CE41A7">
        <w:t>3.</w:t>
      </w:r>
      <w:r w:rsidR="00907632" w:rsidRPr="00CE41A7">
        <w:t xml:space="preserve"> </w:t>
      </w:r>
      <w:r w:rsidR="00A8484A" w:rsidRPr="00CE41A7">
        <w:t xml:space="preserve">Improved </w:t>
      </w:r>
      <w:r w:rsidR="00CE37B8" w:rsidRPr="00CE41A7">
        <w:t>i</w:t>
      </w:r>
      <w:r w:rsidR="00A8484A" w:rsidRPr="00CE41A7">
        <w:t xml:space="preserve">nformation </w:t>
      </w:r>
      <w:r w:rsidR="00CE37B8" w:rsidRPr="00CE41A7">
        <w:t>t</w:t>
      </w:r>
      <w:r w:rsidR="00A8484A" w:rsidRPr="00CE41A7">
        <w:t xml:space="preserve">echnology to </w:t>
      </w:r>
      <w:r w:rsidR="00CE37B8" w:rsidRPr="00CE41A7">
        <w:t>r</w:t>
      </w:r>
      <w:r w:rsidR="00A8484A" w:rsidRPr="00CE41A7">
        <w:t xml:space="preserve">educe </w:t>
      </w:r>
      <w:r w:rsidR="00CE37B8" w:rsidRPr="00CE41A7">
        <w:t>b</w:t>
      </w:r>
      <w:r w:rsidR="00A8484A" w:rsidRPr="00CE41A7">
        <w:t>urden</w:t>
      </w:r>
      <w:bookmarkEnd w:id="9"/>
    </w:p>
    <w:p w14:paraId="1D27C326" w14:textId="17E0FE9F" w:rsidR="003678AB" w:rsidRDefault="003678AB" w:rsidP="00B61606">
      <w:pPr>
        <w:pStyle w:val="NormalSS"/>
        <w:tabs>
          <w:tab w:val="left" w:pos="9180"/>
        </w:tabs>
      </w:pPr>
      <w:r w:rsidRPr="00214A11">
        <w:t xml:space="preserve">The </w:t>
      </w:r>
      <w:r w:rsidR="008D686B">
        <w:t>evaluation</w:t>
      </w:r>
      <w:r w:rsidRPr="00214A11">
        <w:t xml:space="preserve"> of </w:t>
      </w:r>
      <w:r w:rsidR="00E534E5">
        <w:t>NCEHS-CCP</w:t>
      </w:r>
      <w:r w:rsidRPr="00214A11">
        <w:t xml:space="preserve"> will use multiple methods to collect study information. Web-based applications will be used for the collection of the </w:t>
      </w:r>
      <w:r w:rsidR="00985379">
        <w:t>stakeholder survey</w:t>
      </w:r>
      <w:r w:rsidRPr="00214A11">
        <w:t xml:space="preserve">. </w:t>
      </w:r>
      <w:r w:rsidR="003F1CF9">
        <w:t>This</w:t>
      </w:r>
      <w:r w:rsidRPr="007F010B">
        <w:t xml:space="preserve"> web</w:t>
      </w:r>
      <w:r>
        <w:t>-based</w:t>
      </w:r>
      <w:r w:rsidRPr="007F010B">
        <w:t xml:space="preserve"> instrument will offer the easiest means of providing data</w:t>
      </w:r>
      <w:r w:rsidR="008D528F">
        <w:t>. I</w:t>
      </w:r>
      <w:r w:rsidR="003F1CF9">
        <w:t>t</w:t>
      </w:r>
      <w:r>
        <w:t xml:space="preserve"> will </w:t>
      </w:r>
      <w:r w:rsidRPr="007F010B">
        <w:t>be programmed to automatically skip questions not relevant to the respondent</w:t>
      </w:r>
      <w:r>
        <w:t>, thereby</w:t>
      </w:r>
      <w:r w:rsidRPr="007F010B">
        <w:t xml:space="preserve"> reduc</w:t>
      </w:r>
      <w:r>
        <w:t>ing</w:t>
      </w:r>
      <w:r w:rsidRPr="007F010B">
        <w:t xml:space="preserve"> respondent burden. </w:t>
      </w:r>
      <w:r w:rsidR="00027CB1">
        <w:t>Because</w:t>
      </w:r>
      <w:r w:rsidR="00027CB1" w:rsidRPr="007F010B">
        <w:t xml:space="preserve"> </w:t>
      </w:r>
      <w:r w:rsidRPr="007F010B">
        <w:t>the survey instrument will automatically skip to the next appropriate question based on a respondent’s answers, the instrument will also provide high</w:t>
      </w:r>
      <w:r w:rsidR="00027CB1">
        <w:t xml:space="preserve"> </w:t>
      </w:r>
      <w:r w:rsidRPr="007F010B">
        <w:t xml:space="preserve">quality data. The </w:t>
      </w:r>
      <w:r>
        <w:t xml:space="preserve">web-based application will </w:t>
      </w:r>
      <w:r w:rsidRPr="007F010B">
        <w:t>allow respondents to complete the survey at a time convenient to them</w:t>
      </w:r>
      <w:r>
        <w:t xml:space="preserve">. </w:t>
      </w:r>
      <w:r w:rsidRPr="007F010B">
        <w:t xml:space="preserve">If </w:t>
      </w:r>
      <w:r>
        <w:t>they a</w:t>
      </w:r>
      <w:r w:rsidRPr="007F010B">
        <w:t>re unable to complete the survey</w:t>
      </w:r>
      <w:r>
        <w:t xml:space="preserve"> or prefer not to complete it during a single</w:t>
      </w:r>
      <w:r w:rsidRPr="007F010B">
        <w:t xml:space="preserve"> sitting</w:t>
      </w:r>
      <w:r>
        <w:t>,</w:t>
      </w:r>
      <w:r w:rsidRPr="007F010B">
        <w:t xml:space="preserve"> they may save their place in the survey and return to </w:t>
      </w:r>
      <w:r>
        <w:t>it</w:t>
      </w:r>
      <w:r w:rsidRPr="007F010B">
        <w:t xml:space="preserve"> </w:t>
      </w:r>
      <w:r w:rsidR="00027CB1">
        <w:t xml:space="preserve">at </w:t>
      </w:r>
      <w:r w:rsidRPr="007F010B">
        <w:t>a</w:t>
      </w:r>
      <w:r>
        <w:t xml:space="preserve"> later</w:t>
      </w:r>
      <w:r w:rsidRPr="007F010B">
        <w:t xml:space="preserve"> time</w:t>
      </w:r>
      <w:r>
        <w:t>, which likewise reduces burden</w:t>
      </w:r>
      <w:r w:rsidR="00F335E0">
        <w:t xml:space="preserve"> by not requiring respondents to click through questions previously answered</w:t>
      </w:r>
      <w:r w:rsidRPr="007F010B">
        <w:t xml:space="preserve">. </w:t>
      </w:r>
      <w:r w:rsidRPr="00655D58">
        <w:t>In addition to offering the web</w:t>
      </w:r>
      <w:r>
        <w:t>-based</w:t>
      </w:r>
      <w:r w:rsidRPr="00655D58">
        <w:t xml:space="preserve"> </w:t>
      </w:r>
      <w:r>
        <w:t>version</w:t>
      </w:r>
      <w:r w:rsidRPr="00655D58">
        <w:t xml:space="preserve">, </w:t>
      </w:r>
      <w:r w:rsidR="00E4738A">
        <w:t xml:space="preserve">respondents may request </w:t>
      </w:r>
      <w:r w:rsidR="00A97DFF">
        <w:t>a paper-version of the survey they can complete and mail back to the research team</w:t>
      </w:r>
      <w:r w:rsidRPr="00655D58">
        <w:t>.</w:t>
      </w:r>
    </w:p>
    <w:p w14:paraId="204BF5F7" w14:textId="5629422E" w:rsidR="003678AB" w:rsidRPr="003678AB" w:rsidRDefault="00A10644" w:rsidP="00B61606">
      <w:pPr>
        <w:pStyle w:val="NormalSS"/>
      </w:pPr>
      <w:r>
        <w:t>With regard to collecting qualitative data through semi</w:t>
      </w:r>
      <w:r w:rsidR="00027CB1">
        <w:t>-</w:t>
      </w:r>
      <w:r>
        <w:t>structured</w:t>
      </w:r>
      <w:r w:rsidR="004D4D8E">
        <w:t xml:space="preserve"> </w:t>
      </w:r>
      <w:r w:rsidR="00F335E0">
        <w:t>telephone</w:t>
      </w:r>
      <w:r>
        <w:t xml:space="preserve"> interviews, </w:t>
      </w:r>
      <w:r w:rsidR="004D4D8E">
        <w:t>the</w:t>
      </w:r>
      <w:r w:rsidR="00F335E0">
        <w:t xml:space="preserve"> </w:t>
      </w:r>
      <w:r>
        <w:t xml:space="preserve">interviews will be conducted by two members of the study team, with one asking questions and a second typing </w:t>
      </w:r>
      <w:r w:rsidR="003826FC">
        <w:t>nearly</w:t>
      </w:r>
      <w:r>
        <w:t xml:space="preserve"> verbatim notes</w:t>
      </w:r>
      <w:r w:rsidR="003826FC">
        <w:t xml:space="preserve"> (to</w:t>
      </w:r>
      <w:r>
        <w:t xml:space="preserve"> </w:t>
      </w:r>
      <w:r w:rsidR="003826FC">
        <w:t xml:space="preserve">capture </w:t>
      </w:r>
      <w:r>
        <w:t>key quotes and responses</w:t>
      </w:r>
      <w:r w:rsidR="003826FC">
        <w:t>)</w:t>
      </w:r>
      <w:r>
        <w:t xml:space="preserve"> on a laptop. An audio recorder will be used with permission from participants to later confirm direct quotes or other details from the interviews. </w:t>
      </w:r>
    </w:p>
    <w:p w14:paraId="5E0E0A2C" w14:textId="2CF3DA4E" w:rsidR="00A8484A" w:rsidRPr="00AD29A9" w:rsidRDefault="00667A13" w:rsidP="00EF6453">
      <w:pPr>
        <w:pStyle w:val="H3Alpha"/>
      </w:pPr>
      <w:bookmarkStart w:id="10" w:name="_Toc423425555"/>
      <w:r w:rsidRPr="00AD29A9">
        <w:t>A</w:t>
      </w:r>
      <w:r w:rsidR="007F6CE6" w:rsidRPr="00AD29A9">
        <w:t xml:space="preserve">4. </w:t>
      </w:r>
      <w:r w:rsidR="00CE37B8" w:rsidRPr="00AD29A9">
        <w:t>Efforts to identify duplication</w:t>
      </w:r>
      <w:bookmarkEnd w:id="10"/>
    </w:p>
    <w:p w14:paraId="7D328BEC" w14:textId="75BB7612" w:rsidR="00F80E78" w:rsidRDefault="00A14F3B" w:rsidP="00B61606">
      <w:pPr>
        <w:pStyle w:val="NormalSS"/>
      </w:pPr>
      <w:r w:rsidRPr="00D82067">
        <w:t xml:space="preserve">None of the </w:t>
      </w:r>
      <w:r>
        <w:t xml:space="preserve">study </w:t>
      </w:r>
      <w:r w:rsidRPr="00D82067">
        <w:t xml:space="preserve">instruments will ask for information that can be </w:t>
      </w:r>
      <w:r w:rsidRPr="00814057">
        <w:t>reliably obtained</w:t>
      </w:r>
      <w:r w:rsidRPr="00D82067">
        <w:t xml:space="preserve"> from alternative data sources, including administrative data collection</w:t>
      </w:r>
      <w:r w:rsidR="00F335E0">
        <w:t xml:space="preserve"> since the NCEHS-CCP is new and has not been previously evaluated</w:t>
      </w:r>
      <w:r w:rsidRPr="00D82067">
        <w:t>.</w:t>
      </w:r>
      <w:r w:rsidR="009B6050">
        <w:t xml:space="preserve"> </w:t>
      </w:r>
      <w:r w:rsidR="005279D8">
        <w:t>No comparable data are available</w:t>
      </w:r>
      <w:r w:rsidR="003826FC">
        <w:t>.</w:t>
      </w:r>
      <w:r w:rsidR="005279D8">
        <w:t xml:space="preserve"> Administrative data will be used to document the support offered and made available by NCEHS-CCP</w:t>
      </w:r>
      <w:r w:rsidR="003826FC">
        <w:t>,</w:t>
      </w:r>
      <w:r w:rsidR="005279D8">
        <w:t xml:space="preserve"> while the survey will document uptake of those supports. Training feedback forms will document participants’ immediate satisfaction with training but will not provide data on their long</w:t>
      </w:r>
      <w:r w:rsidR="003826FC">
        <w:t>-</w:t>
      </w:r>
      <w:r w:rsidR="005279D8">
        <w:t>term assessment of its usefulness</w:t>
      </w:r>
      <w:r w:rsidR="003826FC">
        <w:t>,</w:t>
      </w:r>
      <w:r w:rsidR="005279D8">
        <w:t xml:space="preserve"> </w:t>
      </w:r>
      <w:proofErr w:type="gramStart"/>
      <w:r w:rsidR="003826FC">
        <w:t>nor</w:t>
      </w:r>
      <w:proofErr w:type="gramEnd"/>
      <w:r w:rsidR="003826FC">
        <w:t xml:space="preserve"> whether </w:t>
      </w:r>
      <w:r w:rsidR="005279D8">
        <w:t xml:space="preserve">and how they used the information in their work with grantees. </w:t>
      </w:r>
      <w:r w:rsidR="00A37B97">
        <w:t>No existing data provide</w:t>
      </w:r>
      <w:r w:rsidR="00F80E78">
        <w:t xml:space="preserve"> the breadth of description that will result from the </w:t>
      </w:r>
      <w:r w:rsidR="006E321C">
        <w:t>proposed information collection</w:t>
      </w:r>
      <w:r w:rsidR="00F80E78">
        <w:t xml:space="preserve">. </w:t>
      </w:r>
    </w:p>
    <w:p w14:paraId="36F4F143" w14:textId="0CBFA877" w:rsidR="006E321C" w:rsidRDefault="00D01BC5" w:rsidP="00B61606">
      <w:pPr>
        <w:pStyle w:val="NormalSS"/>
      </w:pPr>
      <w:r w:rsidRPr="00A46E9A">
        <w:t>Furthermore, the design of the study instruments ensures there is minimal duplication of data collected through each instrument.</w:t>
      </w:r>
      <w:r w:rsidR="00FE2ED2">
        <w:t xml:space="preserve"> </w:t>
      </w:r>
      <w:r w:rsidR="00794E4B">
        <w:t xml:space="preserve">The stakeholder surveys </w:t>
      </w:r>
      <w:r w:rsidR="00794E4B" w:rsidRPr="00287FC0">
        <w:rPr>
          <w:b/>
        </w:rPr>
        <w:t>(Attachment B)</w:t>
      </w:r>
      <w:r w:rsidR="00794E4B">
        <w:t xml:space="preserve"> will inform the development of the questions asked during the stakeholder telephone interviews </w:t>
      </w:r>
      <w:r w:rsidR="00794E4B" w:rsidRPr="00287FC0">
        <w:rPr>
          <w:b/>
        </w:rPr>
        <w:t>(Attachment C).</w:t>
      </w:r>
      <w:r w:rsidR="00794E4B">
        <w:t xml:space="preserve"> </w:t>
      </w:r>
      <w:r w:rsidR="00D510EE">
        <w:t xml:space="preserve">The interviews are designed to get more </w:t>
      </w:r>
      <w:proofErr w:type="spellStart"/>
      <w:r w:rsidR="00D510EE">
        <w:t>indepth</w:t>
      </w:r>
      <w:proofErr w:type="spellEnd"/>
      <w:r w:rsidR="00D510EE">
        <w:t xml:space="preserve"> information about responses to the survey questions. </w:t>
      </w:r>
      <w:r>
        <w:t xml:space="preserve">However, by design, there are some cases in which </w:t>
      </w:r>
      <w:r w:rsidR="00BF6F0F">
        <w:t>study instruments as</w:t>
      </w:r>
      <w:r w:rsidR="002C4AB1">
        <w:t>k</w:t>
      </w:r>
      <w:r w:rsidR="00BF6F0F">
        <w:t xml:space="preserve"> the same question </w:t>
      </w:r>
      <w:r w:rsidR="008A254F">
        <w:t>to</w:t>
      </w:r>
      <w:r w:rsidR="006E321C">
        <w:t xml:space="preserve"> gather information on a single topic at </w:t>
      </w:r>
      <w:r w:rsidR="002C4AB1">
        <w:t xml:space="preserve">two </w:t>
      </w:r>
      <w:r w:rsidR="006E321C">
        <w:t xml:space="preserve">points in time. </w:t>
      </w:r>
      <w:r w:rsidR="002C4AB1">
        <w:t xml:space="preserve">For example, </w:t>
      </w:r>
      <w:r w:rsidR="006E321C">
        <w:t xml:space="preserve">the </w:t>
      </w:r>
      <w:r w:rsidR="00AD29A9">
        <w:t xml:space="preserve">stakeholder survey and </w:t>
      </w:r>
      <w:r w:rsidR="003002DC">
        <w:t>stakeholder</w:t>
      </w:r>
      <w:r w:rsidR="00AD29A9">
        <w:t xml:space="preserve"> </w:t>
      </w:r>
      <w:r w:rsidR="001A24FE">
        <w:t xml:space="preserve">telephone </w:t>
      </w:r>
      <w:r w:rsidR="00AD29A9">
        <w:t>interviews</w:t>
      </w:r>
      <w:r w:rsidR="006E321C">
        <w:t xml:space="preserve"> both include questions about </w:t>
      </w:r>
      <w:r w:rsidR="008A254F">
        <w:t xml:space="preserve">respondents’ satisfaction with the </w:t>
      </w:r>
      <w:r w:rsidR="00AD29A9">
        <w:t xml:space="preserve">T/TA support in order to measure </w:t>
      </w:r>
      <w:r w:rsidR="008A254F">
        <w:t xml:space="preserve">satisfaction </w:t>
      </w:r>
      <w:r w:rsidR="00AD29A9">
        <w:t>across four time periods</w:t>
      </w:r>
      <w:r w:rsidR="006E321C">
        <w:t xml:space="preserve">. </w:t>
      </w:r>
    </w:p>
    <w:p w14:paraId="7AB986F1" w14:textId="0CF6A928" w:rsidR="00A8484A" w:rsidRPr="00CE41A7" w:rsidRDefault="00667A13" w:rsidP="00EF6453">
      <w:pPr>
        <w:pStyle w:val="H3Alpha"/>
      </w:pPr>
      <w:bookmarkStart w:id="11" w:name="_Toc423425556"/>
      <w:r w:rsidRPr="00CE41A7">
        <w:lastRenderedPageBreak/>
        <w:t>A</w:t>
      </w:r>
      <w:r w:rsidR="00A8484A" w:rsidRPr="00CE41A7">
        <w:t>5.</w:t>
      </w:r>
      <w:r w:rsidR="007F6CE6" w:rsidRPr="00CE41A7">
        <w:t xml:space="preserve"> </w:t>
      </w:r>
      <w:r w:rsidR="00CE37B8" w:rsidRPr="00CE41A7">
        <w:t>Involvement of small organizations</w:t>
      </w:r>
      <w:bookmarkEnd w:id="11"/>
    </w:p>
    <w:p w14:paraId="31F083C0" w14:textId="38CF9B39" w:rsidR="006A735E" w:rsidRPr="006A735E" w:rsidRDefault="00D510EE" w:rsidP="00B61606">
      <w:pPr>
        <w:spacing w:after="240" w:line="240" w:lineRule="auto"/>
      </w:pPr>
      <w:r>
        <w:t xml:space="preserve">Small organizations will not be directly involved in the data collection, but </w:t>
      </w:r>
      <w:r w:rsidR="00103391">
        <w:t xml:space="preserve">may be involved due to stakeholder participation in the </w:t>
      </w:r>
      <w:r w:rsidR="004239D2">
        <w:t xml:space="preserve">stakeholder </w:t>
      </w:r>
      <w:r w:rsidR="00103391">
        <w:t xml:space="preserve">survey and </w:t>
      </w:r>
      <w:r w:rsidR="004239D2">
        <w:t xml:space="preserve">stakeholder </w:t>
      </w:r>
      <w:r w:rsidR="00103391">
        <w:t xml:space="preserve">telephone interviews. </w:t>
      </w:r>
      <w:r w:rsidR="006A735E" w:rsidRPr="006A735E">
        <w:t xml:space="preserve">To carry out the goals of this information collection, </w:t>
      </w:r>
      <w:r w:rsidR="008A254F">
        <w:t>the research team</w:t>
      </w:r>
      <w:r w:rsidR="008A254F" w:rsidRPr="006A735E">
        <w:t xml:space="preserve"> </w:t>
      </w:r>
      <w:r w:rsidR="008A254F">
        <w:t xml:space="preserve">may involve </w:t>
      </w:r>
      <w:r w:rsidR="006A735E" w:rsidRPr="006A735E">
        <w:t xml:space="preserve">data collection activities </w:t>
      </w:r>
      <w:r w:rsidR="00F82516">
        <w:t>from small organizations</w:t>
      </w:r>
      <w:r w:rsidR="001A24FE">
        <w:t xml:space="preserve"> </w:t>
      </w:r>
      <w:r w:rsidR="00103391">
        <w:t>where the stakeholders work</w:t>
      </w:r>
      <w:r w:rsidR="00F82516">
        <w:t xml:space="preserve"> including</w:t>
      </w:r>
      <w:r w:rsidR="006A735E" w:rsidRPr="006A735E">
        <w:t xml:space="preserve"> </w:t>
      </w:r>
      <w:r w:rsidR="008A254F">
        <w:t xml:space="preserve">organizations providing </w:t>
      </w:r>
      <w:r w:rsidR="00CE41A7">
        <w:t xml:space="preserve">regional T/TA </w:t>
      </w:r>
      <w:r w:rsidR="004673E4">
        <w:t>state government agencies that employ CCDF administrators</w:t>
      </w:r>
      <w:r w:rsidR="004673E4" w:rsidRPr="004673E4">
        <w:t xml:space="preserve"> and Head Start state and national collaboration office directors</w:t>
      </w:r>
      <w:r w:rsidR="004673E4">
        <w:t xml:space="preserve">, </w:t>
      </w:r>
      <w:r w:rsidR="00CE41A7">
        <w:t>and implementation planners and fiscal consultants</w:t>
      </w:r>
      <w:r w:rsidR="004239D2">
        <w:t xml:space="preserve"> (many of whom are independent consultants). </w:t>
      </w:r>
      <w:r w:rsidR="00CE41A7">
        <w:t>T</w:t>
      </w:r>
      <w:r w:rsidR="006A735E" w:rsidRPr="006A735E">
        <w:t xml:space="preserve">he web-based application used for the administration of the surveys will allow </w:t>
      </w:r>
      <w:r w:rsidR="00CE41A7">
        <w:t>all stakeholders</w:t>
      </w:r>
      <w:r w:rsidR="006A735E" w:rsidRPr="006A735E">
        <w:t xml:space="preserve"> to complete the survey at a time convenient to them. To accommodate the varying needs and preferences of </w:t>
      </w:r>
      <w:r w:rsidR="008A254F">
        <w:t>respondents</w:t>
      </w:r>
      <w:r w:rsidR="006A735E" w:rsidRPr="006A735E">
        <w:t xml:space="preserve">, </w:t>
      </w:r>
      <w:r w:rsidR="003002DC">
        <w:t>a paper-version of the survey can be provided to respondents</w:t>
      </w:r>
      <w:r w:rsidR="006A735E" w:rsidRPr="006A735E">
        <w:t xml:space="preserve">. For the </w:t>
      </w:r>
      <w:r w:rsidR="00CE41A7">
        <w:t xml:space="preserve">stakeholder telephone interviews, we will work with stakeholders to schedule the interviews </w:t>
      </w:r>
      <w:r w:rsidR="004A0EA5">
        <w:t>to accommodate the</w:t>
      </w:r>
      <w:r w:rsidR="008A254F">
        <w:t>ir</w:t>
      </w:r>
      <w:r w:rsidR="004A0EA5">
        <w:t xml:space="preserve"> s</w:t>
      </w:r>
      <w:r w:rsidR="00CE41A7">
        <w:t xml:space="preserve">chedules. </w:t>
      </w:r>
      <w:r w:rsidR="006A735E" w:rsidRPr="006A735E">
        <w:t>I</w:t>
      </w:r>
      <w:r w:rsidR="006A735E">
        <w:t>n addition, i</w:t>
      </w:r>
      <w:r w:rsidR="006A735E" w:rsidRPr="006A735E">
        <w:t xml:space="preserve">nstruments have been tailored to minimize burden </w:t>
      </w:r>
      <w:r w:rsidR="0057344C">
        <w:t>by</w:t>
      </w:r>
      <w:r w:rsidR="0057344C" w:rsidRPr="006A735E">
        <w:t xml:space="preserve"> </w:t>
      </w:r>
      <w:r w:rsidR="006A735E" w:rsidRPr="006A735E">
        <w:t>collect</w:t>
      </w:r>
      <w:r w:rsidR="0057344C">
        <w:t>ing</w:t>
      </w:r>
      <w:r w:rsidR="006A735E" w:rsidRPr="006A735E">
        <w:t xml:space="preserve"> only </w:t>
      </w:r>
      <w:r w:rsidR="0057344C">
        <w:t xml:space="preserve">the </w:t>
      </w:r>
      <w:r w:rsidR="006A735E" w:rsidRPr="006A735E">
        <w:t xml:space="preserve">critical information needed to address the study’s research questions. </w:t>
      </w:r>
    </w:p>
    <w:p w14:paraId="118A510C" w14:textId="1973B9B7" w:rsidR="00A8484A" w:rsidRPr="003E2C17" w:rsidRDefault="00667A13" w:rsidP="00EF6453">
      <w:pPr>
        <w:pStyle w:val="H3Alpha"/>
      </w:pPr>
      <w:bookmarkStart w:id="12" w:name="_Toc423425557"/>
      <w:r w:rsidRPr="003E2C17">
        <w:t>A</w:t>
      </w:r>
      <w:r w:rsidR="00A8484A" w:rsidRPr="003E2C17">
        <w:t>6.</w:t>
      </w:r>
      <w:r w:rsidR="007F6CE6" w:rsidRPr="003E2C17">
        <w:t xml:space="preserve"> </w:t>
      </w:r>
      <w:r w:rsidR="00CE37B8" w:rsidRPr="003E2C17">
        <w:t>Consequences of less frequent data collection</w:t>
      </w:r>
      <w:bookmarkEnd w:id="12"/>
      <w:r w:rsidR="00CE37B8" w:rsidRPr="003E2C17">
        <w:t xml:space="preserve"> </w:t>
      </w:r>
    </w:p>
    <w:p w14:paraId="4C94E7B3" w14:textId="730E8F34" w:rsidR="007F14DE" w:rsidRPr="008423A3" w:rsidRDefault="007B3146" w:rsidP="00B61606">
      <w:pPr>
        <w:spacing w:after="240" w:line="240" w:lineRule="auto"/>
      </w:pPr>
      <w:r>
        <w:t>The study is designed to provide annual feedback on the supports offered by NC</w:t>
      </w:r>
      <w:r w:rsidR="003A5F46">
        <w:t>E</w:t>
      </w:r>
      <w:r>
        <w:t xml:space="preserve">HS-CCP to inform its work for the </w:t>
      </w:r>
      <w:r w:rsidRPr="00BD388B">
        <w:t>next</w:t>
      </w:r>
      <w:r>
        <w:t xml:space="preserve"> year. As a result, data collection is planned annually for 2016 through 2019.</w:t>
      </w:r>
      <w:r w:rsidR="00C75221">
        <w:t xml:space="preserve"> If the data collection were not approved, NCEHS-CCP would not have information about their performance</w:t>
      </w:r>
      <w:r w:rsidR="00D06DAE">
        <w:t xml:space="preserve"> </w:t>
      </w:r>
      <w:r w:rsidR="00C75221">
        <w:t>among its target audience. If the data collection were not permitted annually, NCEHS-CCP would not be able to track its performance over time.</w:t>
      </w:r>
      <w:r>
        <w:t xml:space="preserve"> </w:t>
      </w:r>
    </w:p>
    <w:p w14:paraId="35328B48" w14:textId="63ACE030" w:rsidR="00A8484A" w:rsidRPr="00CE41A7" w:rsidRDefault="00667A13" w:rsidP="00EF6453">
      <w:pPr>
        <w:pStyle w:val="H3Alpha"/>
      </w:pPr>
      <w:bookmarkStart w:id="13" w:name="_Toc423425558"/>
      <w:r w:rsidRPr="00CE41A7">
        <w:t>A</w:t>
      </w:r>
      <w:r w:rsidR="00A8484A" w:rsidRPr="00CE41A7">
        <w:t>7.</w:t>
      </w:r>
      <w:r w:rsidR="007F6CE6" w:rsidRPr="00CE41A7">
        <w:t xml:space="preserve"> </w:t>
      </w:r>
      <w:r w:rsidR="00CE37B8" w:rsidRPr="00CE41A7">
        <w:t>Special circumstances</w:t>
      </w:r>
      <w:bookmarkEnd w:id="13"/>
    </w:p>
    <w:p w14:paraId="35B35904" w14:textId="751886AF" w:rsidR="004A7D57" w:rsidRPr="004A7D57" w:rsidRDefault="004A7D57" w:rsidP="004A7D57">
      <w:pPr>
        <w:pStyle w:val="NormalSS"/>
      </w:pPr>
      <w:r w:rsidRPr="004A7D57">
        <w:t>There are no special circumstances for the proposed data collection efforts.</w:t>
      </w:r>
    </w:p>
    <w:p w14:paraId="3E18B004" w14:textId="6F511222" w:rsidR="00A8484A" w:rsidRPr="007F6CE6" w:rsidRDefault="00667A13" w:rsidP="00EF6453">
      <w:pPr>
        <w:pStyle w:val="H3Alpha"/>
      </w:pPr>
      <w:bookmarkStart w:id="14" w:name="_Toc423425559"/>
      <w:r w:rsidRPr="007F6CE6">
        <w:t>A</w:t>
      </w:r>
      <w:r w:rsidR="00A8484A" w:rsidRPr="007F6CE6">
        <w:t>8.</w:t>
      </w:r>
      <w:r w:rsidR="007F6CE6">
        <w:t xml:space="preserve"> </w:t>
      </w:r>
      <w:r w:rsidR="009C0284" w:rsidRPr="00B61606">
        <w:rPr>
          <w:i/>
        </w:rPr>
        <w:t>Federal R</w:t>
      </w:r>
      <w:r w:rsidR="00CE37B8" w:rsidRPr="00B61606">
        <w:rPr>
          <w:i/>
        </w:rPr>
        <w:t>egister</w:t>
      </w:r>
      <w:r w:rsidR="00CE37B8" w:rsidRPr="007F6CE6">
        <w:t xml:space="preserve"> notice and consultation</w:t>
      </w:r>
      <w:bookmarkEnd w:id="14"/>
    </w:p>
    <w:p w14:paraId="40688940" w14:textId="4F866FB6" w:rsidR="00965449" w:rsidRPr="007F6CE6" w:rsidRDefault="007F6CE6" w:rsidP="00EF6453">
      <w:pPr>
        <w:pStyle w:val="H4Number"/>
      </w:pPr>
      <w:bookmarkStart w:id="15" w:name="_Toc423425560"/>
      <w:r>
        <w:t>A.</w:t>
      </w:r>
      <w:r>
        <w:tab/>
      </w:r>
      <w:r w:rsidR="009C0284" w:rsidRPr="00B61606">
        <w:rPr>
          <w:i/>
        </w:rPr>
        <w:t>Federal R</w:t>
      </w:r>
      <w:r w:rsidR="00CE37B8" w:rsidRPr="00B61606">
        <w:rPr>
          <w:i/>
        </w:rPr>
        <w:t>egister</w:t>
      </w:r>
      <w:r w:rsidR="00CE37B8" w:rsidRPr="007F6CE6">
        <w:t xml:space="preserve"> notice and comments</w:t>
      </w:r>
      <w:bookmarkEnd w:id="15"/>
    </w:p>
    <w:p w14:paraId="3BC26C7A" w14:textId="2A3B896D" w:rsidR="00ED5606" w:rsidRDefault="00ED5606" w:rsidP="00B61606">
      <w:pPr>
        <w:pStyle w:val="NormalSS"/>
      </w:pPr>
      <w:proofErr w:type="gramStart"/>
      <w:r w:rsidRPr="00F4788E">
        <w:t>In accordance with the Paperwork Reduction Act of 1995 (Pub.</w:t>
      </w:r>
      <w:proofErr w:type="gramEnd"/>
      <w:r w:rsidRPr="00F4788E">
        <w:t xml:space="preserve"> L. 104-13</w:t>
      </w:r>
      <w:r>
        <w:t>)</w:t>
      </w:r>
      <w:r w:rsidRPr="00F4788E">
        <w:t xml:space="preserve"> and Office of Management and Budget (OMB) regulations at 5 C</w:t>
      </w:r>
      <w:r w:rsidR="004C28D2">
        <w:t>.</w:t>
      </w:r>
      <w:r w:rsidRPr="00F4788E">
        <w:t>F</w:t>
      </w:r>
      <w:r w:rsidR="004C28D2">
        <w:t>.</w:t>
      </w:r>
      <w:r w:rsidRPr="00F4788E">
        <w:t>R</w:t>
      </w:r>
      <w:r w:rsidR="004C28D2">
        <w:t>.,</w:t>
      </w:r>
      <w:r w:rsidRPr="00F4788E">
        <w:t xml:space="preserve"> Part 1320 (60 F</w:t>
      </w:r>
      <w:r w:rsidR="004C28D2">
        <w:t>.</w:t>
      </w:r>
      <w:r w:rsidRPr="00F4788E">
        <w:t>R</w:t>
      </w:r>
      <w:r w:rsidR="004C28D2">
        <w:t>.</w:t>
      </w:r>
      <w:r w:rsidRPr="00F4788E">
        <w:t xml:space="preserve"> 44978</w:t>
      </w:r>
      <w:r w:rsidR="004C28D2">
        <w:t>;</w:t>
      </w:r>
      <w:r w:rsidRPr="00F4788E">
        <w:t xml:space="preserve"> August 29, 1995), ACF published a notice in the </w:t>
      </w:r>
      <w:r w:rsidRPr="00B61606">
        <w:rPr>
          <w:i/>
        </w:rPr>
        <w:t>Federal Register</w:t>
      </w:r>
      <w:r w:rsidRPr="00F4788E">
        <w:t xml:space="preserve"> announcing the agency’s intention to </w:t>
      </w:r>
      <w:r w:rsidRPr="001E1086">
        <w:t xml:space="preserve">request an OMB review of this information collection activity. </w:t>
      </w:r>
      <w:r w:rsidRPr="00E705B7">
        <w:t xml:space="preserve">This notice was published on </w:t>
      </w:r>
      <w:r w:rsidR="00F43BA5" w:rsidRPr="00E705B7">
        <w:t>October 27, 2015</w:t>
      </w:r>
      <w:r w:rsidRPr="00814057">
        <w:t xml:space="preserve">, Volume </w:t>
      </w:r>
      <w:r w:rsidR="00F43BA5" w:rsidRPr="00E705B7">
        <w:t>80,</w:t>
      </w:r>
      <w:r w:rsidR="00F43BA5" w:rsidRPr="00814057">
        <w:t xml:space="preserve"> </w:t>
      </w:r>
      <w:r w:rsidRPr="00814057">
        <w:t xml:space="preserve">Number </w:t>
      </w:r>
      <w:r w:rsidR="00F43BA5" w:rsidRPr="00E705B7">
        <w:t xml:space="preserve">207, </w:t>
      </w:r>
      <w:r w:rsidRPr="00E705B7">
        <w:t>page</w:t>
      </w:r>
      <w:r w:rsidR="00F43BA5" w:rsidRPr="00E705B7">
        <w:t>s</w:t>
      </w:r>
      <w:r w:rsidRPr="00E705B7">
        <w:t xml:space="preserve"> </w:t>
      </w:r>
      <w:r w:rsidR="00F43BA5" w:rsidRPr="00E705B7">
        <w:t>65764-65765,</w:t>
      </w:r>
      <w:r w:rsidR="00F43BA5" w:rsidRPr="00814057">
        <w:t xml:space="preserve"> </w:t>
      </w:r>
      <w:r w:rsidRPr="00814057">
        <w:t xml:space="preserve">and provided a </w:t>
      </w:r>
      <w:r w:rsidR="0057344C" w:rsidRPr="00814057">
        <w:t>60</w:t>
      </w:r>
      <w:r w:rsidRPr="00814057">
        <w:t xml:space="preserve">-day period for public comment. </w:t>
      </w:r>
      <w:r w:rsidR="00E705B7" w:rsidRPr="00814057">
        <w:t>A</w:t>
      </w:r>
      <w:r w:rsidR="00E705B7" w:rsidRPr="00E705B7">
        <w:t xml:space="preserve"> </w:t>
      </w:r>
      <w:r w:rsidR="00E705B7" w:rsidRPr="00814057">
        <w:t>copy</w:t>
      </w:r>
      <w:r w:rsidRPr="00814057">
        <w:t xml:space="preserve"> of this notice is attached as Attachment </w:t>
      </w:r>
      <w:r w:rsidR="00166674" w:rsidRPr="00814057">
        <w:t>D</w:t>
      </w:r>
      <w:r w:rsidRPr="00814057">
        <w:rPr>
          <w:b/>
        </w:rPr>
        <w:t xml:space="preserve">. </w:t>
      </w:r>
      <w:r w:rsidRPr="00814057">
        <w:t xml:space="preserve">During the notice and comment period, </w:t>
      </w:r>
      <w:r w:rsidR="00F43BA5" w:rsidRPr="00E705B7">
        <w:t>0</w:t>
      </w:r>
      <w:r w:rsidR="00E705B7" w:rsidRPr="00E705B7">
        <w:t xml:space="preserve"> </w:t>
      </w:r>
      <w:r w:rsidRPr="00814057">
        <w:t>comment(s) was (were) received.</w:t>
      </w:r>
      <w:r w:rsidRPr="00E705B7">
        <w:t xml:space="preserve"> </w:t>
      </w:r>
    </w:p>
    <w:p w14:paraId="04C35DCE" w14:textId="6FCD87F0" w:rsidR="00965449" w:rsidRPr="00D87B6B" w:rsidRDefault="0033225A" w:rsidP="00EF6453">
      <w:pPr>
        <w:pStyle w:val="H4Number"/>
      </w:pPr>
      <w:bookmarkStart w:id="16" w:name="_Toc423425561"/>
      <w:r>
        <w:t>B.</w:t>
      </w:r>
      <w:r w:rsidR="007F6CE6">
        <w:tab/>
      </w:r>
      <w:r w:rsidR="00CE37B8" w:rsidRPr="00D87B6B">
        <w:t>Consultation with experts outside of the study</w:t>
      </w:r>
      <w:bookmarkEnd w:id="16"/>
    </w:p>
    <w:p w14:paraId="3EA29A68" w14:textId="33CE08E1" w:rsidR="00B16FAF" w:rsidRDefault="007B3146" w:rsidP="00570ACC">
      <w:pPr>
        <w:spacing w:after="240" w:line="240" w:lineRule="auto"/>
      </w:pPr>
      <w:r>
        <w:t xml:space="preserve">No experts outside the study team were consulted. </w:t>
      </w:r>
    </w:p>
    <w:p w14:paraId="3B86ED17" w14:textId="31DE8AD2" w:rsidR="00A8484A" w:rsidRPr="000B76B6" w:rsidRDefault="00667A13" w:rsidP="00EF6453">
      <w:pPr>
        <w:pStyle w:val="H3Alpha"/>
      </w:pPr>
      <w:bookmarkStart w:id="17" w:name="_Toc423425562"/>
      <w:r w:rsidRPr="000B76B6">
        <w:t>A</w:t>
      </w:r>
      <w:r w:rsidR="00A8484A" w:rsidRPr="000B76B6">
        <w:t>9.</w:t>
      </w:r>
      <w:r w:rsidR="00A8484A" w:rsidRPr="000B76B6">
        <w:tab/>
      </w:r>
      <w:r w:rsidR="00CE37B8" w:rsidRPr="000B76B6">
        <w:t>Incentives for r</w:t>
      </w:r>
      <w:r w:rsidR="00AF419A" w:rsidRPr="000B76B6">
        <w:t>espondents</w:t>
      </w:r>
      <w:bookmarkEnd w:id="17"/>
    </w:p>
    <w:p w14:paraId="00ABFBAF" w14:textId="76B3BCE5" w:rsidR="000B76B6" w:rsidRPr="007F6CE6" w:rsidRDefault="000B76B6" w:rsidP="007F6CE6">
      <w:pPr>
        <w:pStyle w:val="NormalSS"/>
      </w:pPr>
      <w:r>
        <w:t>No incentives for respondents are proposed for this information collection.</w:t>
      </w:r>
    </w:p>
    <w:p w14:paraId="36837E95" w14:textId="5B07AAFF" w:rsidR="00C51CA2" w:rsidRPr="00001633" w:rsidRDefault="00C51CA2" w:rsidP="00EF6453">
      <w:pPr>
        <w:pStyle w:val="H3Alpha"/>
      </w:pPr>
      <w:bookmarkStart w:id="18" w:name="_Toc423425563"/>
      <w:r w:rsidRPr="00001633">
        <w:lastRenderedPageBreak/>
        <w:t>A10. Privacy of</w:t>
      </w:r>
      <w:r w:rsidR="00CE37B8" w:rsidRPr="00001633">
        <w:t xml:space="preserve"> r</w:t>
      </w:r>
      <w:r w:rsidRPr="00001633">
        <w:t>espondents</w:t>
      </w:r>
      <w:bookmarkEnd w:id="18"/>
    </w:p>
    <w:p w14:paraId="164F5217" w14:textId="7C0FB6D5" w:rsidR="00752D1F" w:rsidRDefault="00752D1F" w:rsidP="00B61606">
      <w:pPr>
        <w:pStyle w:val="NormalSS"/>
      </w:pPr>
      <w:r>
        <w:t>The study will comply</w:t>
      </w:r>
      <w:r w:rsidRPr="009C78CA">
        <w:t xml:space="preserve"> with Government regulations</w:t>
      </w:r>
      <w:r>
        <w:t xml:space="preserve"> for securing and protecting </w:t>
      </w:r>
      <w:r w:rsidRPr="00FF4853">
        <w:t>paper records, field notes, or other documents that contain sensitive or personally identifiable information</w:t>
      </w:r>
      <w:r w:rsidRPr="009C78CA">
        <w:t>.</w:t>
      </w:r>
      <w:r>
        <w:t xml:space="preserve"> The study will not include personal identifiers on the </w:t>
      </w:r>
      <w:r w:rsidR="00C75221">
        <w:t xml:space="preserve">stakeholder </w:t>
      </w:r>
      <w:r w:rsidR="001A0620">
        <w:t>survey</w:t>
      </w:r>
      <w:r>
        <w:t xml:space="preserve"> </w:t>
      </w:r>
      <w:r w:rsidR="00C75221" w:rsidRPr="00920461">
        <w:rPr>
          <w:b/>
        </w:rPr>
        <w:t>(Attachment B)</w:t>
      </w:r>
      <w:r w:rsidR="00C75221">
        <w:t xml:space="preserve"> </w:t>
      </w:r>
      <w:r>
        <w:t xml:space="preserve">or </w:t>
      </w:r>
      <w:r w:rsidR="001A0620">
        <w:t>notes</w:t>
      </w:r>
      <w:r>
        <w:t xml:space="preserve"> prepared during the </w:t>
      </w:r>
      <w:r w:rsidR="00C75221">
        <w:t xml:space="preserve">stakeholder telephone </w:t>
      </w:r>
      <w:r>
        <w:t>interviews</w:t>
      </w:r>
      <w:r w:rsidR="00C75221">
        <w:t xml:space="preserve"> </w:t>
      </w:r>
      <w:r w:rsidR="00C75221" w:rsidRPr="00920461">
        <w:rPr>
          <w:b/>
        </w:rPr>
        <w:t>(Attachment C)</w:t>
      </w:r>
      <w:r w:rsidRPr="00920461">
        <w:rPr>
          <w:b/>
        </w:rPr>
        <w:t>.</w:t>
      </w:r>
      <w:r>
        <w:t xml:space="preserve"> The study will assign a unique identification number to </w:t>
      </w:r>
      <w:r w:rsidR="001A0620">
        <w:t>stakeholders</w:t>
      </w:r>
      <w:r>
        <w:t xml:space="preserve"> to facilitate the linking of information across data sources.</w:t>
      </w:r>
    </w:p>
    <w:p w14:paraId="6D9BEBE0" w14:textId="5ECE8F89" w:rsidR="00C51CA2" w:rsidRDefault="00570ACC" w:rsidP="00B61606">
      <w:pPr>
        <w:pStyle w:val="NormalSS"/>
      </w:pPr>
      <w:r w:rsidRPr="009F5A98">
        <w:rPr>
          <w:rFonts w:cs="Arial"/>
          <w:szCs w:val="26"/>
        </w:rPr>
        <w:t xml:space="preserve">Information collected will be kept private to the extent permitted by law. Respondents will be informed of all planned uses of </w:t>
      </w:r>
      <w:r w:rsidR="0057344C">
        <w:rPr>
          <w:rFonts w:cs="Arial"/>
          <w:szCs w:val="26"/>
        </w:rPr>
        <w:t xml:space="preserve">the </w:t>
      </w:r>
      <w:r w:rsidRPr="009F5A98">
        <w:rPr>
          <w:rFonts w:cs="Arial"/>
          <w:szCs w:val="26"/>
        </w:rPr>
        <w:t xml:space="preserve">data, that their participation is voluntary, and that their information will be kept private to the extent permitted by law. </w:t>
      </w:r>
      <w:r w:rsidR="00C51CA2" w:rsidRPr="008E3DC4">
        <w:t xml:space="preserve">The consent statement provided to study participants </w:t>
      </w:r>
      <w:r w:rsidR="00C51CA2">
        <w:t xml:space="preserve">for each data collection activity includes a brief overview of the </w:t>
      </w:r>
      <w:r w:rsidR="00C51CA2" w:rsidRPr="007E3369">
        <w:t>purpose of the study, a description of the data collection activity in which we are asking them to participate, and an estimate of the amount of time required to complete the activity. The consent</w:t>
      </w:r>
      <w:r w:rsidR="00C51CA2">
        <w:t xml:space="preserve"> statement also includes assurances </w:t>
      </w:r>
      <w:r w:rsidR="00C51CA2" w:rsidRPr="008E3DC4">
        <w:t>that the r</w:t>
      </w:r>
      <w:r w:rsidR="00C51CA2">
        <w:t xml:space="preserve">esearch team will protect the </w:t>
      </w:r>
      <w:r w:rsidR="00C51CA2" w:rsidRPr="008E3DC4">
        <w:t>privacy</w:t>
      </w:r>
      <w:r w:rsidR="00C51CA2">
        <w:t xml:space="preserve"> of respondents</w:t>
      </w:r>
      <w:r w:rsidR="00C51CA2" w:rsidRPr="008E3DC4">
        <w:t xml:space="preserve"> to the fullest extent possible under the law</w:t>
      </w:r>
      <w:r w:rsidR="00C51CA2">
        <w:t xml:space="preserve">, that </w:t>
      </w:r>
      <w:r w:rsidR="00C51CA2" w:rsidRPr="007E3369">
        <w:t>respondents</w:t>
      </w:r>
      <w:r w:rsidR="00C51CA2">
        <w:t>’</w:t>
      </w:r>
      <w:r w:rsidR="00C51CA2" w:rsidRPr="007E3369">
        <w:t xml:space="preserve"> participation is voluntary</w:t>
      </w:r>
      <w:r w:rsidR="00C51CA2">
        <w:t xml:space="preserve">, and that they </w:t>
      </w:r>
      <w:r w:rsidR="00C51CA2" w:rsidRPr="007E3369">
        <w:t xml:space="preserve">may withdraw their consent at any time </w:t>
      </w:r>
      <w:r w:rsidR="00C51CA2">
        <w:t>without any negative consequences</w:t>
      </w:r>
      <w:r w:rsidR="00C51CA2" w:rsidRPr="007E3369">
        <w:t>.</w:t>
      </w:r>
      <w:r w:rsidR="00C51CA2">
        <w:t xml:space="preserve"> </w:t>
      </w:r>
    </w:p>
    <w:p w14:paraId="11B4D0BC" w14:textId="268178A2" w:rsidR="00C51CA2" w:rsidRDefault="00C51CA2" w:rsidP="00B61606">
      <w:pPr>
        <w:pStyle w:val="NormalSS"/>
      </w:pPr>
      <w:r w:rsidRPr="008E3DC4">
        <w:t>The consent statement for the</w:t>
      </w:r>
      <w:r>
        <w:t xml:space="preserve"> </w:t>
      </w:r>
      <w:r w:rsidR="00001633">
        <w:t>stakeholder survey</w:t>
      </w:r>
      <w:r w:rsidRPr="008E3DC4">
        <w:t xml:space="preserve"> i</w:t>
      </w:r>
      <w:r>
        <w:t>s provided in the instruments’ introductory</w:t>
      </w:r>
      <w:r w:rsidRPr="008E3DC4">
        <w:t xml:space="preserve"> section. This text will be </w:t>
      </w:r>
      <w:r>
        <w:t xml:space="preserve">presented </w:t>
      </w:r>
      <w:r w:rsidRPr="008E3DC4">
        <w:t xml:space="preserve">on the first page of the </w:t>
      </w:r>
      <w:r w:rsidR="00570ACC">
        <w:t>stakeholder</w:t>
      </w:r>
      <w:r>
        <w:t xml:space="preserve"> </w:t>
      </w:r>
      <w:r w:rsidRPr="008E3DC4">
        <w:t>survey after the respondent</w:t>
      </w:r>
      <w:r w:rsidR="008552BE">
        <w:t xml:space="preserve"> logs in. </w:t>
      </w:r>
      <w:r>
        <w:t xml:space="preserve">For </w:t>
      </w:r>
      <w:r w:rsidR="00001633">
        <w:t xml:space="preserve">the </w:t>
      </w:r>
      <w:r w:rsidR="00570ACC">
        <w:t>stakeholder</w:t>
      </w:r>
      <w:r w:rsidR="00001633">
        <w:t xml:space="preserve"> telephone interviews</w:t>
      </w:r>
      <w:r>
        <w:t xml:space="preserve">, </w:t>
      </w:r>
      <w:r w:rsidRPr="008E3DC4">
        <w:t>the interviewer</w:t>
      </w:r>
      <w:r>
        <w:t xml:space="preserve"> or facilitator will read a consent statement that includes assurances that the information shared will be kept private</w:t>
      </w:r>
      <w:r w:rsidRPr="008E3DC4">
        <w:t xml:space="preserve"> and reported in a manner that will not identify individual respondents</w:t>
      </w:r>
      <w:r w:rsidRPr="007A7B4C">
        <w:t>.</w:t>
      </w:r>
      <w:r>
        <w:t xml:space="preserve"> Consent will be provided verbally by the respondent after the </w:t>
      </w:r>
      <w:r w:rsidR="009C0284">
        <w:t>interviewer or facilitator has read the consent statement</w:t>
      </w:r>
      <w:r w:rsidR="006B46A8">
        <w:t xml:space="preserve">. </w:t>
      </w:r>
    </w:p>
    <w:p w14:paraId="15A3A4B5" w14:textId="07B22E15" w:rsidR="00A8484A" w:rsidRDefault="00667A13" w:rsidP="00EF6453">
      <w:pPr>
        <w:pStyle w:val="H3Alpha"/>
      </w:pPr>
      <w:bookmarkStart w:id="19" w:name="_Toc423425564"/>
      <w:r>
        <w:t>A</w:t>
      </w:r>
      <w:r w:rsidR="002D0C13">
        <w:t>11.</w:t>
      </w:r>
      <w:r w:rsidR="00AF419A">
        <w:t xml:space="preserve"> S</w:t>
      </w:r>
      <w:r w:rsidR="002D0C13">
        <w:t xml:space="preserve">ensitive </w:t>
      </w:r>
      <w:r w:rsidR="00CE37B8">
        <w:t>q</w:t>
      </w:r>
      <w:r w:rsidR="00AF419A">
        <w:t>uestions</w:t>
      </w:r>
      <w:bookmarkEnd w:id="19"/>
    </w:p>
    <w:p w14:paraId="37EED6FB" w14:textId="20DCD120" w:rsidR="0033225A" w:rsidRDefault="00660907" w:rsidP="0033225A">
      <w:pPr>
        <w:pStyle w:val="NormalSS"/>
      </w:pPr>
      <w:r>
        <w:t xml:space="preserve">There are no sensitive questions in this data collection. </w:t>
      </w:r>
    </w:p>
    <w:p w14:paraId="2294038D" w14:textId="74931F24" w:rsidR="00A8484A" w:rsidRDefault="00667A13" w:rsidP="00EF6453">
      <w:pPr>
        <w:pStyle w:val="H3Alpha"/>
      </w:pPr>
      <w:bookmarkStart w:id="20" w:name="_Toc423425565"/>
      <w:r>
        <w:t>A</w:t>
      </w:r>
      <w:r w:rsidR="00A8484A">
        <w:t>12.</w:t>
      </w:r>
      <w:r w:rsidR="00AF419A">
        <w:t xml:space="preserve"> </w:t>
      </w:r>
      <w:r w:rsidR="00CE37B8">
        <w:t>Estimation of information collection burden</w:t>
      </w:r>
      <w:bookmarkEnd w:id="20"/>
    </w:p>
    <w:p w14:paraId="1C5B5F44" w14:textId="137A69A0" w:rsidR="0089709E" w:rsidRDefault="0089709E" w:rsidP="00EF6453">
      <w:pPr>
        <w:pStyle w:val="H4Number"/>
      </w:pPr>
      <w:bookmarkStart w:id="21" w:name="_Toc423425566"/>
      <w:r>
        <w:t>A.</w:t>
      </w:r>
      <w:r w:rsidR="006B4A92" w:rsidRPr="006B4A92">
        <w:t xml:space="preserve"> </w:t>
      </w:r>
      <w:r w:rsidR="006B4A92">
        <w:tab/>
      </w:r>
      <w:r>
        <w:t xml:space="preserve">Total burden requested under this </w:t>
      </w:r>
      <w:r w:rsidR="0057344C">
        <w:t>i</w:t>
      </w:r>
      <w:r>
        <w:t xml:space="preserve">nformation </w:t>
      </w:r>
      <w:r w:rsidR="0057344C">
        <w:t>c</w:t>
      </w:r>
      <w:r>
        <w:t>ollection</w:t>
      </w:r>
      <w:bookmarkEnd w:id="21"/>
    </w:p>
    <w:p w14:paraId="7B106C10" w14:textId="01E5F189" w:rsidR="00A12E07" w:rsidRDefault="002860F3" w:rsidP="00A12E07">
      <w:pPr>
        <w:pStyle w:val="NormalSS"/>
      </w:pPr>
      <w:r>
        <w:t>The stakeholder survey will have 233.33 respondents. All respondents will be key stakeholders including</w:t>
      </w:r>
      <w:r w:rsidRPr="00D06DAE">
        <w:t xml:space="preserve"> regional T/TA specialists, implementation planners and fiscal consultants, CCDF administrators, and Head Start state and national collaboration office directors.</w:t>
      </w:r>
      <w:r>
        <w:t xml:space="preserve"> Stakeholders will receive the same survey regardless of their role, and we are not targeting a certain number of responses within each group. Each survey respondent will provide one response, with an average burden time of 30 minutes per response. Total burden hours for the stakeholder survey are 116.67 hours. The stakeholder telephone interviews will be conducted with 50 key stakeholders. Each will provide one response, with each response averaging one hour of burden time. </w:t>
      </w:r>
      <w:proofErr w:type="gramStart"/>
      <w:r w:rsidR="001508E4">
        <w:t>Total burden hours for the stakeholder telephone interviews is</w:t>
      </w:r>
      <w:proofErr w:type="gramEnd"/>
      <w:r w:rsidR="001508E4">
        <w:t xml:space="preserve"> 50. </w:t>
      </w:r>
      <w:r w:rsidR="00A12E07">
        <w:t>The estimated reporting burden and cost for the data collection instruments included in this information collection request are presented in Table A.2.</w:t>
      </w:r>
      <w:r w:rsidR="00D06DAE">
        <w:t xml:space="preserve"> </w:t>
      </w:r>
    </w:p>
    <w:p w14:paraId="3E40AC6B" w14:textId="2365759B" w:rsidR="00AE5F7B" w:rsidRDefault="00AE5F7B" w:rsidP="00A12E07">
      <w:pPr>
        <w:pStyle w:val="NormalSS"/>
      </w:pPr>
      <w:r w:rsidRPr="004228B4">
        <w:lastRenderedPageBreak/>
        <w:t xml:space="preserve">Recruitment and supplemental materials for the stakeholder </w:t>
      </w:r>
      <w:r w:rsidR="00B63E74">
        <w:t>survey a</w:t>
      </w:r>
      <w:r w:rsidRPr="004228B4">
        <w:t xml:space="preserve">re included in </w:t>
      </w:r>
      <w:r w:rsidRPr="00920461">
        <w:rPr>
          <w:b/>
        </w:rPr>
        <w:t xml:space="preserve">Attachment </w:t>
      </w:r>
      <w:r w:rsidR="00B63E74" w:rsidRPr="00920461">
        <w:rPr>
          <w:b/>
        </w:rPr>
        <w:t>E</w:t>
      </w:r>
      <w:r w:rsidRPr="004228B4">
        <w:t xml:space="preserve">. </w:t>
      </w:r>
      <w:r w:rsidR="00B63E74">
        <w:t xml:space="preserve">Stakeholders will be sent an advance email notification inviting them to take part in the study. Recruitment and supplemental materials for the stakeholder telephone interviews are included in </w:t>
      </w:r>
      <w:r w:rsidR="00B63E74" w:rsidRPr="00920461">
        <w:rPr>
          <w:b/>
        </w:rPr>
        <w:t>Attachment F</w:t>
      </w:r>
      <w:r w:rsidR="00B63E74">
        <w:t>. For the stakeholder telephone interviews, t</w:t>
      </w:r>
      <w:r w:rsidRPr="004228B4">
        <w:t>he study team will send advance emails to individual stakeholders to notify them that they have been selected</w:t>
      </w:r>
      <w:r>
        <w:t xml:space="preserve"> to participate in an interview</w:t>
      </w:r>
      <w:r w:rsidR="00942CB5">
        <w:t>,</w:t>
      </w:r>
      <w:r>
        <w:t xml:space="preserve"> </w:t>
      </w:r>
      <w:r w:rsidR="00942CB5">
        <w:t xml:space="preserve">describe the purpose of the interview, confirm the stakeholder’s interest in participating, and schedule the interview </w:t>
      </w:r>
      <w:r>
        <w:t xml:space="preserve">with them.  </w:t>
      </w:r>
    </w:p>
    <w:p w14:paraId="5DDD84A9" w14:textId="263B12BD" w:rsidR="00A12E07" w:rsidRDefault="00A12E07" w:rsidP="00A12E07">
      <w:pPr>
        <w:pStyle w:val="MarkforTableTitle"/>
      </w:pPr>
      <w:r w:rsidRPr="00BF3398">
        <w:t>Table A.</w:t>
      </w:r>
      <w:r>
        <w:t>2</w:t>
      </w:r>
      <w:r w:rsidRPr="00BF3398">
        <w:t xml:space="preserve">. </w:t>
      </w:r>
      <w:r>
        <w:t>Estimate of burden and c</w:t>
      </w:r>
      <w:r w:rsidRPr="00BF3398">
        <w:t>ost fo</w:t>
      </w:r>
      <w:r w:rsidRPr="00EE750D">
        <w:t xml:space="preserve">r the </w:t>
      </w:r>
      <w:r w:rsidR="005838D0">
        <w:t xml:space="preserve">NCEHS-CCP </w:t>
      </w:r>
      <w:r w:rsidR="0057344C">
        <w:t>e</w:t>
      </w:r>
      <w:r w:rsidRPr="00EE750D">
        <w:t xml:space="preserve">valuation </w:t>
      </w:r>
    </w:p>
    <w:tbl>
      <w:tblPr>
        <w:tblStyle w:val="LightList"/>
        <w:tblW w:w="4952"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843"/>
        <w:gridCol w:w="1292"/>
        <w:gridCol w:w="1294"/>
        <w:gridCol w:w="269"/>
        <w:gridCol w:w="1533"/>
        <w:gridCol w:w="1168"/>
        <w:gridCol w:w="899"/>
        <w:gridCol w:w="1186"/>
      </w:tblGrid>
      <w:tr w:rsidR="004347A1" w:rsidRPr="00F878AA" w14:paraId="5E52A789" w14:textId="5DF744D3" w:rsidTr="009461C5">
        <w:trPr>
          <w:cnfStyle w:val="100000000000" w:firstRow="1" w:lastRow="0" w:firstColumn="0" w:lastColumn="0" w:oddVBand="0" w:evenVBand="0" w:oddHBand="0" w:evenHBand="0" w:firstRowFirstColumn="0" w:firstRowLastColumn="0" w:lastRowFirstColumn="0" w:lastRowLastColumn="0"/>
          <w:tblHeader/>
        </w:trPr>
        <w:tc>
          <w:tcPr>
            <w:tcW w:w="972" w:type="pct"/>
            <w:tcBorders>
              <w:bottom w:val="single" w:sz="8" w:space="0" w:color="FFFFFF" w:themeColor="background1"/>
            </w:tcBorders>
            <w:shd w:val="clear" w:color="auto" w:fill="6C6F70"/>
            <w:vAlign w:val="bottom"/>
          </w:tcPr>
          <w:p w14:paraId="5491C130" w14:textId="11BB98AF" w:rsidR="00C55B5A" w:rsidRPr="00C55B5A" w:rsidRDefault="00C55B5A" w:rsidP="00EF6453">
            <w:pPr>
              <w:pStyle w:val="TableHeaderLeft"/>
              <w:rPr>
                <w:b/>
                <w:sz w:val="16"/>
                <w:szCs w:val="16"/>
              </w:rPr>
            </w:pPr>
            <w:r w:rsidRPr="00C55B5A">
              <w:rPr>
                <w:b/>
                <w:sz w:val="16"/>
                <w:szCs w:val="16"/>
              </w:rPr>
              <w:t>Instrument</w:t>
            </w:r>
          </w:p>
        </w:tc>
        <w:tc>
          <w:tcPr>
            <w:tcW w:w="681" w:type="pct"/>
            <w:tcBorders>
              <w:bottom w:val="single" w:sz="8" w:space="0" w:color="FFFFFF" w:themeColor="background1"/>
            </w:tcBorders>
            <w:shd w:val="clear" w:color="auto" w:fill="6C6F70"/>
            <w:vAlign w:val="bottom"/>
          </w:tcPr>
          <w:p w14:paraId="76AD3ED4" w14:textId="55783ED3" w:rsidR="00C55B5A" w:rsidRPr="00C55B5A" w:rsidRDefault="009461C5" w:rsidP="00EF6453">
            <w:pPr>
              <w:pStyle w:val="TableHeaderCenter"/>
              <w:rPr>
                <w:b/>
                <w:sz w:val="16"/>
                <w:szCs w:val="16"/>
              </w:rPr>
            </w:pPr>
            <w:r>
              <w:rPr>
                <w:b/>
                <w:sz w:val="16"/>
                <w:szCs w:val="16"/>
              </w:rPr>
              <w:t>N</w:t>
            </w:r>
            <w:r w:rsidR="00C55B5A" w:rsidRPr="00C55B5A">
              <w:rPr>
                <w:b/>
                <w:sz w:val="16"/>
                <w:szCs w:val="16"/>
              </w:rPr>
              <w:t>umber of respondents</w:t>
            </w:r>
          </w:p>
        </w:tc>
        <w:tc>
          <w:tcPr>
            <w:tcW w:w="682" w:type="pct"/>
            <w:tcBorders>
              <w:bottom w:val="single" w:sz="8" w:space="0" w:color="FFFFFF" w:themeColor="background1"/>
            </w:tcBorders>
            <w:shd w:val="clear" w:color="auto" w:fill="6C6F70"/>
            <w:vAlign w:val="bottom"/>
          </w:tcPr>
          <w:p w14:paraId="6F503689" w14:textId="2B1AD96C" w:rsidR="00C55B5A" w:rsidRPr="00C55B5A" w:rsidRDefault="009461C5" w:rsidP="00E81197">
            <w:pPr>
              <w:pStyle w:val="TableHeaderCenter"/>
              <w:rPr>
                <w:b/>
                <w:sz w:val="16"/>
                <w:szCs w:val="16"/>
              </w:rPr>
            </w:pPr>
            <w:r>
              <w:rPr>
                <w:b/>
                <w:sz w:val="16"/>
                <w:szCs w:val="16"/>
              </w:rPr>
              <w:t>N</w:t>
            </w:r>
            <w:r w:rsidR="00E25E23" w:rsidRPr="00E25E23">
              <w:rPr>
                <w:b/>
                <w:sz w:val="16"/>
                <w:szCs w:val="16"/>
              </w:rPr>
              <w:t>umber of respons</w:t>
            </w:r>
            <w:r w:rsidR="00E81197">
              <w:rPr>
                <w:b/>
                <w:sz w:val="16"/>
                <w:szCs w:val="16"/>
              </w:rPr>
              <w:t>es</w:t>
            </w:r>
            <w:r>
              <w:rPr>
                <w:b/>
                <w:sz w:val="16"/>
                <w:szCs w:val="16"/>
              </w:rPr>
              <w:t xml:space="preserve"> per respondent</w:t>
            </w:r>
          </w:p>
        </w:tc>
        <w:tc>
          <w:tcPr>
            <w:tcW w:w="142" w:type="pct"/>
            <w:tcBorders>
              <w:bottom w:val="single" w:sz="8" w:space="0" w:color="FFFFFF" w:themeColor="background1"/>
            </w:tcBorders>
            <w:shd w:val="clear" w:color="auto" w:fill="6C6F70"/>
            <w:vAlign w:val="bottom"/>
          </w:tcPr>
          <w:p w14:paraId="734918C8" w14:textId="1984EB10" w:rsidR="00C55B5A" w:rsidRPr="00C55B5A" w:rsidRDefault="00C55B5A" w:rsidP="00EF6453">
            <w:pPr>
              <w:pStyle w:val="TableHeaderCenter"/>
              <w:rPr>
                <w:b/>
                <w:sz w:val="16"/>
                <w:szCs w:val="16"/>
              </w:rPr>
            </w:pPr>
          </w:p>
        </w:tc>
        <w:tc>
          <w:tcPr>
            <w:tcW w:w="808" w:type="pct"/>
            <w:tcBorders>
              <w:bottom w:val="single" w:sz="8" w:space="0" w:color="FFFFFF" w:themeColor="background1"/>
            </w:tcBorders>
            <w:shd w:val="clear" w:color="auto" w:fill="6C6F70"/>
            <w:vAlign w:val="bottom"/>
          </w:tcPr>
          <w:p w14:paraId="5648A9F7" w14:textId="0429CAB3" w:rsidR="00C55B5A" w:rsidRPr="00C55B5A" w:rsidRDefault="00C55B5A" w:rsidP="00EF6453">
            <w:pPr>
              <w:pStyle w:val="TableHeaderCenter"/>
              <w:rPr>
                <w:b/>
                <w:sz w:val="16"/>
                <w:szCs w:val="16"/>
              </w:rPr>
            </w:pPr>
            <w:r w:rsidRPr="00C55B5A">
              <w:rPr>
                <w:b/>
                <w:sz w:val="16"/>
                <w:szCs w:val="16"/>
              </w:rPr>
              <w:t>Average burden hours per response</w:t>
            </w:r>
          </w:p>
        </w:tc>
        <w:tc>
          <w:tcPr>
            <w:tcW w:w="616" w:type="pct"/>
            <w:tcBorders>
              <w:bottom w:val="single" w:sz="8" w:space="0" w:color="FFFFFF" w:themeColor="background1"/>
            </w:tcBorders>
            <w:shd w:val="clear" w:color="auto" w:fill="6C6F70"/>
            <w:vAlign w:val="bottom"/>
          </w:tcPr>
          <w:p w14:paraId="72182D17" w14:textId="6D6FB476" w:rsidR="00C55B5A" w:rsidRPr="00C55B5A" w:rsidRDefault="009461C5" w:rsidP="00EF6453">
            <w:pPr>
              <w:pStyle w:val="TableHeaderCenter"/>
              <w:rPr>
                <w:b/>
                <w:sz w:val="16"/>
                <w:szCs w:val="16"/>
              </w:rPr>
            </w:pPr>
            <w:r>
              <w:rPr>
                <w:b/>
                <w:sz w:val="16"/>
                <w:szCs w:val="16"/>
              </w:rPr>
              <w:t xml:space="preserve">Total </w:t>
            </w:r>
            <w:r w:rsidR="00C55B5A" w:rsidRPr="00C55B5A">
              <w:rPr>
                <w:b/>
                <w:sz w:val="16"/>
                <w:szCs w:val="16"/>
              </w:rPr>
              <w:t>burden hours</w:t>
            </w:r>
          </w:p>
        </w:tc>
        <w:tc>
          <w:tcPr>
            <w:tcW w:w="474" w:type="pct"/>
            <w:tcBorders>
              <w:bottom w:val="single" w:sz="8" w:space="0" w:color="FFFFFF" w:themeColor="background1"/>
            </w:tcBorders>
            <w:shd w:val="clear" w:color="auto" w:fill="6C6F70"/>
            <w:vAlign w:val="bottom"/>
          </w:tcPr>
          <w:p w14:paraId="2486AE6A" w14:textId="75554862" w:rsidR="00C55B5A" w:rsidRPr="00C55B5A" w:rsidRDefault="00C55B5A" w:rsidP="00EF6453">
            <w:pPr>
              <w:pStyle w:val="TableHeaderCenter"/>
              <w:rPr>
                <w:b/>
                <w:sz w:val="16"/>
                <w:szCs w:val="16"/>
              </w:rPr>
            </w:pPr>
            <w:r w:rsidRPr="00C55B5A">
              <w:rPr>
                <w:b/>
                <w:sz w:val="16"/>
                <w:szCs w:val="16"/>
              </w:rPr>
              <w:t>Average hourly wage</w:t>
            </w:r>
          </w:p>
        </w:tc>
        <w:tc>
          <w:tcPr>
            <w:tcW w:w="625" w:type="pct"/>
            <w:tcBorders>
              <w:bottom w:val="single" w:sz="8" w:space="0" w:color="FFFFFF" w:themeColor="background1"/>
            </w:tcBorders>
            <w:shd w:val="clear" w:color="auto" w:fill="6C6F70"/>
            <w:vAlign w:val="bottom"/>
          </w:tcPr>
          <w:p w14:paraId="5DDDD114" w14:textId="4A5EC05A" w:rsidR="00C55B5A" w:rsidRPr="00C55B5A" w:rsidRDefault="00C55B5A" w:rsidP="00EF6453">
            <w:pPr>
              <w:pStyle w:val="TableHeaderCenter"/>
              <w:rPr>
                <w:b/>
                <w:sz w:val="16"/>
                <w:szCs w:val="16"/>
              </w:rPr>
            </w:pPr>
            <w:r w:rsidRPr="00C55B5A">
              <w:rPr>
                <w:b/>
                <w:sz w:val="16"/>
                <w:szCs w:val="16"/>
              </w:rPr>
              <w:t>Total annual cost</w:t>
            </w:r>
          </w:p>
        </w:tc>
      </w:tr>
      <w:tr w:rsidR="00C55B5A" w:rsidRPr="00AA795E" w14:paraId="11E7ADA4" w14:textId="0C9E0111" w:rsidTr="00EE1735">
        <w:tc>
          <w:tcPr>
            <w:tcW w:w="972" w:type="pct"/>
            <w:vAlign w:val="center"/>
          </w:tcPr>
          <w:p w14:paraId="7FDC7208" w14:textId="3DF83920" w:rsidR="00C55B5A" w:rsidRPr="00C55B5A" w:rsidRDefault="00C55B5A" w:rsidP="00EF6453">
            <w:pPr>
              <w:pStyle w:val="TableText"/>
              <w:spacing w:before="60" w:after="60"/>
            </w:pPr>
            <w:proofErr w:type="spellStart"/>
            <w:r w:rsidRPr="00C55B5A">
              <w:t>Stakeholder</w:t>
            </w:r>
            <w:r w:rsidR="001508E4" w:rsidRPr="001904BE">
              <w:rPr>
                <w:vertAlign w:val="superscript"/>
              </w:rPr>
              <w:t>a</w:t>
            </w:r>
            <w:proofErr w:type="spellEnd"/>
            <w:r w:rsidRPr="00C55B5A">
              <w:t xml:space="preserve"> survey</w:t>
            </w:r>
          </w:p>
        </w:tc>
        <w:tc>
          <w:tcPr>
            <w:tcW w:w="681" w:type="pct"/>
            <w:vAlign w:val="center"/>
          </w:tcPr>
          <w:p w14:paraId="470FA17E" w14:textId="5E14E5E3" w:rsidR="00C55B5A" w:rsidRPr="00C55B5A" w:rsidRDefault="009461C5" w:rsidP="001904BE">
            <w:pPr>
              <w:pStyle w:val="TableText"/>
              <w:spacing w:before="60" w:after="60"/>
              <w:jc w:val="center"/>
            </w:pPr>
            <w:r>
              <w:t>233.33</w:t>
            </w:r>
          </w:p>
        </w:tc>
        <w:tc>
          <w:tcPr>
            <w:tcW w:w="682" w:type="pct"/>
            <w:vAlign w:val="center"/>
          </w:tcPr>
          <w:p w14:paraId="3DB33551" w14:textId="6898FBDC" w:rsidR="00C55B5A" w:rsidRPr="00C55B5A" w:rsidRDefault="00C55B5A" w:rsidP="001904BE">
            <w:pPr>
              <w:pStyle w:val="TableText"/>
              <w:spacing w:before="60" w:after="60"/>
              <w:jc w:val="center"/>
            </w:pPr>
            <w:r w:rsidRPr="00C55B5A">
              <w:t>1</w:t>
            </w:r>
          </w:p>
        </w:tc>
        <w:tc>
          <w:tcPr>
            <w:tcW w:w="142" w:type="pct"/>
            <w:vAlign w:val="center"/>
          </w:tcPr>
          <w:p w14:paraId="1F113666" w14:textId="69F71505" w:rsidR="00C55B5A" w:rsidRPr="00C55B5A" w:rsidRDefault="00C55B5A" w:rsidP="001904BE">
            <w:pPr>
              <w:pStyle w:val="TableText"/>
              <w:tabs>
                <w:tab w:val="decimal" w:pos="540"/>
              </w:tabs>
              <w:spacing w:before="60" w:after="60"/>
              <w:jc w:val="center"/>
            </w:pPr>
          </w:p>
        </w:tc>
        <w:tc>
          <w:tcPr>
            <w:tcW w:w="808" w:type="pct"/>
            <w:vAlign w:val="center"/>
          </w:tcPr>
          <w:p w14:paraId="7260B5F4" w14:textId="2400DF4D" w:rsidR="00C55B5A" w:rsidRPr="00C55B5A" w:rsidRDefault="00C55B5A" w:rsidP="001904BE">
            <w:pPr>
              <w:pStyle w:val="TableText"/>
              <w:spacing w:before="60" w:after="60"/>
              <w:jc w:val="center"/>
            </w:pPr>
            <w:r w:rsidRPr="00C55B5A">
              <w:t>.5</w:t>
            </w:r>
          </w:p>
        </w:tc>
        <w:tc>
          <w:tcPr>
            <w:tcW w:w="616" w:type="pct"/>
            <w:vAlign w:val="center"/>
          </w:tcPr>
          <w:p w14:paraId="249B9888" w14:textId="1A3DBE99" w:rsidR="00C55B5A" w:rsidRPr="00C55B5A" w:rsidRDefault="009461C5" w:rsidP="001904BE">
            <w:pPr>
              <w:pStyle w:val="TableText"/>
              <w:spacing w:before="60" w:after="60"/>
              <w:jc w:val="center"/>
            </w:pPr>
            <w:r>
              <w:t>116.67</w:t>
            </w:r>
          </w:p>
        </w:tc>
        <w:tc>
          <w:tcPr>
            <w:tcW w:w="474" w:type="pct"/>
            <w:vAlign w:val="center"/>
          </w:tcPr>
          <w:p w14:paraId="00376B75" w14:textId="2654F88B" w:rsidR="00C55B5A" w:rsidRPr="00C55B5A" w:rsidRDefault="00C55B5A" w:rsidP="001904BE">
            <w:pPr>
              <w:pStyle w:val="TableText"/>
              <w:spacing w:before="60" w:after="60"/>
              <w:jc w:val="center"/>
            </w:pPr>
            <w:r w:rsidRPr="00C55B5A">
              <w:t>$38.88</w:t>
            </w:r>
          </w:p>
        </w:tc>
        <w:tc>
          <w:tcPr>
            <w:tcW w:w="625" w:type="pct"/>
            <w:vAlign w:val="center"/>
          </w:tcPr>
          <w:p w14:paraId="69221702" w14:textId="201E9F9B" w:rsidR="00C55B5A" w:rsidRPr="00C55B5A" w:rsidRDefault="00C55B5A" w:rsidP="00EE1735">
            <w:pPr>
              <w:pStyle w:val="TableText"/>
              <w:spacing w:before="60" w:after="60"/>
              <w:jc w:val="center"/>
            </w:pPr>
            <w:r w:rsidRPr="00C55B5A">
              <w:t>$</w:t>
            </w:r>
            <w:r w:rsidR="003E07CB">
              <w:t>4</w:t>
            </w:r>
            <w:r w:rsidR="009461C5">
              <w:t>,</w:t>
            </w:r>
            <w:r w:rsidR="003E07CB">
              <w:t>536.13</w:t>
            </w:r>
          </w:p>
        </w:tc>
      </w:tr>
      <w:tr w:rsidR="00B63E74" w:rsidRPr="00AA795E" w14:paraId="2847CD42" w14:textId="77777777" w:rsidTr="00B72DCE">
        <w:tc>
          <w:tcPr>
            <w:tcW w:w="972" w:type="pct"/>
            <w:vAlign w:val="center"/>
          </w:tcPr>
          <w:p w14:paraId="581AAF8C" w14:textId="7EA09F33" w:rsidR="00B63E74" w:rsidRPr="00C55B5A" w:rsidRDefault="00B63E74" w:rsidP="00EF6453">
            <w:pPr>
              <w:pStyle w:val="TableText"/>
              <w:spacing w:before="60" w:after="60"/>
            </w:pPr>
            <w:r>
              <w:t>Stakeholder</w:t>
            </w:r>
            <w:r w:rsidR="001904BE">
              <w:t xml:space="preserve"> survey</w:t>
            </w:r>
            <w:r>
              <w:t xml:space="preserve"> recruitment</w:t>
            </w:r>
            <w:r w:rsidR="001904BE">
              <w:t xml:space="preserve"> email</w:t>
            </w:r>
          </w:p>
        </w:tc>
        <w:tc>
          <w:tcPr>
            <w:tcW w:w="681" w:type="pct"/>
            <w:vAlign w:val="center"/>
          </w:tcPr>
          <w:p w14:paraId="12CD7B55" w14:textId="06FB0830" w:rsidR="00B63E74" w:rsidRDefault="00B63E74" w:rsidP="00B72DCE">
            <w:pPr>
              <w:pStyle w:val="TableText"/>
              <w:spacing w:before="60" w:after="60"/>
              <w:jc w:val="center"/>
            </w:pPr>
            <w:r w:rsidRPr="00B63E74">
              <w:t>233.33</w:t>
            </w:r>
          </w:p>
        </w:tc>
        <w:tc>
          <w:tcPr>
            <w:tcW w:w="682" w:type="pct"/>
            <w:vAlign w:val="center"/>
          </w:tcPr>
          <w:p w14:paraId="70012DD0" w14:textId="4F22DA4A" w:rsidR="00B63E74" w:rsidRPr="00C55B5A" w:rsidRDefault="00B63E74" w:rsidP="00B72DCE">
            <w:pPr>
              <w:pStyle w:val="TableText"/>
              <w:spacing w:before="60" w:after="60"/>
              <w:jc w:val="center"/>
            </w:pPr>
            <w:r>
              <w:t>1</w:t>
            </w:r>
          </w:p>
        </w:tc>
        <w:tc>
          <w:tcPr>
            <w:tcW w:w="142" w:type="pct"/>
            <w:vAlign w:val="center"/>
          </w:tcPr>
          <w:p w14:paraId="78477EC4" w14:textId="569D323F" w:rsidR="00B63E74" w:rsidRPr="00C55B5A" w:rsidRDefault="00B63E74" w:rsidP="00B72DCE">
            <w:pPr>
              <w:pStyle w:val="TableText"/>
              <w:tabs>
                <w:tab w:val="decimal" w:pos="540"/>
              </w:tabs>
              <w:spacing w:before="60" w:after="60"/>
              <w:jc w:val="center"/>
            </w:pPr>
          </w:p>
        </w:tc>
        <w:tc>
          <w:tcPr>
            <w:tcW w:w="808" w:type="pct"/>
            <w:vAlign w:val="center"/>
          </w:tcPr>
          <w:p w14:paraId="69D72F4B" w14:textId="4EAD4374" w:rsidR="00B63E74" w:rsidRPr="00C55B5A" w:rsidRDefault="00B63E74" w:rsidP="00B72DCE">
            <w:pPr>
              <w:pStyle w:val="TableText"/>
              <w:spacing w:before="60" w:after="60"/>
              <w:jc w:val="center"/>
            </w:pPr>
            <w:r>
              <w:t>.05</w:t>
            </w:r>
          </w:p>
        </w:tc>
        <w:tc>
          <w:tcPr>
            <w:tcW w:w="616" w:type="pct"/>
            <w:vAlign w:val="center"/>
          </w:tcPr>
          <w:p w14:paraId="7F3E4774" w14:textId="6D128912" w:rsidR="00B63E74" w:rsidRDefault="00B63E74" w:rsidP="00B72DCE">
            <w:pPr>
              <w:pStyle w:val="TableText"/>
              <w:spacing w:before="60" w:after="60"/>
              <w:jc w:val="center"/>
            </w:pPr>
            <w:r>
              <w:t>11.67</w:t>
            </w:r>
          </w:p>
        </w:tc>
        <w:tc>
          <w:tcPr>
            <w:tcW w:w="474" w:type="pct"/>
            <w:vAlign w:val="center"/>
          </w:tcPr>
          <w:p w14:paraId="13482CF9" w14:textId="30079A9B" w:rsidR="00B63E74" w:rsidRPr="00C55B5A" w:rsidRDefault="00B63E74" w:rsidP="00B72DCE">
            <w:pPr>
              <w:pStyle w:val="TableText"/>
              <w:spacing w:before="60" w:after="60"/>
              <w:jc w:val="center"/>
            </w:pPr>
            <w:r>
              <w:t>$38.88</w:t>
            </w:r>
          </w:p>
        </w:tc>
        <w:tc>
          <w:tcPr>
            <w:tcW w:w="625" w:type="pct"/>
            <w:vAlign w:val="center"/>
          </w:tcPr>
          <w:p w14:paraId="52F1FB70" w14:textId="1BBA361E" w:rsidR="00B63E74" w:rsidRPr="00C55B5A" w:rsidRDefault="001904BE" w:rsidP="00B72DCE">
            <w:pPr>
              <w:pStyle w:val="TableText"/>
              <w:spacing w:before="60" w:after="60"/>
              <w:jc w:val="center"/>
            </w:pPr>
            <w:r>
              <w:t>$453.73</w:t>
            </w:r>
          </w:p>
        </w:tc>
      </w:tr>
      <w:tr w:rsidR="00C55B5A" w:rsidRPr="00AA795E" w14:paraId="4BC31B5C" w14:textId="5BD987B6" w:rsidTr="00B72DCE">
        <w:tc>
          <w:tcPr>
            <w:tcW w:w="972" w:type="pct"/>
            <w:vAlign w:val="center"/>
          </w:tcPr>
          <w:p w14:paraId="7FFD2A78" w14:textId="737CB8E3" w:rsidR="00C55B5A" w:rsidRPr="00C55B5A" w:rsidRDefault="00C55B5A" w:rsidP="00EF6453">
            <w:pPr>
              <w:pStyle w:val="TableText"/>
              <w:spacing w:before="60" w:after="60"/>
            </w:pPr>
            <w:r w:rsidRPr="00C55B5A">
              <w:t>Stakeholder</w:t>
            </w:r>
            <w:r w:rsidR="00242980">
              <w:t xml:space="preserve"> telephone</w:t>
            </w:r>
            <w:r w:rsidRPr="00C55B5A">
              <w:t xml:space="preserve"> </w:t>
            </w:r>
            <w:r w:rsidR="00E25E23" w:rsidRPr="00E25E23">
              <w:t>interviews</w:t>
            </w:r>
          </w:p>
        </w:tc>
        <w:tc>
          <w:tcPr>
            <w:tcW w:w="681" w:type="pct"/>
            <w:vAlign w:val="center"/>
          </w:tcPr>
          <w:p w14:paraId="2E532FC9" w14:textId="02391D81" w:rsidR="00C55B5A" w:rsidRPr="00C55B5A" w:rsidRDefault="009461C5" w:rsidP="00B72DCE">
            <w:pPr>
              <w:pStyle w:val="TableText"/>
              <w:spacing w:before="60" w:after="60"/>
              <w:jc w:val="center"/>
            </w:pPr>
            <w:r>
              <w:t>50</w:t>
            </w:r>
          </w:p>
        </w:tc>
        <w:tc>
          <w:tcPr>
            <w:tcW w:w="682" w:type="pct"/>
            <w:vAlign w:val="center"/>
          </w:tcPr>
          <w:p w14:paraId="485D04F7" w14:textId="1CF91340" w:rsidR="00C55B5A" w:rsidRPr="00C55B5A" w:rsidRDefault="00C55B5A" w:rsidP="00B72DCE">
            <w:pPr>
              <w:pStyle w:val="TableText"/>
              <w:spacing w:before="60" w:after="60"/>
              <w:jc w:val="center"/>
            </w:pPr>
            <w:r w:rsidRPr="00C55B5A">
              <w:t>1</w:t>
            </w:r>
          </w:p>
        </w:tc>
        <w:tc>
          <w:tcPr>
            <w:tcW w:w="142" w:type="pct"/>
            <w:vAlign w:val="center"/>
          </w:tcPr>
          <w:p w14:paraId="3394547E" w14:textId="540EF1CC" w:rsidR="00C55B5A" w:rsidRPr="00C55B5A" w:rsidRDefault="00C55B5A" w:rsidP="00B72DCE">
            <w:pPr>
              <w:pStyle w:val="TableText"/>
              <w:tabs>
                <w:tab w:val="decimal" w:pos="540"/>
              </w:tabs>
              <w:spacing w:before="60" w:after="60"/>
              <w:jc w:val="center"/>
            </w:pPr>
          </w:p>
        </w:tc>
        <w:tc>
          <w:tcPr>
            <w:tcW w:w="808" w:type="pct"/>
            <w:vAlign w:val="center"/>
          </w:tcPr>
          <w:p w14:paraId="5C7A3AAA" w14:textId="125B6CA8" w:rsidR="00C55B5A" w:rsidRPr="00C55B5A" w:rsidRDefault="00C55B5A" w:rsidP="00B72DCE">
            <w:pPr>
              <w:pStyle w:val="TableText"/>
              <w:spacing w:before="60" w:after="60"/>
              <w:jc w:val="center"/>
            </w:pPr>
            <w:r w:rsidRPr="00C55B5A">
              <w:t>1.0</w:t>
            </w:r>
          </w:p>
        </w:tc>
        <w:tc>
          <w:tcPr>
            <w:tcW w:w="616" w:type="pct"/>
            <w:vAlign w:val="center"/>
          </w:tcPr>
          <w:p w14:paraId="43382D21" w14:textId="61D8AF98" w:rsidR="00C55B5A" w:rsidRPr="00C55B5A" w:rsidRDefault="009461C5" w:rsidP="00B72DCE">
            <w:pPr>
              <w:pStyle w:val="TableText"/>
              <w:spacing w:before="60" w:after="60"/>
              <w:jc w:val="center"/>
            </w:pPr>
            <w:r>
              <w:t>50</w:t>
            </w:r>
          </w:p>
        </w:tc>
        <w:tc>
          <w:tcPr>
            <w:tcW w:w="474" w:type="pct"/>
            <w:vAlign w:val="center"/>
          </w:tcPr>
          <w:p w14:paraId="5D2826ED" w14:textId="15D41FD0" w:rsidR="00C55B5A" w:rsidRPr="00C55B5A" w:rsidRDefault="00C55B5A" w:rsidP="00B72DCE">
            <w:pPr>
              <w:pStyle w:val="TableText"/>
              <w:spacing w:before="60" w:after="60"/>
              <w:jc w:val="center"/>
            </w:pPr>
            <w:r w:rsidRPr="00C55B5A">
              <w:t>$38.88</w:t>
            </w:r>
          </w:p>
        </w:tc>
        <w:tc>
          <w:tcPr>
            <w:tcW w:w="625" w:type="pct"/>
            <w:vAlign w:val="center"/>
          </w:tcPr>
          <w:p w14:paraId="686A2710" w14:textId="4012C29B" w:rsidR="00C55B5A" w:rsidRPr="00C55B5A" w:rsidRDefault="00C55B5A" w:rsidP="00B72DCE">
            <w:pPr>
              <w:pStyle w:val="TableText"/>
              <w:spacing w:before="60" w:after="60"/>
              <w:jc w:val="center"/>
            </w:pPr>
            <w:r w:rsidRPr="00C55B5A">
              <w:t>$</w:t>
            </w:r>
            <w:r w:rsidR="003E07CB">
              <w:t>1</w:t>
            </w:r>
            <w:r w:rsidR="009461C5">
              <w:t>,</w:t>
            </w:r>
            <w:r w:rsidR="003E07CB">
              <w:t>944</w:t>
            </w:r>
          </w:p>
        </w:tc>
      </w:tr>
      <w:tr w:rsidR="001904BE" w:rsidRPr="00AA795E" w14:paraId="4764EBDB" w14:textId="77777777" w:rsidTr="00EE1735">
        <w:tc>
          <w:tcPr>
            <w:tcW w:w="972" w:type="pct"/>
            <w:vAlign w:val="center"/>
          </w:tcPr>
          <w:p w14:paraId="08182730" w14:textId="05B90BE6" w:rsidR="001904BE" w:rsidRPr="00C55B5A" w:rsidRDefault="001904BE" w:rsidP="001904BE">
            <w:pPr>
              <w:pStyle w:val="TableText"/>
              <w:spacing w:before="60" w:after="60"/>
            </w:pPr>
            <w:r>
              <w:t>Stakeholder telephone interviews recruitment email</w:t>
            </w:r>
          </w:p>
        </w:tc>
        <w:tc>
          <w:tcPr>
            <w:tcW w:w="681" w:type="pct"/>
            <w:vAlign w:val="center"/>
          </w:tcPr>
          <w:p w14:paraId="21A417DC" w14:textId="03451216" w:rsidR="001904BE" w:rsidRDefault="001904BE" w:rsidP="001904BE">
            <w:pPr>
              <w:pStyle w:val="TableText"/>
              <w:spacing w:before="60" w:after="60"/>
              <w:jc w:val="center"/>
            </w:pPr>
            <w:r>
              <w:t>50</w:t>
            </w:r>
          </w:p>
        </w:tc>
        <w:tc>
          <w:tcPr>
            <w:tcW w:w="682" w:type="pct"/>
            <w:vAlign w:val="center"/>
          </w:tcPr>
          <w:p w14:paraId="2F3407F9" w14:textId="0BD37970" w:rsidR="001904BE" w:rsidRPr="00C55B5A" w:rsidRDefault="001904BE" w:rsidP="001904BE">
            <w:pPr>
              <w:pStyle w:val="TableText"/>
              <w:spacing w:before="60" w:after="60"/>
              <w:jc w:val="center"/>
            </w:pPr>
            <w:r w:rsidRPr="00C55B5A">
              <w:t>1</w:t>
            </w:r>
          </w:p>
        </w:tc>
        <w:tc>
          <w:tcPr>
            <w:tcW w:w="142" w:type="pct"/>
            <w:vAlign w:val="center"/>
          </w:tcPr>
          <w:p w14:paraId="7A22A602" w14:textId="77777777" w:rsidR="001904BE" w:rsidRPr="00C55B5A" w:rsidRDefault="001904BE" w:rsidP="001904BE">
            <w:pPr>
              <w:pStyle w:val="TableText"/>
              <w:tabs>
                <w:tab w:val="decimal" w:pos="540"/>
              </w:tabs>
              <w:spacing w:before="60" w:after="60"/>
              <w:jc w:val="center"/>
            </w:pPr>
          </w:p>
        </w:tc>
        <w:tc>
          <w:tcPr>
            <w:tcW w:w="808" w:type="pct"/>
            <w:vAlign w:val="center"/>
          </w:tcPr>
          <w:p w14:paraId="1E4790AB" w14:textId="3A26775B" w:rsidR="001904BE" w:rsidRPr="00C55B5A" w:rsidRDefault="001904BE" w:rsidP="001904BE">
            <w:pPr>
              <w:pStyle w:val="TableText"/>
              <w:spacing w:before="60" w:after="60"/>
              <w:jc w:val="center"/>
            </w:pPr>
            <w:r>
              <w:t>.05</w:t>
            </w:r>
          </w:p>
        </w:tc>
        <w:tc>
          <w:tcPr>
            <w:tcW w:w="616" w:type="pct"/>
            <w:vAlign w:val="center"/>
          </w:tcPr>
          <w:p w14:paraId="3A85A000" w14:textId="384AAF7B" w:rsidR="001904BE" w:rsidRDefault="001904BE" w:rsidP="001904BE">
            <w:pPr>
              <w:pStyle w:val="TableText"/>
              <w:spacing w:before="60" w:after="60"/>
              <w:jc w:val="center"/>
            </w:pPr>
            <w:r>
              <w:t>2.5</w:t>
            </w:r>
          </w:p>
        </w:tc>
        <w:tc>
          <w:tcPr>
            <w:tcW w:w="474" w:type="pct"/>
            <w:vAlign w:val="center"/>
          </w:tcPr>
          <w:p w14:paraId="3357FC76" w14:textId="2C1F7F9C" w:rsidR="001904BE" w:rsidRPr="00C55B5A" w:rsidRDefault="00EE1735" w:rsidP="001904BE">
            <w:pPr>
              <w:pStyle w:val="TableText"/>
              <w:spacing w:before="60" w:after="60"/>
              <w:jc w:val="center"/>
            </w:pPr>
            <w:r>
              <w:t>$38.88</w:t>
            </w:r>
          </w:p>
        </w:tc>
        <w:tc>
          <w:tcPr>
            <w:tcW w:w="625" w:type="pct"/>
            <w:vAlign w:val="center"/>
          </w:tcPr>
          <w:p w14:paraId="517D1A40" w14:textId="5BBC5030" w:rsidR="001904BE" w:rsidRPr="00C55B5A" w:rsidRDefault="001904BE" w:rsidP="00EE1735">
            <w:pPr>
              <w:pStyle w:val="TableText"/>
              <w:spacing w:before="60" w:after="60"/>
              <w:jc w:val="center"/>
            </w:pPr>
            <w:r w:rsidRPr="00C55B5A">
              <w:t>$</w:t>
            </w:r>
            <w:r w:rsidR="00EE1735">
              <w:t>97.20</w:t>
            </w:r>
          </w:p>
        </w:tc>
      </w:tr>
      <w:tr w:rsidR="00C55B5A" w:rsidRPr="00AA795E" w14:paraId="136EA4B4" w14:textId="4B699044" w:rsidTr="00B72DCE">
        <w:tc>
          <w:tcPr>
            <w:tcW w:w="3285" w:type="pct"/>
            <w:gridSpan w:val="5"/>
            <w:tcBorders>
              <w:top w:val="single" w:sz="4" w:space="0" w:color="auto"/>
              <w:bottom w:val="single" w:sz="8" w:space="0" w:color="000000" w:themeColor="text1"/>
            </w:tcBorders>
          </w:tcPr>
          <w:p w14:paraId="430E435C" w14:textId="3B0A16E1" w:rsidR="00C55B5A" w:rsidRPr="00AA795E" w:rsidRDefault="00C55B5A" w:rsidP="009461C5">
            <w:pPr>
              <w:pStyle w:val="TableText"/>
              <w:spacing w:before="60" w:after="60"/>
            </w:pPr>
            <w:r>
              <w:t xml:space="preserve">Estimated </w:t>
            </w:r>
            <w:r w:rsidR="009461C5">
              <w:t>total annual burden</w:t>
            </w:r>
          </w:p>
        </w:tc>
        <w:tc>
          <w:tcPr>
            <w:tcW w:w="616" w:type="pct"/>
            <w:tcBorders>
              <w:top w:val="single" w:sz="4" w:space="0" w:color="auto"/>
              <w:bottom w:val="single" w:sz="8" w:space="0" w:color="000000" w:themeColor="text1"/>
            </w:tcBorders>
          </w:tcPr>
          <w:p w14:paraId="2BD0596B" w14:textId="24022927" w:rsidR="00C55B5A" w:rsidRDefault="00650DBC" w:rsidP="00B72DCE">
            <w:pPr>
              <w:pStyle w:val="TableText"/>
              <w:spacing w:before="60" w:after="60"/>
            </w:pPr>
            <w:r>
              <w:t xml:space="preserve"> </w:t>
            </w:r>
            <w:r w:rsidR="00EE1735">
              <w:t>18</w:t>
            </w:r>
            <w:r w:rsidR="00243CBF">
              <w:t>0</w:t>
            </w:r>
            <w:r w:rsidR="00EE1735">
              <w:t>.8</w:t>
            </w:r>
            <w:r w:rsidR="00243CBF">
              <w:t>7</w:t>
            </w:r>
          </w:p>
        </w:tc>
        <w:tc>
          <w:tcPr>
            <w:tcW w:w="474" w:type="pct"/>
            <w:tcBorders>
              <w:top w:val="single" w:sz="4" w:space="0" w:color="auto"/>
              <w:bottom w:val="single" w:sz="8" w:space="0" w:color="000000" w:themeColor="text1"/>
            </w:tcBorders>
          </w:tcPr>
          <w:p w14:paraId="73033A1B" w14:textId="77777777" w:rsidR="00C55B5A" w:rsidRDefault="00C55B5A" w:rsidP="00EF6453">
            <w:pPr>
              <w:pStyle w:val="TableText"/>
              <w:spacing w:before="60" w:after="60"/>
            </w:pPr>
          </w:p>
        </w:tc>
        <w:tc>
          <w:tcPr>
            <w:tcW w:w="625" w:type="pct"/>
            <w:tcBorders>
              <w:top w:val="single" w:sz="4" w:space="0" w:color="auto"/>
              <w:bottom w:val="single" w:sz="8" w:space="0" w:color="000000" w:themeColor="text1"/>
            </w:tcBorders>
          </w:tcPr>
          <w:p w14:paraId="5DD90EA6" w14:textId="609ACA92" w:rsidR="00C55B5A" w:rsidRDefault="00EE1735" w:rsidP="00243CBF">
            <w:pPr>
              <w:pStyle w:val="TableText"/>
              <w:spacing w:before="60" w:after="60"/>
            </w:pPr>
            <w:r>
              <w:t>$7,</w:t>
            </w:r>
            <w:r w:rsidR="00243CBF">
              <w:t>031.06</w:t>
            </w:r>
          </w:p>
        </w:tc>
      </w:tr>
    </w:tbl>
    <w:p w14:paraId="602E0382" w14:textId="50E3A9C8" w:rsidR="00A12E07" w:rsidRPr="00307ED4" w:rsidRDefault="001508E4" w:rsidP="001508E4">
      <w:pPr>
        <w:pStyle w:val="NormalSS"/>
        <w:spacing w:after="0"/>
        <w:ind w:firstLine="0"/>
        <w:rPr>
          <w:sz w:val="20"/>
        </w:rPr>
      </w:pPr>
      <w:proofErr w:type="spellStart"/>
      <w:proofErr w:type="gramStart"/>
      <w:r w:rsidRPr="00307ED4">
        <w:rPr>
          <w:sz w:val="20"/>
          <w:vertAlign w:val="superscript"/>
        </w:rPr>
        <w:t>a</w:t>
      </w:r>
      <w:r w:rsidRPr="00307ED4">
        <w:rPr>
          <w:sz w:val="20"/>
        </w:rPr>
        <w:t>Stakeholders</w:t>
      </w:r>
      <w:proofErr w:type="spellEnd"/>
      <w:proofErr w:type="gramEnd"/>
      <w:r w:rsidRPr="00307ED4">
        <w:rPr>
          <w:sz w:val="20"/>
        </w:rPr>
        <w:t xml:space="preserve"> include regional T/TA specialists, implementation planners and fiscal consultants, CCDF administrators, and Head Start state and national collaboration office directors. Each stakeholder will receive the same survey and telephone interview regardless of role, thus the burden and cost estimates apply to all stakeholders.</w:t>
      </w:r>
    </w:p>
    <w:p w14:paraId="76B4537E" w14:textId="77777777" w:rsidR="001508E4" w:rsidRPr="00A12E07" w:rsidRDefault="001508E4" w:rsidP="00EF6453">
      <w:pPr>
        <w:pStyle w:val="NormalSS"/>
        <w:spacing w:after="0"/>
      </w:pPr>
    </w:p>
    <w:p w14:paraId="0EAB84A4" w14:textId="77777777" w:rsidR="0089709E" w:rsidRPr="00636EF3" w:rsidRDefault="0089709E" w:rsidP="00EF6453">
      <w:pPr>
        <w:pStyle w:val="H4Number"/>
      </w:pPr>
      <w:bookmarkStart w:id="22" w:name="_Toc423425567"/>
      <w:r>
        <w:t>B.</w:t>
      </w:r>
      <w:r>
        <w:tab/>
        <w:t>Total annual c</w:t>
      </w:r>
      <w:r w:rsidRPr="00636EF3">
        <w:t>ost</w:t>
      </w:r>
      <w:bookmarkEnd w:id="22"/>
    </w:p>
    <w:p w14:paraId="5D707102" w14:textId="0BB216D6" w:rsidR="00B16FAF" w:rsidRPr="006B4A92" w:rsidRDefault="0089709E" w:rsidP="00B61606">
      <w:pPr>
        <w:pStyle w:val="NormalSS"/>
      </w:pPr>
      <w:r w:rsidRPr="00FF115E">
        <w:t xml:space="preserve">Average </w:t>
      </w:r>
      <w:r w:rsidRPr="00F833AC">
        <w:t>hourly wage estimates for deriving total annual costs are based on data from the Bureau of Labor Statistics, Current Employment Statistics Survey (2013). For each instrument included in Table A</w:t>
      </w:r>
      <w:r w:rsidRPr="00AB6E5F">
        <w:t>.</w:t>
      </w:r>
      <w:r w:rsidR="00C55B5A" w:rsidRPr="00B61606">
        <w:t>2</w:t>
      </w:r>
      <w:r w:rsidRPr="00AB6E5F">
        <w:t>,</w:t>
      </w:r>
      <w:r w:rsidRPr="00F833AC">
        <w:t xml:space="preserve"> we calculated the total annual cost by multiplying the annual burden hours by the average ho</w:t>
      </w:r>
      <w:r w:rsidRPr="00DA4225">
        <w:t xml:space="preserve">urly wage. </w:t>
      </w:r>
      <w:r w:rsidRPr="00FF115E">
        <w:t xml:space="preserve">For </w:t>
      </w:r>
      <w:r w:rsidR="00AD7CD8">
        <w:t>stakeholders</w:t>
      </w:r>
      <w:r w:rsidRPr="00FF115E">
        <w:t xml:space="preserve">, we used the median weekly salary for full-time employees over the age of 25 with a degree higher than a bachelor’s degree ($38.88 per hour). </w:t>
      </w:r>
      <w:r w:rsidR="00E25E23" w:rsidRPr="00E25E23">
        <w:t xml:space="preserve">The total estimated annual burden time is </w:t>
      </w:r>
      <w:r w:rsidR="009461C5">
        <w:t>116.67</w:t>
      </w:r>
      <w:r w:rsidR="00E25E23" w:rsidRPr="00E25E23">
        <w:t xml:space="preserve"> hours annually for </w:t>
      </w:r>
      <w:r w:rsidR="003068A9">
        <w:t>the s</w:t>
      </w:r>
      <w:r w:rsidR="00E25E23" w:rsidRPr="00E25E23">
        <w:t xml:space="preserve">takeholder survey and </w:t>
      </w:r>
      <w:r w:rsidR="009461C5">
        <w:t>50</w:t>
      </w:r>
      <w:r w:rsidR="00E25E23" w:rsidRPr="00E25E23">
        <w:t xml:space="preserve"> hours annually for </w:t>
      </w:r>
      <w:r w:rsidR="003068A9">
        <w:t>the s</w:t>
      </w:r>
      <w:r w:rsidR="00E25E23" w:rsidRPr="00E25E23">
        <w:t>takeholder</w:t>
      </w:r>
      <w:r w:rsidR="00160421">
        <w:t xml:space="preserve"> telephone</w:t>
      </w:r>
      <w:r w:rsidR="00E25E23" w:rsidRPr="00E25E23">
        <w:t xml:space="preserve"> interviews. The total annual cost is $</w:t>
      </w:r>
      <w:r w:rsidR="009461C5" w:rsidRPr="009461C5">
        <w:t>4,536.13</w:t>
      </w:r>
      <w:r w:rsidR="009461C5">
        <w:t xml:space="preserve"> </w:t>
      </w:r>
      <w:r w:rsidR="00E25E23" w:rsidRPr="00E25E23">
        <w:t xml:space="preserve">for </w:t>
      </w:r>
      <w:r w:rsidR="003068A9">
        <w:t>the s</w:t>
      </w:r>
      <w:r w:rsidR="00E25E23" w:rsidRPr="00E25E23">
        <w:t>takeholder survey, and $</w:t>
      </w:r>
      <w:r w:rsidR="009461C5" w:rsidRPr="009461C5">
        <w:t>1,944</w:t>
      </w:r>
      <w:r w:rsidR="009461C5">
        <w:t xml:space="preserve"> </w:t>
      </w:r>
      <w:r w:rsidR="00E25E23" w:rsidRPr="00E25E23">
        <w:t xml:space="preserve">for </w:t>
      </w:r>
      <w:r w:rsidR="003068A9">
        <w:t>the s</w:t>
      </w:r>
      <w:r w:rsidR="00E25E23" w:rsidRPr="00E25E23">
        <w:t>takeholder</w:t>
      </w:r>
      <w:r w:rsidR="00160421">
        <w:t xml:space="preserve"> telephone</w:t>
      </w:r>
      <w:r w:rsidR="00E25E23" w:rsidRPr="00E25E23">
        <w:t xml:space="preserve"> interviews.</w:t>
      </w:r>
      <w:r w:rsidR="00E25E23">
        <w:t xml:space="preserve"> </w:t>
      </w:r>
    </w:p>
    <w:p w14:paraId="0FAB5160" w14:textId="6554FE72" w:rsidR="00A8484A" w:rsidRDefault="00667A13" w:rsidP="00EF6453">
      <w:pPr>
        <w:pStyle w:val="H3Alpha"/>
      </w:pPr>
      <w:bookmarkStart w:id="23" w:name="_Toc423425568"/>
      <w:r>
        <w:t>A</w:t>
      </w:r>
      <w:r w:rsidR="008936ED">
        <w:t xml:space="preserve">13. </w:t>
      </w:r>
      <w:r w:rsidR="00267D51">
        <w:t>Cost burden to respondents or record keepers</w:t>
      </w:r>
      <w:bookmarkEnd w:id="23"/>
    </w:p>
    <w:p w14:paraId="3A5D9BA1" w14:textId="524F7757" w:rsidR="00A8484A" w:rsidRPr="004F2F7A" w:rsidRDefault="00660907" w:rsidP="00392A97">
      <w:pPr>
        <w:pStyle w:val="NormalSS"/>
      </w:pPr>
      <w:r>
        <w:t xml:space="preserve">There are no additional costs to respondents. </w:t>
      </w:r>
    </w:p>
    <w:p w14:paraId="34283B77" w14:textId="3CA29762" w:rsidR="00A8484A" w:rsidRDefault="00667A13" w:rsidP="00EF6453">
      <w:pPr>
        <w:pStyle w:val="H3Alpha"/>
        <w:rPr>
          <w:b/>
        </w:rPr>
      </w:pPr>
      <w:bookmarkStart w:id="24" w:name="_Toc423425569"/>
      <w:r>
        <w:t>A</w:t>
      </w:r>
      <w:r w:rsidR="00A8484A">
        <w:t>14</w:t>
      </w:r>
      <w:r w:rsidR="004F2F7A">
        <w:t>.</w:t>
      </w:r>
      <w:r w:rsidR="008936ED">
        <w:t xml:space="preserve"> </w:t>
      </w:r>
      <w:r w:rsidR="00267D51" w:rsidRPr="00267D51">
        <w:t>Estimate of cost to the federal government</w:t>
      </w:r>
      <w:bookmarkEnd w:id="24"/>
    </w:p>
    <w:p w14:paraId="2FC2C5C6" w14:textId="4A3E1848" w:rsidR="00F80E78" w:rsidRPr="00F80E78" w:rsidRDefault="00660907" w:rsidP="00B61606">
      <w:pPr>
        <w:spacing w:after="240" w:line="240" w:lineRule="auto"/>
        <w:ind w:left="187"/>
      </w:pPr>
      <w:r w:rsidRPr="00BB2157">
        <w:t>The total cost for the</w:t>
      </w:r>
      <w:r>
        <w:t xml:space="preserve"> data collection activities under this current request </w:t>
      </w:r>
      <w:r w:rsidRPr="00BB2157">
        <w:t xml:space="preserve">will </w:t>
      </w:r>
      <w:r w:rsidRPr="001061C5">
        <w:t>be $</w:t>
      </w:r>
      <w:r w:rsidR="006526BD">
        <w:t>1</w:t>
      </w:r>
      <w:r w:rsidR="00345505">
        <w:t>.</w:t>
      </w:r>
      <w:r w:rsidR="006526BD">
        <w:t>2</w:t>
      </w:r>
      <w:r w:rsidR="00345505">
        <w:t xml:space="preserve"> million</w:t>
      </w:r>
      <w:r>
        <w:t xml:space="preserve">. Annual costs to the </w:t>
      </w:r>
      <w:r w:rsidR="00A75C35">
        <w:t>f</w:t>
      </w:r>
      <w:r>
        <w:t>ederal government will be $</w:t>
      </w:r>
      <w:r w:rsidR="006526BD">
        <w:t>300,000</w:t>
      </w:r>
      <w:r>
        <w:t xml:space="preserve"> for the proposed data collection. </w:t>
      </w:r>
    </w:p>
    <w:p w14:paraId="30629E0E" w14:textId="56FFE716" w:rsidR="00A8484A" w:rsidRDefault="00667A13" w:rsidP="00EF6453">
      <w:pPr>
        <w:pStyle w:val="H3Alpha"/>
      </w:pPr>
      <w:bookmarkStart w:id="25" w:name="_Toc423425570"/>
      <w:r>
        <w:lastRenderedPageBreak/>
        <w:t>A</w:t>
      </w:r>
      <w:r w:rsidR="004F2F7A">
        <w:t>15.</w:t>
      </w:r>
      <w:r w:rsidR="008936ED">
        <w:t xml:space="preserve"> </w:t>
      </w:r>
      <w:r w:rsidR="00267D51">
        <w:t>Change in b</w:t>
      </w:r>
      <w:r w:rsidR="00AF419A" w:rsidRPr="0072204D">
        <w:t>urden</w:t>
      </w:r>
      <w:bookmarkEnd w:id="25"/>
    </w:p>
    <w:p w14:paraId="525654BA" w14:textId="065C892F" w:rsidR="00A8484A" w:rsidRPr="004F2F7A" w:rsidRDefault="00C23389" w:rsidP="00392A97">
      <w:pPr>
        <w:pStyle w:val="NormalSS"/>
      </w:pPr>
      <w:r>
        <w:t xml:space="preserve">This is a new data collection. </w:t>
      </w:r>
    </w:p>
    <w:p w14:paraId="54FD5503" w14:textId="6C63FD03" w:rsidR="00A8484A" w:rsidRPr="00BE31CD" w:rsidRDefault="00667A13" w:rsidP="00EF6453">
      <w:pPr>
        <w:pStyle w:val="H3Alpha"/>
        <w:tabs>
          <w:tab w:val="clear" w:pos="432"/>
        </w:tabs>
        <w:ind w:left="630" w:hanging="630"/>
      </w:pPr>
      <w:bookmarkStart w:id="26" w:name="_Toc423425571"/>
      <w:r w:rsidRPr="00BE31CD">
        <w:t>A</w:t>
      </w:r>
      <w:r w:rsidR="00A8484A" w:rsidRPr="00BE31CD">
        <w:t>1</w:t>
      </w:r>
      <w:r w:rsidR="004F2F7A" w:rsidRPr="00BE31CD">
        <w:t>6.</w:t>
      </w:r>
      <w:r w:rsidR="008936ED" w:rsidRPr="00BE31CD">
        <w:t xml:space="preserve"> </w:t>
      </w:r>
      <w:r w:rsidR="00267D51" w:rsidRPr="00BE31CD">
        <w:t>Plan and time schedule for information collection, tabulation, and publication</w:t>
      </w:r>
      <w:bookmarkEnd w:id="26"/>
    </w:p>
    <w:p w14:paraId="543479EC" w14:textId="1C5DF680" w:rsidR="00A8484A" w:rsidRPr="00F833AC" w:rsidRDefault="00E1554D" w:rsidP="00EF6453">
      <w:pPr>
        <w:pStyle w:val="H4Number"/>
      </w:pPr>
      <w:bookmarkStart w:id="27" w:name="_Toc423425573"/>
      <w:r>
        <w:t>A</w:t>
      </w:r>
      <w:r w:rsidR="004F2F7A">
        <w:t>.</w:t>
      </w:r>
      <w:r w:rsidR="004F2F7A">
        <w:tab/>
        <w:t xml:space="preserve">Time </w:t>
      </w:r>
      <w:r w:rsidR="00267D51">
        <w:t>s</w:t>
      </w:r>
      <w:r w:rsidR="004F2F7A">
        <w:t xml:space="preserve">chedule and </w:t>
      </w:r>
      <w:r w:rsidR="00267D51" w:rsidRPr="00F833AC">
        <w:t>p</w:t>
      </w:r>
      <w:r w:rsidR="00A8484A" w:rsidRPr="00F833AC">
        <w:t>ublications</w:t>
      </w:r>
      <w:bookmarkEnd w:id="27"/>
    </w:p>
    <w:p w14:paraId="7C362CCB" w14:textId="19A35442" w:rsidR="000A640A" w:rsidRDefault="00A16E30" w:rsidP="00B61606">
      <w:pPr>
        <w:pStyle w:val="NormalSS"/>
      </w:pPr>
      <w:r w:rsidRPr="00F833AC">
        <w:t>Table A.</w:t>
      </w:r>
      <w:r w:rsidR="00296E15">
        <w:t>3</w:t>
      </w:r>
      <w:r w:rsidR="00296E15" w:rsidRPr="00F833AC">
        <w:t xml:space="preserve"> </w:t>
      </w:r>
      <w:r w:rsidR="00BB78E2" w:rsidRPr="00F833AC">
        <w:t>contains the time</w:t>
      </w:r>
      <w:r w:rsidR="00BD388B">
        <w:t xml:space="preserve"> </w:t>
      </w:r>
      <w:r w:rsidR="00BB78E2" w:rsidRPr="00F833AC">
        <w:t xml:space="preserve">line for the data collection and reporting activities. </w:t>
      </w:r>
      <w:r w:rsidR="000A640A" w:rsidRPr="00F833AC">
        <w:t xml:space="preserve">Data collection </w:t>
      </w:r>
      <w:r w:rsidR="00BB78E2" w:rsidRPr="00F833AC">
        <w:t xml:space="preserve">is expected to occur </w:t>
      </w:r>
      <w:r w:rsidR="00243CBF">
        <w:t>in</w:t>
      </w:r>
      <w:r w:rsidR="00BB78E2" w:rsidRPr="00F833AC">
        <w:t xml:space="preserve"> </w:t>
      </w:r>
      <w:r w:rsidR="00610FD6">
        <w:t xml:space="preserve">summer </w:t>
      </w:r>
      <w:r w:rsidR="00BD388B">
        <w:t xml:space="preserve">of </w:t>
      </w:r>
      <w:r w:rsidR="00BB78E2" w:rsidRPr="00F833AC">
        <w:t>201</w:t>
      </w:r>
      <w:r w:rsidR="00610FD6">
        <w:t>6</w:t>
      </w:r>
      <w:r w:rsidR="00243CBF">
        <w:t xml:space="preserve"> (pending OMB approval)</w:t>
      </w:r>
      <w:r w:rsidR="00BD388B">
        <w:t xml:space="preserve"> and continue each spring and summer</w:t>
      </w:r>
      <w:r w:rsidR="00BB78E2" w:rsidRPr="00F833AC">
        <w:t xml:space="preserve"> </w:t>
      </w:r>
      <w:r w:rsidR="00610FD6">
        <w:t>through</w:t>
      </w:r>
      <w:r w:rsidR="00BB78E2" w:rsidRPr="00F833AC">
        <w:t xml:space="preserve"> 201</w:t>
      </w:r>
      <w:r w:rsidR="00610FD6">
        <w:t>9</w:t>
      </w:r>
      <w:r w:rsidR="00BB78E2" w:rsidRPr="00F833AC">
        <w:t>.</w:t>
      </w:r>
      <w:r w:rsidR="00BA4C47" w:rsidRPr="00F833AC">
        <w:t xml:space="preserve"> </w:t>
      </w:r>
    </w:p>
    <w:p w14:paraId="456174B0" w14:textId="526A9E79" w:rsidR="004F2F7A" w:rsidRDefault="00A16E30" w:rsidP="00E40D3D">
      <w:pPr>
        <w:pStyle w:val="MarkforTableTitle"/>
      </w:pPr>
      <w:r>
        <w:t>Table A.</w:t>
      </w:r>
      <w:r w:rsidR="00296E15">
        <w:t>3</w:t>
      </w:r>
      <w:r w:rsidR="004F2F7A" w:rsidRPr="004F2F7A">
        <w:t xml:space="preserve">. Schedule for the </w:t>
      </w:r>
      <w:r w:rsidR="00296E15">
        <w:t>e</w:t>
      </w:r>
      <w:r w:rsidR="00A646CD">
        <w:t>valuation</w:t>
      </w:r>
      <w:r w:rsidR="004F2F7A" w:rsidRPr="004F2F7A">
        <w:t xml:space="preserve"> of </w:t>
      </w:r>
      <w:r w:rsidR="00F96DC2">
        <w:t>NCEHS-CCP</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655"/>
        <w:gridCol w:w="2921"/>
      </w:tblGrid>
      <w:tr w:rsidR="004F2F7A" w:rsidRPr="00F878AA" w14:paraId="7A86C7B4" w14:textId="77777777" w:rsidTr="00EF6453">
        <w:trPr>
          <w:cnfStyle w:val="100000000000" w:firstRow="1" w:lastRow="0" w:firstColumn="0" w:lastColumn="0" w:oddVBand="0" w:evenVBand="0" w:oddHBand="0" w:evenHBand="0" w:firstRowFirstColumn="0" w:firstRowLastColumn="0" w:lastRowFirstColumn="0" w:lastRowLastColumn="0"/>
          <w:tblHeader/>
        </w:trPr>
        <w:tc>
          <w:tcPr>
            <w:tcW w:w="3475" w:type="pct"/>
            <w:tcBorders>
              <w:top w:val="single" w:sz="8" w:space="0" w:color="FFFFFF" w:themeColor="background1"/>
              <w:bottom w:val="single" w:sz="8" w:space="0" w:color="000000" w:themeColor="text1"/>
            </w:tcBorders>
            <w:shd w:val="clear" w:color="auto" w:fill="6C6F70"/>
            <w:vAlign w:val="center"/>
          </w:tcPr>
          <w:p w14:paraId="46C6510A" w14:textId="77777777" w:rsidR="004F2F7A" w:rsidRPr="00F878AA" w:rsidRDefault="004F2F7A" w:rsidP="0089165E">
            <w:pPr>
              <w:pStyle w:val="TableHeaderLeft"/>
              <w:spacing w:before="60"/>
              <w:rPr>
                <w:b/>
              </w:rPr>
            </w:pPr>
            <w:r>
              <w:rPr>
                <w:b/>
              </w:rPr>
              <w:t>Activity</w:t>
            </w:r>
          </w:p>
        </w:tc>
        <w:tc>
          <w:tcPr>
            <w:tcW w:w="1525" w:type="pct"/>
            <w:tcBorders>
              <w:top w:val="single" w:sz="8" w:space="0" w:color="FFFFFF" w:themeColor="background1"/>
              <w:bottom w:val="single" w:sz="8" w:space="0" w:color="000000" w:themeColor="text1"/>
            </w:tcBorders>
            <w:shd w:val="clear" w:color="auto" w:fill="6C6F70"/>
            <w:vAlign w:val="bottom"/>
          </w:tcPr>
          <w:p w14:paraId="411FC2F3" w14:textId="21630184" w:rsidR="004F2F7A" w:rsidRPr="00F878AA" w:rsidRDefault="009E2978" w:rsidP="00EF6453">
            <w:pPr>
              <w:pStyle w:val="TableHeaderCenter"/>
              <w:spacing w:before="60"/>
              <w:jc w:val="left"/>
              <w:rPr>
                <w:b/>
              </w:rPr>
            </w:pPr>
            <w:r>
              <w:rPr>
                <w:b/>
              </w:rPr>
              <w:t>Timing</w:t>
            </w:r>
            <w:r w:rsidR="009778F4">
              <w:rPr>
                <w:b/>
              </w:rPr>
              <w:t xml:space="preserve"> (pending OMB approval)</w:t>
            </w:r>
          </w:p>
        </w:tc>
      </w:tr>
      <w:tr w:rsidR="00F546E4" w:rsidRPr="00F546E4" w14:paraId="403E3BE2" w14:textId="77777777" w:rsidTr="00EF6453">
        <w:trPr>
          <w:trHeight w:val="196"/>
        </w:trPr>
        <w:tc>
          <w:tcPr>
            <w:tcW w:w="3475" w:type="pct"/>
            <w:tcBorders>
              <w:top w:val="single" w:sz="8" w:space="0" w:color="000000" w:themeColor="text1"/>
            </w:tcBorders>
          </w:tcPr>
          <w:p w14:paraId="1FA84605" w14:textId="77777777" w:rsidR="004F2F7A" w:rsidRPr="00F546E4" w:rsidRDefault="00F546E4" w:rsidP="0089165E">
            <w:pPr>
              <w:pStyle w:val="TableHeaderLeft"/>
              <w:spacing w:before="60"/>
              <w:rPr>
                <w:color w:val="auto"/>
              </w:rPr>
            </w:pPr>
            <w:r w:rsidRPr="00F546E4">
              <w:rPr>
                <w:color w:val="auto"/>
              </w:rPr>
              <w:t>Data collection</w:t>
            </w:r>
          </w:p>
        </w:tc>
        <w:tc>
          <w:tcPr>
            <w:tcW w:w="1525" w:type="pct"/>
            <w:tcBorders>
              <w:top w:val="single" w:sz="8" w:space="0" w:color="000000" w:themeColor="text1"/>
            </w:tcBorders>
          </w:tcPr>
          <w:p w14:paraId="1592EA96" w14:textId="77777777" w:rsidR="004F2F7A" w:rsidRPr="00F546E4" w:rsidRDefault="004F2F7A" w:rsidP="0089165E">
            <w:pPr>
              <w:pStyle w:val="TableHeaderLeft"/>
              <w:spacing w:before="60"/>
              <w:rPr>
                <w:color w:val="auto"/>
              </w:rPr>
            </w:pPr>
          </w:p>
        </w:tc>
      </w:tr>
      <w:tr w:rsidR="0049190B" w:rsidRPr="00AA795E" w14:paraId="77267AFE" w14:textId="77777777" w:rsidTr="00EF6453">
        <w:tc>
          <w:tcPr>
            <w:tcW w:w="3475" w:type="pct"/>
          </w:tcPr>
          <w:p w14:paraId="57B9C38A" w14:textId="7F6D65A2" w:rsidR="0049190B" w:rsidRDefault="00A646CD" w:rsidP="00727DA8">
            <w:pPr>
              <w:pStyle w:val="TableText"/>
              <w:spacing w:before="20"/>
              <w:ind w:left="158"/>
            </w:pPr>
            <w:r>
              <w:t>Stakeholder</w:t>
            </w:r>
            <w:r w:rsidR="0049190B">
              <w:t xml:space="preserve"> survey</w:t>
            </w:r>
            <w:r w:rsidR="00610FD6">
              <w:t xml:space="preserve"> (round 1)</w:t>
            </w:r>
          </w:p>
        </w:tc>
        <w:tc>
          <w:tcPr>
            <w:tcW w:w="1525" w:type="pct"/>
          </w:tcPr>
          <w:p w14:paraId="0C8F7920" w14:textId="29E4257F" w:rsidR="0049190B" w:rsidRDefault="00995439" w:rsidP="00243CBF">
            <w:pPr>
              <w:pStyle w:val="TableText"/>
              <w:spacing w:before="20"/>
            </w:pPr>
            <w:r>
              <w:t>Summer</w:t>
            </w:r>
            <w:r w:rsidRPr="0049190B">
              <w:t xml:space="preserve"> </w:t>
            </w:r>
            <w:r w:rsidR="0049190B" w:rsidRPr="0049190B">
              <w:t>2016</w:t>
            </w:r>
            <w:r w:rsidR="00243CBF">
              <w:t xml:space="preserve"> </w:t>
            </w:r>
          </w:p>
        </w:tc>
      </w:tr>
      <w:tr w:rsidR="00F546E4" w:rsidRPr="00AA795E" w14:paraId="62ABBBAF" w14:textId="77777777" w:rsidTr="00EF6453">
        <w:tc>
          <w:tcPr>
            <w:tcW w:w="3475" w:type="pct"/>
          </w:tcPr>
          <w:p w14:paraId="2E8C1A34" w14:textId="74843599" w:rsidR="00F546E4" w:rsidRPr="00AA795E" w:rsidRDefault="00610FD6" w:rsidP="00C55B5A">
            <w:pPr>
              <w:pStyle w:val="TableText"/>
              <w:spacing w:before="20"/>
              <w:ind w:left="158"/>
            </w:pPr>
            <w:r>
              <w:t xml:space="preserve">Stakeholder </w:t>
            </w:r>
            <w:r w:rsidR="00E70E6F">
              <w:t xml:space="preserve">telephone </w:t>
            </w:r>
            <w:r>
              <w:t>interviews (round 1)</w:t>
            </w:r>
          </w:p>
        </w:tc>
        <w:tc>
          <w:tcPr>
            <w:tcW w:w="1525" w:type="pct"/>
          </w:tcPr>
          <w:p w14:paraId="4FD61335" w14:textId="307F317C" w:rsidR="00F546E4" w:rsidRPr="00AA795E" w:rsidRDefault="00995439" w:rsidP="00727DA8">
            <w:pPr>
              <w:pStyle w:val="TableText"/>
              <w:spacing w:before="20"/>
            </w:pPr>
            <w:r w:rsidRPr="00995439">
              <w:t xml:space="preserve">Summer </w:t>
            </w:r>
            <w:r w:rsidR="00610FD6">
              <w:t>2017</w:t>
            </w:r>
          </w:p>
        </w:tc>
      </w:tr>
      <w:tr w:rsidR="00610FD6" w:rsidRPr="00AA795E" w14:paraId="05B16EC8" w14:textId="77777777" w:rsidTr="00EF6453">
        <w:tc>
          <w:tcPr>
            <w:tcW w:w="3475" w:type="pct"/>
          </w:tcPr>
          <w:p w14:paraId="0CC7D2DD" w14:textId="28D5E2A6" w:rsidR="00610FD6" w:rsidRDefault="00610FD6" w:rsidP="00727DA8">
            <w:pPr>
              <w:pStyle w:val="TableText"/>
              <w:spacing w:before="20"/>
              <w:ind w:left="158"/>
            </w:pPr>
            <w:r w:rsidRPr="00610FD6">
              <w:t>Stakeholder survey</w:t>
            </w:r>
            <w:r>
              <w:t xml:space="preserve"> (round 2)</w:t>
            </w:r>
          </w:p>
        </w:tc>
        <w:tc>
          <w:tcPr>
            <w:tcW w:w="1525" w:type="pct"/>
          </w:tcPr>
          <w:p w14:paraId="68F121FA" w14:textId="1A9A2C4E" w:rsidR="00610FD6" w:rsidRDefault="00995439" w:rsidP="00727DA8">
            <w:pPr>
              <w:pStyle w:val="TableText"/>
              <w:spacing w:before="20"/>
            </w:pPr>
            <w:r w:rsidRPr="00995439">
              <w:t xml:space="preserve">Summer </w:t>
            </w:r>
            <w:r w:rsidR="00610FD6">
              <w:t>2018</w:t>
            </w:r>
          </w:p>
        </w:tc>
      </w:tr>
      <w:tr w:rsidR="00610FD6" w:rsidRPr="00AA795E" w14:paraId="47B58767" w14:textId="77777777" w:rsidTr="00EF6453">
        <w:tc>
          <w:tcPr>
            <w:tcW w:w="3475" w:type="pct"/>
          </w:tcPr>
          <w:p w14:paraId="60727EE6" w14:textId="7283DB09" w:rsidR="00610FD6" w:rsidRPr="00AA795E" w:rsidRDefault="00610FD6" w:rsidP="00C55B5A">
            <w:pPr>
              <w:pStyle w:val="TableText"/>
              <w:spacing w:before="20"/>
              <w:ind w:left="158"/>
            </w:pPr>
            <w:r w:rsidRPr="00610FD6">
              <w:t xml:space="preserve">Stakeholder </w:t>
            </w:r>
            <w:r w:rsidR="00E70E6F" w:rsidRPr="00E70E6F">
              <w:t xml:space="preserve">telephone </w:t>
            </w:r>
            <w:r w:rsidRPr="00610FD6">
              <w:t>interviews</w:t>
            </w:r>
            <w:r>
              <w:t xml:space="preserve"> (round 2)</w:t>
            </w:r>
            <w:r w:rsidR="00B40DA7" w:rsidRPr="009778F4">
              <w:rPr>
                <w:vertAlign w:val="superscript"/>
              </w:rPr>
              <w:t>a</w:t>
            </w:r>
          </w:p>
        </w:tc>
        <w:tc>
          <w:tcPr>
            <w:tcW w:w="1525" w:type="pct"/>
          </w:tcPr>
          <w:p w14:paraId="237B2E8C" w14:textId="27A2600A" w:rsidR="00610FD6" w:rsidRPr="00AA795E" w:rsidRDefault="00995439" w:rsidP="00727DA8">
            <w:pPr>
              <w:pStyle w:val="TableText"/>
              <w:spacing w:before="20"/>
            </w:pPr>
            <w:r w:rsidRPr="00995439">
              <w:t xml:space="preserve">Summer </w:t>
            </w:r>
            <w:r w:rsidR="00610FD6">
              <w:t>2019</w:t>
            </w:r>
          </w:p>
        </w:tc>
      </w:tr>
      <w:tr w:rsidR="00731110" w:rsidRPr="00F546E4" w14:paraId="6DB92D45" w14:textId="77777777" w:rsidTr="00EF6453">
        <w:tc>
          <w:tcPr>
            <w:tcW w:w="3475" w:type="pct"/>
          </w:tcPr>
          <w:p w14:paraId="0303685F" w14:textId="4DDB40B6" w:rsidR="00731110" w:rsidRPr="00F546E4" w:rsidRDefault="00731110" w:rsidP="0089165E">
            <w:pPr>
              <w:pStyle w:val="TableHeaderLeft"/>
              <w:spacing w:before="60"/>
              <w:rPr>
                <w:color w:val="auto"/>
              </w:rPr>
            </w:pPr>
            <w:r>
              <w:rPr>
                <w:color w:val="auto"/>
              </w:rPr>
              <w:t>Analysis</w:t>
            </w:r>
          </w:p>
        </w:tc>
        <w:tc>
          <w:tcPr>
            <w:tcW w:w="1525" w:type="pct"/>
          </w:tcPr>
          <w:p w14:paraId="34C7BD62" w14:textId="77777777" w:rsidR="00731110" w:rsidRPr="00F546E4" w:rsidRDefault="00731110" w:rsidP="0089165E">
            <w:pPr>
              <w:pStyle w:val="TableHeaderLeft"/>
              <w:spacing w:before="60"/>
              <w:rPr>
                <w:color w:val="auto"/>
              </w:rPr>
            </w:pPr>
          </w:p>
        </w:tc>
      </w:tr>
      <w:tr w:rsidR="00E70DE9" w:rsidRPr="00AA795E" w14:paraId="36E42090" w14:textId="77777777" w:rsidTr="00EF6453">
        <w:tc>
          <w:tcPr>
            <w:tcW w:w="3475" w:type="pct"/>
          </w:tcPr>
          <w:p w14:paraId="0DB7E3C8" w14:textId="77777777" w:rsidR="00E70DE9" w:rsidRDefault="00E70DE9" w:rsidP="00A12E07">
            <w:pPr>
              <w:pStyle w:val="TableText"/>
              <w:spacing w:before="20"/>
              <w:ind w:left="158"/>
            </w:pPr>
            <w:r>
              <w:t>Stakeholder survey (round 1)</w:t>
            </w:r>
          </w:p>
        </w:tc>
        <w:tc>
          <w:tcPr>
            <w:tcW w:w="1525" w:type="pct"/>
          </w:tcPr>
          <w:p w14:paraId="62AA35F0" w14:textId="1B4B1FD9" w:rsidR="00E70DE9" w:rsidRDefault="00995439" w:rsidP="00A12E07">
            <w:pPr>
              <w:pStyle w:val="TableText"/>
              <w:spacing w:before="20"/>
            </w:pPr>
            <w:r>
              <w:t>Fall</w:t>
            </w:r>
            <w:r w:rsidRPr="0049190B">
              <w:t xml:space="preserve"> </w:t>
            </w:r>
            <w:r w:rsidR="00E70DE9" w:rsidRPr="0049190B">
              <w:t>2016</w:t>
            </w:r>
          </w:p>
        </w:tc>
      </w:tr>
      <w:tr w:rsidR="00E70DE9" w:rsidRPr="00AA795E" w14:paraId="6AA7ECAC" w14:textId="77777777" w:rsidTr="00EF6453">
        <w:tc>
          <w:tcPr>
            <w:tcW w:w="3475" w:type="pct"/>
          </w:tcPr>
          <w:p w14:paraId="260B0D26" w14:textId="21C38D3D" w:rsidR="00E70DE9" w:rsidRPr="00AA795E" w:rsidRDefault="00E70DE9" w:rsidP="00C55B5A">
            <w:pPr>
              <w:pStyle w:val="TableText"/>
              <w:spacing w:before="20"/>
              <w:ind w:left="158"/>
            </w:pPr>
            <w:r>
              <w:t xml:space="preserve">Stakeholder </w:t>
            </w:r>
            <w:r w:rsidR="00E70E6F" w:rsidRPr="00E70E6F">
              <w:t xml:space="preserve">telephone </w:t>
            </w:r>
            <w:r>
              <w:t>interviews (round 1)</w:t>
            </w:r>
          </w:p>
        </w:tc>
        <w:tc>
          <w:tcPr>
            <w:tcW w:w="1525" w:type="pct"/>
          </w:tcPr>
          <w:p w14:paraId="11043D14" w14:textId="2C1194DC" w:rsidR="00E70DE9" w:rsidRPr="00AA795E" w:rsidRDefault="00995439" w:rsidP="00A0044E">
            <w:pPr>
              <w:pStyle w:val="TableText"/>
              <w:spacing w:before="20"/>
            </w:pPr>
            <w:r w:rsidRPr="00995439">
              <w:t xml:space="preserve">Fall </w:t>
            </w:r>
            <w:r w:rsidR="00E70DE9" w:rsidRPr="00922F6C">
              <w:t>201</w:t>
            </w:r>
            <w:r w:rsidR="00A0044E">
              <w:t>7</w:t>
            </w:r>
          </w:p>
        </w:tc>
      </w:tr>
      <w:tr w:rsidR="00E70DE9" w:rsidRPr="00AA795E" w14:paraId="32CC6094" w14:textId="77777777" w:rsidTr="00EF6453">
        <w:tc>
          <w:tcPr>
            <w:tcW w:w="3475" w:type="pct"/>
          </w:tcPr>
          <w:p w14:paraId="3D864835" w14:textId="77777777" w:rsidR="00E70DE9" w:rsidRDefault="00E70DE9" w:rsidP="00E70DE9">
            <w:pPr>
              <w:pStyle w:val="TableText"/>
              <w:spacing w:before="20"/>
              <w:ind w:left="158"/>
            </w:pPr>
            <w:r w:rsidRPr="00610FD6">
              <w:t>Stakeholder survey</w:t>
            </w:r>
            <w:r>
              <w:t xml:space="preserve"> (round 2)</w:t>
            </w:r>
          </w:p>
        </w:tc>
        <w:tc>
          <w:tcPr>
            <w:tcW w:w="1525" w:type="pct"/>
          </w:tcPr>
          <w:p w14:paraId="638CFCD5" w14:textId="39888B46" w:rsidR="00E70DE9" w:rsidRDefault="00995439" w:rsidP="00A0044E">
            <w:pPr>
              <w:pStyle w:val="TableText"/>
              <w:spacing w:before="20"/>
            </w:pPr>
            <w:r w:rsidRPr="00995439">
              <w:t xml:space="preserve">Fall </w:t>
            </w:r>
            <w:r w:rsidR="00E70DE9" w:rsidRPr="00922F6C">
              <w:t>201</w:t>
            </w:r>
            <w:r w:rsidR="00A0044E">
              <w:t>8</w:t>
            </w:r>
          </w:p>
        </w:tc>
      </w:tr>
      <w:tr w:rsidR="00E70DE9" w:rsidRPr="00AA795E" w14:paraId="3A43D964" w14:textId="77777777" w:rsidTr="00EF6453">
        <w:tc>
          <w:tcPr>
            <w:tcW w:w="3475" w:type="pct"/>
          </w:tcPr>
          <w:p w14:paraId="38D380FB" w14:textId="797657C7" w:rsidR="00E70DE9" w:rsidRPr="00AA795E" w:rsidRDefault="00E70DE9" w:rsidP="00C55B5A">
            <w:pPr>
              <w:pStyle w:val="TableText"/>
              <w:spacing w:before="20"/>
              <w:ind w:left="158"/>
            </w:pPr>
            <w:r w:rsidRPr="00610FD6">
              <w:t xml:space="preserve">Stakeholder </w:t>
            </w:r>
            <w:r w:rsidR="00E70E6F" w:rsidRPr="00E70E6F">
              <w:t xml:space="preserve">telephone </w:t>
            </w:r>
            <w:r w:rsidRPr="00610FD6">
              <w:t>interviews</w:t>
            </w:r>
            <w:r>
              <w:t xml:space="preserve"> (round 2)</w:t>
            </w:r>
          </w:p>
        </w:tc>
        <w:tc>
          <w:tcPr>
            <w:tcW w:w="1525" w:type="pct"/>
          </w:tcPr>
          <w:p w14:paraId="2507E0B2" w14:textId="4653BD9E" w:rsidR="00E70DE9" w:rsidRPr="00AA795E" w:rsidRDefault="00995439" w:rsidP="00A0044E">
            <w:pPr>
              <w:pStyle w:val="TableText"/>
              <w:spacing w:before="20"/>
            </w:pPr>
            <w:r w:rsidRPr="00995439">
              <w:t xml:space="preserve">Fall </w:t>
            </w:r>
            <w:r w:rsidR="00E70DE9" w:rsidRPr="00922F6C">
              <w:t>201</w:t>
            </w:r>
            <w:r w:rsidR="00A0044E">
              <w:t>9</w:t>
            </w:r>
          </w:p>
        </w:tc>
      </w:tr>
      <w:tr w:rsidR="00F546E4" w:rsidRPr="00F546E4" w14:paraId="3580002D" w14:textId="77777777" w:rsidTr="00EF6453">
        <w:tc>
          <w:tcPr>
            <w:tcW w:w="3475" w:type="pct"/>
          </w:tcPr>
          <w:p w14:paraId="1A184C64" w14:textId="77777777" w:rsidR="004F2F7A" w:rsidRPr="00F546E4" w:rsidRDefault="00F546E4" w:rsidP="0089165E">
            <w:pPr>
              <w:pStyle w:val="TableHeaderLeft"/>
              <w:spacing w:before="60"/>
              <w:rPr>
                <w:color w:val="auto"/>
              </w:rPr>
            </w:pPr>
            <w:r w:rsidRPr="00F546E4">
              <w:rPr>
                <w:color w:val="auto"/>
              </w:rPr>
              <w:t>Reporting</w:t>
            </w:r>
          </w:p>
        </w:tc>
        <w:tc>
          <w:tcPr>
            <w:tcW w:w="1525" w:type="pct"/>
          </w:tcPr>
          <w:p w14:paraId="3137673B" w14:textId="77777777" w:rsidR="004F2F7A" w:rsidRPr="00F546E4" w:rsidRDefault="004F2F7A" w:rsidP="0089165E">
            <w:pPr>
              <w:pStyle w:val="TableHeaderLeft"/>
              <w:spacing w:before="60"/>
              <w:rPr>
                <w:color w:val="auto"/>
              </w:rPr>
            </w:pPr>
          </w:p>
        </w:tc>
      </w:tr>
      <w:tr w:rsidR="00F546E4" w:rsidRPr="00AA795E" w14:paraId="29473129" w14:textId="77777777" w:rsidTr="00EF6453">
        <w:tc>
          <w:tcPr>
            <w:tcW w:w="3475" w:type="pct"/>
          </w:tcPr>
          <w:p w14:paraId="5F701279" w14:textId="4476E8CB" w:rsidR="00610FD6" w:rsidRPr="00AA795E" w:rsidRDefault="00610FD6" w:rsidP="009473E1">
            <w:pPr>
              <w:pStyle w:val="TableText"/>
              <w:spacing w:before="20"/>
              <w:ind w:left="432" w:hanging="274"/>
            </w:pPr>
            <w:r>
              <w:t>Year 2 annual memo</w:t>
            </w:r>
          </w:p>
        </w:tc>
        <w:tc>
          <w:tcPr>
            <w:tcW w:w="1525" w:type="pct"/>
          </w:tcPr>
          <w:p w14:paraId="698187E4" w14:textId="159E314A" w:rsidR="00F546E4" w:rsidRPr="00AA795E" w:rsidRDefault="00995439" w:rsidP="00727DA8">
            <w:pPr>
              <w:pStyle w:val="TableText"/>
              <w:spacing w:before="20"/>
            </w:pPr>
            <w:r>
              <w:t xml:space="preserve">October </w:t>
            </w:r>
            <w:r w:rsidR="00610FD6">
              <w:t>2016</w:t>
            </w:r>
          </w:p>
        </w:tc>
      </w:tr>
      <w:tr w:rsidR="00610FD6" w:rsidRPr="00AA795E" w14:paraId="125E75A4" w14:textId="77777777" w:rsidTr="00EF6453">
        <w:tc>
          <w:tcPr>
            <w:tcW w:w="3475" w:type="pct"/>
          </w:tcPr>
          <w:p w14:paraId="2C56C3AD" w14:textId="27034B92" w:rsidR="00610FD6" w:rsidRDefault="009473E1" w:rsidP="009473E1">
            <w:pPr>
              <w:pStyle w:val="TableText"/>
              <w:spacing w:before="20"/>
              <w:ind w:left="432" w:hanging="274"/>
            </w:pPr>
            <w:r>
              <w:t>Year 3 annual memo</w:t>
            </w:r>
          </w:p>
        </w:tc>
        <w:tc>
          <w:tcPr>
            <w:tcW w:w="1525" w:type="pct"/>
          </w:tcPr>
          <w:p w14:paraId="179D8E08" w14:textId="70D5A405" w:rsidR="00610FD6" w:rsidRDefault="00995439" w:rsidP="00727DA8">
            <w:pPr>
              <w:pStyle w:val="TableText"/>
              <w:spacing w:before="20"/>
            </w:pPr>
            <w:r w:rsidRPr="00995439">
              <w:t xml:space="preserve">October </w:t>
            </w:r>
            <w:r w:rsidR="00610FD6">
              <w:t>2017</w:t>
            </w:r>
          </w:p>
        </w:tc>
      </w:tr>
      <w:tr w:rsidR="00610FD6" w:rsidRPr="00AA795E" w14:paraId="57BAD0A4" w14:textId="77777777" w:rsidTr="00EF6453">
        <w:tc>
          <w:tcPr>
            <w:tcW w:w="3475" w:type="pct"/>
          </w:tcPr>
          <w:p w14:paraId="29EE91D5" w14:textId="20678638" w:rsidR="003063EE" w:rsidRDefault="009473E1" w:rsidP="009473E1">
            <w:pPr>
              <w:pStyle w:val="TableText"/>
              <w:spacing w:before="20"/>
              <w:ind w:left="432" w:hanging="274"/>
            </w:pPr>
            <w:r>
              <w:t>Year 4 annual memo</w:t>
            </w:r>
          </w:p>
        </w:tc>
        <w:tc>
          <w:tcPr>
            <w:tcW w:w="1525" w:type="pct"/>
          </w:tcPr>
          <w:p w14:paraId="405D560C" w14:textId="4F02403D" w:rsidR="00610FD6" w:rsidRDefault="00995439" w:rsidP="00727DA8">
            <w:pPr>
              <w:pStyle w:val="TableText"/>
              <w:spacing w:before="20"/>
            </w:pPr>
            <w:r w:rsidRPr="00995439">
              <w:t xml:space="preserve">October </w:t>
            </w:r>
            <w:r w:rsidR="003063EE">
              <w:t>2018</w:t>
            </w:r>
          </w:p>
        </w:tc>
      </w:tr>
      <w:tr w:rsidR="003063EE" w:rsidRPr="00AA795E" w14:paraId="3AD0A882" w14:textId="77777777" w:rsidTr="00EF6453">
        <w:tc>
          <w:tcPr>
            <w:tcW w:w="3475" w:type="pct"/>
            <w:tcBorders>
              <w:bottom w:val="single" w:sz="4" w:space="0" w:color="auto"/>
            </w:tcBorders>
          </w:tcPr>
          <w:p w14:paraId="19EAFF93" w14:textId="5F4E726E" w:rsidR="003063EE" w:rsidRDefault="00731110">
            <w:pPr>
              <w:pStyle w:val="TableText"/>
              <w:spacing w:before="20"/>
              <w:ind w:left="432" w:hanging="274"/>
            </w:pPr>
            <w:r>
              <w:t xml:space="preserve">Year </w:t>
            </w:r>
            <w:r w:rsidR="00B21D0F">
              <w:t xml:space="preserve">5 </w:t>
            </w:r>
            <w:r>
              <w:t>annual memo</w:t>
            </w:r>
          </w:p>
        </w:tc>
        <w:tc>
          <w:tcPr>
            <w:tcW w:w="1525" w:type="pct"/>
            <w:tcBorders>
              <w:bottom w:val="single" w:sz="4" w:space="0" w:color="auto"/>
            </w:tcBorders>
          </w:tcPr>
          <w:p w14:paraId="675B7627" w14:textId="246737B5" w:rsidR="003063EE" w:rsidRDefault="00995439" w:rsidP="00727DA8">
            <w:pPr>
              <w:pStyle w:val="TableText"/>
              <w:spacing w:before="20"/>
            </w:pPr>
            <w:r w:rsidRPr="00995439">
              <w:t xml:space="preserve">October </w:t>
            </w:r>
            <w:r w:rsidR="003063EE">
              <w:t>2019</w:t>
            </w:r>
          </w:p>
        </w:tc>
      </w:tr>
    </w:tbl>
    <w:p w14:paraId="4AFFFFB9" w14:textId="69FE6467" w:rsidR="00621218" w:rsidRPr="00307ED4" w:rsidRDefault="00B40DA7" w:rsidP="00B40DA7">
      <w:pPr>
        <w:pStyle w:val="NormalSS"/>
        <w:spacing w:after="120"/>
        <w:ind w:firstLine="0"/>
        <w:rPr>
          <w:sz w:val="20"/>
        </w:rPr>
      </w:pPr>
      <w:proofErr w:type="spellStart"/>
      <w:proofErr w:type="gramStart"/>
      <w:r w:rsidRPr="00307ED4">
        <w:rPr>
          <w:sz w:val="20"/>
          <w:vertAlign w:val="superscript"/>
        </w:rPr>
        <w:t>a</w:t>
      </w:r>
      <w:r w:rsidRPr="00307ED4">
        <w:rPr>
          <w:sz w:val="20"/>
        </w:rPr>
        <w:t>Prior</w:t>
      </w:r>
      <w:proofErr w:type="spellEnd"/>
      <w:proofErr w:type="gramEnd"/>
      <w:r w:rsidRPr="00307ED4">
        <w:rPr>
          <w:sz w:val="20"/>
        </w:rPr>
        <w:t xml:space="preserve"> to </w:t>
      </w:r>
      <w:r w:rsidR="00842A8E" w:rsidRPr="00307ED4">
        <w:rPr>
          <w:sz w:val="20"/>
        </w:rPr>
        <w:t>data collection with</w:t>
      </w:r>
      <w:r w:rsidRPr="00307ED4">
        <w:rPr>
          <w:sz w:val="20"/>
        </w:rPr>
        <w:t xml:space="preserve"> the stakeholder telephone </w:t>
      </w:r>
      <w:r w:rsidR="00842A8E" w:rsidRPr="00307ED4">
        <w:rPr>
          <w:sz w:val="20"/>
        </w:rPr>
        <w:t>interviews in summer 2019, we will submit an extension with OMB to include this last year of data collection.</w:t>
      </w:r>
    </w:p>
    <w:p w14:paraId="49B8FE43" w14:textId="64FEB4CA" w:rsidR="00A8484A" w:rsidRPr="001147A1" w:rsidRDefault="00667A13" w:rsidP="00EF6453">
      <w:pPr>
        <w:pStyle w:val="H3Alpha"/>
      </w:pPr>
      <w:bookmarkStart w:id="28" w:name="_Toc423425574"/>
      <w:r w:rsidRPr="001147A1">
        <w:t>A</w:t>
      </w:r>
      <w:r w:rsidR="008936ED">
        <w:t xml:space="preserve">17. </w:t>
      </w:r>
      <w:r w:rsidR="00AF419A" w:rsidRPr="0072204D">
        <w:t>Reasons</w:t>
      </w:r>
      <w:r w:rsidR="00267D51">
        <w:t xml:space="preserve"> not to display OMB expiration d</w:t>
      </w:r>
      <w:r w:rsidR="00AF419A" w:rsidRPr="0072204D">
        <w:t>ate</w:t>
      </w:r>
      <w:bookmarkEnd w:id="28"/>
    </w:p>
    <w:p w14:paraId="58FF2C93" w14:textId="5F88C412" w:rsidR="00A8484A" w:rsidRPr="004F2F7A" w:rsidRDefault="00660907" w:rsidP="00392A97">
      <w:pPr>
        <w:pStyle w:val="NormalSS"/>
      </w:pPr>
      <w:r>
        <w:t>All instruments will display the expiration dat</w:t>
      </w:r>
      <w:r w:rsidR="000B60EA">
        <w:t>e</w:t>
      </w:r>
      <w:r>
        <w:t xml:space="preserve"> for OMB approval.</w:t>
      </w:r>
    </w:p>
    <w:p w14:paraId="505DF43E" w14:textId="079A00F2" w:rsidR="00A8484A" w:rsidRDefault="00667A13" w:rsidP="00EF6453">
      <w:pPr>
        <w:pStyle w:val="H3Alpha"/>
      </w:pPr>
      <w:bookmarkStart w:id="29" w:name="_Toc423425575"/>
      <w:r>
        <w:t>A</w:t>
      </w:r>
      <w:r w:rsidR="004F2F7A">
        <w:t>18.</w:t>
      </w:r>
      <w:r w:rsidR="008936ED">
        <w:t xml:space="preserve"> </w:t>
      </w:r>
      <w:r w:rsidR="00267D51">
        <w:t>Exceptions to c</w:t>
      </w:r>
      <w:r w:rsidR="000C43C0" w:rsidRPr="000B5EA8">
        <w:t>ertification for P</w:t>
      </w:r>
      <w:r w:rsidR="00267D51">
        <w:t>aperwork Reduction Act s</w:t>
      </w:r>
      <w:r w:rsidR="000C43C0" w:rsidRPr="000B5EA8">
        <w:t>ubmissions</w:t>
      </w:r>
      <w:bookmarkEnd w:id="29"/>
    </w:p>
    <w:p w14:paraId="3F6FDD7E" w14:textId="236FEE8E" w:rsidR="00A8484A" w:rsidRDefault="00660907" w:rsidP="00A8484A">
      <w:pPr>
        <w:pStyle w:val="NormalSS"/>
      </w:pPr>
      <w:r>
        <w:t xml:space="preserve">No exceptions are necessary for this information collection. </w:t>
      </w:r>
    </w:p>
    <w:p w14:paraId="5ED8A755" w14:textId="3898476A" w:rsidR="000251A4" w:rsidRDefault="000251A4">
      <w:pPr>
        <w:spacing w:after="240" w:line="240" w:lineRule="auto"/>
        <w:ind w:firstLine="0"/>
        <w:rPr>
          <w:rFonts w:ascii="Arial Black" w:hAnsi="Arial Black"/>
          <w:sz w:val="22"/>
        </w:rPr>
      </w:pPr>
      <w:bookmarkStart w:id="30" w:name="_Toc423425576"/>
      <w:r>
        <w:br w:type="page"/>
      </w:r>
    </w:p>
    <w:p w14:paraId="16BC942B" w14:textId="16FDCFC2" w:rsidR="00DA7B4A" w:rsidRPr="00B61606" w:rsidRDefault="008A2D85" w:rsidP="00B61606">
      <w:pPr>
        <w:pStyle w:val="H3Alpha"/>
        <w:rPr>
          <w:caps/>
        </w:rPr>
      </w:pPr>
      <w:r w:rsidRPr="00B61606">
        <w:lastRenderedPageBreak/>
        <w:t>REFERENCES</w:t>
      </w:r>
      <w:bookmarkEnd w:id="30"/>
    </w:p>
    <w:p w14:paraId="686357E8" w14:textId="77777777" w:rsidR="008316F3" w:rsidRDefault="008316F3" w:rsidP="008A2D85">
      <w:pPr>
        <w:pStyle w:val="References"/>
        <w:spacing w:after="120"/>
      </w:pPr>
      <w:proofErr w:type="gramStart"/>
      <w:r w:rsidRPr="00FA4BB2">
        <w:t>Bureau of Labor Statistics</w:t>
      </w:r>
      <w:r>
        <w:t>.</w:t>
      </w:r>
      <w:proofErr w:type="gramEnd"/>
      <w:r w:rsidRPr="00FA4BB2">
        <w:t xml:space="preserve"> </w:t>
      </w:r>
      <w:proofErr w:type="gramStart"/>
      <w:r>
        <w:t>“</w:t>
      </w:r>
      <w:r w:rsidRPr="0016395A">
        <w:t>Current Emp</w:t>
      </w:r>
      <w:r>
        <w:t>loyment Statistics Survey.”</w:t>
      </w:r>
      <w:proofErr w:type="gramEnd"/>
      <w:r>
        <w:t xml:space="preserve"> Washington, DC: Bureau of Labor Statistics, 2013.</w:t>
      </w:r>
    </w:p>
    <w:p w14:paraId="29CFE97D" w14:textId="26141BD8" w:rsidR="000657BD" w:rsidRPr="00846D05" w:rsidRDefault="000657BD" w:rsidP="008A2D85">
      <w:pPr>
        <w:pStyle w:val="References"/>
        <w:spacing w:after="120"/>
      </w:pPr>
      <w:proofErr w:type="gramStart"/>
      <w:r w:rsidRPr="00846D05">
        <w:t xml:space="preserve">Chau, M., </w:t>
      </w:r>
      <w:r w:rsidR="003F6247">
        <w:t xml:space="preserve">K. </w:t>
      </w:r>
      <w:proofErr w:type="spellStart"/>
      <w:r w:rsidRPr="00846D05">
        <w:t>Thampi</w:t>
      </w:r>
      <w:proofErr w:type="spellEnd"/>
      <w:r w:rsidRPr="00846D05">
        <w:t xml:space="preserve">, </w:t>
      </w:r>
      <w:r w:rsidR="003F6247">
        <w:t>and V. R.</w:t>
      </w:r>
      <w:r w:rsidRPr="00846D05">
        <w:t xml:space="preserve"> Wight.</w:t>
      </w:r>
      <w:proofErr w:type="gramEnd"/>
      <w:r w:rsidRPr="00846D05">
        <w:t xml:space="preserve"> </w:t>
      </w:r>
      <w:r w:rsidR="00C807EA">
        <w:t>“</w:t>
      </w:r>
      <w:r w:rsidRPr="00846D05">
        <w:t xml:space="preserve">Basic </w:t>
      </w:r>
      <w:r w:rsidR="00C807EA">
        <w:t>F</w:t>
      </w:r>
      <w:r w:rsidRPr="00846D05">
        <w:t xml:space="preserve">acts </w:t>
      </w:r>
      <w:proofErr w:type="gramStart"/>
      <w:r w:rsidR="00C807EA">
        <w:t>A</w:t>
      </w:r>
      <w:r w:rsidRPr="00846D05">
        <w:t>bout</w:t>
      </w:r>
      <w:proofErr w:type="gramEnd"/>
      <w:r w:rsidRPr="00846D05">
        <w:t xml:space="preserve"> </w:t>
      </w:r>
      <w:r w:rsidR="00C807EA">
        <w:t>L</w:t>
      </w:r>
      <w:r w:rsidRPr="00846D05">
        <w:t>ow-</w:t>
      </w:r>
      <w:r w:rsidR="00C807EA">
        <w:t>I</w:t>
      </w:r>
      <w:r w:rsidRPr="00846D05">
        <w:t xml:space="preserve">ncome </w:t>
      </w:r>
      <w:r w:rsidR="00C807EA">
        <w:t>C</w:t>
      </w:r>
      <w:r w:rsidRPr="00846D05">
        <w:t xml:space="preserve">hildren, 2009: Children </w:t>
      </w:r>
      <w:r w:rsidR="00C807EA">
        <w:t>U</w:t>
      </w:r>
      <w:r w:rsidRPr="00846D05">
        <w:t xml:space="preserve">nder </w:t>
      </w:r>
      <w:r w:rsidR="00C807EA">
        <w:t>A</w:t>
      </w:r>
      <w:r w:rsidRPr="00846D05">
        <w:t>ge 3.</w:t>
      </w:r>
      <w:r w:rsidR="00C807EA">
        <w:t>”</w:t>
      </w:r>
      <w:r w:rsidRPr="00846D05">
        <w:t xml:space="preserve"> </w:t>
      </w:r>
      <w:r w:rsidR="003F6247">
        <w:t xml:space="preserve">New York, NY: </w:t>
      </w:r>
      <w:r w:rsidRPr="00846D05">
        <w:t>National Center for Children in Poverty</w:t>
      </w:r>
      <w:r w:rsidR="00E50BBC">
        <w:t xml:space="preserve">, </w:t>
      </w:r>
      <w:r w:rsidR="003F6247">
        <w:t xml:space="preserve">October </w:t>
      </w:r>
      <w:r w:rsidR="00E50BBC">
        <w:t>2010</w:t>
      </w:r>
      <w:r w:rsidRPr="00846D05">
        <w:t>. Available</w:t>
      </w:r>
      <w:r w:rsidR="00835D6A">
        <w:t xml:space="preserve"> at</w:t>
      </w:r>
      <w:r w:rsidRPr="00846D05">
        <w:t>:</w:t>
      </w:r>
      <w:r w:rsidR="003F6247">
        <w:t xml:space="preserve"> </w:t>
      </w:r>
      <w:hyperlink r:id="rId16" w:history="1">
        <w:r w:rsidR="00835D6A" w:rsidRPr="00EF6453">
          <w:rPr>
            <w:rStyle w:val="Hyperlink"/>
            <w:color w:val="000000" w:themeColor="text1"/>
            <w:u w:val="none"/>
          </w:rPr>
          <w:t>http://www.nccp.org/publications/pub_971.html</w:t>
        </w:r>
      </w:hyperlink>
      <w:r w:rsidR="00835D6A">
        <w:t xml:space="preserve">. </w:t>
      </w:r>
    </w:p>
    <w:p w14:paraId="5F0CB5F6" w14:textId="0F6F42D6" w:rsidR="00C40B15" w:rsidRDefault="00C40B15" w:rsidP="008A2D85">
      <w:pPr>
        <w:pStyle w:val="References"/>
        <w:spacing w:after="120"/>
      </w:pPr>
      <w:r w:rsidRPr="00846D05">
        <w:t xml:space="preserve">Child Care Aware of America. </w:t>
      </w:r>
      <w:r>
        <w:t>“</w:t>
      </w:r>
      <w:r w:rsidRPr="00846D05">
        <w:t xml:space="preserve">Parents and the </w:t>
      </w:r>
      <w:r>
        <w:t>H</w:t>
      </w:r>
      <w:r w:rsidRPr="00846D05">
        <w:t xml:space="preserve">igh </w:t>
      </w:r>
      <w:r>
        <w:t>C</w:t>
      </w:r>
      <w:r w:rsidRPr="00846D05">
        <w:t xml:space="preserve">ost of </w:t>
      </w:r>
      <w:r>
        <w:t>C</w:t>
      </w:r>
      <w:r w:rsidRPr="00846D05">
        <w:t xml:space="preserve">hild </w:t>
      </w:r>
      <w:r>
        <w:t>C</w:t>
      </w:r>
      <w:r w:rsidRPr="00846D05">
        <w:t>are</w:t>
      </w:r>
      <w:r>
        <w:t>:</w:t>
      </w:r>
      <w:r w:rsidRPr="00846D05">
        <w:t xml:space="preserve"> 201</w:t>
      </w:r>
      <w:r w:rsidR="005146AE">
        <w:t>4</w:t>
      </w:r>
      <w:r w:rsidRPr="00846D05">
        <w:t xml:space="preserve"> </w:t>
      </w:r>
      <w:r>
        <w:t>R</w:t>
      </w:r>
      <w:r w:rsidRPr="00846D05">
        <w:t>eport.</w:t>
      </w:r>
      <w:r>
        <w:t xml:space="preserve">” Washington, DC: </w:t>
      </w:r>
      <w:r w:rsidRPr="00846D05">
        <w:t>Child Care Aware of America</w:t>
      </w:r>
      <w:r>
        <w:t>, 201</w:t>
      </w:r>
      <w:r w:rsidR="005146AE">
        <w:t>4</w:t>
      </w:r>
      <w:r w:rsidRPr="00846D05">
        <w:t xml:space="preserve"> Available</w:t>
      </w:r>
      <w:r>
        <w:t xml:space="preserve"> at</w:t>
      </w:r>
      <w:r w:rsidRPr="00846D05">
        <w:t xml:space="preserve"> </w:t>
      </w:r>
      <w:r w:rsidRPr="00EF6453">
        <w:t>http://www.usa.childcareaware.org/costofcare</w:t>
      </w:r>
      <w:r>
        <w:t>.</w:t>
      </w:r>
    </w:p>
    <w:p w14:paraId="4C13A769" w14:textId="2137AC28" w:rsidR="000657BD" w:rsidRPr="00846D05" w:rsidRDefault="000657BD" w:rsidP="008A2D85">
      <w:pPr>
        <w:pStyle w:val="References"/>
        <w:spacing w:after="120"/>
      </w:pPr>
      <w:r w:rsidRPr="00846D05">
        <w:t xml:space="preserve">Child Care Aware of America. </w:t>
      </w:r>
      <w:r w:rsidR="00DB4F6C">
        <w:t>“</w:t>
      </w:r>
      <w:r w:rsidRPr="00846D05">
        <w:t xml:space="preserve">Quality </w:t>
      </w:r>
      <w:r w:rsidR="00DB4F6C">
        <w:t>I</w:t>
      </w:r>
      <w:r w:rsidRPr="00846D05">
        <w:t xml:space="preserve">nfant and </w:t>
      </w:r>
      <w:r w:rsidR="00DB4F6C">
        <w:t>T</w:t>
      </w:r>
      <w:r w:rsidRPr="00846D05">
        <w:t xml:space="preserve">oddler Child </w:t>
      </w:r>
      <w:r w:rsidR="00DB4F6C">
        <w:t>C</w:t>
      </w:r>
      <w:r w:rsidRPr="00846D05">
        <w:t xml:space="preserve">are </w:t>
      </w:r>
      <w:r w:rsidR="00DB4F6C">
        <w:t>M</w:t>
      </w:r>
      <w:r w:rsidRPr="00846D05">
        <w:t>atters.</w:t>
      </w:r>
      <w:r w:rsidR="00DB4F6C">
        <w:t>”</w:t>
      </w:r>
      <w:r w:rsidRPr="00846D05">
        <w:t xml:space="preserve"> </w:t>
      </w:r>
      <w:r w:rsidR="001A7B4A">
        <w:t xml:space="preserve">Washington, DC: </w:t>
      </w:r>
      <w:r w:rsidR="001A7B4A" w:rsidRPr="00846D05">
        <w:t>Child Care Aware of America</w:t>
      </w:r>
      <w:r w:rsidR="001A7B4A">
        <w:t>,</w:t>
      </w:r>
      <w:r w:rsidR="00C807EA">
        <w:t xml:space="preserve"> 2013. </w:t>
      </w:r>
      <w:r w:rsidRPr="00846D05">
        <w:t>Available</w:t>
      </w:r>
      <w:r w:rsidR="00835D6A">
        <w:t xml:space="preserve"> at</w:t>
      </w:r>
      <w:r w:rsidRPr="00846D05">
        <w:t xml:space="preserve"> </w:t>
      </w:r>
      <w:hyperlink r:id="rId17" w:history="1">
        <w:r w:rsidR="00835D6A" w:rsidRPr="00EF6453">
          <w:rPr>
            <w:rStyle w:val="Hyperlink"/>
            <w:color w:val="000000" w:themeColor="text1"/>
            <w:u w:val="none"/>
          </w:rPr>
          <w:t>http://www.naccrra.org/sites/default/files/default_site_pages/2013/quality_infant_and_toddler_care_may2013.pdf</w:t>
        </w:r>
      </w:hyperlink>
      <w:r w:rsidR="00835D6A">
        <w:t>.</w:t>
      </w:r>
      <w:r w:rsidRPr="00846D05">
        <w:t xml:space="preserve"> </w:t>
      </w:r>
    </w:p>
    <w:p w14:paraId="56D58538" w14:textId="1F606695" w:rsidR="009114A1" w:rsidRPr="009114A1" w:rsidRDefault="009114A1" w:rsidP="00B61606">
      <w:pPr>
        <w:pStyle w:val="References"/>
        <w:spacing w:after="120"/>
      </w:pPr>
      <w:r w:rsidRPr="009114A1">
        <w:t xml:space="preserve">Coffey, A., B.L. Holbrook, and P. Atkinson. “Qualitative Data Analysis: Technologies and Representations.” </w:t>
      </w:r>
      <w:r w:rsidRPr="009114A1">
        <w:rPr>
          <w:i/>
          <w:iCs/>
        </w:rPr>
        <w:t>Sociological Research Online</w:t>
      </w:r>
      <w:r w:rsidRPr="009114A1">
        <w:t xml:space="preserve">, vol. 1, no. 1, 1996. </w:t>
      </w:r>
    </w:p>
    <w:p w14:paraId="43954357" w14:textId="7C7E27BB" w:rsidR="00C04E33" w:rsidRPr="00846D05" w:rsidRDefault="00C04E33" w:rsidP="008A2D85">
      <w:pPr>
        <w:pStyle w:val="References"/>
        <w:spacing w:after="120"/>
      </w:pPr>
      <w:proofErr w:type="spellStart"/>
      <w:r w:rsidRPr="00846D05">
        <w:t>Kreader</w:t>
      </w:r>
      <w:proofErr w:type="spellEnd"/>
      <w:r w:rsidRPr="00846D05">
        <w:t xml:space="preserve">, J. L., </w:t>
      </w:r>
      <w:r w:rsidR="009D181A">
        <w:t xml:space="preserve">D. </w:t>
      </w:r>
      <w:r w:rsidRPr="00846D05">
        <w:t xml:space="preserve">Ferguson, </w:t>
      </w:r>
      <w:r w:rsidR="009D181A">
        <w:t>and S.</w:t>
      </w:r>
      <w:r w:rsidRPr="00846D05">
        <w:t xml:space="preserve"> Lawrence. </w:t>
      </w:r>
      <w:r w:rsidR="009D181A">
        <w:t>“</w:t>
      </w:r>
      <w:r w:rsidRPr="00846D05">
        <w:t xml:space="preserve">Infant and </w:t>
      </w:r>
      <w:r w:rsidR="009D181A">
        <w:t>T</w:t>
      </w:r>
      <w:r w:rsidRPr="00846D05">
        <w:t xml:space="preserve">oddler </w:t>
      </w:r>
      <w:r w:rsidR="009D181A">
        <w:t>C</w:t>
      </w:r>
      <w:r w:rsidRPr="00846D05">
        <w:t xml:space="preserve">hild </w:t>
      </w:r>
      <w:r w:rsidR="009D181A">
        <w:t>C</w:t>
      </w:r>
      <w:r w:rsidRPr="00846D05">
        <w:t xml:space="preserve">are </w:t>
      </w:r>
      <w:r w:rsidR="009D181A">
        <w:t>Q</w:t>
      </w:r>
      <w:r w:rsidRPr="00846D05">
        <w:t>uality.</w:t>
      </w:r>
      <w:r w:rsidR="009D181A">
        <w:t>”</w:t>
      </w:r>
      <w:r w:rsidRPr="00846D05">
        <w:t xml:space="preserve"> </w:t>
      </w:r>
      <w:r w:rsidR="009D181A" w:rsidRPr="00B61606">
        <w:rPr>
          <w:i/>
        </w:rPr>
        <w:t>Research-to-Policy Connections,</w:t>
      </w:r>
      <w:r w:rsidR="009D181A">
        <w:t xml:space="preserve"> no. 2, August </w:t>
      </w:r>
      <w:r w:rsidR="009D181A" w:rsidRPr="00846D05">
        <w:t xml:space="preserve">2005. </w:t>
      </w:r>
      <w:r w:rsidRPr="00846D05">
        <w:t>Available</w:t>
      </w:r>
      <w:r w:rsidR="00835D6A">
        <w:t xml:space="preserve"> at</w:t>
      </w:r>
      <w:r w:rsidRPr="00846D05">
        <w:t xml:space="preserve"> </w:t>
      </w:r>
      <w:hyperlink r:id="rId18" w:history="1">
        <w:r w:rsidR="008A2D85" w:rsidRPr="008A2D85">
          <w:rPr>
            <w:rStyle w:val="Hyperlink"/>
            <w:color w:val="000000" w:themeColor="text1"/>
            <w:u w:val="none"/>
          </w:rPr>
          <w:t>http://www.nccp.org/publications/pdf/text_626.pdf</w:t>
        </w:r>
      </w:hyperlink>
      <w:r w:rsidR="00835D6A">
        <w:t xml:space="preserve">. </w:t>
      </w:r>
      <w:r w:rsidRPr="00846D05">
        <w:t xml:space="preserve"> </w:t>
      </w:r>
    </w:p>
    <w:p w14:paraId="05613C8F" w14:textId="217097A1" w:rsidR="005146AE" w:rsidRPr="007D7E70" w:rsidRDefault="005146AE" w:rsidP="00B61606">
      <w:pPr>
        <w:pStyle w:val="References"/>
      </w:pPr>
      <w:r w:rsidRPr="00B61606">
        <w:rPr>
          <w:rFonts w:eastAsiaTheme="minorEastAsia"/>
        </w:rPr>
        <w:t xml:space="preserve">National Survey of Early Care and Education Project Team. </w:t>
      </w:r>
      <w:r w:rsidR="00273660">
        <w:rPr>
          <w:rFonts w:eastAsiaTheme="minorEastAsia"/>
        </w:rPr>
        <w:t>“</w:t>
      </w:r>
      <w:r w:rsidRPr="00B61606">
        <w:rPr>
          <w:rFonts w:eastAsiaTheme="minorEastAsia"/>
        </w:rPr>
        <w:t>Number and Characteristi</w:t>
      </w:r>
      <w:r w:rsidR="008316F3" w:rsidRPr="007D7E70">
        <w:rPr>
          <w:rFonts w:eastAsiaTheme="minorEastAsia"/>
        </w:rPr>
        <w:t xml:space="preserve">cs of Early Care and Education </w:t>
      </w:r>
      <w:r w:rsidRPr="00B61606">
        <w:rPr>
          <w:rFonts w:eastAsiaTheme="minorEastAsia"/>
        </w:rPr>
        <w:t>Teachers and Caregivers: Initial Findings from the National Survey of Early Care and Education (NSECE).</w:t>
      </w:r>
      <w:r w:rsidR="00273660">
        <w:rPr>
          <w:rFonts w:eastAsiaTheme="minorEastAsia"/>
        </w:rPr>
        <w:t>”</w:t>
      </w:r>
      <w:r w:rsidRPr="00B61606">
        <w:rPr>
          <w:rFonts w:eastAsiaTheme="minorEastAsia"/>
        </w:rPr>
        <w:t xml:space="preserve"> OPRE Report #2013-38, Washington DC: Office of Planning, Research and Evaluation, Administration for Children and Families, U.S. Department of Health and Human Services</w:t>
      </w:r>
      <w:r w:rsidR="00273660">
        <w:rPr>
          <w:rFonts w:eastAsiaTheme="minorEastAsia"/>
        </w:rPr>
        <w:t>, 2013</w:t>
      </w:r>
      <w:r w:rsidRPr="00B61606">
        <w:rPr>
          <w:rFonts w:eastAsiaTheme="minorEastAsia"/>
        </w:rPr>
        <w:t xml:space="preserve">. </w:t>
      </w:r>
      <w:r w:rsidR="00273660">
        <w:rPr>
          <w:rFonts w:eastAsiaTheme="minorEastAsia"/>
        </w:rPr>
        <w:t xml:space="preserve">Available at </w:t>
      </w:r>
      <w:hyperlink r:id="rId19" w:history="1">
        <w:r w:rsidR="00273660" w:rsidRPr="00EF6453">
          <w:rPr>
            <w:rStyle w:val="Hyperlink"/>
            <w:rFonts w:eastAsiaTheme="minorEastAsia"/>
            <w:color w:val="000000" w:themeColor="text1"/>
            <w:u w:val="none"/>
          </w:rPr>
          <w:t>http://www.acf.hhs.gov/sites/default/files/opre/nsece_wf_brief_102913_0.pdf</w:t>
        </w:r>
      </w:hyperlink>
      <w:r w:rsidR="00273660">
        <w:rPr>
          <w:rFonts w:eastAsiaTheme="minorEastAsia"/>
        </w:rPr>
        <w:t xml:space="preserve">. </w:t>
      </w:r>
      <w:r w:rsidR="00273660" w:rsidRPr="007D7E70" w:rsidDel="005146AE">
        <w:rPr>
          <w:rFonts w:eastAsiaTheme="minorEastAsia"/>
        </w:rPr>
        <w:t xml:space="preserve"> </w:t>
      </w:r>
    </w:p>
    <w:p w14:paraId="5648DE32" w14:textId="746BD1C5" w:rsidR="000657BD" w:rsidRDefault="00C04E33" w:rsidP="008A2D85">
      <w:pPr>
        <w:pStyle w:val="References"/>
        <w:spacing w:after="120"/>
      </w:pPr>
      <w:proofErr w:type="spellStart"/>
      <w:r w:rsidRPr="00846D05">
        <w:t>Schmit</w:t>
      </w:r>
      <w:proofErr w:type="spellEnd"/>
      <w:r w:rsidRPr="00846D05">
        <w:t>, S.</w:t>
      </w:r>
      <w:r w:rsidR="00693B4B">
        <w:t>,</w:t>
      </w:r>
      <w:r w:rsidRPr="00846D05">
        <w:t xml:space="preserve"> and </w:t>
      </w:r>
      <w:r w:rsidR="001A7B4A">
        <w:t>H</w:t>
      </w:r>
      <w:r w:rsidR="00693B4B">
        <w:t xml:space="preserve">. </w:t>
      </w:r>
      <w:r w:rsidRPr="00846D05">
        <w:t xml:space="preserve">Matthews. </w:t>
      </w:r>
      <w:r w:rsidR="00693B4B">
        <w:t>“</w:t>
      </w:r>
      <w:r w:rsidRPr="00846D05">
        <w:t xml:space="preserve">Better for </w:t>
      </w:r>
      <w:r w:rsidR="00693B4B">
        <w:t>B</w:t>
      </w:r>
      <w:r w:rsidRPr="00846D05">
        <w:t xml:space="preserve">abies: A </w:t>
      </w:r>
      <w:r w:rsidR="009D181A">
        <w:t>S</w:t>
      </w:r>
      <w:r w:rsidRPr="00846D05">
        <w:t xml:space="preserve">tudy of </w:t>
      </w:r>
      <w:r w:rsidR="00693B4B">
        <w:t>I</w:t>
      </w:r>
      <w:r w:rsidRPr="00846D05">
        <w:t xml:space="preserve">nfant and </w:t>
      </w:r>
      <w:r w:rsidR="00693B4B">
        <w:t>T</w:t>
      </w:r>
      <w:r w:rsidRPr="00846D05">
        <w:t xml:space="preserve">oddler </w:t>
      </w:r>
      <w:r w:rsidR="00693B4B">
        <w:t>C</w:t>
      </w:r>
      <w:r w:rsidRPr="00846D05">
        <w:t xml:space="preserve">hild </w:t>
      </w:r>
      <w:r w:rsidR="00693B4B">
        <w:t>C</w:t>
      </w:r>
      <w:r w:rsidRPr="00846D05">
        <w:t xml:space="preserve">are </w:t>
      </w:r>
      <w:r w:rsidR="00693B4B">
        <w:t>P</w:t>
      </w:r>
      <w:r w:rsidRPr="00846D05">
        <w:t>olicies.</w:t>
      </w:r>
      <w:r w:rsidR="00693B4B">
        <w:t>”</w:t>
      </w:r>
      <w:r w:rsidRPr="00846D05">
        <w:t xml:space="preserve"> </w:t>
      </w:r>
      <w:r w:rsidR="001A7B4A">
        <w:t xml:space="preserve">Washington, DC: Center for Law and Social Policy, </w:t>
      </w:r>
      <w:r w:rsidR="00DB4F6C">
        <w:t xml:space="preserve">August </w:t>
      </w:r>
      <w:r w:rsidR="00693B4B" w:rsidRPr="00846D05">
        <w:t xml:space="preserve">2013. </w:t>
      </w:r>
      <w:r w:rsidRPr="00846D05">
        <w:t>Available</w:t>
      </w:r>
      <w:r w:rsidR="00835D6A">
        <w:t xml:space="preserve"> at</w:t>
      </w:r>
      <w:r w:rsidR="00693B4B">
        <w:t xml:space="preserve"> </w:t>
      </w:r>
      <w:hyperlink r:id="rId20" w:history="1">
        <w:r w:rsidR="00835D6A" w:rsidRPr="00EF6453">
          <w:rPr>
            <w:rStyle w:val="Hyperlink"/>
            <w:color w:val="000000" w:themeColor="text1"/>
            <w:u w:val="none"/>
          </w:rPr>
          <w:t>http://www.clasp.org/docs/BetterforBabies2.pdf</w:t>
        </w:r>
      </w:hyperlink>
      <w:r w:rsidR="00835D6A">
        <w:t xml:space="preserve">. </w:t>
      </w:r>
    </w:p>
    <w:p w14:paraId="78A36949" w14:textId="77777777" w:rsidR="000251A4" w:rsidRPr="00C90BBE" w:rsidRDefault="000251A4" w:rsidP="000251A4">
      <w:pPr>
        <w:pStyle w:val="References"/>
        <w:rPr>
          <w:color w:val="000000"/>
        </w:rPr>
      </w:pPr>
      <w:proofErr w:type="spellStart"/>
      <w:r w:rsidRPr="00C90BBE">
        <w:rPr>
          <w:color w:val="000000"/>
        </w:rPr>
        <w:t>Shewhart</w:t>
      </w:r>
      <w:proofErr w:type="spellEnd"/>
      <w:r w:rsidRPr="00C90BBE">
        <w:rPr>
          <w:color w:val="000000"/>
        </w:rPr>
        <w:t xml:space="preserve">, W.A. </w:t>
      </w:r>
      <w:r w:rsidRPr="00C90BBE">
        <w:rPr>
          <w:i/>
          <w:color w:val="000000"/>
        </w:rPr>
        <w:t xml:space="preserve">Economic Control of Quality of Manufactured Product. </w:t>
      </w:r>
      <w:r w:rsidRPr="00C90BBE">
        <w:rPr>
          <w:color w:val="000000"/>
        </w:rPr>
        <w:t xml:space="preserve">New York: Van </w:t>
      </w:r>
      <w:proofErr w:type="spellStart"/>
      <w:r w:rsidRPr="00C90BBE">
        <w:rPr>
          <w:color w:val="000000"/>
        </w:rPr>
        <w:t>Nostrand</w:t>
      </w:r>
      <w:proofErr w:type="spellEnd"/>
      <w:r w:rsidRPr="00C90BBE">
        <w:rPr>
          <w:color w:val="000000"/>
        </w:rPr>
        <w:t xml:space="preserve">, 1931.  </w:t>
      </w:r>
    </w:p>
    <w:p w14:paraId="7A111FBF" w14:textId="77777777" w:rsidR="009114A1" w:rsidRPr="009114A1" w:rsidRDefault="009114A1" w:rsidP="008A2D85">
      <w:pPr>
        <w:pStyle w:val="References"/>
      </w:pPr>
      <w:r w:rsidRPr="009114A1">
        <w:t xml:space="preserve">Yin, R. </w:t>
      </w:r>
      <w:r w:rsidRPr="009114A1">
        <w:rPr>
          <w:i/>
          <w:iCs/>
        </w:rPr>
        <w:t>Case Study Research: Design and Methods,</w:t>
      </w:r>
      <w:r w:rsidRPr="009114A1">
        <w:t xml:space="preserve"> 2nd ed. Thousand Oaks, CA: Sage Publishing, 1994.</w:t>
      </w:r>
    </w:p>
    <w:p w14:paraId="3A22FAFD" w14:textId="77777777" w:rsidR="008936ED" w:rsidRDefault="008936ED" w:rsidP="008A2D85">
      <w:pPr>
        <w:pStyle w:val="References"/>
        <w:spacing w:after="120"/>
        <w:jc w:val="both"/>
      </w:pPr>
    </w:p>
    <w:sectPr w:rsidR="008936ED" w:rsidSect="00D96177">
      <w:endnotePr>
        <w:numFmt w:val="decimal"/>
      </w:endnotePr>
      <w:pgSz w:w="12240" w:h="15840" w:code="1"/>
      <w:pgMar w:top="1440" w:right="1440" w:bottom="1440"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FDF71" w15:done="0"/>
  <w15:commentEx w15:paraId="005B7BE6" w15:paraIdParent="5A7FDF71" w15:done="0"/>
  <w15:commentEx w15:paraId="2C5A7A9A" w15:done="0"/>
  <w15:commentEx w15:paraId="525BF36F" w15:paraIdParent="2C5A7A9A" w15:done="0"/>
  <w15:commentEx w15:paraId="1FDAA6A3" w15:done="0"/>
  <w15:commentEx w15:paraId="4C8BEBFC" w15:paraIdParent="1FDAA6A3" w15:done="0"/>
  <w15:commentEx w15:paraId="670059CF" w15:done="0"/>
  <w15:commentEx w15:paraId="402CACBE" w15:paraIdParent="670059CF" w15:done="0"/>
  <w15:commentEx w15:paraId="6A10A799" w15:done="0"/>
  <w15:commentEx w15:paraId="0E738987" w15:paraIdParent="6A10A799" w15:done="0"/>
  <w15:commentEx w15:paraId="41C94286" w15:done="0"/>
  <w15:commentEx w15:paraId="47D3309F" w15:paraIdParent="41C94286" w15:done="0"/>
  <w15:commentEx w15:paraId="7E4CE884" w15:done="0"/>
  <w15:commentEx w15:paraId="17D886CD" w15:paraIdParent="7E4CE884" w15:done="0"/>
  <w15:commentEx w15:paraId="20F5D8D9" w15:done="0"/>
  <w15:commentEx w15:paraId="1FD685E3" w15:paraIdParent="20F5D8D9" w15:done="0"/>
  <w15:commentEx w15:paraId="49BA4556" w15:done="0"/>
  <w15:commentEx w15:paraId="3E98A4BA" w15:paraIdParent="49BA4556" w15:done="0"/>
  <w15:commentEx w15:paraId="4CC6C036" w15:done="0"/>
  <w15:commentEx w15:paraId="2D3DCBA5" w15:paraIdParent="4CC6C036" w15:done="0"/>
  <w15:commentEx w15:paraId="257C887C" w15:done="0"/>
  <w15:commentEx w15:paraId="1098A3B9" w15:paraIdParent="257C887C" w15:done="0"/>
  <w15:commentEx w15:paraId="1492D4C8" w15:done="0"/>
  <w15:commentEx w15:paraId="30CBD496" w15:paraIdParent="1492D4C8" w15:done="0"/>
  <w15:commentEx w15:paraId="42C8F36D" w15:done="0"/>
  <w15:commentEx w15:paraId="1B94F783" w15:paraIdParent="42C8F36D" w15:done="0"/>
  <w15:commentEx w15:paraId="30D6ADA7" w15:done="0"/>
  <w15:commentEx w15:paraId="419057CD" w15:paraIdParent="30D6ADA7" w15:done="0"/>
  <w15:commentEx w15:paraId="51DEB5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EB7EF" w14:textId="77777777" w:rsidR="00CA3621" w:rsidRDefault="00CA3621" w:rsidP="002E3E35">
      <w:pPr>
        <w:spacing w:line="240" w:lineRule="auto"/>
      </w:pPr>
      <w:r>
        <w:separator/>
      </w:r>
    </w:p>
  </w:endnote>
  <w:endnote w:type="continuationSeparator" w:id="0">
    <w:p w14:paraId="3DB24A66" w14:textId="77777777" w:rsidR="00CA3621" w:rsidRDefault="00CA3621" w:rsidP="002E3E35">
      <w:pPr>
        <w:spacing w:line="240" w:lineRule="auto"/>
      </w:pPr>
      <w:r>
        <w:continuationSeparator/>
      </w:r>
    </w:p>
  </w:endnote>
  <w:endnote w:type="continuationNotice" w:id="1">
    <w:p w14:paraId="66B5F205" w14:textId="77777777" w:rsidR="00CA3621" w:rsidRDefault="00CA36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4538" w14:textId="26D0E289" w:rsidR="00F44EF7" w:rsidRPr="008F3996" w:rsidRDefault="00F44EF7" w:rsidP="008F3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F8453" w14:textId="77777777" w:rsidR="00F44EF7" w:rsidRPr="00A12B64" w:rsidRDefault="00F44EF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9B41E38" w14:textId="77777777" w:rsidR="00F44EF7" w:rsidRDefault="00F44EF7" w:rsidP="00455D47">
    <w:pPr>
      <w:pStyle w:val="Footer"/>
      <w:pBdr>
        <w:top w:val="single" w:sz="2" w:space="1" w:color="auto"/>
        <w:bottom w:val="none" w:sz="0" w:space="0" w:color="auto"/>
      </w:pBdr>
      <w:spacing w:line="192" w:lineRule="auto"/>
      <w:rPr>
        <w:rStyle w:val="PageNumber"/>
      </w:rPr>
    </w:pPr>
  </w:p>
  <w:p w14:paraId="6DF841C7" w14:textId="75C941B3" w:rsidR="00F44EF7" w:rsidRPr="00964AB7" w:rsidRDefault="00F44EF7" w:rsidP="00EF6453">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F3996">
      <w:rPr>
        <w:rStyle w:val="PageNumber"/>
        <w:noProof/>
      </w:rPr>
      <w:t>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BB690" w14:textId="77777777" w:rsidR="00CA3621" w:rsidRDefault="00CA3621" w:rsidP="00203E3B">
      <w:pPr>
        <w:spacing w:line="240" w:lineRule="auto"/>
        <w:ind w:firstLine="0"/>
      </w:pPr>
      <w:r>
        <w:separator/>
      </w:r>
    </w:p>
  </w:footnote>
  <w:footnote w:type="continuationSeparator" w:id="0">
    <w:p w14:paraId="7B04F3AD" w14:textId="77777777" w:rsidR="00CA3621" w:rsidRDefault="00CA3621" w:rsidP="00203E3B">
      <w:pPr>
        <w:spacing w:line="240" w:lineRule="auto"/>
        <w:ind w:firstLine="0"/>
      </w:pPr>
      <w:r>
        <w:separator/>
      </w:r>
    </w:p>
    <w:p w14:paraId="08052033" w14:textId="77777777" w:rsidR="00CA3621" w:rsidRPr="00157CA2" w:rsidRDefault="00CA3621"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692D26CB" w14:textId="77777777" w:rsidR="00CA3621" w:rsidRDefault="00CA362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4AA9" w14:textId="58E505BC" w:rsidR="00F44EF7" w:rsidRPr="001575C9" w:rsidRDefault="00F44EF7" w:rsidP="001575C9">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53A4" w14:textId="2FD8F1A2" w:rsidR="00F44EF7" w:rsidRPr="001575C9" w:rsidRDefault="00F44EF7" w:rsidP="007F2342">
    <w:pPr>
      <w:pStyle w:val="Header"/>
    </w:pPr>
    <w:r w:rsidRPr="007F2342">
      <w:t>supporting statement: part A</w:t>
    </w:r>
    <w:r w:rsidRPr="007F2342">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4DAF"/>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20575E7"/>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D46808"/>
    <w:multiLevelType w:val="hybridMultilevel"/>
    <w:tmpl w:val="AEFEC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D5734E"/>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5982A83"/>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9C6048B"/>
    <w:multiLevelType w:val="singleLevel"/>
    <w:tmpl w:val="3EDC0522"/>
    <w:lvl w:ilvl="0">
      <w:start w:val="1"/>
      <w:numFmt w:val="decimal"/>
      <w:pStyle w:val="NumberedBullet"/>
      <w:lvlText w:val="%1."/>
      <w:lvlJc w:val="left"/>
      <w:pPr>
        <w:tabs>
          <w:tab w:val="num" w:pos="792"/>
        </w:tabs>
        <w:ind w:left="792" w:hanging="360"/>
      </w:pPr>
      <w:rPr>
        <w:rFonts w:hint="default"/>
        <w:b w:val="0"/>
      </w:rPr>
    </w:lvl>
  </w:abstractNum>
  <w:abstractNum w:abstractNumId="10">
    <w:nsid w:val="4CC61C70"/>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B0EAF"/>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DA837C5"/>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D094CC0"/>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E6A8D"/>
    <w:multiLevelType w:val="hybridMultilevel"/>
    <w:tmpl w:val="B2CCB9D0"/>
    <w:lvl w:ilvl="0" w:tplc="12B4C8D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FF816D5"/>
    <w:multiLevelType w:val="hybridMultilevel"/>
    <w:tmpl w:val="23E0C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18"/>
  </w:num>
  <w:num w:numId="4">
    <w:abstractNumId w:val="3"/>
  </w:num>
  <w:num w:numId="5">
    <w:abstractNumId w:val="17"/>
  </w:num>
  <w:num w:numId="6">
    <w:abstractNumId w:val="14"/>
  </w:num>
  <w:num w:numId="7">
    <w:abstractNumId w:val="9"/>
  </w:num>
  <w:num w:numId="8">
    <w:abstractNumId w:val="5"/>
  </w:num>
  <w:num w:numId="9">
    <w:abstractNumId w:val="1"/>
  </w:num>
  <w:num w:numId="10">
    <w:abstractNumId w:val="2"/>
  </w:num>
  <w:num w:numId="11">
    <w:abstractNumId w:val="20"/>
  </w:num>
  <w:num w:numId="12">
    <w:abstractNumId w:val="19"/>
  </w:num>
  <w:num w:numId="13">
    <w:abstractNumId w:val="7"/>
  </w:num>
  <w:num w:numId="14">
    <w:abstractNumId w:val="6"/>
  </w:num>
  <w:num w:numId="15">
    <w:abstractNumId w:val="0"/>
  </w:num>
  <w:num w:numId="16">
    <w:abstractNumId w:val="8"/>
  </w:num>
  <w:num w:numId="17">
    <w:abstractNumId w:val="10"/>
  </w:num>
  <w:num w:numId="18">
    <w:abstractNumId w:val="15"/>
  </w:num>
  <w:num w:numId="19">
    <w:abstractNumId w:val="13"/>
  </w:num>
  <w:num w:numId="20">
    <w:abstractNumId w:val="4"/>
  </w:num>
  <w:num w:numId="21">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Del Grosso">
    <w15:presenceInfo w15:providerId="AD" w15:userId="S-1-5-21-484763869-796845957-839522115-17156"/>
  </w15:person>
  <w15:person w15:author="Cassandra Meagher">
    <w15:presenceInfo w15:providerId="AD" w15:userId="S-1-5-21-484763869-796845957-839522115-16803"/>
  </w15:person>
  <w15:person w15:author="Conner, Catina">
    <w15:presenceInfo w15:providerId="AD" w15:userId="S-1-5-21-1454471165-117609710-725345543-428906"/>
  </w15:person>
  <w15:person w15:author="Scilla Albanese">
    <w15:presenceInfo w15:providerId="AD" w15:userId="S-1-5-21-484763869-796845957-839522115-22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74"/>
    <w:rsid w:val="00000C65"/>
    <w:rsid w:val="00001633"/>
    <w:rsid w:val="0000192E"/>
    <w:rsid w:val="000030B1"/>
    <w:rsid w:val="00010CEE"/>
    <w:rsid w:val="0001375C"/>
    <w:rsid w:val="0001587F"/>
    <w:rsid w:val="00016D34"/>
    <w:rsid w:val="000212FC"/>
    <w:rsid w:val="00022A0A"/>
    <w:rsid w:val="0002322B"/>
    <w:rsid w:val="000251A4"/>
    <w:rsid w:val="00026F68"/>
    <w:rsid w:val="000273D6"/>
    <w:rsid w:val="0002754E"/>
    <w:rsid w:val="00027CB1"/>
    <w:rsid w:val="0003265D"/>
    <w:rsid w:val="00032E4E"/>
    <w:rsid w:val="00033AF0"/>
    <w:rsid w:val="00034667"/>
    <w:rsid w:val="00034FAF"/>
    <w:rsid w:val="00036E7F"/>
    <w:rsid w:val="000405F7"/>
    <w:rsid w:val="00040B2C"/>
    <w:rsid w:val="00041A98"/>
    <w:rsid w:val="000423BE"/>
    <w:rsid w:val="00042419"/>
    <w:rsid w:val="00042FA8"/>
    <w:rsid w:val="00043329"/>
    <w:rsid w:val="00043554"/>
    <w:rsid w:val="00043B27"/>
    <w:rsid w:val="00044069"/>
    <w:rsid w:val="000445DC"/>
    <w:rsid w:val="0004466F"/>
    <w:rsid w:val="00044E82"/>
    <w:rsid w:val="00045204"/>
    <w:rsid w:val="00047BDD"/>
    <w:rsid w:val="00052A5D"/>
    <w:rsid w:val="000554A1"/>
    <w:rsid w:val="00055807"/>
    <w:rsid w:val="00056BC1"/>
    <w:rsid w:val="00056EB7"/>
    <w:rsid w:val="000575D5"/>
    <w:rsid w:val="000576A4"/>
    <w:rsid w:val="000578BB"/>
    <w:rsid w:val="00060579"/>
    <w:rsid w:val="000633AA"/>
    <w:rsid w:val="00064F9D"/>
    <w:rsid w:val="000657BD"/>
    <w:rsid w:val="00067A39"/>
    <w:rsid w:val="0007041A"/>
    <w:rsid w:val="00072D8F"/>
    <w:rsid w:val="000777DB"/>
    <w:rsid w:val="0008519A"/>
    <w:rsid w:val="000855BD"/>
    <w:rsid w:val="00086066"/>
    <w:rsid w:val="00087D6A"/>
    <w:rsid w:val="000912C7"/>
    <w:rsid w:val="0009143A"/>
    <w:rsid w:val="00092181"/>
    <w:rsid w:val="00095543"/>
    <w:rsid w:val="000972E1"/>
    <w:rsid w:val="0009771A"/>
    <w:rsid w:val="000A1851"/>
    <w:rsid w:val="000A2181"/>
    <w:rsid w:val="000A2330"/>
    <w:rsid w:val="000A3502"/>
    <w:rsid w:val="000A5A8D"/>
    <w:rsid w:val="000A640A"/>
    <w:rsid w:val="000A6591"/>
    <w:rsid w:val="000A6605"/>
    <w:rsid w:val="000A7604"/>
    <w:rsid w:val="000A7FB4"/>
    <w:rsid w:val="000B521D"/>
    <w:rsid w:val="000B555A"/>
    <w:rsid w:val="000B60EA"/>
    <w:rsid w:val="000B764C"/>
    <w:rsid w:val="000B76B6"/>
    <w:rsid w:val="000C0B4E"/>
    <w:rsid w:val="000C2E3B"/>
    <w:rsid w:val="000C413E"/>
    <w:rsid w:val="000C43C0"/>
    <w:rsid w:val="000C5FAB"/>
    <w:rsid w:val="000C74CE"/>
    <w:rsid w:val="000C7D4D"/>
    <w:rsid w:val="000D5B34"/>
    <w:rsid w:val="000D6543"/>
    <w:rsid w:val="000D6D88"/>
    <w:rsid w:val="000D751A"/>
    <w:rsid w:val="000E0694"/>
    <w:rsid w:val="000E1129"/>
    <w:rsid w:val="000E1C2B"/>
    <w:rsid w:val="000E2169"/>
    <w:rsid w:val="000E29B4"/>
    <w:rsid w:val="000E2AB8"/>
    <w:rsid w:val="000E40FD"/>
    <w:rsid w:val="000E4C3F"/>
    <w:rsid w:val="000E50A5"/>
    <w:rsid w:val="000F0742"/>
    <w:rsid w:val="000F3595"/>
    <w:rsid w:val="000F677B"/>
    <w:rsid w:val="000F6BFA"/>
    <w:rsid w:val="000F78B2"/>
    <w:rsid w:val="001004A7"/>
    <w:rsid w:val="00100CC3"/>
    <w:rsid w:val="001010B9"/>
    <w:rsid w:val="00101D3C"/>
    <w:rsid w:val="00103391"/>
    <w:rsid w:val="00106A7A"/>
    <w:rsid w:val="00107F78"/>
    <w:rsid w:val="001119F8"/>
    <w:rsid w:val="00112A5E"/>
    <w:rsid w:val="00113860"/>
    <w:rsid w:val="00113CC8"/>
    <w:rsid w:val="00113E5A"/>
    <w:rsid w:val="0011439B"/>
    <w:rsid w:val="001147A1"/>
    <w:rsid w:val="0011556C"/>
    <w:rsid w:val="00120737"/>
    <w:rsid w:val="0012114B"/>
    <w:rsid w:val="00122C2C"/>
    <w:rsid w:val="00123201"/>
    <w:rsid w:val="00124CD0"/>
    <w:rsid w:val="00124EA3"/>
    <w:rsid w:val="00125213"/>
    <w:rsid w:val="00130C03"/>
    <w:rsid w:val="001311F7"/>
    <w:rsid w:val="0013184F"/>
    <w:rsid w:val="00131D22"/>
    <w:rsid w:val="00131F00"/>
    <w:rsid w:val="00132F15"/>
    <w:rsid w:val="0013346F"/>
    <w:rsid w:val="00134E57"/>
    <w:rsid w:val="00135EB7"/>
    <w:rsid w:val="0013709C"/>
    <w:rsid w:val="001428AA"/>
    <w:rsid w:val="00142C70"/>
    <w:rsid w:val="001448BA"/>
    <w:rsid w:val="00146CE3"/>
    <w:rsid w:val="00147515"/>
    <w:rsid w:val="001479C6"/>
    <w:rsid w:val="00147A74"/>
    <w:rsid w:val="001503F9"/>
    <w:rsid w:val="001508E4"/>
    <w:rsid w:val="00154DF1"/>
    <w:rsid w:val="00155D06"/>
    <w:rsid w:val="001575C9"/>
    <w:rsid w:val="00157954"/>
    <w:rsid w:val="00157CA2"/>
    <w:rsid w:val="00160421"/>
    <w:rsid w:val="00161704"/>
    <w:rsid w:val="001649D5"/>
    <w:rsid w:val="00164BC2"/>
    <w:rsid w:val="00164F01"/>
    <w:rsid w:val="00164FAD"/>
    <w:rsid w:val="001658A7"/>
    <w:rsid w:val="00166674"/>
    <w:rsid w:val="001700C0"/>
    <w:rsid w:val="001703F4"/>
    <w:rsid w:val="001720D7"/>
    <w:rsid w:val="001739F1"/>
    <w:rsid w:val="001761AE"/>
    <w:rsid w:val="00181059"/>
    <w:rsid w:val="00181AC8"/>
    <w:rsid w:val="00184421"/>
    <w:rsid w:val="00184DC2"/>
    <w:rsid w:val="00185CEF"/>
    <w:rsid w:val="0018702B"/>
    <w:rsid w:val="001904BE"/>
    <w:rsid w:val="00190B01"/>
    <w:rsid w:val="00191D0A"/>
    <w:rsid w:val="001921A4"/>
    <w:rsid w:val="00193E2C"/>
    <w:rsid w:val="00194A0E"/>
    <w:rsid w:val="00195794"/>
    <w:rsid w:val="001957F9"/>
    <w:rsid w:val="001969F1"/>
    <w:rsid w:val="00196E5A"/>
    <w:rsid w:val="001971D5"/>
    <w:rsid w:val="00197503"/>
    <w:rsid w:val="001A0620"/>
    <w:rsid w:val="001A24FE"/>
    <w:rsid w:val="001A2A09"/>
    <w:rsid w:val="001A3781"/>
    <w:rsid w:val="001A53FC"/>
    <w:rsid w:val="001A7B4A"/>
    <w:rsid w:val="001B107D"/>
    <w:rsid w:val="001B160E"/>
    <w:rsid w:val="001B2B66"/>
    <w:rsid w:val="001B4842"/>
    <w:rsid w:val="001B65CD"/>
    <w:rsid w:val="001B7191"/>
    <w:rsid w:val="001C00F8"/>
    <w:rsid w:val="001C076E"/>
    <w:rsid w:val="001C4AE0"/>
    <w:rsid w:val="001C5EB8"/>
    <w:rsid w:val="001C5EFA"/>
    <w:rsid w:val="001C7FBE"/>
    <w:rsid w:val="001D0F0F"/>
    <w:rsid w:val="001D1ECA"/>
    <w:rsid w:val="001D305B"/>
    <w:rsid w:val="001D3544"/>
    <w:rsid w:val="001D39AA"/>
    <w:rsid w:val="001D39EC"/>
    <w:rsid w:val="001D418D"/>
    <w:rsid w:val="001D5219"/>
    <w:rsid w:val="001D6326"/>
    <w:rsid w:val="001D661F"/>
    <w:rsid w:val="001D6A0C"/>
    <w:rsid w:val="001D7980"/>
    <w:rsid w:val="001D7B65"/>
    <w:rsid w:val="001E0562"/>
    <w:rsid w:val="001E497F"/>
    <w:rsid w:val="001E57C5"/>
    <w:rsid w:val="001E57E7"/>
    <w:rsid w:val="001E58C6"/>
    <w:rsid w:val="001E6A60"/>
    <w:rsid w:val="001E6E5A"/>
    <w:rsid w:val="001F416F"/>
    <w:rsid w:val="001F5DDC"/>
    <w:rsid w:val="00200E80"/>
    <w:rsid w:val="00201E7E"/>
    <w:rsid w:val="00203E3B"/>
    <w:rsid w:val="00203F25"/>
    <w:rsid w:val="00204AB9"/>
    <w:rsid w:val="00204B23"/>
    <w:rsid w:val="002050B7"/>
    <w:rsid w:val="0020611C"/>
    <w:rsid w:val="00211834"/>
    <w:rsid w:val="002127F7"/>
    <w:rsid w:val="00214E0B"/>
    <w:rsid w:val="00215C5A"/>
    <w:rsid w:val="00215E4D"/>
    <w:rsid w:val="002166BC"/>
    <w:rsid w:val="00217FA0"/>
    <w:rsid w:val="00222665"/>
    <w:rsid w:val="00222BED"/>
    <w:rsid w:val="00222D04"/>
    <w:rsid w:val="00222E56"/>
    <w:rsid w:val="00223300"/>
    <w:rsid w:val="00223FBA"/>
    <w:rsid w:val="00224EFD"/>
    <w:rsid w:val="00225954"/>
    <w:rsid w:val="00226A76"/>
    <w:rsid w:val="0022714B"/>
    <w:rsid w:val="002272CB"/>
    <w:rsid w:val="002314E2"/>
    <w:rsid w:val="00231607"/>
    <w:rsid w:val="002339C1"/>
    <w:rsid w:val="00234BC3"/>
    <w:rsid w:val="00235896"/>
    <w:rsid w:val="00235F43"/>
    <w:rsid w:val="0023638D"/>
    <w:rsid w:val="002368BD"/>
    <w:rsid w:val="002376EC"/>
    <w:rsid w:val="00240F7E"/>
    <w:rsid w:val="00242079"/>
    <w:rsid w:val="00242980"/>
    <w:rsid w:val="00243CBF"/>
    <w:rsid w:val="00244A11"/>
    <w:rsid w:val="00245E77"/>
    <w:rsid w:val="002466CC"/>
    <w:rsid w:val="00247945"/>
    <w:rsid w:val="00251DBB"/>
    <w:rsid w:val="00254C89"/>
    <w:rsid w:val="00254E2D"/>
    <w:rsid w:val="00256D04"/>
    <w:rsid w:val="0026025C"/>
    <w:rsid w:val="00260ABE"/>
    <w:rsid w:val="0026207A"/>
    <w:rsid w:val="0026372A"/>
    <w:rsid w:val="00263A53"/>
    <w:rsid w:val="0026458C"/>
    <w:rsid w:val="0026713B"/>
    <w:rsid w:val="00267D51"/>
    <w:rsid w:val="00271C83"/>
    <w:rsid w:val="0027245E"/>
    <w:rsid w:val="00272B66"/>
    <w:rsid w:val="002733A4"/>
    <w:rsid w:val="002734D2"/>
    <w:rsid w:val="00273660"/>
    <w:rsid w:val="0027466C"/>
    <w:rsid w:val="00274A5B"/>
    <w:rsid w:val="00280291"/>
    <w:rsid w:val="002817A6"/>
    <w:rsid w:val="00283304"/>
    <w:rsid w:val="0028360E"/>
    <w:rsid w:val="00284454"/>
    <w:rsid w:val="002860F3"/>
    <w:rsid w:val="002869EF"/>
    <w:rsid w:val="00287FC0"/>
    <w:rsid w:val="0029011D"/>
    <w:rsid w:val="0029042C"/>
    <w:rsid w:val="00290AC3"/>
    <w:rsid w:val="00292A7F"/>
    <w:rsid w:val="0029316B"/>
    <w:rsid w:val="00293F11"/>
    <w:rsid w:val="00294B21"/>
    <w:rsid w:val="00296E15"/>
    <w:rsid w:val="00297266"/>
    <w:rsid w:val="002A00E4"/>
    <w:rsid w:val="002A2808"/>
    <w:rsid w:val="002A3635"/>
    <w:rsid w:val="002A3D5D"/>
    <w:rsid w:val="002A4A19"/>
    <w:rsid w:val="002A4D24"/>
    <w:rsid w:val="002A4F27"/>
    <w:rsid w:val="002A64F9"/>
    <w:rsid w:val="002A6552"/>
    <w:rsid w:val="002B0121"/>
    <w:rsid w:val="002B0E82"/>
    <w:rsid w:val="002B25CD"/>
    <w:rsid w:val="002B40DD"/>
    <w:rsid w:val="002B5E0F"/>
    <w:rsid w:val="002B63A7"/>
    <w:rsid w:val="002B6F14"/>
    <w:rsid w:val="002B71CD"/>
    <w:rsid w:val="002B72E0"/>
    <w:rsid w:val="002B76AB"/>
    <w:rsid w:val="002B7C37"/>
    <w:rsid w:val="002C1507"/>
    <w:rsid w:val="002C1BC6"/>
    <w:rsid w:val="002C3CA5"/>
    <w:rsid w:val="002C40A9"/>
    <w:rsid w:val="002C4AB1"/>
    <w:rsid w:val="002C556F"/>
    <w:rsid w:val="002C598D"/>
    <w:rsid w:val="002C71CA"/>
    <w:rsid w:val="002C7DD6"/>
    <w:rsid w:val="002D0C13"/>
    <w:rsid w:val="002D1AFB"/>
    <w:rsid w:val="002D262A"/>
    <w:rsid w:val="002D53A7"/>
    <w:rsid w:val="002D53EC"/>
    <w:rsid w:val="002D65BC"/>
    <w:rsid w:val="002D6763"/>
    <w:rsid w:val="002D7B94"/>
    <w:rsid w:val="002E06F1"/>
    <w:rsid w:val="002E1359"/>
    <w:rsid w:val="002E21EC"/>
    <w:rsid w:val="002E226E"/>
    <w:rsid w:val="002E3E35"/>
    <w:rsid w:val="002E47F0"/>
    <w:rsid w:val="002E56A4"/>
    <w:rsid w:val="002E7152"/>
    <w:rsid w:val="002F12C5"/>
    <w:rsid w:val="002F297B"/>
    <w:rsid w:val="002F5C87"/>
    <w:rsid w:val="002F6E35"/>
    <w:rsid w:val="003002DC"/>
    <w:rsid w:val="0030242C"/>
    <w:rsid w:val="00302890"/>
    <w:rsid w:val="003051D6"/>
    <w:rsid w:val="003063EE"/>
    <w:rsid w:val="003068A9"/>
    <w:rsid w:val="00306F1E"/>
    <w:rsid w:val="00307ED4"/>
    <w:rsid w:val="00310CBE"/>
    <w:rsid w:val="003155A9"/>
    <w:rsid w:val="00315DEC"/>
    <w:rsid w:val="0031740A"/>
    <w:rsid w:val="00317FDB"/>
    <w:rsid w:val="003207DF"/>
    <w:rsid w:val="00324222"/>
    <w:rsid w:val="0032448F"/>
    <w:rsid w:val="003250D8"/>
    <w:rsid w:val="00325FF2"/>
    <w:rsid w:val="00326958"/>
    <w:rsid w:val="0033012A"/>
    <w:rsid w:val="003308C3"/>
    <w:rsid w:val="00331ADC"/>
    <w:rsid w:val="0033225A"/>
    <w:rsid w:val="00332695"/>
    <w:rsid w:val="0033415F"/>
    <w:rsid w:val="00334A28"/>
    <w:rsid w:val="00335C39"/>
    <w:rsid w:val="00335D77"/>
    <w:rsid w:val="00340090"/>
    <w:rsid w:val="00340B28"/>
    <w:rsid w:val="00341682"/>
    <w:rsid w:val="00341716"/>
    <w:rsid w:val="003426BF"/>
    <w:rsid w:val="00345505"/>
    <w:rsid w:val="00345556"/>
    <w:rsid w:val="00345762"/>
    <w:rsid w:val="00346CDB"/>
    <w:rsid w:val="00346E5F"/>
    <w:rsid w:val="00347DDD"/>
    <w:rsid w:val="0035063E"/>
    <w:rsid w:val="00353366"/>
    <w:rsid w:val="00353D2D"/>
    <w:rsid w:val="00354EA9"/>
    <w:rsid w:val="0035526C"/>
    <w:rsid w:val="00357B5C"/>
    <w:rsid w:val="0036179B"/>
    <w:rsid w:val="003621A9"/>
    <w:rsid w:val="003633A2"/>
    <w:rsid w:val="00363410"/>
    <w:rsid w:val="00363A19"/>
    <w:rsid w:val="003656C4"/>
    <w:rsid w:val="00366F93"/>
    <w:rsid w:val="00367163"/>
    <w:rsid w:val="003678AB"/>
    <w:rsid w:val="00367A50"/>
    <w:rsid w:val="00370490"/>
    <w:rsid w:val="00370BC5"/>
    <w:rsid w:val="00370D5B"/>
    <w:rsid w:val="003729E2"/>
    <w:rsid w:val="00374089"/>
    <w:rsid w:val="003743AD"/>
    <w:rsid w:val="00374F6B"/>
    <w:rsid w:val="003826FC"/>
    <w:rsid w:val="00383290"/>
    <w:rsid w:val="00384A00"/>
    <w:rsid w:val="00384E5E"/>
    <w:rsid w:val="00385393"/>
    <w:rsid w:val="00386F8F"/>
    <w:rsid w:val="00387216"/>
    <w:rsid w:val="00387C3D"/>
    <w:rsid w:val="003921CA"/>
    <w:rsid w:val="00392614"/>
    <w:rsid w:val="00392A97"/>
    <w:rsid w:val="0039381C"/>
    <w:rsid w:val="00394544"/>
    <w:rsid w:val="00394DAA"/>
    <w:rsid w:val="0039650E"/>
    <w:rsid w:val="003969F2"/>
    <w:rsid w:val="00396FD7"/>
    <w:rsid w:val="003A0811"/>
    <w:rsid w:val="003A0C7A"/>
    <w:rsid w:val="003A16DA"/>
    <w:rsid w:val="003A1FAE"/>
    <w:rsid w:val="003A3ADA"/>
    <w:rsid w:val="003A501E"/>
    <w:rsid w:val="003A5B20"/>
    <w:rsid w:val="003A5F46"/>
    <w:rsid w:val="003A63C1"/>
    <w:rsid w:val="003B03C4"/>
    <w:rsid w:val="003B1ABB"/>
    <w:rsid w:val="003B273A"/>
    <w:rsid w:val="003B6F74"/>
    <w:rsid w:val="003B70E4"/>
    <w:rsid w:val="003C28AA"/>
    <w:rsid w:val="003C3464"/>
    <w:rsid w:val="003C37A6"/>
    <w:rsid w:val="003C38EC"/>
    <w:rsid w:val="003C3D79"/>
    <w:rsid w:val="003C7858"/>
    <w:rsid w:val="003C79A0"/>
    <w:rsid w:val="003D04C2"/>
    <w:rsid w:val="003D3860"/>
    <w:rsid w:val="003D4CF9"/>
    <w:rsid w:val="003E013A"/>
    <w:rsid w:val="003E07CB"/>
    <w:rsid w:val="003E1520"/>
    <w:rsid w:val="003E21DB"/>
    <w:rsid w:val="003E2C17"/>
    <w:rsid w:val="003E3505"/>
    <w:rsid w:val="003E418E"/>
    <w:rsid w:val="003E5E74"/>
    <w:rsid w:val="003E7979"/>
    <w:rsid w:val="003F0117"/>
    <w:rsid w:val="003F1CF9"/>
    <w:rsid w:val="003F35EE"/>
    <w:rsid w:val="003F4382"/>
    <w:rsid w:val="003F4ADD"/>
    <w:rsid w:val="003F579A"/>
    <w:rsid w:val="003F6247"/>
    <w:rsid w:val="003F6D15"/>
    <w:rsid w:val="003F7027"/>
    <w:rsid w:val="003F7D6D"/>
    <w:rsid w:val="00400ECD"/>
    <w:rsid w:val="00402703"/>
    <w:rsid w:val="00404365"/>
    <w:rsid w:val="004045A9"/>
    <w:rsid w:val="00406069"/>
    <w:rsid w:val="00406760"/>
    <w:rsid w:val="00413779"/>
    <w:rsid w:val="004137DF"/>
    <w:rsid w:val="00415DD6"/>
    <w:rsid w:val="00417F29"/>
    <w:rsid w:val="004222D0"/>
    <w:rsid w:val="004239D2"/>
    <w:rsid w:val="00423B70"/>
    <w:rsid w:val="0042504D"/>
    <w:rsid w:val="00430A4D"/>
    <w:rsid w:val="00430A83"/>
    <w:rsid w:val="00431084"/>
    <w:rsid w:val="004312A6"/>
    <w:rsid w:val="00432C8B"/>
    <w:rsid w:val="004347A1"/>
    <w:rsid w:val="00435539"/>
    <w:rsid w:val="00436462"/>
    <w:rsid w:val="00436B58"/>
    <w:rsid w:val="00436BEA"/>
    <w:rsid w:val="00437868"/>
    <w:rsid w:val="004378EA"/>
    <w:rsid w:val="004406E3"/>
    <w:rsid w:val="0044169B"/>
    <w:rsid w:val="0044335E"/>
    <w:rsid w:val="00444321"/>
    <w:rsid w:val="00444C1F"/>
    <w:rsid w:val="0044528E"/>
    <w:rsid w:val="00446C1B"/>
    <w:rsid w:val="004518DC"/>
    <w:rsid w:val="004533DB"/>
    <w:rsid w:val="00455D47"/>
    <w:rsid w:val="004572EC"/>
    <w:rsid w:val="00457A7F"/>
    <w:rsid w:val="004620FF"/>
    <w:rsid w:val="00462212"/>
    <w:rsid w:val="00464300"/>
    <w:rsid w:val="00464B7F"/>
    <w:rsid w:val="00464F61"/>
    <w:rsid w:val="004655C1"/>
    <w:rsid w:val="00465789"/>
    <w:rsid w:val="0046593C"/>
    <w:rsid w:val="004662C5"/>
    <w:rsid w:val="004673E4"/>
    <w:rsid w:val="00472896"/>
    <w:rsid w:val="004755C2"/>
    <w:rsid w:val="00480779"/>
    <w:rsid w:val="004808C3"/>
    <w:rsid w:val="004867C2"/>
    <w:rsid w:val="00487AC2"/>
    <w:rsid w:val="00487BC3"/>
    <w:rsid w:val="0049190B"/>
    <w:rsid w:val="0049195D"/>
    <w:rsid w:val="00491AB9"/>
    <w:rsid w:val="004934BE"/>
    <w:rsid w:val="00495DE3"/>
    <w:rsid w:val="004A0EA5"/>
    <w:rsid w:val="004A28DF"/>
    <w:rsid w:val="004A3A72"/>
    <w:rsid w:val="004A3E84"/>
    <w:rsid w:val="004A4935"/>
    <w:rsid w:val="004A62BE"/>
    <w:rsid w:val="004A6534"/>
    <w:rsid w:val="004A7D57"/>
    <w:rsid w:val="004B47D3"/>
    <w:rsid w:val="004B48A2"/>
    <w:rsid w:val="004B4E44"/>
    <w:rsid w:val="004C0BF9"/>
    <w:rsid w:val="004C0D81"/>
    <w:rsid w:val="004C28D2"/>
    <w:rsid w:val="004C3DE7"/>
    <w:rsid w:val="004C498B"/>
    <w:rsid w:val="004C5719"/>
    <w:rsid w:val="004C67B1"/>
    <w:rsid w:val="004C71C5"/>
    <w:rsid w:val="004D0441"/>
    <w:rsid w:val="004D1EAA"/>
    <w:rsid w:val="004D224E"/>
    <w:rsid w:val="004D2418"/>
    <w:rsid w:val="004D2C35"/>
    <w:rsid w:val="004D4D8E"/>
    <w:rsid w:val="004D6B97"/>
    <w:rsid w:val="004D6C31"/>
    <w:rsid w:val="004E049B"/>
    <w:rsid w:val="004E2857"/>
    <w:rsid w:val="004E450F"/>
    <w:rsid w:val="004E69F7"/>
    <w:rsid w:val="004E7409"/>
    <w:rsid w:val="004E74D1"/>
    <w:rsid w:val="004F0C7B"/>
    <w:rsid w:val="004F1160"/>
    <w:rsid w:val="004F2BAC"/>
    <w:rsid w:val="004F2F7A"/>
    <w:rsid w:val="004F36C4"/>
    <w:rsid w:val="004F3FDF"/>
    <w:rsid w:val="004F54E2"/>
    <w:rsid w:val="00500104"/>
    <w:rsid w:val="0050038C"/>
    <w:rsid w:val="0050247D"/>
    <w:rsid w:val="00503BA0"/>
    <w:rsid w:val="00505680"/>
    <w:rsid w:val="00505804"/>
    <w:rsid w:val="0050696A"/>
    <w:rsid w:val="00506F79"/>
    <w:rsid w:val="005109BB"/>
    <w:rsid w:val="00511D22"/>
    <w:rsid w:val="00513DB9"/>
    <w:rsid w:val="005146AE"/>
    <w:rsid w:val="005157F0"/>
    <w:rsid w:val="0051596C"/>
    <w:rsid w:val="00517642"/>
    <w:rsid w:val="00521C9F"/>
    <w:rsid w:val="00522902"/>
    <w:rsid w:val="00523EB6"/>
    <w:rsid w:val="00524521"/>
    <w:rsid w:val="005257EC"/>
    <w:rsid w:val="00526128"/>
    <w:rsid w:val="00526576"/>
    <w:rsid w:val="00526D08"/>
    <w:rsid w:val="00526DDD"/>
    <w:rsid w:val="005276B3"/>
    <w:rsid w:val="005279D8"/>
    <w:rsid w:val="00533A22"/>
    <w:rsid w:val="00535221"/>
    <w:rsid w:val="005352AA"/>
    <w:rsid w:val="0053540D"/>
    <w:rsid w:val="00537E01"/>
    <w:rsid w:val="005400FC"/>
    <w:rsid w:val="00540352"/>
    <w:rsid w:val="005403E8"/>
    <w:rsid w:val="005410A5"/>
    <w:rsid w:val="00542271"/>
    <w:rsid w:val="005513E9"/>
    <w:rsid w:val="00551678"/>
    <w:rsid w:val="00551D48"/>
    <w:rsid w:val="00551E5E"/>
    <w:rsid w:val="00551EDD"/>
    <w:rsid w:val="00552497"/>
    <w:rsid w:val="0055405F"/>
    <w:rsid w:val="005547CA"/>
    <w:rsid w:val="00555F68"/>
    <w:rsid w:val="00556DB4"/>
    <w:rsid w:val="00557106"/>
    <w:rsid w:val="005576F8"/>
    <w:rsid w:val="00560D9D"/>
    <w:rsid w:val="00561604"/>
    <w:rsid w:val="0057043C"/>
    <w:rsid w:val="00570ACC"/>
    <w:rsid w:val="005720EB"/>
    <w:rsid w:val="0057344C"/>
    <w:rsid w:val="00575BE9"/>
    <w:rsid w:val="00580A6C"/>
    <w:rsid w:val="005811FF"/>
    <w:rsid w:val="00582EA0"/>
    <w:rsid w:val="005837E2"/>
    <w:rsid w:val="005838D0"/>
    <w:rsid w:val="005845B5"/>
    <w:rsid w:val="0058501D"/>
    <w:rsid w:val="00585F60"/>
    <w:rsid w:val="005860D2"/>
    <w:rsid w:val="0058730C"/>
    <w:rsid w:val="00587BA2"/>
    <w:rsid w:val="005903AC"/>
    <w:rsid w:val="00593602"/>
    <w:rsid w:val="00595649"/>
    <w:rsid w:val="005975FE"/>
    <w:rsid w:val="005A151B"/>
    <w:rsid w:val="005A310B"/>
    <w:rsid w:val="005A5380"/>
    <w:rsid w:val="005A7F69"/>
    <w:rsid w:val="005B3BFB"/>
    <w:rsid w:val="005B3F3E"/>
    <w:rsid w:val="005B56A3"/>
    <w:rsid w:val="005B67A2"/>
    <w:rsid w:val="005C0B4A"/>
    <w:rsid w:val="005C2E96"/>
    <w:rsid w:val="005C30B1"/>
    <w:rsid w:val="005C39D4"/>
    <w:rsid w:val="005C40D5"/>
    <w:rsid w:val="005C40E0"/>
    <w:rsid w:val="005D1DEB"/>
    <w:rsid w:val="005D51C5"/>
    <w:rsid w:val="005D5264"/>
    <w:rsid w:val="005D5D21"/>
    <w:rsid w:val="005E2B24"/>
    <w:rsid w:val="005E454D"/>
    <w:rsid w:val="005F28ED"/>
    <w:rsid w:val="005F36D2"/>
    <w:rsid w:val="005F5DC1"/>
    <w:rsid w:val="005F6F8C"/>
    <w:rsid w:val="005F7688"/>
    <w:rsid w:val="005F7ADD"/>
    <w:rsid w:val="005F7BE7"/>
    <w:rsid w:val="005F7FEA"/>
    <w:rsid w:val="0060019D"/>
    <w:rsid w:val="00602254"/>
    <w:rsid w:val="00602D99"/>
    <w:rsid w:val="006075CC"/>
    <w:rsid w:val="006075EF"/>
    <w:rsid w:val="00607856"/>
    <w:rsid w:val="00610FD6"/>
    <w:rsid w:val="00611BB2"/>
    <w:rsid w:val="00612DBB"/>
    <w:rsid w:val="00615050"/>
    <w:rsid w:val="006167E7"/>
    <w:rsid w:val="00616DE6"/>
    <w:rsid w:val="00621218"/>
    <w:rsid w:val="00622372"/>
    <w:rsid w:val="00623E13"/>
    <w:rsid w:val="00624169"/>
    <w:rsid w:val="0062545D"/>
    <w:rsid w:val="006314B0"/>
    <w:rsid w:val="00633E77"/>
    <w:rsid w:val="00635719"/>
    <w:rsid w:val="00635F6E"/>
    <w:rsid w:val="0063644E"/>
    <w:rsid w:val="00636D6D"/>
    <w:rsid w:val="00636EF3"/>
    <w:rsid w:val="006371A1"/>
    <w:rsid w:val="006404FF"/>
    <w:rsid w:val="006434DF"/>
    <w:rsid w:val="006477CD"/>
    <w:rsid w:val="00650DBC"/>
    <w:rsid w:val="006526BD"/>
    <w:rsid w:val="00654A7A"/>
    <w:rsid w:val="0066062F"/>
    <w:rsid w:val="00660650"/>
    <w:rsid w:val="00660907"/>
    <w:rsid w:val="0066273C"/>
    <w:rsid w:val="006661D9"/>
    <w:rsid w:val="00667A13"/>
    <w:rsid w:val="006702DD"/>
    <w:rsid w:val="00671099"/>
    <w:rsid w:val="0067358F"/>
    <w:rsid w:val="0067395C"/>
    <w:rsid w:val="00674063"/>
    <w:rsid w:val="006741DF"/>
    <w:rsid w:val="00676A56"/>
    <w:rsid w:val="00681FDC"/>
    <w:rsid w:val="0068215C"/>
    <w:rsid w:val="0068230E"/>
    <w:rsid w:val="00682469"/>
    <w:rsid w:val="0068359D"/>
    <w:rsid w:val="00684FF6"/>
    <w:rsid w:val="00693B4B"/>
    <w:rsid w:val="00693F52"/>
    <w:rsid w:val="00696819"/>
    <w:rsid w:val="0069799C"/>
    <w:rsid w:val="00697E5B"/>
    <w:rsid w:val="006A0983"/>
    <w:rsid w:val="006A1A81"/>
    <w:rsid w:val="006A465C"/>
    <w:rsid w:val="006A4FFC"/>
    <w:rsid w:val="006A5D91"/>
    <w:rsid w:val="006A6D7D"/>
    <w:rsid w:val="006A735E"/>
    <w:rsid w:val="006A73E0"/>
    <w:rsid w:val="006A73F8"/>
    <w:rsid w:val="006B1180"/>
    <w:rsid w:val="006B2425"/>
    <w:rsid w:val="006B2483"/>
    <w:rsid w:val="006B2FC4"/>
    <w:rsid w:val="006B422B"/>
    <w:rsid w:val="006B46A8"/>
    <w:rsid w:val="006B4A30"/>
    <w:rsid w:val="006B4A92"/>
    <w:rsid w:val="006B4E3F"/>
    <w:rsid w:val="006B6D06"/>
    <w:rsid w:val="006B6D4A"/>
    <w:rsid w:val="006C2620"/>
    <w:rsid w:val="006C3304"/>
    <w:rsid w:val="006C3315"/>
    <w:rsid w:val="006C5C0E"/>
    <w:rsid w:val="006C7956"/>
    <w:rsid w:val="006D03BB"/>
    <w:rsid w:val="006D1E8F"/>
    <w:rsid w:val="006D21FF"/>
    <w:rsid w:val="006D2845"/>
    <w:rsid w:val="006D3812"/>
    <w:rsid w:val="006D4148"/>
    <w:rsid w:val="006D680C"/>
    <w:rsid w:val="006D7796"/>
    <w:rsid w:val="006E19BC"/>
    <w:rsid w:val="006E2726"/>
    <w:rsid w:val="006E2B6C"/>
    <w:rsid w:val="006E321C"/>
    <w:rsid w:val="006E3BD4"/>
    <w:rsid w:val="006E4164"/>
    <w:rsid w:val="006E5B0A"/>
    <w:rsid w:val="006F265F"/>
    <w:rsid w:val="006F2E32"/>
    <w:rsid w:val="006F3FEB"/>
    <w:rsid w:val="006F451A"/>
    <w:rsid w:val="006F4AFC"/>
    <w:rsid w:val="006F4EC2"/>
    <w:rsid w:val="006F730C"/>
    <w:rsid w:val="006F73F3"/>
    <w:rsid w:val="007003C7"/>
    <w:rsid w:val="00700B21"/>
    <w:rsid w:val="00700DDD"/>
    <w:rsid w:val="00701294"/>
    <w:rsid w:val="00701A21"/>
    <w:rsid w:val="00702EB1"/>
    <w:rsid w:val="00702F11"/>
    <w:rsid w:val="007031B1"/>
    <w:rsid w:val="007043FD"/>
    <w:rsid w:val="00706131"/>
    <w:rsid w:val="00707736"/>
    <w:rsid w:val="00711B96"/>
    <w:rsid w:val="007155A1"/>
    <w:rsid w:val="00716DB7"/>
    <w:rsid w:val="00720481"/>
    <w:rsid w:val="00720ED1"/>
    <w:rsid w:val="007222A0"/>
    <w:rsid w:val="00725A02"/>
    <w:rsid w:val="00726289"/>
    <w:rsid w:val="0072721D"/>
    <w:rsid w:val="00727AE6"/>
    <w:rsid w:val="00727DA8"/>
    <w:rsid w:val="00731110"/>
    <w:rsid w:val="00731C15"/>
    <w:rsid w:val="00731D00"/>
    <w:rsid w:val="00731DF9"/>
    <w:rsid w:val="007328E4"/>
    <w:rsid w:val="00735339"/>
    <w:rsid w:val="00741C76"/>
    <w:rsid w:val="00752D1F"/>
    <w:rsid w:val="0075488B"/>
    <w:rsid w:val="00756044"/>
    <w:rsid w:val="00756E06"/>
    <w:rsid w:val="007614D4"/>
    <w:rsid w:val="00761C9D"/>
    <w:rsid w:val="00761DA6"/>
    <w:rsid w:val="007622FC"/>
    <w:rsid w:val="0076371E"/>
    <w:rsid w:val="00764A19"/>
    <w:rsid w:val="007700B1"/>
    <w:rsid w:val="0077457E"/>
    <w:rsid w:val="007747EC"/>
    <w:rsid w:val="007753F6"/>
    <w:rsid w:val="007755D1"/>
    <w:rsid w:val="00780256"/>
    <w:rsid w:val="00780B38"/>
    <w:rsid w:val="00781F52"/>
    <w:rsid w:val="007825D9"/>
    <w:rsid w:val="00787CE7"/>
    <w:rsid w:val="00787F29"/>
    <w:rsid w:val="00792C0E"/>
    <w:rsid w:val="00794E4B"/>
    <w:rsid w:val="007963EB"/>
    <w:rsid w:val="007A0072"/>
    <w:rsid w:val="007A1493"/>
    <w:rsid w:val="007A2D95"/>
    <w:rsid w:val="007A2E39"/>
    <w:rsid w:val="007A4FD7"/>
    <w:rsid w:val="007B1192"/>
    <w:rsid w:val="007B1305"/>
    <w:rsid w:val="007B1E87"/>
    <w:rsid w:val="007B2758"/>
    <w:rsid w:val="007B2931"/>
    <w:rsid w:val="007B2DBD"/>
    <w:rsid w:val="007B3144"/>
    <w:rsid w:val="007B3146"/>
    <w:rsid w:val="007B4E01"/>
    <w:rsid w:val="007C0396"/>
    <w:rsid w:val="007C0A3A"/>
    <w:rsid w:val="007C4B3A"/>
    <w:rsid w:val="007C6B92"/>
    <w:rsid w:val="007C7719"/>
    <w:rsid w:val="007D2865"/>
    <w:rsid w:val="007D2AD5"/>
    <w:rsid w:val="007D6AE7"/>
    <w:rsid w:val="007D6CFB"/>
    <w:rsid w:val="007D6E02"/>
    <w:rsid w:val="007D7E70"/>
    <w:rsid w:val="007E1607"/>
    <w:rsid w:val="007E36CB"/>
    <w:rsid w:val="007E3EC6"/>
    <w:rsid w:val="007E574B"/>
    <w:rsid w:val="007E5750"/>
    <w:rsid w:val="007E6538"/>
    <w:rsid w:val="007E6923"/>
    <w:rsid w:val="007E7CCE"/>
    <w:rsid w:val="007F14DE"/>
    <w:rsid w:val="007F2342"/>
    <w:rsid w:val="007F6517"/>
    <w:rsid w:val="007F6CE6"/>
    <w:rsid w:val="007F7457"/>
    <w:rsid w:val="007F76AC"/>
    <w:rsid w:val="007F7CE8"/>
    <w:rsid w:val="0080037C"/>
    <w:rsid w:val="00801315"/>
    <w:rsid w:val="0080264C"/>
    <w:rsid w:val="00803212"/>
    <w:rsid w:val="00803A58"/>
    <w:rsid w:val="008043C5"/>
    <w:rsid w:val="008059AC"/>
    <w:rsid w:val="00806187"/>
    <w:rsid w:val="008065F4"/>
    <w:rsid w:val="008106B4"/>
    <w:rsid w:val="00811638"/>
    <w:rsid w:val="00811949"/>
    <w:rsid w:val="00811B9A"/>
    <w:rsid w:val="008120CB"/>
    <w:rsid w:val="00814057"/>
    <w:rsid w:val="00814AE7"/>
    <w:rsid w:val="00815382"/>
    <w:rsid w:val="00821341"/>
    <w:rsid w:val="00822AFB"/>
    <w:rsid w:val="00825677"/>
    <w:rsid w:val="00827185"/>
    <w:rsid w:val="00830296"/>
    <w:rsid w:val="00831502"/>
    <w:rsid w:val="008316F3"/>
    <w:rsid w:val="008321D0"/>
    <w:rsid w:val="00833B51"/>
    <w:rsid w:val="00835D6A"/>
    <w:rsid w:val="00836E87"/>
    <w:rsid w:val="008403EE"/>
    <w:rsid w:val="008405D8"/>
    <w:rsid w:val="0084098E"/>
    <w:rsid w:val="00841251"/>
    <w:rsid w:val="00841793"/>
    <w:rsid w:val="008423A3"/>
    <w:rsid w:val="00842A8E"/>
    <w:rsid w:val="008453D2"/>
    <w:rsid w:val="00846423"/>
    <w:rsid w:val="00846D05"/>
    <w:rsid w:val="00850154"/>
    <w:rsid w:val="0085028F"/>
    <w:rsid w:val="00850F24"/>
    <w:rsid w:val="0085136A"/>
    <w:rsid w:val="00852D7A"/>
    <w:rsid w:val="00853E84"/>
    <w:rsid w:val="008540D9"/>
    <w:rsid w:val="00854CC7"/>
    <w:rsid w:val="00854FD1"/>
    <w:rsid w:val="008552BE"/>
    <w:rsid w:val="008558E5"/>
    <w:rsid w:val="0085705A"/>
    <w:rsid w:val="00862F8A"/>
    <w:rsid w:val="0086319E"/>
    <w:rsid w:val="00863435"/>
    <w:rsid w:val="00864E46"/>
    <w:rsid w:val="00865AD4"/>
    <w:rsid w:val="00865E7D"/>
    <w:rsid w:val="00872A9C"/>
    <w:rsid w:val="00873A29"/>
    <w:rsid w:val="008765C3"/>
    <w:rsid w:val="0087786D"/>
    <w:rsid w:val="00877B02"/>
    <w:rsid w:val="008813AB"/>
    <w:rsid w:val="0088174A"/>
    <w:rsid w:val="00882E5C"/>
    <w:rsid w:val="00885496"/>
    <w:rsid w:val="0088792B"/>
    <w:rsid w:val="00890FE2"/>
    <w:rsid w:val="0089165E"/>
    <w:rsid w:val="008936ED"/>
    <w:rsid w:val="0089611E"/>
    <w:rsid w:val="0089709E"/>
    <w:rsid w:val="00897391"/>
    <w:rsid w:val="008A1353"/>
    <w:rsid w:val="008A16C1"/>
    <w:rsid w:val="008A17D2"/>
    <w:rsid w:val="008A180A"/>
    <w:rsid w:val="008A18F0"/>
    <w:rsid w:val="008A254F"/>
    <w:rsid w:val="008A2D85"/>
    <w:rsid w:val="008A37E2"/>
    <w:rsid w:val="008A5CE4"/>
    <w:rsid w:val="008A705A"/>
    <w:rsid w:val="008B07B5"/>
    <w:rsid w:val="008B09D6"/>
    <w:rsid w:val="008B2BAC"/>
    <w:rsid w:val="008B4482"/>
    <w:rsid w:val="008B4E7B"/>
    <w:rsid w:val="008B5ADA"/>
    <w:rsid w:val="008B60C1"/>
    <w:rsid w:val="008B779D"/>
    <w:rsid w:val="008C0044"/>
    <w:rsid w:val="008C01B4"/>
    <w:rsid w:val="008C0FB2"/>
    <w:rsid w:val="008C16FA"/>
    <w:rsid w:val="008C39E1"/>
    <w:rsid w:val="008C42DA"/>
    <w:rsid w:val="008C45E9"/>
    <w:rsid w:val="008C5D23"/>
    <w:rsid w:val="008C792F"/>
    <w:rsid w:val="008D0C6B"/>
    <w:rsid w:val="008D19C5"/>
    <w:rsid w:val="008D528F"/>
    <w:rsid w:val="008D5A14"/>
    <w:rsid w:val="008D660F"/>
    <w:rsid w:val="008D680C"/>
    <w:rsid w:val="008D686B"/>
    <w:rsid w:val="008D6AB9"/>
    <w:rsid w:val="008E0151"/>
    <w:rsid w:val="008E2336"/>
    <w:rsid w:val="008E61A2"/>
    <w:rsid w:val="008E681D"/>
    <w:rsid w:val="008E6B5E"/>
    <w:rsid w:val="008E6E99"/>
    <w:rsid w:val="008E725C"/>
    <w:rsid w:val="008F0C20"/>
    <w:rsid w:val="008F2984"/>
    <w:rsid w:val="008F3996"/>
    <w:rsid w:val="008F3C21"/>
    <w:rsid w:val="008F5645"/>
    <w:rsid w:val="008F7DA8"/>
    <w:rsid w:val="009002DC"/>
    <w:rsid w:val="00900ECE"/>
    <w:rsid w:val="00901CA4"/>
    <w:rsid w:val="009026AA"/>
    <w:rsid w:val="009059B9"/>
    <w:rsid w:val="00905CC8"/>
    <w:rsid w:val="009069C0"/>
    <w:rsid w:val="00907632"/>
    <w:rsid w:val="00907E07"/>
    <w:rsid w:val="00910B00"/>
    <w:rsid w:val="00910C04"/>
    <w:rsid w:val="009114A1"/>
    <w:rsid w:val="0091313F"/>
    <w:rsid w:val="00914549"/>
    <w:rsid w:val="009147A0"/>
    <w:rsid w:val="009157C5"/>
    <w:rsid w:val="00916365"/>
    <w:rsid w:val="0091711A"/>
    <w:rsid w:val="00917F77"/>
    <w:rsid w:val="00920461"/>
    <w:rsid w:val="00921BB2"/>
    <w:rsid w:val="0092292E"/>
    <w:rsid w:val="00922DC9"/>
    <w:rsid w:val="0092375B"/>
    <w:rsid w:val="009249D0"/>
    <w:rsid w:val="009250ED"/>
    <w:rsid w:val="009259C2"/>
    <w:rsid w:val="00926411"/>
    <w:rsid w:val="00926C49"/>
    <w:rsid w:val="00931483"/>
    <w:rsid w:val="009315B2"/>
    <w:rsid w:val="0093204A"/>
    <w:rsid w:val="00932372"/>
    <w:rsid w:val="00932E4E"/>
    <w:rsid w:val="00932E78"/>
    <w:rsid w:val="00934B01"/>
    <w:rsid w:val="00935598"/>
    <w:rsid w:val="00936000"/>
    <w:rsid w:val="009362DE"/>
    <w:rsid w:val="00940BA2"/>
    <w:rsid w:val="00941821"/>
    <w:rsid w:val="00941F3F"/>
    <w:rsid w:val="00942CB5"/>
    <w:rsid w:val="00944C5E"/>
    <w:rsid w:val="00944F01"/>
    <w:rsid w:val="00944F65"/>
    <w:rsid w:val="009461C5"/>
    <w:rsid w:val="009468F8"/>
    <w:rsid w:val="009473E1"/>
    <w:rsid w:val="00950D1E"/>
    <w:rsid w:val="00951C82"/>
    <w:rsid w:val="009555B9"/>
    <w:rsid w:val="0095642D"/>
    <w:rsid w:val="0095663C"/>
    <w:rsid w:val="00962492"/>
    <w:rsid w:val="009625E7"/>
    <w:rsid w:val="00964824"/>
    <w:rsid w:val="00964B48"/>
    <w:rsid w:val="00965449"/>
    <w:rsid w:val="00966268"/>
    <w:rsid w:val="009669FA"/>
    <w:rsid w:val="00970A65"/>
    <w:rsid w:val="00972C11"/>
    <w:rsid w:val="00974AB1"/>
    <w:rsid w:val="009752F0"/>
    <w:rsid w:val="009766F4"/>
    <w:rsid w:val="00976BF5"/>
    <w:rsid w:val="0097723C"/>
    <w:rsid w:val="009778F4"/>
    <w:rsid w:val="00981E31"/>
    <w:rsid w:val="00981FE2"/>
    <w:rsid w:val="00982052"/>
    <w:rsid w:val="00982410"/>
    <w:rsid w:val="00985379"/>
    <w:rsid w:val="009857FE"/>
    <w:rsid w:val="00990AFB"/>
    <w:rsid w:val="00993514"/>
    <w:rsid w:val="00995439"/>
    <w:rsid w:val="00995D54"/>
    <w:rsid w:val="00996BA4"/>
    <w:rsid w:val="009A1C30"/>
    <w:rsid w:val="009A3885"/>
    <w:rsid w:val="009A5344"/>
    <w:rsid w:val="009A5B76"/>
    <w:rsid w:val="009A6645"/>
    <w:rsid w:val="009B11C3"/>
    <w:rsid w:val="009B2543"/>
    <w:rsid w:val="009B3D3F"/>
    <w:rsid w:val="009B4B74"/>
    <w:rsid w:val="009B6050"/>
    <w:rsid w:val="009B69E2"/>
    <w:rsid w:val="009B6CDF"/>
    <w:rsid w:val="009B6D8C"/>
    <w:rsid w:val="009B76DA"/>
    <w:rsid w:val="009C0284"/>
    <w:rsid w:val="009C048D"/>
    <w:rsid w:val="009C13E5"/>
    <w:rsid w:val="009C17F5"/>
    <w:rsid w:val="009C2C50"/>
    <w:rsid w:val="009C3ACE"/>
    <w:rsid w:val="009C4062"/>
    <w:rsid w:val="009C40AE"/>
    <w:rsid w:val="009C45DA"/>
    <w:rsid w:val="009C64A2"/>
    <w:rsid w:val="009C73FF"/>
    <w:rsid w:val="009D0F92"/>
    <w:rsid w:val="009D181A"/>
    <w:rsid w:val="009D45A8"/>
    <w:rsid w:val="009D4849"/>
    <w:rsid w:val="009D48ED"/>
    <w:rsid w:val="009D523A"/>
    <w:rsid w:val="009D58E7"/>
    <w:rsid w:val="009E1A58"/>
    <w:rsid w:val="009E2852"/>
    <w:rsid w:val="009E2978"/>
    <w:rsid w:val="009E2FA4"/>
    <w:rsid w:val="009E4072"/>
    <w:rsid w:val="009E4104"/>
    <w:rsid w:val="009E4D59"/>
    <w:rsid w:val="009E5E0B"/>
    <w:rsid w:val="009E69BF"/>
    <w:rsid w:val="009E6C29"/>
    <w:rsid w:val="009E715C"/>
    <w:rsid w:val="009E756D"/>
    <w:rsid w:val="009E7C89"/>
    <w:rsid w:val="009F11EC"/>
    <w:rsid w:val="009F2BF5"/>
    <w:rsid w:val="009F33C2"/>
    <w:rsid w:val="009F45A2"/>
    <w:rsid w:val="009F54BD"/>
    <w:rsid w:val="009F5A92"/>
    <w:rsid w:val="00A0044E"/>
    <w:rsid w:val="00A00E33"/>
    <w:rsid w:val="00A01047"/>
    <w:rsid w:val="00A024B4"/>
    <w:rsid w:val="00A0524C"/>
    <w:rsid w:val="00A052D8"/>
    <w:rsid w:val="00A064A6"/>
    <w:rsid w:val="00A065DC"/>
    <w:rsid w:val="00A06680"/>
    <w:rsid w:val="00A10644"/>
    <w:rsid w:val="00A12E07"/>
    <w:rsid w:val="00A13200"/>
    <w:rsid w:val="00A132A2"/>
    <w:rsid w:val="00A14F3B"/>
    <w:rsid w:val="00A15AEF"/>
    <w:rsid w:val="00A16382"/>
    <w:rsid w:val="00A16E30"/>
    <w:rsid w:val="00A17B44"/>
    <w:rsid w:val="00A17CFF"/>
    <w:rsid w:val="00A200FD"/>
    <w:rsid w:val="00A20E65"/>
    <w:rsid w:val="00A219A4"/>
    <w:rsid w:val="00A22B36"/>
    <w:rsid w:val="00A22F84"/>
    <w:rsid w:val="00A23043"/>
    <w:rsid w:val="00A254BA"/>
    <w:rsid w:val="00A25844"/>
    <w:rsid w:val="00A26E0C"/>
    <w:rsid w:val="00A270F8"/>
    <w:rsid w:val="00A30C7E"/>
    <w:rsid w:val="00A311C2"/>
    <w:rsid w:val="00A32F21"/>
    <w:rsid w:val="00A34021"/>
    <w:rsid w:val="00A343A5"/>
    <w:rsid w:val="00A34A87"/>
    <w:rsid w:val="00A3715B"/>
    <w:rsid w:val="00A375F9"/>
    <w:rsid w:val="00A37B97"/>
    <w:rsid w:val="00A40FBE"/>
    <w:rsid w:val="00A41FD4"/>
    <w:rsid w:val="00A469D3"/>
    <w:rsid w:val="00A46E9A"/>
    <w:rsid w:val="00A54D8A"/>
    <w:rsid w:val="00A55938"/>
    <w:rsid w:val="00A57737"/>
    <w:rsid w:val="00A60379"/>
    <w:rsid w:val="00A606CF"/>
    <w:rsid w:val="00A60AC5"/>
    <w:rsid w:val="00A60F2D"/>
    <w:rsid w:val="00A6145A"/>
    <w:rsid w:val="00A62679"/>
    <w:rsid w:val="00A63381"/>
    <w:rsid w:val="00A646CD"/>
    <w:rsid w:val="00A66515"/>
    <w:rsid w:val="00A66A4E"/>
    <w:rsid w:val="00A66F4B"/>
    <w:rsid w:val="00A70EB0"/>
    <w:rsid w:val="00A70EF5"/>
    <w:rsid w:val="00A724A7"/>
    <w:rsid w:val="00A72D00"/>
    <w:rsid w:val="00A74AFC"/>
    <w:rsid w:val="00A75A70"/>
    <w:rsid w:val="00A75C35"/>
    <w:rsid w:val="00A77AC5"/>
    <w:rsid w:val="00A77E7A"/>
    <w:rsid w:val="00A81E86"/>
    <w:rsid w:val="00A8484A"/>
    <w:rsid w:val="00A8684E"/>
    <w:rsid w:val="00A87349"/>
    <w:rsid w:val="00A87395"/>
    <w:rsid w:val="00A900BC"/>
    <w:rsid w:val="00A915BC"/>
    <w:rsid w:val="00A92089"/>
    <w:rsid w:val="00A93E0E"/>
    <w:rsid w:val="00A94B1C"/>
    <w:rsid w:val="00A960CD"/>
    <w:rsid w:val="00A96604"/>
    <w:rsid w:val="00A96CD2"/>
    <w:rsid w:val="00A97DFF"/>
    <w:rsid w:val="00AA1231"/>
    <w:rsid w:val="00AA174B"/>
    <w:rsid w:val="00AA1797"/>
    <w:rsid w:val="00AA4343"/>
    <w:rsid w:val="00AA795E"/>
    <w:rsid w:val="00AB1D96"/>
    <w:rsid w:val="00AB2DF9"/>
    <w:rsid w:val="00AB315F"/>
    <w:rsid w:val="00AB35D3"/>
    <w:rsid w:val="00AB496C"/>
    <w:rsid w:val="00AB6A4C"/>
    <w:rsid w:val="00AB6E5F"/>
    <w:rsid w:val="00AB7AB9"/>
    <w:rsid w:val="00AB7DAD"/>
    <w:rsid w:val="00AC603E"/>
    <w:rsid w:val="00AC67DF"/>
    <w:rsid w:val="00AD190C"/>
    <w:rsid w:val="00AD2206"/>
    <w:rsid w:val="00AD24F3"/>
    <w:rsid w:val="00AD29A9"/>
    <w:rsid w:val="00AD2E6C"/>
    <w:rsid w:val="00AD38D1"/>
    <w:rsid w:val="00AD3F42"/>
    <w:rsid w:val="00AD5E5A"/>
    <w:rsid w:val="00AD70E3"/>
    <w:rsid w:val="00AD7CD8"/>
    <w:rsid w:val="00AD7EBD"/>
    <w:rsid w:val="00AE3DBB"/>
    <w:rsid w:val="00AE4394"/>
    <w:rsid w:val="00AE50F7"/>
    <w:rsid w:val="00AE5F7B"/>
    <w:rsid w:val="00AE6C74"/>
    <w:rsid w:val="00AE74ED"/>
    <w:rsid w:val="00AE7D38"/>
    <w:rsid w:val="00AF0545"/>
    <w:rsid w:val="00AF419A"/>
    <w:rsid w:val="00AF677F"/>
    <w:rsid w:val="00AF74F1"/>
    <w:rsid w:val="00B000BE"/>
    <w:rsid w:val="00B00440"/>
    <w:rsid w:val="00B009FA"/>
    <w:rsid w:val="00B01117"/>
    <w:rsid w:val="00B01CB5"/>
    <w:rsid w:val="00B023D9"/>
    <w:rsid w:val="00B02918"/>
    <w:rsid w:val="00B02C9E"/>
    <w:rsid w:val="00B04788"/>
    <w:rsid w:val="00B04DDB"/>
    <w:rsid w:val="00B06A46"/>
    <w:rsid w:val="00B07B93"/>
    <w:rsid w:val="00B10274"/>
    <w:rsid w:val="00B10801"/>
    <w:rsid w:val="00B108A4"/>
    <w:rsid w:val="00B11994"/>
    <w:rsid w:val="00B11C13"/>
    <w:rsid w:val="00B11F80"/>
    <w:rsid w:val="00B144AE"/>
    <w:rsid w:val="00B15A21"/>
    <w:rsid w:val="00B16FAF"/>
    <w:rsid w:val="00B176FD"/>
    <w:rsid w:val="00B21D0F"/>
    <w:rsid w:val="00B23096"/>
    <w:rsid w:val="00B2315A"/>
    <w:rsid w:val="00B242B2"/>
    <w:rsid w:val="00B30F06"/>
    <w:rsid w:val="00B31706"/>
    <w:rsid w:val="00B319D9"/>
    <w:rsid w:val="00B331F4"/>
    <w:rsid w:val="00B33BD4"/>
    <w:rsid w:val="00B368C1"/>
    <w:rsid w:val="00B37EA5"/>
    <w:rsid w:val="00B40DA7"/>
    <w:rsid w:val="00B42423"/>
    <w:rsid w:val="00B43776"/>
    <w:rsid w:val="00B440AA"/>
    <w:rsid w:val="00B45465"/>
    <w:rsid w:val="00B45B86"/>
    <w:rsid w:val="00B47AF8"/>
    <w:rsid w:val="00B518EB"/>
    <w:rsid w:val="00B57DCF"/>
    <w:rsid w:val="00B6037C"/>
    <w:rsid w:val="00B61606"/>
    <w:rsid w:val="00B62BE4"/>
    <w:rsid w:val="00B63E74"/>
    <w:rsid w:val="00B64AB2"/>
    <w:rsid w:val="00B66886"/>
    <w:rsid w:val="00B66C0E"/>
    <w:rsid w:val="00B72C2C"/>
    <w:rsid w:val="00B72DCE"/>
    <w:rsid w:val="00B73D4C"/>
    <w:rsid w:val="00B80400"/>
    <w:rsid w:val="00B82275"/>
    <w:rsid w:val="00B8328E"/>
    <w:rsid w:val="00B83B64"/>
    <w:rsid w:val="00B84CF7"/>
    <w:rsid w:val="00B86797"/>
    <w:rsid w:val="00B86C39"/>
    <w:rsid w:val="00B86E7E"/>
    <w:rsid w:val="00B873FE"/>
    <w:rsid w:val="00B9069A"/>
    <w:rsid w:val="00B90C3D"/>
    <w:rsid w:val="00B90C9E"/>
    <w:rsid w:val="00B90E1D"/>
    <w:rsid w:val="00B949A7"/>
    <w:rsid w:val="00B969D5"/>
    <w:rsid w:val="00B973C9"/>
    <w:rsid w:val="00B974FF"/>
    <w:rsid w:val="00BA0343"/>
    <w:rsid w:val="00BA0E33"/>
    <w:rsid w:val="00BA3469"/>
    <w:rsid w:val="00BA36B1"/>
    <w:rsid w:val="00BA4C47"/>
    <w:rsid w:val="00BA574E"/>
    <w:rsid w:val="00BA6BB1"/>
    <w:rsid w:val="00BA79D9"/>
    <w:rsid w:val="00BB000E"/>
    <w:rsid w:val="00BB076D"/>
    <w:rsid w:val="00BB150D"/>
    <w:rsid w:val="00BB479C"/>
    <w:rsid w:val="00BB4F8E"/>
    <w:rsid w:val="00BB5573"/>
    <w:rsid w:val="00BB5649"/>
    <w:rsid w:val="00BB74AC"/>
    <w:rsid w:val="00BB78E2"/>
    <w:rsid w:val="00BC1642"/>
    <w:rsid w:val="00BC1B0C"/>
    <w:rsid w:val="00BC2562"/>
    <w:rsid w:val="00BC2A00"/>
    <w:rsid w:val="00BC3468"/>
    <w:rsid w:val="00BC55D9"/>
    <w:rsid w:val="00BC5A82"/>
    <w:rsid w:val="00BC5B3E"/>
    <w:rsid w:val="00BD151B"/>
    <w:rsid w:val="00BD388B"/>
    <w:rsid w:val="00BD572A"/>
    <w:rsid w:val="00BE07D8"/>
    <w:rsid w:val="00BE18A5"/>
    <w:rsid w:val="00BE266D"/>
    <w:rsid w:val="00BE31CD"/>
    <w:rsid w:val="00BE33C8"/>
    <w:rsid w:val="00BE362E"/>
    <w:rsid w:val="00BE6894"/>
    <w:rsid w:val="00BF12A7"/>
    <w:rsid w:val="00BF15A3"/>
    <w:rsid w:val="00BF1CE7"/>
    <w:rsid w:val="00BF2469"/>
    <w:rsid w:val="00BF39D4"/>
    <w:rsid w:val="00BF3F82"/>
    <w:rsid w:val="00BF5B09"/>
    <w:rsid w:val="00BF5CC3"/>
    <w:rsid w:val="00BF6F0F"/>
    <w:rsid w:val="00BF7109"/>
    <w:rsid w:val="00BF7326"/>
    <w:rsid w:val="00C0120E"/>
    <w:rsid w:val="00C01B00"/>
    <w:rsid w:val="00C03960"/>
    <w:rsid w:val="00C04E33"/>
    <w:rsid w:val="00C05980"/>
    <w:rsid w:val="00C1168F"/>
    <w:rsid w:val="00C13368"/>
    <w:rsid w:val="00C138B9"/>
    <w:rsid w:val="00C14871"/>
    <w:rsid w:val="00C21B8E"/>
    <w:rsid w:val="00C22C89"/>
    <w:rsid w:val="00C23315"/>
    <w:rsid w:val="00C23389"/>
    <w:rsid w:val="00C247F2"/>
    <w:rsid w:val="00C26A6A"/>
    <w:rsid w:val="00C2798C"/>
    <w:rsid w:val="00C30405"/>
    <w:rsid w:val="00C3130E"/>
    <w:rsid w:val="00C35412"/>
    <w:rsid w:val="00C406FB"/>
    <w:rsid w:val="00C40B15"/>
    <w:rsid w:val="00C412EE"/>
    <w:rsid w:val="00C4142C"/>
    <w:rsid w:val="00C42922"/>
    <w:rsid w:val="00C43501"/>
    <w:rsid w:val="00C440DF"/>
    <w:rsid w:val="00C443EB"/>
    <w:rsid w:val="00C44D41"/>
    <w:rsid w:val="00C45A45"/>
    <w:rsid w:val="00C45D90"/>
    <w:rsid w:val="00C46DC5"/>
    <w:rsid w:val="00C47A9D"/>
    <w:rsid w:val="00C47E32"/>
    <w:rsid w:val="00C50508"/>
    <w:rsid w:val="00C51094"/>
    <w:rsid w:val="00C518D9"/>
    <w:rsid w:val="00C51CA2"/>
    <w:rsid w:val="00C534B3"/>
    <w:rsid w:val="00C536C6"/>
    <w:rsid w:val="00C53A91"/>
    <w:rsid w:val="00C547CC"/>
    <w:rsid w:val="00C55B5A"/>
    <w:rsid w:val="00C5662D"/>
    <w:rsid w:val="00C574C2"/>
    <w:rsid w:val="00C622A4"/>
    <w:rsid w:val="00C62485"/>
    <w:rsid w:val="00C62CBD"/>
    <w:rsid w:val="00C6450B"/>
    <w:rsid w:val="00C67ADA"/>
    <w:rsid w:val="00C738A8"/>
    <w:rsid w:val="00C7488A"/>
    <w:rsid w:val="00C749D7"/>
    <w:rsid w:val="00C75221"/>
    <w:rsid w:val="00C75435"/>
    <w:rsid w:val="00C760DE"/>
    <w:rsid w:val="00C807EA"/>
    <w:rsid w:val="00C8142E"/>
    <w:rsid w:val="00C81C15"/>
    <w:rsid w:val="00C81CE4"/>
    <w:rsid w:val="00C82041"/>
    <w:rsid w:val="00C826D4"/>
    <w:rsid w:val="00C83353"/>
    <w:rsid w:val="00C851F6"/>
    <w:rsid w:val="00C85EAE"/>
    <w:rsid w:val="00C90EB9"/>
    <w:rsid w:val="00C90FA2"/>
    <w:rsid w:val="00C9110D"/>
    <w:rsid w:val="00C923BA"/>
    <w:rsid w:val="00C92540"/>
    <w:rsid w:val="00C94B60"/>
    <w:rsid w:val="00C9509E"/>
    <w:rsid w:val="00C95148"/>
    <w:rsid w:val="00C971DE"/>
    <w:rsid w:val="00CA059A"/>
    <w:rsid w:val="00CA129E"/>
    <w:rsid w:val="00CA1EEE"/>
    <w:rsid w:val="00CA1FFC"/>
    <w:rsid w:val="00CA3621"/>
    <w:rsid w:val="00CA58B2"/>
    <w:rsid w:val="00CA6471"/>
    <w:rsid w:val="00CA73BC"/>
    <w:rsid w:val="00CA7E99"/>
    <w:rsid w:val="00CA7F45"/>
    <w:rsid w:val="00CB06B3"/>
    <w:rsid w:val="00CB1CB6"/>
    <w:rsid w:val="00CB3552"/>
    <w:rsid w:val="00CB4AFD"/>
    <w:rsid w:val="00CB5665"/>
    <w:rsid w:val="00CB5E08"/>
    <w:rsid w:val="00CB745C"/>
    <w:rsid w:val="00CB77C1"/>
    <w:rsid w:val="00CB796E"/>
    <w:rsid w:val="00CC1B89"/>
    <w:rsid w:val="00CC2425"/>
    <w:rsid w:val="00CC2B56"/>
    <w:rsid w:val="00CC4A75"/>
    <w:rsid w:val="00CC52D5"/>
    <w:rsid w:val="00CC7CB9"/>
    <w:rsid w:val="00CC7DDC"/>
    <w:rsid w:val="00CD0D49"/>
    <w:rsid w:val="00CD148B"/>
    <w:rsid w:val="00CD20F9"/>
    <w:rsid w:val="00CD2281"/>
    <w:rsid w:val="00CD22B5"/>
    <w:rsid w:val="00CD30C4"/>
    <w:rsid w:val="00CD3139"/>
    <w:rsid w:val="00CD4B75"/>
    <w:rsid w:val="00CD5FAB"/>
    <w:rsid w:val="00CE347E"/>
    <w:rsid w:val="00CE37B8"/>
    <w:rsid w:val="00CE404D"/>
    <w:rsid w:val="00CE41A7"/>
    <w:rsid w:val="00CE46A6"/>
    <w:rsid w:val="00CE55BF"/>
    <w:rsid w:val="00CE614C"/>
    <w:rsid w:val="00CF429F"/>
    <w:rsid w:val="00CF4BE0"/>
    <w:rsid w:val="00CF6E72"/>
    <w:rsid w:val="00CF70E4"/>
    <w:rsid w:val="00CF773F"/>
    <w:rsid w:val="00CF7C68"/>
    <w:rsid w:val="00D01BC5"/>
    <w:rsid w:val="00D04B5A"/>
    <w:rsid w:val="00D05B94"/>
    <w:rsid w:val="00D05BD4"/>
    <w:rsid w:val="00D06DAE"/>
    <w:rsid w:val="00D118BE"/>
    <w:rsid w:val="00D119B3"/>
    <w:rsid w:val="00D13416"/>
    <w:rsid w:val="00D13A18"/>
    <w:rsid w:val="00D13D23"/>
    <w:rsid w:val="00D154AE"/>
    <w:rsid w:val="00D15E8A"/>
    <w:rsid w:val="00D170E4"/>
    <w:rsid w:val="00D17BAD"/>
    <w:rsid w:val="00D206F1"/>
    <w:rsid w:val="00D219D4"/>
    <w:rsid w:val="00D24BD6"/>
    <w:rsid w:val="00D250DF"/>
    <w:rsid w:val="00D2571C"/>
    <w:rsid w:val="00D25AB7"/>
    <w:rsid w:val="00D3011C"/>
    <w:rsid w:val="00D30E51"/>
    <w:rsid w:val="00D3153B"/>
    <w:rsid w:val="00D3206B"/>
    <w:rsid w:val="00D32D01"/>
    <w:rsid w:val="00D3411D"/>
    <w:rsid w:val="00D349F8"/>
    <w:rsid w:val="00D35E00"/>
    <w:rsid w:val="00D36A2A"/>
    <w:rsid w:val="00D37F94"/>
    <w:rsid w:val="00D426AD"/>
    <w:rsid w:val="00D44594"/>
    <w:rsid w:val="00D44A26"/>
    <w:rsid w:val="00D44DE2"/>
    <w:rsid w:val="00D45543"/>
    <w:rsid w:val="00D46CC5"/>
    <w:rsid w:val="00D500AD"/>
    <w:rsid w:val="00D50DC3"/>
    <w:rsid w:val="00D510EE"/>
    <w:rsid w:val="00D5291F"/>
    <w:rsid w:val="00D539BF"/>
    <w:rsid w:val="00D541E7"/>
    <w:rsid w:val="00D61DCE"/>
    <w:rsid w:val="00D65A31"/>
    <w:rsid w:val="00D71B98"/>
    <w:rsid w:val="00D74188"/>
    <w:rsid w:val="00D7425B"/>
    <w:rsid w:val="00D75E72"/>
    <w:rsid w:val="00D806F1"/>
    <w:rsid w:val="00D8162A"/>
    <w:rsid w:val="00D825F4"/>
    <w:rsid w:val="00D849EE"/>
    <w:rsid w:val="00D854D7"/>
    <w:rsid w:val="00D85C63"/>
    <w:rsid w:val="00D8634C"/>
    <w:rsid w:val="00D864BC"/>
    <w:rsid w:val="00D8659F"/>
    <w:rsid w:val="00D87B6B"/>
    <w:rsid w:val="00D90CA8"/>
    <w:rsid w:val="00D9439C"/>
    <w:rsid w:val="00D95562"/>
    <w:rsid w:val="00D96177"/>
    <w:rsid w:val="00D973A5"/>
    <w:rsid w:val="00D97C77"/>
    <w:rsid w:val="00DA37FA"/>
    <w:rsid w:val="00DA4225"/>
    <w:rsid w:val="00DA4E74"/>
    <w:rsid w:val="00DA4F0D"/>
    <w:rsid w:val="00DA509B"/>
    <w:rsid w:val="00DA7335"/>
    <w:rsid w:val="00DA7B4A"/>
    <w:rsid w:val="00DB0CFD"/>
    <w:rsid w:val="00DB2324"/>
    <w:rsid w:val="00DB4F6C"/>
    <w:rsid w:val="00DB5493"/>
    <w:rsid w:val="00DB74AB"/>
    <w:rsid w:val="00DC020E"/>
    <w:rsid w:val="00DC02C5"/>
    <w:rsid w:val="00DC0518"/>
    <w:rsid w:val="00DC07AD"/>
    <w:rsid w:val="00DC10F2"/>
    <w:rsid w:val="00DC181B"/>
    <w:rsid w:val="00DC1835"/>
    <w:rsid w:val="00DC1F96"/>
    <w:rsid w:val="00DC2044"/>
    <w:rsid w:val="00DC34B1"/>
    <w:rsid w:val="00DC3732"/>
    <w:rsid w:val="00DC4689"/>
    <w:rsid w:val="00DC57DB"/>
    <w:rsid w:val="00DC6513"/>
    <w:rsid w:val="00DC7156"/>
    <w:rsid w:val="00DD2857"/>
    <w:rsid w:val="00DD2ADB"/>
    <w:rsid w:val="00DD3FB7"/>
    <w:rsid w:val="00DD5655"/>
    <w:rsid w:val="00DD7541"/>
    <w:rsid w:val="00DD7810"/>
    <w:rsid w:val="00DE061D"/>
    <w:rsid w:val="00DE0EFB"/>
    <w:rsid w:val="00DE222B"/>
    <w:rsid w:val="00DE2AAB"/>
    <w:rsid w:val="00DE4BDB"/>
    <w:rsid w:val="00DE4FC5"/>
    <w:rsid w:val="00DE5D5E"/>
    <w:rsid w:val="00DE6373"/>
    <w:rsid w:val="00DE7578"/>
    <w:rsid w:val="00DF157B"/>
    <w:rsid w:val="00DF1DC3"/>
    <w:rsid w:val="00DF3111"/>
    <w:rsid w:val="00DF3F9D"/>
    <w:rsid w:val="00DF4330"/>
    <w:rsid w:val="00DF48A4"/>
    <w:rsid w:val="00DF4F75"/>
    <w:rsid w:val="00DF683E"/>
    <w:rsid w:val="00DF7006"/>
    <w:rsid w:val="00E01E13"/>
    <w:rsid w:val="00E023C3"/>
    <w:rsid w:val="00E03AFC"/>
    <w:rsid w:val="00E03DB4"/>
    <w:rsid w:val="00E05935"/>
    <w:rsid w:val="00E103F2"/>
    <w:rsid w:val="00E11846"/>
    <w:rsid w:val="00E131F7"/>
    <w:rsid w:val="00E1371B"/>
    <w:rsid w:val="00E141D5"/>
    <w:rsid w:val="00E1554D"/>
    <w:rsid w:val="00E15AD4"/>
    <w:rsid w:val="00E16443"/>
    <w:rsid w:val="00E168BF"/>
    <w:rsid w:val="00E17B2C"/>
    <w:rsid w:val="00E202FA"/>
    <w:rsid w:val="00E218CA"/>
    <w:rsid w:val="00E23370"/>
    <w:rsid w:val="00E23FE1"/>
    <w:rsid w:val="00E2458E"/>
    <w:rsid w:val="00E253D5"/>
    <w:rsid w:val="00E25645"/>
    <w:rsid w:val="00E256C7"/>
    <w:rsid w:val="00E25E23"/>
    <w:rsid w:val="00E330F6"/>
    <w:rsid w:val="00E4054A"/>
    <w:rsid w:val="00E4096D"/>
    <w:rsid w:val="00E40D3D"/>
    <w:rsid w:val="00E41FF2"/>
    <w:rsid w:val="00E42570"/>
    <w:rsid w:val="00E43279"/>
    <w:rsid w:val="00E435AE"/>
    <w:rsid w:val="00E446B1"/>
    <w:rsid w:val="00E4482D"/>
    <w:rsid w:val="00E45860"/>
    <w:rsid w:val="00E463A9"/>
    <w:rsid w:val="00E4738A"/>
    <w:rsid w:val="00E50BBC"/>
    <w:rsid w:val="00E50C9B"/>
    <w:rsid w:val="00E51FE3"/>
    <w:rsid w:val="00E52B9A"/>
    <w:rsid w:val="00E52F76"/>
    <w:rsid w:val="00E534E5"/>
    <w:rsid w:val="00E55240"/>
    <w:rsid w:val="00E55465"/>
    <w:rsid w:val="00E56206"/>
    <w:rsid w:val="00E57389"/>
    <w:rsid w:val="00E57937"/>
    <w:rsid w:val="00E57A14"/>
    <w:rsid w:val="00E6337E"/>
    <w:rsid w:val="00E6436A"/>
    <w:rsid w:val="00E64671"/>
    <w:rsid w:val="00E648B5"/>
    <w:rsid w:val="00E655FB"/>
    <w:rsid w:val="00E67AF9"/>
    <w:rsid w:val="00E705B7"/>
    <w:rsid w:val="00E70936"/>
    <w:rsid w:val="00E70DE9"/>
    <w:rsid w:val="00E70E6F"/>
    <w:rsid w:val="00E71EDC"/>
    <w:rsid w:val="00E742E4"/>
    <w:rsid w:val="00E75D96"/>
    <w:rsid w:val="00E76758"/>
    <w:rsid w:val="00E77099"/>
    <w:rsid w:val="00E77EEF"/>
    <w:rsid w:val="00E805DD"/>
    <w:rsid w:val="00E81197"/>
    <w:rsid w:val="00E81DAA"/>
    <w:rsid w:val="00E85908"/>
    <w:rsid w:val="00E85F06"/>
    <w:rsid w:val="00E8739B"/>
    <w:rsid w:val="00E877DB"/>
    <w:rsid w:val="00E93CA8"/>
    <w:rsid w:val="00E94C30"/>
    <w:rsid w:val="00E97688"/>
    <w:rsid w:val="00E9787E"/>
    <w:rsid w:val="00EA03DD"/>
    <w:rsid w:val="00EA1ECE"/>
    <w:rsid w:val="00EA2F43"/>
    <w:rsid w:val="00EA555A"/>
    <w:rsid w:val="00EA5595"/>
    <w:rsid w:val="00EA7592"/>
    <w:rsid w:val="00EB0BC2"/>
    <w:rsid w:val="00EB175C"/>
    <w:rsid w:val="00EB3DB7"/>
    <w:rsid w:val="00EB5700"/>
    <w:rsid w:val="00EB69B5"/>
    <w:rsid w:val="00EB73DB"/>
    <w:rsid w:val="00EB7A57"/>
    <w:rsid w:val="00EB7B14"/>
    <w:rsid w:val="00EC093D"/>
    <w:rsid w:val="00EC1999"/>
    <w:rsid w:val="00EC2ED2"/>
    <w:rsid w:val="00EC4344"/>
    <w:rsid w:val="00EC4632"/>
    <w:rsid w:val="00EC4A25"/>
    <w:rsid w:val="00EC512A"/>
    <w:rsid w:val="00EC55EF"/>
    <w:rsid w:val="00ED01C5"/>
    <w:rsid w:val="00ED1668"/>
    <w:rsid w:val="00ED1905"/>
    <w:rsid w:val="00ED2796"/>
    <w:rsid w:val="00ED5606"/>
    <w:rsid w:val="00ED6412"/>
    <w:rsid w:val="00ED7D86"/>
    <w:rsid w:val="00EE11F8"/>
    <w:rsid w:val="00EE1735"/>
    <w:rsid w:val="00EE24D8"/>
    <w:rsid w:val="00EE2B51"/>
    <w:rsid w:val="00EE2B7F"/>
    <w:rsid w:val="00EE3C1D"/>
    <w:rsid w:val="00EE4335"/>
    <w:rsid w:val="00EE4BBA"/>
    <w:rsid w:val="00EE6EA4"/>
    <w:rsid w:val="00EF0852"/>
    <w:rsid w:val="00EF14AC"/>
    <w:rsid w:val="00EF2082"/>
    <w:rsid w:val="00EF534A"/>
    <w:rsid w:val="00EF6080"/>
    <w:rsid w:val="00EF6453"/>
    <w:rsid w:val="00EF6B9D"/>
    <w:rsid w:val="00EF743D"/>
    <w:rsid w:val="00EF7AAD"/>
    <w:rsid w:val="00F0054D"/>
    <w:rsid w:val="00F02C55"/>
    <w:rsid w:val="00F033A3"/>
    <w:rsid w:val="00F04262"/>
    <w:rsid w:val="00F04524"/>
    <w:rsid w:val="00F0490D"/>
    <w:rsid w:val="00F074E9"/>
    <w:rsid w:val="00F07599"/>
    <w:rsid w:val="00F1029B"/>
    <w:rsid w:val="00F11969"/>
    <w:rsid w:val="00F12333"/>
    <w:rsid w:val="00F137A0"/>
    <w:rsid w:val="00F14FDC"/>
    <w:rsid w:val="00F173AA"/>
    <w:rsid w:val="00F209EB"/>
    <w:rsid w:val="00F20E12"/>
    <w:rsid w:val="00F220AC"/>
    <w:rsid w:val="00F2315C"/>
    <w:rsid w:val="00F24ABA"/>
    <w:rsid w:val="00F25752"/>
    <w:rsid w:val="00F264BE"/>
    <w:rsid w:val="00F3125B"/>
    <w:rsid w:val="00F318F6"/>
    <w:rsid w:val="00F326A0"/>
    <w:rsid w:val="00F327CF"/>
    <w:rsid w:val="00F335E0"/>
    <w:rsid w:val="00F3408D"/>
    <w:rsid w:val="00F377BD"/>
    <w:rsid w:val="00F40EF4"/>
    <w:rsid w:val="00F41730"/>
    <w:rsid w:val="00F43125"/>
    <w:rsid w:val="00F4318C"/>
    <w:rsid w:val="00F43593"/>
    <w:rsid w:val="00F43BA5"/>
    <w:rsid w:val="00F44272"/>
    <w:rsid w:val="00F44EF7"/>
    <w:rsid w:val="00F45D09"/>
    <w:rsid w:val="00F46800"/>
    <w:rsid w:val="00F505D1"/>
    <w:rsid w:val="00F514E2"/>
    <w:rsid w:val="00F51EBF"/>
    <w:rsid w:val="00F546E4"/>
    <w:rsid w:val="00F553C3"/>
    <w:rsid w:val="00F55710"/>
    <w:rsid w:val="00F56575"/>
    <w:rsid w:val="00F56582"/>
    <w:rsid w:val="00F567E2"/>
    <w:rsid w:val="00F568AB"/>
    <w:rsid w:val="00F6063A"/>
    <w:rsid w:val="00F60738"/>
    <w:rsid w:val="00F61242"/>
    <w:rsid w:val="00F62061"/>
    <w:rsid w:val="00F6274E"/>
    <w:rsid w:val="00F63AC8"/>
    <w:rsid w:val="00F64ACE"/>
    <w:rsid w:val="00F677AD"/>
    <w:rsid w:val="00F70118"/>
    <w:rsid w:val="00F70179"/>
    <w:rsid w:val="00F72DDC"/>
    <w:rsid w:val="00F756FE"/>
    <w:rsid w:val="00F770B2"/>
    <w:rsid w:val="00F80A85"/>
    <w:rsid w:val="00F80E78"/>
    <w:rsid w:val="00F8124F"/>
    <w:rsid w:val="00F81C42"/>
    <w:rsid w:val="00F823F2"/>
    <w:rsid w:val="00F82516"/>
    <w:rsid w:val="00F83183"/>
    <w:rsid w:val="00F833AC"/>
    <w:rsid w:val="00F843A0"/>
    <w:rsid w:val="00F85145"/>
    <w:rsid w:val="00F85583"/>
    <w:rsid w:val="00F85A73"/>
    <w:rsid w:val="00F878AA"/>
    <w:rsid w:val="00F9190D"/>
    <w:rsid w:val="00F92064"/>
    <w:rsid w:val="00F9218C"/>
    <w:rsid w:val="00F93A13"/>
    <w:rsid w:val="00F94742"/>
    <w:rsid w:val="00F94F2F"/>
    <w:rsid w:val="00F95335"/>
    <w:rsid w:val="00F957AF"/>
    <w:rsid w:val="00F958B9"/>
    <w:rsid w:val="00F96DC2"/>
    <w:rsid w:val="00F977E0"/>
    <w:rsid w:val="00FA03B3"/>
    <w:rsid w:val="00FA27F4"/>
    <w:rsid w:val="00FA496D"/>
    <w:rsid w:val="00FA73CD"/>
    <w:rsid w:val="00FB0194"/>
    <w:rsid w:val="00FB04C9"/>
    <w:rsid w:val="00FB0524"/>
    <w:rsid w:val="00FB0FD3"/>
    <w:rsid w:val="00FB3E1F"/>
    <w:rsid w:val="00FB4BA5"/>
    <w:rsid w:val="00FB5FAB"/>
    <w:rsid w:val="00FC0C30"/>
    <w:rsid w:val="00FC3F6F"/>
    <w:rsid w:val="00FC50A5"/>
    <w:rsid w:val="00FC6324"/>
    <w:rsid w:val="00FC6EFE"/>
    <w:rsid w:val="00FC76FE"/>
    <w:rsid w:val="00FC7F31"/>
    <w:rsid w:val="00FD327B"/>
    <w:rsid w:val="00FD70FD"/>
    <w:rsid w:val="00FE1900"/>
    <w:rsid w:val="00FE2ED2"/>
    <w:rsid w:val="00FE318E"/>
    <w:rsid w:val="00FE3270"/>
    <w:rsid w:val="00FE5257"/>
    <w:rsid w:val="00FE7DA9"/>
    <w:rsid w:val="00FF115E"/>
    <w:rsid w:val="00FF374D"/>
    <w:rsid w:val="00FF4446"/>
    <w:rsid w:val="00FF57E0"/>
    <w:rsid w:val="00FF6E3F"/>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9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41C76"/>
    <w:pPr>
      <w:tabs>
        <w:tab w:val="left" w:pos="1080"/>
        <w:tab w:val="right" w:leader="dot" w:pos="9360"/>
      </w:tabs>
      <w:spacing w:after="180" w:line="240" w:lineRule="exact"/>
      <w:ind w:left="72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F6453"/>
    <w:pPr>
      <w:framePr w:wrap="auto" w:vAnchor="margin" w:yAlign="inline"/>
      <w:pBdr>
        <w:bottom w:val="none" w:sz="0" w:space="0" w:color="auto"/>
      </w:pBdr>
      <w:spacing w:before="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EF645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F6453"/>
    <w:pPr>
      <w:spacing w:after="24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F6453"/>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 w:type="character" w:customStyle="1" w:styleId="apple-converted-space">
    <w:name w:val="apple-converted-space"/>
    <w:basedOn w:val="DefaultParagraphFont"/>
    <w:rsid w:val="0045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41C76"/>
    <w:pPr>
      <w:tabs>
        <w:tab w:val="left" w:pos="1080"/>
        <w:tab w:val="right" w:leader="dot" w:pos="9360"/>
      </w:tabs>
      <w:spacing w:after="180" w:line="240" w:lineRule="exact"/>
      <w:ind w:left="72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F6453"/>
    <w:pPr>
      <w:framePr w:wrap="auto" w:vAnchor="margin" w:yAlign="inline"/>
      <w:pBdr>
        <w:bottom w:val="none" w:sz="0" w:space="0" w:color="auto"/>
      </w:pBdr>
      <w:spacing w:before="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EF645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F6453"/>
    <w:pPr>
      <w:spacing w:after="24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F6453"/>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 w:type="character" w:customStyle="1" w:styleId="apple-converted-space">
    <w:name w:val="apple-converted-space"/>
    <w:basedOn w:val="DefaultParagraphFont"/>
    <w:rsid w:val="0045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03465">
      <w:bodyDiv w:val="1"/>
      <w:marLeft w:val="0"/>
      <w:marRight w:val="0"/>
      <w:marTop w:val="0"/>
      <w:marBottom w:val="0"/>
      <w:divBdr>
        <w:top w:val="none" w:sz="0" w:space="0" w:color="auto"/>
        <w:left w:val="none" w:sz="0" w:space="0" w:color="auto"/>
        <w:bottom w:val="none" w:sz="0" w:space="0" w:color="auto"/>
        <w:right w:val="none" w:sz="0" w:space="0" w:color="auto"/>
      </w:divBdr>
    </w:div>
    <w:div w:id="287976668">
      <w:bodyDiv w:val="1"/>
      <w:marLeft w:val="0"/>
      <w:marRight w:val="0"/>
      <w:marTop w:val="0"/>
      <w:marBottom w:val="0"/>
      <w:divBdr>
        <w:top w:val="none" w:sz="0" w:space="0" w:color="auto"/>
        <w:left w:val="none" w:sz="0" w:space="0" w:color="auto"/>
        <w:bottom w:val="none" w:sz="0" w:space="0" w:color="auto"/>
        <w:right w:val="none" w:sz="0" w:space="0" w:color="auto"/>
      </w:divBdr>
    </w:div>
    <w:div w:id="369453894">
      <w:bodyDiv w:val="1"/>
      <w:marLeft w:val="0"/>
      <w:marRight w:val="0"/>
      <w:marTop w:val="0"/>
      <w:marBottom w:val="0"/>
      <w:divBdr>
        <w:top w:val="none" w:sz="0" w:space="0" w:color="auto"/>
        <w:left w:val="none" w:sz="0" w:space="0" w:color="auto"/>
        <w:bottom w:val="none" w:sz="0" w:space="0" w:color="auto"/>
        <w:right w:val="none" w:sz="0" w:space="0" w:color="auto"/>
      </w:divBdr>
    </w:div>
    <w:div w:id="454058692">
      <w:bodyDiv w:val="1"/>
      <w:marLeft w:val="0"/>
      <w:marRight w:val="0"/>
      <w:marTop w:val="0"/>
      <w:marBottom w:val="0"/>
      <w:divBdr>
        <w:top w:val="none" w:sz="0" w:space="0" w:color="auto"/>
        <w:left w:val="none" w:sz="0" w:space="0" w:color="auto"/>
        <w:bottom w:val="none" w:sz="0" w:space="0" w:color="auto"/>
        <w:right w:val="none" w:sz="0" w:space="0" w:color="auto"/>
      </w:divBdr>
    </w:div>
    <w:div w:id="579405736">
      <w:bodyDiv w:val="1"/>
      <w:marLeft w:val="0"/>
      <w:marRight w:val="0"/>
      <w:marTop w:val="0"/>
      <w:marBottom w:val="0"/>
      <w:divBdr>
        <w:top w:val="none" w:sz="0" w:space="0" w:color="auto"/>
        <w:left w:val="none" w:sz="0" w:space="0" w:color="auto"/>
        <w:bottom w:val="none" w:sz="0" w:space="0" w:color="auto"/>
        <w:right w:val="none" w:sz="0" w:space="0" w:color="auto"/>
      </w:divBdr>
    </w:div>
    <w:div w:id="594216523">
      <w:bodyDiv w:val="1"/>
      <w:marLeft w:val="0"/>
      <w:marRight w:val="0"/>
      <w:marTop w:val="0"/>
      <w:marBottom w:val="0"/>
      <w:divBdr>
        <w:top w:val="none" w:sz="0" w:space="0" w:color="auto"/>
        <w:left w:val="none" w:sz="0" w:space="0" w:color="auto"/>
        <w:bottom w:val="none" w:sz="0" w:space="0" w:color="auto"/>
        <w:right w:val="none" w:sz="0" w:space="0" w:color="auto"/>
      </w:divBdr>
    </w:div>
    <w:div w:id="931863915">
      <w:bodyDiv w:val="1"/>
      <w:marLeft w:val="0"/>
      <w:marRight w:val="0"/>
      <w:marTop w:val="0"/>
      <w:marBottom w:val="0"/>
      <w:divBdr>
        <w:top w:val="none" w:sz="0" w:space="0" w:color="auto"/>
        <w:left w:val="none" w:sz="0" w:space="0" w:color="auto"/>
        <w:bottom w:val="none" w:sz="0" w:space="0" w:color="auto"/>
        <w:right w:val="none" w:sz="0" w:space="0" w:color="auto"/>
      </w:divBdr>
    </w:div>
    <w:div w:id="1037664170">
      <w:bodyDiv w:val="1"/>
      <w:marLeft w:val="0"/>
      <w:marRight w:val="0"/>
      <w:marTop w:val="0"/>
      <w:marBottom w:val="0"/>
      <w:divBdr>
        <w:top w:val="none" w:sz="0" w:space="0" w:color="auto"/>
        <w:left w:val="none" w:sz="0" w:space="0" w:color="auto"/>
        <w:bottom w:val="none" w:sz="0" w:space="0" w:color="auto"/>
        <w:right w:val="none" w:sz="0" w:space="0" w:color="auto"/>
      </w:divBdr>
    </w:div>
    <w:div w:id="1301497515">
      <w:bodyDiv w:val="1"/>
      <w:marLeft w:val="0"/>
      <w:marRight w:val="0"/>
      <w:marTop w:val="0"/>
      <w:marBottom w:val="0"/>
      <w:divBdr>
        <w:top w:val="none" w:sz="0" w:space="0" w:color="auto"/>
        <w:left w:val="none" w:sz="0" w:space="0" w:color="auto"/>
        <w:bottom w:val="none" w:sz="0" w:space="0" w:color="auto"/>
        <w:right w:val="none" w:sz="0" w:space="0" w:color="auto"/>
      </w:divBdr>
    </w:div>
    <w:div w:id="1694573982">
      <w:bodyDiv w:val="1"/>
      <w:marLeft w:val="0"/>
      <w:marRight w:val="0"/>
      <w:marTop w:val="0"/>
      <w:marBottom w:val="0"/>
      <w:divBdr>
        <w:top w:val="none" w:sz="0" w:space="0" w:color="auto"/>
        <w:left w:val="none" w:sz="0" w:space="0" w:color="auto"/>
        <w:bottom w:val="none" w:sz="0" w:space="0" w:color="auto"/>
        <w:right w:val="none" w:sz="0" w:space="0" w:color="auto"/>
      </w:divBdr>
    </w:div>
    <w:div w:id="1768308171">
      <w:bodyDiv w:val="1"/>
      <w:marLeft w:val="0"/>
      <w:marRight w:val="0"/>
      <w:marTop w:val="0"/>
      <w:marBottom w:val="0"/>
      <w:divBdr>
        <w:top w:val="none" w:sz="0" w:space="0" w:color="auto"/>
        <w:left w:val="none" w:sz="0" w:space="0" w:color="auto"/>
        <w:bottom w:val="none" w:sz="0" w:space="0" w:color="auto"/>
        <w:right w:val="none" w:sz="0" w:space="0" w:color="auto"/>
      </w:divBdr>
    </w:div>
    <w:div w:id="1783568330">
      <w:bodyDiv w:val="1"/>
      <w:marLeft w:val="0"/>
      <w:marRight w:val="0"/>
      <w:marTop w:val="0"/>
      <w:marBottom w:val="0"/>
      <w:divBdr>
        <w:top w:val="none" w:sz="0" w:space="0" w:color="auto"/>
        <w:left w:val="none" w:sz="0" w:space="0" w:color="auto"/>
        <w:bottom w:val="none" w:sz="0" w:space="0" w:color="auto"/>
        <w:right w:val="none" w:sz="0" w:space="0" w:color="auto"/>
      </w:divBdr>
    </w:div>
    <w:div w:id="1810392459">
      <w:bodyDiv w:val="1"/>
      <w:marLeft w:val="0"/>
      <w:marRight w:val="0"/>
      <w:marTop w:val="0"/>
      <w:marBottom w:val="0"/>
      <w:divBdr>
        <w:top w:val="none" w:sz="0" w:space="0" w:color="auto"/>
        <w:left w:val="none" w:sz="0" w:space="0" w:color="auto"/>
        <w:bottom w:val="none" w:sz="0" w:space="0" w:color="auto"/>
        <w:right w:val="none" w:sz="0" w:space="0" w:color="auto"/>
      </w:divBdr>
    </w:div>
    <w:div w:id="1988240126">
      <w:bodyDiv w:val="1"/>
      <w:marLeft w:val="0"/>
      <w:marRight w:val="0"/>
      <w:marTop w:val="0"/>
      <w:marBottom w:val="0"/>
      <w:divBdr>
        <w:top w:val="none" w:sz="0" w:space="0" w:color="auto"/>
        <w:left w:val="none" w:sz="0" w:space="0" w:color="auto"/>
        <w:bottom w:val="none" w:sz="0" w:space="0" w:color="auto"/>
        <w:right w:val="none" w:sz="0" w:space="0" w:color="auto"/>
      </w:divBdr>
    </w:div>
    <w:div w:id="1988825229">
      <w:bodyDiv w:val="1"/>
      <w:marLeft w:val="0"/>
      <w:marRight w:val="0"/>
      <w:marTop w:val="0"/>
      <w:marBottom w:val="0"/>
      <w:divBdr>
        <w:top w:val="none" w:sz="0" w:space="0" w:color="auto"/>
        <w:left w:val="none" w:sz="0" w:space="0" w:color="auto"/>
        <w:bottom w:val="none" w:sz="0" w:space="0" w:color="auto"/>
        <w:right w:val="none" w:sz="0" w:space="0" w:color="auto"/>
      </w:divBdr>
    </w:div>
    <w:div w:id="20266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nccp.org/publications/pdf/text_62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naccrra.org/sites/default/files/default_site_pages/2013/quality_infant_and_toddler_care_may2013.pdf" TargetMode="External"/><Relationship Id="rId2" Type="http://schemas.openxmlformats.org/officeDocument/2006/relationships/customXml" Target="../customXml/item2.xml"/><Relationship Id="rId16" Type="http://schemas.openxmlformats.org/officeDocument/2006/relationships/hyperlink" Target="http://www.nccp.org/publications/pub_971.html" TargetMode="External"/><Relationship Id="rId20" Type="http://schemas.openxmlformats.org/officeDocument/2006/relationships/hyperlink" Target="http://www.clasp.org/docs/BetterforBabies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acf.hhs.gov/sites/default/files/opre/nsece_wf_brief_102913_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Yes - Minor Changes</Content_x0020_Changes>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FEE17-09F8-4467-991F-F53CA831DE4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54731C89-3778-4EC4-83C6-E2A6164F8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35ECA-D867-4365-8B8E-88F6A571607E}">
  <ds:schemaRefs>
    <ds:schemaRef ds:uri="http://schemas.microsoft.com/sharepoint/v3/contenttype/forms"/>
  </ds:schemaRefs>
</ds:datastoreItem>
</file>

<file path=customXml/itemProps4.xml><?xml version="1.0" encoding="utf-8"?>
<ds:datastoreItem xmlns:ds="http://schemas.openxmlformats.org/officeDocument/2006/customXml" ds:itemID="{BF19C857-8514-4C2D-ACF3-F0C54B63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TotalTime>
  <Pages>14</Pages>
  <Words>5063</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1. NCEHS-CCP SSA-DRAFT-063015 (formatted)</vt:lpstr>
    </vt:vector>
  </TitlesOfParts>
  <Company>Mathematica, Inc</Company>
  <LinksUpToDate>false</LinksUpToDate>
  <CharactersWithSpaces>33860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NCEHS-CCP SSA-DRAFT-063015 (formatted)</dc:title>
  <dc:subject>National Center on Early Head Start–Child Care Partnerships Evaluation</dc:subject>
  <dc:creator>Mathematica Staff</dc:creator>
  <cp:keywords>Supporting Statement</cp:keywords>
  <dc:description>50044.01.310.220.i01</dc:description>
  <cp:lastModifiedBy>Stacy McCallan</cp:lastModifiedBy>
  <cp:revision>3</cp:revision>
  <cp:lastPrinted>2016-06-17T16:19:00Z</cp:lastPrinted>
  <dcterms:created xsi:type="dcterms:W3CDTF">2016-06-30T14:14:00Z</dcterms:created>
  <dcterms:modified xsi:type="dcterms:W3CDTF">2016-06-30T14:17:00Z</dcterms:modified>
  <cp:category>OMB</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