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EDC" w:rsidRPr="00302EDC" w:rsidRDefault="00302EDC" w:rsidP="002A424A">
      <w:pPr>
        <w:ind w:firstLine="720"/>
        <w:rPr>
          <w:rFonts w:ascii="Times New Roman" w:hAnsi="Times New Roman" w:cs="Times New Roman"/>
          <w:b/>
          <w:sz w:val="24"/>
          <w:szCs w:val="24"/>
          <w:u w:val="single"/>
        </w:rPr>
      </w:pPr>
      <w:r>
        <w:rPr>
          <w:rFonts w:ascii="Times New Roman" w:hAnsi="Times New Roman" w:cs="Times New Roman"/>
          <w:b/>
          <w:sz w:val="24"/>
          <w:szCs w:val="24"/>
          <w:u w:val="single"/>
        </w:rPr>
        <w:t>Background</w:t>
      </w:r>
    </w:p>
    <w:p w:rsidR="00AB46F4" w:rsidRDefault="00B12367" w:rsidP="002A424A">
      <w:pPr>
        <w:ind w:firstLine="720"/>
        <w:rPr>
          <w:rFonts w:ascii="Times New Roman" w:hAnsi="Times New Roman" w:cs="Times New Roman"/>
          <w:sz w:val="24"/>
          <w:szCs w:val="24"/>
        </w:rPr>
      </w:pPr>
      <w:r>
        <w:rPr>
          <w:rFonts w:ascii="Times New Roman" w:hAnsi="Times New Roman" w:cs="Times New Roman"/>
          <w:sz w:val="24"/>
          <w:szCs w:val="24"/>
        </w:rPr>
        <w:t>The Departments of Health and Human Services (HHS), Labor, and the Treasury (collectively, the Departments) published a</w:t>
      </w:r>
      <w:r w:rsidRPr="0039574B">
        <w:rPr>
          <w:rFonts w:ascii="Times New Roman" w:hAnsi="Times New Roman" w:cs="Times New Roman"/>
          <w:sz w:val="24"/>
          <w:szCs w:val="24"/>
        </w:rPr>
        <w:t xml:space="preserve"> second notice of proposed rulemaking on December 30, 2014 to propose revisions to the regulation</w:t>
      </w:r>
      <w:r>
        <w:rPr>
          <w:rFonts w:ascii="Times New Roman" w:hAnsi="Times New Roman" w:cs="Times New Roman"/>
          <w:sz w:val="24"/>
          <w:szCs w:val="24"/>
        </w:rPr>
        <w:t xml:space="preserve"> </w:t>
      </w:r>
      <w:r w:rsidRPr="009914DE">
        <w:rPr>
          <w:rFonts w:ascii="Times New Roman" w:hAnsi="Times New Roman" w:cs="Times New Roman"/>
          <w:sz w:val="24"/>
          <w:szCs w:val="24"/>
        </w:rPr>
        <w:t>regarding the summary of benefits and coverage (SBC) for group health plans and health insurance coverage in the group and individual markets (2014 NPRM)</w:t>
      </w:r>
      <w:r>
        <w:rPr>
          <w:rFonts w:ascii="Times New Roman" w:hAnsi="Times New Roman" w:cs="Times New Roman"/>
          <w:sz w:val="24"/>
          <w:szCs w:val="24"/>
        </w:rPr>
        <w:t>,</w:t>
      </w:r>
      <w:r w:rsidRPr="0039574B">
        <w:rPr>
          <w:rFonts w:ascii="Times New Roman" w:hAnsi="Times New Roman" w:cs="Times New Roman"/>
          <w:sz w:val="24"/>
          <w:szCs w:val="24"/>
        </w:rPr>
        <w:t xml:space="preserve"> as well as the templates, instructions, and related materials.</w:t>
      </w:r>
      <w:r>
        <w:rPr>
          <w:rStyle w:val="FootnoteReference"/>
          <w:rFonts w:ascii="Times New Roman" w:hAnsi="Times New Roman" w:cs="Times New Roman"/>
          <w:sz w:val="24"/>
          <w:szCs w:val="24"/>
        </w:rPr>
        <w:footnoteReference w:id="1"/>
      </w:r>
      <w:r w:rsidRPr="003957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574B">
        <w:rPr>
          <w:rFonts w:ascii="Times New Roman" w:hAnsi="Times New Roman" w:cs="Times New Roman"/>
          <w:sz w:val="24"/>
          <w:szCs w:val="24"/>
        </w:rPr>
        <w:t>On March 30, 2015, the Departments released an FAQ</w:t>
      </w:r>
      <w:r>
        <w:rPr>
          <w:rFonts w:ascii="Times New Roman" w:hAnsi="Times New Roman" w:cs="Times New Roman"/>
          <w:sz w:val="24"/>
          <w:szCs w:val="24"/>
        </w:rPr>
        <w:t>, which</w:t>
      </w:r>
      <w:r w:rsidRPr="0039574B">
        <w:rPr>
          <w:rFonts w:ascii="Times New Roman" w:hAnsi="Times New Roman" w:cs="Times New Roman"/>
          <w:sz w:val="24"/>
          <w:szCs w:val="24"/>
        </w:rPr>
        <w:t xml:space="preserve"> stat</w:t>
      </w:r>
      <w:r>
        <w:rPr>
          <w:rFonts w:ascii="Times New Roman" w:hAnsi="Times New Roman" w:cs="Times New Roman"/>
          <w:sz w:val="24"/>
          <w:szCs w:val="24"/>
        </w:rPr>
        <w:t>ed</w:t>
      </w:r>
      <w:r w:rsidRPr="0039574B">
        <w:rPr>
          <w:rFonts w:ascii="Times New Roman" w:hAnsi="Times New Roman" w:cs="Times New Roman"/>
          <w:sz w:val="24"/>
          <w:szCs w:val="24"/>
        </w:rPr>
        <w:t xml:space="preserve"> that the Departments intend to finalize changes to the regulations in the near future but intend to utilize consumer testing and offer an opportunity for the public, including the N</w:t>
      </w:r>
      <w:r>
        <w:rPr>
          <w:rFonts w:ascii="Times New Roman" w:hAnsi="Times New Roman" w:cs="Times New Roman"/>
          <w:sz w:val="24"/>
          <w:szCs w:val="24"/>
        </w:rPr>
        <w:t xml:space="preserve">ational </w:t>
      </w:r>
      <w:r w:rsidRPr="0039574B">
        <w:rPr>
          <w:rFonts w:ascii="Times New Roman" w:hAnsi="Times New Roman" w:cs="Times New Roman"/>
          <w:sz w:val="24"/>
          <w:szCs w:val="24"/>
        </w:rPr>
        <w:t>A</w:t>
      </w:r>
      <w:r>
        <w:rPr>
          <w:rFonts w:ascii="Times New Roman" w:hAnsi="Times New Roman" w:cs="Times New Roman"/>
          <w:sz w:val="24"/>
          <w:szCs w:val="24"/>
        </w:rPr>
        <w:t xml:space="preserve">ssociation of </w:t>
      </w:r>
      <w:r w:rsidRPr="0039574B">
        <w:rPr>
          <w:rFonts w:ascii="Times New Roman" w:hAnsi="Times New Roman" w:cs="Times New Roman"/>
          <w:sz w:val="24"/>
          <w:szCs w:val="24"/>
        </w:rPr>
        <w:t>I</w:t>
      </w:r>
      <w:r>
        <w:rPr>
          <w:rFonts w:ascii="Times New Roman" w:hAnsi="Times New Roman" w:cs="Times New Roman"/>
          <w:sz w:val="24"/>
          <w:szCs w:val="24"/>
        </w:rPr>
        <w:t xml:space="preserve">nsurance </w:t>
      </w:r>
      <w:r w:rsidRPr="0039574B">
        <w:rPr>
          <w:rFonts w:ascii="Times New Roman" w:hAnsi="Times New Roman" w:cs="Times New Roman"/>
          <w:sz w:val="24"/>
          <w:szCs w:val="24"/>
        </w:rPr>
        <w:t>C</w:t>
      </w:r>
      <w:r>
        <w:rPr>
          <w:rFonts w:ascii="Times New Roman" w:hAnsi="Times New Roman" w:cs="Times New Roman"/>
          <w:sz w:val="24"/>
          <w:szCs w:val="24"/>
        </w:rPr>
        <w:t>ommissioners (NAIC)</w:t>
      </w:r>
      <w:r w:rsidRPr="0039574B">
        <w:rPr>
          <w:rFonts w:ascii="Times New Roman" w:hAnsi="Times New Roman" w:cs="Times New Roman"/>
          <w:sz w:val="24"/>
          <w:szCs w:val="24"/>
        </w:rPr>
        <w:t>, to provide further input before finalizing revisions to the SBC template and associated documents.</w:t>
      </w:r>
      <w:r>
        <w:rPr>
          <w:rStyle w:val="FootnoteReference"/>
          <w:rFonts w:ascii="Times New Roman" w:hAnsi="Times New Roman" w:cs="Times New Roman"/>
          <w:sz w:val="24"/>
          <w:szCs w:val="24"/>
        </w:rPr>
        <w:footnoteReference w:id="2"/>
      </w:r>
      <w:r w:rsidRPr="003957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574B">
        <w:rPr>
          <w:rFonts w:ascii="Times New Roman" w:hAnsi="Times New Roman" w:cs="Times New Roman"/>
          <w:sz w:val="24"/>
          <w:szCs w:val="24"/>
        </w:rPr>
        <w:t>A final rule</w:t>
      </w:r>
      <w:r>
        <w:rPr>
          <w:rFonts w:ascii="Times New Roman" w:hAnsi="Times New Roman" w:cs="Times New Roman"/>
          <w:sz w:val="24"/>
          <w:szCs w:val="24"/>
        </w:rPr>
        <w:t xml:space="preserve"> (2015 Final Rule)</w:t>
      </w:r>
      <w:r w:rsidRPr="0039574B">
        <w:rPr>
          <w:rFonts w:ascii="Times New Roman" w:hAnsi="Times New Roman" w:cs="Times New Roman"/>
          <w:sz w:val="24"/>
          <w:szCs w:val="24"/>
        </w:rPr>
        <w:t>, without final revisions to the SBC template and associated documents, was published on June 16, 2015</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Pr>
          <w:rFonts w:ascii="Times New Roman" w:hAnsi="Times New Roman" w:cs="Times New Roman"/>
          <w:color w:val="000000"/>
          <w:sz w:val="24"/>
          <w:szCs w:val="24"/>
        </w:rPr>
        <w:t>O</w:t>
      </w:r>
      <w:r w:rsidRPr="00934940">
        <w:rPr>
          <w:rFonts w:ascii="Times New Roman" w:hAnsi="Times New Roman" w:cs="Times New Roman"/>
          <w:color w:val="000000"/>
          <w:sz w:val="24"/>
          <w:szCs w:val="24"/>
        </w:rPr>
        <w:t xml:space="preserve">n February 26, 2016, the Departments published a coordinated information collection request </w:t>
      </w:r>
      <w:r>
        <w:rPr>
          <w:rFonts w:ascii="Times New Roman" w:hAnsi="Times New Roman" w:cs="Times New Roman"/>
          <w:color w:val="000000"/>
          <w:sz w:val="24"/>
          <w:szCs w:val="24"/>
        </w:rPr>
        <w:t>(2016 ICR)</w:t>
      </w:r>
      <w:r>
        <w:rPr>
          <w:rFonts w:ascii="Times New Roman" w:hAnsi="Times New Roman" w:cs="Times New Roman"/>
          <w:sz w:val="24"/>
          <w:szCs w:val="24"/>
        </w:rPr>
        <w:t xml:space="preserve"> </w:t>
      </w:r>
      <w:r w:rsidRPr="00934940">
        <w:rPr>
          <w:rFonts w:ascii="Times New Roman" w:hAnsi="Times New Roman" w:cs="Times New Roman"/>
          <w:color w:val="000000"/>
          <w:sz w:val="24"/>
          <w:szCs w:val="24"/>
        </w:rPr>
        <w:t>proposing a new SBC template and instructions, an updated uniform glossary, and other associated materials consistent with the requirements of the Paperwork Reduction Act.</w:t>
      </w:r>
      <w:r>
        <w:rPr>
          <w:rStyle w:val="FootnoteReference"/>
          <w:rFonts w:ascii="Times New Roman" w:hAnsi="Times New Roman" w:cs="Times New Roman"/>
          <w:color w:val="000000"/>
          <w:sz w:val="24"/>
          <w:szCs w:val="24"/>
        </w:rPr>
        <w:footnoteReference w:id="4"/>
      </w:r>
      <w:r>
        <w:rPr>
          <w:rFonts w:ascii="Times New Roman" w:hAnsi="Times New Roman" w:cs="Times New Roman"/>
          <w:color w:val="000000"/>
          <w:sz w:val="24"/>
          <w:szCs w:val="24"/>
        </w:rPr>
        <w:t xml:space="preserve">  </w:t>
      </w:r>
      <w:r w:rsidR="00AB46F4" w:rsidRPr="00162786">
        <w:rPr>
          <w:rFonts w:ascii="Times New Roman" w:hAnsi="Times New Roman" w:cs="Times New Roman"/>
          <w:sz w:val="24"/>
          <w:szCs w:val="24"/>
        </w:rPr>
        <w:t xml:space="preserve">The Departments addressed </w:t>
      </w:r>
      <w:r w:rsidR="00AB46F4">
        <w:rPr>
          <w:rFonts w:ascii="Times New Roman" w:hAnsi="Times New Roman" w:cs="Times New Roman"/>
          <w:sz w:val="24"/>
          <w:szCs w:val="24"/>
        </w:rPr>
        <w:t xml:space="preserve">the implementation timeline for the </w:t>
      </w:r>
      <w:r w:rsidR="004E0230">
        <w:rPr>
          <w:rFonts w:ascii="Times New Roman" w:hAnsi="Times New Roman" w:cs="Times New Roman"/>
          <w:sz w:val="24"/>
          <w:szCs w:val="24"/>
        </w:rPr>
        <w:t xml:space="preserve">revised </w:t>
      </w:r>
      <w:r w:rsidR="00AB46F4">
        <w:rPr>
          <w:rFonts w:ascii="Times New Roman" w:hAnsi="Times New Roman" w:cs="Times New Roman"/>
          <w:sz w:val="24"/>
          <w:szCs w:val="24"/>
        </w:rPr>
        <w:t>SBC and its supporting documents</w:t>
      </w:r>
      <w:r w:rsidR="00AB46F4" w:rsidRPr="00162786">
        <w:rPr>
          <w:rFonts w:ascii="Times New Roman" w:hAnsi="Times New Roman" w:cs="Times New Roman"/>
          <w:sz w:val="24"/>
          <w:szCs w:val="24"/>
        </w:rPr>
        <w:t xml:space="preserve"> with the release of FAQs About Affordable Care Act Implementation part 30, (published on March 11, 2016) which stated that the intention of the Departments was for health plans and issuers that maintain an annual open enrollment period to be required to use the new SBC template and supporting documents beginning on the first day of the first open enrollment period that begins on or after April 1, 2017 with respect to coverage for plan years (or, in the individual market, policy years) beginning on or after that date.</w:t>
      </w:r>
      <w:r w:rsidR="00AB46F4">
        <w:rPr>
          <w:rFonts w:ascii="Times New Roman" w:hAnsi="Times New Roman" w:cs="Times New Roman"/>
          <w:sz w:val="24"/>
          <w:szCs w:val="24"/>
        </w:rPr>
        <w:t xml:space="preserve"> </w:t>
      </w:r>
      <w:r w:rsidR="00AB46F4" w:rsidRPr="00162786">
        <w:rPr>
          <w:rFonts w:ascii="Times New Roman" w:hAnsi="Times New Roman" w:cs="Times New Roman"/>
          <w:sz w:val="24"/>
          <w:szCs w:val="24"/>
        </w:rPr>
        <w:t xml:space="preserve"> For plans and issuers that do not use an annual open enrollment period, the new SBC template and supporting documents would be required beginning on the first day of the first plan year (or, in the individual market, policy year) that begins on or after April 1, 2017.  The Departments maintain and finalize this approach here.</w:t>
      </w:r>
    </w:p>
    <w:p w:rsidR="002A424A" w:rsidRDefault="00B12367" w:rsidP="002A424A">
      <w:pPr>
        <w:ind w:firstLine="720"/>
        <w:rPr>
          <w:rFonts w:ascii="Times New Roman" w:hAnsi="Times New Roman" w:cs="Times New Roman"/>
          <w:sz w:val="24"/>
          <w:szCs w:val="24"/>
        </w:rPr>
      </w:pPr>
      <w:r w:rsidRPr="007B5545">
        <w:rPr>
          <w:rFonts w:ascii="Times New Roman" w:hAnsi="Times New Roman" w:cs="Times New Roman"/>
          <w:sz w:val="24"/>
          <w:szCs w:val="24"/>
        </w:rPr>
        <w:t xml:space="preserve">Many comments received </w:t>
      </w:r>
      <w:r>
        <w:rPr>
          <w:rFonts w:ascii="Times New Roman" w:hAnsi="Times New Roman" w:cs="Times New Roman"/>
          <w:sz w:val="24"/>
          <w:szCs w:val="24"/>
        </w:rPr>
        <w:t>in response to the 2016 ICR</w:t>
      </w:r>
      <w:r w:rsidRPr="007B5545">
        <w:rPr>
          <w:rFonts w:ascii="Times New Roman" w:hAnsi="Times New Roman" w:cs="Times New Roman"/>
          <w:sz w:val="24"/>
          <w:szCs w:val="24"/>
        </w:rPr>
        <w:t xml:space="preserve"> mirrored the comments the Departments received </w:t>
      </w:r>
      <w:r>
        <w:rPr>
          <w:rFonts w:ascii="Times New Roman" w:hAnsi="Times New Roman" w:cs="Times New Roman"/>
          <w:sz w:val="24"/>
          <w:szCs w:val="24"/>
        </w:rPr>
        <w:t>in response to the</w:t>
      </w:r>
      <w:r w:rsidRPr="007B5545">
        <w:rPr>
          <w:rFonts w:ascii="Times New Roman" w:hAnsi="Times New Roman" w:cs="Times New Roman"/>
          <w:sz w:val="24"/>
          <w:szCs w:val="24"/>
        </w:rPr>
        <w:t xml:space="preserve"> 2014</w:t>
      </w:r>
      <w:r>
        <w:rPr>
          <w:rFonts w:ascii="Times New Roman" w:hAnsi="Times New Roman" w:cs="Times New Roman"/>
          <w:sz w:val="24"/>
          <w:szCs w:val="24"/>
        </w:rPr>
        <w:t xml:space="preserve"> NPRM</w:t>
      </w:r>
      <w:r w:rsidRPr="007B5545">
        <w:rPr>
          <w:rFonts w:ascii="Times New Roman" w:hAnsi="Times New Roman" w:cs="Times New Roman"/>
          <w:sz w:val="24"/>
          <w:szCs w:val="24"/>
        </w:rPr>
        <w:t xml:space="preserve">. </w:t>
      </w:r>
      <w:r>
        <w:rPr>
          <w:rFonts w:ascii="Times New Roman" w:hAnsi="Times New Roman" w:cs="Times New Roman"/>
          <w:sz w:val="24"/>
          <w:szCs w:val="24"/>
        </w:rPr>
        <w:t xml:space="preserve"> B</w:t>
      </w:r>
      <w:r w:rsidRPr="0039574B">
        <w:rPr>
          <w:rFonts w:ascii="Times New Roman" w:hAnsi="Times New Roman" w:cs="Times New Roman"/>
          <w:sz w:val="24"/>
          <w:szCs w:val="24"/>
        </w:rPr>
        <w:t>elow is the Departments</w:t>
      </w:r>
      <w:r>
        <w:rPr>
          <w:rFonts w:ascii="Times New Roman" w:hAnsi="Times New Roman" w:cs="Times New Roman"/>
          <w:sz w:val="24"/>
          <w:szCs w:val="24"/>
        </w:rPr>
        <w:t>’</w:t>
      </w:r>
      <w:r w:rsidRPr="0039574B">
        <w:rPr>
          <w:rFonts w:ascii="Times New Roman" w:hAnsi="Times New Roman" w:cs="Times New Roman"/>
          <w:sz w:val="24"/>
          <w:szCs w:val="24"/>
        </w:rPr>
        <w:t xml:space="preserve"> response to the comments received during </w:t>
      </w:r>
      <w:r>
        <w:rPr>
          <w:rFonts w:ascii="Times New Roman" w:hAnsi="Times New Roman" w:cs="Times New Roman"/>
          <w:sz w:val="24"/>
          <w:szCs w:val="24"/>
        </w:rPr>
        <w:t xml:space="preserve">the </w:t>
      </w:r>
      <w:r w:rsidRPr="0039574B">
        <w:rPr>
          <w:rFonts w:ascii="Times New Roman" w:hAnsi="Times New Roman" w:cs="Times New Roman"/>
          <w:sz w:val="24"/>
          <w:szCs w:val="24"/>
        </w:rPr>
        <w:t xml:space="preserve">2014 NPRM comment period and </w:t>
      </w:r>
      <w:r>
        <w:rPr>
          <w:rFonts w:ascii="Times New Roman" w:hAnsi="Times New Roman" w:cs="Times New Roman"/>
          <w:sz w:val="24"/>
          <w:szCs w:val="24"/>
        </w:rPr>
        <w:t>2016 ICR</w:t>
      </w:r>
      <w:r w:rsidRPr="0039574B">
        <w:rPr>
          <w:rFonts w:ascii="Times New Roman" w:hAnsi="Times New Roman" w:cs="Times New Roman"/>
          <w:sz w:val="24"/>
          <w:szCs w:val="24"/>
        </w:rPr>
        <w:t xml:space="preserve"> comment period</w:t>
      </w:r>
      <w:r w:rsidR="00FF3857" w:rsidRPr="0039574B">
        <w:rPr>
          <w:rFonts w:ascii="Times New Roman" w:hAnsi="Times New Roman" w:cs="Times New Roman"/>
          <w:sz w:val="24"/>
          <w:szCs w:val="24"/>
        </w:rPr>
        <w:t xml:space="preserve">. </w:t>
      </w:r>
    </w:p>
    <w:p w:rsidR="00302EDC" w:rsidRPr="00302EDC" w:rsidRDefault="00302EDC" w:rsidP="002A424A">
      <w:pPr>
        <w:ind w:firstLine="720"/>
        <w:rPr>
          <w:rFonts w:ascii="Times New Roman" w:hAnsi="Times New Roman" w:cs="Times New Roman"/>
          <w:b/>
          <w:sz w:val="24"/>
          <w:szCs w:val="24"/>
          <w:u w:val="single"/>
        </w:rPr>
      </w:pPr>
      <w:r>
        <w:rPr>
          <w:rFonts w:ascii="Times New Roman" w:hAnsi="Times New Roman" w:cs="Times New Roman"/>
          <w:b/>
          <w:sz w:val="24"/>
          <w:szCs w:val="24"/>
          <w:u w:val="single"/>
        </w:rPr>
        <w:t>2014 NPRM</w:t>
      </w:r>
    </w:p>
    <w:p w:rsidR="00B04D1B" w:rsidRPr="00811691" w:rsidRDefault="009054B0" w:rsidP="00C942A5">
      <w:pPr>
        <w:ind w:firstLine="720"/>
        <w:rPr>
          <w:rFonts w:ascii="Times New Roman" w:hAnsi="Times New Roman" w:cs="Times New Roman"/>
          <w:sz w:val="24"/>
          <w:szCs w:val="24"/>
        </w:rPr>
      </w:pPr>
      <w:r w:rsidRPr="00811691">
        <w:rPr>
          <w:rFonts w:ascii="Times New Roman" w:hAnsi="Times New Roman" w:cs="Times New Roman"/>
          <w:sz w:val="24"/>
          <w:szCs w:val="24"/>
        </w:rPr>
        <w:t xml:space="preserve">PHS Act section 2715(b)(1) requires that </w:t>
      </w:r>
      <w:r w:rsidR="00641BB3" w:rsidRPr="00811691">
        <w:rPr>
          <w:rFonts w:ascii="Times New Roman" w:hAnsi="Times New Roman" w:cs="Times New Roman"/>
          <w:sz w:val="24"/>
          <w:szCs w:val="24"/>
        </w:rPr>
        <w:t xml:space="preserve">the </w:t>
      </w:r>
      <w:r w:rsidRPr="00811691">
        <w:rPr>
          <w:rFonts w:ascii="Times New Roman" w:hAnsi="Times New Roman" w:cs="Times New Roman"/>
          <w:sz w:val="24"/>
          <w:szCs w:val="24"/>
        </w:rPr>
        <w:t>SBC be “presented in a uniform format that does not exceed 4 pages in length</w:t>
      </w:r>
      <w:r w:rsidR="002E3F0F" w:rsidRPr="00811691">
        <w:rPr>
          <w:rFonts w:ascii="Times New Roman" w:hAnsi="Times New Roman" w:cs="Times New Roman"/>
          <w:sz w:val="24"/>
          <w:szCs w:val="24"/>
        </w:rPr>
        <w:t>.</w:t>
      </w:r>
      <w:r w:rsidRPr="00811691">
        <w:rPr>
          <w:rFonts w:ascii="Times New Roman" w:hAnsi="Times New Roman" w:cs="Times New Roman"/>
          <w:sz w:val="24"/>
          <w:szCs w:val="24"/>
        </w:rPr>
        <w:t xml:space="preserve">” </w:t>
      </w:r>
      <w:r w:rsidR="002E3F0F" w:rsidRPr="00811691">
        <w:rPr>
          <w:rFonts w:ascii="Times New Roman" w:hAnsi="Times New Roman" w:cs="Times New Roman"/>
          <w:sz w:val="24"/>
          <w:szCs w:val="24"/>
        </w:rPr>
        <w:t xml:space="preserve"> </w:t>
      </w:r>
      <w:r w:rsidR="00696401" w:rsidRPr="00811691">
        <w:rPr>
          <w:rFonts w:ascii="Times New Roman" w:hAnsi="Times New Roman" w:cs="Times New Roman"/>
          <w:sz w:val="24"/>
          <w:szCs w:val="24"/>
        </w:rPr>
        <w:t xml:space="preserve">The </w:t>
      </w:r>
      <w:r w:rsidR="00D9160D" w:rsidRPr="00811691">
        <w:rPr>
          <w:rFonts w:ascii="Times New Roman" w:hAnsi="Times New Roman" w:cs="Times New Roman"/>
          <w:sz w:val="24"/>
          <w:szCs w:val="24"/>
        </w:rPr>
        <w:t>NAIC</w:t>
      </w:r>
      <w:r w:rsidR="00393B71" w:rsidRPr="00811691">
        <w:rPr>
          <w:rFonts w:ascii="Times New Roman" w:hAnsi="Times New Roman" w:cs="Times New Roman"/>
          <w:sz w:val="24"/>
          <w:szCs w:val="24"/>
        </w:rPr>
        <w:t xml:space="preserve"> </w:t>
      </w:r>
      <w:r w:rsidR="00BB6BD2">
        <w:rPr>
          <w:rFonts w:ascii="Times New Roman" w:hAnsi="Times New Roman" w:cs="Times New Roman"/>
          <w:sz w:val="24"/>
          <w:szCs w:val="24"/>
        </w:rPr>
        <w:t>commented</w:t>
      </w:r>
      <w:r w:rsidRPr="00811691">
        <w:rPr>
          <w:rFonts w:ascii="Times New Roman" w:hAnsi="Times New Roman" w:cs="Times New Roman"/>
          <w:sz w:val="24"/>
          <w:szCs w:val="24"/>
        </w:rPr>
        <w:t xml:space="preserve"> that the Departments should</w:t>
      </w:r>
      <w:r w:rsidR="00D9160D" w:rsidRPr="00811691">
        <w:rPr>
          <w:rFonts w:ascii="Times New Roman" w:hAnsi="Times New Roman" w:cs="Times New Roman"/>
          <w:sz w:val="24"/>
          <w:szCs w:val="24"/>
        </w:rPr>
        <w:t xml:space="preserve"> interpret the statutory page limit as applicable to the </w:t>
      </w:r>
      <w:r w:rsidR="00BB6BD2">
        <w:rPr>
          <w:rFonts w:ascii="Times New Roman" w:hAnsi="Times New Roman" w:cs="Times New Roman"/>
          <w:sz w:val="24"/>
          <w:szCs w:val="24"/>
        </w:rPr>
        <w:t>blank SBC</w:t>
      </w:r>
      <w:r w:rsidR="00D9160D" w:rsidRPr="00811691">
        <w:rPr>
          <w:rFonts w:ascii="Times New Roman" w:hAnsi="Times New Roman" w:cs="Times New Roman"/>
          <w:sz w:val="24"/>
          <w:szCs w:val="24"/>
        </w:rPr>
        <w:t xml:space="preserve"> template only and not </w:t>
      </w:r>
      <w:r w:rsidR="00E00FAA" w:rsidRPr="00811691">
        <w:rPr>
          <w:rFonts w:ascii="Times New Roman" w:hAnsi="Times New Roman" w:cs="Times New Roman"/>
          <w:sz w:val="24"/>
          <w:szCs w:val="24"/>
        </w:rPr>
        <w:t>to</w:t>
      </w:r>
      <w:r w:rsidR="00D9160D" w:rsidRPr="00811691">
        <w:rPr>
          <w:rFonts w:ascii="Times New Roman" w:hAnsi="Times New Roman" w:cs="Times New Roman"/>
          <w:sz w:val="24"/>
          <w:szCs w:val="24"/>
        </w:rPr>
        <w:t xml:space="preserve"> </w:t>
      </w:r>
      <w:r w:rsidR="00BB6BD2">
        <w:rPr>
          <w:rFonts w:ascii="Times New Roman" w:hAnsi="Times New Roman" w:cs="Times New Roman"/>
          <w:sz w:val="24"/>
          <w:szCs w:val="24"/>
        </w:rPr>
        <w:t xml:space="preserve">the </w:t>
      </w:r>
      <w:r w:rsidR="00E00FAA" w:rsidRPr="00811691">
        <w:rPr>
          <w:rFonts w:ascii="Times New Roman" w:hAnsi="Times New Roman" w:cs="Times New Roman"/>
          <w:sz w:val="24"/>
          <w:szCs w:val="24"/>
        </w:rPr>
        <w:t>complete</w:t>
      </w:r>
      <w:r w:rsidR="00BB6BD2">
        <w:rPr>
          <w:rFonts w:ascii="Times New Roman" w:hAnsi="Times New Roman" w:cs="Times New Roman"/>
          <w:sz w:val="24"/>
          <w:szCs w:val="24"/>
        </w:rPr>
        <w:t>d</w:t>
      </w:r>
      <w:r w:rsidR="00D9160D" w:rsidRPr="00811691">
        <w:rPr>
          <w:rFonts w:ascii="Times New Roman" w:hAnsi="Times New Roman" w:cs="Times New Roman"/>
          <w:sz w:val="24"/>
          <w:szCs w:val="24"/>
        </w:rPr>
        <w:t xml:space="preserve"> SBCs</w:t>
      </w:r>
      <w:r w:rsidR="00171E67" w:rsidRPr="00811691">
        <w:rPr>
          <w:rFonts w:ascii="Times New Roman" w:hAnsi="Times New Roman" w:cs="Times New Roman"/>
          <w:sz w:val="24"/>
          <w:szCs w:val="24"/>
        </w:rPr>
        <w:t xml:space="preserve"> that have been filled out</w:t>
      </w:r>
      <w:r w:rsidR="00D9160D" w:rsidRPr="00811691">
        <w:rPr>
          <w:rFonts w:ascii="Times New Roman" w:hAnsi="Times New Roman" w:cs="Times New Roman"/>
          <w:sz w:val="24"/>
          <w:szCs w:val="24"/>
        </w:rPr>
        <w:t xml:space="preserve"> by plans and issuers.  The Departments decline to adopt this </w:t>
      </w:r>
      <w:r w:rsidR="00D9160D" w:rsidRPr="00811691">
        <w:rPr>
          <w:rFonts w:ascii="Times New Roman" w:hAnsi="Times New Roman" w:cs="Times New Roman"/>
          <w:sz w:val="24"/>
          <w:szCs w:val="24"/>
        </w:rPr>
        <w:lastRenderedPageBreak/>
        <w:t>interpretation.</w:t>
      </w:r>
      <w:r w:rsidR="00696401" w:rsidRPr="00811691">
        <w:rPr>
          <w:rFonts w:ascii="Times New Roman" w:hAnsi="Times New Roman" w:cs="Times New Roman"/>
          <w:sz w:val="24"/>
          <w:szCs w:val="24"/>
        </w:rPr>
        <w:t xml:space="preserve">  The Departments have determined that the statute </w:t>
      </w:r>
      <w:r w:rsidR="00296240" w:rsidRPr="00811691">
        <w:rPr>
          <w:rFonts w:ascii="Times New Roman" w:hAnsi="Times New Roman" w:cs="Times New Roman"/>
          <w:sz w:val="24"/>
          <w:szCs w:val="24"/>
        </w:rPr>
        <w:t xml:space="preserve">does not </w:t>
      </w:r>
      <w:r w:rsidR="00480F79" w:rsidRPr="00811691">
        <w:rPr>
          <w:rFonts w:ascii="Times New Roman" w:hAnsi="Times New Roman" w:cs="Times New Roman"/>
          <w:sz w:val="24"/>
          <w:szCs w:val="24"/>
        </w:rPr>
        <w:t>permit completed</w:t>
      </w:r>
      <w:r w:rsidR="00696401" w:rsidRPr="00811691">
        <w:rPr>
          <w:rFonts w:ascii="Times New Roman" w:hAnsi="Times New Roman" w:cs="Times New Roman"/>
          <w:sz w:val="24"/>
          <w:szCs w:val="24"/>
        </w:rPr>
        <w:t xml:space="preserve"> SBC</w:t>
      </w:r>
      <w:r w:rsidR="00302EDC">
        <w:rPr>
          <w:rFonts w:ascii="Times New Roman" w:hAnsi="Times New Roman" w:cs="Times New Roman"/>
          <w:sz w:val="24"/>
          <w:szCs w:val="24"/>
        </w:rPr>
        <w:t xml:space="preserve">s to exceed four double-sided </w:t>
      </w:r>
      <w:r w:rsidR="00296240" w:rsidRPr="00811691">
        <w:rPr>
          <w:rFonts w:ascii="Times New Roman" w:hAnsi="Times New Roman" w:cs="Times New Roman"/>
          <w:sz w:val="24"/>
          <w:szCs w:val="24"/>
        </w:rPr>
        <w:t xml:space="preserve">pages.  </w:t>
      </w:r>
      <w:r w:rsidR="00302EDC">
        <w:rPr>
          <w:rFonts w:ascii="Times New Roman" w:hAnsi="Times New Roman" w:cs="Times New Roman"/>
          <w:sz w:val="24"/>
          <w:szCs w:val="24"/>
        </w:rPr>
        <w:t>However, t</w:t>
      </w:r>
      <w:r w:rsidR="00B04D1B" w:rsidRPr="00811691">
        <w:rPr>
          <w:rFonts w:ascii="Times New Roman" w:hAnsi="Times New Roman" w:cs="Times New Roman"/>
          <w:sz w:val="24"/>
          <w:szCs w:val="24"/>
        </w:rPr>
        <w:t>he Departments have made several changes to address concerns related to the page limit.  To the extent that certain limitations and exception</w:t>
      </w:r>
      <w:r w:rsidR="00E6176E">
        <w:rPr>
          <w:rFonts w:ascii="Times New Roman" w:hAnsi="Times New Roman" w:cs="Times New Roman"/>
          <w:sz w:val="24"/>
          <w:szCs w:val="24"/>
        </w:rPr>
        <w:t>s</w:t>
      </w:r>
      <w:r w:rsidR="00B04D1B" w:rsidRPr="00811691">
        <w:rPr>
          <w:rFonts w:ascii="Times New Roman" w:hAnsi="Times New Roman" w:cs="Times New Roman"/>
          <w:sz w:val="24"/>
          <w:szCs w:val="24"/>
        </w:rPr>
        <w:t xml:space="preserve"> are required to be identified in the Common Medical Events Chart, plans and issuers now have the flexibility to cross reference the applicable page or section of </w:t>
      </w:r>
      <w:r w:rsidR="00F3484F">
        <w:rPr>
          <w:rFonts w:ascii="Times New Roman" w:hAnsi="Times New Roman" w:cs="Times New Roman"/>
          <w:sz w:val="24"/>
          <w:szCs w:val="24"/>
        </w:rPr>
        <w:t xml:space="preserve">the </w:t>
      </w:r>
      <w:r w:rsidR="00EC7542" w:rsidRPr="00811691">
        <w:rPr>
          <w:rFonts w:ascii="Times New Roman" w:hAnsi="Times New Roman" w:cs="Times New Roman"/>
          <w:sz w:val="24"/>
          <w:szCs w:val="24"/>
        </w:rPr>
        <w:t>plan or policy documents</w:t>
      </w:r>
      <w:r w:rsidR="00E20AE8" w:rsidRPr="00811691">
        <w:rPr>
          <w:rFonts w:ascii="Times New Roman" w:hAnsi="Times New Roman" w:cs="Times New Roman"/>
          <w:sz w:val="24"/>
          <w:szCs w:val="24"/>
        </w:rPr>
        <w:t xml:space="preserve"> where a description can be found</w:t>
      </w:r>
      <w:r w:rsidR="00B04D1B" w:rsidRPr="00811691">
        <w:rPr>
          <w:rFonts w:ascii="Times New Roman" w:hAnsi="Times New Roman" w:cs="Times New Roman"/>
          <w:sz w:val="24"/>
          <w:szCs w:val="24"/>
        </w:rPr>
        <w:t>.</w:t>
      </w:r>
      <w:r w:rsidR="00EC7542" w:rsidRPr="00811691">
        <w:rPr>
          <w:rFonts w:ascii="Times New Roman" w:hAnsi="Times New Roman" w:cs="Times New Roman"/>
          <w:sz w:val="24"/>
          <w:szCs w:val="24"/>
        </w:rPr>
        <w:t xml:space="preserve"> </w:t>
      </w:r>
      <w:r w:rsidR="00984441">
        <w:rPr>
          <w:rFonts w:ascii="Times New Roman" w:hAnsi="Times New Roman" w:cs="Times New Roman"/>
          <w:sz w:val="24"/>
          <w:szCs w:val="24"/>
        </w:rPr>
        <w:t xml:space="preserve"> </w:t>
      </w:r>
      <w:r w:rsidR="00EC7542" w:rsidRPr="00811691">
        <w:rPr>
          <w:rFonts w:ascii="Times New Roman" w:hAnsi="Times New Roman" w:cs="Times New Roman"/>
          <w:sz w:val="24"/>
          <w:szCs w:val="24"/>
        </w:rPr>
        <w:t xml:space="preserve">Additionally, the </w:t>
      </w:r>
      <w:r w:rsidR="003638D4">
        <w:rPr>
          <w:rFonts w:ascii="Times New Roman" w:hAnsi="Times New Roman" w:cs="Times New Roman"/>
          <w:sz w:val="24"/>
          <w:szCs w:val="24"/>
        </w:rPr>
        <w:t xml:space="preserve">requirement for plans and issuers to describe applicable limitations and exceptions for the services identified in the </w:t>
      </w:r>
      <w:r w:rsidR="00EC7542" w:rsidRPr="00811691">
        <w:rPr>
          <w:rFonts w:ascii="Times New Roman" w:hAnsi="Times New Roman" w:cs="Times New Roman"/>
          <w:sz w:val="24"/>
          <w:szCs w:val="24"/>
        </w:rPr>
        <w:t xml:space="preserve">“Services Your Plan Does Not Cover” section has been </w:t>
      </w:r>
      <w:r w:rsidR="003638D4">
        <w:rPr>
          <w:rFonts w:ascii="Times New Roman" w:hAnsi="Times New Roman" w:cs="Times New Roman"/>
          <w:sz w:val="24"/>
          <w:szCs w:val="24"/>
        </w:rPr>
        <w:t xml:space="preserve">removed.  The caption for the section has been </w:t>
      </w:r>
      <w:r w:rsidR="00EC7542" w:rsidRPr="00811691">
        <w:rPr>
          <w:rFonts w:ascii="Times New Roman" w:hAnsi="Times New Roman" w:cs="Times New Roman"/>
          <w:sz w:val="24"/>
          <w:szCs w:val="24"/>
        </w:rPr>
        <w:t xml:space="preserve">changed to “Services Your Plan Generally Does Not Cover” and directs the consumer to check the plan or policy document for more information.  The final group and individual instruction guides </w:t>
      </w:r>
      <w:r w:rsidR="003638D4">
        <w:rPr>
          <w:rFonts w:ascii="Times New Roman" w:hAnsi="Times New Roman" w:cs="Times New Roman"/>
          <w:sz w:val="24"/>
          <w:szCs w:val="24"/>
        </w:rPr>
        <w:t xml:space="preserve">now </w:t>
      </w:r>
      <w:r w:rsidR="00EC7542" w:rsidRPr="00811691">
        <w:rPr>
          <w:rFonts w:ascii="Times New Roman" w:hAnsi="Times New Roman" w:cs="Times New Roman"/>
          <w:sz w:val="24"/>
          <w:szCs w:val="24"/>
        </w:rPr>
        <w:t xml:space="preserve">only require </w:t>
      </w:r>
      <w:r w:rsidR="00B12367">
        <w:rPr>
          <w:rFonts w:ascii="Times New Roman" w:hAnsi="Times New Roman" w:cs="Times New Roman"/>
          <w:sz w:val="24"/>
          <w:szCs w:val="24"/>
        </w:rPr>
        <w:t xml:space="preserve">that </w:t>
      </w:r>
      <w:r w:rsidR="00EC7542" w:rsidRPr="00811691">
        <w:rPr>
          <w:rFonts w:ascii="Times New Roman" w:hAnsi="Times New Roman" w:cs="Times New Roman"/>
          <w:sz w:val="24"/>
          <w:szCs w:val="24"/>
        </w:rPr>
        <w:t>limitations be described for services identified in the “Other Covered Services” section.</w:t>
      </w:r>
    </w:p>
    <w:p w:rsidR="00DB48F5" w:rsidRPr="00811691" w:rsidRDefault="00685C48" w:rsidP="00C942A5">
      <w:pPr>
        <w:ind w:firstLine="720"/>
        <w:rPr>
          <w:rFonts w:ascii="Times New Roman" w:hAnsi="Times New Roman" w:cs="Times New Roman"/>
          <w:sz w:val="24"/>
          <w:szCs w:val="24"/>
        </w:rPr>
      </w:pPr>
      <w:r w:rsidRPr="00811691">
        <w:rPr>
          <w:rFonts w:ascii="Times New Roman" w:hAnsi="Times New Roman" w:cs="Times New Roman"/>
          <w:sz w:val="24"/>
          <w:szCs w:val="24"/>
        </w:rPr>
        <w:t>Under 45 CFR 155.205</w:t>
      </w:r>
      <w:r w:rsidRPr="00DC0339">
        <w:rPr>
          <w:rFonts w:ascii="Times New Roman" w:hAnsi="Times New Roman" w:cs="Times New Roman"/>
          <w:bCs/>
          <w:sz w:val="24"/>
          <w:szCs w:val="24"/>
        </w:rPr>
        <w:t xml:space="preserve">(c)(2)(iii), </w:t>
      </w:r>
      <w:r w:rsidR="009054B0" w:rsidRPr="00811691">
        <w:rPr>
          <w:rFonts w:ascii="Times New Roman" w:hAnsi="Times New Roman" w:cs="Times New Roman"/>
          <w:sz w:val="24"/>
          <w:szCs w:val="24"/>
        </w:rPr>
        <w:t xml:space="preserve">Qualified Health Plans </w:t>
      </w:r>
      <w:r w:rsidR="00641BB3" w:rsidRPr="00811691">
        <w:rPr>
          <w:rFonts w:ascii="Times New Roman" w:hAnsi="Times New Roman" w:cs="Times New Roman"/>
          <w:sz w:val="24"/>
          <w:szCs w:val="24"/>
        </w:rPr>
        <w:t xml:space="preserve">(QHPs) </w:t>
      </w:r>
      <w:r w:rsidR="009054B0" w:rsidRPr="00811691">
        <w:rPr>
          <w:rFonts w:ascii="Times New Roman" w:hAnsi="Times New Roman" w:cs="Times New Roman"/>
          <w:sz w:val="24"/>
          <w:szCs w:val="24"/>
        </w:rPr>
        <w:t xml:space="preserve">offered through </w:t>
      </w:r>
      <w:r w:rsidR="001E2A26">
        <w:rPr>
          <w:rFonts w:ascii="Times New Roman" w:hAnsi="Times New Roman" w:cs="Times New Roman"/>
          <w:sz w:val="24"/>
          <w:szCs w:val="24"/>
        </w:rPr>
        <w:t xml:space="preserve">the individual or </w:t>
      </w:r>
      <w:r w:rsidR="001E2A26" w:rsidRPr="001E2A26">
        <w:rPr>
          <w:rFonts w:ascii="Times New Roman" w:hAnsi="Times New Roman" w:cs="Times New Roman"/>
          <w:sz w:val="24"/>
          <w:szCs w:val="24"/>
        </w:rPr>
        <w:t xml:space="preserve">Small Business Health Options Programs </w:t>
      </w:r>
      <w:r w:rsidR="001E2A26">
        <w:rPr>
          <w:rFonts w:ascii="Times New Roman" w:hAnsi="Times New Roman" w:cs="Times New Roman"/>
          <w:sz w:val="24"/>
          <w:szCs w:val="24"/>
        </w:rPr>
        <w:t>(SHOP)</w:t>
      </w:r>
      <w:r w:rsidR="009054B0" w:rsidRPr="00811691">
        <w:rPr>
          <w:rFonts w:ascii="Times New Roman" w:hAnsi="Times New Roman" w:cs="Times New Roman"/>
          <w:sz w:val="24"/>
          <w:szCs w:val="24"/>
        </w:rPr>
        <w:t xml:space="preserve"> Marketplace </w:t>
      </w:r>
      <w:r w:rsidRPr="00811691">
        <w:rPr>
          <w:rFonts w:ascii="Times New Roman" w:hAnsi="Times New Roman" w:cs="Times New Roman"/>
          <w:sz w:val="24"/>
          <w:szCs w:val="24"/>
        </w:rPr>
        <w:t xml:space="preserve">must include taglines regarding language access services in </w:t>
      </w:r>
      <w:r w:rsidR="00F3484F">
        <w:rPr>
          <w:rFonts w:ascii="Times New Roman" w:hAnsi="Times New Roman" w:cs="Times New Roman"/>
          <w:sz w:val="24"/>
          <w:szCs w:val="24"/>
        </w:rPr>
        <w:t>at least the top</w:t>
      </w:r>
      <w:r w:rsidRPr="00811691">
        <w:rPr>
          <w:rFonts w:ascii="Times New Roman" w:hAnsi="Times New Roman" w:cs="Times New Roman"/>
          <w:sz w:val="24"/>
          <w:szCs w:val="24"/>
        </w:rPr>
        <w:t xml:space="preserve"> 15 languages</w:t>
      </w:r>
      <w:r w:rsidR="00F3484F">
        <w:rPr>
          <w:rFonts w:ascii="Times New Roman" w:hAnsi="Times New Roman" w:cs="Times New Roman"/>
          <w:sz w:val="24"/>
          <w:szCs w:val="24"/>
        </w:rPr>
        <w:t xml:space="preserve"> spoken by individuals with limited English proficiency in the relevant State</w:t>
      </w:r>
      <w:r w:rsidR="009054B0" w:rsidRPr="00811691">
        <w:rPr>
          <w:rFonts w:ascii="Times New Roman" w:hAnsi="Times New Roman" w:cs="Times New Roman"/>
          <w:sz w:val="24"/>
          <w:szCs w:val="24"/>
        </w:rPr>
        <w:t>.  The instruction guide</w:t>
      </w:r>
      <w:r w:rsidR="001E2A26">
        <w:rPr>
          <w:rFonts w:ascii="Times New Roman" w:hAnsi="Times New Roman" w:cs="Times New Roman"/>
          <w:sz w:val="24"/>
          <w:szCs w:val="24"/>
        </w:rPr>
        <w:t>s</w:t>
      </w:r>
      <w:r w:rsidR="001B18EC" w:rsidRPr="00811691">
        <w:rPr>
          <w:rFonts w:ascii="Times New Roman" w:hAnsi="Times New Roman" w:cs="Times New Roman"/>
          <w:sz w:val="24"/>
          <w:szCs w:val="24"/>
        </w:rPr>
        <w:t xml:space="preserve"> and </w:t>
      </w:r>
      <w:r w:rsidR="00F3484F">
        <w:rPr>
          <w:rFonts w:ascii="Times New Roman" w:hAnsi="Times New Roman" w:cs="Times New Roman"/>
          <w:sz w:val="24"/>
          <w:szCs w:val="24"/>
        </w:rPr>
        <w:t xml:space="preserve">the </w:t>
      </w:r>
      <w:r w:rsidR="001B18EC" w:rsidRPr="00811691">
        <w:rPr>
          <w:rFonts w:ascii="Times New Roman" w:hAnsi="Times New Roman" w:cs="Times New Roman"/>
          <w:sz w:val="24"/>
          <w:szCs w:val="24"/>
        </w:rPr>
        <w:t>2017 Letter to Issuers</w:t>
      </w:r>
      <w:r w:rsidR="009054B0" w:rsidRPr="00811691">
        <w:rPr>
          <w:rFonts w:ascii="Times New Roman" w:hAnsi="Times New Roman" w:cs="Times New Roman"/>
          <w:sz w:val="24"/>
          <w:szCs w:val="24"/>
        </w:rPr>
        <w:t xml:space="preserve"> provides that issuers preparing an SBC for a QHP may include these taglines in an addendum to the SBC.  </w:t>
      </w:r>
      <w:r w:rsidR="00E25B7B" w:rsidRPr="00811691">
        <w:rPr>
          <w:rFonts w:ascii="Times New Roman" w:hAnsi="Times New Roman" w:cs="Times New Roman"/>
          <w:sz w:val="24"/>
          <w:szCs w:val="24"/>
        </w:rPr>
        <w:t>T</w:t>
      </w:r>
      <w:r w:rsidR="009054B0" w:rsidRPr="00811691">
        <w:rPr>
          <w:rFonts w:ascii="Times New Roman" w:hAnsi="Times New Roman" w:cs="Times New Roman"/>
          <w:sz w:val="24"/>
          <w:szCs w:val="24"/>
        </w:rPr>
        <w:t xml:space="preserve">he addendum, which must only include language access services taglines, will not count toward the page limit requirement of PHS Act section 2715(b)(1) </w:t>
      </w:r>
      <w:r w:rsidR="00CC4E04" w:rsidRPr="00811691">
        <w:rPr>
          <w:rFonts w:ascii="Times New Roman" w:hAnsi="Times New Roman" w:cs="Times New Roman"/>
          <w:sz w:val="24"/>
          <w:szCs w:val="24"/>
        </w:rPr>
        <w:t xml:space="preserve">because </w:t>
      </w:r>
      <w:r w:rsidR="009054B0" w:rsidRPr="00811691">
        <w:rPr>
          <w:rFonts w:ascii="Times New Roman" w:hAnsi="Times New Roman" w:cs="Times New Roman"/>
          <w:sz w:val="24"/>
          <w:szCs w:val="24"/>
        </w:rPr>
        <w:t xml:space="preserve">it is authorized </w:t>
      </w:r>
      <w:r w:rsidR="00E67D74" w:rsidRPr="00811691">
        <w:rPr>
          <w:rFonts w:ascii="Times New Roman" w:hAnsi="Times New Roman" w:cs="Times New Roman"/>
          <w:sz w:val="24"/>
          <w:szCs w:val="24"/>
        </w:rPr>
        <w:t xml:space="preserve">to be provided along </w:t>
      </w:r>
      <w:r w:rsidR="00296240" w:rsidRPr="00811691">
        <w:rPr>
          <w:rFonts w:ascii="Times New Roman" w:hAnsi="Times New Roman" w:cs="Times New Roman"/>
          <w:sz w:val="24"/>
          <w:szCs w:val="24"/>
        </w:rPr>
        <w:t xml:space="preserve">with the SBC </w:t>
      </w:r>
      <w:r w:rsidR="009054B0" w:rsidRPr="00811691">
        <w:rPr>
          <w:rFonts w:ascii="Times New Roman" w:hAnsi="Times New Roman" w:cs="Times New Roman"/>
          <w:sz w:val="24"/>
          <w:szCs w:val="24"/>
        </w:rPr>
        <w:t xml:space="preserve">by </w:t>
      </w:r>
      <w:r w:rsidR="00120F28" w:rsidRPr="00811691">
        <w:rPr>
          <w:rFonts w:ascii="Times New Roman" w:hAnsi="Times New Roman" w:cs="Times New Roman"/>
          <w:sz w:val="24"/>
          <w:szCs w:val="24"/>
        </w:rPr>
        <w:t>sepa</w:t>
      </w:r>
      <w:r w:rsidR="00A869C1" w:rsidRPr="00811691">
        <w:rPr>
          <w:rFonts w:ascii="Times New Roman" w:hAnsi="Times New Roman" w:cs="Times New Roman"/>
          <w:sz w:val="24"/>
          <w:szCs w:val="24"/>
        </w:rPr>
        <w:t>rate</w:t>
      </w:r>
      <w:r w:rsidR="009054B0" w:rsidRPr="00811691">
        <w:rPr>
          <w:rFonts w:ascii="Times New Roman" w:hAnsi="Times New Roman" w:cs="Times New Roman"/>
          <w:sz w:val="24"/>
          <w:szCs w:val="24"/>
        </w:rPr>
        <w:t xml:space="preserve"> legal authority.  </w:t>
      </w:r>
    </w:p>
    <w:p w:rsidR="00F3484F" w:rsidRPr="00985590" w:rsidRDefault="00F3484F" w:rsidP="00F3484F">
      <w:pPr>
        <w:ind w:firstLine="720"/>
        <w:rPr>
          <w:rFonts w:ascii="Times New Roman" w:hAnsi="Times New Roman" w:cs="Times New Roman"/>
          <w:sz w:val="24"/>
          <w:szCs w:val="24"/>
        </w:rPr>
      </w:pPr>
      <w:r w:rsidRPr="00302EDC">
        <w:rPr>
          <w:rFonts w:ascii="Times New Roman" w:hAnsi="Times New Roman" w:cs="Times New Roman"/>
          <w:sz w:val="24"/>
          <w:szCs w:val="24"/>
        </w:rPr>
        <w:t xml:space="preserve">The NAIC and other commenters recommended additional information </w:t>
      </w:r>
      <w:r>
        <w:rPr>
          <w:rFonts w:ascii="Times New Roman" w:hAnsi="Times New Roman" w:cs="Times New Roman"/>
          <w:sz w:val="24"/>
          <w:szCs w:val="24"/>
        </w:rPr>
        <w:t xml:space="preserve">be included </w:t>
      </w:r>
      <w:r w:rsidRPr="00302EDC">
        <w:rPr>
          <w:rFonts w:ascii="Times New Roman" w:hAnsi="Times New Roman" w:cs="Times New Roman"/>
          <w:sz w:val="24"/>
          <w:szCs w:val="24"/>
        </w:rPr>
        <w:t xml:space="preserve">in the </w:t>
      </w:r>
      <w:r>
        <w:rPr>
          <w:rFonts w:ascii="Times New Roman" w:hAnsi="Times New Roman" w:cs="Times New Roman"/>
          <w:sz w:val="24"/>
          <w:szCs w:val="24"/>
        </w:rPr>
        <w:t xml:space="preserve">Important Questions chart of the </w:t>
      </w:r>
      <w:r w:rsidRPr="00302EDC">
        <w:rPr>
          <w:rFonts w:ascii="Times New Roman" w:hAnsi="Times New Roman" w:cs="Times New Roman"/>
          <w:sz w:val="24"/>
          <w:szCs w:val="24"/>
        </w:rPr>
        <w:t xml:space="preserve">SBC regarding embedded and </w:t>
      </w:r>
      <w:r>
        <w:rPr>
          <w:rFonts w:ascii="Times New Roman" w:hAnsi="Times New Roman" w:cs="Times New Roman"/>
          <w:sz w:val="24"/>
          <w:szCs w:val="24"/>
        </w:rPr>
        <w:t>non-embedded</w:t>
      </w:r>
      <w:r w:rsidRPr="00302EDC">
        <w:rPr>
          <w:rFonts w:ascii="Times New Roman" w:hAnsi="Times New Roman" w:cs="Times New Roman"/>
          <w:sz w:val="24"/>
          <w:szCs w:val="24"/>
        </w:rPr>
        <w:t xml:space="preserve"> deductibles, embedded and </w:t>
      </w:r>
      <w:r>
        <w:rPr>
          <w:rFonts w:ascii="Times New Roman" w:hAnsi="Times New Roman" w:cs="Times New Roman"/>
          <w:sz w:val="24"/>
          <w:szCs w:val="24"/>
        </w:rPr>
        <w:t>non-embedded</w:t>
      </w:r>
      <w:r w:rsidRPr="00302EDC">
        <w:rPr>
          <w:rFonts w:ascii="Times New Roman" w:hAnsi="Times New Roman" w:cs="Times New Roman"/>
          <w:sz w:val="24"/>
          <w:szCs w:val="24"/>
        </w:rPr>
        <w:t xml:space="preserve"> out-of-pocket limits, and preventive services that must be provided without cost sharing under PHS Act section 2713.  The Departments have made several changes to the Important Questions chart to include </w:t>
      </w:r>
      <w:r>
        <w:rPr>
          <w:rFonts w:ascii="Times New Roman" w:hAnsi="Times New Roman" w:cs="Times New Roman"/>
          <w:sz w:val="24"/>
          <w:szCs w:val="24"/>
        </w:rPr>
        <w:t>additional</w:t>
      </w:r>
      <w:r w:rsidRPr="00302EDC">
        <w:rPr>
          <w:rFonts w:ascii="Times New Roman" w:hAnsi="Times New Roman" w:cs="Times New Roman"/>
          <w:sz w:val="24"/>
          <w:szCs w:val="24"/>
        </w:rPr>
        <w:t xml:space="preserve"> information.  The instructions and answers that plans and issuers must use to complete the “Why This Matters” column have been modified to include further explanation of embedded and </w:t>
      </w:r>
      <w:r>
        <w:rPr>
          <w:rFonts w:ascii="Times New Roman" w:hAnsi="Times New Roman" w:cs="Times New Roman"/>
          <w:sz w:val="24"/>
          <w:szCs w:val="24"/>
        </w:rPr>
        <w:t>non-embedded</w:t>
      </w:r>
      <w:r w:rsidRPr="00302EDC">
        <w:rPr>
          <w:rFonts w:ascii="Times New Roman" w:hAnsi="Times New Roman" w:cs="Times New Roman"/>
          <w:sz w:val="24"/>
          <w:szCs w:val="24"/>
        </w:rPr>
        <w:t xml:space="preserve"> deductibles as well as embedded and </w:t>
      </w:r>
      <w:r>
        <w:rPr>
          <w:rFonts w:ascii="Times New Roman" w:hAnsi="Times New Roman" w:cs="Times New Roman"/>
          <w:sz w:val="24"/>
          <w:szCs w:val="24"/>
        </w:rPr>
        <w:t>non-embedded</w:t>
      </w:r>
      <w:r w:rsidRPr="00302EDC">
        <w:rPr>
          <w:rFonts w:ascii="Times New Roman" w:hAnsi="Times New Roman" w:cs="Times New Roman"/>
          <w:sz w:val="24"/>
          <w:szCs w:val="24"/>
        </w:rPr>
        <w:t xml:space="preserve"> out-of-pocket limits.  A new important question has been added that asks “</w:t>
      </w:r>
      <w:r w:rsidRPr="00985590">
        <w:rPr>
          <w:rFonts w:ascii="Times New Roman" w:hAnsi="Times New Roman" w:cs="Times New Roman"/>
          <w:sz w:val="24"/>
          <w:szCs w:val="24"/>
        </w:rPr>
        <w:t xml:space="preserve">Are there services covered before you meet your deductible?” The answer for the corresponding “Why this </w:t>
      </w:r>
      <w:r>
        <w:rPr>
          <w:rFonts w:ascii="Times New Roman" w:hAnsi="Times New Roman" w:cs="Times New Roman"/>
          <w:sz w:val="24"/>
          <w:szCs w:val="24"/>
        </w:rPr>
        <w:t>M</w:t>
      </w:r>
      <w:r w:rsidRPr="00985590">
        <w:rPr>
          <w:rFonts w:ascii="Times New Roman" w:hAnsi="Times New Roman" w:cs="Times New Roman"/>
          <w:sz w:val="24"/>
          <w:szCs w:val="24"/>
        </w:rPr>
        <w:t xml:space="preserve">atters” box is an explanation that certain preventive services must be provided without any cost sharing and includes a URL address maintained by HHS that links to a list of covered preventive services that are </w:t>
      </w:r>
      <w:r>
        <w:rPr>
          <w:rFonts w:ascii="Times New Roman" w:hAnsi="Times New Roman" w:cs="Times New Roman"/>
          <w:sz w:val="24"/>
          <w:szCs w:val="24"/>
        </w:rPr>
        <w:t xml:space="preserve">generally </w:t>
      </w:r>
      <w:r w:rsidRPr="00985590">
        <w:rPr>
          <w:rFonts w:ascii="Times New Roman" w:hAnsi="Times New Roman" w:cs="Times New Roman"/>
          <w:sz w:val="24"/>
          <w:szCs w:val="24"/>
        </w:rPr>
        <w:t xml:space="preserve">required to be provided at no cost. </w:t>
      </w:r>
    </w:p>
    <w:p w:rsidR="00F3484F" w:rsidRDefault="00F3484F" w:rsidP="00F3484F">
      <w:pPr>
        <w:ind w:firstLine="720"/>
        <w:rPr>
          <w:rFonts w:ascii="Times New Roman" w:hAnsi="Times New Roman" w:cs="Times New Roman"/>
          <w:sz w:val="24"/>
          <w:szCs w:val="24"/>
        </w:rPr>
      </w:pPr>
      <w:r>
        <w:rPr>
          <w:rFonts w:ascii="Times New Roman" w:hAnsi="Times New Roman" w:cs="Times New Roman"/>
          <w:sz w:val="24"/>
          <w:szCs w:val="24"/>
        </w:rPr>
        <w:t xml:space="preserve">The Departments received several comments relating to the Common Medical Events (CME) chart.  </w:t>
      </w:r>
      <w:r w:rsidRPr="00811691">
        <w:rPr>
          <w:rFonts w:ascii="Times New Roman" w:hAnsi="Times New Roman" w:cs="Times New Roman"/>
          <w:sz w:val="24"/>
          <w:szCs w:val="24"/>
        </w:rPr>
        <w:t xml:space="preserve">The NAIC working group and other stakeholders commented that the CME chart did not adequately make clear that the displayed cost-sharing amounts reflect the amount a participant or enrollee would be liable for after the deductible has been met (if a deductible applies).  Accordingly, the chart is now preceded by a statement that explains this to the reader.  The NAIC </w:t>
      </w:r>
      <w:r>
        <w:rPr>
          <w:rFonts w:ascii="Times New Roman" w:hAnsi="Times New Roman" w:cs="Times New Roman"/>
          <w:sz w:val="24"/>
          <w:szCs w:val="24"/>
        </w:rPr>
        <w:t>also</w:t>
      </w:r>
      <w:r w:rsidRPr="00811691">
        <w:rPr>
          <w:rFonts w:ascii="Times New Roman" w:hAnsi="Times New Roman" w:cs="Times New Roman"/>
          <w:sz w:val="24"/>
          <w:szCs w:val="24"/>
        </w:rPr>
        <w:t xml:space="preserve"> recommended that changes be made to the section demonstrating prescription drug coverage so that plans and issuers </w:t>
      </w:r>
      <w:r>
        <w:rPr>
          <w:rFonts w:ascii="Times New Roman" w:hAnsi="Times New Roman" w:cs="Times New Roman"/>
          <w:sz w:val="24"/>
          <w:szCs w:val="24"/>
        </w:rPr>
        <w:t xml:space="preserve">could describe </w:t>
      </w:r>
      <w:r w:rsidRPr="00811691">
        <w:rPr>
          <w:rFonts w:ascii="Times New Roman" w:hAnsi="Times New Roman" w:cs="Times New Roman"/>
          <w:sz w:val="24"/>
          <w:szCs w:val="24"/>
        </w:rPr>
        <w:t xml:space="preserve">tiered coverage using terminology that is </w:t>
      </w:r>
      <w:r w:rsidRPr="00811691">
        <w:rPr>
          <w:rFonts w:ascii="Times New Roman" w:hAnsi="Times New Roman" w:cs="Times New Roman"/>
          <w:sz w:val="24"/>
          <w:szCs w:val="24"/>
        </w:rPr>
        <w:lastRenderedPageBreak/>
        <w:t xml:space="preserve">consistent with </w:t>
      </w:r>
      <w:r>
        <w:rPr>
          <w:rFonts w:ascii="Times New Roman" w:hAnsi="Times New Roman" w:cs="Times New Roman"/>
          <w:sz w:val="24"/>
          <w:szCs w:val="24"/>
        </w:rPr>
        <w:t xml:space="preserve">their </w:t>
      </w:r>
      <w:r w:rsidRPr="00811691">
        <w:rPr>
          <w:rFonts w:ascii="Times New Roman" w:hAnsi="Times New Roman" w:cs="Times New Roman"/>
          <w:sz w:val="24"/>
          <w:szCs w:val="24"/>
        </w:rPr>
        <w:t>plan or policy documents.  The instruction guides now provide that plans and issuers may i</w:t>
      </w:r>
      <w:r>
        <w:rPr>
          <w:rFonts w:ascii="Times New Roman" w:hAnsi="Times New Roman" w:cs="Times New Roman"/>
          <w:sz w:val="24"/>
          <w:szCs w:val="24"/>
        </w:rPr>
        <w:t>nclude, in parenthesis in the “S</w:t>
      </w:r>
      <w:r w:rsidRPr="00811691">
        <w:rPr>
          <w:rFonts w:ascii="Times New Roman" w:hAnsi="Times New Roman" w:cs="Times New Roman"/>
          <w:sz w:val="24"/>
          <w:szCs w:val="24"/>
        </w:rPr>
        <w:t xml:space="preserve">ervices you may need” </w:t>
      </w:r>
      <w:r>
        <w:rPr>
          <w:rFonts w:ascii="Times New Roman" w:hAnsi="Times New Roman" w:cs="Times New Roman"/>
          <w:sz w:val="24"/>
          <w:szCs w:val="24"/>
        </w:rPr>
        <w:t>fields</w:t>
      </w:r>
      <w:r w:rsidRPr="00811691">
        <w:rPr>
          <w:rFonts w:ascii="Times New Roman" w:hAnsi="Times New Roman" w:cs="Times New Roman"/>
          <w:sz w:val="24"/>
          <w:szCs w:val="24"/>
        </w:rPr>
        <w:t xml:space="preserve">, the terms used to describe tiered prescription drug coverage in their prescription drug formularies.  The NAIC and other commenters also suggested that the “Services you may need” field corresponding with “If you are pregnant” should be modified in order to more accurately reflect the way plans and issuers commonly distinguish maternity and obstetrical services for purposes of cost sharing.  The Departments have adopted this recommendation and have incorporated the proposed modifications that were provided by the NAIC. </w:t>
      </w:r>
    </w:p>
    <w:p w:rsidR="00F3484F" w:rsidRPr="00811691" w:rsidRDefault="00F3484F" w:rsidP="00F3484F">
      <w:pPr>
        <w:ind w:firstLine="720"/>
        <w:rPr>
          <w:rFonts w:ascii="Times New Roman" w:hAnsi="Times New Roman" w:cs="Times New Roman"/>
          <w:sz w:val="24"/>
          <w:szCs w:val="24"/>
        </w:rPr>
      </w:pPr>
      <w:r w:rsidRPr="00811691">
        <w:rPr>
          <w:rFonts w:ascii="Times New Roman" w:hAnsi="Times New Roman" w:cs="Times New Roman"/>
          <w:sz w:val="24"/>
          <w:szCs w:val="24"/>
        </w:rPr>
        <w:t xml:space="preserve">Previous instruction guides directed plans and issuers to complete the Coverage Examples section assuming participation in a wellness program.  The NAIC recommended that plans and issuers instead be required to complete the coverage examples assuming no participation in a wellness program.  The Departments have adopted this recommendation </w:t>
      </w:r>
      <w:r>
        <w:rPr>
          <w:rFonts w:ascii="Times New Roman" w:hAnsi="Times New Roman" w:cs="Times New Roman"/>
          <w:sz w:val="24"/>
          <w:szCs w:val="24"/>
        </w:rPr>
        <w:t>and</w:t>
      </w:r>
      <w:r w:rsidRPr="00811691">
        <w:rPr>
          <w:rFonts w:ascii="Times New Roman" w:hAnsi="Times New Roman" w:cs="Times New Roman"/>
          <w:sz w:val="24"/>
          <w:szCs w:val="24"/>
        </w:rPr>
        <w:t xml:space="preserve"> the instruction guides provide that, if applicable, plans and issuers must include a text box with additional information on any available wellness program that may reduce the </w:t>
      </w:r>
      <w:r>
        <w:rPr>
          <w:rFonts w:ascii="Times New Roman" w:hAnsi="Times New Roman" w:cs="Times New Roman"/>
          <w:sz w:val="24"/>
          <w:szCs w:val="24"/>
        </w:rPr>
        <w:t xml:space="preserve">patient’s </w:t>
      </w:r>
      <w:r w:rsidRPr="00811691">
        <w:rPr>
          <w:rFonts w:ascii="Times New Roman" w:hAnsi="Times New Roman" w:cs="Times New Roman"/>
          <w:sz w:val="24"/>
          <w:szCs w:val="24"/>
        </w:rPr>
        <w:t>costs.</w:t>
      </w:r>
    </w:p>
    <w:p w:rsidR="00F3484F" w:rsidRPr="00811691" w:rsidRDefault="00F3484F" w:rsidP="00F3484F">
      <w:pPr>
        <w:ind w:firstLine="720"/>
        <w:rPr>
          <w:rFonts w:ascii="Times New Roman" w:hAnsi="Times New Roman" w:cs="Times New Roman"/>
          <w:sz w:val="24"/>
          <w:szCs w:val="24"/>
        </w:rPr>
      </w:pPr>
      <w:r w:rsidRPr="00811691">
        <w:rPr>
          <w:rFonts w:ascii="Times New Roman" w:hAnsi="Times New Roman" w:cs="Times New Roman"/>
          <w:sz w:val="24"/>
          <w:szCs w:val="24"/>
        </w:rPr>
        <w:t xml:space="preserve">The NAIC and stakeholder comments offered suggestions regarding how the </w:t>
      </w:r>
      <w:r>
        <w:rPr>
          <w:rFonts w:ascii="Times New Roman" w:hAnsi="Times New Roman" w:cs="Times New Roman"/>
          <w:sz w:val="24"/>
          <w:szCs w:val="24"/>
        </w:rPr>
        <w:t>C</w:t>
      </w:r>
      <w:r w:rsidRPr="00811691">
        <w:rPr>
          <w:rFonts w:ascii="Times New Roman" w:hAnsi="Times New Roman" w:cs="Times New Roman"/>
          <w:sz w:val="24"/>
          <w:szCs w:val="24"/>
        </w:rPr>
        <w:t xml:space="preserve">overage </w:t>
      </w:r>
      <w:r>
        <w:rPr>
          <w:rFonts w:ascii="Times New Roman" w:hAnsi="Times New Roman" w:cs="Times New Roman"/>
          <w:sz w:val="24"/>
          <w:szCs w:val="24"/>
        </w:rPr>
        <w:t>E</w:t>
      </w:r>
      <w:r w:rsidRPr="00811691">
        <w:rPr>
          <w:rFonts w:ascii="Times New Roman" w:hAnsi="Times New Roman" w:cs="Times New Roman"/>
          <w:sz w:val="24"/>
          <w:szCs w:val="24"/>
        </w:rPr>
        <w:t xml:space="preserve">xamples could be improved to make their purpose clearer to consumers, </w:t>
      </w:r>
      <w:r>
        <w:rPr>
          <w:rFonts w:ascii="Times New Roman" w:hAnsi="Times New Roman" w:cs="Times New Roman"/>
          <w:sz w:val="24"/>
          <w:szCs w:val="24"/>
        </w:rPr>
        <w:t xml:space="preserve">many of </w:t>
      </w:r>
      <w:r w:rsidRPr="00811691">
        <w:rPr>
          <w:rFonts w:ascii="Times New Roman" w:hAnsi="Times New Roman" w:cs="Times New Roman"/>
          <w:sz w:val="24"/>
          <w:szCs w:val="24"/>
        </w:rPr>
        <w:t xml:space="preserve">which the Departments have adopted.  Specifically, each coverage example has been changed to reflect the costs a hypothetical participant would be responsible for under the plan or policy.  </w:t>
      </w:r>
      <w:r>
        <w:rPr>
          <w:rFonts w:ascii="Times New Roman" w:hAnsi="Times New Roman" w:cs="Times New Roman"/>
          <w:sz w:val="24"/>
          <w:szCs w:val="24"/>
        </w:rPr>
        <w:t>C</w:t>
      </w:r>
      <w:r w:rsidRPr="00811691">
        <w:rPr>
          <w:rFonts w:ascii="Times New Roman" w:hAnsi="Times New Roman" w:cs="Times New Roman"/>
          <w:sz w:val="24"/>
          <w:szCs w:val="24"/>
        </w:rPr>
        <w:t xml:space="preserve">osts for specific services have been removed so that only the total example cost and cost-sharing amounts are shown.  The term “example” has also been added in several places.  </w:t>
      </w:r>
      <w:r>
        <w:rPr>
          <w:rFonts w:ascii="Times New Roman" w:hAnsi="Times New Roman" w:cs="Times New Roman"/>
          <w:sz w:val="24"/>
          <w:szCs w:val="24"/>
        </w:rPr>
        <w:t xml:space="preserve">Commenters </w:t>
      </w:r>
      <w:r w:rsidRPr="00811691">
        <w:rPr>
          <w:rFonts w:ascii="Times New Roman" w:hAnsi="Times New Roman" w:cs="Times New Roman"/>
          <w:sz w:val="24"/>
          <w:szCs w:val="24"/>
        </w:rPr>
        <w:t xml:space="preserve">also </w:t>
      </w:r>
      <w:r>
        <w:rPr>
          <w:rFonts w:ascii="Times New Roman" w:hAnsi="Times New Roman" w:cs="Times New Roman"/>
          <w:sz w:val="24"/>
          <w:szCs w:val="24"/>
        </w:rPr>
        <w:t>recommended</w:t>
      </w:r>
      <w:r w:rsidRPr="00811691">
        <w:rPr>
          <w:rFonts w:ascii="Times New Roman" w:hAnsi="Times New Roman" w:cs="Times New Roman"/>
          <w:sz w:val="24"/>
          <w:szCs w:val="24"/>
        </w:rPr>
        <w:t xml:space="preserve"> update</w:t>
      </w:r>
      <w:r>
        <w:rPr>
          <w:rFonts w:ascii="Times New Roman" w:hAnsi="Times New Roman" w:cs="Times New Roman"/>
          <w:sz w:val="24"/>
          <w:szCs w:val="24"/>
        </w:rPr>
        <w:t>s to</w:t>
      </w:r>
      <w:r w:rsidRPr="00811691">
        <w:rPr>
          <w:rFonts w:ascii="Times New Roman" w:hAnsi="Times New Roman" w:cs="Times New Roman"/>
          <w:sz w:val="24"/>
          <w:szCs w:val="24"/>
        </w:rPr>
        <w:t xml:space="preserve"> the coverage examples cost sharing calculator.  The Departments have made improvements to the calculator based on this feedback</w:t>
      </w:r>
      <w:r>
        <w:rPr>
          <w:rFonts w:ascii="Times New Roman" w:hAnsi="Times New Roman" w:cs="Times New Roman"/>
          <w:sz w:val="24"/>
          <w:szCs w:val="24"/>
        </w:rPr>
        <w:t>.  T</w:t>
      </w:r>
      <w:r w:rsidRPr="00811691">
        <w:rPr>
          <w:rFonts w:ascii="Times New Roman" w:hAnsi="Times New Roman" w:cs="Times New Roman"/>
          <w:sz w:val="24"/>
          <w:szCs w:val="24"/>
        </w:rPr>
        <w:t>he new calculator provides increased flexibility</w:t>
      </w:r>
      <w:r>
        <w:rPr>
          <w:rFonts w:ascii="Times New Roman" w:hAnsi="Times New Roman" w:cs="Times New Roman"/>
          <w:sz w:val="24"/>
          <w:szCs w:val="24"/>
        </w:rPr>
        <w:t xml:space="preserve"> and additional options allowing plans and issuers to more accurately reflect the benefits under the plan or policy.  In addition to these changes,</w:t>
      </w:r>
      <w:r w:rsidRPr="00811691">
        <w:rPr>
          <w:rFonts w:ascii="Times New Roman" w:hAnsi="Times New Roman" w:cs="Times New Roman"/>
          <w:sz w:val="24"/>
          <w:szCs w:val="24"/>
        </w:rPr>
        <w:t xml:space="preserve"> the Departments are finalizing the</w:t>
      </w:r>
      <w:r>
        <w:rPr>
          <w:rFonts w:ascii="Times New Roman" w:hAnsi="Times New Roman" w:cs="Times New Roman"/>
          <w:sz w:val="24"/>
          <w:szCs w:val="24"/>
        </w:rPr>
        <w:t xml:space="preserve"> template with the</w:t>
      </w:r>
      <w:r w:rsidRPr="00811691">
        <w:rPr>
          <w:rFonts w:ascii="Times New Roman" w:hAnsi="Times New Roman" w:cs="Times New Roman"/>
          <w:sz w:val="24"/>
          <w:szCs w:val="24"/>
        </w:rPr>
        <w:t xml:space="preserve"> addition of the third coverage example, simple foot fracture</w:t>
      </w:r>
      <w:r>
        <w:rPr>
          <w:rFonts w:ascii="Times New Roman" w:hAnsi="Times New Roman" w:cs="Times New Roman"/>
          <w:sz w:val="24"/>
          <w:szCs w:val="24"/>
        </w:rPr>
        <w:t>.</w:t>
      </w:r>
    </w:p>
    <w:p w:rsidR="00F3484F" w:rsidRPr="00811691" w:rsidRDefault="00F3484F" w:rsidP="00F3484F">
      <w:pPr>
        <w:rPr>
          <w:rFonts w:ascii="Times New Roman" w:hAnsi="Times New Roman" w:cs="Times New Roman"/>
          <w:sz w:val="24"/>
          <w:szCs w:val="24"/>
        </w:rPr>
      </w:pPr>
      <w:r w:rsidRPr="00811691">
        <w:rPr>
          <w:rFonts w:ascii="Times New Roman" w:hAnsi="Times New Roman" w:cs="Times New Roman"/>
          <w:sz w:val="24"/>
          <w:szCs w:val="24"/>
        </w:rPr>
        <w:tab/>
        <w:t xml:space="preserve">Several commenters recommended requiring plans </w:t>
      </w:r>
      <w:r>
        <w:rPr>
          <w:rFonts w:ascii="Times New Roman" w:hAnsi="Times New Roman" w:cs="Times New Roman"/>
          <w:sz w:val="24"/>
          <w:szCs w:val="24"/>
        </w:rPr>
        <w:t xml:space="preserve">and issuers </w:t>
      </w:r>
      <w:r w:rsidRPr="00811691">
        <w:rPr>
          <w:rFonts w:ascii="Times New Roman" w:hAnsi="Times New Roman" w:cs="Times New Roman"/>
          <w:sz w:val="24"/>
          <w:szCs w:val="24"/>
        </w:rPr>
        <w:t>to provide a direct link to the provider directory</w:t>
      </w:r>
      <w:r>
        <w:rPr>
          <w:rFonts w:ascii="Times New Roman" w:hAnsi="Times New Roman" w:cs="Times New Roman"/>
          <w:sz w:val="24"/>
          <w:szCs w:val="24"/>
        </w:rPr>
        <w:t xml:space="preserve"> and a direct link to the plan drug formulary</w:t>
      </w:r>
      <w:r w:rsidRPr="00811691">
        <w:rPr>
          <w:rFonts w:ascii="Times New Roman" w:hAnsi="Times New Roman" w:cs="Times New Roman"/>
          <w:sz w:val="24"/>
          <w:szCs w:val="24"/>
        </w:rPr>
        <w:t xml:space="preserve"> in the SBC to make it easier for consumers to locate </w:t>
      </w:r>
      <w:r>
        <w:rPr>
          <w:rFonts w:ascii="Times New Roman" w:hAnsi="Times New Roman" w:cs="Times New Roman"/>
          <w:sz w:val="24"/>
          <w:szCs w:val="24"/>
        </w:rPr>
        <w:t>these</w:t>
      </w:r>
      <w:r w:rsidRPr="00811691">
        <w:rPr>
          <w:rFonts w:ascii="Times New Roman" w:hAnsi="Times New Roman" w:cs="Times New Roman"/>
          <w:sz w:val="24"/>
          <w:szCs w:val="24"/>
        </w:rPr>
        <w:t xml:space="preserve"> list</w:t>
      </w:r>
      <w:r>
        <w:rPr>
          <w:rFonts w:ascii="Times New Roman" w:hAnsi="Times New Roman" w:cs="Times New Roman"/>
          <w:sz w:val="24"/>
          <w:szCs w:val="24"/>
        </w:rPr>
        <w:t>s</w:t>
      </w:r>
      <w:r w:rsidRPr="00811691">
        <w:rPr>
          <w:rFonts w:ascii="Times New Roman" w:hAnsi="Times New Roman" w:cs="Times New Roman"/>
          <w:sz w:val="24"/>
          <w:szCs w:val="24"/>
        </w:rPr>
        <w:t xml:space="preserve">.  The Departments have adopted </w:t>
      </w:r>
      <w:r>
        <w:rPr>
          <w:rFonts w:ascii="Times New Roman" w:hAnsi="Times New Roman" w:cs="Times New Roman"/>
          <w:sz w:val="24"/>
          <w:szCs w:val="24"/>
        </w:rPr>
        <w:t>these</w:t>
      </w:r>
      <w:r w:rsidRPr="00811691">
        <w:rPr>
          <w:rFonts w:ascii="Times New Roman" w:hAnsi="Times New Roman" w:cs="Times New Roman"/>
          <w:sz w:val="24"/>
          <w:szCs w:val="24"/>
        </w:rPr>
        <w:t xml:space="preserve"> recommendation</w:t>
      </w:r>
      <w:r>
        <w:rPr>
          <w:rFonts w:ascii="Times New Roman" w:hAnsi="Times New Roman" w:cs="Times New Roman"/>
          <w:sz w:val="24"/>
          <w:szCs w:val="24"/>
        </w:rPr>
        <w:t>s</w:t>
      </w:r>
      <w:r w:rsidRPr="00811691">
        <w:rPr>
          <w:rFonts w:ascii="Times New Roman" w:hAnsi="Times New Roman" w:cs="Times New Roman"/>
          <w:sz w:val="24"/>
          <w:szCs w:val="24"/>
        </w:rPr>
        <w:t>.  The NAIC and other commenters also suggested that plans and issuers insert hyperlinks into the SBC wherever terms are used that are defined in the Uniform Glossary to make it easier for consumers to locate the definition of</w:t>
      </w:r>
      <w:r>
        <w:rPr>
          <w:rFonts w:ascii="Times New Roman" w:hAnsi="Times New Roman" w:cs="Times New Roman"/>
          <w:sz w:val="24"/>
          <w:szCs w:val="24"/>
        </w:rPr>
        <w:t xml:space="preserve"> these</w:t>
      </w:r>
      <w:r w:rsidRPr="00811691">
        <w:rPr>
          <w:rFonts w:ascii="Times New Roman" w:hAnsi="Times New Roman" w:cs="Times New Roman"/>
          <w:sz w:val="24"/>
          <w:szCs w:val="24"/>
        </w:rPr>
        <w:t xml:space="preserve"> terms.  </w:t>
      </w:r>
      <w:r>
        <w:rPr>
          <w:rFonts w:ascii="Times New Roman" w:hAnsi="Times New Roman" w:cs="Times New Roman"/>
          <w:sz w:val="24"/>
          <w:szCs w:val="24"/>
        </w:rPr>
        <w:t>T</w:t>
      </w:r>
      <w:r w:rsidRPr="00811691">
        <w:rPr>
          <w:rFonts w:ascii="Times New Roman" w:hAnsi="Times New Roman" w:cs="Times New Roman"/>
          <w:sz w:val="24"/>
          <w:szCs w:val="24"/>
        </w:rPr>
        <w:t>he instruction guides now provide that plans and issuers may, but are not required to, include hyperlinks and hover-text functions in electronically distributed SBCs</w:t>
      </w:r>
      <w:r>
        <w:rPr>
          <w:rFonts w:ascii="Times New Roman" w:hAnsi="Times New Roman" w:cs="Times New Roman"/>
          <w:sz w:val="24"/>
          <w:szCs w:val="24"/>
        </w:rPr>
        <w:t xml:space="preserve">. </w:t>
      </w:r>
      <w:r w:rsidRPr="007B5545">
        <w:rPr>
          <w:rFonts w:ascii="Times New Roman" w:hAnsi="Times New Roman" w:cs="Times New Roman"/>
          <w:sz w:val="24"/>
          <w:szCs w:val="24"/>
        </w:rPr>
        <w:t xml:space="preserve">HHS will maintain a micro-site for the Uniform Glossary on HealthCare.gov allowing plans to electronically link  defined terms in the SBC directly to </w:t>
      </w:r>
      <w:r>
        <w:rPr>
          <w:rFonts w:ascii="Times New Roman" w:hAnsi="Times New Roman" w:cs="Times New Roman"/>
          <w:sz w:val="24"/>
          <w:szCs w:val="24"/>
        </w:rPr>
        <w:t xml:space="preserve">the </w:t>
      </w:r>
      <w:r w:rsidRPr="007B5545">
        <w:rPr>
          <w:rFonts w:ascii="Times New Roman" w:hAnsi="Times New Roman" w:cs="Times New Roman"/>
          <w:sz w:val="24"/>
          <w:szCs w:val="24"/>
        </w:rPr>
        <w:t>term</w:t>
      </w:r>
      <w:r>
        <w:rPr>
          <w:rFonts w:ascii="Times New Roman" w:hAnsi="Times New Roman" w:cs="Times New Roman"/>
          <w:sz w:val="24"/>
          <w:szCs w:val="24"/>
        </w:rPr>
        <w:t>’</w:t>
      </w:r>
      <w:r w:rsidRPr="007B5545">
        <w:rPr>
          <w:rFonts w:ascii="Times New Roman" w:hAnsi="Times New Roman" w:cs="Times New Roman"/>
          <w:sz w:val="24"/>
          <w:szCs w:val="24"/>
        </w:rPr>
        <w:t xml:space="preserve">s </w:t>
      </w:r>
      <w:r>
        <w:rPr>
          <w:rFonts w:ascii="Times New Roman" w:hAnsi="Times New Roman" w:cs="Times New Roman"/>
          <w:sz w:val="24"/>
          <w:szCs w:val="24"/>
        </w:rPr>
        <w:t xml:space="preserve">definition </w:t>
      </w:r>
      <w:r w:rsidRPr="007B5545">
        <w:rPr>
          <w:rFonts w:ascii="Times New Roman" w:hAnsi="Times New Roman" w:cs="Times New Roman"/>
          <w:sz w:val="24"/>
          <w:szCs w:val="24"/>
        </w:rPr>
        <w:t xml:space="preserve">on the webpage. </w:t>
      </w:r>
      <w:r>
        <w:rPr>
          <w:rFonts w:ascii="Times New Roman" w:hAnsi="Times New Roman" w:cs="Times New Roman"/>
          <w:sz w:val="24"/>
          <w:szCs w:val="24"/>
        </w:rPr>
        <w:t xml:space="preserve"> </w:t>
      </w:r>
      <w:r w:rsidRPr="007B5545">
        <w:rPr>
          <w:rFonts w:ascii="Times New Roman" w:hAnsi="Times New Roman" w:cs="Times New Roman"/>
          <w:sz w:val="24"/>
          <w:szCs w:val="24"/>
        </w:rPr>
        <w:t xml:space="preserve">This allows consumers one-click access to a term’s definition rather than having to navigate the full </w:t>
      </w:r>
      <w:r>
        <w:rPr>
          <w:rFonts w:ascii="Times New Roman" w:hAnsi="Times New Roman" w:cs="Times New Roman"/>
          <w:sz w:val="24"/>
          <w:szCs w:val="24"/>
        </w:rPr>
        <w:t xml:space="preserve">Uniform </w:t>
      </w:r>
      <w:r w:rsidRPr="007B5545">
        <w:rPr>
          <w:rFonts w:ascii="Times New Roman" w:hAnsi="Times New Roman" w:cs="Times New Roman"/>
          <w:sz w:val="24"/>
          <w:szCs w:val="24"/>
        </w:rPr>
        <w:t xml:space="preserve">Glossary. </w:t>
      </w:r>
      <w:r>
        <w:rPr>
          <w:rFonts w:ascii="Times New Roman" w:hAnsi="Times New Roman" w:cs="Times New Roman"/>
          <w:sz w:val="24"/>
          <w:szCs w:val="24"/>
        </w:rPr>
        <w:t xml:space="preserve"> </w:t>
      </w:r>
      <w:r w:rsidRPr="007B5545">
        <w:rPr>
          <w:rFonts w:ascii="Times New Roman" w:hAnsi="Times New Roman" w:cs="Times New Roman"/>
          <w:sz w:val="24"/>
          <w:szCs w:val="24"/>
        </w:rPr>
        <w:t xml:space="preserve">While providing SBCs with embedded links is not a requirement, the Departments are providing a template with </w:t>
      </w:r>
      <w:r>
        <w:rPr>
          <w:rFonts w:ascii="Times New Roman" w:hAnsi="Times New Roman" w:cs="Times New Roman"/>
          <w:sz w:val="24"/>
          <w:szCs w:val="24"/>
        </w:rPr>
        <w:t xml:space="preserve">embedded </w:t>
      </w:r>
      <w:r w:rsidRPr="007B5545">
        <w:rPr>
          <w:rFonts w:ascii="Times New Roman" w:hAnsi="Times New Roman" w:cs="Times New Roman"/>
          <w:sz w:val="24"/>
          <w:szCs w:val="24"/>
        </w:rPr>
        <w:t>hyperlinks and a list of terms with corresponding anchor links to encourage issuers to provide this feature.</w:t>
      </w:r>
      <w:r>
        <w:rPr>
          <w:rFonts w:ascii="Times New Roman" w:hAnsi="Times New Roman" w:cs="Times New Roman"/>
          <w:sz w:val="24"/>
          <w:szCs w:val="24"/>
        </w:rPr>
        <w:t xml:space="preserve">  </w:t>
      </w:r>
      <w:r w:rsidRPr="00811691">
        <w:rPr>
          <w:rFonts w:ascii="Times New Roman" w:hAnsi="Times New Roman" w:cs="Times New Roman"/>
          <w:sz w:val="24"/>
          <w:szCs w:val="24"/>
        </w:rPr>
        <w:t>The NAIC and stakeholder comment</w:t>
      </w:r>
      <w:r>
        <w:rPr>
          <w:rFonts w:ascii="Times New Roman" w:hAnsi="Times New Roman" w:cs="Times New Roman"/>
          <w:sz w:val="24"/>
          <w:szCs w:val="24"/>
        </w:rPr>
        <w:t>er</w:t>
      </w:r>
      <w:r w:rsidRPr="00811691">
        <w:rPr>
          <w:rFonts w:ascii="Times New Roman" w:hAnsi="Times New Roman" w:cs="Times New Roman"/>
          <w:sz w:val="24"/>
          <w:szCs w:val="24"/>
        </w:rPr>
        <w:t xml:space="preserve">s also had many suggestions regarding the definitions used in the </w:t>
      </w:r>
      <w:r>
        <w:rPr>
          <w:rFonts w:ascii="Times New Roman" w:hAnsi="Times New Roman" w:cs="Times New Roman"/>
          <w:sz w:val="24"/>
          <w:szCs w:val="24"/>
        </w:rPr>
        <w:lastRenderedPageBreak/>
        <w:t>U</w:t>
      </w:r>
      <w:r w:rsidRPr="00811691">
        <w:rPr>
          <w:rFonts w:ascii="Times New Roman" w:hAnsi="Times New Roman" w:cs="Times New Roman"/>
          <w:sz w:val="24"/>
          <w:szCs w:val="24"/>
        </w:rPr>
        <w:t xml:space="preserve">niform </w:t>
      </w:r>
      <w:r>
        <w:rPr>
          <w:rFonts w:ascii="Times New Roman" w:hAnsi="Times New Roman" w:cs="Times New Roman"/>
          <w:sz w:val="24"/>
          <w:szCs w:val="24"/>
        </w:rPr>
        <w:t>G</w:t>
      </w:r>
      <w:r w:rsidRPr="00811691">
        <w:rPr>
          <w:rFonts w:ascii="Times New Roman" w:hAnsi="Times New Roman" w:cs="Times New Roman"/>
          <w:sz w:val="24"/>
          <w:szCs w:val="24"/>
        </w:rPr>
        <w:t xml:space="preserve">lossary and requests to remove or add specific terms.  The Departments appreciate these comments and have incorporated changes to the definitions to improve readability for consumers and have added </w:t>
      </w:r>
      <w:r>
        <w:rPr>
          <w:rFonts w:ascii="Times New Roman" w:hAnsi="Times New Roman" w:cs="Times New Roman"/>
          <w:sz w:val="24"/>
          <w:szCs w:val="24"/>
        </w:rPr>
        <w:t>new</w:t>
      </w:r>
      <w:r w:rsidRPr="00811691">
        <w:rPr>
          <w:rFonts w:ascii="Times New Roman" w:hAnsi="Times New Roman" w:cs="Times New Roman"/>
          <w:sz w:val="24"/>
          <w:szCs w:val="24"/>
        </w:rPr>
        <w:t xml:space="preserve"> terms, including Maximum Out-of-Pocket Limit and Orthotics and Prosthetics.  </w:t>
      </w:r>
    </w:p>
    <w:p w:rsidR="009054B0" w:rsidRDefault="00F3484F" w:rsidP="00F3484F">
      <w:pPr>
        <w:rPr>
          <w:rFonts w:ascii="Times New Roman" w:hAnsi="Times New Roman" w:cs="Times New Roman"/>
          <w:sz w:val="24"/>
          <w:szCs w:val="24"/>
        </w:rPr>
      </w:pPr>
      <w:r w:rsidRPr="00811691">
        <w:rPr>
          <w:rFonts w:ascii="Times New Roman" w:hAnsi="Times New Roman" w:cs="Times New Roman"/>
          <w:sz w:val="24"/>
          <w:szCs w:val="24"/>
        </w:rPr>
        <w:tab/>
        <w:t>Section 1303(b)(3)(A) of the Affordable Care Act requires QHP issuers that elect to cover abortion services for which public funding is prohibited (non-excepted abortion services)</w:t>
      </w:r>
      <w:r>
        <w:rPr>
          <w:rFonts w:ascii="Times New Roman" w:hAnsi="Times New Roman" w:cs="Times New Roman"/>
          <w:sz w:val="24"/>
          <w:szCs w:val="24"/>
        </w:rPr>
        <w:t xml:space="preserve"> to</w:t>
      </w:r>
      <w:r w:rsidR="00440AC1">
        <w:rPr>
          <w:rFonts w:ascii="Times New Roman" w:hAnsi="Times New Roman" w:cs="Times New Roman"/>
          <w:sz w:val="24"/>
          <w:szCs w:val="24"/>
        </w:rPr>
        <w:t xml:space="preserve"> </w:t>
      </w:r>
      <w:bookmarkStart w:id="0" w:name="_GoBack"/>
      <w:bookmarkEnd w:id="0"/>
      <w:r w:rsidRPr="00811691">
        <w:rPr>
          <w:rFonts w:ascii="Times New Roman" w:hAnsi="Times New Roman" w:cs="Times New Roman"/>
          <w:sz w:val="24"/>
          <w:szCs w:val="24"/>
        </w:rPr>
        <w:t>provide a notice to enrollees of coverage of such services</w:t>
      </w:r>
      <w:r>
        <w:rPr>
          <w:rFonts w:ascii="Times New Roman" w:hAnsi="Times New Roman" w:cs="Times New Roman"/>
          <w:sz w:val="24"/>
          <w:szCs w:val="24"/>
        </w:rPr>
        <w:t xml:space="preserve"> </w:t>
      </w:r>
      <w:r w:rsidRPr="00811691">
        <w:rPr>
          <w:rFonts w:ascii="Times New Roman" w:hAnsi="Times New Roman" w:cs="Times New Roman"/>
          <w:sz w:val="24"/>
          <w:szCs w:val="24"/>
        </w:rPr>
        <w:t>as part of the SBC pro</w:t>
      </w:r>
      <w:r>
        <w:rPr>
          <w:rFonts w:ascii="Times New Roman" w:hAnsi="Times New Roman" w:cs="Times New Roman"/>
          <w:sz w:val="24"/>
          <w:szCs w:val="24"/>
        </w:rPr>
        <w:t>vided at the time of enrollment</w:t>
      </w:r>
      <w:r w:rsidRPr="00811691">
        <w:rPr>
          <w:rFonts w:ascii="Times New Roman" w:hAnsi="Times New Roman" w:cs="Times New Roman"/>
          <w:sz w:val="24"/>
          <w:szCs w:val="24"/>
        </w:rPr>
        <w:t xml:space="preserve">. </w:t>
      </w:r>
      <w:r>
        <w:rPr>
          <w:rFonts w:ascii="Times New Roman" w:hAnsi="Times New Roman" w:cs="Times New Roman"/>
          <w:sz w:val="24"/>
          <w:szCs w:val="24"/>
        </w:rPr>
        <w:t xml:space="preserve"> C</w:t>
      </w:r>
      <w:r w:rsidRPr="00811691">
        <w:rPr>
          <w:rFonts w:ascii="Times New Roman" w:hAnsi="Times New Roman" w:cs="Times New Roman"/>
          <w:sz w:val="24"/>
          <w:szCs w:val="24"/>
        </w:rPr>
        <w:t xml:space="preserve">ommenters urged the Departments to expand this requirement </w:t>
      </w:r>
      <w:r>
        <w:rPr>
          <w:rFonts w:ascii="Times New Roman" w:hAnsi="Times New Roman" w:cs="Times New Roman"/>
          <w:sz w:val="24"/>
          <w:szCs w:val="24"/>
        </w:rPr>
        <w:t>to require</w:t>
      </w:r>
      <w:r w:rsidRPr="00811691">
        <w:rPr>
          <w:rFonts w:ascii="Times New Roman" w:hAnsi="Times New Roman" w:cs="Times New Roman"/>
          <w:sz w:val="24"/>
          <w:szCs w:val="24"/>
        </w:rPr>
        <w:t xml:space="preserve"> all plans and issuers </w:t>
      </w:r>
      <w:r>
        <w:rPr>
          <w:rFonts w:ascii="Times New Roman" w:hAnsi="Times New Roman" w:cs="Times New Roman"/>
          <w:sz w:val="24"/>
          <w:szCs w:val="24"/>
        </w:rPr>
        <w:t>to</w:t>
      </w:r>
      <w:r w:rsidRPr="00811691">
        <w:rPr>
          <w:rFonts w:ascii="Times New Roman" w:hAnsi="Times New Roman" w:cs="Times New Roman"/>
          <w:sz w:val="24"/>
          <w:szCs w:val="24"/>
        </w:rPr>
        <w:t xml:space="preserve"> include information related to coverage of abortion services.  However, the Departments have determined that the statute clearly requires disclosure of abortion services coverage </w:t>
      </w:r>
      <w:r>
        <w:rPr>
          <w:rFonts w:ascii="Times New Roman" w:hAnsi="Times New Roman" w:cs="Times New Roman"/>
          <w:sz w:val="24"/>
          <w:szCs w:val="24"/>
        </w:rPr>
        <w:t xml:space="preserve">only </w:t>
      </w:r>
      <w:r w:rsidRPr="00811691">
        <w:rPr>
          <w:rFonts w:ascii="Times New Roman" w:hAnsi="Times New Roman" w:cs="Times New Roman"/>
          <w:sz w:val="24"/>
          <w:szCs w:val="24"/>
        </w:rPr>
        <w:t>in SBCs prepared for QHPs.  Accordingly, the instruction guide provides that plans and issuers of non-QHP policies may, but are not required to, provide information regarding coverage of abortion services under the “Services Your Plan Generally Does NOT Cover” or “Other Covered Services” sections in the SBC</w:t>
      </w:r>
      <w:r w:rsidR="009054B0" w:rsidRPr="00811691">
        <w:rPr>
          <w:rFonts w:ascii="Times New Roman" w:hAnsi="Times New Roman" w:cs="Times New Roman"/>
          <w:sz w:val="24"/>
          <w:szCs w:val="24"/>
        </w:rPr>
        <w:t>.</w:t>
      </w:r>
    </w:p>
    <w:p w:rsidR="007B5545" w:rsidRPr="00811691" w:rsidRDefault="007B5545" w:rsidP="00DC0339">
      <w:pPr>
        <w:keepNext/>
        <w:ind w:firstLine="720"/>
        <w:rPr>
          <w:rFonts w:ascii="Times New Roman" w:hAnsi="Times New Roman" w:cs="Times New Roman"/>
          <w:sz w:val="24"/>
          <w:szCs w:val="24"/>
        </w:rPr>
      </w:pPr>
      <w:r>
        <w:rPr>
          <w:rFonts w:ascii="Times New Roman" w:hAnsi="Times New Roman" w:cs="Times New Roman"/>
          <w:b/>
          <w:sz w:val="24"/>
          <w:szCs w:val="24"/>
          <w:u w:val="single"/>
        </w:rPr>
        <w:t>2016 ICR</w:t>
      </w:r>
    </w:p>
    <w:p w:rsidR="00302EDC" w:rsidRPr="007B5545" w:rsidRDefault="00F3484F" w:rsidP="00A81FA3">
      <w:pPr>
        <w:ind w:firstLine="720"/>
        <w:rPr>
          <w:rFonts w:ascii="Times New Roman" w:hAnsi="Times New Roman" w:cs="Times New Roman"/>
          <w:sz w:val="24"/>
          <w:szCs w:val="24"/>
        </w:rPr>
      </w:pPr>
      <w:r w:rsidRPr="007B5545">
        <w:rPr>
          <w:rFonts w:ascii="Times New Roman" w:hAnsi="Times New Roman" w:cs="Times New Roman"/>
          <w:sz w:val="24"/>
          <w:szCs w:val="24"/>
        </w:rPr>
        <w:t>Several commenters expressed questions and concerns regarding the Departments intended implementation timeline for the SBC template and supporting documents.  The Departments addressed this issue with the release of FAQs About Affo</w:t>
      </w:r>
      <w:r>
        <w:rPr>
          <w:rFonts w:ascii="Times New Roman" w:hAnsi="Times New Roman" w:cs="Times New Roman"/>
          <w:sz w:val="24"/>
          <w:szCs w:val="24"/>
        </w:rPr>
        <w:t>rdable Care Act Implementation P</w:t>
      </w:r>
      <w:r w:rsidRPr="007B5545">
        <w:rPr>
          <w:rFonts w:ascii="Times New Roman" w:hAnsi="Times New Roman" w:cs="Times New Roman"/>
          <w:sz w:val="24"/>
          <w:szCs w:val="24"/>
        </w:rPr>
        <w:t>art 30, (published on March 11, 2016)</w:t>
      </w:r>
      <w:r>
        <w:rPr>
          <w:rFonts w:ascii="Times New Roman" w:hAnsi="Times New Roman" w:cs="Times New Roman"/>
          <w:sz w:val="24"/>
          <w:szCs w:val="24"/>
        </w:rPr>
        <w:t>,</w:t>
      </w:r>
      <w:r w:rsidRPr="007B5545">
        <w:rPr>
          <w:rFonts w:ascii="Times New Roman" w:hAnsi="Times New Roman" w:cs="Times New Roman"/>
          <w:sz w:val="24"/>
          <w:szCs w:val="24"/>
        </w:rPr>
        <w:t xml:space="preserve"> which stated that the intention of the Departments was </w:t>
      </w:r>
      <w:r>
        <w:rPr>
          <w:rFonts w:ascii="Times New Roman" w:hAnsi="Times New Roman" w:cs="Times New Roman"/>
          <w:sz w:val="24"/>
          <w:szCs w:val="24"/>
        </w:rPr>
        <w:t xml:space="preserve">that </w:t>
      </w:r>
      <w:r w:rsidRPr="007B5545">
        <w:rPr>
          <w:rFonts w:ascii="Times New Roman" w:hAnsi="Times New Roman" w:cs="Times New Roman"/>
          <w:sz w:val="24"/>
          <w:szCs w:val="24"/>
        </w:rPr>
        <w:t xml:space="preserve"> health plans and issuers that maintain an annual open enrollment period  </w:t>
      </w:r>
      <w:r>
        <w:rPr>
          <w:rFonts w:ascii="Times New Roman" w:hAnsi="Times New Roman" w:cs="Times New Roman"/>
          <w:sz w:val="24"/>
          <w:szCs w:val="24"/>
        </w:rPr>
        <w:t xml:space="preserve">will </w:t>
      </w:r>
      <w:r w:rsidRPr="007B5545">
        <w:rPr>
          <w:rFonts w:ascii="Times New Roman" w:hAnsi="Times New Roman" w:cs="Times New Roman"/>
          <w:sz w:val="24"/>
          <w:szCs w:val="24"/>
        </w:rPr>
        <w:t>be required to use the new SBC template and supporting documents beginning on the first day of the first open enrollment period that begins on or after April 1, 2017 with respect to coverage for plan years (or, in the individual market, policy years) beginning on or after that date.</w:t>
      </w:r>
      <w:r>
        <w:rPr>
          <w:rStyle w:val="FootnoteReference"/>
          <w:rFonts w:ascii="Times New Roman" w:hAnsi="Times New Roman" w:cs="Times New Roman"/>
          <w:sz w:val="24"/>
          <w:szCs w:val="24"/>
        </w:rPr>
        <w:footnoteReference w:id="5"/>
      </w:r>
      <w:r w:rsidRPr="007B55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5545">
        <w:rPr>
          <w:rFonts w:ascii="Times New Roman" w:hAnsi="Times New Roman" w:cs="Times New Roman"/>
          <w:sz w:val="24"/>
          <w:szCs w:val="24"/>
        </w:rPr>
        <w:t>For plans and issuers that do not use an annual open enrollment period, the new SBC template and supporting documents w</w:t>
      </w:r>
      <w:r>
        <w:rPr>
          <w:rFonts w:ascii="Times New Roman" w:hAnsi="Times New Roman" w:cs="Times New Roman"/>
          <w:sz w:val="24"/>
          <w:szCs w:val="24"/>
        </w:rPr>
        <w:t>ill</w:t>
      </w:r>
      <w:r w:rsidRPr="007B5545">
        <w:rPr>
          <w:rFonts w:ascii="Times New Roman" w:hAnsi="Times New Roman" w:cs="Times New Roman"/>
          <w:sz w:val="24"/>
          <w:szCs w:val="24"/>
        </w:rPr>
        <w:t xml:space="preserve"> be required beginning on the first day of the first plan year (or, in the individual market, policy year) that begins on or after April 1, 2017</w:t>
      </w:r>
      <w:r w:rsidR="00302EDC" w:rsidRPr="007B5545">
        <w:rPr>
          <w:rFonts w:ascii="Times New Roman" w:hAnsi="Times New Roman" w:cs="Times New Roman"/>
          <w:sz w:val="24"/>
          <w:szCs w:val="24"/>
        </w:rPr>
        <w:t xml:space="preserve">.  </w:t>
      </w:r>
    </w:p>
    <w:p w:rsidR="00302EDC" w:rsidRPr="007B5545" w:rsidRDefault="005C6076" w:rsidP="00A81FA3">
      <w:pPr>
        <w:ind w:firstLine="720"/>
        <w:rPr>
          <w:rFonts w:ascii="Times New Roman" w:hAnsi="Times New Roman" w:cs="Times New Roman"/>
          <w:sz w:val="24"/>
          <w:szCs w:val="24"/>
        </w:rPr>
      </w:pPr>
      <w:r>
        <w:rPr>
          <w:rFonts w:ascii="Times New Roman" w:hAnsi="Times New Roman" w:cs="Times New Roman"/>
          <w:sz w:val="24"/>
          <w:szCs w:val="24"/>
        </w:rPr>
        <w:t xml:space="preserve">The Departments received suggestions to improve information regarding deductibles. </w:t>
      </w:r>
      <w:r w:rsidRPr="00162786">
        <w:rPr>
          <w:rFonts w:ascii="Times New Roman" w:hAnsi="Times New Roman" w:cs="Times New Roman"/>
          <w:sz w:val="24"/>
          <w:szCs w:val="24"/>
        </w:rPr>
        <w:t xml:space="preserve">The proposed SBC Instruction guides </w:t>
      </w:r>
      <w:r w:rsidR="00F3484F">
        <w:rPr>
          <w:rFonts w:ascii="Times New Roman" w:hAnsi="Times New Roman" w:cs="Times New Roman"/>
          <w:sz w:val="24"/>
          <w:szCs w:val="24"/>
        </w:rPr>
        <w:t xml:space="preserve">would have </w:t>
      </w:r>
      <w:r w:rsidRPr="00162786">
        <w:rPr>
          <w:rFonts w:ascii="Times New Roman" w:hAnsi="Times New Roman" w:cs="Times New Roman"/>
          <w:sz w:val="24"/>
          <w:szCs w:val="24"/>
        </w:rPr>
        <w:t>require</w:t>
      </w:r>
      <w:r w:rsidR="00F3484F">
        <w:rPr>
          <w:rFonts w:ascii="Times New Roman" w:hAnsi="Times New Roman" w:cs="Times New Roman"/>
          <w:sz w:val="24"/>
          <w:szCs w:val="24"/>
        </w:rPr>
        <w:t>d</w:t>
      </w:r>
      <w:r w:rsidRPr="00162786">
        <w:rPr>
          <w:rFonts w:ascii="Times New Roman" w:hAnsi="Times New Roman" w:cs="Times New Roman"/>
          <w:sz w:val="24"/>
          <w:szCs w:val="24"/>
        </w:rPr>
        <w:t xml:space="preserve"> plans and issuers to include certain language explaining embedded deductibles in the “Why this </w:t>
      </w:r>
      <w:r>
        <w:rPr>
          <w:rFonts w:ascii="Times New Roman" w:hAnsi="Times New Roman" w:cs="Times New Roman"/>
          <w:sz w:val="24"/>
          <w:szCs w:val="24"/>
        </w:rPr>
        <w:t>M</w:t>
      </w:r>
      <w:r w:rsidRPr="00162786">
        <w:rPr>
          <w:rFonts w:ascii="Times New Roman" w:hAnsi="Times New Roman" w:cs="Times New Roman"/>
          <w:sz w:val="24"/>
          <w:szCs w:val="24"/>
        </w:rPr>
        <w:t xml:space="preserve">atters” column of the Important Questions chart when the SBC portrays family coverage with an overall deductible.   The NAIC and other stakeholders commented that this description of embedded deductibles did not adequately clarify to consumers that each family member’s payment towards their own deductible contributes to meeting the family’s overall deductible.  Accordingly, the Departments have modified the description to provide a clearer explanation. </w:t>
      </w:r>
      <w:r>
        <w:rPr>
          <w:rFonts w:ascii="Times New Roman" w:hAnsi="Times New Roman" w:cs="Times New Roman"/>
          <w:sz w:val="24"/>
          <w:szCs w:val="24"/>
        </w:rPr>
        <w:t xml:space="preserve">In addition, commenters requested clarification regarding coverage of benefits before and after the deductible has been </w:t>
      </w:r>
      <w:r>
        <w:rPr>
          <w:rFonts w:ascii="Times New Roman" w:hAnsi="Times New Roman" w:cs="Times New Roman"/>
          <w:sz w:val="24"/>
          <w:szCs w:val="24"/>
        </w:rPr>
        <w:lastRenderedPageBreak/>
        <w:t>met. Accordingly, the Departments have modified the instructions to more clearly indicate the relationship between the deductible(s) and the coverage of benefit(s)</w:t>
      </w:r>
      <w:r w:rsidR="00302EDC" w:rsidRPr="007B5545">
        <w:rPr>
          <w:rFonts w:ascii="Times New Roman" w:hAnsi="Times New Roman" w:cs="Times New Roman"/>
          <w:sz w:val="24"/>
          <w:szCs w:val="24"/>
        </w:rPr>
        <w:t xml:space="preserve">. </w:t>
      </w:r>
    </w:p>
    <w:p w:rsidR="00302EDC" w:rsidRPr="007B5545" w:rsidRDefault="00302EDC" w:rsidP="00A81FA3">
      <w:pPr>
        <w:ind w:firstLine="720"/>
        <w:rPr>
          <w:rFonts w:ascii="Times New Roman" w:hAnsi="Times New Roman" w:cs="Times New Roman"/>
          <w:sz w:val="24"/>
          <w:szCs w:val="24"/>
        </w:rPr>
      </w:pPr>
      <w:r w:rsidRPr="007B5545">
        <w:rPr>
          <w:rFonts w:ascii="Times New Roman" w:hAnsi="Times New Roman" w:cs="Times New Roman"/>
          <w:sz w:val="24"/>
          <w:szCs w:val="24"/>
        </w:rPr>
        <w:t>The NAIC and other stakeholders commented that the proposed SBC template and instruction guides include a number of formatting issues that could make printing difficult or costly.  The Departments have made several clarifications and changes to the instruction guides to address this concern.  Plans and issuers may increase or decrease the margins of the SBC as necessary.  Page numbers in the SBC may be moved along the bottom of the document in order to accommodate barcodes, control numbers, or other similar language.  Additionally, plans and issuers do not need to include dashes next to the term “None” where it appears in the “Limitations, Exceptions, &amp; Other Important Information” column of the Common Medical Events chart.</w:t>
      </w:r>
    </w:p>
    <w:p w:rsidR="00302EDC" w:rsidRPr="007B5545" w:rsidRDefault="00302EDC" w:rsidP="00A81FA3">
      <w:pPr>
        <w:ind w:firstLine="720"/>
        <w:rPr>
          <w:rFonts w:ascii="Times New Roman" w:hAnsi="Times New Roman" w:cs="Times New Roman"/>
          <w:sz w:val="24"/>
          <w:szCs w:val="24"/>
        </w:rPr>
      </w:pPr>
      <w:r w:rsidRPr="007B5545">
        <w:rPr>
          <w:rFonts w:ascii="Times New Roman" w:hAnsi="Times New Roman" w:cs="Times New Roman"/>
          <w:sz w:val="24"/>
          <w:szCs w:val="24"/>
        </w:rPr>
        <w:t>The NAIC also commented that the inclusion of specific deductibles in the calculations for the coverage examples in the SBC may confuse consumers where the costs shown for deductibles exceed the overall deductibles</w:t>
      </w:r>
      <w:r w:rsidR="00F3484F">
        <w:rPr>
          <w:rFonts w:ascii="Times New Roman" w:hAnsi="Times New Roman" w:cs="Times New Roman"/>
          <w:sz w:val="24"/>
          <w:szCs w:val="24"/>
        </w:rPr>
        <w:t xml:space="preserve"> for the plan or policy</w:t>
      </w:r>
      <w:r w:rsidRPr="007B5545">
        <w:rPr>
          <w:rFonts w:ascii="Times New Roman" w:hAnsi="Times New Roman" w:cs="Times New Roman"/>
          <w:sz w:val="24"/>
          <w:szCs w:val="24"/>
        </w:rPr>
        <w:t>.  Accordingly, if a plan</w:t>
      </w:r>
      <w:r w:rsidR="00F3484F">
        <w:rPr>
          <w:rFonts w:ascii="Times New Roman" w:hAnsi="Times New Roman" w:cs="Times New Roman"/>
          <w:sz w:val="24"/>
          <w:szCs w:val="24"/>
        </w:rPr>
        <w:t xml:space="preserve"> or policy</w:t>
      </w:r>
      <w:r w:rsidRPr="007B5545">
        <w:rPr>
          <w:rFonts w:ascii="Times New Roman" w:hAnsi="Times New Roman" w:cs="Times New Roman"/>
          <w:sz w:val="24"/>
          <w:szCs w:val="24"/>
        </w:rPr>
        <w:t xml:space="preserve"> has deductibles for specific services included in the coverage examples that cause the deductible amount in that example to exceed the overall deductible amount, plans and issuers must include explanatory language at the bottom of the page.</w:t>
      </w:r>
    </w:p>
    <w:p w:rsidR="009054B0" w:rsidRPr="007B5545" w:rsidRDefault="00EC2D2D" w:rsidP="00811691">
      <w:pPr>
        <w:rPr>
          <w:rFonts w:ascii="Times New Roman" w:hAnsi="Times New Roman" w:cs="Times New Roman"/>
          <w:sz w:val="24"/>
          <w:szCs w:val="24"/>
        </w:rPr>
      </w:pPr>
      <w:r w:rsidRPr="007B5545">
        <w:rPr>
          <w:rFonts w:ascii="Times New Roman" w:hAnsi="Times New Roman" w:cs="Times New Roman"/>
          <w:sz w:val="24"/>
          <w:szCs w:val="24"/>
        </w:rPr>
        <w:tab/>
      </w:r>
      <w:r w:rsidR="00B82C63" w:rsidRPr="007B5545">
        <w:rPr>
          <w:rFonts w:ascii="Times New Roman" w:hAnsi="Times New Roman" w:cs="Times New Roman"/>
          <w:sz w:val="24"/>
          <w:szCs w:val="24"/>
        </w:rPr>
        <w:t xml:space="preserve"> </w:t>
      </w:r>
    </w:p>
    <w:sectPr w:rsidR="009054B0" w:rsidRPr="007B554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A89" w:rsidRDefault="00254A89" w:rsidP="0039574B">
      <w:pPr>
        <w:spacing w:after="0" w:line="240" w:lineRule="auto"/>
      </w:pPr>
      <w:r>
        <w:separator/>
      </w:r>
    </w:p>
  </w:endnote>
  <w:endnote w:type="continuationSeparator" w:id="0">
    <w:p w:rsidR="00254A89" w:rsidRDefault="00254A89" w:rsidP="0039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605420"/>
      <w:docPartObj>
        <w:docPartGallery w:val="Page Numbers (Bottom of Page)"/>
        <w:docPartUnique/>
      </w:docPartObj>
    </w:sdtPr>
    <w:sdtEndPr>
      <w:rPr>
        <w:noProof/>
      </w:rPr>
    </w:sdtEndPr>
    <w:sdtContent>
      <w:p w:rsidR="00A81FA3" w:rsidRDefault="00A81FA3">
        <w:pPr>
          <w:pStyle w:val="Footer"/>
          <w:jc w:val="center"/>
        </w:pPr>
        <w:r>
          <w:fldChar w:fldCharType="begin"/>
        </w:r>
        <w:r>
          <w:instrText xml:space="preserve"> PAGE   \* MERGEFORMAT </w:instrText>
        </w:r>
        <w:r>
          <w:fldChar w:fldCharType="separate"/>
        </w:r>
        <w:r w:rsidR="00F66DDB">
          <w:rPr>
            <w:noProof/>
          </w:rPr>
          <w:t>4</w:t>
        </w:r>
        <w:r>
          <w:rPr>
            <w:noProof/>
          </w:rPr>
          <w:fldChar w:fldCharType="end"/>
        </w:r>
      </w:p>
    </w:sdtContent>
  </w:sdt>
  <w:p w:rsidR="00A81FA3" w:rsidRDefault="00A81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A89" w:rsidRDefault="00254A89" w:rsidP="0039574B">
      <w:pPr>
        <w:spacing w:after="0" w:line="240" w:lineRule="auto"/>
      </w:pPr>
      <w:r>
        <w:separator/>
      </w:r>
    </w:p>
  </w:footnote>
  <w:footnote w:type="continuationSeparator" w:id="0">
    <w:p w:rsidR="00254A89" w:rsidRDefault="00254A89" w:rsidP="0039574B">
      <w:pPr>
        <w:spacing w:after="0" w:line="240" w:lineRule="auto"/>
      </w:pPr>
      <w:r>
        <w:continuationSeparator/>
      </w:r>
    </w:p>
  </w:footnote>
  <w:footnote w:id="1">
    <w:p w:rsidR="00B12367" w:rsidRDefault="00B12367" w:rsidP="00B12367">
      <w:pPr>
        <w:pStyle w:val="FootnoteText"/>
      </w:pPr>
      <w:r>
        <w:rPr>
          <w:rStyle w:val="FootnoteReference"/>
        </w:rPr>
        <w:footnoteRef/>
      </w:r>
      <w:r>
        <w:t xml:space="preserve"> </w:t>
      </w:r>
      <w:r w:rsidRPr="0039574B">
        <w:rPr>
          <w:rFonts w:ascii="Times New Roman" w:hAnsi="Times New Roman" w:cs="Times New Roman"/>
        </w:rPr>
        <w:t>79 FR 78577</w:t>
      </w:r>
      <w:r>
        <w:rPr>
          <w:rFonts w:ascii="Times New Roman" w:hAnsi="Times New Roman" w:cs="Times New Roman"/>
        </w:rPr>
        <w:t>.</w:t>
      </w:r>
    </w:p>
  </w:footnote>
  <w:footnote w:id="2">
    <w:p w:rsidR="00B12367" w:rsidRPr="00BB6BD2" w:rsidRDefault="00B12367" w:rsidP="00B12367">
      <w:pPr>
        <w:pStyle w:val="FootnoteText"/>
        <w:rPr>
          <w:rFonts w:ascii="Times New Roman" w:hAnsi="Times New Roman" w:cs="Times New Roman"/>
        </w:rPr>
      </w:pPr>
      <w:r w:rsidRPr="00BB6BD2">
        <w:rPr>
          <w:rStyle w:val="FootnoteReference"/>
          <w:rFonts w:ascii="Times New Roman" w:hAnsi="Times New Roman" w:cs="Times New Roman"/>
        </w:rPr>
        <w:footnoteRef/>
      </w:r>
      <w:r w:rsidRPr="00BB6BD2">
        <w:rPr>
          <w:rFonts w:ascii="Times New Roman" w:hAnsi="Times New Roman" w:cs="Times New Roman"/>
        </w:rPr>
        <w:t xml:space="preserve"> </w:t>
      </w:r>
      <w:r>
        <w:rPr>
          <w:rFonts w:ascii="Times New Roman" w:hAnsi="Times New Roman" w:cs="Times New Roman"/>
        </w:rPr>
        <w:t xml:space="preserve">See Frequently Asked Questions about Affordable Care Act Implementation Part XXIV (available at </w:t>
      </w:r>
      <w:r w:rsidRPr="00FB2B4F">
        <w:rPr>
          <w:rFonts w:ascii="Times New Roman" w:hAnsi="Times New Roman" w:cs="Times New Roman"/>
          <w:i/>
        </w:rPr>
        <w:t>http://www.dol.gov/ebsa/faqs/faq-aca24.html</w:t>
      </w:r>
      <w:r w:rsidRPr="008A0529" w:rsidDel="00241289">
        <w:rPr>
          <w:rFonts w:ascii="Times New Roman" w:hAnsi="Times New Roman" w:cs="Times New Roman"/>
        </w:rPr>
        <w:t xml:space="preserve"> </w:t>
      </w:r>
      <w:r>
        <w:rPr>
          <w:rFonts w:ascii="Times New Roman" w:hAnsi="Times New Roman" w:cs="Times New Roman"/>
        </w:rPr>
        <w:t xml:space="preserve">and </w:t>
      </w:r>
      <w:r w:rsidRPr="00FB2B4F">
        <w:rPr>
          <w:rFonts w:ascii="Times New Roman" w:hAnsi="Times New Roman" w:cs="Times New Roman"/>
          <w:i/>
        </w:rPr>
        <w:t>https://www.cms.gov/CCIIO/Resources/Fact-Sheets-and-FAQs/aca_implementation_faqs24.html</w:t>
      </w:r>
      <w:r>
        <w:rPr>
          <w:rFonts w:ascii="Times New Roman" w:hAnsi="Times New Roman" w:cs="Times New Roman"/>
        </w:rPr>
        <w:t xml:space="preserve">). </w:t>
      </w:r>
    </w:p>
  </w:footnote>
  <w:footnote w:id="3">
    <w:p w:rsidR="00B12367" w:rsidRPr="00BB6BD2" w:rsidRDefault="00B12367" w:rsidP="00B12367">
      <w:pPr>
        <w:pStyle w:val="FootnoteText"/>
        <w:rPr>
          <w:rFonts w:ascii="Times New Roman" w:hAnsi="Times New Roman" w:cs="Times New Roman"/>
        </w:rPr>
      </w:pPr>
      <w:r w:rsidRPr="00BB6BD2">
        <w:rPr>
          <w:rStyle w:val="FootnoteReference"/>
          <w:rFonts w:ascii="Times New Roman" w:hAnsi="Times New Roman" w:cs="Times New Roman"/>
        </w:rPr>
        <w:footnoteRef/>
      </w:r>
      <w:r w:rsidRPr="00BB6BD2">
        <w:rPr>
          <w:rFonts w:ascii="Times New Roman" w:hAnsi="Times New Roman" w:cs="Times New Roman"/>
        </w:rPr>
        <w:t xml:space="preserve"> </w:t>
      </w:r>
      <w:r>
        <w:rPr>
          <w:rFonts w:ascii="Times New Roman" w:hAnsi="Times New Roman" w:cs="Times New Roman"/>
        </w:rPr>
        <w:t>80 FR 34292.</w:t>
      </w:r>
    </w:p>
  </w:footnote>
  <w:footnote w:id="4">
    <w:p w:rsidR="00B12367" w:rsidRDefault="00B12367" w:rsidP="00B12367">
      <w:pPr>
        <w:pStyle w:val="FootnoteText"/>
      </w:pPr>
      <w:r>
        <w:rPr>
          <w:rStyle w:val="FootnoteReference"/>
        </w:rPr>
        <w:footnoteRef/>
      </w:r>
      <w:r>
        <w:t xml:space="preserve"> </w:t>
      </w:r>
      <w:r w:rsidRPr="00BB6BD2">
        <w:rPr>
          <w:rFonts w:ascii="Times New Roman" w:hAnsi="Times New Roman" w:cs="Times New Roman"/>
        </w:rPr>
        <w:t>81 FR 9860, 9887, 9945</w:t>
      </w:r>
      <w:r>
        <w:rPr>
          <w:rFonts w:ascii="Times New Roman" w:hAnsi="Times New Roman" w:cs="Times New Roman"/>
        </w:rPr>
        <w:t>.</w:t>
      </w:r>
    </w:p>
  </w:footnote>
  <w:footnote w:id="5">
    <w:p w:rsidR="00F3484F" w:rsidRDefault="00F3484F" w:rsidP="00F3484F">
      <w:pPr>
        <w:pStyle w:val="FootnoteText"/>
      </w:pPr>
      <w:r>
        <w:rPr>
          <w:rStyle w:val="FootnoteReference"/>
        </w:rPr>
        <w:footnoteRef/>
      </w:r>
      <w:r>
        <w:t xml:space="preserve"> </w:t>
      </w:r>
      <w:r w:rsidRPr="002B6346">
        <w:rPr>
          <w:rFonts w:ascii="Times New Roman" w:hAnsi="Times New Roman" w:cs="Times New Roman"/>
        </w:rPr>
        <w:t xml:space="preserve"> </w:t>
      </w:r>
      <w:r>
        <w:rPr>
          <w:rFonts w:ascii="Times New Roman" w:hAnsi="Times New Roman" w:cs="Times New Roman"/>
        </w:rPr>
        <w:t xml:space="preserve">See Frequently Asked Questions about Affordable Care Act Implementation Part 30 (available at </w:t>
      </w:r>
      <w:hyperlink r:id="rId1" w:history="1">
        <w:r w:rsidRPr="00FB2B4F">
          <w:rPr>
            <w:rStyle w:val="Hyperlink"/>
            <w:rFonts w:ascii="Times New Roman" w:hAnsi="Times New Roman" w:cs="Times New Roman"/>
            <w:i/>
          </w:rPr>
          <w:t>http://www.dol.gov/ebsa/faqs/faq-aca30.html</w:t>
        </w:r>
      </w:hyperlink>
      <w:r>
        <w:rPr>
          <w:rFonts w:ascii="Times New Roman" w:hAnsi="Times New Roman" w:cs="Times New Roman"/>
        </w:rPr>
        <w:t xml:space="preserve"> and</w:t>
      </w:r>
      <w:r>
        <w:rPr>
          <w:rFonts w:ascii="Times New Roman" w:hAnsi="Times New Roman" w:cs="Times New Roman"/>
          <w:i/>
        </w:rPr>
        <w:t xml:space="preserve"> </w:t>
      </w:r>
      <w:r w:rsidRPr="002B6346">
        <w:rPr>
          <w:rFonts w:ascii="Times New Roman" w:hAnsi="Times New Roman" w:cs="Times New Roman"/>
          <w:i/>
        </w:rPr>
        <w:t>https://www.cms.gov/cciio/resources/fact-sheets-and-faqs/index.html</w:t>
      </w:r>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2E6B"/>
    <w:multiLevelType w:val="hybridMultilevel"/>
    <w:tmpl w:val="240A0238"/>
    <w:lvl w:ilvl="0" w:tplc="43DEEEAE">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382B1506"/>
    <w:multiLevelType w:val="hybridMultilevel"/>
    <w:tmpl w:val="6CFA4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ssa Dines">
    <w15:presenceInfo w15:providerId="None" w15:userId="Elissa Di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DE5"/>
    <w:rsid w:val="0000693C"/>
    <w:rsid w:val="00010C3C"/>
    <w:rsid w:val="00026700"/>
    <w:rsid w:val="000301DD"/>
    <w:rsid w:val="0003677C"/>
    <w:rsid w:val="00057827"/>
    <w:rsid w:val="000A35A9"/>
    <w:rsid w:val="000A795B"/>
    <w:rsid w:val="000F3A89"/>
    <w:rsid w:val="00102BE3"/>
    <w:rsid w:val="00103242"/>
    <w:rsid w:val="0011292A"/>
    <w:rsid w:val="00120F28"/>
    <w:rsid w:val="001265AF"/>
    <w:rsid w:val="00130718"/>
    <w:rsid w:val="00147E0C"/>
    <w:rsid w:val="00171E67"/>
    <w:rsid w:val="001A0204"/>
    <w:rsid w:val="001B18EC"/>
    <w:rsid w:val="001B39D0"/>
    <w:rsid w:val="001E03CE"/>
    <w:rsid w:val="001E0A17"/>
    <w:rsid w:val="001E2A26"/>
    <w:rsid w:val="001F18EE"/>
    <w:rsid w:val="002266D6"/>
    <w:rsid w:val="00241289"/>
    <w:rsid w:val="00246488"/>
    <w:rsid w:val="0025400D"/>
    <w:rsid w:val="00254A89"/>
    <w:rsid w:val="002607CE"/>
    <w:rsid w:val="00264B4F"/>
    <w:rsid w:val="00266BDF"/>
    <w:rsid w:val="00296240"/>
    <w:rsid w:val="002A424A"/>
    <w:rsid w:val="002B16F8"/>
    <w:rsid w:val="002B6346"/>
    <w:rsid w:val="002C4A38"/>
    <w:rsid w:val="002D5434"/>
    <w:rsid w:val="002D5F16"/>
    <w:rsid w:val="002E3F0F"/>
    <w:rsid w:val="003024AE"/>
    <w:rsid w:val="00302EDC"/>
    <w:rsid w:val="003262A6"/>
    <w:rsid w:val="003638D4"/>
    <w:rsid w:val="00380F64"/>
    <w:rsid w:val="00392ECD"/>
    <w:rsid w:val="00393B71"/>
    <w:rsid w:val="0039574B"/>
    <w:rsid w:val="003A2507"/>
    <w:rsid w:val="003F708A"/>
    <w:rsid w:val="004069E7"/>
    <w:rsid w:val="004072FA"/>
    <w:rsid w:val="0041474B"/>
    <w:rsid w:val="00440AC1"/>
    <w:rsid w:val="00440DB7"/>
    <w:rsid w:val="00471DE5"/>
    <w:rsid w:val="00480F79"/>
    <w:rsid w:val="004841D0"/>
    <w:rsid w:val="004951F1"/>
    <w:rsid w:val="004A66EF"/>
    <w:rsid w:val="004B280D"/>
    <w:rsid w:val="004B6291"/>
    <w:rsid w:val="004C3122"/>
    <w:rsid w:val="004E0230"/>
    <w:rsid w:val="00501EE0"/>
    <w:rsid w:val="0050732C"/>
    <w:rsid w:val="00513298"/>
    <w:rsid w:val="00541655"/>
    <w:rsid w:val="00580079"/>
    <w:rsid w:val="005C32BC"/>
    <w:rsid w:val="005C6076"/>
    <w:rsid w:val="006148EA"/>
    <w:rsid w:val="00627346"/>
    <w:rsid w:val="00641BB3"/>
    <w:rsid w:val="00681AF8"/>
    <w:rsid w:val="006820DD"/>
    <w:rsid w:val="00682DC4"/>
    <w:rsid w:val="00685C48"/>
    <w:rsid w:val="00696401"/>
    <w:rsid w:val="006A3338"/>
    <w:rsid w:val="006D13C6"/>
    <w:rsid w:val="006E2446"/>
    <w:rsid w:val="00726FE0"/>
    <w:rsid w:val="0072708C"/>
    <w:rsid w:val="007359FC"/>
    <w:rsid w:val="00756B7A"/>
    <w:rsid w:val="00766643"/>
    <w:rsid w:val="00775E37"/>
    <w:rsid w:val="00791B75"/>
    <w:rsid w:val="007B0974"/>
    <w:rsid w:val="007B5545"/>
    <w:rsid w:val="007B73E0"/>
    <w:rsid w:val="007C1E02"/>
    <w:rsid w:val="007E44FD"/>
    <w:rsid w:val="0080336B"/>
    <w:rsid w:val="00811691"/>
    <w:rsid w:val="0088739F"/>
    <w:rsid w:val="00887F06"/>
    <w:rsid w:val="008A0529"/>
    <w:rsid w:val="008E7328"/>
    <w:rsid w:val="009054B0"/>
    <w:rsid w:val="00905D62"/>
    <w:rsid w:val="00910E03"/>
    <w:rsid w:val="00932B8C"/>
    <w:rsid w:val="00934940"/>
    <w:rsid w:val="009411B4"/>
    <w:rsid w:val="00984441"/>
    <w:rsid w:val="00984C57"/>
    <w:rsid w:val="00985590"/>
    <w:rsid w:val="0098769C"/>
    <w:rsid w:val="009947E5"/>
    <w:rsid w:val="009A119A"/>
    <w:rsid w:val="009B6B1A"/>
    <w:rsid w:val="009C4256"/>
    <w:rsid w:val="00A0050A"/>
    <w:rsid w:val="00A339B6"/>
    <w:rsid w:val="00A81FA3"/>
    <w:rsid w:val="00A869C1"/>
    <w:rsid w:val="00A90A9C"/>
    <w:rsid w:val="00AB46F4"/>
    <w:rsid w:val="00AD0875"/>
    <w:rsid w:val="00B04D1B"/>
    <w:rsid w:val="00B12367"/>
    <w:rsid w:val="00B30DF0"/>
    <w:rsid w:val="00B7179D"/>
    <w:rsid w:val="00B77C24"/>
    <w:rsid w:val="00B82C63"/>
    <w:rsid w:val="00B96D07"/>
    <w:rsid w:val="00BB6BD2"/>
    <w:rsid w:val="00BC045D"/>
    <w:rsid w:val="00BC0638"/>
    <w:rsid w:val="00BD679D"/>
    <w:rsid w:val="00C25230"/>
    <w:rsid w:val="00C2576A"/>
    <w:rsid w:val="00C41194"/>
    <w:rsid w:val="00C57B13"/>
    <w:rsid w:val="00C63E62"/>
    <w:rsid w:val="00C7271C"/>
    <w:rsid w:val="00C93EE4"/>
    <w:rsid w:val="00C942A5"/>
    <w:rsid w:val="00CA2C0B"/>
    <w:rsid w:val="00CA7C8B"/>
    <w:rsid w:val="00CC4E04"/>
    <w:rsid w:val="00CE4DDF"/>
    <w:rsid w:val="00D42116"/>
    <w:rsid w:val="00D606A3"/>
    <w:rsid w:val="00D66236"/>
    <w:rsid w:val="00D825FE"/>
    <w:rsid w:val="00D9160D"/>
    <w:rsid w:val="00DB48F5"/>
    <w:rsid w:val="00DC0339"/>
    <w:rsid w:val="00DC17BC"/>
    <w:rsid w:val="00E00FAA"/>
    <w:rsid w:val="00E20AE8"/>
    <w:rsid w:val="00E25B7B"/>
    <w:rsid w:val="00E54A79"/>
    <w:rsid w:val="00E6176E"/>
    <w:rsid w:val="00E67D74"/>
    <w:rsid w:val="00EC19FE"/>
    <w:rsid w:val="00EC1E3C"/>
    <w:rsid w:val="00EC2D2D"/>
    <w:rsid w:val="00EC68BD"/>
    <w:rsid w:val="00EC7542"/>
    <w:rsid w:val="00F3484F"/>
    <w:rsid w:val="00F5300C"/>
    <w:rsid w:val="00F66DDB"/>
    <w:rsid w:val="00F858F5"/>
    <w:rsid w:val="00F859A7"/>
    <w:rsid w:val="00FF360D"/>
    <w:rsid w:val="00FF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7D74"/>
    <w:rPr>
      <w:sz w:val="16"/>
      <w:szCs w:val="16"/>
    </w:rPr>
  </w:style>
  <w:style w:type="paragraph" w:styleId="CommentText">
    <w:name w:val="annotation text"/>
    <w:basedOn w:val="Normal"/>
    <w:link w:val="CommentTextChar"/>
    <w:uiPriority w:val="99"/>
    <w:semiHidden/>
    <w:unhideWhenUsed/>
    <w:rsid w:val="00E67D74"/>
    <w:pPr>
      <w:spacing w:line="240" w:lineRule="auto"/>
    </w:pPr>
    <w:rPr>
      <w:sz w:val="20"/>
      <w:szCs w:val="20"/>
    </w:rPr>
  </w:style>
  <w:style w:type="character" w:customStyle="1" w:styleId="CommentTextChar">
    <w:name w:val="Comment Text Char"/>
    <w:basedOn w:val="DefaultParagraphFont"/>
    <w:link w:val="CommentText"/>
    <w:uiPriority w:val="99"/>
    <w:semiHidden/>
    <w:rsid w:val="00E67D74"/>
    <w:rPr>
      <w:sz w:val="20"/>
      <w:szCs w:val="20"/>
    </w:rPr>
  </w:style>
  <w:style w:type="paragraph" w:styleId="CommentSubject">
    <w:name w:val="annotation subject"/>
    <w:basedOn w:val="CommentText"/>
    <w:next w:val="CommentText"/>
    <w:link w:val="CommentSubjectChar"/>
    <w:uiPriority w:val="99"/>
    <w:semiHidden/>
    <w:unhideWhenUsed/>
    <w:rsid w:val="00E67D74"/>
    <w:rPr>
      <w:b/>
      <w:bCs/>
    </w:rPr>
  </w:style>
  <w:style w:type="character" w:customStyle="1" w:styleId="CommentSubjectChar">
    <w:name w:val="Comment Subject Char"/>
    <w:basedOn w:val="CommentTextChar"/>
    <w:link w:val="CommentSubject"/>
    <w:uiPriority w:val="99"/>
    <w:semiHidden/>
    <w:rsid w:val="00E67D74"/>
    <w:rPr>
      <w:b/>
      <w:bCs/>
      <w:sz w:val="20"/>
      <w:szCs w:val="20"/>
    </w:rPr>
  </w:style>
  <w:style w:type="paragraph" w:styleId="BalloonText">
    <w:name w:val="Balloon Text"/>
    <w:basedOn w:val="Normal"/>
    <w:link w:val="BalloonTextChar"/>
    <w:uiPriority w:val="99"/>
    <w:semiHidden/>
    <w:unhideWhenUsed/>
    <w:rsid w:val="00E67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D74"/>
    <w:rPr>
      <w:rFonts w:ascii="Tahoma" w:hAnsi="Tahoma" w:cs="Tahoma"/>
      <w:sz w:val="16"/>
      <w:szCs w:val="16"/>
    </w:rPr>
  </w:style>
  <w:style w:type="character" w:customStyle="1" w:styleId="apple-converted-space">
    <w:name w:val="apple-converted-space"/>
    <w:basedOn w:val="DefaultParagraphFont"/>
    <w:rsid w:val="008E7328"/>
  </w:style>
  <w:style w:type="paragraph" w:styleId="ListParagraph">
    <w:name w:val="List Paragraph"/>
    <w:basedOn w:val="Normal"/>
    <w:uiPriority w:val="34"/>
    <w:qFormat/>
    <w:rsid w:val="00F859A7"/>
    <w:pPr>
      <w:ind w:left="720"/>
      <w:contextualSpacing/>
    </w:pPr>
  </w:style>
  <w:style w:type="paragraph" w:styleId="Revision">
    <w:name w:val="Revision"/>
    <w:hidden/>
    <w:uiPriority w:val="99"/>
    <w:semiHidden/>
    <w:rsid w:val="00147E0C"/>
    <w:pPr>
      <w:spacing w:after="0" w:line="240" w:lineRule="auto"/>
    </w:pPr>
  </w:style>
  <w:style w:type="paragraph" w:styleId="FootnoteText">
    <w:name w:val="footnote text"/>
    <w:basedOn w:val="Normal"/>
    <w:link w:val="FootnoteTextChar"/>
    <w:uiPriority w:val="99"/>
    <w:semiHidden/>
    <w:unhideWhenUsed/>
    <w:rsid w:val="003957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574B"/>
    <w:rPr>
      <w:sz w:val="20"/>
      <w:szCs w:val="20"/>
    </w:rPr>
  </w:style>
  <w:style w:type="character" w:styleId="FootnoteReference">
    <w:name w:val="footnote reference"/>
    <w:basedOn w:val="DefaultParagraphFont"/>
    <w:uiPriority w:val="99"/>
    <w:semiHidden/>
    <w:unhideWhenUsed/>
    <w:rsid w:val="0039574B"/>
    <w:rPr>
      <w:vertAlign w:val="superscript"/>
    </w:rPr>
  </w:style>
  <w:style w:type="paragraph" w:styleId="Header">
    <w:name w:val="header"/>
    <w:basedOn w:val="Normal"/>
    <w:link w:val="HeaderChar"/>
    <w:uiPriority w:val="99"/>
    <w:unhideWhenUsed/>
    <w:rsid w:val="00A81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FA3"/>
  </w:style>
  <w:style w:type="paragraph" w:styleId="Footer">
    <w:name w:val="footer"/>
    <w:basedOn w:val="Normal"/>
    <w:link w:val="FooterChar"/>
    <w:uiPriority w:val="99"/>
    <w:unhideWhenUsed/>
    <w:rsid w:val="00A81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FA3"/>
  </w:style>
  <w:style w:type="character" w:styleId="Hyperlink">
    <w:name w:val="Hyperlink"/>
    <w:basedOn w:val="DefaultParagraphFont"/>
    <w:uiPriority w:val="99"/>
    <w:unhideWhenUsed/>
    <w:rsid w:val="002B63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7D74"/>
    <w:rPr>
      <w:sz w:val="16"/>
      <w:szCs w:val="16"/>
    </w:rPr>
  </w:style>
  <w:style w:type="paragraph" w:styleId="CommentText">
    <w:name w:val="annotation text"/>
    <w:basedOn w:val="Normal"/>
    <w:link w:val="CommentTextChar"/>
    <w:uiPriority w:val="99"/>
    <w:semiHidden/>
    <w:unhideWhenUsed/>
    <w:rsid w:val="00E67D74"/>
    <w:pPr>
      <w:spacing w:line="240" w:lineRule="auto"/>
    </w:pPr>
    <w:rPr>
      <w:sz w:val="20"/>
      <w:szCs w:val="20"/>
    </w:rPr>
  </w:style>
  <w:style w:type="character" w:customStyle="1" w:styleId="CommentTextChar">
    <w:name w:val="Comment Text Char"/>
    <w:basedOn w:val="DefaultParagraphFont"/>
    <w:link w:val="CommentText"/>
    <w:uiPriority w:val="99"/>
    <w:semiHidden/>
    <w:rsid w:val="00E67D74"/>
    <w:rPr>
      <w:sz w:val="20"/>
      <w:szCs w:val="20"/>
    </w:rPr>
  </w:style>
  <w:style w:type="paragraph" w:styleId="CommentSubject">
    <w:name w:val="annotation subject"/>
    <w:basedOn w:val="CommentText"/>
    <w:next w:val="CommentText"/>
    <w:link w:val="CommentSubjectChar"/>
    <w:uiPriority w:val="99"/>
    <w:semiHidden/>
    <w:unhideWhenUsed/>
    <w:rsid w:val="00E67D74"/>
    <w:rPr>
      <w:b/>
      <w:bCs/>
    </w:rPr>
  </w:style>
  <w:style w:type="character" w:customStyle="1" w:styleId="CommentSubjectChar">
    <w:name w:val="Comment Subject Char"/>
    <w:basedOn w:val="CommentTextChar"/>
    <w:link w:val="CommentSubject"/>
    <w:uiPriority w:val="99"/>
    <w:semiHidden/>
    <w:rsid w:val="00E67D74"/>
    <w:rPr>
      <w:b/>
      <w:bCs/>
      <w:sz w:val="20"/>
      <w:szCs w:val="20"/>
    </w:rPr>
  </w:style>
  <w:style w:type="paragraph" w:styleId="BalloonText">
    <w:name w:val="Balloon Text"/>
    <w:basedOn w:val="Normal"/>
    <w:link w:val="BalloonTextChar"/>
    <w:uiPriority w:val="99"/>
    <w:semiHidden/>
    <w:unhideWhenUsed/>
    <w:rsid w:val="00E67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D74"/>
    <w:rPr>
      <w:rFonts w:ascii="Tahoma" w:hAnsi="Tahoma" w:cs="Tahoma"/>
      <w:sz w:val="16"/>
      <w:szCs w:val="16"/>
    </w:rPr>
  </w:style>
  <w:style w:type="character" w:customStyle="1" w:styleId="apple-converted-space">
    <w:name w:val="apple-converted-space"/>
    <w:basedOn w:val="DefaultParagraphFont"/>
    <w:rsid w:val="008E7328"/>
  </w:style>
  <w:style w:type="paragraph" w:styleId="ListParagraph">
    <w:name w:val="List Paragraph"/>
    <w:basedOn w:val="Normal"/>
    <w:uiPriority w:val="34"/>
    <w:qFormat/>
    <w:rsid w:val="00F859A7"/>
    <w:pPr>
      <w:ind w:left="720"/>
      <w:contextualSpacing/>
    </w:pPr>
  </w:style>
  <w:style w:type="paragraph" w:styleId="Revision">
    <w:name w:val="Revision"/>
    <w:hidden/>
    <w:uiPriority w:val="99"/>
    <w:semiHidden/>
    <w:rsid w:val="00147E0C"/>
    <w:pPr>
      <w:spacing w:after="0" w:line="240" w:lineRule="auto"/>
    </w:pPr>
  </w:style>
  <w:style w:type="paragraph" w:styleId="FootnoteText">
    <w:name w:val="footnote text"/>
    <w:basedOn w:val="Normal"/>
    <w:link w:val="FootnoteTextChar"/>
    <w:uiPriority w:val="99"/>
    <w:semiHidden/>
    <w:unhideWhenUsed/>
    <w:rsid w:val="003957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574B"/>
    <w:rPr>
      <w:sz w:val="20"/>
      <w:szCs w:val="20"/>
    </w:rPr>
  </w:style>
  <w:style w:type="character" w:styleId="FootnoteReference">
    <w:name w:val="footnote reference"/>
    <w:basedOn w:val="DefaultParagraphFont"/>
    <w:uiPriority w:val="99"/>
    <w:semiHidden/>
    <w:unhideWhenUsed/>
    <w:rsid w:val="0039574B"/>
    <w:rPr>
      <w:vertAlign w:val="superscript"/>
    </w:rPr>
  </w:style>
  <w:style w:type="paragraph" w:styleId="Header">
    <w:name w:val="header"/>
    <w:basedOn w:val="Normal"/>
    <w:link w:val="HeaderChar"/>
    <w:uiPriority w:val="99"/>
    <w:unhideWhenUsed/>
    <w:rsid w:val="00A81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FA3"/>
  </w:style>
  <w:style w:type="paragraph" w:styleId="Footer">
    <w:name w:val="footer"/>
    <w:basedOn w:val="Normal"/>
    <w:link w:val="FooterChar"/>
    <w:uiPriority w:val="99"/>
    <w:unhideWhenUsed/>
    <w:rsid w:val="00A81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FA3"/>
  </w:style>
  <w:style w:type="character" w:styleId="Hyperlink">
    <w:name w:val="Hyperlink"/>
    <w:basedOn w:val="DefaultParagraphFont"/>
    <w:uiPriority w:val="99"/>
    <w:unhideWhenUsed/>
    <w:rsid w:val="002B63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ol.gov/ebsa/faqs/faq-aca3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823FA-2577-4DB7-92EA-B44547654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2140</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14316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Litton</dc:creator>
  <cp:lastModifiedBy>Elizabeth Schumacher</cp:lastModifiedBy>
  <cp:revision>2</cp:revision>
  <cp:lastPrinted>2016-03-08T15:28:00Z</cp:lastPrinted>
  <dcterms:created xsi:type="dcterms:W3CDTF">2016-04-05T16:05:00Z</dcterms:created>
  <dcterms:modified xsi:type="dcterms:W3CDTF">2016-04-05T16:05:00Z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