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399" w:rsidRPr="00973742" w:rsidRDefault="007D6399" w:rsidP="007D6399">
      <w:pPr>
        <w:tabs>
          <w:tab w:val="right" w:pos="10080"/>
        </w:tabs>
        <w:rPr>
          <w:b/>
        </w:rPr>
      </w:pPr>
      <w:r w:rsidRPr="00973742">
        <w:rPr>
          <w:b/>
        </w:rPr>
        <w:t>MEMORANDUM</w:t>
      </w:r>
      <w:r w:rsidRPr="00973742">
        <w:rPr>
          <w:b/>
        </w:rPr>
        <w:tab/>
        <w:t xml:space="preserve">OMB # </w:t>
      </w:r>
      <w:r w:rsidR="00374809">
        <w:rPr>
          <w:b/>
        </w:rPr>
        <w:t>1850-0582 v.18</w:t>
      </w:r>
    </w:p>
    <w:p w:rsidR="007D6399" w:rsidRPr="00973742" w:rsidRDefault="007D6399" w:rsidP="007D6399">
      <w:pPr>
        <w:rPr>
          <w:b/>
        </w:rPr>
      </w:pPr>
    </w:p>
    <w:p w:rsidR="007D6399" w:rsidRPr="00973742" w:rsidRDefault="007D6399" w:rsidP="007D6399">
      <w:pPr>
        <w:tabs>
          <w:tab w:val="left" w:pos="1440"/>
        </w:tabs>
      </w:pPr>
      <w:r w:rsidRPr="00973742">
        <w:t>DATE:</w:t>
      </w:r>
      <w:r w:rsidRPr="00973742">
        <w:tab/>
      </w:r>
      <w:r w:rsidR="00B120C7">
        <w:t>June 1</w:t>
      </w:r>
      <w:r w:rsidR="00B02234">
        <w:t>6</w:t>
      </w:r>
      <w:bookmarkStart w:id="0" w:name="_GoBack"/>
      <w:bookmarkEnd w:id="0"/>
      <w:r w:rsidR="00B120C7">
        <w:t>,</w:t>
      </w:r>
      <w:r w:rsidR="0024231F">
        <w:t xml:space="preserve"> 201</w:t>
      </w:r>
      <w:r w:rsidR="00374809">
        <w:t>6</w:t>
      </w:r>
    </w:p>
    <w:p w:rsidR="007D6399" w:rsidRPr="00973742" w:rsidRDefault="007D6399" w:rsidP="007D6399">
      <w:pPr>
        <w:tabs>
          <w:tab w:val="left" w:pos="1440"/>
        </w:tabs>
      </w:pPr>
    </w:p>
    <w:p w:rsidR="007D6399" w:rsidRPr="002E4754" w:rsidRDefault="007D6399" w:rsidP="007D6399">
      <w:pPr>
        <w:tabs>
          <w:tab w:val="left" w:pos="1440"/>
        </w:tabs>
      </w:pPr>
      <w:r w:rsidRPr="002E4754">
        <w:t>TO:</w:t>
      </w:r>
      <w:r w:rsidRPr="002E4754">
        <w:tab/>
      </w:r>
      <w:r w:rsidRPr="007D6399">
        <w:rPr>
          <w:bCs/>
        </w:rPr>
        <w:t xml:space="preserve">Robert G. </w:t>
      </w:r>
      <w:proofErr w:type="spellStart"/>
      <w:r w:rsidRPr="007D6399">
        <w:rPr>
          <w:bCs/>
        </w:rPr>
        <w:t>Sivinski</w:t>
      </w:r>
      <w:proofErr w:type="spellEnd"/>
    </w:p>
    <w:p w:rsidR="007D6399" w:rsidRPr="002E4754" w:rsidRDefault="007D6399" w:rsidP="007D6399">
      <w:pPr>
        <w:tabs>
          <w:tab w:val="left" w:pos="1440"/>
        </w:tabs>
      </w:pPr>
      <w:r w:rsidRPr="002E4754">
        <w:tab/>
        <w:t>Office of Information and Regulatory Affairs, Office of Management and Budget</w:t>
      </w:r>
    </w:p>
    <w:p w:rsidR="007D6399" w:rsidRPr="002E4754" w:rsidRDefault="007D6399" w:rsidP="007D6399">
      <w:pPr>
        <w:tabs>
          <w:tab w:val="left" w:pos="1440"/>
        </w:tabs>
      </w:pPr>
    </w:p>
    <w:p w:rsidR="007D6399" w:rsidRPr="002E4754" w:rsidRDefault="007D6399" w:rsidP="007D6399">
      <w:pPr>
        <w:tabs>
          <w:tab w:val="left" w:pos="1440"/>
        </w:tabs>
      </w:pPr>
      <w:r w:rsidRPr="002E4754">
        <w:t>FROM:</w:t>
      </w:r>
      <w:r w:rsidRPr="002E4754">
        <w:tab/>
      </w:r>
      <w:r>
        <w:t>Richard Reeves</w:t>
      </w:r>
      <w:r>
        <w:tab/>
      </w:r>
    </w:p>
    <w:p w:rsidR="007D6399" w:rsidRPr="00973742" w:rsidRDefault="007D6399" w:rsidP="007D6399">
      <w:pPr>
        <w:tabs>
          <w:tab w:val="left" w:pos="1440"/>
        </w:tabs>
        <w:ind w:left="1440"/>
      </w:pPr>
      <w:r>
        <w:t>Postsecondary Branch Chief, Administrative Division</w:t>
      </w:r>
      <w:r w:rsidRPr="002E4754">
        <w:t>, National Center for Education Statistics</w:t>
      </w:r>
    </w:p>
    <w:p w:rsidR="007D6399" w:rsidRPr="00973742" w:rsidRDefault="007D6399" w:rsidP="007D6399">
      <w:pPr>
        <w:tabs>
          <w:tab w:val="left" w:pos="1440"/>
        </w:tabs>
      </w:pPr>
    </w:p>
    <w:p w:rsidR="007D6399" w:rsidRPr="00973742" w:rsidRDefault="007D6399" w:rsidP="007D6399">
      <w:pPr>
        <w:tabs>
          <w:tab w:val="left" w:pos="1440"/>
        </w:tabs>
      </w:pPr>
      <w:r w:rsidRPr="00973742">
        <w:t>THROUGH:</w:t>
      </w:r>
      <w:r w:rsidRPr="00973742">
        <w:tab/>
        <w:t>Kashka Kubzdela</w:t>
      </w:r>
    </w:p>
    <w:p w:rsidR="007D6399" w:rsidRPr="00973742" w:rsidRDefault="007D6399" w:rsidP="007D6399">
      <w:pPr>
        <w:tabs>
          <w:tab w:val="left" w:pos="1440"/>
        </w:tabs>
      </w:pPr>
      <w:r w:rsidRPr="00973742">
        <w:tab/>
      </w:r>
      <w:r>
        <w:t xml:space="preserve">OMB Liaison, </w:t>
      </w:r>
      <w:r w:rsidRPr="00973742">
        <w:t>National Center for Education Statistics</w:t>
      </w:r>
    </w:p>
    <w:p w:rsidR="007D6399" w:rsidRDefault="007D6399" w:rsidP="007D6399">
      <w:pPr>
        <w:tabs>
          <w:tab w:val="left" w:pos="1440"/>
        </w:tabs>
      </w:pPr>
      <w:r w:rsidRPr="00973742">
        <w:tab/>
      </w:r>
    </w:p>
    <w:p w:rsidR="007D6399" w:rsidRPr="00973742" w:rsidRDefault="007D6399" w:rsidP="007D6399">
      <w:pPr>
        <w:tabs>
          <w:tab w:val="left" w:pos="1440"/>
        </w:tabs>
        <w:ind w:left="1440" w:hanging="1440"/>
      </w:pPr>
      <w:r w:rsidRPr="00973742">
        <w:t>SUBJECT:</w:t>
      </w:r>
      <w:r w:rsidRPr="00973742">
        <w:tab/>
      </w:r>
      <w:r w:rsidR="00374809" w:rsidRPr="00374809">
        <w:t>Integrated Postsecondary Education Data System (IPEDS) 2016-2019</w:t>
      </w:r>
      <w:r w:rsidR="00374809">
        <w:t xml:space="preserve"> – Revisions made to the clearance documents </w:t>
      </w:r>
      <w:r w:rsidR="00374809" w:rsidRPr="00374809">
        <w:t xml:space="preserve">since </w:t>
      </w:r>
      <w:r w:rsidR="00374809">
        <w:t xml:space="preserve">the </w:t>
      </w:r>
      <w:r w:rsidR="00374809" w:rsidRPr="00374809">
        <w:t>60 day comment period closed</w:t>
      </w:r>
    </w:p>
    <w:p w:rsidR="007D6399" w:rsidRDefault="007D6399" w:rsidP="007D6399">
      <w:pPr>
        <w:pStyle w:val="Title"/>
        <w:ind w:right="-360"/>
        <w:jc w:val="both"/>
      </w:pPr>
    </w:p>
    <w:p w:rsidR="007D6399" w:rsidRDefault="007D6399" w:rsidP="007D6399">
      <w:pPr>
        <w:pStyle w:val="Title"/>
        <w:ind w:right="-360"/>
        <w:jc w:val="left"/>
      </w:pPr>
    </w:p>
    <w:p w:rsidR="00374809" w:rsidRDefault="00374809" w:rsidP="00B34381">
      <w:pPr>
        <w:spacing w:after="120" w:line="23" w:lineRule="atLeast"/>
      </w:pPr>
      <w:r>
        <w:t xml:space="preserve">Based on comments received during the 60 day public comment period, Further Quality Control Measures, and continued work with experts in the field, the following changes have been made to the </w:t>
      </w:r>
      <w:proofErr w:type="gramStart"/>
      <w:r>
        <w:t>documents</w:t>
      </w:r>
      <w:proofErr w:type="gramEnd"/>
      <w:r>
        <w:t xml:space="preserve"> in this clearance request:</w:t>
      </w:r>
    </w:p>
    <w:p w:rsidR="00374809" w:rsidRDefault="00374809" w:rsidP="00B34381">
      <w:pPr>
        <w:spacing w:after="120" w:line="23" w:lineRule="atLeast"/>
      </w:pPr>
      <w:r>
        <w:t>In the “</w:t>
      </w:r>
      <w:r w:rsidRPr="00374809">
        <w:rPr>
          <w:i/>
        </w:rPr>
        <w:t>IPEDS 2016 IC Institutional Characteristics</w:t>
      </w:r>
      <w:r>
        <w:t xml:space="preserve">” document: </w:t>
      </w:r>
    </w:p>
    <w:p w:rsidR="00374809" w:rsidRPr="00701B75" w:rsidRDefault="00374809" w:rsidP="00B34381">
      <w:pPr>
        <w:numPr>
          <w:ilvl w:val="0"/>
          <w:numId w:val="3"/>
        </w:numPr>
        <w:spacing w:after="120" w:line="23" w:lineRule="atLeast"/>
      </w:pPr>
      <w:r w:rsidRPr="00701B75">
        <w:t>Moved the screening question “</w:t>
      </w:r>
      <w:r w:rsidRPr="00701B75">
        <w:rPr>
          <w:rFonts w:eastAsia="Arial"/>
        </w:rPr>
        <w:t>Do</w:t>
      </w:r>
      <w:r w:rsidRPr="00701B75">
        <w:rPr>
          <w:rFonts w:eastAsia="Arial"/>
          <w:spacing w:val="1"/>
        </w:rPr>
        <w:t>e</w:t>
      </w:r>
      <w:r w:rsidRPr="00701B75">
        <w:rPr>
          <w:rFonts w:eastAsia="Arial"/>
        </w:rPr>
        <w:t xml:space="preserve">s </w:t>
      </w:r>
      <w:r w:rsidRPr="00701B75">
        <w:rPr>
          <w:rFonts w:eastAsia="Arial"/>
          <w:spacing w:val="-2"/>
        </w:rPr>
        <w:t>y</w:t>
      </w:r>
      <w:r w:rsidRPr="00701B75">
        <w:rPr>
          <w:rFonts w:eastAsia="Arial"/>
        </w:rPr>
        <w:t>our institut</w:t>
      </w:r>
      <w:r w:rsidRPr="00701B75">
        <w:rPr>
          <w:rFonts w:eastAsia="Arial"/>
          <w:spacing w:val="-3"/>
        </w:rPr>
        <w:t>i</w:t>
      </w:r>
      <w:r w:rsidRPr="00701B75">
        <w:rPr>
          <w:rFonts w:eastAsia="Arial"/>
        </w:rPr>
        <w:t>on</w:t>
      </w:r>
      <w:r w:rsidRPr="00701B75">
        <w:rPr>
          <w:rFonts w:eastAsia="Arial"/>
          <w:spacing w:val="-2"/>
        </w:rPr>
        <w:t xml:space="preserve"> h</w:t>
      </w:r>
      <w:r w:rsidRPr="00701B75">
        <w:rPr>
          <w:rFonts w:eastAsia="Arial"/>
        </w:rPr>
        <w:t>a</w:t>
      </w:r>
      <w:r w:rsidRPr="00701B75">
        <w:rPr>
          <w:rFonts w:eastAsia="Arial"/>
          <w:spacing w:val="-3"/>
        </w:rPr>
        <w:t>v</w:t>
      </w:r>
      <w:r w:rsidRPr="00701B75">
        <w:rPr>
          <w:rFonts w:eastAsia="Arial"/>
        </w:rPr>
        <w:t>e</w:t>
      </w:r>
      <w:r w:rsidRPr="00701B75">
        <w:rPr>
          <w:rFonts w:eastAsia="Arial"/>
          <w:spacing w:val="3"/>
        </w:rPr>
        <w:t xml:space="preserve"> </w:t>
      </w:r>
      <w:r w:rsidRPr="00701B75">
        <w:rPr>
          <w:rFonts w:eastAsia="Arial"/>
        </w:rPr>
        <w:t xml:space="preserve">access </w:t>
      </w:r>
      <w:r w:rsidRPr="00701B75">
        <w:rPr>
          <w:rFonts w:eastAsia="Arial"/>
          <w:spacing w:val="-2"/>
        </w:rPr>
        <w:t>t</w:t>
      </w:r>
      <w:r w:rsidRPr="00701B75">
        <w:rPr>
          <w:rFonts w:eastAsia="Arial"/>
        </w:rPr>
        <w:t>o a</w:t>
      </w:r>
      <w:r w:rsidRPr="00701B75">
        <w:rPr>
          <w:rFonts w:eastAsia="Arial"/>
          <w:spacing w:val="1"/>
        </w:rPr>
        <w:t xml:space="preserve"> </w:t>
      </w:r>
      <w:r w:rsidRPr="00701B75">
        <w:rPr>
          <w:rFonts w:eastAsia="Arial"/>
        </w:rPr>
        <w:t>library</w:t>
      </w:r>
      <w:r w:rsidRPr="00701B75">
        <w:rPr>
          <w:rFonts w:eastAsia="Arial"/>
          <w:spacing w:val="-4"/>
        </w:rPr>
        <w:t xml:space="preserve"> </w:t>
      </w:r>
      <w:r w:rsidRPr="00701B75">
        <w:rPr>
          <w:rFonts w:eastAsia="Arial"/>
        </w:rPr>
        <w:t>c</w:t>
      </w:r>
      <w:r w:rsidRPr="00701B75">
        <w:rPr>
          <w:rFonts w:eastAsia="Arial"/>
          <w:spacing w:val="1"/>
        </w:rPr>
        <w:t>o</w:t>
      </w:r>
      <w:r w:rsidRPr="00701B75">
        <w:rPr>
          <w:rFonts w:eastAsia="Arial"/>
        </w:rPr>
        <w:t>l</w:t>
      </w:r>
      <w:r w:rsidRPr="00701B75">
        <w:rPr>
          <w:rFonts w:eastAsia="Arial"/>
          <w:spacing w:val="-1"/>
        </w:rPr>
        <w:t>l</w:t>
      </w:r>
      <w:r w:rsidRPr="00701B75">
        <w:rPr>
          <w:rFonts w:eastAsia="Arial"/>
        </w:rPr>
        <w:t>ection?” to the IC-Header part of Institutional Characteristics</w:t>
      </w:r>
    </w:p>
    <w:p w:rsidR="00374809" w:rsidRPr="00701B75" w:rsidRDefault="00374809" w:rsidP="00B34381">
      <w:pPr>
        <w:numPr>
          <w:ilvl w:val="0"/>
          <w:numId w:val="3"/>
        </w:numPr>
        <w:spacing w:after="120" w:line="23" w:lineRule="atLeast"/>
      </w:pPr>
      <w:r w:rsidRPr="00701B75">
        <w:t xml:space="preserve">Added a ‘None of the </w:t>
      </w:r>
      <w:proofErr w:type="gramStart"/>
      <w:r w:rsidRPr="00701B75">
        <w:t>Above</w:t>
      </w:r>
      <w:proofErr w:type="gramEnd"/>
      <w:r w:rsidRPr="00701B75">
        <w:t>’ option to the library resources question, “</w:t>
      </w:r>
      <w:r w:rsidRPr="00701B75">
        <w:rPr>
          <w:rFonts w:eastAsia="Arial"/>
          <w:spacing w:val="6"/>
        </w:rPr>
        <w:t>W</w:t>
      </w:r>
      <w:r w:rsidRPr="00701B75">
        <w:rPr>
          <w:rFonts w:eastAsia="Arial"/>
          <w:spacing w:val="-2"/>
        </w:rPr>
        <w:t>h</w:t>
      </w:r>
      <w:r w:rsidRPr="00701B75">
        <w:rPr>
          <w:rFonts w:eastAsia="Arial"/>
          <w:spacing w:val="-3"/>
        </w:rPr>
        <w:t>i</w:t>
      </w:r>
      <w:r w:rsidRPr="00701B75">
        <w:rPr>
          <w:rFonts w:eastAsia="Arial"/>
        </w:rPr>
        <w:t>ch</w:t>
      </w:r>
      <w:r w:rsidRPr="00701B75">
        <w:rPr>
          <w:rFonts w:eastAsia="Arial"/>
          <w:spacing w:val="-2"/>
        </w:rPr>
        <w:t xml:space="preserve"> o</w:t>
      </w:r>
      <w:r w:rsidRPr="00701B75">
        <w:rPr>
          <w:rFonts w:eastAsia="Arial"/>
        </w:rPr>
        <w:t>f</w:t>
      </w:r>
      <w:r w:rsidRPr="00701B75">
        <w:rPr>
          <w:rFonts w:eastAsia="Arial"/>
          <w:spacing w:val="2"/>
        </w:rPr>
        <w:t xml:space="preserve"> </w:t>
      </w:r>
      <w:r w:rsidRPr="00701B75">
        <w:rPr>
          <w:rFonts w:eastAsia="Arial"/>
          <w:spacing w:val="-2"/>
        </w:rPr>
        <w:t>t</w:t>
      </w:r>
      <w:r w:rsidRPr="00701B75">
        <w:rPr>
          <w:rFonts w:eastAsia="Arial"/>
        </w:rPr>
        <w:t>he</w:t>
      </w:r>
      <w:r w:rsidRPr="00701B75">
        <w:rPr>
          <w:rFonts w:eastAsia="Arial"/>
          <w:spacing w:val="-2"/>
        </w:rPr>
        <w:t xml:space="preserve"> </w:t>
      </w:r>
      <w:r w:rsidRPr="00701B75">
        <w:rPr>
          <w:rFonts w:eastAsia="Arial"/>
        </w:rPr>
        <w:t>f</w:t>
      </w:r>
      <w:r w:rsidRPr="00701B75">
        <w:rPr>
          <w:rFonts w:eastAsia="Arial"/>
          <w:spacing w:val="1"/>
        </w:rPr>
        <w:t>o</w:t>
      </w:r>
      <w:r w:rsidRPr="00701B75">
        <w:rPr>
          <w:rFonts w:eastAsia="Arial"/>
        </w:rPr>
        <w:t>l</w:t>
      </w:r>
      <w:r w:rsidRPr="00701B75">
        <w:rPr>
          <w:rFonts w:eastAsia="Arial"/>
          <w:spacing w:val="-1"/>
        </w:rPr>
        <w:t>l</w:t>
      </w:r>
      <w:r w:rsidRPr="00701B75">
        <w:rPr>
          <w:rFonts w:eastAsia="Arial"/>
        </w:rPr>
        <w:t>o</w:t>
      </w:r>
      <w:r w:rsidRPr="00701B75">
        <w:rPr>
          <w:rFonts w:eastAsia="Arial"/>
          <w:spacing w:val="-3"/>
        </w:rPr>
        <w:t>w</w:t>
      </w:r>
      <w:r w:rsidRPr="00701B75">
        <w:rPr>
          <w:rFonts w:eastAsia="Arial"/>
        </w:rPr>
        <w:t>ing</w:t>
      </w:r>
      <w:r w:rsidRPr="00701B75">
        <w:rPr>
          <w:rFonts w:eastAsia="Arial"/>
          <w:spacing w:val="-1"/>
        </w:rPr>
        <w:t xml:space="preserve"> </w:t>
      </w:r>
      <w:r w:rsidRPr="00701B75">
        <w:rPr>
          <w:rFonts w:eastAsia="Arial"/>
          <w:spacing w:val="2"/>
        </w:rPr>
        <w:t>l</w:t>
      </w:r>
      <w:r w:rsidRPr="00701B75">
        <w:rPr>
          <w:rFonts w:eastAsia="Arial"/>
        </w:rPr>
        <w:t>ibrary</w:t>
      </w:r>
      <w:r w:rsidRPr="00701B75">
        <w:rPr>
          <w:rFonts w:eastAsia="Arial"/>
          <w:spacing w:val="-3"/>
        </w:rPr>
        <w:t xml:space="preserve"> </w:t>
      </w:r>
      <w:r w:rsidRPr="00701B75">
        <w:rPr>
          <w:rFonts w:eastAsia="Arial"/>
        </w:rPr>
        <w:t>res</w:t>
      </w:r>
      <w:r w:rsidRPr="00701B75">
        <w:rPr>
          <w:rFonts w:eastAsia="Arial"/>
          <w:spacing w:val="1"/>
        </w:rPr>
        <w:t>o</w:t>
      </w:r>
      <w:r w:rsidRPr="00701B75">
        <w:rPr>
          <w:rFonts w:eastAsia="Arial"/>
        </w:rPr>
        <w:t>urces or se</w:t>
      </w:r>
      <w:r w:rsidRPr="00701B75">
        <w:rPr>
          <w:rFonts w:eastAsia="Arial"/>
          <w:spacing w:val="-3"/>
        </w:rPr>
        <w:t>rv</w:t>
      </w:r>
      <w:r w:rsidRPr="00701B75">
        <w:rPr>
          <w:rFonts w:eastAsia="Arial"/>
        </w:rPr>
        <w:t xml:space="preserve">ices does </w:t>
      </w:r>
      <w:r w:rsidRPr="00701B75">
        <w:rPr>
          <w:rFonts w:eastAsia="Arial"/>
          <w:spacing w:val="-2"/>
        </w:rPr>
        <w:t>y</w:t>
      </w:r>
      <w:r w:rsidRPr="00701B75">
        <w:rPr>
          <w:rFonts w:eastAsia="Arial"/>
        </w:rPr>
        <w:t>our institu</w:t>
      </w:r>
      <w:r w:rsidRPr="00701B75">
        <w:rPr>
          <w:rFonts w:eastAsia="Arial"/>
          <w:spacing w:val="-2"/>
        </w:rPr>
        <w:t>t</w:t>
      </w:r>
      <w:r w:rsidRPr="00701B75">
        <w:rPr>
          <w:rFonts w:eastAsia="Arial"/>
        </w:rPr>
        <w:t>ion</w:t>
      </w:r>
      <w:r w:rsidRPr="00701B75">
        <w:rPr>
          <w:rFonts w:eastAsia="Arial"/>
          <w:spacing w:val="1"/>
        </w:rPr>
        <w:t xml:space="preserve"> p</w:t>
      </w:r>
      <w:r w:rsidRPr="00701B75">
        <w:rPr>
          <w:rFonts w:eastAsia="Arial"/>
        </w:rPr>
        <w:t>ro</w:t>
      </w:r>
      <w:r w:rsidRPr="00701B75">
        <w:rPr>
          <w:rFonts w:eastAsia="Arial"/>
          <w:spacing w:val="-3"/>
        </w:rPr>
        <w:t>v</w:t>
      </w:r>
      <w:r w:rsidRPr="00701B75">
        <w:rPr>
          <w:rFonts w:eastAsia="Arial"/>
        </w:rPr>
        <w:t>ide</w:t>
      </w:r>
      <w:r w:rsidRPr="00701B75">
        <w:rPr>
          <w:rFonts w:eastAsia="Arial"/>
          <w:spacing w:val="1"/>
        </w:rPr>
        <w:t xml:space="preserve"> </w:t>
      </w:r>
      <w:r w:rsidRPr="00701B75">
        <w:rPr>
          <w:rFonts w:eastAsia="Arial"/>
          <w:spacing w:val="-2"/>
        </w:rPr>
        <w:t>t</w:t>
      </w:r>
      <w:r w:rsidRPr="00701B75">
        <w:rPr>
          <w:rFonts w:eastAsia="Arial"/>
        </w:rPr>
        <w:t>o its cl</w:t>
      </w:r>
      <w:r w:rsidRPr="00701B75">
        <w:rPr>
          <w:rFonts w:eastAsia="Arial"/>
          <w:spacing w:val="-1"/>
        </w:rPr>
        <w:t>i</w:t>
      </w:r>
      <w:r w:rsidRPr="00701B75">
        <w:rPr>
          <w:rFonts w:eastAsia="Arial"/>
        </w:rPr>
        <w:t>ent</w:t>
      </w:r>
      <w:r w:rsidRPr="00701B75">
        <w:rPr>
          <w:rFonts w:eastAsia="Arial"/>
          <w:spacing w:val="1"/>
        </w:rPr>
        <w:t>e</w:t>
      </w:r>
      <w:r w:rsidRPr="00701B75">
        <w:rPr>
          <w:rFonts w:eastAsia="Arial"/>
        </w:rPr>
        <w:t>le?</w:t>
      </w:r>
      <w:r w:rsidRPr="00701B75">
        <w:rPr>
          <w:rFonts w:eastAsia="Arial"/>
          <w:spacing w:val="-1"/>
        </w:rPr>
        <w:t xml:space="preserve"> </w:t>
      </w:r>
      <w:r w:rsidRPr="00701B75">
        <w:rPr>
          <w:rFonts w:eastAsia="Arial"/>
        </w:rPr>
        <w:t>Check</w:t>
      </w:r>
      <w:r w:rsidRPr="00701B75">
        <w:rPr>
          <w:rFonts w:eastAsia="Arial"/>
          <w:spacing w:val="-2"/>
        </w:rPr>
        <w:t xml:space="preserve"> </w:t>
      </w:r>
      <w:r w:rsidRPr="00701B75">
        <w:rPr>
          <w:rFonts w:eastAsia="Arial"/>
        </w:rPr>
        <w:t>all</w:t>
      </w:r>
      <w:r w:rsidRPr="00701B75">
        <w:rPr>
          <w:rFonts w:eastAsia="Arial"/>
          <w:spacing w:val="-1"/>
        </w:rPr>
        <w:t xml:space="preserve"> </w:t>
      </w:r>
      <w:r w:rsidRPr="00701B75">
        <w:rPr>
          <w:rFonts w:eastAsia="Arial"/>
        </w:rPr>
        <w:t>t</w:t>
      </w:r>
      <w:r w:rsidRPr="00701B75">
        <w:rPr>
          <w:rFonts w:eastAsia="Arial"/>
          <w:spacing w:val="-2"/>
        </w:rPr>
        <w:t>h</w:t>
      </w:r>
      <w:r w:rsidRPr="00701B75">
        <w:rPr>
          <w:rFonts w:eastAsia="Arial"/>
        </w:rPr>
        <w:t xml:space="preserve">at </w:t>
      </w:r>
      <w:r w:rsidRPr="00701B75">
        <w:rPr>
          <w:rFonts w:eastAsia="Arial"/>
          <w:spacing w:val="-2"/>
        </w:rPr>
        <w:t>a</w:t>
      </w:r>
      <w:r w:rsidRPr="00701B75">
        <w:rPr>
          <w:rFonts w:eastAsia="Arial"/>
        </w:rPr>
        <w:t>ppl</w:t>
      </w:r>
      <w:r w:rsidRPr="00701B75">
        <w:rPr>
          <w:rFonts w:eastAsia="Arial"/>
          <w:spacing w:val="-3"/>
        </w:rPr>
        <w:t>y.”</w:t>
      </w:r>
    </w:p>
    <w:p w:rsidR="00374809" w:rsidRPr="00701B75" w:rsidRDefault="00374809" w:rsidP="00B34381">
      <w:pPr>
        <w:numPr>
          <w:ilvl w:val="0"/>
          <w:numId w:val="3"/>
        </w:numPr>
        <w:spacing w:after="120" w:line="23" w:lineRule="atLeast"/>
      </w:pPr>
      <w:r w:rsidRPr="00701B75">
        <w:rPr>
          <w:rFonts w:eastAsia="Arial"/>
        </w:rPr>
        <w:t>Updated the question on DUNS numbers to remove the ‘DUNS+4’ option</w:t>
      </w:r>
    </w:p>
    <w:p w:rsidR="00374809" w:rsidRPr="00610AB1" w:rsidRDefault="00374809" w:rsidP="00B34381">
      <w:pPr>
        <w:spacing w:after="120" w:line="23" w:lineRule="atLeast"/>
        <w:ind w:left="720"/>
        <w:rPr>
          <w:sz w:val="2"/>
          <w:szCs w:val="2"/>
        </w:rPr>
      </w:pPr>
    </w:p>
    <w:p w:rsidR="00374809" w:rsidRDefault="00374809" w:rsidP="00B34381">
      <w:pPr>
        <w:spacing w:after="120" w:line="23" w:lineRule="atLeast"/>
      </w:pPr>
      <w:r>
        <w:t>In the “</w:t>
      </w:r>
      <w:r w:rsidRPr="00374809">
        <w:rPr>
          <w:i/>
        </w:rPr>
        <w:t>IPEDS 2016 AL Academic Libraries</w:t>
      </w:r>
      <w:r>
        <w:t>”</w:t>
      </w:r>
      <w:r w:rsidRPr="00374809">
        <w:t xml:space="preserve"> </w:t>
      </w:r>
      <w:r>
        <w:t xml:space="preserve">document (based on public comments and </w:t>
      </w:r>
      <w:r w:rsidRPr="00637CB3">
        <w:t xml:space="preserve">on guidance from the Association of College and Research Libraries (ACRL) and Association of Research Libraries (ARL) Joint Advisory </w:t>
      </w:r>
      <w:r>
        <w:t>Task Force):</w:t>
      </w:r>
    </w:p>
    <w:p w:rsidR="00374809" w:rsidRDefault="00374809" w:rsidP="00B34381">
      <w:pPr>
        <w:numPr>
          <w:ilvl w:val="0"/>
          <w:numId w:val="3"/>
        </w:numPr>
        <w:spacing w:after="120" w:line="23" w:lineRule="atLeast"/>
      </w:pPr>
      <w:r w:rsidRPr="00637CB3">
        <w:t>Change</w:t>
      </w:r>
      <w:r w:rsidR="00527D19">
        <w:t>d</w:t>
      </w:r>
      <w:r w:rsidRPr="00637CB3">
        <w:t xml:space="preserve"> name of Section I from Library Collections/Circulation to Library Collections/Circulation and Interlibrary Loan Services</w:t>
      </w:r>
    </w:p>
    <w:p w:rsidR="00942A16" w:rsidRDefault="00FB4B80" w:rsidP="00B34381">
      <w:pPr>
        <w:numPr>
          <w:ilvl w:val="0"/>
          <w:numId w:val="3"/>
        </w:numPr>
        <w:spacing w:after="120" w:line="23" w:lineRule="atLeast"/>
      </w:pPr>
      <w:r>
        <w:t>Change</w:t>
      </w:r>
      <w:r w:rsidR="00527D19">
        <w:t>d</w:t>
      </w:r>
      <w:r w:rsidR="00374809">
        <w:t xml:space="preserve"> instructions for AL Section I</w:t>
      </w:r>
      <w:r w:rsidR="00942A16">
        <w:t xml:space="preserve"> for physical books; physical media; physical serials; digital/electronic books; digital/electronic serials; physical circulation; and digital/electronic circulation or usage.</w:t>
      </w:r>
    </w:p>
    <w:p w:rsidR="00374809" w:rsidRDefault="00942A16" w:rsidP="00B34381">
      <w:pPr>
        <w:numPr>
          <w:ilvl w:val="0"/>
          <w:numId w:val="3"/>
        </w:numPr>
        <w:spacing w:after="120" w:line="23" w:lineRule="atLeast"/>
      </w:pPr>
      <w:r>
        <w:t>Cha</w:t>
      </w:r>
      <w:r w:rsidR="00FB4B80">
        <w:t>nge</w:t>
      </w:r>
      <w:r w:rsidR="00527D19">
        <w:t>d</w:t>
      </w:r>
      <w:r>
        <w:t xml:space="preserve"> instructions for </w:t>
      </w:r>
      <w:r w:rsidR="00374809">
        <w:t>AL Section II</w:t>
      </w:r>
      <w:r>
        <w:t xml:space="preserve"> for o</w:t>
      </w:r>
      <w:r w:rsidRPr="00942A16">
        <w:t>ne-time purchases of books, serial back-files, and other materials; ongoing commitments to subscriptions; other materials/service cost; all other operations and maintenance expenses</w:t>
      </w:r>
    </w:p>
    <w:p w:rsidR="00374809" w:rsidRPr="00610AB1" w:rsidRDefault="00374809" w:rsidP="00B34381">
      <w:pPr>
        <w:numPr>
          <w:ilvl w:val="0"/>
          <w:numId w:val="3"/>
        </w:numPr>
        <w:spacing w:after="120" w:line="23" w:lineRule="atLeast"/>
      </w:pPr>
      <w:r>
        <w:t>Add</w:t>
      </w:r>
      <w:r w:rsidR="00527D19">
        <w:t>ed</w:t>
      </w:r>
      <w:r>
        <w:t xml:space="preserve"> a definition for Interlibrary Loan Services</w:t>
      </w:r>
    </w:p>
    <w:p w:rsidR="00374809" w:rsidRDefault="00374809" w:rsidP="00B34381">
      <w:pPr>
        <w:spacing w:after="120" w:line="23" w:lineRule="atLeast"/>
      </w:pPr>
      <w:r>
        <w:t>In the “</w:t>
      </w:r>
      <w:r w:rsidRPr="00374809">
        <w:rPr>
          <w:i/>
        </w:rPr>
        <w:t>IPEDS 2016 F Finance</w:t>
      </w:r>
      <w:r>
        <w:t>” document (</w:t>
      </w:r>
      <w:r w:rsidR="00B34381">
        <w:t xml:space="preserve">based on public comments </w:t>
      </w:r>
      <w:r>
        <w:t>and further discussion with that National Association of College and University Business Officers (NACUBO)</w:t>
      </w:r>
      <w:r w:rsidR="00B34381">
        <w:t>):</w:t>
      </w:r>
    </w:p>
    <w:p w:rsidR="00374809" w:rsidRDefault="00374809" w:rsidP="00B34381">
      <w:pPr>
        <w:numPr>
          <w:ilvl w:val="0"/>
          <w:numId w:val="3"/>
        </w:numPr>
        <w:spacing w:after="120" w:line="23" w:lineRule="atLeast"/>
      </w:pPr>
      <w:r w:rsidRPr="001D4987">
        <w:t xml:space="preserve">In order to better align with the display of financial information on the institution’s General Purpose Financial Statement – which shows deferrals as separate items from assets and liabilities </w:t>
      </w:r>
      <w:r w:rsidRPr="001D4987">
        <w:lastRenderedPageBreak/>
        <w:t>– NCES has add</w:t>
      </w:r>
      <w:r>
        <w:t>ed</w:t>
      </w:r>
      <w:r w:rsidRPr="001D4987">
        <w:t xml:space="preserve"> two fields to collect “deferred outflows of resources” and “deferred inflows of resources” separately.</w:t>
      </w:r>
    </w:p>
    <w:p w:rsidR="00C02112" w:rsidRDefault="00C02112" w:rsidP="00B34381">
      <w:pPr>
        <w:numPr>
          <w:ilvl w:val="0"/>
          <w:numId w:val="3"/>
        </w:numPr>
        <w:spacing w:after="120" w:line="23" w:lineRule="atLeast"/>
      </w:pPr>
      <w:r>
        <w:t>Deleted the originally proposed removal from the Scholarship and Fellowship screen of institutional grants</w:t>
      </w:r>
    </w:p>
    <w:p w:rsidR="00374809" w:rsidRDefault="00C02112" w:rsidP="00B34381">
      <w:pPr>
        <w:numPr>
          <w:ilvl w:val="0"/>
          <w:numId w:val="3"/>
        </w:numPr>
        <w:spacing w:after="120" w:line="23" w:lineRule="atLeast"/>
      </w:pPr>
      <w:r>
        <w:t>Removed t</w:t>
      </w:r>
      <w:r w:rsidR="00D545A6">
        <w:t xml:space="preserve">he </w:t>
      </w:r>
      <w:r w:rsidR="00116774">
        <w:t xml:space="preserve">originally proposed </w:t>
      </w:r>
      <w:r w:rsidR="00D545A6">
        <w:t>additions</w:t>
      </w:r>
      <w:r w:rsidR="00374809">
        <w:t xml:space="preserve"> to the Scholarship and Fello</w:t>
      </w:r>
      <w:r w:rsidR="00D545A6">
        <w:t>wship screen:</w:t>
      </w:r>
    </w:p>
    <w:p w:rsidR="00D545A6" w:rsidRDefault="00D545A6" w:rsidP="00D545A6">
      <w:pPr>
        <w:pStyle w:val="ListParagraph"/>
        <w:numPr>
          <w:ilvl w:val="1"/>
          <w:numId w:val="3"/>
        </w:numPr>
        <w:spacing w:after="120" w:line="23" w:lineRule="atLeast"/>
        <w:contextualSpacing w:val="0"/>
      </w:pPr>
      <w:r>
        <w:t>Institutional Grants (unrestricted and restricted)</w:t>
      </w:r>
    </w:p>
    <w:p w:rsidR="00D545A6" w:rsidRDefault="00D545A6" w:rsidP="00D545A6">
      <w:pPr>
        <w:pStyle w:val="ListParagraph"/>
        <w:numPr>
          <w:ilvl w:val="1"/>
          <w:numId w:val="3"/>
        </w:numPr>
        <w:spacing w:after="120" w:line="23" w:lineRule="atLeast"/>
        <w:contextualSpacing w:val="0"/>
      </w:pPr>
      <w:r>
        <w:t>Sources of discounts/allowances applied to tuition and fees</w:t>
      </w:r>
    </w:p>
    <w:p w:rsidR="00D545A6" w:rsidRDefault="00D545A6" w:rsidP="00D545A6">
      <w:pPr>
        <w:pStyle w:val="ListParagraph"/>
        <w:numPr>
          <w:ilvl w:val="1"/>
          <w:numId w:val="3"/>
        </w:numPr>
        <w:spacing w:after="120" w:line="23" w:lineRule="atLeast"/>
        <w:contextualSpacing w:val="0"/>
      </w:pPr>
      <w:r>
        <w:t>Other sources; calculated from Discounts and allowances applied tuition and fees</w:t>
      </w:r>
      <w:r w:rsidR="00701B75">
        <w:t xml:space="preserve"> minu</w:t>
      </w:r>
      <w:r>
        <w:t>s the sum of Pell Grants, Other grants (federal, state, and local), Gifts (restricted and unrestricted), and True and Quasi endowments</w:t>
      </w:r>
    </w:p>
    <w:p w:rsidR="00374809" w:rsidRDefault="00B34381" w:rsidP="00B34381">
      <w:pPr>
        <w:spacing w:after="120" w:line="23" w:lineRule="atLeast"/>
      </w:pPr>
      <w:r>
        <w:t>I</w:t>
      </w:r>
      <w:r w:rsidR="00374809">
        <w:t>n the</w:t>
      </w:r>
      <w:r>
        <w:t xml:space="preserve"> “</w:t>
      </w:r>
      <w:r w:rsidR="00374809" w:rsidRPr="00B34381">
        <w:rPr>
          <w:i/>
        </w:rPr>
        <w:t>IPEDS 2016 EF Fall Enrollment</w:t>
      </w:r>
      <w:r w:rsidR="00374809">
        <w:t>” document</w:t>
      </w:r>
      <w:r>
        <w:t>:</w:t>
      </w:r>
    </w:p>
    <w:p w:rsidR="00374809" w:rsidRDefault="00233B46" w:rsidP="00BE09F3">
      <w:pPr>
        <w:widowControl w:val="0"/>
        <w:numPr>
          <w:ilvl w:val="0"/>
          <w:numId w:val="3"/>
        </w:numPr>
        <w:spacing w:after="120" w:line="23" w:lineRule="atLeast"/>
      </w:pPr>
      <w:r>
        <w:t>R</w:t>
      </w:r>
      <w:r w:rsidR="00D545A6">
        <w:t xml:space="preserve">evised to reflect </w:t>
      </w:r>
      <w:r w:rsidR="00701B75">
        <w:t>the screen</w:t>
      </w:r>
      <w:r w:rsidR="00D545A6">
        <w:t xml:space="preserve"> change indicated in Part A</w:t>
      </w:r>
      <w:r w:rsidR="00374809">
        <w:t xml:space="preserve"> </w:t>
      </w:r>
      <w:r w:rsidR="00701B75">
        <w:t xml:space="preserve">that was </w:t>
      </w:r>
      <w:r w:rsidR="001F54C3">
        <w:t xml:space="preserve">accidentally not reflected in the pdf </w:t>
      </w:r>
      <w:r w:rsidR="00D545A6">
        <w:t xml:space="preserve">document </w:t>
      </w:r>
      <w:r w:rsidR="001F54C3">
        <w:t xml:space="preserve">for EF </w:t>
      </w:r>
      <w:r w:rsidR="00D545A6">
        <w:t>during the 60 day comment period</w:t>
      </w:r>
      <w:r w:rsidR="00374809">
        <w:t>.</w:t>
      </w:r>
      <w:r w:rsidR="00701B75">
        <w:t xml:space="preserve"> </w:t>
      </w:r>
    </w:p>
    <w:p w:rsidR="00374809" w:rsidRDefault="00B34381" w:rsidP="00B34381">
      <w:pPr>
        <w:spacing w:after="120" w:line="23" w:lineRule="atLeast"/>
      </w:pPr>
      <w:r>
        <w:t>I</w:t>
      </w:r>
      <w:r w:rsidR="00374809">
        <w:t xml:space="preserve">n the </w:t>
      </w:r>
      <w:r>
        <w:t>“</w:t>
      </w:r>
      <w:r w:rsidR="00374809" w:rsidRPr="00B34381">
        <w:rPr>
          <w:i/>
        </w:rPr>
        <w:t>IPEDS 2016 OM Outcome Measures</w:t>
      </w:r>
      <w:r w:rsidR="00374809">
        <w:t>” document</w:t>
      </w:r>
      <w:r>
        <w:t xml:space="preserve"> (</w:t>
      </w:r>
      <w:r w:rsidR="00116774">
        <w:t xml:space="preserve">to reflect the proposed </w:t>
      </w:r>
      <w:r w:rsidR="000A76E2">
        <w:t xml:space="preserve">additional data collection and </w:t>
      </w:r>
      <w:r w:rsidR="00374809">
        <w:t>to improve the clarity of the screen and improve d</w:t>
      </w:r>
      <w:r>
        <w:t>ata quality):</w:t>
      </w:r>
    </w:p>
    <w:p w:rsidR="00374809" w:rsidRDefault="00233B46" w:rsidP="00B34381">
      <w:pPr>
        <w:numPr>
          <w:ilvl w:val="0"/>
          <w:numId w:val="3"/>
        </w:numPr>
        <w:spacing w:after="120" w:line="23" w:lineRule="atLeast"/>
      </w:pPr>
      <w:r>
        <w:t>Added</w:t>
      </w:r>
      <w:r w:rsidR="00374809">
        <w:t xml:space="preserve"> a calculated field that shows the non-Pell recipients</w:t>
      </w:r>
      <w:r w:rsidR="002C17E1">
        <w:t>,</w:t>
      </w:r>
      <w:r w:rsidR="00374809">
        <w:t xml:space="preserve"> to serve as a comparison for Pell recipients</w:t>
      </w:r>
      <w:r w:rsidR="000A76E2">
        <w:t xml:space="preserve"> (2016-17)</w:t>
      </w:r>
      <w:r w:rsidR="00374809">
        <w:t>.</w:t>
      </w:r>
    </w:p>
    <w:p w:rsidR="00374809" w:rsidRDefault="00BE09F3" w:rsidP="00B34381">
      <w:pPr>
        <w:pStyle w:val="ListParagraph"/>
        <w:numPr>
          <w:ilvl w:val="0"/>
          <w:numId w:val="3"/>
        </w:numPr>
        <w:spacing w:after="120" w:line="23" w:lineRule="atLeast"/>
        <w:contextualSpacing w:val="0"/>
      </w:pPr>
      <w:r>
        <w:t>For</w:t>
      </w:r>
      <w:r w:rsidR="00374809">
        <w:t xml:space="preserve"> the exclusions, clarif</w:t>
      </w:r>
      <w:r>
        <w:t xml:space="preserve">ied </w:t>
      </w:r>
      <w:r w:rsidR="00374809">
        <w:t>that foreign students should not be added back in to the cohort</w:t>
      </w:r>
      <w:r w:rsidR="000A76E2">
        <w:t xml:space="preserve"> (2016-17)</w:t>
      </w:r>
      <w:r w:rsidR="00374809">
        <w:t>.</w:t>
      </w:r>
    </w:p>
    <w:p w:rsidR="00C53D46" w:rsidRDefault="002C17E1" w:rsidP="00B34381">
      <w:pPr>
        <w:pStyle w:val="ListParagraph"/>
        <w:numPr>
          <w:ilvl w:val="0"/>
          <w:numId w:val="3"/>
        </w:numPr>
        <w:spacing w:after="120" w:line="23" w:lineRule="atLeast"/>
        <w:contextualSpacing w:val="0"/>
      </w:pPr>
      <w:r>
        <w:t>To address the comments related to the OM survey, c</w:t>
      </w:r>
      <w:r w:rsidR="00C53D46">
        <w:t xml:space="preserve">ommitted to holding a Technical Review Panel </w:t>
      </w:r>
      <w:r>
        <w:t xml:space="preserve">(TRP) </w:t>
      </w:r>
      <w:r w:rsidR="00C53D46">
        <w:t>in August 2016</w:t>
      </w:r>
      <w:r>
        <w:t xml:space="preserve"> to investigate</w:t>
      </w:r>
      <w:r w:rsidR="00C53D46">
        <w:t>:</w:t>
      </w:r>
    </w:p>
    <w:p w:rsidR="00C53D46" w:rsidRDefault="002C17E1" w:rsidP="002C17E1">
      <w:pPr>
        <w:pStyle w:val="ListParagraph"/>
        <w:numPr>
          <w:ilvl w:val="1"/>
          <w:numId w:val="3"/>
        </w:numPr>
        <w:spacing w:after="60" w:line="23" w:lineRule="atLeast"/>
        <w:contextualSpacing w:val="0"/>
      </w:pPr>
      <w:r>
        <w:t>A</w:t>
      </w:r>
      <w:r w:rsidR="00C53D46">
        <w:t xml:space="preserve">dding four sub-cohorts for Pell recipients to begin in 2017-18: </w:t>
      </w:r>
    </w:p>
    <w:p w:rsidR="000A76E2" w:rsidRDefault="000A76E2" w:rsidP="002C17E1">
      <w:pPr>
        <w:pStyle w:val="ListParagraph"/>
        <w:numPr>
          <w:ilvl w:val="2"/>
          <w:numId w:val="3"/>
        </w:numPr>
        <w:spacing w:after="60" w:line="23" w:lineRule="atLeast"/>
        <w:contextualSpacing w:val="0"/>
      </w:pPr>
      <w:r>
        <w:t>Full-time, first-time entering Pell recipients students that receive Pell</w:t>
      </w:r>
    </w:p>
    <w:p w:rsidR="00B120C7" w:rsidRDefault="00B120C7" w:rsidP="002C17E1">
      <w:pPr>
        <w:pStyle w:val="ListParagraph"/>
        <w:numPr>
          <w:ilvl w:val="2"/>
          <w:numId w:val="3"/>
        </w:numPr>
        <w:spacing w:after="60" w:line="23" w:lineRule="atLeast"/>
        <w:contextualSpacing w:val="0"/>
      </w:pPr>
      <w:r>
        <w:t>Part-time, first-time entering Pell recipients students that receive Pell</w:t>
      </w:r>
    </w:p>
    <w:p w:rsidR="00B120C7" w:rsidRDefault="00B120C7" w:rsidP="002C17E1">
      <w:pPr>
        <w:pStyle w:val="ListParagraph"/>
        <w:numPr>
          <w:ilvl w:val="2"/>
          <w:numId w:val="3"/>
        </w:numPr>
        <w:spacing w:after="60" w:line="23" w:lineRule="atLeast"/>
        <w:contextualSpacing w:val="0"/>
      </w:pPr>
      <w:r>
        <w:t>Full-time, non-first-time entering Pell recipients students that receive Pell</w:t>
      </w:r>
    </w:p>
    <w:p w:rsidR="00B120C7" w:rsidRDefault="00B120C7" w:rsidP="00FC6C5E">
      <w:pPr>
        <w:pStyle w:val="ListParagraph"/>
        <w:numPr>
          <w:ilvl w:val="2"/>
          <w:numId w:val="3"/>
        </w:numPr>
        <w:spacing w:after="120" w:line="23" w:lineRule="atLeast"/>
        <w:contextualSpacing w:val="0"/>
      </w:pPr>
      <w:r>
        <w:t>Part-time, non-first-time entering Pell recipients students that receive Pell</w:t>
      </w:r>
    </w:p>
    <w:p w:rsidR="00C53D46" w:rsidRDefault="002C17E1" w:rsidP="00C53D46">
      <w:pPr>
        <w:pStyle w:val="ListParagraph"/>
        <w:numPr>
          <w:ilvl w:val="1"/>
          <w:numId w:val="3"/>
        </w:numPr>
        <w:spacing w:after="120" w:line="23" w:lineRule="atLeast"/>
        <w:contextualSpacing w:val="0"/>
      </w:pPr>
      <w:r>
        <w:t>R</w:t>
      </w:r>
      <w:r w:rsidR="00C53D46">
        <w:t>equiring all institutions completing IPEDS to complete OM instead of only degree granting institutions.</w:t>
      </w:r>
    </w:p>
    <w:p w:rsidR="00C53D46" w:rsidRDefault="002C17E1" w:rsidP="00C53D46">
      <w:pPr>
        <w:pStyle w:val="ListParagraph"/>
        <w:numPr>
          <w:ilvl w:val="1"/>
          <w:numId w:val="3"/>
        </w:numPr>
        <w:spacing w:after="120" w:line="23" w:lineRule="atLeast"/>
        <w:contextualSpacing w:val="0"/>
      </w:pPr>
      <w:r>
        <w:t>T</w:t>
      </w:r>
      <w:r w:rsidR="00EF05DE">
        <w:t>he definition of Pell recipient as those who receive Pell in their first year versus those that receive Pell grant any time during their enrollment time at the reporting institution.</w:t>
      </w:r>
    </w:p>
    <w:p w:rsidR="002C17E1" w:rsidRDefault="002C17E1" w:rsidP="002C17E1">
      <w:pPr>
        <w:pStyle w:val="ListParagraph"/>
        <w:numPr>
          <w:ilvl w:val="0"/>
          <w:numId w:val="3"/>
        </w:numPr>
        <w:spacing w:after="120" w:line="23" w:lineRule="atLeast"/>
        <w:contextualSpacing w:val="0"/>
      </w:pPr>
      <w:r>
        <w:t xml:space="preserve">Also committed to submitting a clearance request to OMB in the fall of 2016 (with two associated public comment periods) </w:t>
      </w:r>
      <w:r w:rsidR="00B02234">
        <w:t>for</w:t>
      </w:r>
      <w:r>
        <w:t xml:space="preserve"> proposed amendments to the OM collection as informed by the planned August 2016 TRP</w:t>
      </w:r>
      <w:r w:rsidR="00B02234">
        <w:t xml:space="preserve"> and response to its subsequent report</w:t>
      </w:r>
      <w:r>
        <w:t>.</w:t>
      </w:r>
    </w:p>
    <w:p w:rsidR="00374809" w:rsidRDefault="00B34381" w:rsidP="00B34381">
      <w:pPr>
        <w:spacing w:after="120" w:line="23" w:lineRule="atLeast"/>
      </w:pPr>
      <w:r>
        <w:t>I</w:t>
      </w:r>
      <w:r w:rsidR="00374809">
        <w:t>n the</w:t>
      </w:r>
      <w:r>
        <w:t xml:space="preserve"> “</w:t>
      </w:r>
      <w:r w:rsidR="00374809" w:rsidRPr="00B34381">
        <w:rPr>
          <w:i/>
        </w:rPr>
        <w:t>IPEDS 2016 HR Human Resources</w:t>
      </w:r>
      <w:r w:rsidR="00374809">
        <w:t>” document</w:t>
      </w:r>
      <w:r>
        <w:t>:</w:t>
      </w:r>
    </w:p>
    <w:p w:rsidR="00374809" w:rsidRDefault="00374809" w:rsidP="00B34381">
      <w:pPr>
        <w:pStyle w:val="ListParagraph"/>
        <w:numPr>
          <w:ilvl w:val="0"/>
          <w:numId w:val="3"/>
        </w:numPr>
        <w:spacing w:after="120" w:line="23" w:lineRule="atLeast"/>
        <w:contextualSpacing w:val="0"/>
      </w:pPr>
      <w:r>
        <w:t xml:space="preserve">For Part G, there will not be a collection for the salary outlays separately by contract length/employment agreement (9-month, 10-month, 11-month, </w:t>
      </w:r>
      <w:proofErr w:type="gramStart"/>
      <w:r>
        <w:t>12</w:t>
      </w:r>
      <w:proofErr w:type="gramEnd"/>
      <w:r>
        <w:t>-month) for full-time, non-medical school, non-instructional staff at the institution by occupational category.</w:t>
      </w:r>
      <w:r w:rsidR="00FB4B80">
        <w:t xml:space="preserve"> This was accidentally included in the package d</w:t>
      </w:r>
      <w:r w:rsidR="00233B46">
        <w:t>uring the 60 day comment period and has been removed from pdf document for HR.</w:t>
      </w:r>
    </w:p>
    <w:p w:rsidR="00374809" w:rsidRDefault="00B34381" w:rsidP="00B34381">
      <w:pPr>
        <w:spacing w:after="120" w:line="23" w:lineRule="atLeast"/>
      </w:pPr>
      <w:r>
        <w:lastRenderedPageBreak/>
        <w:t>In</w:t>
      </w:r>
      <w:r w:rsidR="00374809">
        <w:t xml:space="preserve"> the </w:t>
      </w:r>
      <w:r>
        <w:t>“</w:t>
      </w:r>
      <w:r w:rsidR="00374809" w:rsidRPr="00B34381">
        <w:rPr>
          <w:i/>
        </w:rPr>
        <w:t>IPEDS 2016 GR Graduation Rates</w:t>
      </w:r>
      <w:r w:rsidR="00374809">
        <w:t>” document</w:t>
      </w:r>
      <w:r>
        <w:t xml:space="preserve"> (</w:t>
      </w:r>
      <w:r w:rsidR="00116774">
        <w:t xml:space="preserve">to reflect the proposed additional data collection </w:t>
      </w:r>
      <w:r w:rsidR="00964205">
        <w:t xml:space="preserve">and </w:t>
      </w:r>
      <w:r>
        <w:t>to clarify instructions):</w:t>
      </w:r>
    </w:p>
    <w:p w:rsidR="00D87863" w:rsidRDefault="00B34381" w:rsidP="00B34381">
      <w:pPr>
        <w:pStyle w:val="ListParagraph"/>
        <w:numPr>
          <w:ilvl w:val="0"/>
          <w:numId w:val="3"/>
        </w:numPr>
        <w:spacing w:after="120" w:line="23" w:lineRule="atLeast"/>
        <w:contextualSpacing w:val="0"/>
      </w:pPr>
      <w:r>
        <w:t>For</w:t>
      </w:r>
      <w:r w:rsidR="00374809">
        <w:t xml:space="preserve"> the exclusions, clarif</w:t>
      </w:r>
      <w:r>
        <w:t>ied</w:t>
      </w:r>
      <w:r w:rsidR="00374809">
        <w:t xml:space="preserve"> that foreign students should not be added back in to the cohort.</w:t>
      </w:r>
    </w:p>
    <w:p w:rsidR="00964205" w:rsidRDefault="00964205" w:rsidP="00B34381">
      <w:pPr>
        <w:pStyle w:val="ListParagraph"/>
        <w:numPr>
          <w:ilvl w:val="0"/>
          <w:numId w:val="3"/>
        </w:numPr>
        <w:spacing w:after="120" w:line="23" w:lineRule="atLeast"/>
        <w:contextualSpacing w:val="0"/>
      </w:pPr>
      <w:r>
        <w:t xml:space="preserve">Added the collection of number of students, exclusions, and completers within 150% for 2 new cohorts of students (this reporting is currently a required disclosure </w:t>
      </w:r>
      <w:r w:rsidR="00116774">
        <w:t>per</w:t>
      </w:r>
      <w:r>
        <w:t xml:space="preserve"> the Higher Education Act, as amended):</w:t>
      </w:r>
    </w:p>
    <w:p w:rsidR="00964205" w:rsidRDefault="00964205" w:rsidP="00964205">
      <w:pPr>
        <w:pStyle w:val="ListParagraph"/>
        <w:numPr>
          <w:ilvl w:val="1"/>
          <w:numId w:val="3"/>
        </w:numPr>
        <w:spacing w:after="120" w:line="23" w:lineRule="atLeast"/>
        <w:contextualSpacing w:val="0"/>
      </w:pPr>
      <w:r>
        <w:t xml:space="preserve">Recipients of a Pell Grant </w:t>
      </w:r>
    </w:p>
    <w:p w:rsidR="00964205" w:rsidRDefault="00964205" w:rsidP="00964205">
      <w:pPr>
        <w:pStyle w:val="ListParagraph"/>
        <w:numPr>
          <w:ilvl w:val="1"/>
          <w:numId w:val="3"/>
        </w:numPr>
        <w:spacing w:after="120" w:line="23" w:lineRule="atLeast"/>
        <w:contextualSpacing w:val="0"/>
      </w:pPr>
      <w:r>
        <w:t>Recipients of a Subsidized Stafford Loan that did not receive a Pell Grant</w:t>
      </w:r>
    </w:p>
    <w:p w:rsidR="00EF05DE" w:rsidRDefault="00EF05DE" w:rsidP="00FC6C5E">
      <w:pPr>
        <w:pStyle w:val="ListParagraph"/>
        <w:numPr>
          <w:ilvl w:val="0"/>
          <w:numId w:val="3"/>
        </w:numPr>
        <w:spacing w:after="120" w:line="23" w:lineRule="atLeast"/>
        <w:contextualSpacing w:val="0"/>
      </w:pPr>
      <w:r>
        <w:t xml:space="preserve">Added a plan to get input from experts and to submit a clearance </w:t>
      </w:r>
      <w:r w:rsidR="002C17E1">
        <w:t xml:space="preserve">request </w:t>
      </w:r>
      <w:r>
        <w:t xml:space="preserve">to OMB to update instructions and definitions. This </w:t>
      </w:r>
      <w:r w:rsidR="002C17E1">
        <w:t>will</w:t>
      </w:r>
      <w:r>
        <w:t xml:space="preserve"> include a 30-day </w:t>
      </w:r>
      <w:r w:rsidR="002C17E1">
        <w:t>public</w:t>
      </w:r>
      <w:r>
        <w:t xml:space="preserve"> comm</w:t>
      </w:r>
      <w:r w:rsidR="002C17E1">
        <w:t>ent period.</w:t>
      </w:r>
    </w:p>
    <w:sectPr w:rsidR="00EF05DE" w:rsidSect="00B34381">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B17" w:rsidRDefault="00325B17" w:rsidP="00B34381">
      <w:r>
        <w:separator/>
      </w:r>
    </w:p>
  </w:endnote>
  <w:endnote w:type="continuationSeparator" w:id="0">
    <w:p w:rsidR="00325B17" w:rsidRDefault="00325B17" w:rsidP="00B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B17" w:rsidRDefault="00325B17" w:rsidP="00B34381">
      <w:r>
        <w:separator/>
      </w:r>
    </w:p>
  </w:footnote>
  <w:footnote w:type="continuationSeparator" w:id="0">
    <w:p w:rsidR="00325B17" w:rsidRDefault="00325B17" w:rsidP="00B34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E0531"/>
    <w:multiLevelType w:val="hybridMultilevel"/>
    <w:tmpl w:val="9FDC3EFA"/>
    <w:lvl w:ilvl="0" w:tplc="C13A677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2E490D"/>
    <w:multiLevelType w:val="hybridMultilevel"/>
    <w:tmpl w:val="7AD25A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72027F"/>
    <w:multiLevelType w:val="hybridMultilevel"/>
    <w:tmpl w:val="C7DE25B6"/>
    <w:lvl w:ilvl="0" w:tplc="593E0DC6">
      <w:start w:val="1"/>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39"/>
    <w:rsid w:val="000A76E2"/>
    <w:rsid w:val="00116774"/>
    <w:rsid w:val="001F54C3"/>
    <w:rsid w:val="00233B46"/>
    <w:rsid w:val="0024231F"/>
    <w:rsid w:val="00285539"/>
    <w:rsid w:val="00296904"/>
    <w:rsid w:val="002A576B"/>
    <w:rsid w:val="002C17E1"/>
    <w:rsid w:val="002C1A03"/>
    <w:rsid w:val="00301143"/>
    <w:rsid w:val="00325B17"/>
    <w:rsid w:val="0036375D"/>
    <w:rsid w:val="00365D41"/>
    <w:rsid w:val="00374809"/>
    <w:rsid w:val="003F1AC0"/>
    <w:rsid w:val="004166C4"/>
    <w:rsid w:val="004666F3"/>
    <w:rsid w:val="0049412C"/>
    <w:rsid w:val="00527D19"/>
    <w:rsid w:val="00590767"/>
    <w:rsid w:val="00697C03"/>
    <w:rsid w:val="00701B75"/>
    <w:rsid w:val="007D0727"/>
    <w:rsid w:val="007D6399"/>
    <w:rsid w:val="00901C90"/>
    <w:rsid w:val="00942A16"/>
    <w:rsid w:val="00964205"/>
    <w:rsid w:val="00A73238"/>
    <w:rsid w:val="00B02234"/>
    <w:rsid w:val="00B120C7"/>
    <w:rsid w:val="00B34381"/>
    <w:rsid w:val="00BE09F3"/>
    <w:rsid w:val="00C02112"/>
    <w:rsid w:val="00C53D46"/>
    <w:rsid w:val="00C90F91"/>
    <w:rsid w:val="00D14F3D"/>
    <w:rsid w:val="00D32B6B"/>
    <w:rsid w:val="00D545A6"/>
    <w:rsid w:val="00D87863"/>
    <w:rsid w:val="00DB4C89"/>
    <w:rsid w:val="00E43E7E"/>
    <w:rsid w:val="00E96F0A"/>
    <w:rsid w:val="00EA0484"/>
    <w:rsid w:val="00EB072A"/>
    <w:rsid w:val="00EC6CDB"/>
    <w:rsid w:val="00EF05DE"/>
    <w:rsid w:val="00F02C59"/>
    <w:rsid w:val="00F10813"/>
    <w:rsid w:val="00F64B44"/>
    <w:rsid w:val="00F97C0B"/>
    <w:rsid w:val="00FB4B80"/>
    <w:rsid w:val="00FB649D"/>
    <w:rsid w:val="00FC2C17"/>
    <w:rsid w:val="00FC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5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CDB"/>
    <w:pPr>
      <w:ind w:left="720"/>
      <w:contextualSpacing/>
    </w:pPr>
  </w:style>
  <w:style w:type="character" w:styleId="CommentReference">
    <w:name w:val="annotation reference"/>
    <w:basedOn w:val="DefaultParagraphFont"/>
    <w:uiPriority w:val="99"/>
    <w:semiHidden/>
    <w:unhideWhenUsed/>
    <w:rsid w:val="003F1AC0"/>
    <w:rPr>
      <w:sz w:val="16"/>
      <w:szCs w:val="16"/>
    </w:rPr>
  </w:style>
  <w:style w:type="paragraph" w:styleId="CommentText">
    <w:name w:val="annotation text"/>
    <w:basedOn w:val="Normal"/>
    <w:link w:val="CommentTextChar"/>
    <w:uiPriority w:val="99"/>
    <w:unhideWhenUsed/>
    <w:rsid w:val="003F1AC0"/>
    <w:rPr>
      <w:sz w:val="20"/>
      <w:szCs w:val="20"/>
    </w:rPr>
  </w:style>
  <w:style w:type="character" w:customStyle="1" w:styleId="CommentTextChar">
    <w:name w:val="Comment Text Char"/>
    <w:basedOn w:val="DefaultParagraphFont"/>
    <w:link w:val="CommentText"/>
    <w:uiPriority w:val="99"/>
    <w:rsid w:val="003F1A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1AC0"/>
    <w:rPr>
      <w:b/>
      <w:bCs/>
    </w:rPr>
  </w:style>
  <w:style w:type="character" w:customStyle="1" w:styleId="CommentSubjectChar">
    <w:name w:val="Comment Subject Char"/>
    <w:basedOn w:val="CommentTextChar"/>
    <w:link w:val="CommentSubject"/>
    <w:uiPriority w:val="99"/>
    <w:semiHidden/>
    <w:rsid w:val="003F1A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1AC0"/>
    <w:rPr>
      <w:rFonts w:ascii="Tahoma" w:hAnsi="Tahoma" w:cs="Tahoma"/>
      <w:sz w:val="16"/>
      <w:szCs w:val="16"/>
    </w:rPr>
  </w:style>
  <w:style w:type="character" w:customStyle="1" w:styleId="BalloonTextChar">
    <w:name w:val="Balloon Text Char"/>
    <w:basedOn w:val="DefaultParagraphFont"/>
    <w:link w:val="BalloonText"/>
    <w:uiPriority w:val="99"/>
    <w:semiHidden/>
    <w:rsid w:val="003F1AC0"/>
    <w:rPr>
      <w:rFonts w:ascii="Tahoma" w:eastAsia="Times New Roman" w:hAnsi="Tahoma" w:cs="Tahoma"/>
      <w:sz w:val="16"/>
      <w:szCs w:val="16"/>
    </w:rPr>
  </w:style>
  <w:style w:type="paragraph" w:styleId="Title">
    <w:name w:val="Title"/>
    <w:basedOn w:val="Normal"/>
    <w:link w:val="TitleChar"/>
    <w:uiPriority w:val="99"/>
    <w:qFormat/>
    <w:rsid w:val="007D6399"/>
    <w:pPr>
      <w:jc w:val="center"/>
    </w:pPr>
    <w:rPr>
      <w:b/>
      <w:szCs w:val="20"/>
    </w:rPr>
  </w:style>
  <w:style w:type="character" w:customStyle="1" w:styleId="TitleChar">
    <w:name w:val="Title Char"/>
    <w:basedOn w:val="DefaultParagraphFont"/>
    <w:link w:val="Title"/>
    <w:uiPriority w:val="99"/>
    <w:rsid w:val="007D6399"/>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B34381"/>
    <w:pPr>
      <w:tabs>
        <w:tab w:val="center" w:pos="4680"/>
        <w:tab w:val="right" w:pos="9360"/>
      </w:tabs>
    </w:pPr>
  </w:style>
  <w:style w:type="character" w:customStyle="1" w:styleId="HeaderChar">
    <w:name w:val="Header Char"/>
    <w:basedOn w:val="DefaultParagraphFont"/>
    <w:link w:val="Header"/>
    <w:uiPriority w:val="99"/>
    <w:rsid w:val="00B343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4381"/>
    <w:pPr>
      <w:tabs>
        <w:tab w:val="center" w:pos="4680"/>
        <w:tab w:val="right" w:pos="9360"/>
      </w:tabs>
    </w:pPr>
  </w:style>
  <w:style w:type="character" w:customStyle="1" w:styleId="FooterChar">
    <w:name w:val="Footer Char"/>
    <w:basedOn w:val="DefaultParagraphFont"/>
    <w:link w:val="Footer"/>
    <w:uiPriority w:val="99"/>
    <w:rsid w:val="00B3438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5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CDB"/>
    <w:pPr>
      <w:ind w:left="720"/>
      <w:contextualSpacing/>
    </w:pPr>
  </w:style>
  <w:style w:type="character" w:styleId="CommentReference">
    <w:name w:val="annotation reference"/>
    <w:basedOn w:val="DefaultParagraphFont"/>
    <w:uiPriority w:val="99"/>
    <w:semiHidden/>
    <w:unhideWhenUsed/>
    <w:rsid w:val="003F1AC0"/>
    <w:rPr>
      <w:sz w:val="16"/>
      <w:szCs w:val="16"/>
    </w:rPr>
  </w:style>
  <w:style w:type="paragraph" w:styleId="CommentText">
    <w:name w:val="annotation text"/>
    <w:basedOn w:val="Normal"/>
    <w:link w:val="CommentTextChar"/>
    <w:uiPriority w:val="99"/>
    <w:unhideWhenUsed/>
    <w:rsid w:val="003F1AC0"/>
    <w:rPr>
      <w:sz w:val="20"/>
      <w:szCs w:val="20"/>
    </w:rPr>
  </w:style>
  <w:style w:type="character" w:customStyle="1" w:styleId="CommentTextChar">
    <w:name w:val="Comment Text Char"/>
    <w:basedOn w:val="DefaultParagraphFont"/>
    <w:link w:val="CommentText"/>
    <w:uiPriority w:val="99"/>
    <w:rsid w:val="003F1A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1AC0"/>
    <w:rPr>
      <w:b/>
      <w:bCs/>
    </w:rPr>
  </w:style>
  <w:style w:type="character" w:customStyle="1" w:styleId="CommentSubjectChar">
    <w:name w:val="Comment Subject Char"/>
    <w:basedOn w:val="CommentTextChar"/>
    <w:link w:val="CommentSubject"/>
    <w:uiPriority w:val="99"/>
    <w:semiHidden/>
    <w:rsid w:val="003F1A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1AC0"/>
    <w:rPr>
      <w:rFonts w:ascii="Tahoma" w:hAnsi="Tahoma" w:cs="Tahoma"/>
      <w:sz w:val="16"/>
      <w:szCs w:val="16"/>
    </w:rPr>
  </w:style>
  <w:style w:type="character" w:customStyle="1" w:styleId="BalloonTextChar">
    <w:name w:val="Balloon Text Char"/>
    <w:basedOn w:val="DefaultParagraphFont"/>
    <w:link w:val="BalloonText"/>
    <w:uiPriority w:val="99"/>
    <w:semiHidden/>
    <w:rsid w:val="003F1AC0"/>
    <w:rPr>
      <w:rFonts w:ascii="Tahoma" w:eastAsia="Times New Roman" w:hAnsi="Tahoma" w:cs="Tahoma"/>
      <w:sz w:val="16"/>
      <w:szCs w:val="16"/>
    </w:rPr>
  </w:style>
  <w:style w:type="paragraph" w:styleId="Title">
    <w:name w:val="Title"/>
    <w:basedOn w:val="Normal"/>
    <w:link w:val="TitleChar"/>
    <w:uiPriority w:val="99"/>
    <w:qFormat/>
    <w:rsid w:val="007D6399"/>
    <w:pPr>
      <w:jc w:val="center"/>
    </w:pPr>
    <w:rPr>
      <w:b/>
      <w:szCs w:val="20"/>
    </w:rPr>
  </w:style>
  <w:style w:type="character" w:customStyle="1" w:styleId="TitleChar">
    <w:name w:val="Title Char"/>
    <w:basedOn w:val="DefaultParagraphFont"/>
    <w:link w:val="Title"/>
    <w:uiPriority w:val="99"/>
    <w:rsid w:val="007D6399"/>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B34381"/>
    <w:pPr>
      <w:tabs>
        <w:tab w:val="center" w:pos="4680"/>
        <w:tab w:val="right" w:pos="9360"/>
      </w:tabs>
    </w:pPr>
  </w:style>
  <w:style w:type="character" w:customStyle="1" w:styleId="HeaderChar">
    <w:name w:val="Header Char"/>
    <w:basedOn w:val="DefaultParagraphFont"/>
    <w:link w:val="Header"/>
    <w:uiPriority w:val="99"/>
    <w:rsid w:val="00B343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4381"/>
    <w:pPr>
      <w:tabs>
        <w:tab w:val="center" w:pos="4680"/>
        <w:tab w:val="right" w:pos="9360"/>
      </w:tabs>
    </w:pPr>
  </w:style>
  <w:style w:type="character" w:customStyle="1" w:styleId="FooterChar">
    <w:name w:val="Footer Char"/>
    <w:basedOn w:val="DefaultParagraphFont"/>
    <w:link w:val="Footer"/>
    <w:uiPriority w:val="99"/>
    <w:rsid w:val="00B343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9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Reeves</dc:creator>
  <cp:lastModifiedBy>U.S. Department of Education</cp:lastModifiedBy>
  <cp:revision>4</cp:revision>
  <dcterms:created xsi:type="dcterms:W3CDTF">2016-06-15T19:56:00Z</dcterms:created>
  <dcterms:modified xsi:type="dcterms:W3CDTF">2016-06-17T14:36:00Z</dcterms:modified>
</cp:coreProperties>
</file>