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18" w:rsidRPr="00BA1318" w:rsidRDefault="00BA1318" w:rsidP="00BA1318">
      <w:pPr>
        <w:suppressAutoHyphens/>
        <w:spacing w:after="0" w:line="240" w:lineRule="auto"/>
        <w:jc w:val="center"/>
        <w:rPr>
          <w:rFonts w:eastAsia="Times New Roman" w:cs="Times New Roman"/>
          <w:b/>
          <w:szCs w:val="24"/>
        </w:rPr>
      </w:pPr>
      <w:bookmarkStart w:id="0" w:name="_GoBack"/>
      <w:bookmarkEnd w:id="0"/>
      <w:r w:rsidRPr="00BA1318">
        <w:rPr>
          <w:rFonts w:eastAsia="Times New Roman" w:cs="Times New Roman"/>
          <w:b/>
          <w:szCs w:val="24"/>
        </w:rPr>
        <w:t>SUPPORTING STATEMENT FOR NEW AND</w:t>
      </w:r>
    </w:p>
    <w:p w:rsidR="00BA1318" w:rsidRPr="00BA1318" w:rsidRDefault="00BA1318" w:rsidP="00BA1318">
      <w:pPr>
        <w:suppressAutoHyphens/>
        <w:spacing w:after="240" w:line="240" w:lineRule="auto"/>
        <w:jc w:val="center"/>
        <w:rPr>
          <w:rFonts w:eastAsia="Times New Roman" w:cs="Times New Roman"/>
          <w:b/>
          <w:szCs w:val="24"/>
        </w:rPr>
      </w:pPr>
      <w:r w:rsidRPr="00BA1318">
        <w:rPr>
          <w:rFonts w:eastAsia="Times New Roman" w:cs="Times New Roman"/>
          <w:b/>
          <w:szCs w:val="24"/>
        </w:rPr>
        <w:t>REVISED INFORMATION COLLECTIONS</w:t>
      </w:r>
    </w:p>
    <w:p w:rsidR="00BA1318" w:rsidRPr="00BA1318" w:rsidRDefault="00DA6809" w:rsidP="00BA1318">
      <w:pPr>
        <w:tabs>
          <w:tab w:val="center" w:pos="4680"/>
        </w:tabs>
        <w:suppressAutoHyphens/>
        <w:spacing w:after="240" w:line="240" w:lineRule="auto"/>
        <w:jc w:val="center"/>
        <w:rPr>
          <w:rFonts w:eastAsia="Times New Roman" w:cs="Times New Roman"/>
          <w:b/>
          <w:szCs w:val="24"/>
        </w:rPr>
      </w:pPr>
      <w:r>
        <w:rPr>
          <w:rFonts w:eastAsia="Times New Roman" w:cs="Times New Roman"/>
          <w:b/>
          <w:szCs w:val="24"/>
        </w:rPr>
        <w:t xml:space="preserve">OMB CONTROL NUMBERS </w:t>
      </w:r>
      <w:r w:rsidR="00487E41">
        <w:rPr>
          <w:rFonts w:eastAsia="Times New Roman" w:cs="Times New Roman"/>
          <w:b/>
          <w:szCs w:val="24"/>
        </w:rPr>
        <w:t xml:space="preserve">3038-0068, </w:t>
      </w:r>
      <w:r w:rsidR="00BA1318" w:rsidRPr="00BA1318">
        <w:rPr>
          <w:rFonts w:eastAsia="Times New Roman" w:cs="Times New Roman"/>
          <w:b/>
          <w:szCs w:val="24"/>
        </w:rPr>
        <w:t>3038-0083, and 3038-0088</w:t>
      </w:r>
    </w:p>
    <w:p w:rsidR="00BA1318" w:rsidRPr="00BA1318" w:rsidRDefault="00BA1318" w:rsidP="00BA1318">
      <w:pPr>
        <w:tabs>
          <w:tab w:val="center" w:pos="4680"/>
        </w:tabs>
        <w:suppressAutoHyphens/>
        <w:spacing w:after="0" w:line="240" w:lineRule="auto"/>
        <w:jc w:val="center"/>
        <w:rPr>
          <w:rFonts w:ascii="Arial Narrow" w:eastAsia="Times New Roman" w:hAnsi="Arial Narrow" w:cs="Times New Roman"/>
          <w:b/>
          <w:szCs w:val="24"/>
          <w:u w:val="single"/>
        </w:rPr>
      </w:pPr>
      <w:r w:rsidRPr="00BA1318">
        <w:rPr>
          <w:rFonts w:ascii="Arial Narrow" w:eastAsia="Times New Roman" w:hAnsi="Arial Narrow" w:cs="Times New Roman"/>
          <w:b/>
          <w:szCs w:val="24"/>
          <w:u w:val="single"/>
        </w:rPr>
        <w:t>Confirmation, Portfolio Reconciliation, Portfolio Compression, and Swap Trading</w:t>
      </w:r>
    </w:p>
    <w:p w:rsidR="00BA1318" w:rsidRPr="00DA6809" w:rsidRDefault="00BA1318" w:rsidP="00DA6809">
      <w:pPr>
        <w:tabs>
          <w:tab w:val="center" w:pos="4680"/>
        </w:tabs>
        <w:suppressAutoHyphens/>
        <w:spacing w:after="0" w:line="240" w:lineRule="auto"/>
        <w:jc w:val="center"/>
        <w:rPr>
          <w:rFonts w:ascii="Arial Narrow" w:eastAsia="Times New Roman" w:hAnsi="Arial Narrow" w:cs="Times New Roman"/>
          <w:b/>
          <w:szCs w:val="24"/>
          <w:u w:val="single"/>
        </w:rPr>
      </w:pPr>
      <w:r w:rsidRPr="00BA1318">
        <w:rPr>
          <w:rFonts w:ascii="Arial Narrow" w:eastAsia="Times New Roman" w:hAnsi="Arial Narrow" w:cs="Times New Roman"/>
          <w:b/>
          <w:szCs w:val="24"/>
          <w:u w:val="single"/>
        </w:rPr>
        <w:t xml:space="preserve"> Relationship Documentation Requirements for Swap Dealers and Major Swap Participants, </w:t>
      </w:r>
    </w:p>
    <w:p w:rsidR="00BA1318" w:rsidRPr="00BA1318" w:rsidRDefault="00BA1318" w:rsidP="00BA1318">
      <w:pPr>
        <w:spacing w:after="0" w:line="240" w:lineRule="auto"/>
        <w:outlineLvl w:val="0"/>
        <w:rPr>
          <w:rFonts w:eastAsia="Times New Roman" w:cs="Times New Roman"/>
          <w:b/>
          <w:szCs w:val="24"/>
        </w:rPr>
      </w:pPr>
    </w:p>
    <w:p w:rsidR="00BA1318" w:rsidRPr="00BA1318" w:rsidRDefault="00BA1318" w:rsidP="00BA1318">
      <w:pPr>
        <w:spacing w:after="0" w:line="240" w:lineRule="auto"/>
        <w:outlineLvl w:val="0"/>
        <w:rPr>
          <w:rFonts w:eastAsia="Times New Roman" w:cs="Times New Roman"/>
          <w:b/>
          <w:szCs w:val="24"/>
        </w:rPr>
      </w:pPr>
      <w:r w:rsidRPr="00BA1318">
        <w:rPr>
          <w:rFonts w:eastAsia="Times New Roman" w:cs="Times New Roman"/>
          <w:b/>
          <w:szCs w:val="24"/>
        </w:rPr>
        <w:t>Justification</w:t>
      </w:r>
    </w:p>
    <w:p w:rsidR="00BA1318" w:rsidRPr="00BA1318" w:rsidRDefault="00BA1318" w:rsidP="00BA1318">
      <w:pPr>
        <w:spacing w:after="0" w:line="240" w:lineRule="auto"/>
        <w:jc w:val="both"/>
        <w:rPr>
          <w:rFonts w:ascii="Arial" w:eastAsia="Times New Roman" w:hAnsi="Arial" w:cs="Times New Roman"/>
          <w:szCs w:val="24"/>
        </w:rPr>
      </w:pPr>
    </w:p>
    <w:p w:rsidR="00BA1318" w:rsidRPr="00BA1318" w:rsidRDefault="00BA1318" w:rsidP="00BA1318">
      <w:pPr>
        <w:tabs>
          <w:tab w:val="left" w:pos="-720"/>
        </w:tabs>
        <w:spacing w:after="0" w:line="240" w:lineRule="auto"/>
        <w:ind w:left="720" w:hanging="720"/>
        <w:jc w:val="both"/>
        <w:rPr>
          <w:rFonts w:eastAsia="Times New Roman" w:cs="Times New Roman"/>
          <w:szCs w:val="24"/>
        </w:rPr>
      </w:pPr>
      <w:r w:rsidRPr="00BA1318">
        <w:rPr>
          <w:rFonts w:eastAsia="Times New Roman" w:cs="Times New Roman"/>
          <w:b/>
          <w:szCs w:val="24"/>
        </w:rPr>
        <w:t>1.</w:t>
      </w:r>
      <w:r w:rsidRPr="00BA1318">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r w:rsidRPr="00BA1318">
        <w:rPr>
          <w:rFonts w:eastAsia="Times New Roman" w:cs="Times New Roman"/>
          <w:color w:val="000000"/>
          <w:szCs w:val="24"/>
        </w:rPr>
        <w:t xml:space="preserve">Section 731 of Title VII of the Dodd-Frank Wall Street Reform and Consumer Protection Act (Dodd-Frank Act, Pub L. No. 111-203, 124 Stat. 1376 (2010)) amended the Commodity Exchange Act (CEA) by adding sections 4s(f), 4s(g), and 4s(i), among others. </w:t>
      </w: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r w:rsidRPr="00BA1318">
        <w:rPr>
          <w:rFonts w:eastAsia="Times New Roman" w:cs="Times New Roman"/>
          <w:color w:val="000000"/>
          <w:szCs w:val="24"/>
        </w:rPr>
        <w:t>Pursuant to this authority, the Commission promulgat</w:t>
      </w:r>
      <w:r w:rsidR="00877854">
        <w:rPr>
          <w:rFonts w:eastAsia="Times New Roman" w:cs="Times New Roman"/>
          <w:color w:val="000000"/>
          <w:szCs w:val="24"/>
        </w:rPr>
        <w:t>ed</w:t>
      </w:r>
      <w:r w:rsidRPr="00BA1318">
        <w:rPr>
          <w:rFonts w:eastAsia="Times New Roman" w:cs="Times New Roman"/>
          <w:color w:val="000000"/>
          <w:szCs w:val="24"/>
        </w:rPr>
        <w:t xml:space="preserve"> regulations 23.500-23.505, which obligate swap dealers </w:t>
      </w:r>
      <w:r w:rsidR="008E152F">
        <w:rPr>
          <w:rFonts w:eastAsia="Times New Roman" w:cs="Times New Roman"/>
          <w:color w:val="000000"/>
          <w:szCs w:val="24"/>
        </w:rPr>
        <w:t xml:space="preserve">(SDs) </w:t>
      </w:r>
      <w:r w:rsidRPr="00BA1318">
        <w:rPr>
          <w:rFonts w:eastAsia="Times New Roman" w:cs="Times New Roman"/>
          <w:color w:val="000000"/>
          <w:szCs w:val="24"/>
        </w:rPr>
        <w:t xml:space="preserve">and major swap participants </w:t>
      </w:r>
      <w:r w:rsidR="008E152F">
        <w:rPr>
          <w:rFonts w:eastAsia="Times New Roman" w:cs="Times New Roman"/>
          <w:color w:val="000000"/>
          <w:szCs w:val="24"/>
        </w:rPr>
        <w:t xml:space="preserve">(MSPs) </w:t>
      </w:r>
      <w:r w:rsidRPr="00BA1318">
        <w:rPr>
          <w:rFonts w:eastAsia="Times New Roman" w:cs="Times New Roman"/>
          <w:color w:val="000000"/>
          <w:szCs w:val="24"/>
        </w:rPr>
        <w:t xml:space="preserve">to develop and retain written swap trading relationship documentation.  The final regulations also establish requirements for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regarding swap confirmation, portfolio reconciliation, and portfolio compression.  Confirmation, portfolio reconciliation, and portfolio compression are important, post-trade processing mechanisms for reducing risk and improving operational efficiency. </w:t>
      </w: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r w:rsidRPr="00BA1318">
        <w:rPr>
          <w:rFonts w:eastAsia="Times New Roman" w:cs="Times New Roman"/>
          <w:color w:val="000000"/>
          <w:szCs w:val="24"/>
        </w:rPr>
        <w:t xml:space="preserve">Under the regulations,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are obligated to maintain records of the policies and procedures required by the rules.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also are required to </w:t>
      </w:r>
      <w:r w:rsidR="005E5367">
        <w:rPr>
          <w:rFonts w:eastAsia="Times New Roman" w:cs="Times New Roman"/>
          <w:color w:val="000000"/>
          <w:szCs w:val="24"/>
        </w:rPr>
        <w:t>develop and retain</w:t>
      </w:r>
      <w:r w:rsidRPr="00BA1318">
        <w:rPr>
          <w:rFonts w:eastAsia="Times New Roman" w:cs="Times New Roman"/>
          <w:color w:val="000000"/>
          <w:szCs w:val="24"/>
        </w:rPr>
        <w:t xml:space="preserve"> </w:t>
      </w:r>
      <w:r w:rsidR="005E5367">
        <w:rPr>
          <w:rFonts w:eastAsia="Times New Roman" w:cs="Times New Roman"/>
          <w:color w:val="000000"/>
          <w:szCs w:val="24"/>
        </w:rPr>
        <w:t xml:space="preserve">written </w:t>
      </w:r>
      <w:r w:rsidRPr="00BA1318">
        <w:rPr>
          <w:rFonts w:eastAsia="Times New Roman" w:cs="Times New Roman"/>
          <w:color w:val="000000"/>
          <w:szCs w:val="24"/>
        </w:rPr>
        <w:t xml:space="preserve">records of their swap trading relationship documentation; acknowledgements and confirmations for swap transactions; portfolio reconciliations; and portfolio compression exercises.  </w:t>
      </w:r>
      <w:r w:rsidR="005E5367" w:rsidRPr="005E5367">
        <w:rPr>
          <w:rFonts w:eastAsia="Times New Roman" w:cs="Times New Roman"/>
          <w:color w:val="000000"/>
          <w:szCs w:val="24"/>
        </w:rPr>
        <w:t xml:space="preserve">The information collection obligations imposed by the regulations are necessary to ensure that each swap dealer and major swap participant maintains the required records of their business activities and an audit trail sufficient to conduct comprehensive and accurate trade reconstruction.  </w:t>
      </w:r>
      <w:r w:rsidRPr="00BA1318">
        <w:rPr>
          <w:rFonts w:eastAsia="Times New Roman" w:cs="Times New Roman"/>
          <w:color w:val="000000"/>
          <w:szCs w:val="24"/>
        </w:rPr>
        <w:t xml:space="preserve">The final regulations are essential to ensuring that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document their swaps, reconcile their swap portfolios to resolve discrepancies and disputes, and wholly or partially terminate some or all of their outstanding swaps through regular portfolio compression exercises.</w:t>
      </w: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p>
    <w:p w:rsidR="00BA1318" w:rsidRPr="00BA1318" w:rsidRDefault="00BA1318" w:rsidP="00BA1318">
      <w:pPr>
        <w:tabs>
          <w:tab w:val="left" w:pos="-720"/>
        </w:tabs>
        <w:spacing w:after="0" w:line="240" w:lineRule="auto"/>
        <w:ind w:left="720" w:hanging="720"/>
        <w:jc w:val="both"/>
        <w:rPr>
          <w:rFonts w:eastAsia="Times New Roman" w:cs="Times New Roman"/>
          <w:b/>
          <w:szCs w:val="24"/>
        </w:rPr>
      </w:pPr>
      <w:r w:rsidRPr="00BA1318">
        <w:rPr>
          <w:rFonts w:eastAsia="Times New Roman" w:cs="Times New Roman"/>
          <w:b/>
          <w:szCs w:val="24"/>
        </w:rPr>
        <w:t>2.</w:t>
      </w:r>
      <w:r w:rsidRPr="00BA1318">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r w:rsidRPr="00BA1318">
        <w:rPr>
          <w:rFonts w:eastAsia="Times New Roman" w:cs="Times New Roman"/>
          <w:color w:val="000000"/>
          <w:szCs w:val="24"/>
        </w:rPr>
        <w:t>Commission staff will use the information required to be preserved when conducting the Commission’s examination and oversight program with respect to the affected registrants.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keepNext/>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3.</w:t>
      </w:r>
      <w:r w:rsidRPr="00BA1318">
        <w:rPr>
          <w:rFonts w:eastAsia="Times New Roman" w:cs="Times New Roman"/>
          <w:b/>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BA1318">
        <w:rPr>
          <w:rFonts w:eastAsia="Times New Roman" w:cs="Times New Roman"/>
          <w:b/>
          <w:szCs w:val="24"/>
        </w:rPr>
        <w:lastRenderedPageBreak/>
        <w:t>responses, and the basis for the decision for adopting this means of collection.  Also describe any consideration of using information technology to reduce burden.</w:t>
      </w:r>
    </w:p>
    <w:p w:rsidR="00BA1318" w:rsidRPr="00BA1318" w:rsidRDefault="00BA1318" w:rsidP="00BA1318">
      <w:pPr>
        <w:tabs>
          <w:tab w:val="left" w:pos="-720"/>
          <w:tab w:val="left" w:pos="0"/>
        </w:tabs>
        <w:spacing w:after="240" w:line="240" w:lineRule="auto"/>
        <w:jc w:val="both"/>
        <w:rPr>
          <w:rFonts w:eastAsia="Times New Roman" w:cs="Times New Roman"/>
          <w:szCs w:val="24"/>
        </w:rPr>
      </w:pPr>
      <w:r w:rsidRPr="00BA1318">
        <w:rPr>
          <w:rFonts w:eastAsia="Times New Roman" w:cs="Times New Roman"/>
          <w:szCs w:val="24"/>
        </w:rPr>
        <w:t>The regulations require that recordkeeping generally be performed in accordance with Commission regulation 1.31, which permits the use of electronic storage media.</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4.</w:t>
      </w:r>
      <w:r w:rsidRPr="00BA1318">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BA1318" w:rsidRPr="00BA1318" w:rsidRDefault="008E152F" w:rsidP="00BA1318">
      <w:pPr>
        <w:tabs>
          <w:tab w:val="left" w:pos="-720"/>
        </w:tabs>
        <w:spacing w:after="240" w:line="240" w:lineRule="auto"/>
        <w:jc w:val="both"/>
        <w:rPr>
          <w:rFonts w:eastAsia="Times New Roman" w:cs="Times New Roman"/>
          <w:szCs w:val="24"/>
        </w:rPr>
      </w:pPr>
      <w:r>
        <w:rPr>
          <w:rFonts w:eastAsia="Times New Roman" w:cs="Times New Roman"/>
          <w:szCs w:val="24"/>
        </w:rPr>
        <w:t>SDs</w:t>
      </w:r>
      <w:r w:rsidR="00BA1318" w:rsidRPr="00BA1318">
        <w:rPr>
          <w:rFonts w:eastAsia="Times New Roman" w:cs="Times New Roman"/>
          <w:szCs w:val="24"/>
        </w:rPr>
        <w:t xml:space="preserve"> and </w:t>
      </w:r>
      <w:r>
        <w:rPr>
          <w:rFonts w:eastAsia="Times New Roman" w:cs="Times New Roman"/>
          <w:szCs w:val="24"/>
        </w:rPr>
        <w:t>MSPs</w:t>
      </w:r>
      <w:r w:rsidR="00BA1318" w:rsidRPr="00BA1318">
        <w:rPr>
          <w:rFonts w:eastAsia="Times New Roman" w:cs="Times New Roman"/>
          <w:szCs w:val="24"/>
        </w:rPr>
        <w:t xml:space="preserve"> </w:t>
      </w:r>
      <w:r w:rsidR="00877854">
        <w:rPr>
          <w:rFonts w:eastAsia="Times New Roman" w:cs="Times New Roman"/>
          <w:szCs w:val="24"/>
        </w:rPr>
        <w:t>we</w:t>
      </w:r>
      <w:r w:rsidR="00BA1318" w:rsidRPr="00BA1318">
        <w:rPr>
          <w:rFonts w:eastAsia="Times New Roman" w:cs="Times New Roman"/>
          <w:szCs w:val="24"/>
        </w:rPr>
        <w:t xml:space="preserve">re new categories of registrants under the Dodd-Frank Act.  Accordingly, the required information </w:t>
      </w:r>
      <w:r w:rsidR="00877854">
        <w:rPr>
          <w:rFonts w:eastAsia="Times New Roman" w:cs="Times New Roman"/>
          <w:szCs w:val="24"/>
        </w:rPr>
        <w:t>wa</w:t>
      </w:r>
      <w:r w:rsidR="00BA1318" w:rsidRPr="00BA1318">
        <w:rPr>
          <w:rFonts w:eastAsia="Times New Roman" w:cs="Times New Roman"/>
          <w:szCs w:val="24"/>
        </w:rPr>
        <w:t xml:space="preserve">s not already collected by the Commission for any other purpose.  It is </w:t>
      </w:r>
      <w:r w:rsidR="00256EB0">
        <w:rPr>
          <w:rFonts w:eastAsia="Times New Roman" w:cs="Times New Roman"/>
          <w:szCs w:val="24"/>
        </w:rPr>
        <w:t xml:space="preserve">currently </w:t>
      </w:r>
      <w:r w:rsidR="00BA1318" w:rsidRPr="00BA1318">
        <w:rPr>
          <w:rFonts w:eastAsia="Times New Roman" w:cs="Times New Roman"/>
          <w:szCs w:val="24"/>
        </w:rPr>
        <w:t xml:space="preserve">not collected by any other agency or available for public disclosure through any other source. </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5.</w:t>
      </w:r>
      <w:r w:rsidRPr="00BA1318">
        <w:rPr>
          <w:rFonts w:eastAsia="Times New Roman" w:cs="Times New Roman"/>
          <w:b/>
          <w:szCs w:val="24"/>
        </w:rPr>
        <w:tab/>
        <w:t>If the collection of information involves small business or other small entities (Item 5 of OMB From 83-I), describe the methods used to minimize burden.</w:t>
      </w:r>
    </w:p>
    <w:p w:rsidR="00BA1318" w:rsidRPr="00BA1318" w:rsidRDefault="00BA1318" w:rsidP="00BA1318">
      <w:pPr>
        <w:tabs>
          <w:tab w:val="left" w:pos="-720"/>
        </w:tabs>
        <w:spacing w:after="240" w:line="240" w:lineRule="auto"/>
        <w:jc w:val="both"/>
        <w:rPr>
          <w:rFonts w:eastAsia="Times New Roman" w:cs="Times New Roman"/>
          <w:szCs w:val="24"/>
        </w:rPr>
      </w:pPr>
      <w:r w:rsidRPr="00BA1318">
        <w:rPr>
          <w:rFonts w:eastAsia="Times New Roman" w:cs="Times New Roman"/>
          <w:szCs w:val="24"/>
        </w:rPr>
        <w:t xml:space="preserve">The collection of the required information does not involve any small businesses or small entities. </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6.</w:t>
      </w:r>
      <w:r w:rsidRPr="00BA1318">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r w:rsidRPr="00BA1318">
        <w:rPr>
          <w:rFonts w:eastAsia="Times New Roman" w:cs="Times New Roman"/>
          <w:color w:val="000000"/>
          <w:szCs w:val="24"/>
        </w:rPr>
        <w:t>Failure to maintain the records required by the regulations would adversely affect the Commission’s ability to ensure the affected registrants’ compliance with their obligations under the CEA and Commission regulations to document their swaps, reconcile their swap portfolios to resolve discrepancies and disputes, and wholly or partially terminate some or all of their outstanding swaps through regular portfolio compression exercises.  Failure to comply with the reporting requirements established by the regulation would prohibit the Commission from receiving timely notification of unresolved swap valuation disputes.</w:t>
      </w:r>
    </w:p>
    <w:p w:rsidR="00BA1318" w:rsidRPr="00BA1318" w:rsidRDefault="00BA1318" w:rsidP="00BA1318">
      <w:pPr>
        <w:widowControl w:val="0"/>
        <w:autoSpaceDE w:val="0"/>
        <w:autoSpaceDN w:val="0"/>
        <w:adjustRightInd w:val="0"/>
        <w:spacing w:after="0" w:line="240" w:lineRule="auto"/>
        <w:jc w:val="both"/>
        <w:rPr>
          <w:rFonts w:eastAsia="Times New Roman" w:cs="Times New Roman"/>
          <w:color w:val="000000"/>
          <w:szCs w:val="24"/>
        </w:rPr>
      </w:pPr>
    </w:p>
    <w:p w:rsidR="00BA1318" w:rsidRPr="00BA1318" w:rsidRDefault="00BA1318" w:rsidP="00BA1318">
      <w:pPr>
        <w:tabs>
          <w:tab w:val="left" w:pos="-720"/>
          <w:tab w:val="left" w:pos="0"/>
        </w:tabs>
        <w:spacing w:after="240" w:line="240" w:lineRule="auto"/>
        <w:jc w:val="both"/>
        <w:rPr>
          <w:rFonts w:eastAsia="Times New Roman" w:cs="Times New Roman"/>
          <w:b/>
          <w:szCs w:val="24"/>
        </w:rPr>
      </w:pPr>
      <w:r w:rsidRPr="00BA1318">
        <w:rPr>
          <w:rFonts w:eastAsia="Times New Roman" w:cs="Times New Roman"/>
          <w:b/>
          <w:szCs w:val="24"/>
        </w:rPr>
        <w:t>7.</w:t>
      </w:r>
      <w:r w:rsidRPr="00BA1318">
        <w:rPr>
          <w:rFonts w:eastAsia="Times New Roman" w:cs="Times New Roman"/>
          <w:b/>
          <w:szCs w:val="24"/>
        </w:rPr>
        <w:tab/>
        <w:t>Explain any special circumstances that require the collection to be conducted in a manner:</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report information to the agency more often than quarterly;</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 xml:space="preserve">This question does not apply.  Certain of the reporting requirements (e.g., reporting of certain valuation disputes) are event-based.  Further, certain of the reporting obligations contained in these regulations (the requirements to report swap transactions to swap data repositories and to engage in real time public reporting of swap transaction and pricing data) will not result in any additional cost to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beyond any costs already described and accounted for in the Commission’s part 45 regulations for swap data recordkeeping and reporting, and in the Commission’s part 43 regulations governing real-time public reporting of swap transaction data.</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lastRenderedPageBreak/>
        <w:t>requiring respondents to prepare a written response to a collection of information in fewer than 30 days after receipt of it:</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submit more that an original and two copies of any document;</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  The regulations do not impose any requirements that would obligate a respondent to submit more than an original and two copies of any document.</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retain records other than health, medical, government contract, grant-in-aid, or tax records, for more than three years;</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The recordkeeping requirements set forth in the final regulations mandate that records be maintained in accordance with Commission regulation 23.203 (and, by extension, Commission regulation 1.31), which expressly requires that:</w:t>
      </w:r>
    </w:p>
    <w:p w:rsidR="00BA1318" w:rsidRPr="00BA1318" w:rsidRDefault="00BA1318" w:rsidP="00BA1318">
      <w:pPr>
        <w:tabs>
          <w:tab w:val="left" w:pos="-720"/>
          <w:tab w:val="left" w:pos="0"/>
          <w:tab w:val="left" w:pos="720"/>
        </w:tabs>
        <w:spacing w:after="240" w:line="240" w:lineRule="auto"/>
        <w:ind w:left="720" w:right="720"/>
        <w:jc w:val="both"/>
        <w:rPr>
          <w:rFonts w:eastAsia="Times New Roman" w:cs="Times New Roman"/>
          <w:szCs w:val="24"/>
        </w:rPr>
      </w:pPr>
      <w:r w:rsidRPr="00BA1318">
        <w:rPr>
          <w:rFonts w:eastAsia="Times New Roman" w:cs="Times New Roman"/>
          <w:szCs w:val="24"/>
        </w:rPr>
        <w:t>All records required to be kept by the Act and by Commission regulations shall be kept for a period of five years from the date the record was made and shall be readily accessible during the first two (2) years of the five-year period. All such records shall be open to inspection by any representative of the Commission, the United States Department of Justice, or any applicable prudential regulator.</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 xml:space="preserve">in connection with a statistical survey, that is not designed to produce valid and reliable results that can be generalized to the universe of study; </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  The regulations do not require nor involve any statistical surveys.</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the use of a statistical data classification that has not been reviewed and approved by OMB;</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 The regulations do not require nor involve the use of any statistical data classification.</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  The regulations do not require a pledge of confidentiality.</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lastRenderedPageBreak/>
        <w:t>This question does not apply.  In any event, the Commission has promulgated regulations to protect the confidentiality of any information collected from respondents.  Such regulations are set forth in 17 CFR Part 145.  .</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8.</w:t>
      </w:r>
      <w:r w:rsidRPr="00BA1318">
        <w:rPr>
          <w:rFonts w:eastAsia="Times New Roman" w:cs="Times New Roman"/>
          <w:b/>
          <w:szCs w:val="24"/>
        </w:rPr>
        <w:tab/>
        <w:t xml:space="preserve">If applicable, provide a copy and identify the date and page number of publication in the </w:t>
      </w:r>
      <w:r w:rsidRPr="00BA1318">
        <w:rPr>
          <w:rFonts w:eastAsia="Times New Roman" w:cs="Times New Roman"/>
          <w:b/>
          <w:i/>
          <w:szCs w:val="24"/>
        </w:rPr>
        <w:t>Federal Register</w:t>
      </w:r>
      <w:r w:rsidRPr="00BA1318">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A1318" w:rsidRPr="00BA1318" w:rsidRDefault="001D01C6" w:rsidP="001D01C6">
      <w:pPr>
        <w:tabs>
          <w:tab w:val="left" w:pos="-720"/>
          <w:tab w:val="left" w:pos="0"/>
        </w:tabs>
        <w:overflowPunct w:val="0"/>
        <w:autoSpaceDE w:val="0"/>
        <w:autoSpaceDN w:val="0"/>
        <w:adjustRightInd w:val="0"/>
        <w:spacing w:after="240" w:line="240" w:lineRule="auto"/>
        <w:jc w:val="both"/>
        <w:textAlignment w:val="baseline"/>
        <w:rPr>
          <w:rFonts w:eastAsia="Times New Roman" w:cs="Times New Roman"/>
          <w:szCs w:val="24"/>
        </w:rPr>
      </w:pPr>
      <w:r>
        <w:rPr>
          <w:rFonts w:eastAsia="Times New Roman" w:cs="Times New Roman"/>
          <w:szCs w:val="24"/>
        </w:rPr>
        <w:t xml:space="preserve">A copy of the </w:t>
      </w:r>
      <w:r w:rsidRPr="001D01C6">
        <w:rPr>
          <w:rFonts w:eastAsia="Times New Roman" w:cs="Times New Roman"/>
          <w:i/>
          <w:szCs w:val="24"/>
        </w:rPr>
        <w:t>Federal Register</w:t>
      </w:r>
      <w:r>
        <w:rPr>
          <w:rFonts w:eastAsia="Times New Roman" w:cs="Times New Roman"/>
          <w:szCs w:val="24"/>
        </w:rPr>
        <w:t xml:space="preserve"> notice soliciting comments on this information collection (80 FR</w:t>
      </w:r>
      <w:r w:rsidR="00256EB0">
        <w:rPr>
          <w:rFonts w:eastAsia="Times New Roman" w:cs="Times New Roman"/>
          <w:szCs w:val="24"/>
        </w:rPr>
        <w:t xml:space="preserve"> 73731</w:t>
      </w:r>
      <w:r>
        <w:rPr>
          <w:rFonts w:eastAsia="Times New Roman" w:cs="Times New Roman"/>
          <w:szCs w:val="24"/>
        </w:rPr>
        <w:t xml:space="preserve">, November 25, 2015) is attached.  No comments were received.  </w:t>
      </w:r>
    </w:p>
    <w:p w:rsidR="00BA1318" w:rsidRPr="00BA1318" w:rsidRDefault="00BA1318" w:rsidP="00BA1318">
      <w:pPr>
        <w:tabs>
          <w:tab w:val="left" w:pos="-720"/>
        </w:tabs>
        <w:spacing w:after="240" w:line="240" w:lineRule="auto"/>
        <w:ind w:left="720"/>
        <w:jc w:val="both"/>
        <w:rPr>
          <w:rFonts w:eastAsia="Times New Roman" w:cs="Times New Roman"/>
          <w:b/>
          <w:szCs w:val="24"/>
        </w:rPr>
      </w:pPr>
      <w:r w:rsidRPr="00BA1318">
        <w:rPr>
          <w:rFonts w:eastAsia="Times New Roman" w:cs="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A1318" w:rsidRPr="00BA1318" w:rsidRDefault="001D01C6" w:rsidP="00BA1318">
      <w:pPr>
        <w:tabs>
          <w:tab w:val="left" w:pos="-720"/>
          <w:tab w:val="left" w:pos="0"/>
        </w:tabs>
        <w:overflowPunct w:val="0"/>
        <w:autoSpaceDE w:val="0"/>
        <w:autoSpaceDN w:val="0"/>
        <w:adjustRightInd w:val="0"/>
        <w:spacing w:after="240" w:line="240" w:lineRule="auto"/>
        <w:jc w:val="both"/>
        <w:textAlignment w:val="baseline"/>
        <w:rPr>
          <w:rFonts w:eastAsia="Times New Roman" w:cs="Times New Roman"/>
          <w:szCs w:val="24"/>
        </w:rPr>
      </w:pPr>
      <w:r>
        <w:rPr>
          <w:rFonts w:eastAsia="Times New Roman" w:cs="Times New Roman"/>
          <w:szCs w:val="24"/>
        </w:rPr>
        <w:t xml:space="preserve">As set forth above, the Commission affirmatively sought comments on the extension of information collection requirements described herein.  </w:t>
      </w:r>
      <w:r w:rsidR="00BA1318" w:rsidRPr="00BA1318">
        <w:rPr>
          <w:rFonts w:eastAsia="Times New Roman" w:cs="Times New Roman"/>
          <w:szCs w:val="24"/>
        </w:rPr>
        <w:t xml:space="preserve">  </w:t>
      </w:r>
    </w:p>
    <w:p w:rsidR="00BA1318" w:rsidRPr="00BA1318" w:rsidRDefault="00BA1318" w:rsidP="00BA1318">
      <w:pPr>
        <w:tabs>
          <w:tab w:val="left" w:pos="-720"/>
        </w:tabs>
        <w:spacing w:after="240" w:line="240" w:lineRule="auto"/>
        <w:ind w:left="720"/>
        <w:jc w:val="both"/>
        <w:rPr>
          <w:rFonts w:eastAsia="Times New Roman" w:cs="Times New Roman"/>
          <w:b/>
          <w:szCs w:val="24"/>
        </w:rPr>
      </w:pPr>
      <w:r w:rsidRPr="00BA1318">
        <w:rPr>
          <w:rFonts w:eastAsia="Times New Roman" w:cs="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A1318" w:rsidRPr="00BA1318" w:rsidRDefault="00BA1318" w:rsidP="00BA1318">
      <w:pPr>
        <w:tabs>
          <w:tab w:val="left" w:pos="-720"/>
        </w:tabs>
        <w:spacing w:after="240" w:line="240" w:lineRule="auto"/>
        <w:jc w:val="both"/>
        <w:rPr>
          <w:rFonts w:eastAsia="Times New Roman" w:cs="Times New Roman"/>
          <w:szCs w:val="24"/>
        </w:rPr>
      </w:pPr>
      <w:r w:rsidRPr="00BA1318">
        <w:rPr>
          <w:rFonts w:eastAsia="Times New Roman" w:cs="Times New Roman"/>
          <w:szCs w:val="24"/>
        </w:rPr>
        <w:t xml:space="preserve">No such circumstances are anticipated.  </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9.</w:t>
      </w:r>
      <w:r w:rsidRPr="00BA1318">
        <w:rPr>
          <w:rFonts w:eastAsia="Times New Roman" w:cs="Times New Roman"/>
          <w:b/>
          <w:szCs w:val="24"/>
        </w:rPr>
        <w:tab/>
        <w:t>Explain any decision to provide any payment or gift to respondents, other than renumeration of contractors or grantees.</w:t>
      </w:r>
    </w:p>
    <w:p w:rsidR="00BA1318" w:rsidRPr="00BA1318" w:rsidRDefault="00BA1318" w:rsidP="00BA1318">
      <w:pPr>
        <w:tabs>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  No decision to provide any payment or gift to respondents has been made.</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10.</w:t>
      </w:r>
      <w:r w:rsidRPr="00BA1318">
        <w:rPr>
          <w:rFonts w:eastAsia="Times New Roman" w:cs="Times New Roman"/>
          <w:b/>
          <w:szCs w:val="24"/>
        </w:rPr>
        <w:tab/>
        <w:t>Describe any assurance of confidentiality provided to respondents and the basis for the assurance in statute, regulations, or agency policy.</w:t>
      </w:r>
    </w:p>
    <w:p w:rsidR="00BA1318" w:rsidRPr="00BA1318" w:rsidRDefault="00BA1318" w:rsidP="00BA1318">
      <w:pPr>
        <w:tabs>
          <w:tab w:val="left" w:pos="-720"/>
          <w:tab w:val="left" w:pos="0"/>
          <w:tab w:val="left" w:pos="720"/>
        </w:tabs>
        <w:spacing w:after="240" w:line="240" w:lineRule="auto"/>
        <w:jc w:val="both"/>
        <w:rPr>
          <w:rFonts w:eastAsia="Times New Roman" w:cs="Times New Roman"/>
          <w:szCs w:val="24"/>
        </w:rPr>
      </w:pPr>
      <w:r w:rsidRPr="00BA1318">
        <w:rPr>
          <w:rFonts w:eastAsia="Times New Roman" w:cs="Times New Roman"/>
          <w:szCs w:val="24"/>
        </w:rPr>
        <w:t>The Commission does not provide respondents with an assurance of confidentiality</w:t>
      </w:r>
      <w:r w:rsidR="001D01C6">
        <w:rPr>
          <w:rFonts w:eastAsia="Times New Roman" w:cs="Times New Roman"/>
          <w:szCs w:val="24"/>
        </w:rPr>
        <w:t xml:space="preserve">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The Commission has procedures to protect the confidentiality of a respondent’s data. These are set forth in the Commission’s regulations at part 145 of the Code of Federal Regulations.</w:t>
      </w:r>
      <w:r w:rsidRPr="00BA1318">
        <w:rPr>
          <w:rFonts w:eastAsia="Times New Roman" w:cs="Times New Roman"/>
          <w:szCs w:val="24"/>
        </w:rPr>
        <w:t xml:space="preserve">, </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lastRenderedPageBreak/>
        <w:t>11.</w:t>
      </w:r>
      <w:r w:rsidRPr="00BA1318">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1318" w:rsidRPr="00BA1318" w:rsidRDefault="00BA1318" w:rsidP="00BA1318">
      <w:pPr>
        <w:tabs>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  The regulations do not request or require the provision of sensitive information, as that term is used in question 11.</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12.</w:t>
      </w:r>
      <w:r w:rsidRPr="00BA1318">
        <w:rPr>
          <w:rFonts w:eastAsia="Times New Roman" w:cs="Times New Roman"/>
          <w:b/>
          <w:szCs w:val="24"/>
        </w:rPr>
        <w:tab/>
        <w:t>Provide estimates of the hour burden of the collection of information.  The Statement should:</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If the request for approval covers more than one form, provide separate hour burden estimates for each form and aggregate the hour burdens in Item 13 of OMB Form 83-I.</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See</w:t>
      </w:r>
      <w:r w:rsidRPr="00BA1318">
        <w:rPr>
          <w:rFonts w:eastAsia="Times New Roman" w:cs="Times New Roman"/>
          <w:szCs w:val="24"/>
        </w:rPr>
        <w:t xml:space="preserve"> Attachment A.  </w:t>
      </w:r>
    </w:p>
    <w:p w:rsidR="00BA1318" w:rsidRPr="00BA1318" w:rsidRDefault="00BA1318" w:rsidP="00BA1318">
      <w:pPr>
        <w:spacing w:after="0" w:line="240" w:lineRule="auto"/>
        <w:jc w:val="both"/>
        <w:rPr>
          <w:rFonts w:eastAsia="Times New Roman" w:cs="Times New Roman"/>
          <w:szCs w:val="24"/>
        </w:rPr>
      </w:pPr>
    </w:p>
    <w:p w:rsidR="009020B1" w:rsidRDefault="0061024E" w:rsidP="00BA1318">
      <w:pPr>
        <w:spacing w:after="0" w:line="240" w:lineRule="auto"/>
        <w:jc w:val="both"/>
        <w:rPr>
          <w:rFonts w:eastAsia="Times New Roman" w:cs="Times New Roman"/>
          <w:szCs w:val="24"/>
        </w:rPr>
      </w:pPr>
      <w:r>
        <w:rPr>
          <w:rFonts w:eastAsia="Times New Roman" w:cs="Times New Roman"/>
          <w:szCs w:val="24"/>
        </w:rPr>
        <w:t>T</w:t>
      </w:r>
      <w:r w:rsidR="00BA1318" w:rsidRPr="00BA1318">
        <w:rPr>
          <w:rFonts w:eastAsia="Times New Roman" w:cs="Times New Roman"/>
          <w:szCs w:val="24"/>
        </w:rPr>
        <w:t xml:space="preserve">he </w:t>
      </w:r>
      <w:r>
        <w:rPr>
          <w:rFonts w:eastAsia="Times New Roman" w:cs="Times New Roman"/>
          <w:szCs w:val="24"/>
        </w:rPr>
        <w:t xml:space="preserve">relevant </w:t>
      </w:r>
      <w:r w:rsidR="00BA1318" w:rsidRPr="00BA1318">
        <w:rPr>
          <w:rFonts w:eastAsia="Times New Roman" w:cs="Times New Roman"/>
          <w:szCs w:val="24"/>
        </w:rPr>
        <w:t xml:space="preserve">final regulations were </w:t>
      </w:r>
      <w:r w:rsidR="006B57CD">
        <w:rPr>
          <w:rFonts w:eastAsia="Times New Roman" w:cs="Times New Roman"/>
          <w:szCs w:val="24"/>
        </w:rPr>
        <w:t xml:space="preserve">originally </w:t>
      </w:r>
      <w:r w:rsidR="00BA1318" w:rsidRPr="00BA1318">
        <w:rPr>
          <w:rFonts w:eastAsia="Times New Roman" w:cs="Times New Roman"/>
          <w:szCs w:val="24"/>
        </w:rPr>
        <w:t>proposed in 3 separate notices of proposed rulemaking.  Those 3 notices are identified herein as the Documentation NPRM,</w:t>
      </w:r>
      <w:r w:rsidR="00BA1318" w:rsidRPr="00BA1318">
        <w:rPr>
          <w:rFonts w:eastAsia="Times New Roman" w:cs="Times New Roman"/>
          <w:szCs w:val="24"/>
          <w:vertAlign w:val="superscript"/>
        </w:rPr>
        <w:footnoteReference w:id="1"/>
      </w:r>
      <w:r w:rsidR="00BA1318" w:rsidRPr="00BA1318">
        <w:rPr>
          <w:rFonts w:eastAsia="Times New Roman" w:cs="Times New Roman"/>
          <w:szCs w:val="24"/>
        </w:rPr>
        <w:t xml:space="preserve"> the Confirmation NPRM,</w:t>
      </w:r>
      <w:r w:rsidR="00BA1318" w:rsidRPr="00BA1318">
        <w:rPr>
          <w:rFonts w:eastAsia="Times New Roman" w:cs="Times New Roman"/>
          <w:szCs w:val="24"/>
          <w:vertAlign w:val="superscript"/>
        </w:rPr>
        <w:footnoteReference w:id="2"/>
      </w:r>
      <w:r w:rsidR="00BA1318" w:rsidRPr="00BA1318">
        <w:rPr>
          <w:rFonts w:eastAsia="Times New Roman" w:cs="Times New Roman"/>
          <w:szCs w:val="24"/>
        </w:rPr>
        <w:t xml:space="preserve"> and the Orderly Liquidation NPRM.</w:t>
      </w:r>
      <w:r w:rsidR="00BA1318" w:rsidRPr="00BA1318">
        <w:rPr>
          <w:rFonts w:eastAsia="Times New Roman" w:cs="Times New Roman"/>
          <w:szCs w:val="24"/>
          <w:vertAlign w:val="superscript"/>
        </w:rPr>
        <w:footnoteReference w:id="3"/>
      </w:r>
      <w:r w:rsidR="00BA1318" w:rsidRPr="00BA1318">
        <w:rPr>
          <w:rFonts w:eastAsia="Times New Roman" w:cs="Times New Roman"/>
          <w:szCs w:val="24"/>
        </w:rPr>
        <w:t xml:space="preserve"> </w:t>
      </w:r>
      <w:r w:rsidR="009020B1">
        <w:rPr>
          <w:rFonts w:eastAsia="Times New Roman" w:cs="Times New Roman"/>
          <w:szCs w:val="24"/>
        </w:rPr>
        <w:t xml:space="preserve"> </w:t>
      </w:r>
      <w:r w:rsidR="00FA34C7">
        <w:rPr>
          <w:rFonts w:eastAsia="Times New Roman" w:cs="Times New Roman"/>
          <w:szCs w:val="24"/>
        </w:rPr>
        <w:t>The</w:t>
      </w:r>
      <w:r w:rsidR="00D504F0">
        <w:rPr>
          <w:rFonts w:eastAsia="Times New Roman" w:cs="Times New Roman"/>
          <w:szCs w:val="24"/>
        </w:rPr>
        <w:t xml:space="preserve"> </w:t>
      </w:r>
      <w:r w:rsidR="00455E64">
        <w:rPr>
          <w:rFonts w:eastAsia="Times New Roman" w:cs="Times New Roman"/>
          <w:szCs w:val="24"/>
        </w:rPr>
        <w:t xml:space="preserve">regulations were finalized in </w:t>
      </w:r>
      <w:r w:rsidR="00D504F0">
        <w:rPr>
          <w:rFonts w:eastAsia="Times New Roman" w:cs="Times New Roman"/>
          <w:szCs w:val="24"/>
        </w:rPr>
        <w:t>o</w:t>
      </w:r>
      <w:r w:rsidR="00455E64">
        <w:rPr>
          <w:rFonts w:eastAsia="Times New Roman" w:cs="Times New Roman"/>
          <w:szCs w:val="24"/>
        </w:rPr>
        <w:t>ne</w:t>
      </w:r>
      <w:r w:rsidR="00D504F0">
        <w:rPr>
          <w:rFonts w:eastAsia="Times New Roman" w:cs="Times New Roman"/>
          <w:szCs w:val="24"/>
        </w:rPr>
        <w:t xml:space="preserve"> r</w:t>
      </w:r>
      <w:r w:rsidR="00455E64">
        <w:rPr>
          <w:rFonts w:eastAsia="Times New Roman" w:cs="Times New Roman"/>
          <w:szCs w:val="24"/>
        </w:rPr>
        <w:t>ulemaking</w:t>
      </w:r>
      <w:r w:rsidR="00D504F0">
        <w:rPr>
          <w:rFonts w:eastAsia="Times New Roman" w:cs="Times New Roman"/>
          <w:szCs w:val="24"/>
        </w:rPr>
        <w:t>,</w:t>
      </w:r>
      <w:r w:rsidR="00D504F0">
        <w:rPr>
          <w:rStyle w:val="FootnoteReference"/>
          <w:rFonts w:eastAsia="Times New Roman" w:cs="Times New Roman"/>
          <w:szCs w:val="24"/>
        </w:rPr>
        <w:footnoteReference w:id="4"/>
      </w:r>
      <w:r w:rsidR="00D504F0">
        <w:rPr>
          <w:rFonts w:eastAsia="Times New Roman" w:cs="Times New Roman"/>
          <w:szCs w:val="24"/>
        </w:rPr>
        <w:t xml:space="preserve"> although the</w:t>
      </w:r>
      <w:r w:rsidR="00FA34C7">
        <w:rPr>
          <w:rFonts w:eastAsia="Times New Roman" w:cs="Times New Roman"/>
          <w:szCs w:val="24"/>
        </w:rPr>
        <w:t>y</w:t>
      </w:r>
      <w:r w:rsidR="00D504F0">
        <w:rPr>
          <w:rFonts w:eastAsia="Times New Roman" w:cs="Times New Roman"/>
          <w:szCs w:val="24"/>
        </w:rPr>
        <w:t xml:space="preserve"> kept their original three OMB Control Numbers</w:t>
      </w:r>
      <w:r w:rsidR="00FA34C7">
        <w:rPr>
          <w:rFonts w:eastAsia="Times New Roman" w:cs="Times New Roman"/>
          <w:szCs w:val="24"/>
        </w:rPr>
        <w:t xml:space="preserve"> (3038-0068, 3038-0083, and 3038-0088)</w:t>
      </w:r>
      <w:r w:rsidR="00D504F0">
        <w:rPr>
          <w:rFonts w:eastAsia="Times New Roman" w:cs="Times New Roman"/>
          <w:szCs w:val="24"/>
        </w:rPr>
        <w:t xml:space="preserve">.  </w:t>
      </w:r>
    </w:p>
    <w:p w:rsid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lastRenderedPageBreak/>
        <w:t>As delineated below, with respect to the rules proposed in the Documentation NPRM</w:t>
      </w:r>
      <w:r w:rsidR="001B5400">
        <w:rPr>
          <w:rFonts w:eastAsia="Times New Roman" w:cs="Times New Roman"/>
          <w:szCs w:val="24"/>
        </w:rPr>
        <w:t xml:space="preserve"> (and its accompanying OMB Control Number</w:t>
      </w:r>
      <w:r w:rsidR="0021722B">
        <w:rPr>
          <w:rFonts w:eastAsia="Times New Roman" w:cs="Times New Roman"/>
          <w:szCs w:val="24"/>
        </w:rPr>
        <w:t xml:space="preserve"> 3038-0088</w:t>
      </w:r>
      <w:r w:rsidR="001B5400">
        <w:rPr>
          <w:rFonts w:eastAsia="Times New Roman" w:cs="Times New Roman"/>
          <w:szCs w:val="24"/>
        </w:rPr>
        <w:t>)</w:t>
      </w:r>
      <w:r w:rsidRPr="00BA1318">
        <w:rPr>
          <w:rFonts w:eastAsia="Times New Roman" w:cs="Times New Roman"/>
          <w:szCs w:val="24"/>
        </w:rPr>
        <w:t xml:space="preserve">, the Commission now estimates the burden hours to be </w:t>
      </w:r>
      <w:r w:rsidR="007553CB">
        <w:rPr>
          <w:rFonts w:eastAsia="Times New Roman" w:cs="Times New Roman"/>
          <w:szCs w:val="24"/>
        </w:rPr>
        <w:t>6,284</w:t>
      </w:r>
      <w:r w:rsidRPr="00BA1318">
        <w:rPr>
          <w:rFonts w:eastAsia="Times New Roman" w:cs="Times New Roman"/>
          <w:szCs w:val="24"/>
        </w:rPr>
        <w:t xml:space="preserve"> hours per year, at an annual burden hour cost of $</w:t>
      </w:r>
      <w:r w:rsidR="00D46F0A">
        <w:rPr>
          <w:rFonts w:eastAsia="Times New Roman" w:cs="Times New Roman"/>
          <w:szCs w:val="24"/>
        </w:rPr>
        <w:t>695,900</w:t>
      </w:r>
      <w:r w:rsidRPr="00BA1318">
        <w:rPr>
          <w:rFonts w:eastAsia="Times New Roman" w:cs="Times New Roman"/>
          <w:szCs w:val="24"/>
        </w:rPr>
        <w:t xml:space="preserve"> for each SD and MSP, and </w:t>
      </w:r>
      <w:r w:rsidR="00AC12F3">
        <w:rPr>
          <w:rFonts w:eastAsia="Times New Roman" w:cs="Times New Roman"/>
          <w:szCs w:val="24"/>
        </w:rPr>
        <w:t>an</w:t>
      </w:r>
      <w:r w:rsidRPr="00BA1318">
        <w:rPr>
          <w:rFonts w:eastAsia="Times New Roman" w:cs="Times New Roman"/>
          <w:szCs w:val="24"/>
        </w:rPr>
        <w:t xml:space="preserve"> aggregate burden cost for all registrants </w:t>
      </w:r>
      <w:r w:rsidR="00AC12F3">
        <w:rPr>
          <w:rFonts w:eastAsia="Times New Roman" w:cs="Times New Roman"/>
          <w:szCs w:val="24"/>
        </w:rPr>
        <w:t>of</w:t>
      </w:r>
      <w:r w:rsidR="00AC12F3" w:rsidRPr="00BA1318">
        <w:rPr>
          <w:rFonts w:eastAsia="Times New Roman" w:cs="Times New Roman"/>
          <w:szCs w:val="24"/>
        </w:rPr>
        <w:t xml:space="preserve"> </w:t>
      </w:r>
      <w:r w:rsidRPr="00BA1318">
        <w:rPr>
          <w:rFonts w:eastAsia="Times New Roman" w:cs="Times New Roman"/>
          <w:szCs w:val="24"/>
        </w:rPr>
        <w:t>$</w:t>
      </w:r>
      <w:r w:rsidR="00D46F0A">
        <w:rPr>
          <w:rFonts w:eastAsia="Times New Roman" w:cs="Times New Roman"/>
          <w:szCs w:val="24"/>
        </w:rPr>
        <w:t>73,069,500</w:t>
      </w:r>
      <w:r w:rsidRPr="00BA1318">
        <w:rPr>
          <w:rFonts w:eastAsia="Times New Roman" w:cs="Times New Roman"/>
          <w:szCs w:val="24"/>
        </w:rPr>
        <w:t>.   With respect to the rules proposed in the Confirmation NPRM</w:t>
      </w:r>
      <w:r w:rsidR="0021722B">
        <w:rPr>
          <w:rFonts w:eastAsia="Times New Roman" w:cs="Times New Roman"/>
          <w:szCs w:val="24"/>
        </w:rPr>
        <w:t xml:space="preserve"> (and its accompanying OMB Control Number 3038-0068)</w:t>
      </w:r>
      <w:r w:rsidRPr="00BA1318">
        <w:rPr>
          <w:rFonts w:eastAsia="Times New Roman" w:cs="Times New Roman"/>
          <w:szCs w:val="24"/>
        </w:rPr>
        <w:t>, the Commission now estimates the burden to be 1,28</w:t>
      </w:r>
      <w:r w:rsidR="00A20321">
        <w:rPr>
          <w:rFonts w:eastAsia="Times New Roman" w:cs="Times New Roman"/>
          <w:szCs w:val="24"/>
        </w:rPr>
        <w:t>2</w:t>
      </w:r>
      <w:r w:rsidRPr="00BA1318">
        <w:rPr>
          <w:rFonts w:eastAsia="Times New Roman" w:cs="Times New Roman"/>
          <w:szCs w:val="24"/>
        </w:rPr>
        <w:t>.5 hours, at an annual cost of $128,</w:t>
      </w:r>
      <w:r w:rsidR="00A20321">
        <w:rPr>
          <w:rFonts w:eastAsia="Times New Roman" w:cs="Times New Roman"/>
          <w:szCs w:val="24"/>
        </w:rPr>
        <w:t>2</w:t>
      </w:r>
      <w:r w:rsidRPr="00BA1318">
        <w:rPr>
          <w:rFonts w:eastAsia="Times New Roman" w:cs="Times New Roman"/>
          <w:szCs w:val="24"/>
        </w:rPr>
        <w:t xml:space="preserve">50 for each SD and MSP, and </w:t>
      </w:r>
      <w:r w:rsidR="00AC12F3">
        <w:rPr>
          <w:rFonts w:eastAsia="Times New Roman" w:cs="Times New Roman"/>
          <w:szCs w:val="24"/>
        </w:rPr>
        <w:t>an</w:t>
      </w:r>
      <w:r w:rsidR="00AC12F3" w:rsidRPr="00BA1318">
        <w:rPr>
          <w:rFonts w:eastAsia="Times New Roman" w:cs="Times New Roman"/>
          <w:szCs w:val="24"/>
        </w:rPr>
        <w:t xml:space="preserve"> </w:t>
      </w:r>
      <w:r w:rsidRPr="00BA1318">
        <w:rPr>
          <w:rFonts w:eastAsia="Times New Roman" w:cs="Times New Roman"/>
          <w:szCs w:val="24"/>
        </w:rPr>
        <w:t xml:space="preserve">aggregate burden cost for all registrants </w:t>
      </w:r>
      <w:r w:rsidR="00AC12F3">
        <w:rPr>
          <w:rFonts w:eastAsia="Times New Roman" w:cs="Times New Roman"/>
          <w:szCs w:val="24"/>
        </w:rPr>
        <w:t>of</w:t>
      </w:r>
      <w:r w:rsidRPr="00BA1318">
        <w:rPr>
          <w:rFonts w:eastAsia="Times New Roman" w:cs="Times New Roman"/>
          <w:szCs w:val="24"/>
        </w:rPr>
        <w:t>$1</w:t>
      </w:r>
      <w:r w:rsidR="00A20321">
        <w:rPr>
          <w:rFonts w:eastAsia="Times New Roman" w:cs="Times New Roman"/>
          <w:szCs w:val="24"/>
        </w:rPr>
        <w:t>3,466,250</w:t>
      </w:r>
      <w:r w:rsidRPr="00BA1318">
        <w:rPr>
          <w:rFonts w:eastAsia="Times New Roman" w:cs="Times New Roman"/>
          <w:szCs w:val="24"/>
        </w:rPr>
        <w:t>.  With respect to the rules set forth in the Orderly Liquidation NPRM</w:t>
      </w:r>
      <w:r w:rsidR="0021722B">
        <w:rPr>
          <w:rFonts w:eastAsia="Times New Roman" w:cs="Times New Roman"/>
          <w:szCs w:val="24"/>
        </w:rPr>
        <w:t xml:space="preserve"> (</w:t>
      </w:r>
      <w:r w:rsidR="0021722B" w:rsidRPr="0021722B">
        <w:rPr>
          <w:rFonts w:eastAsia="Times New Roman" w:cs="Times New Roman"/>
          <w:szCs w:val="24"/>
        </w:rPr>
        <w:t>and its accompanying OMB Control Number 3038-00</w:t>
      </w:r>
      <w:r w:rsidR="0050177C">
        <w:rPr>
          <w:rFonts w:eastAsia="Times New Roman" w:cs="Times New Roman"/>
          <w:szCs w:val="24"/>
        </w:rPr>
        <w:t>83)</w:t>
      </w:r>
      <w:r w:rsidRPr="00BA1318">
        <w:rPr>
          <w:rFonts w:eastAsia="Times New Roman" w:cs="Times New Roman"/>
          <w:szCs w:val="24"/>
        </w:rPr>
        <w:t xml:space="preserve">, the Commission now estimates the burden </w:t>
      </w:r>
      <w:r w:rsidR="0011620E">
        <w:rPr>
          <w:rFonts w:eastAsia="Times New Roman" w:cs="Times New Roman"/>
          <w:szCs w:val="24"/>
        </w:rPr>
        <w:t xml:space="preserve">hours </w:t>
      </w:r>
      <w:r w:rsidRPr="00BA1318">
        <w:rPr>
          <w:rFonts w:eastAsia="Times New Roman" w:cs="Times New Roman"/>
          <w:szCs w:val="24"/>
        </w:rPr>
        <w:t xml:space="preserve">to be 270 hours per year, at an annual </w:t>
      </w:r>
      <w:r w:rsidR="0011620E">
        <w:rPr>
          <w:rFonts w:eastAsia="Times New Roman" w:cs="Times New Roman"/>
          <w:szCs w:val="24"/>
        </w:rPr>
        <w:t xml:space="preserve">burden hour </w:t>
      </w:r>
      <w:r w:rsidRPr="00BA1318">
        <w:rPr>
          <w:rFonts w:eastAsia="Times New Roman" w:cs="Times New Roman"/>
          <w:szCs w:val="24"/>
        </w:rPr>
        <w:t xml:space="preserve">cost of $27,000 for each SD and MSP, and </w:t>
      </w:r>
      <w:r w:rsidR="00DA6104">
        <w:rPr>
          <w:rFonts w:eastAsia="Times New Roman" w:cs="Times New Roman"/>
          <w:szCs w:val="24"/>
        </w:rPr>
        <w:t>an</w:t>
      </w:r>
      <w:r w:rsidRPr="00BA1318">
        <w:rPr>
          <w:rFonts w:eastAsia="Times New Roman" w:cs="Times New Roman"/>
          <w:szCs w:val="24"/>
        </w:rPr>
        <w:t xml:space="preserve"> aggregate burden cost for all registrants </w:t>
      </w:r>
      <w:r w:rsidR="00DA6104">
        <w:rPr>
          <w:rFonts w:eastAsia="Times New Roman" w:cs="Times New Roman"/>
          <w:szCs w:val="24"/>
        </w:rPr>
        <w:t>of</w:t>
      </w:r>
      <w:r w:rsidR="0011620E">
        <w:rPr>
          <w:rFonts w:eastAsia="Times New Roman" w:cs="Times New Roman"/>
          <w:szCs w:val="24"/>
        </w:rPr>
        <w:t xml:space="preserve"> </w:t>
      </w:r>
      <w:r w:rsidRPr="00BA1318">
        <w:rPr>
          <w:rFonts w:eastAsia="Times New Roman" w:cs="Times New Roman"/>
          <w:szCs w:val="24"/>
        </w:rPr>
        <w:t xml:space="preserve">$3,375,000. </w:t>
      </w:r>
    </w:p>
    <w:p w:rsidR="004E724E" w:rsidRPr="00BA1318" w:rsidRDefault="004E724E" w:rsidP="00BA1318">
      <w:pPr>
        <w:spacing w:after="0" w:line="240" w:lineRule="auto"/>
        <w:jc w:val="both"/>
        <w:rPr>
          <w:rFonts w:eastAsia="Times New Roman" w:cs="Times New Roman"/>
          <w:szCs w:val="24"/>
        </w:rPr>
      </w:pPr>
    </w:p>
    <w:p w:rsidR="004E724E" w:rsidRDefault="004E724E" w:rsidP="002D6FF4">
      <w:pPr>
        <w:widowControl w:val="0"/>
        <w:spacing w:after="120" w:line="240" w:lineRule="auto"/>
        <w:jc w:val="both"/>
      </w:pPr>
      <w:r w:rsidRPr="004E724E">
        <w:t xml:space="preserve">With the exception of the category titled “Recordkeeping: Swap Trading Relationship Documentation (excluding cleared swap records),” an hourly wage rate of $100 was used for purposes of these cost estimates.  Thus, with the exception of that category, the figures in this column reflect the “Estimated Annual Hour Burden Per Registrant” multiplied by $100.  For purposes of </w:t>
      </w:r>
      <w:r>
        <w:t xml:space="preserve">category titled </w:t>
      </w:r>
      <w:r w:rsidRPr="004E724E">
        <w:t>“Recordkeeping: Swap Trading Relationship Documentation (excluding cleared swap records),” the Commission has used an hourly wage rate of $100 for one half of the burden hours in that category and an hourly wage rate of $125 for</w:t>
      </w:r>
      <w:r>
        <w:t xml:space="preserve"> one half of the burden hours.  The Commission believes that this is an appropriate salary estimate for purposes of this regulation.  </w:t>
      </w:r>
    </w:p>
    <w:p w:rsidR="00BA1318" w:rsidRPr="00BA1318" w:rsidRDefault="004E724E" w:rsidP="004E724E">
      <w:pPr>
        <w:spacing w:after="0" w:line="240" w:lineRule="auto"/>
        <w:jc w:val="both"/>
        <w:rPr>
          <w:rFonts w:eastAsia="Times New Roman" w:cs="Times New Roman"/>
          <w:szCs w:val="24"/>
        </w:rPr>
      </w:pPr>
      <w:r w:rsidRPr="00547762">
        <w:t xml:space="preserve">In support of this determination, the Commission notes that the salary estimate </w:t>
      </w:r>
      <w:r>
        <w:t>is</w:t>
      </w:r>
      <w:r w:rsidRPr="00446001">
        <w:t xml:space="preserve"> based upon </w:t>
      </w:r>
      <w:r>
        <w:t xml:space="preserve">May 2014 </w:t>
      </w:r>
      <w:r w:rsidRPr="00446001">
        <w:t>Bureau of Labor Statistics</w:t>
      </w:r>
      <w:r>
        <w:t>’</w:t>
      </w:r>
      <w:r w:rsidRPr="00446001">
        <w:t xml:space="preserve"> findings</w:t>
      </w:r>
      <w:r>
        <w:t xml:space="preserve"> of National Occupation Employment and Wage Estimates, United States</w:t>
      </w:r>
      <w:r>
        <w:rPr>
          <w:rStyle w:val="FootnoteReference"/>
        </w:rPr>
        <w:footnoteReference w:id="5"/>
      </w:r>
      <w:r w:rsidRPr="00446001">
        <w:t>, including the mean hourly wage of an employee under occupation code 23-1011, “Lawyers,” that is employed by the “Securities and Commodity Contracts Intermediation and Brokerage Industry,” which is $</w:t>
      </w:r>
      <w:r>
        <w:t>96</w:t>
      </w:r>
      <w:r w:rsidRPr="00446001">
        <w:t>.</w:t>
      </w:r>
      <w:r>
        <w:t xml:space="preserve">49; the </w:t>
      </w:r>
      <w:r w:rsidRPr="00446001">
        <w:t>mean hourly wage of an employee under occupation code 11-3031, “Financial Managers,” in the same industry</w:t>
      </w:r>
      <w:r>
        <w:t>, which is $87.16; and the mean hourly wage of an employee under occupation code-13-1041, “Compliance Officers” in the same industry, which is $43.98.</w:t>
      </w:r>
      <w:r w:rsidRPr="00446001">
        <w:rPr>
          <w:rStyle w:val="FootnoteReference"/>
        </w:rPr>
        <w:footnoteReference w:id="6"/>
      </w:r>
      <w:r w:rsidRPr="00446001">
        <w:t xml:space="preserve">  The Commission also notes that, the Commission took the foregoing data and then increased its hourly wage estimate in recognit</w:t>
      </w:r>
      <w:r w:rsidR="009020B1">
        <w:t>ion of the fact that SDs and MSP</w:t>
      </w:r>
      <w:r>
        <w:t>s</w:t>
      </w:r>
      <w:r w:rsidR="009020B1">
        <w:t xml:space="preserve"> are</w:t>
      </w:r>
      <w:r w:rsidRPr="00446001">
        <w:t xml:space="preserve"> large financial institutions whose employees’ salaries may exceed the mean wage.  The Commission also observes that </w:t>
      </w:r>
      <w:r w:rsidRPr="00FE0F48">
        <w:t>the Securities Industry and Financial Markets Association’s</w:t>
      </w:r>
      <w:r w:rsidRPr="00446001">
        <w:t xml:space="preserve"> Report on </w:t>
      </w:r>
      <w:r>
        <w:t>“</w:t>
      </w:r>
      <w:r w:rsidRPr="00446001">
        <w:t>Management &amp; Professional Earnings in the Securities Industry – 201</w:t>
      </w:r>
      <w:r>
        <w:t>3</w:t>
      </w:r>
      <w:r w:rsidRPr="00446001">
        <w:t xml:space="preserve">” estimates the average wage of a compliance attorney </w:t>
      </w:r>
      <w:r>
        <w:t xml:space="preserve">or compliance staffer (including chief compliance officers and directors of compliance) </w:t>
      </w:r>
      <w:r w:rsidRPr="00446001">
        <w:t>in the U</w:t>
      </w:r>
      <w:r>
        <w:t xml:space="preserve">nited </w:t>
      </w:r>
      <w:r w:rsidRPr="00446001">
        <w:t>S</w:t>
      </w:r>
      <w:r>
        <w:t>tates</w:t>
      </w:r>
      <w:r w:rsidRPr="00446001">
        <w:t xml:space="preserve"> at only $</w:t>
      </w:r>
      <w:r>
        <w:t xml:space="preserve">53.71 </w:t>
      </w:r>
      <w:r w:rsidRPr="00446001">
        <w:t>per hour.  The Commission recognize</w:t>
      </w:r>
      <w:r>
        <w:t xml:space="preserve">s that </w:t>
      </w:r>
      <w:r w:rsidRPr="00547762">
        <w:t xml:space="preserve">some </w:t>
      </w:r>
      <w:r w:rsidR="00455E64">
        <w:t>SDs or MSP</w:t>
      </w:r>
      <w:r>
        <w:t xml:space="preserve">s </w:t>
      </w:r>
      <w:r w:rsidRPr="00547762">
        <w:t xml:space="preserve">may hire outside counsel with expertise in the various regulatory areas covered by the combined final regulations and </w:t>
      </w:r>
      <w:r>
        <w:t xml:space="preserve">that </w:t>
      </w:r>
      <w:r w:rsidRPr="00547762">
        <w:t xml:space="preserve">outside counsel may be able to leverage its expertise to substantially reduce the number of hours </w:t>
      </w:r>
      <w:r w:rsidRPr="00547762">
        <w:lastRenderedPageBreak/>
        <w:t xml:space="preserve">needed to fulfill a requested assignment.  While the Commission is uncertain about the billing rates that </w:t>
      </w:r>
      <w:r>
        <w:t>these registrants</w:t>
      </w:r>
      <w:r w:rsidRPr="00547762">
        <w:t xml:space="preserve"> may pay for outside counsel, the Commission believes that such counsel may bill at a rate of several hundred dollars per hour.  </w:t>
      </w:r>
      <w:r w:rsidR="002B585C">
        <w:t>T</w:t>
      </w:r>
      <w:r w:rsidR="002B585C" w:rsidRPr="004E724E">
        <w:t>o account for the possibility that the services of outside counsel may be required to satisfy the requirements associated with negotiating, drafting, and maintaining the required trading relationship documentation (except the cleared swap records), the Commission has used an average salary of $125 per hour to calculate this burden for o</w:t>
      </w:r>
      <w:r w:rsidR="002B585C">
        <w:t xml:space="preserve">ne half of the necessary hours for the purposes of the category titled </w:t>
      </w:r>
      <w:r w:rsidR="002B585C" w:rsidRPr="004E724E">
        <w:t>“Recordkeeping: Swap Trading Relationship Documentation (</w:t>
      </w:r>
      <w:r w:rsidR="002B585C">
        <w:t>excluding cleared swap records).</w:t>
      </w:r>
      <w:r w:rsidR="002B585C" w:rsidRPr="004E724E">
        <w:t>”</w:t>
      </w:r>
      <w:r w:rsidR="002B585C">
        <w:t xml:space="preserve">  </w:t>
      </w:r>
    </w:p>
    <w:p w:rsidR="00BA1318" w:rsidRPr="00BA1318" w:rsidRDefault="00BA1318" w:rsidP="00BA1318">
      <w:pPr>
        <w:spacing w:after="0" w:line="240" w:lineRule="auto"/>
        <w:jc w:val="both"/>
        <w:rPr>
          <w:rFonts w:eastAsia="Times New Roman" w:cs="Times New Roman"/>
          <w:szCs w:val="24"/>
        </w:rPr>
      </w:pPr>
    </w:p>
    <w:p w:rsidR="00BA1318" w:rsidRPr="00BA1318" w:rsidRDefault="00EE350E" w:rsidP="00BA1318">
      <w:pPr>
        <w:spacing w:after="0" w:line="240" w:lineRule="auto"/>
        <w:jc w:val="both"/>
        <w:rPr>
          <w:rFonts w:eastAsia="Times New Roman" w:cs="Times New Roman"/>
          <w:szCs w:val="24"/>
        </w:rPr>
      </w:pPr>
      <w:r>
        <w:rPr>
          <w:rFonts w:eastAsia="Times New Roman" w:cs="Times New Roman"/>
          <w:szCs w:val="24"/>
        </w:rPr>
        <w:t>The burden hour estimates are as follows:</w:t>
      </w:r>
      <w:r w:rsidRPr="00EE350E">
        <w:rPr>
          <w:rFonts w:eastAsia="Times New Roman" w:cs="Times New Roman"/>
          <w:szCs w:val="24"/>
          <w:vertAlign w:val="superscript"/>
        </w:rPr>
        <w:footnoteReference w:id="7"/>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u w:val="single"/>
        </w:rPr>
        <w:t>Documentation NPRM</w:t>
      </w:r>
      <w:r w:rsidR="00EE350E" w:rsidRPr="00EE350E">
        <w:t xml:space="preserve"> </w:t>
      </w:r>
      <w:r w:rsidR="00EE350E">
        <w:t>(</w:t>
      </w:r>
      <w:r w:rsidR="00EE350E" w:rsidRPr="00EE350E">
        <w:rPr>
          <w:rFonts w:eastAsia="Times New Roman" w:cs="Times New Roman"/>
          <w:szCs w:val="24"/>
          <w:u w:val="single"/>
        </w:rPr>
        <w:t>OMB Control Number 3038-0088</w:t>
      </w:r>
      <w:r w:rsidR="00EE350E">
        <w:rPr>
          <w:rFonts w:eastAsia="Times New Roman" w:cs="Times New Roman"/>
          <w:szCs w:val="24"/>
          <w:u w:val="single"/>
        </w:rPr>
        <w:t>)</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Drafting and Updating Policies and Procedures</w:t>
      </w:r>
      <w:r w:rsidRPr="00BA1318">
        <w:rPr>
          <w:rFonts w:eastAsia="Times New Roman" w:cs="Times New Roman"/>
          <w:szCs w:val="24"/>
        </w:rPr>
        <w:t>.  This hour burden arises from the time necessary to develop and periodically update the policies and procedures required by the regulations.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05</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Initial drafting, updating as needed.</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number of annual responses per registrant: </w:t>
      </w:r>
      <w:r w:rsidR="009B74FE">
        <w:rPr>
          <w:rFonts w:eastAsia="Times New Roman" w:cs="Times New Roman"/>
          <w:szCs w:val="24"/>
        </w:rPr>
        <w:t>1</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aggregate number of annual responses: 1</w:t>
      </w:r>
      <w:r w:rsidR="0061024E">
        <w:rPr>
          <w:rFonts w:eastAsia="Times New Roman" w:cs="Times New Roman"/>
          <w:szCs w:val="24"/>
        </w:rPr>
        <w:t>05</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16 hours.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6B57CD">
        <w:rPr>
          <w:rFonts w:eastAsia="Times New Roman" w:cs="Times New Roman"/>
          <w:szCs w:val="24"/>
        </w:rPr>
        <w:t>1,680</w:t>
      </w:r>
      <w:r w:rsidRPr="00BA1318">
        <w:rPr>
          <w:rFonts w:eastAsia="Times New Roman" w:cs="Times New Roman"/>
          <w:szCs w:val="24"/>
        </w:rPr>
        <w:t xml:space="preserve"> burden hours [1</w:t>
      </w:r>
      <w:r w:rsidR="0061024E">
        <w:rPr>
          <w:rFonts w:eastAsia="Times New Roman" w:cs="Times New Roman"/>
          <w:szCs w:val="24"/>
        </w:rPr>
        <w:t>05</w:t>
      </w:r>
      <w:r w:rsidRPr="00BA1318">
        <w:rPr>
          <w:rFonts w:eastAsia="Times New Roman" w:cs="Times New Roman"/>
          <w:szCs w:val="24"/>
        </w:rPr>
        <w:t xml:space="preserve"> registrants × 16 hours per registrant].</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Swap Trading Relationship Documentation (excluding cleared swaps records)</w:t>
      </w:r>
      <w:r w:rsidRPr="00BA1318">
        <w:rPr>
          <w:rFonts w:eastAsia="Times New Roman" w:cs="Times New Roman"/>
          <w:szCs w:val="24"/>
        </w:rPr>
        <w:t xml:space="preserve">. This hour burden arises from the obligation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execute and maintain swap trading relationship documentation.</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05</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At least once per counterparty.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540</w:t>
      </w:r>
      <w:r w:rsidRPr="00BA1318">
        <w:rPr>
          <w:rFonts w:eastAsia="Times New Roman" w:cs="Times New Roman"/>
          <w:szCs w:val="24"/>
          <w:vertAlign w:val="superscript"/>
        </w:rPr>
        <w:footnoteReference w:id="8"/>
      </w:r>
      <w:r w:rsidRPr="00BA1318">
        <w:rPr>
          <w:rFonts w:eastAsia="Times New Roman" w:cs="Times New Roman"/>
          <w:szCs w:val="24"/>
        </w:rPr>
        <w:t xml:space="preserve"> [one set of agreements per counterparty].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number of annual responses: </w:t>
      </w:r>
      <w:r w:rsidR="006B57CD">
        <w:rPr>
          <w:rFonts w:eastAsia="Times New Roman" w:cs="Times New Roman"/>
          <w:szCs w:val="24"/>
        </w:rPr>
        <w:t>56,700</w:t>
      </w:r>
      <w:r w:rsidRPr="00BA1318">
        <w:rPr>
          <w:rFonts w:eastAsia="Times New Roman" w:cs="Times New Roman"/>
          <w:szCs w:val="24"/>
        </w:rPr>
        <w:t xml:space="preserve"> [1</w:t>
      </w:r>
      <w:r w:rsidR="0061024E">
        <w:rPr>
          <w:rFonts w:eastAsia="Times New Roman" w:cs="Times New Roman"/>
          <w:szCs w:val="24"/>
        </w:rPr>
        <w:t>0</w:t>
      </w:r>
      <w:r w:rsidRPr="00BA1318">
        <w:rPr>
          <w:rFonts w:eastAsia="Times New Roman" w:cs="Times New Roman"/>
          <w:szCs w:val="24"/>
        </w:rPr>
        <w:t>5 registrants × 540 counterparties].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5,400 [540 counterparties × 10 hours per counterparty].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6B57CD">
        <w:rPr>
          <w:rFonts w:eastAsia="Times New Roman" w:cs="Times New Roman"/>
          <w:szCs w:val="24"/>
        </w:rPr>
        <w:t>567</w:t>
      </w:r>
      <w:r w:rsidRPr="00BA1318">
        <w:rPr>
          <w:rFonts w:eastAsia="Times New Roman" w:cs="Times New Roman"/>
          <w:szCs w:val="24"/>
        </w:rPr>
        <w:t>,000 [1</w:t>
      </w:r>
      <w:r w:rsidR="0061024E">
        <w:rPr>
          <w:rFonts w:eastAsia="Times New Roman" w:cs="Times New Roman"/>
          <w:szCs w:val="24"/>
        </w:rPr>
        <w:t>0</w:t>
      </w:r>
      <w:r w:rsidRPr="00BA1318">
        <w:rPr>
          <w:rFonts w:eastAsia="Times New Roman" w:cs="Times New Roman"/>
          <w:szCs w:val="24"/>
        </w:rPr>
        <w:t>5 registrants × 5,400 hours per registrant].</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Cleared Swap Recordkeeping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specified information related to each swap accepted for clearing by a derivatives clearing organization.</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Daily.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252 [252 trading days per year].</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number of annual responses: </w:t>
      </w:r>
      <w:r w:rsidR="006B57CD">
        <w:rPr>
          <w:rFonts w:eastAsia="Times New Roman" w:cs="Times New Roman"/>
          <w:szCs w:val="24"/>
        </w:rPr>
        <w:t>26,460</w:t>
      </w:r>
      <w:r w:rsidRPr="00BA1318">
        <w:rPr>
          <w:rFonts w:eastAsia="Times New Roman" w:cs="Times New Roman"/>
          <w:szCs w:val="24"/>
        </w:rPr>
        <w:t xml:space="preserve"> [1</w:t>
      </w:r>
      <w:r w:rsidR="0061024E">
        <w:rPr>
          <w:rFonts w:eastAsia="Times New Roman" w:cs="Times New Roman"/>
          <w:szCs w:val="24"/>
        </w:rPr>
        <w:t>0</w:t>
      </w:r>
      <w:r w:rsidRPr="00BA1318">
        <w:rPr>
          <w:rFonts w:eastAsia="Times New Roman" w:cs="Times New Roman"/>
          <w:szCs w:val="24"/>
        </w:rPr>
        <w:t>5 registrants × 252 trading days].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504 [252 trading days × 2 hours per trading day].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hour burden: </w:t>
      </w:r>
      <w:r w:rsidR="006B57CD">
        <w:rPr>
          <w:rFonts w:eastAsia="Times New Roman" w:cs="Times New Roman"/>
          <w:szCs w:val="24"/>
        </w:rPr>
        <w:t>52,920</w:t>
      </w:r>
      <w:r w:rsidRPr="00BA1318">
        <w:rPr>
          <w:rFonts w:eastAsia="Times New Roman" w:cs="Times New Roman"/>
          <w:szCs w:val="24"/>
        </w:rPr>
        <w:t xml:space="preserve"> [1</w:t>
      </w:r>
      <w:r w:rsidR="0061024E">
        <w:rPr>
          <w:rFonts w:eastAsia="Times New Roman" w:cs="Times New Roman"/>
          <w:szCs w:val="24"/>
        </w:rPr>
        <w:t>0</w:t>
      </w:r>
      <w:r w:rsidRPr="00BA1318">
        <w:rPr>
          <w:rFonts w:eastAsia="Times New Roman" w:cs="Times New Roman"/>
          <w:szCs w:val="24"/>
        </w:rPr>
        <w:t>5 registrants × 504 hours].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Audit Recordkeeping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the results of their annual internal or external audits to examine for compliance with the requirements of the regulations.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Annually.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1.</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aggregate number of annual responses: 1</w:t>
      </w:r>
      <w:r w:rsidR="0061024E">
        <w:rPr>
          <w:rFonts w:eastAsia="Times New Roman" w:cs="Times New Roman"/>
          <w:szCs w:val="24"/>
        </w:rPr>
        <w:t>0</w:t>
      </w:r>
      <w:r w:rsidRPr="00BA1318">
        <w:rPr>
          <w:rFonts w:eastAsia="Times New Roman" w:cs="Times New Roman"/>
          <w:szCs w:val="24"/>
        </w:rPr>
        <w:t>5 [1</w:t>
      </w:r>
      <w:r w:rsidR="003E70F4">
        <w:rPr>
          <w:rFonts w:eastAsia="Times New Roman" w:cs="Times New Roman"/>
          <w:szCs w:val="24"/>
        </w:rPr>
        <w:t>0</w:t>
      </w:r>
      <w:r w:rsidRPr="00BA1318">
        <w:rPr>
          <w:rFonts w:eastAsia="Times New Roman" w:cs="Times New Roman"/>
          <w:szCs w:val="24"/>
        </w:rPr>
        <w:t>5 registrants × 1].</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annual hour burden per registrant: </w:t>
      </w:r>
      <w:r w:rsidR="00E165E8">
        <w:rPr>
          <w:rFonts w:eastAsia="Times New Roman" w:cs="Times New Roman"/>
          <w:szCs w:val="24"/>
        </w:rPr>
        <w:t>120</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E165E8">
        <w:rPr>
          <w:rFonts w:eastAsia="Times New Roman" w:cs="Times New Roman"/>
          <w:szCs w:val="24"/>
        </w:rPr>
        <w:t>12,600</w:t>
      </w:r>
      <w:r w:rsidRPr="00BA1318">
        <w:rPr>
          <w:rFonts w:eastAsia="Times New Roman" w:cs="Times New Roman"/>
          <w:szCs w:val="24"/>
        </w:rPr>
        <w:t xml:space="preserve"> [1</w:t>
      </w:r>
      <w:r w:rsidR="0061024E">
        <w:rPr>
          <w:rFonts w:eastAsia="Times New Roman" w:cs="Times New Roman"/>
          <w:szCs w:val="24"/>
        </w:rPr>
        <w:t>0</w:t>
      </w:r>
      <w:r w:rsidRPr="00BA1318">
        <w:rPr>
          <w:rFonts w:eastAsia="Times New Roman" w:cs="Times New Roman"/>
          <w:szCs w:val="24"/>
        </w:rPr>
        <w:t xml:space="preserve">5 registrants × </w:t>
      </w:r>
      <w:r w:rsidR="00E165E8">
        <w:rPr>
          <w:rFonts w:eastAsia="Times New Roman" w:cs="Times New Roman"/>
          <w:szCs w:val="24"/>
        </w:rPr>
        <w:t>120</w:t>
      </w:r>
      <w:r w:rsidRPr="00BA1318">
        <w:rPr>
          <w:rFonts w:eastAsia="Times New Roman" w:cs="Times New Roman"/>
          <w:szCs w:val="24"/>
        </w:rPr>
        <w:t xml:space="preserve"> hours].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Valuation Dispute Reporting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submit reports of certain unresolved valuation disputes.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As applicable.</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240.</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number of annual responses: </w:t>
      </w:r>
      <w:r w:rsidR="00451353">
        <w:rPr>
          <w:rFonts w:eastAsia="Times New Roman" w:cs="Times New Roman"/>
          <w:szCs w:val="24"/>
        </w:rPr>
        <w:t>25</w:t>
      </w:r>
      <w:r w:rsidRPr="00BA1318">
        <w:rPr>
          <w:rFonts w:eastAsia="Times New Roman" w:cs="Times New Roman"/>
          <w:szCs w:val="24"/>
        </w:rPr>
        <w:t>,</w:t>
      </w:r>
      <w:r w:rsidR="00451353">
        <w:rPr>
          <w:rFonts w:eastAsia="Times New Roman" w:cs="Times New Roman"/>
          <w:szCs w:val="24"/>
        </w:rPr>
        <w:t>2</w:t>
      </w:r>
      <w:r w:rsidRPr="00BA1318">
        <w:rPr>
          <w:rFonts w:eastAsia="Times New Roman" w:cs="Times New Roman"/>
          <w:szCs w:val="24"/>
        </w:rPr>
        <w:t>00 [1</w:t>
      </w:r>
      <w:r w:rsidR="0061024E">
        <w:rPr>
          <w:rFonts w:eastAsia="Times New Roman" w:cs="Times New Roman"/>
          <w:szCs w:val="24"/>
        </w:rPr>
        <w:t>0</w:t>
      </w:r>
      <w:r w:rsidRPr="00BA1318">
        <w:rPr>
          <w:rFonts w:eastAsia="Times New Roman" w:cs="Times New Roman"/>
          <w:szCs w:val="24"/>
        </w:rPr>
        <w:t>5 registrants × 240 responses].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24.</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451353">
        <w:rPr>
          <w:rFonts w:eastAsia="Times New Roman" w:cs="Times New Roman"/>
          <w:szCs w:val="24"/>
        </w:rPr>
        <w:t>2,520</w:t>
      </w:r>
      <w:r w:rsidRPr="00BA1318">
        <w:rPr>
          <w:rFonts w:eastAsia="Times New Roman" w:cs="Times New Roman"/>
          <w:szCs w:val="24"/>
        </w:rPr>
        <w:t xml:space="preserve"> [1</w:t>
      </w:r>
      <w:r w:rsidR="0061024E">
        <w:rPr>
          <w:rFonts w:eastAsia="Times New Roman" w:cs="Times New Roman"/>
          <w:szCs w:val="24"/>
        </w:rPr>
        <w:t>0</w:t>
      </w:r>
      <w:r w:rsidRPr="00BA1318">
        <w:rPr>
          <w:rFonts w:eastAsia="Times New Roman" w:cs="Times New Roman"/>
          <w:szCs w:val="24"/>
        </w:rPr>
        <w:t>5 registrants × 24 hours].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End user Exception Documentation Recordkeeping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its end user exception documentation.</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Once per applicable counterparty.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220.</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aggregate number of annual responses: 2</w:t>
      </w:r>
      <w:r w:rsidR="00451353">
        <w:rPr>
          <w:rFonts w:eastAsia="Times New Roman" w:cs="Times New Roman"/>
          <w:szCs w:val="24"/>
        </w:rPr>
        <w:t>3</w:t>
      </w:r>
      <w:r w:rsidRPr="00BA1318">
        <w:rPr>
          <w:rFonts w:eastAsia="Times New Roman" w:cs="Times New Roman"/>
          <w:szCs w:val="24"/>
        </w:rPr>
        <w:t>,</w:t>
      </w:r>
      <w:r w:rsidR="00451353">
        <w:rPr>
          <w:rFonts w:eastAsia="Times New Roman" w:cs="Times New Roman"/>
          <w:szCs w:val="24"/>
        </w:rPr>
        <w:t>1</w:t>
      </w:r>
      <w:r w:rsidRPr="00BA1318">
        <w:rPr>
          <w:rFonts w:eastAsia="Times New Roman" w:cs="Times New Roman"/>
          <w:szCs w:val="24"/>
        </w:rPr>
        <w:t>00 [1</w:t>
      </w:r>
      <w:r w:rsidR="0061024E">
        <w:rPr>
          <w:rFonts w:eastAsia="Times New Roman" w:cs="Times New Roman"/>
          <w:szCs w:val="24"/>
        </w:rPr>
        <w:t>0</w:t>
      </w:r>
      <w:r w:rsidRPr="00BA1318">
        <w:rPr>
          <w:rFonts w:eastAsia="Times New Roman" w:cs="Times New Roman"/>
          <w:szCs w:val="24"/>
        </w:rPr>
        <w:t>5 registrants × 220 responses].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220 [220 responses × 1 hour per response].</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aggregate annual hour burden: 2</w:t>
      </w:r>
      <w:r w:rsidR="00451353">
        <w:rPr>
          <w:rFonts w:eastAsia="Times New Roman" w:cs="Times New Roman"/>
          <w:szCs w:val="24"/>
        </w:rPr>
        <w:t>3</w:t>
      </w:r>
      <w:r w:rsidRPr="00BA1318">
        <w:rPr>
          <w:rFonts w:eastAsia="Times New Roman" w:cs="Times New Roman"/>
          <w:szCs w:val="24"/>
        </w:rPr>
        <w:t>,</w:t>
      </w:r>
      <w:r w:rsidR="00451353">
        <w:rPr>
          <w:rFonts w:eastAsia="Times New Roman" w:cs="Times New Roman"/>
          <w:szCs w:val="24"/>
        </w:rPr>
        <w:t>1</w:t>
      </w:r>
      <w:r w:rsidRPr="00BA1318">
        <w:rPr>
          <w:rFonts w:eastAsia="Times New Roman" w:cs="Times New Roman"/>
          <w:szCs w:val="24"/>
        </w:rPr>
        <w:t>00 [1</w:t>
      </w:r>
      <w:r w:rsidR="0061024E">
        <w:rPr>
          <w:rFonts w:eastAsia="Times New Roman" w:cs="Times New Roman"/>
          <w:szCs w:val="24"/>
        </w:rPr>
        <w:t>0</w:t>
      </w:r>
      <w:r w:rsidRPr="00BA1318">
        <w:rPr>
          <w:rFonts w:eastAsia="Times New Roman" w:cs="Times New Roman"/>
          <w:szCs w:val="24"/>
        </w:rPr>
        <w:t>5 registrants × 220 responses].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2D6FF4">
      <w:pPr>
        <w:keepNext/>
        <w:keepLines/>
        <w:spacing w:after="0" w:line="240" w:lineRule="auto"/>
        <w:jc w:val="both"/>
        <w:rPr>
          <w:rFonts w:eastAsia="Times New Roman" w:cs="Times New Roman"/>
          <w:szCs w:val="24"/>
          <w:u w:val="single"/>
        </w:rPr>
      </w:pPr>
      <w:r w:rsidRPr="00BA1318">
        <w:rPr>
          <w:rFonts w:eastAsia="Times New Roman" w:cs="Times New Roman"/>
          <w:szCs w:val="24"/>
          <w:u w:val="single"/>
        </w:rPr>
        <w:t>Confirmation NPRM</w:t>
      </w:r>
      <w:r w:rsidR="00EE350E" w:rsidRPr="00EE350E">
        <w:t xml:space="preserve"> </w:t>
      </w:r>
      <w:r w:rsidR="00EE350E">
        <w:t>(</w:t>
      </w:r>
      <w:r w:rsidR="00EE350E">
        <w:rPr>
          <w:rFonts w:eastAsia="Times New Roman" w:cs="Times New Roman"/>
          <w:szCs w:val="24"/>
          <w:u w:val="single"/>
        </w:rPr>
        <w:t>OMB Control Number 3038-006</w:t>
      </w:r>
      <w:r w:rsidR="00EE350E" w:rsidRPr="00EE350E">
        <w:rPr>
          <w:rFonts w:eastAsia="Times New Roman" w:cs="Times New Roman"/>
          <w:szCs w:val="24"/>
          <w:u w:val="single"/>
        </w:rPr>
        <w:t>8</w:t>
      </w:r>
      <w:r w:rsidR="00EE350E">
        <w:rPr>
          <w:rFonts w:eastAsia="Times New Roman" w:cs="Times New Roman"/>
          <w:szCs w:val="24"/>
          <w:u w:val="single"/>
        </w:rPr>
        <w:t>)</w:t>
      </w:r>
      <w:r w:rsidRPr="00BA1318">
        <w:rPr>
          <w:rFonts w:eastAsia="Times New Roman" w:cs="Times New Roman"/>
          <w:szCs w:val="24"/>
        </w:rPr>
        <w:t>:</w:t>
      </w:r>
    </w:p>
    <w:p w:rsidR="00BA1318" w:rsidRPr="00BA1318" w:rsidRDefault="00BA1318" w:rsidP="002D6FF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0"/>
        </w:rPr>
      </w:pPr>
      <w:r w:rsidRPr="00BA1318">
        <w:rPr>
          <w:rFonts w:eastAsia="Times New Roman" w:cs="Times New Roman"/>
          <w:szCs w:val="20"/>
        </w:rPr>
        <w:tab/>
      </w:r>
    </w:p>
    <w:p w:rsidR="00BA1318" w:rsidRPr="00BA1318" w:rsidRDefault="00BA1318" w:rsidP="002D6FF4">
      <w:pPr>
        <w:keepNext/>
        <w:keepLines/>
        <w:spacing w:after="0" w:line="240" w:lineRule="auto"/>
        <w:jc w:val="both"/>
        <w:rPr>
          <w:rFonts w:eastAsia="Times New Roman" w:cs="Times New Roman"/>
          <w:szCs w:val="24"/>
        </w:rPr>
      </w:pPr>
      <w:r w:rsidRPr="00BA1318">
        <w:rPr>
          <w:rFonts w:eastAsia="Times New Roman" w:cs="Times New Roman"/>
          <w:i/>
          <w:szCs w:val="24"/>
        </w:rPr>
        <w:t>Drafting and Updating Policies and Procedures</w:t>
      </w:r>
      <w:r w:rsidRPr="00BA1318">
        <w:rPr>
          <w:rFonts w:eastAsia="Times New Roman" w:cs="Times New Roman"/>
          <w:szCs w:val="24"/>
        </w:rPr>
        <w:t>.  This hourly burden arises from the time necessary to develop and periodically update the policies and procedures required by the regulations.</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lastRenderedPageBreak/>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initial implementation, updating as needed.</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1.</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aggregate number of annual responses: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40 hours.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451353">
        <w:rPr>
          <w:rFonts w:eastAsia="Times New Roman" w:cs="Times New Roman"/>
          <w:szCs w:val="24"/>
        </w:rPr>
        <w:t>4</w:t>
      </w:r>
      <w:r w:rsidRPr="00BA1318">
        <w:rPr>
          <w:rFonts w:eastAsia="Times New Roman" w:cs="Times New Roman"/>
          <w:szCs w:val="24"/>
        </w:rPr>
        <w:t>,</w:t>
      </w:r>
      <w:r w:rsidR="00451353">
        <w:rPr>
          <w:rFonts w:eastAsia="Times New Roman" w:cs="Times New Roman"/>
          <w:szCs w:val="24"/>
        </w:rPr>
        <w:t>2</w:t>
      </w:r>
      <w:r w:rsidRPr="00BA1318">
        <w:rPr>
          <w:rFonts w:eastAsia="Times New Roman" w:cs="Times New Roman"/>
          <w:szCs w:val="24"/>
        </w:rPr>
        <w:t>00 burden hours [1</w:t>
      </w:r>
      <w:r w:rsidR="0061024E">
        <w:rPr>
          <w:rFonts w:eastAsia="Times New Roman" w:cs="Times New Roman"/>
          <w:szCs w:val="24"/>
        </w:rPr>
        <w:t>0</w:t>
      </w:r>
      <w:r w:rsidRPr="00BA1318">
        <w:rPr>
          <w:rFonts w:eastAsia="Times New Roman" w:cs="Times New Roman"/>
          <w:szCs w:val="24"/>
        </w:rPr>
        <w:t>5 registrants x 40 hours per registrant].</w:t>
      </w:r>
    </w:p>
    <w:p w:rsidR="00BA1318" w:rsidRPr="00BA1318" w:rsidRDefault="00BA1318" w:rsidP="00BA1318">
      <w:pPr>
        <w:spacing w:after="0" w:line="240" w:lineRule="auto"/>
        <w:jc w:val="both"/>
        <w:rPr>
          <w:rFonts w:eastAsia="Times New Roman" w:cs="Times New Roman"/>
          <w:szCs w:val="24"/>
          <w:u w:val="single"/>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Acknowledgment and Confirmation Recordkeeping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the date and time of transmission to, or receipt from, a counterparty of an acknowledgment or confirmation; the length of time between the acknowledgment and confirmation of each swap; and the length of time between the execution and confirmation of each swap.</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daily.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252 [252 trading days].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number of annual responses: </w:t>
      </w:r>
      <w:r w:rsidR="00451353">
        <w:rPr>
          <w:rFonts w:eastAsia="Times New Roman" w:cs="Times New Roman"/>
          <w:szCs w:val="24"/>
        </w:rPr>
        <w:t>26,460</w:t>
      </w:r>
      <w:r w:rsidRPr="00BA1318">
        <w:rPr>
          <w:rFonts w:eastAsia="Times New Roman" w:cs="Times New Roman"/>
          <w:szCs w:val="24"/>
        </w:rPr>
        <w:t xml:space="preserve"> [1</w:t>
      </w:r>
      <w:r w:rsidR="0061024E">
        <w:rPr>
          <w:rFonts w:eastAsia="Times New Roman" w:cs="Times New Roman"/>
          <w:szCs w:val="24"/>
        </w:rPr>
        <w:t>0</w:t>
      </w:r>
      <w:r w:rsidRPr="00BA1318">
        <w:rPr>
          <w:rFonts w:eastAsia="Times New Roman" w:cs="Times New Roman"/>
          <w:szCs w:val="24"/>
        </w:rPr>
        <w:t>5 registrants x 252 trading days].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252 [252 trading days x 1 hour per day].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451353">
        <w:rPr>
          <w:rFonts w:eastAsia="Times New Roman" w:cs="Times New Roman"/>
          <w:szCs w:val="24"/>
        </w:rPr>
        <w:t>26</w:t>
      </w:r>
      <w:r w:rsidR="003903AF">
        <w:rPr>
          <w:rFonts w:eastAsia="Times New Roman" w:cs="Times New Roman"/>
          <w:szCs w:val="24"/>
        </w:rPr>
        <w:t>,</w:t>
      </w:r>
      <w:r w:rsidR="00451353">
        <w:rPr>
          <w:rFonts w:eastAsia="Times New Roman" w:cs="Times New Roman"/>
          <w:szCs w:val="24"/>
        </w:rPr>
        <w:t>460</w:t>
      </w:r>
      <w:r w:rsidRPr="00BA1318">
        <w:rPr>
          <w:rFonts w:eastAsia="Times New Roman" w:cs="Times New Roman"/>
          <w:szCs w:val="24"/>
        </w:rPr>
        <w:t xml:space="preserve"> burden hours [1</w:t>
      </w:r>
      <w:r w:rsidR="0061024E">
        <w:rPr>
          <w:rFonts w:eastAsia="Times New Roman" w:cs="Times New Roman"/>
          <w:szCs w:val="24"/>
        </w:rPr>
        <w:t>0</w:t>
      </w:r>
      <w:r w:rsidRPr="00BA1318">
        <w:rPr>
          <w:rFonts w:eastAsia="Times New Roman" w:cs="Times New Roman"/>
          <w:szCs w:val="24"/>
        </w:rPr>
        <w:t>5 registrants x 252 hours].</w:t>
      </w:r>
    </w:p>
    <w:p w:rsidR="00BA1318" w:rsidRPr="00BA1318" w:rsidRDefault="00BA1318" w:rsidP="00BA1318">
      <w:pPr>
        <w:spacing w:after="0" w:line="240" w:lineRule="auto"/>
        <w:jc w:val="both"/>
        <w:rPr>
          <w:rFonts w:eastAsia="Times New Roman" w:cs="Times New Roman"/>
          <w:szCs w:val="24"/>
          <w:u w:val="single"/>
        </w:rPr>
      </w:pPr>
    </w:p>
    <w:p w:rsidR="00BA1318" w:rsidRPr="00BA1318" w:rsidRDefault="00BA1318" w:rsidP="00BA1318">
      <w:pPr>
        <w:spacing w:after="0" w:line="240" w:lineRule="auto"/>
        <w:jc w:val="both"/>
        <w:rPr>
          <w:rFonts w:eastAsia="Times New Roman" w:cs="Times New Roman"/>
          <w:szCs w:val="24"/>
          <w:u w:val="single"/>
        </w:rPr>
      </w:pPr>
      <w:r w:rsidRPr="00BA1318">
        <w:rPr>
          <w:rFonts w:eastAsia="Times New Roman" w:cs="Times New Roman"/>
          <w:i/>
          <w:szCs w:val="24"/>
        </w:rPr>
        <w:t>Portfolio Reconciliation Recordkeeping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the portfolio reconciliation exercises in which they engage.</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daily, weekly, quarterly, or annually.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8,120.</w:t>
      </w:r>
      <w:r w:rsidRPr="00BA1318">
        <w:rPr>
          <w:rFonts w:eastAsia="Times New Roman" w:cs="Times New Roman"/>
          <w:szCs w:val="24"/>
          <w:vertAlign w:val="superscript"/>
        </w:rPr>
        <w:footnoteReference w:id="9"/>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number of annual responses:  </w:t>
      </w:r>
      <w:r w:rsidR="00B74E9A">
        <w:rPr>
          <w:rFonts w:eastAsia="Times New Roman" w:cs="Times New Roman"/>
          <w:szCs w:val="24"/>
        </w:rPr>
        <w:t>852,600</w:t>
      </w:r>
      <w:r w:rsidRPr="00BA1318">
        <w:rPr>
          <w:rFonts w:eastAsia="Times New Roman" w:cs="Times New Roman"/>
          <w:szCs w:val="24"/>
        </w:rPr>
        <w:t xml:space="preserve"> [1</w:t>
      </w:r>
      <w:r w:rsidR="0061024E">
        <w:rPr>
          <w:rFonts w:eastAsia="Times New Roman" w:cs="Times New Roman"/>
          <w:szCs w:val="24"/>
        </w:rPr>
        <w:t>0</w:t>
      </w:r>
      <w:r w:rsidRPr="00BA1318">
        <w:rPr>
          <w:rFonts w:eastAsia="Times New Roman" w:cs="Times New Roman"/>
          <w:szCs w:val="24"/>
        </w:rPr>
        <w:t>5 registrants x 8,120 responses].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812 hours [8,120 x .10 hours per response].</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B74E9A">
        <w:rPr>
          <w:rFonts w:eastAsia="Times New Roman" w:cs="Times New Roman"/>
          <w:szCs w:val="24"/>
        </w:rPr>
        <w:t>85,26</w:t>
      </w:r>
      <w:r w:rsidRPr="00BA1318">
        <w:rPr>
          <w:rFonts w:eastAsia="Times New Roman" w:cs="Times New Roman"/>
          <w:szCs w:val="24"/>
        </w:rPr>
        <w:t>0 burden hours [1</w:t>
      </w:r>
      <w:r w:rsidR="0061024E">
        <w:rPr>
          <w:rFonts w:eastAsia="Times New Roman" w:cs="Times New Roman"/>
          <w:szCs w:val="24"/>
        </w:rPr>
        <w:t>0</w:t>
      </w:r>
      <w:r w:rsidRPr="00BA1318">
        <w:rPr>
          <w:rFonts w:eastAsia="Times New Roman" w:cs="Times New Roman"/>
          <w:szCs w:val="24"/>
        </w:rPr>
        <w:t>5 registrants x 812 hours per registrant].</w:t>
      </w:r>
    </w:p>
    <w:p w:rsidR="00BA1318" w:rsidRPr="00BA1318" w:rsidRDefault="00BA1318" w:rsidP="00BA1318">
      <w:pPr>
        <w:spacing w:after="0" w:line="240" w:lineRule="auto"/>
        <w:jc w:val="both"/>
        <w:rPr>
          <w:rFonts w:eastAsia="Times New Roman" w:cs="Times New Roman"/>
          <w:szCs w:val="24"/>
          <w:u w:val="single"/>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Portfolio Compression Recordkeeping</w:t>
      </w:r>
      <w:r w:rsidRPr="00BA1318">
        <w:rPr>
          <w:rFonts w:eastAsia="Times New Roman" w:cs="Times New Roman"/>
          <w:szCs w:val="24"/>
        </w:rPr>
        <w:t xml:space="preserve">.  This hourly burden results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the bilateral offsets and portfolio compression exercises in which they participate.  </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as needed.</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1,029 [24 multilateral compression records] + [465 bilateral compression exercise records] + [540 bilateral offset records].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lastRenderedPageBreak/>
        <w:t>Estimated aggregate number of annual responses: 1</w:t>
      </w:r>
      <w:r w:rsidR="00C177F3">
        <w:rPr>
          <w:rFonts w:eastAsia="Times New Roman" w:cs="Times New Roman"/>
          <w:szCs w:val="24"/>
        </w:rPr>
        <w:t>0</w:t>
      </w:r>
      <w:r w:rsidRPr="00BA1318">
        <w:rPr>
          <w:rFonts w:eastAsia="Times New Roman" w:cs="Times New Roman"/>
          <w:szCs w:val="24"/>
        </w:rPr>
        <w:t>8,</w:t>
      </w:r>
      <w:r w:rsidR="00C177F3">
        <w:rPr>
          <w:rFonts w:eastAsia="Times New Roman" w:cs="Times New Roman"/>
          <w:szCs w:val="24"/>
        </w:rPr>
        <w:t>04</w:t>
      </w:r>
      <w:r w:rsidRPr="00BA1318">
        <w:rPr>
          <w:rFonts w:eastAsia="Times New Roman" w:cs="Times New Roman"/>
          <w:szCs w:val="24"/>
        </w:rPr>
        <w:t>5 [1</w:t>
      </w:r>
      <w:r w:rsidR="0061024E">
        <w:rPr>
          <w:rFonts w:eastAsia="Times New Roman" w:cs="Times New Roman"/>
          <w:szCs w:val="24"/>
        </w:rPr>
        <w:t>0</w:t>
      </w:r>
      <w:r w:rsidRPr="00BA1318">
        <w:rPr>
          <w:rFonts w:eastAsia="Times New Roman" w:cs="Times New Roman"/>
          <w:szCs w:val="24"/>
        </w:rPr>
        <w:t>5 registrants x 1,029 responses per year].</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178.5 hours [24 multilateral compression records x .5 hours per records] + [465 bilateral compression exercise records x .3 hours per records] + [540 bilateral offset records x .05 hours per record].</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C177F3">
        <w:rPr>
          <w:rFonts w:eastAsia="Times New Roman" w:cs="Times New Roman"/>
          <w:szCs w:val="24"/>
        </w:rPr>
        <w:t>19,278</w:t>
      </w:r>
      <w:r w:rsidRPr="00BA1318">
        <w:rPr>
          <w:rFonts w:eastAsia="Times New Roman" w:cs="Times New Roman"/>
          <w:szCs w:val="24"/>
        </w:rPr>
        <w:t xml:space="preserve"> burden hours [1</w:t>
      </w:r>
      <w:r w:rsidR="00C177F3">
        <w:rPr>
          <w:rFonts w:eastAsia="Times New Roman" w:cs="Times New Roman"/>
          <w:szCs w:val="24"/>
        </w:rPr>
        <w:t>0</w:t>
      </w:r>
      <w:r w:rsidRPr="00BA1318">
        <w:rPr>
          <w:rFonts w:eastAsia="Times New Roman" w:cs="Times New Roman"/>
          <w:szCs w:val="24"/>
        </w:rPr>
        <w:t>5 registrants x 178.5 hours per registrant].</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u w:val="single"/>
        </w:rPr>
      </w:pPr>
      <w:r w:rsidRPr="00BA1318">
        <w:rPr>
          <w:rFonts w:eastAsia="Times New Roman" w:cs="Times New Roman"/>
          <w:szCs w:val="24"/>
          <w:u w:val="single"/>
        </w:rPr>
        <w:t>Orderly Liquidation NPRM</w:t>
      </w:r>
      <w:r w:rsidR="001E76E1" w:rsidRPr="001E76E1">
        <w:t xml:space="preserve"> </w:t>
      </w:r>
      <w:r w:rsidR="001E76E1">
        <w:t>(</w:t>
      </w:r>
      <w:r w:rsidR="001E76E1" w:rsidRPr="001E76E1">
        <w:rPr>
          <w:rFonts w:eastAsia="Times New Roman" w:cs="Times New Roman"/>
          <w:szCs w:val="24"/>
          <w:u w:val="single"/>
        </w:rPr>
        <w:t>OMB Control Number 3038-0083)</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i/>
          <w:szCs w:val="24"/>
        </w:rPr>
        <w:t>Orderly Liquidation Termination Notice Provision</w:t>
      </w:r>
      <w:r w:rsidRPr="00BA1318">
        <w:rPr>
          <w:rFonts w:eastAsia="Times New Roman" w:cs="Times New Roman"/>
          <w:szCs w:val="24"/>
        </w:rPr>
        <w:t>.</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Number of registrants: 1</w:t>
      </w:r>
      <w:r w:rsidR="00C177F3">
        <w:rPr>
          <w:rFonts w:eastAsia="Times New Roman" w:cs="Times New Roman"/>
          <w:szCs w:val="24"/>
        </w:rPr>
        <w:t>0</w:t>
      </w:r>
      <w:r w:rsidRPr="00BA1318">
        <w:rPr>
          <w:rFonts w:eastAsia="Times New Roman" w:cs="Times New Roman"/>
          <w:szCs w:val="24"/>
        </w:rPr>
        <w:t>5.</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Frequency of collection: At least once per counterparty.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number of annual responses per registrant: 540 [one per counterparty].</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number of annual responses: </w:t>
      </w:r>
      <w:r w:rsidR="00C177F3">
        <w:rPr>
          <w:rFonts w:eastAsia="Times New Roman" w:cs="Times New Roman"/>
          <w:szCs w:val="24"/>
        </w:rPr>
        <w:t>5</w:t>
      </w:r>
      <w:r w:rsidRPr="00BA1318">
        <w:rPr>
          <w:rFonts w:eastAsia="Times New Roman" w:cs="Times New Roman"/>
          <w:szCs w:val="24"/>
        </w:rPr>
        <w:t>7,</w:t>
      </w:r>
      <w:r w:rsidR="00C177F3">
        <w:rPr>
          <w:rFonts w:eastAsia="Times New Roman" w:cs="Times New Roman"/>
          <w:szCs w:val="24"/>
        </w:rPr>
        <w:t>7</w:t>
      </w:r>
      <w:r w:rsidRPr="00BA1318">
        <w:rPr>
          <w:rFonts w:eastAsia="Times New Roman" w:cs="Times New Roman"/>
          <w:szCs w:val="24"/>
        </w:rPr>
        <w:t>00 [1</w:t>
      </w:r>
      <w:r w:rsidR="00C177F3">
        <w:rPr>
          <w:rFonts w:eastAsia="Times New Roman" w:cs="Times New Roman"/>
          <w:szCs w:val="24"/>
        </w:rPr>
        <w:t>0</w:t>
      </w:r>
      <w:r w:rsidRPr="00BA1318">
        <w:rPr>
          <w:rFonts w:eastAsia="Times New Roman" w:cs="Times New Roman"/>
          <w:szCs w:val="24"/>
        </w:rPr>
        <w:t>5 registrants × 540 counterparties].</w:t>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Estimated annual hour burden per registrant: 270 [540 counterparties × .5 hours per counterparty].</w:t>
      </w:r>
      <w:r w:rsidRPr="00BA1318">
        <w:rPr>
          <w:rFonts w:eastAsia="Times New Roman" w:cs="Times New Roman"/>
          <w:szCs w:val="24"/>
          <w:vertAlign w:val="superscript"/>
        </w:rPr>
        <w:footnoteReference w:id="10"/>
      </w:r>
    </w:p>
    <w:p w:rsidR="00BA1318" w:rsidRPr="00BA1318" w:rsidRDefault="00BA1318" w:rsidP="00BA1318">
      <w:pPr>
        <w:spacing w:after="0" w:line="240" w:lineRule="auto"/>
        <w:jc w:val="both"/>
        <w:rPr>
          <w:rFonts w:eastAsia="Times New Roman" w:cs="Times New Roman"/>
          <w:szCs w:val="24"/>
        </w:rPr>
      </w:pPr>
      <w:r w:rsidRPr="00BA1318">
        <w:rPr>
          <w:rFonts w:eastAsia="Times New Roman" w:cs="Times New Roman"/>
          <w:szCs w:val="24"/>
        </w:rPr>
        <w:t xml:space="preserve">Estimated aggregate annual hour burden: </w:t>
      </w:r>
      <w:r w:rsidR="00C177F3">
        <w:rPr>
          <w:rFonts w:eastAsia="Times New Roman" w:cs="Times New Roman"/>
          <w:szCs w:val="24"/>
        </w:rPr>
        <w:t>28</w:t>
      </w:r>
      <w:r w:rsidRPr="00BA1318">
        <w:rPr>
          <w:rFonts w:eastAsia="Times New Roman" w:cs="Times New Roman"/>
          <w:szCs w:val="24"/>
        </w:rPr>
        <w:t>,</w:t>
      </w:r>
      <w:r w:rsidR="00C177F3">
        <w:rPr>
          <w:rFonts w:eastAsia="Times New Roman" w:cs="Times New Roman"/>
          <w:szCs w:val="24"/>
        </w:rPr>
        <w:t>3</w:t>
      </w:r>
      <w:r w:rsidRPr="00BA1318">
        <w:rPr>
          <w:rFonts w:eastAsia="Times New Roman" w:cs="Times New Roman"/>
          <w:szCs w:val="24"/>
        </w:rPr>
        <w:t>50 [1</w:t>
      </w:r>
      <w:r w:rsidR="00C177F3">
        <w:rPr>
          <w:rFonts w:eastAsia="Times New Roman" w:cs="Times New Roman"/>
          <w:szCs w:val="24"/>
        </w:rPr>
        <w:t>0</w:t>
      </w:r>
      <w:r w:rsidRPr="00BA1318">
        <w:rPr>
          <w:rFonts w:eastAsia="Times New Roman" w:cs="Times New Roman"/>
          <w:szCs w:val="24"/>
        </w:rPr>
        <w:t>5 registrants × 270 hours per registrant].</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keepNext/>
        <w:tabs>
          <w:tab w:val="left" w:pos="-720"/>
          <w:tab w:val="left" w:pos="0"/>
        </w:tabs>
        <w:spacing w:after="240" w:line="240" w:lineRule="auto"/>
        <w:jc w:val="both"/>
        <w:rPr>
          <w:rFonts w:eastAsia="Times New Roman" w:cs="Times New Roman"/>
          <w:b/>
          <w:szCs w:val="24"/>
        </w:rPr>
      </w:pPr>
      <w:r w:rsidRPr="00BA1318">
        <w:rPr>
          <w:rFonts w:eastAsia="Times New Roman" w:cs="Times New Roman"/>
          <w:b/>
          <w:szCs w:val="24"/>
        </w:rPr>
        <w:t>13.</w:t>
      </w:r>
      <w:r w:rsidRPr="00BA1318">
        <w:rPr>
          <w:rFonts w:eastAsia="Times New Roman" w:cs="Times New Roman"/>
          <w:b/>
          <w:szCs w:val="24"/>
        </w:rPr>
        <w:tab/>
        <w:t>Provide an estimate of the total annual cost burden to respondents or recordkeepers resulting from the collection of information.  (Do not include the cost of any hour burden shown in Items 12 and 14).</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BA1318" w:rsidRPr="00BA1318" w:rsidRDefault="00BA1318" w:rsidP="00CC13FE">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1318" w:rsidRPr="00BA1318" w:rsidRDefault="00C72B84" w:rsidP="00BA1318">
      <w:pPr>
        <w:spacing w:after="0" w:line="240" w:lineRule="auto"/>
        <w:jc w:val="both"/>
        <w:rPr>
          <w:rFonts w:eastAsia="Times New Roman" w:cs="Times New Roman"/>
          <w:szCs w:val="24"/>
        </w:rPr>
      </w:pPr>
      <w:r w:rsidRPr="00C72B84">
        <w:rPr>
          <w:rFonts w:eastAsia="Times New Roman" w:cs="Times New Roman"/>
          <w:szCs w:val="24"/>
        </w:rPr>
        <w:t>The information collection</w:t>
      </w:r>
      <w:r>
        <w:rPr>
          <w:rFonts w:eastAsia="Times New Roman" w:cs="Times New Roman"/>
          <w:szCs w:val="24"/>
        </w:rPr>
        <w:t>s</w:t>
      </w:r>
      <w:r w:rsidRPr="00C72B84">
        <w:rPr>
          <w:rFonts w:eastAsia="Times New Roman" w:cs="Times New Roman"/>
          <w:szCs w:val="24"/>
        </w:rPr>
        <w:t xml:space="preserve"> required by the regulations would not involve any capital or start-up capital, operations or maintenance costs as the Commission anticipates that </w:t>
      </w:r>
      <w:r>
        <w:rPr>
          <w:rFonts w:eastAsia="Times New Roman" w:cs="Times New Roman"/>
          <w:szCs w:val="24"/>
        </w:rPr>
        <w:t xml:space="preserve"> these</w:t>
      </w:r>
      <w:r w:rsidR="00DF3581">
        <w:rPr>
          <w:rFonts w:eastAsia="Times New Roman" w:cs="Times New Roman"/>
          <w:szCs w:val="24"/>
        </w:rPr>
        <w:t xml:space="preserve"> costs have already been incurred by the 105 SD and MSP registrants</w:t>
      </w:r>
      <w:r>
        <w:rPr>
          <w:rFonts w:eastAsia="Times New Roman" w:cs="Times New Roman"/>
          <w:szCs w:val="24"/>
        </w:rPr>
        <w:t xml:space="preserve"> and are part of customary </w:t>
      </w:r>
      <w:r w:rsidR="008E152F">
        <w:rPr>
          <w:rFonts w:eastAsia="Times New Roman" w:cs="Times New Roman"/>
          <w:szCs w:val="24"/>
        </w:rPr>
        <w:t>or</w:t>
      </w:r>
      <w:r>
        <w:rPr>
          <w:rFonts w:eastAsia="Times New Roman" w:cs="Times New Roman"/>
          <w:szCs w:val="24"/>
        </w:rPr>
        <w:t xml:space="preserve"> usual business practices</w:t>
      </w:r>
      <w:r w:rsidR="00DF3581">
        <w:rPr>
          <w:rFonts w:eastAsia="Times New Roman" w:cs="Times New Roman"/>
          <w:szCs w:val="24"/>
        </w:rPr>
        <w:t xml:space="preserve">. </w:t>
      </w: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14.</w:t>
      </w:r>
      <w:r w:rsidRPr="00BA1318">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BA1318" w:rsidRPr="00BA1318" w:rsidRDefault="00C177F3" w:rsidP="00BA1318">
      <w:pPr>
        <w:tabs>
          <w:tab w:val="left" w:pos="-720"/>
        </w:tabs>
        <w:spacing w:after="240" w:line="240" w:lineRule="auto"/>
        <w:jc w:val="both"/>
        <w:rPr>
          <w:rFonts w:eastAsia="Times New Roman" w:cs="Times New Roman"/>
          <w:szCs w:val="24"/>
        </w:rPr>
      </w:pPr>
      <w:r>
        <w:rPr>
          <w:rFonts w:eastAsia="Times New Roman" w:cs="Times New Roman"/>
          <w:szCs w:val="24"/>
        </w:rPr>
        <w:t>T</w:t>
      </w:r>
      <w:r w:rsidR="00BA1318" w:rsidRPr="00BA1318">
        <w:rPr>
          <w:rFonts w:eastAsia="Times New Roman" w:cs="Times New Roman"/>
          <w:szCs w:val="24"/>
        </w:rPr>
        <w:t xml:space="preserve">he regulations </w:t>
      </w:r>
      <w:r>
        <w:rPr>
          <w:rFonts w:eastAsia="Times New Roman" w:cs="Times New Roman"/>
          <w:szCs w:val="24"/>
        </w:rPr>
        <w:t>did not</w:t>
      </w:r>
      <w:r w:rsidR="00BA1318" w:rsidRPr="00BA1318">
        <w:rPr>
          <w:rFonts w:eastAsia="Times New Roman" w:cs="Times New Roman"/>
          <w:szCs w:val="24"/>
        </w:rPr>
        <w:t xml:space="preserve"> impose any additional costs to the Federal Government.</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15.</w:t>
      </w:r>
      <w:r w:rsidRPr="00BA1318">
        <w:rPr>
          <w:rFonts w:eastAsia="Times New Roman" w:cs="Times New Roman"/>
          <w:b/>
          <w:szCs w:val="24"/>
        </w:rPr>
        <w:tab/>
        <w:t>Explain the reasons for any program changes or adjustments reported in Items 13 or 14 of the OMB Form 83-I.</w:t>
      </w:r>
    </w:p>
    <w:p w:rsidR="00BA1318" w:rsidRPr="00BA1318" w:rsidRDefault="008E152F" w:rsidP="00BA1318">
      <w:pPr>
        <w:tabs>
          <w:tab w:val="left" w:pos="-720"/>
        </w:tabs>
        <w:spacing w:after="240" w:line="240" w:lineRule="auto"/>
        <w:jc w:val="both"/>
        <w:rPr>
          <w:rFonts w:eastAsia="Times New Roman" w:cs="Times New Roman"/>
          <w:szCs w:val="24"/>
        </w:rPr>
      </w:pPr>
      <w:r w:rsidRPr="008E152F">
        <w:rPr>
          <w:rFonts w:eastAsia="Times New Roman" w:cs="Times New Roman"/>
          <w:szCs w:val="24"/>
        </w:rPr>
        <w:t>The Commission has revised its estimate in light of the current number of Commission-registered</w:t>
      </w:r>
      <w:r>
        <w:rPr>
          <w:rFonts w:eastAsia="Times New Roman" w:cs="Times New Roman"/>
          <w:szCs w:val="24"/>
        </w:rPr>
        <w:t xml:space="preserve"> SDs and MSPs. </w:t>
      </w:r>
      <w:r w:rsidR="00BA1318" w:rsidRPr="00BA1318">
        <w:rPr>
          <w:rFonts w:eastAsia="Times New Roman" w:cs="Times New Roman"/>
          <w:szCs w:val="24"/>
        </w:rPr>
        <w:t xml:space="preserve">.  </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16.</w:t>
      </w:r>
      <w:r w:rsidRPr="00BA1318">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BA1318" w:rsidRPr="00BA1318" w:rsidRDefault="00BA1318" w:rsidP="00BA1318">
      <w:pPr>
        <w:tabs>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w:t>
      </w:r>
    </w:p>
    <w:p w:rsidR="00BA1318" w:rsidRPr="00BA1318" w:rsidRDefault="00BA1318" w:rsidP="00BA13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17.</w:t>
      </w:r>
      <w:r w:rsidRPr="00BA1318">
        <w:rPr>
          <w:rFonts w:eastAsia="Times New Roman" w:cs="Times New Roman"/>
          <w:b/>
          <w:szCs w:val="24"/>
        </w:rPr>
        <w:tab/>
        <w:t>If seeking approval to not display the expiration date for OMB approval of the information collection, explain the reasons that display would be inappropriate.</w:t>
      </w:r>
    </w:p>
    <w:p w:rsidR="00BA1318" w:rsidRPr="00BA1318" w:rsidRDefault="00BA1318" w:rsidP="00BA1318">
      <w:pPr>
        <w:tabs>
          <w:tab w:val="left" w:pos="-720"/>
          <w:tab w:val="left" w:pos="6235"/>
        </w:tabs>
        <w:spacing w:after="240" w:line="240" w:lineRule="auto"/>
        <w:jc w:val="both"/>
        <w:rPr>
          <w:rFonts w:eastAsia="Times New Roman" w:cs="Times New Roman"/>
          <w:szCs w:val="24"/>
        </w:rPr>
      </w:pPr>
      <w:r w:rsidRPr="00BA1318">
        <w:rPr>
          <w:rFonts w:eastAsia="Times New Roman" w:cs="Times New Roman"/>
          <w:szCs w:val="24"/>
        </w:rPr>
        <w:t>This question does not apply.</w:t>
      </w:r>
    </w:p>
    <w:p w:rsidR="00BA1318" w:rsidRPr="00BA1318" w:rsidRDefault="00BA1318" w:rsidP="00BA1318">
      <w:pPr>
        <w:keepNext/>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18.</w:t>
      </w:r>
      <w:r w:rsidRPr="00BA1318">
        <w:rPr>
          <w:rFonts w:eastAsia="Times New Roman" w:cs="Times New Roman"/>
          <w:b/>
          <w:szCs w:val="24"/>
        </w:rPr>
        <w:tab/>
        <w:t>Explain each exception to the certification statement identified in Item 19, "Certification for Paperwork Reduction Act Submissions," of OMB Form 83-I.</w:t>
      </w:r>
    </w:p>
    <w:p w:rsidR="00BA1318" w:rsidRPr="00BA1318" w:rsidRDefault="00BA1318" w:rsidP="00BA1318">
      <w:pPr>
        <w:tabs>
          <w:tab w:val="left" w:pos="-720"/>
        </w:tabs>
        <w:spacing w:after="240" w:line="240" w:lineRule="auto"/>
        <w:jc w:val="both"/>
        <w:rPr>
          <w:rFonts w:eastAsia="Times New Roman" w:cs="Times New Roman"/>
          <w:szCs w:val="24"/>
        </w:rPr>
      </w:pPr>
      <w:r w:rsidRPr="00BA1318">
        <w:rPr>
          <w:rFonts w:eastAsia="Times New Roman" w:cs="Times New Roman"/>
          <w:szCs w:val="24"/>
        </w:rPr>
        <w:t>This question does not apply.</w:t>
      </w:r>
    </w:p>
    <w:p w:rsidR="00BA1318" w:rsidRPr="00BA1318" w:rsidRDefault="00BA1318" w:rsidP="00BA1318">
      <w:pPr>
        <w:spacing w:after="240" w:line="240" w:lineRule="auto"/>
        <w:jc w:val="center"/>
        <w:rPr>
          <w:rFonts w:eastAsia="Times New Roman" w:cs="Times New Roman"/>
          <w:b/>
          <w:szCs w:val="24"/>
        </w:rPr>
      </w:pPr>
      <w:r w:rsidRPr="00BA1318">
        <w:rPr>
          <w:rFonts w:eastAsia="Times New Roman" w:cs="Times New Roman"/>
          <w:b/>
          <w:sz w:val="40"/>
          <w:szCs w:val="20"/>
        </w:rPr>
        <w:br w:type="page"/>
      </w:r>
      <w:r w:rsidRPr="00BA1318">
        <w:rPr>
          <w:rFonts w:eastAsia="Times New Roman" w:cs="Times New Roman"/>
          <w:b/>
          <w:szCs w:val="24"/>
        </w:rPr>
        <w:lastRenderedPageBreak/>
        <w:t>Attachment A</w:t>
      </w:r>
    </w:p>
    <w:p w:rsidR="00BA1318" w:rsidRPr="00BA1318" w:rsidRDefault="00BA1318" w:rsidP="00BA1318">
      <w:pPr>
        <w:spacing w:after="240" w:line="240" w:lineRule="auto"/>
        <w:jc w:val="center"/>
        <w:rPr>
          <w:rFonts w:eastAsia="Times New Roman" w:cs="Times New Roman"/>
          <w:b/>
          <w:szCs w:val="24"/>
        </w:rPr>
      </w:pPr>
      <w:r w:rsidRPr="00BA1318">
        <w:rPr>
          <w:rFonts w:eastAsia="Times New Roman" w:cs="Times New Roman"/>
          <w:b/>
          <w:szCs w:val="24"/>
        </w:rPr>
        <w:t>Part 23 – Confirmation, Portfolio Reconciliation, Portfolio Compression, and Swap Trading Relationship Documentation Requirements for Swap Dealers and Major Swap Participants</w:t>
      </w:r>
    </w:p>
    <w:p w:rsidR="00BA1318" w:rsidRPr="00BA1318" w:rsidRDefault="00BA1318" w:rsidP="00BA1318">
      <w:pPr>
        <w:spacing w:after="480" w:line="240" w:lineRule="auto"/>
        <w:jc w:val="center"/>
        <w:rPr>
          <w:rFonts w:eastAsia="Times New Roman" w:cs="Times New Roman"/>
          <w:b/>
          <w:szCs w:val="24"/>
        </w:rPr>
      </w:pPr>
      <w:r w:rsidRPr="00BA1318">
        <w:rPr>
          <w:rFonts w:eastAsia="Times New Roman" w:cs="Times New Roman"/>
          <w:b/>
          <w:szCs w:val="24"/>
        </w:rPr>
        <w:t>OMB CONTROL NUMBERS 3038-0068, 3038-0083, and 3038-0088</w:t>
      </w:r>
    </w:p>
    <w:p w:rsidR="00BA1318" w:rsidRPr="00BA1318" w:rsidRDefault="00BA1318" w:rsidP="008E57F8">
      <w:pPr>
        <w:spacing w:after="0" w:line="240" w:lineRule="auto"/>
        <w:rPr>
          <w:rFonts w:eastAsia="Times New Roman" w:cs="Times New Roman"/>
          <w:b/>
          <w:szCs w:val="24"/>
        </w:rPr>
      </w:pPr>
      <w:r w:rsidRPr="00BA1318">
        <w:rPr>
          <w:rFonts w:eastAsia="Times New Roman" w:cs="Times New Roman"/>
          <w:b/>
          <w:szCs w:val="24"/>
        </w:rPr>
        <w:t>Documentation NPRM</w:t>
      </w:r>
      <w:r w:rsidR="001E76E1">
        <w:rPr>
          <w:rFonts w:eastAsia="Times New Roman" w:cs="Times New Roman"/>
          <w:b/>
          <w:szCs w:val="24"/>
        </w:rPr>
        <w:t xml:space="preserve"> </w:t>
      </w:r>
      <w:r w:rsidR="001E76E1" w:rsidRPr="001E76E1">
        <w:rPr>
          <w:rFonts w:eastAsia="Times New Roman" w:cs="Times New Roman"/>
          <w:b/>
          <w:szCs w:val="24"/>
        </w:rPr>
        <w:t>(OMB Control Number 3038-0088)</w:t>
      </w:r>
      <w:r w:rsidRPr="00BA1318">
        <w:rPr>
          <w:rFonts w:eastAsia="Times New Roman" w:cs="Times New Roman"/>
          <w:b/>
          <w:szCs w:val="24"/>
        </w:rPr>
        <w:t>:</w:t>
      </w:r>
    </w:p>
    <w:tbl>
      <w:tblPr>
        <w:tblpPr w:leftFromText="180" w:rightFromText="180" w:vertAnchor="text" w:horzAnchor="page" w:tblpX="282" w:tblpY="209"/>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026"/>
        <w:gridCol w:w="1126"/>
        <w:gridCol w:w="976"/>
        <w:gridCol w:w="976"/>
        <w:gridCol w:w="936"/>
        <w:gridCol w:w="956"/>
        <w:gridCol w:w="966"/>
        <w:gridCol w:w="1076"/>
        <w:gridCol w:w="1116"/>
      </w:tblGrid>
      <w:tr w:rsidR="008E57F8" w:rsidRPr="00BA1318" w:rsidTr="008E57F8">
        <w:trPr>
          <w:trHeight w:val="1700"/>
        </w:trPr>
        <w:tc>
          <w:tcPr>
            <w:tcW w:w="672"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Requirement</w:t>
            </w:r>
          </w:p>
        </w:tc>
        <w:tc>
          <w:tcPr>
            <w:tcW w:w="484"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Estimated Number of Registrants Per Year</w:t>
            </w:r>
          </w:p>
        </w:tc>
        <w:tc>
          <w:tcPr>
            <w:tcW w:w="531"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Frequency of Response</w:t>
            </w:r>
          </w:p>
        </w:tc>
        <w:tc>
          <w:tcPr>
            <w:tcW w:w="462"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Number of Responses Per Registrant</w:t>
            </w:r>
          </w:p>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Annually</w:t>
            </w:r>
          </w:p>
        </w:tc>
        <w:tc>
          <w:tcPr>
            <w:tcW w:w="462"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Aggregate</w:t>
            </w:r>
          </w:p>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Number of  Responses</w:t>
            </w:r>
          </w:p>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Annually</w:t>
            </w:r>
          </w:p>
          <w:p w:rsidR="008E57F8" w:rsidRPr="00A120E7" w:rsidRDefault="008E57F8" w:rsidP="008E57F8">
            <w:pPr>
              <w:spacing w:after="0" w:line="240" w:lineRule="auto"/>
              <w:jc w:val="center"/>
              <w:rPr>
                <w:rFonts w:eastAsia="Times New Roman" w:cs="Times New Roman"/>
                <w:sz w:val="18"/>
                <w:szCs w:val="18"/>
              </w:rPr>
            </w:pPr>
          </w:p>
        </w:tc>
        <w:tc>
          <w:tcPr>
            <w:tcW w:w="443"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Estimated Average Number of Hours Per Response</w:t>
            </w:r>
          </w:p>
          <w:p w:rsidR="008E57F8" w:rsidRPr="00A120E7" w:rsidRDefault="008E57F8" w:rsidP="008E57F8">
            <w:pPr>
              <w:spacing w:after="0" w:line="240" w:lineRule="auto"/>
              <w:jc w:val="center"/>
              <w:rPr>
                <w:rFonts w:eastAsia="Times New Roman" w:cs="Times New Roman"/>
                <w:sz w:val="18"/>
                <w:szCs w:val="18"/>
              </w:rPr>
            </w:pPr>
          </w:p>
        </w:tc>
        <w:tc>
          <w:tcPr>
            <w:tcW w:w="453"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Estimated Annual Hour Burden Per Registrant</w:t>
            </w:r>
          </w:p>
          <w:p w:rsidR="008E57F8" w:rsidRPr="00A120E7" w:rsidRDefault="008E57F8" w:rsidP="008E57F8">
            <w:pPr>
              <w:spacing w:after="0" w:line="240" w:lineRule="auto"/>
              <w:jc w:val="center"/>
              <w:rPr>
                <w:rFonts w:eastAsia="Times New Roman" w:cs="Times New Roman"/>
                <w:sz w:val="18"/>
                <w:szCs w:val="18"/>
              </w:rPr>
            </w:pPr>
          </w:p>
        </w:tc>
        <w:tc>
          <w:tcPr>
            <w:tcW w:w="458"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Estimated Aggregate Hour Burden</w:t>
            </w:r>
          </w:p>
        </w:tc>
        <w:tc>
          <w:tcPr>
            <w:tcW w:w="508"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Estimated Annual Cost Per Registrant</w:t>
            </w:r>
            <w:r w:rsidRPr="00A120E7">
              <w:rPr>
                <w:rFonts w:eastAsia="Times New Roman" w:cs="Times New Roman"/>
                <w:sz w:val="18"/>
                <w:szCs w:val="18"/>
                <w:vertAlign w:val="superscript"/>
              </w:rPr>
              <w:footnoteReference w:id="11"/>
            </w:r>
          </w:p>
          <w:p w:rsidR="008E57F8" w:rsidRPr="00A120E7" w:rsidRDefault="008E57F8" w:rsidP="008E57F8">
            <w:pPr>
              <w:spacing w:after="0" w:line="240" w:lineRule="auto"/>
              <w:jc w:val="center"/>
              <w:rPr>
                <w:rFonts w:eastAsia="Times New Roman" w:cs="Times New Roman"/>
                <w:sz w:val="18"/>
                <w:szCs w:val="18"/>
              </w:rPr>
            </w:pPr>
          </w:p>
        </w:tc>
        <w:tc>
          <w:tcPr>
            <w:tcW w:w="526" w:type="pct"/>
          </w:tcPr>
          <w:p w:rsidR="008E57F8" w:rsidRPr="00A120E7" w:rsidRDefault="008E57F8" w:rsidP="008E57F8">
            <w:pPr>
              <w:spacing w:after="0" w:line="240" w:lineRule="auto"/>
              <w:jc w:val="center"/>
              <w:rPr>
                <w:rFonts w:eastAsia="Times New Roman" w:cs="Times New Roman"/>
                <w:sz w:val="18"/>
                <w:szCs w:val="18"/>
              </w:rPr>
            </w:pPr>
            <w:r w:rsidRPr="00A120E7">
              <w:rPr>
                <w:rFonts w:eastAsia="Times New Roman" w:cs="Times New Roman"/>
                <w:sz w:val="18"/>
                <w:szCs w:val="18"/>
              </w:rPr>
              <w:t>Estimated Aggregate Annual Cost</w:t>
            </w:r>
            <w:r w:rsidRPr="00A120E7">
              <w:rPr>
                <w:rFonts w:eastAsia="Times New Roman" w:cs="Times New Roman"/>
                <w:sz w:val="18"/>
                <w:szCs w:val="18"/>
                <w:vertAlign w:val="superscript"/>
              </w:rPr>
              <w:footnoteReference w:id="12"/>
            </w:r>
          </w:p>
          <w:p w:rsidR="008E57F8" w:rsidRPr="00A120E7" w:rsidRDefault="008E57F8" w:rsidP="008E57F8">
            <w:pPr>
              <w:spacing w:after="0" w:line="240" w:lineRule="auto"/>
              <w:jc w:val="center"/>
              <w:rPr>
                <w:rFonts w:eastAsia="Times New Roman" w:cs="Times New Roman"/>
                <w:sz w:val="18"/>
                <w:szCs w:val="18"/>
              </w:rPr>
            </w:pPr>
          </w:p>
        </w:tc>
      </w:tr>
      <w:tr w:rsidR="008E57F8" w:rsidRPr="00BA1318" w:rsidTr="008E57F8">
        <w:trPr>
          <w:trHeight w:val="1456"/>
        </w:trPr>
        <w:tc>
          <w:tcPr>
            <w:tcW w:w="672" w:type="pct"/>
          </w:tcPr>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r w:rsidRPr="00A120E7">
              <w:rPr>
                <w:rFonts w:eastAsia="Times New Roman" w:cs="Times New Roman"/>
                <w:b/>
                <w:sz w:val="18"/>
                <w:szCs w:val="18"/>
              </w:rPr>
              <w:t>:</w:t>
            </w:r>
          </w:p>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rPr>
              <w:t>Drafting and Updating Policies and Procedures</w:t>
            </w:r>
          </w:p>
          <w:p w:rsidR="008E57F8" w:rsidRPr="00A120E7" w:rsidRDefault="008E57F8" w:rsidP="008E57F8">
            <w:pPr>
              <w:spacing w:after="0" w:line="240" w:lineRule="auto"/>
              <w:rPr>
                <w:rFonts w:eastAsia="Times New Roman" w:cs="Times New Roman"/>
                <w:sz w:val="18"/>
                <w:szCs w:val="18"/>
              </w:rPr>
            </w:pPr>
          </w:p>
        </w:tc>
        <w:tc>
          <w:tcPr>
            <w:tcW w:w="484"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531"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Initial drafting, updating as needed</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44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16</w:t>
            </w:r>
          </w:p>
        </w:tc>
        <w:tc>
          <w:tcPr>
            <w:tcW w:w="45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 xml:space="preserve"> 16 hours</w:t>
            </w:r>
          </w:p>
        </w:tc>
        <w:tc>
          <w:tcPr>
            <w:tcW w:w="45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1,680 hours</w:t>
            </w:r>
          </w:p>
        </w:tc>
        <w:tc>
          <w:tcPr>
            <w:tcW w:w="50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$1,600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[16 hours x $100]</w:t>
            </w:r>
          </w:p>
        </w:tc>
        <w:tc>
          <w:tcPr>
            <w:tcW w:w="526"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$168,000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 x $1,600]</w:t>
            </w:r>
          </w:p>
        </w:tc>
      </w:tr>
      <w:tr w:rsidR="008E57F8" w:rsidRPr="00BA1318" w:rsidTr="008E57F8">
        <w:trPr>
          <w:trHeight w:val="1700"/>
        </w:trPr>
        <w:tc>
          <w:tcPr>
            <w:tcW w:w="672" w:type="pct"/>
          </w:tcPr>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r w:rsidRPr="00A120E7">
              <w:rPr>
                <w:rFonts w:eastAsia="Times New Roman" w:cs="Times New Roman"/>
                <w:b/>
                <w:sz w:val="18"/>
                <w:szCs w:val="18"/>
              </w:rPr>
              <w:t>:</w:t>
            </w:r>
          </w:p>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rPr>
              <w:t>Swap Trading Relationship Documentation (excluding cleared swap records)</w:t>
            </w:r>
          </w:p>
        </w:tc>
        <w:tc>
          <w:tcPr>
            <w:tcW w:w="484"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531"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At least once per counterparty</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540</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56,700</w:t>
            </w:r>
          </w:p>
        </w:tc>
        <w:tc>
          <w:tcPr>
            <w:tcW w:w="44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w:t>
            </w:r>
          </w:p>
        </w:tc>
        <w:tc>
          <w:tcPr>
            <w:tcW w:w="45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5,400 hours</w:t>
            </w:r>
          </w:p>
        </w:tc>
        <w:tc>
          <w:tcPr>
            <w:tcW w:w="45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567,000 hours</w:t>
            </w:r>
          </w:p>
        </w:tc>
        <w:tc>
          <w:tcPr>
            <w:tcW w:w="50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$607,500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[(2,700 hours x $100) + (2,700 hours x $125)]</w:t>
            </w:r>
          </w:p>
        </w:tc>
        <w:tc>
          <w:tcPr>
            <w:tcW w:w="526"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$63,787,500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 x $607,500]</w:t>
            </w:r>
          </w:p>
        </w:tc>
      </w:tr>
      <w:tr w:rsidR="008E57F8" w:rsidRPr="00BA1318" w:rsidTr="008E57F8">
        <w:trPr>
          <w:trHeight w:val="723"/>
        </w:trPr>
        <w:tc>
          <w:tcPr>
            <w:tcW w:w="672" w:type="pct"/>
          </w:tcPr>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r w:rsidRPr="00A120E7">
              <w:rPr>
                <w:rFonts w:eastAsia="Times New Roman" w:cs="Times New Roman"/>
                <w:b/>
                <w:sz w:val="18"/>
                <w:szCs w:val="18"/>
              </w:rPr>
              <w:t>:</w:t>
            </w:r>
          </w:p>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rPr>
              <w:t>Cleared Swaps</w:t>
            </w:r>
          </w:p>
        </w:tc>
        <w:tc>
          <w:tcPr>
            <w:tcW w:w="484"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531"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 xml:space="preserve">Daily </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252</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26,460</w:t>
            </w:r>
          </w:p>
        </w:tc>
        <w:tc>
          <w:tcPr>
            <w:tcW w:w="44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w:t>
            </w:r>
          </w:p>
        </w:tc>
        <w:tc>
          <w:tcPr>
            <w:tcW w:w="45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504 hours</w:t>
            </w:r>
          </w:p>
        </w:tc>
        <w:tc>
          <w:tcPr>
            <w:tcW w:w="45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52,920 hours</w:t>
            </w:r>
          </w:p>
        </w:tc>
        <w:tc>
          <w:tcPr>
            <w:tcW w:w="50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$50,400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[504 hours x $100]</w:t>
            </w:r>
          </w:p>
        </w:tc>
        <w:tc>
          <w:tcPr>
            <w:tcW w:w="526"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$5,292,000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 x $50,400]</w:t>
            </w:r>
          </w:p>
        </w:tc>
      </w:tr>
      <w:tr w:rsidR="008E57F8" w:rsidRPr="00BA1318" w:rsidTr="008E57F8">
        <w:trPr>
          <w:trHeight w:val="359"/>
        </w:trPr>
        <w:tc>
          <w:tcPr>
            <w:tcW w:w="672" w:type="pct"/>
          </w:tcPr>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r w:rsidRPr="00A120E7">
              <w:rPr>
                <w:rFonts w:eastAsia="Times New Roman" w:cs="Times New Roman"/>
                <w:b/>
                <w:sz w:val="18"/>
                <w:szCs w:val="18"/>
              </w:rPr>
              <w:t>: Audit</w:t>
            </w:r>
          </w:p>
        </w:tc>
        <w:tc>
          <w:tcPr>
            <w:tcW w:w="484"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531"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Annually</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443" w:type="pct"/>
          </w:tcPr>
          <w:p w:rsidR="008E57F8" w:rsidRPr="00A120E7" w:rsidRDefault="00A66881" w:rsidP="008E57F8">
            <w:pPr>
              <w:spacing w:after="0" w:line="240" w:lineRule="auto"/>
              <w:rPr>
                <w:rFonts w:eastAsia="Times New Roman" w:cs="Times New Roman"/>
                <w:sz w:val="18"/>
                <w:szCs w:val="18"/>
              </w:rPr>
            </w:pPr>
            <w:r>
              <w:rPr>
                <w:rFonts w:eastAsia="Times New Roman" w:cs="Times New Roman"/>
                <w:sz w:val="18"/>
                <w:szCs w:val="18"/>
              </w:rPr>
              <w:t>120</w:t>
            </w:r>
          </w:p>
        </w:tc>
        <w:tc>
          <w:tcPr>
            <w:tcW w:w="453" w:type="pct"/>
          </w:tcPr>
          <w:p w:rsidR="008E57F8" w:rsidRPr="00A120E7" w:rsidRDefault="00A66881" w:rsidP="008E57F8">
            <w:pPr>
              <w:spacing w:after="0" w:line="240" w:lineRule="auto"/>
              <w:rPr>
                <w:rFonts w:eastAsia="Times New Roman" w:cs="Times New Roman"/>
                <w:sz w:val="18"/>
                <w:szCs w:val="18"/>
              </w:rPr>
            </w:pPr>
            <w:r>
              <w:rPr>
                <w:rFonts w:eastAsia="Times New Roman" w:cs="Times New Roman"/>
                <w:sz w:val="18"/>
                <w:szCs w:val="18"/>
              </w:rPr>
              <w:t xml:space="preserve">120 </w:t>
            </w:r>
            <w:r w:rsidR="008E57F8" w:rsidRPr="00A120E7">
              <w:rPr>
                <w:rFonts w:eastAsia="Times New Roman" w:cs="Times New Roman"/>
                <w:sz w:val="18"/>
                <w:szCs w:val="18"/>
              </w:rPr>
              <w:t>hours</w:t>
            </w:r>
          </w:p>
        </w:tc>
        <w:tc>
          <w:tcPr>
            <w:tcW w:w="458" w:type="pct"/>
          </w:tcPr>
          <w:p w:rsidR="008E57F8" w:rsidRPr="00A120E7" w:rsidRDefault="00A66881" w:rsidP="008E57F8">
            <w:pPr>
              <w:spacing w:after="0" w:line="240" w:lineRule="auto"/>
              <w:rPr>
                <w:rFonts w:eastAsia="Times New Roman" w:cs="Times New Roman"/>
                <w:sz w:val="18"/>
                <w:szCs w:val="18"/>
              </w:rPr>
            </w:pPr>
            <w:r>
              <w:rPr>
                <w:rFonts w:eastAsia="Times New Roman" w:cs="Times New Roman"/>
                <w:sz w:val="18"/>
                <w:szCs w:val="18"/>
              </w:rPr>
              <w:t>12,600</w:t>
            </w:r>
            <w:r w:rsidR="008E57F8" w:rsidRPr="00A120E7">
              <w:rPr>
                <w:rFonts w:eastAsia="Times New Roman" w:cs="Times New Roman"/>
                <w:sz w:val="18"/>
                <w:szCs w:val="18"/>
              </w:rPr>
              <w:t xml:space="preserve"> hours</w:t>
            </w:r>
          </w:p>
        </w:tc>
        <w:tc>
          <w:tcPr>
            <w:tcW w:w="50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w:t>
            </w:r>
            <w:r w:rsidR="00823E89">
              <w:rPr>
                <w:rFonts w:eastAsia="Times New Roman" w:cs="Times New Roman"/>
                <w:sz w:val="18"/>
                <w:szCs w:val="18"/>
              </w:rPr>
              <w:t>12,000</w:t>
            </w:r>
          </w:p>
          <w:p w:rsidR="008E57F8" w:rsidRPr="00A120E7" w:rsidRDefault="008E57F8" w:rsidP="00BC7EF3">
            <w:pPr>
              <w:spacing w:after="0" w:line="240" w:lineRule="auto"/>
              <w:rPr>
                <w:rFonts w:eastAsia="Times New Roman" w:cs="Times New Roman"/>
                <w:sz w:val="18"/>
                <w:szCs w:val="18"/>
              </w:rPr>
            </w:pPr>
            <w:r w:rsidRPr="00A120E7">
              <w:rPr>
                <w:rFonts w:eastAsia="Times New Roman" w:cs="Times New Roman"/>
                <w:sz w:val="18"/>
                <w:szCs w:val="18"/>
              </w:rPr>
              <w:t>[</w:t>
            </w:r>
            <w:r w:rsidR="00823E89">
              <w:rPr>
                <w:rFonts w:eastAsia="Times New Roman" w:cs="Times New Roman"/>
                <w:sz w:val="18"/>
                <w:szCs w:val="18"/>
              </w:rPr>
              <w:t>120</w:t>
            </w:r>
            <w:r w:rsidRPr="00A120E7">
              <w:rPr>
                <w:rFonts w:eastAsia="Times New Roman" w:cs="Times New Roman"/>
                <w:sz w:val="18"/>
                <w:szCs w:val="18"/>
              </w:rPr>
              <w:t xml:space="preserve"> hours x $100]</w:t>
            </w:r>
          </w:p>
        </w:tc>
        <w:tc>
          <w:tcPr>
            <w:tcW w:w="526"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w:t>
            </w:r>
            <w:r w:rsidR="00823E89">
              <w:rPr>
                <w:rFonts w:eastAsia="Times New Roman" w:cs="Times New Roman"/>
                <w:sz w:val="18"/>
                <w:szCs w:val="18"/>
              </w:rPr>
              <w:t>1,260,000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 x $</w:t>
            </w:r>
            <w:r w:rsidR="00823E89">
              <w:rPr>
                <w:rFonts w:eastAsia="Times New Roman" w:cs="Times New Roman"/>
                <w:sz w:val="18"/>
                <w:szCs w:val="18"/>
              </w:rPr>
              <w:t>12,000</w:t>
            </w:r>
            <w:r w:rsidRPr="00A120E7">
              <w:rPr>
                <w:rFonts w:eastAsia="Times New Roman" w:cs="Times New Roman"/>
                <w:sz w:val="18"/>
                <w:szCs w:val="18"/>
              </w:rPr>
              <w:t>]</w:t>
            </w:r>
          </w:p>
        </w:tc>
      </w:tr>
      <w:tr w:rsidR="008E57F8" w:rsidRPr="00BA1318" w:rsidTr="008E57F8">
        <w:trPr>
          <w:trHeight w:val="359"/>
        </w:trPr>
        <w:tc>
          <w:tcPr>
            <w:tcW w:w="672" w:type="pct"/>
          </w:tcPr>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r w:rsidRPr="00A120E7">
              <w:rPr>
                <w:rFonts w:eastAsia="Times New Roman" w:cs="Times New Roman"/>
                <w:b/>
                <w:sz w:val="18"/>
                <w:szCs w:val="18"/>
              </w:rPr>
              <w:t>:</w:t>
            </w:r>
          </w:p>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rPr>
              <w:t>End User Exception</w:t>
            </w:r>
          </w:p>
        </w:tc>
        <w:tc>
          <w:tcPr>
            <w:tcW w:w="484"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531"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Once per applicable counterparty</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220</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23,100</w:t>
            </w:r>
          </w:p>
        </w:tc>
        <w:tc>
          <w:tcPr>
            <w:tcW w:w="44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w:t>
            </w:r>
          </w:p>
        </w:tc>
        <w:tc>
          <w:tcPr>
            <w:tcW w:w="45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220 hours</w:t>
            </w:r>
          </w:p>
        </w:tc>
        <w:tc>
          <w:tcPr>
            <w:tcW w:w="45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23,100 hours</w:t>
            </w:r>
          </w:p>
        </w:tc>
        <w:tc>
          <w:tcPr>
            <w:tcW w:w="50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$22,000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[220 hours x $100]</w:t>
            </w:r>
          </w:p>
        </w:tc>
        <w:tc>
          <w:tcPr>
            <w:tcW w:w="526"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$2,310,000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 x $22,000]</w:t>
            </w:r>
          </w:p>
        </w:tc>
      </w:tr>
      <w:tr w:rsidR="008E57F8" w:rsidRPr="00BA1318" w:rsidTr="008E57F8">
        <w:trPr>
          <w:trHeight w:val="359"/>
        </w:trPr>
        <w:tc>
          <w:tcPr>
            <w:tcW w:w="672" w:type="pct"/>
          </w:tcPr>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u w:val="single"/>
              </w:rPr>
              <w:t>Reporting</w:t>
            </w:r>
            <w:r w:rsidRPr="00A120E7">
              <w:rPr>
                <w:rFonts w:eastAsia="Times New Roman" w:cs="Times New Roman"/>
                <w:b/>
                <w:sz w:val="18"/>
                <w:szCs w:val="18"/>
              </w:rPr>
              <w:t>:</w:t>
            </w:r>
          </w:p>
          <w:p w:rsidR="008E57F8" w:rsidRPr="00A120E7" w:rsidRDefault="008E57F8" w:rsidP="008E57F8">
            <w:pPr>
              <w:spacing w:after="0" w:line="240" w:lineRule="auto"/>
              <w:rPr>
                <w:rFonts w:eastAsia="Times New Roman" w:cs="Times New Roman"/>
                <w:b/>
                <w:sz w:val="18"/>
                <w:szCs w:val="18"/>
              </w:rPr>
            </w:pPr>
            <w:r w:rsidRPr="00A120E7">
              <w:rPr>
                <w:rFonts w:eastAsia="Times New Roman" w:cs="Times New Roman"/>
                <w:b/>
                <w:sz w:val="18"/>
                <w:szCs w:val="18"/>
              </w:rPr>
              <w:t>Valuation Disputes</w:t>
            </w:r>
          </w:p>
        </w:tc>
        <w:tc>
          <w:tcPr>
            <w:tcW w:w="484"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w:t>
            </w:r>
          </w:p>
        </w:tc>
        <w:tc>
          <w:tcPr>
            <w:tcW w:w="531"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As applicable</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240</w:t>
            </w:r>
          </w:p>
        </w:tc>
        <w:tc>
          <w:tcPr>
            <w:tcW w:w="462"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25,200</w:t>
            </w:r>
          </w:p>
        </w:tc>
        <w:tc>
          <w:tcPr>
            <w:tcW w:w="44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w:t>
            </w:r>
          </w:p>
        </w:tc>
        <w:tc>
          <w:tcPr>
            <w:tcW w:w="453"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24 hours</w:t>
            </w:r>
          </w:p>
        </w:tc>
        <w:tc>
          <w:tcPr>
            <w:tcW w:w="45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2,520 hours</w:t>
            </w:r>
          </w:p>
        </w:tc>
        <w:tc>
          <w:tcPr>
            <w:tcW w:w="508"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$2,400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[24 hours x $100]</w:t>
            </w:r>
          </w:p>
        </w:tc>
        <w:tc>
          <w:tcPr>
            <w:tcW w:w="526" w:type="pct"/>
          </w:tcPr>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$252,000</w:t>
            </w:r>
          </w:p>
          <w:p w:rsidR="008E57F8" w:rsidRPr="00A120E7" w:rsidRDefault="008E57F8" w:rsidP="008E57F8">
            <w:pPr>
              <w:spacing w:after="0" w:line="240" w:lineRule="auto"/>
              <w:rPr>
                <w:rFonts w:eastAsia="Times New Roman" w:cs="Times New Roman"/>
                <w:sz w:val="18"/>
                <w:szCs w:val="18"/>
              </w:rPr>
            </w:pPr>
            <w:r w:rsidRPr="00A120E7">
              <w:rPr>
                <w:rFonts w:eastAsia="Times New Roman" w:cs="Times New Roman"/>
                <w:sz w:val="18"/>
                <w:szCs w:val="18"/>
              </w:rPr>
              <w:t>[105 x $2,400]</w:t>
            </w:r>
          </w:p>
        </w:tc>
      </w:tr>
    </w:tbl>
    <w:p w:rsidR="00BA1318" w:rsidRPr="00BA1318" w:rsidRDefault="00BA1318" w:rsidP="00BA1318">
      <w:pPr>
        <w:spacing w:after="0" w:line="240" w:lineRule="auto"/>
        <w:jc w:val="both"/>
        <w:rPr>
          <w:rFonts w:eastAsia="Times New Roman" w:cs="Times New Roman"/>
          <w:szCs w:val="24"/>
        </w:rPr>
      </w:pPr>
    </w:p>
    <w:p w:rsidR="00BA1318" w:rsidRPr="00BA1318" w:rsidRDefault="00BA1318" w:rsidP="00BA1318">
      <w:pPr>
        <w:spacing w:after="0" w:line="240" w:lineRule="auto"/>
        <w:jc w:val="both"/>
        <w:rPr>
          <w:rFonts w:eastAsia="Times New Roman" w:cs="Times New Roman"/>
          <w:szCs w:val="24"/>
        </w:rPr>
      </w:pPr>
    </w:p>
    <w:p w:rsidR="00BA1318" w:rsidRPr="00BA1318" w:rsidRDefault="00BA1318" w:rsidP="009C2788">
      <w:pPr>
        <w:spacing w:after="0" w:line="240" w:lineRule="auto"/>
        <w:rPr>
          <w:rFonts w:eastAsia="Times New Roman" w:cs="Times New Roman"/>
          <w:b/>
          <w:szCs w:val="20"/>
        </w:rPr>
      </w:pPr>
      <w:r w:rsidRPr="00BA1318">
        <w:rPr>
          <w:rFonts w:eastAsia="Times New Roman" w:cs="Times New Roman"/>
          <w:b/>
          <w:szCs w:val="20"/>
        </w:rPr>
        <w:lastRenderedPageBreak/>
        <w:t>Confirmation NPRM</w:t>
      </w:r>
      <w:r w:rsidR="001E76E1">
        <w:rPr>
          <w:rFonts w:eastAsia="Times New Roman" w:cs="Times New Roman"/>
          <w:b/>
          <w:szCs w:val="20"/>
        </w:rPr>
        <w:t xml:space="preserve"> </w:t>
      </w:r>
      <w:r w:rsidR="001E76E1" w:rsidRPr="001E76E1">
        <w:rPr>
          <w:rFonts w:eastAsia="Times New Roman" w:cs="Times New Roman"/>
          <w:b/>
          <w:szCs w:val="20"/>
        </w:rPr>
        <w:t>(OMB Control Number 3038-0068)</w:t>
      </w:r>
      <w:r w:rsidRPr="00BA1318">
        <w:rPr>
          <w:rFonts w:eastAsia="Times New Roman" w:cs="Times New Roman"/>
          <w:b/>
          <w:szCs w:val="20"/>
        </w:rPr>
        <w:t>:</w:t>
      </w:r>
    </w:p>
    <w:p w:rsidR="00BA1318" w:rsidRPr="00BA1318" w:rsidRDefault="00BA1318" w:rsidP="00BA1318">
      <w:pPr>
        <w:spacing w:after="0" w:line="240" w:lineRule="auto"/>
        <w:jc w:val="both"/>
        <w:rPr>
          <w:rFonts w:eastAsia="Times New Roman" w:cs="Times New Roman"/>
          <w:szCs w:val="24"/>
        </w:rPr>
      </w:pPr>
    </w:p>
    <w:tbl>
      <w:tblPr>
        <w:tblpPr w:leftFromText="180" w:rightFromText="180" w:vertAnchor="text" w:horzAnchor="page" w:tblpX="348" w:tblpY="195"/>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00"/>
        <w:gridCol w:w="993"/>
        <w:gridCol w:w="917"/>
        <w:gridCol w:w="851"/>
        <w:gridCol w:w="818"/>
        <w:gridCol w:w="835"/>
        <w:gridCol w:w="989"/>
        <w:gridCol w:w="989"/>
        <w:gridCol w:w="88"/>
        <w:gridCol w:w="1351"/>
      </w:tblGrid>
      <w:tr w:rsidR="00050A06" w:rsidRPr="00BA1318" w:rsidTr="00050A06">
        <w:trPr>
          <w:trHeight w:val="1646"/>
        </w:trPr>
        <w:tc>
          <w:tcPr>
            <w:tcW w:w="753"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Requirement</w:t>
            </w:r>
          </w:p>
        </w:tc>
        <w:tc>
          <w:tcPr>
            <w:tcW w:w="438"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Estimated Number of Registrants Per Year</w:t>
            </w:r>
          </w:p>
        </w:tc>
        <w:tc>
          <w:tcPr>
            <w:tcW w:w="483"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Frequency of Response</w:t>
            </w:r>
          </w:p>
        </w:tc>
        <w:tc>
          <w:tcPr>
            <w:tcW w:w="446"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Number of Responses Per Registrant</w:t>
            </w:r>
          </w:p>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Annually</w:t>
            </w:r>
          </w:p>
        </w:tc>
        <w:tc>
          <w:tcPr>
            <w:tcW w:w="414"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Aggregate</w:t>
            </w:r>
          </w:p>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Number of  Responses</w:t>
            </w:r>
          </w:p>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Annually</w:t>
            </w:r>
          </w:p>
          <w:p w:rsidR="008E57F8" w:rsidRPr="00050A06" w:rsidRDefault="008E57F8" w:rsidP="008E57F8">
            <w:pPr>
              <w:spacing w:after="0" w:line="240" w:lineRule="auto"/>
              <w:jc w:val="center"/>
              <w:rPr>
                <w:rFonts w:eastAsia="Times New Roman" w:cs="Times New Roman"/>
                <w:sz w:val="18"/>
                <w:szCs w:val="18"/>
              </w:rPr>
            </w:pPr>
          </w:p>
        </w:tc>
        <w:tc>
          <w:tcPr>
            <w:tcW w:w="398"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Estimated Average Number of Hours Per Response</w:t>
            </w:r>
          </w:p>
          <w:p w:rsidR="008E57F8" w:rsidRPr="00050A06" w:rsidRDefault="008E57F8" w:rsidP="008E57F8">
            <w:pPr>
              <w:spacing w:after="0" w:line="240" w:lineRule="auto"/>
              <w:jc w:val="center"/>
              <w:rPr>
                <w:rFonts w:eastAsia="Times New Roman" w:cs="Times New Roman"/>
                <w:sz w:val="18"/>
                <w:szCs w:val="18"/>
              </w:rPr>
            </w:pPr>
          </w:p>
        </w:tc>
        <w:tc>
          <w:tcPr>
            <w:tcW w:w="406"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Estimated Annual Hour Burden Per Registrant</w:t>
            </w:r>
          </w:p>
          <w:p w:rsidR="008E57F8" w:rsidRPr="00050A06" w:rsidRDefault="008E57F8" w:rsidP="008E57F8">
            <w:pPr>
              <w:spacing w:after="0" w:line="240" w:lineRule="auto"/>
              <w:jc w:val="center"/>
              <w:rPr>
                <w:rFonts w:eastAsia="Times New Roman" w:cs="Times New Roman"/>
                <w:sz w:val="18"/>
                <w:szCs w:val="18"/>
              </w:rPr>
            </w:pPr>
          </w:p>
        </w:tc>
        <w:tc>
          <w:tcPr>
            <w:tcW w:w="481"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Estimated Aggregate Hour Burden</w:t>
            </w:r>
          </w:p>
        </w:tc>
        <w:tc>
          <w:tcPr>
            <w:tcW w:w="524" w:type="pct"/>
            <w:gridSpan w:val="2"/>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Estimated Annual Cost Per Registrant</w:t>
            </w:r>
            <w:r w:rsidRPr="00050A06">
              <w:rPr>
                <w:rFonts w:eastAsia="Times New Roman" w:cs="Times New Roman"/>
                <w:sz w:val="18"/>
                <w:szCs w:val="18"/>
                <w:vertAlign w:val="superscript"/>
              </w:rPr>
              <w:footnoteReference w:id="13"/>
            </w:r>
          </w:p>
          <w:p w:rsidR="008E57F8" w:rsidRPr="00050A06" w:rsidRDefault="008E57F8" w:rsidP="008E57F8">
            <w:pPr>
              <w:spacing w:after="0" w:line="240" w:lineRule="auto"/>
              <w:jc w:val="center"/>
              <w:rPr>
                <w:rFonts w:eastAsia="Times New Roman" w:cs="Times New Roman"/>
                <w:sz w:val="18"/>
                <w:szCs w:val="18"/>
              </w:rPr>
            </w:pPr>
          </w:p>
        </w:tc>
        <w:tc>
          <w:tcPr>
            <w:tcW w:w="657" w:type="pct"/>
          </w:tcPr>
          <w:p w:rsidR="008E57F8" w:rsidRPr="00050A06" w:rsidRDefault="008E57F8" w:rsidP="008E57F8">
            <w:pPr>
              <w:spacing w:after="0" w:line="240" w:lineRule="auto"/>
              <w:jc w:val="center"/>
              <w:rPr>
                <w:rFonts w:eastAsia="Times New Roman" w:cs="Times New Roman"/>
                <w:sz w:val="18"/>
                <w:szCs w:val="18"/>
              </w:rPr>
            </w:pPr>
            <w:r w:rsidRPr="00050A06">
              <w:rPr>
                <w:rFonts w:eastAsia="Times New Roman" w:cs="Times New Roman"/>
                <w:sz w:val="18"/>
                <w:szCs w:val="18"/>
              </w:rPr>
              <w:t>Estimated Aggregate Annual Cost</w:t>
            </w:r>
            <w:r w:rsidRPr="00050A06">
              <w:rPr>
                <w:rFonts w:eastAsia="Times New Roman" w:cs="Times New Roman"/>
                <w:sz w:val="18"/>
                <w:szCs w:val="18"/>
                <w:vertAlign w:val="superscript"/>
              </w:rPr>
              <w:footnoteReference w:id="14"/>
            </w:r>
          </w:p>
          <w:p w:rsidR="008E57F8" w:rsidRPr="00050A06" w:rsidRDefault="008E57F8" w:rsidP="008E57F8">
            <w:pPr>
              <w:spacing w:after="0" w:line="240" w:lineRule="auto"/>
              <w:jc w:val="center"/>
              <w:rPr>
                <w:rFonts w:eastAsia="Times New Roman" w:cs="Times New Roman"/>
                <w:sz w:val="18"/>
                <w:szCs w:val="18"/>
              </w:rPr>
            </w:pPr>
          </w:p>
        </w:tc>
      </w:tr>
      <w:tr w:rsidR="00050A06" w:rsidRPr="00BA1318" w:rsidTr="00050A06">
        <w:trPr>
          <w:trHeight w:val="937"/>
        </w:trPr>
        <w:tc>
          <w:tcPr>
            <w:tcW w:w="753" w:type="pct"/>
          </w:tcPr>
          <w:p w:rsidR="008E57F8" w:rsidRPr="00050A06" w:rsidRDefault="008E57F8" w:rsidP="008E57F8">
            <w:pPr>
              <w:spacing w:after="0" w:line="240" w:lineRule="auto"/>
              <w:rPr>
                <w:rFonts w:eastAsia="Times New Roman" w:cs="Times New Roman"/>
                <w:b/>
                <w:sz w:val="18"/>
                <w:szCs w:val="18"/>
              </w:rPr>
            </w:pPr>
            <w:r w:rsidRPr="00050A06">
              <w:rPr>
                <w:rFonts w:eastAsia="Times New Roman" w:cs="Times New Roman"/>
                <w:b/>
                <w:sz w:val="18"/>
                <w:szCs w:val="18"/>
                <w:u w:val="single"/>
              </w:rPr>
              <w:t>Recordkeeping</w:t>
            </w:r>
            <w:r w:rsidRPr="00050A06">
              <w:rPr>
                <w:rFonts w:eastAsia="Times New Roman" w:cs="Times New Roman"/>
                <w:b/>
                <w:sz w:val="18"/>
                <w:szCs w:val="18"/>
              </w:rPr>
              <w:t>:</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b/>
                <w:sz w:val="18"/>
                <w:szCs w:val="18"/>
              </w:rPr>
              <w:t>Drafting &amp; Updating Policies and Procedures</w:t>
            </w:r>
          </w:p>
        </w:tc>
        <w:tc>
          <w:tcPr>
            <w:tcW w:w="43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w:t>
            </w:r>
          </w:p>
        </w:tc>
        <w:tc>
          <w:tcPr>
            <w:tcW w:w="483"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Initial implementation, updating as needed</w:t>
            </w:r>
          </w:p>
        </w:tc>
        <w:tc>
          <w:tcPr>
            <w:tcW w:w="44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w:t>
            </w:r>
          </w:p>
        </w:tc>
        <w:tc>
          <w:tcPr>
            <w:tcW w:w="414"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w:t>
            </w:r>
          </w:p>
        </w:tc>
        <w:tc>
          <w:tcPr>
            <w:tcW w:w="39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40 hours</w:t>
            </w:r>
          </w:p>
        </w:tc>
        <w:tc>
          <w:tcPr>
            <w:tcW w:w="40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40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4,200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$4,000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[40 hours x $100]</w:t>
            </w:r>
          </w:p>
        </w:tc>
        <w:tc>
          <w:tcPr>
            <w:tcW w:w="700" w:type="pct"/>
            <w:gridSpan w:val="2"/>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$420,000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 x $4,000]</w:t>
            </w:r>
          </w:p>
        </w:tc>
      </w:tr>
      <w:tr w:rsidR="00050A06" w:rsidRPr="00BA1318" w:rsidTr="00050A06">
        <w:trPr>
          <w:trHeight w:val="1063"/>
        </w:trPr>
        <w:tc>
          <w:tcPr>
            <w:tcW w:w="753" w:type="pct"/>
          </w:tcPr>
          <w:p w:rsidR="008E57F8" w:rsidRPr="00050A06" w:rsidRDefault="008E57F8" w:rsidP="008E57F8">
            <w:pPr>
              <w:spacing w:after="0" w:line="240" w:lineRule="auto"/>
              <w:rPr>
                <w:rFonts w:eastAsia="Times New Roman" w:cs="Times New Roman"/>
                <w:b/>
                <w:sz w:val="18"/>
                <w:szCs w:val="18"/>
              </w:rPr>
            </w:pPr>
            <w:r w:rsidRPr="00050A06">
              <w:rPr>
                <w:rFonts w:eastAsia="Times New Roman" w:cs="Times New Roman"/>
                <w:b/>
                <w:sz w:val="18"/>
                <w:szCs w:val="18"/>
                <w:u w:val="single"/>
              </w:rPr>
              <w:t>Recordkeeping</w:t>
            </w:r>
            <w:r w:rsidRPr="00050A06">
              <w:rPr>
                <w:rFonts w:eastAsia="Times New Roman" w:cs="Times New Roman"/>
                <w:b/>
                <w:sz w:val="18"/>
                <w:szCs w:val="18"/>
              </w:rPr>
              <w:t>:</w:t>
            </w:r>
          </w:p>
          <w:p w:rsidR="008E57F8" w:rsidRPr="00050A06" w:rsidRDefault="008E57F8" w:rsidP="008E57F8">
            <w:pPr>
              <w:spacing w:after="0" w:line="240" w:lineRule="auto"/>
              <w:rPr>
                <w:rFonts w:eastAsia="Times New Roman" w:cs="Times New Roman"/>
                <w:b/>
                <w:sz w:val="18"/>
                <w:szCs w:val="18"/>
              </w:rPr>
            </w:pPr>
            <w:r w:rsidRPr="00050A06">
              <w:rPr>
                <w:rFonts w:eastAsia="Times New Roman" w:cs="Times New Roman"/>
                <w:b/>
                <w:sz w:val="18"/>
                <w:szCs w:val="18"/>
              </w:rPr>
              <w:t>Acknowledgement and Confirmation</w:t>
            </w:r>
          </w:p>
          <w:p w:rsidR="008E57F8" w:rsidRPr="00050A06" w:rsidRDefault="008E57F8" w:rsidP="008E57F8">
            <w:pPr>
              <w:spacing w:after="0" w:line="240" w:lineRule="auto"/>
              <w:rPr>
                <w:rFonts w:eastAsia="Times New Roman" w:cs="Times New Roman"/>
                <w:b/>
                <w:sz w:val="18"/>
                <w:szCs w:val="18"/>
              </w:rPr>
            </w:pPr>
          </w:p>
        </w:tc>
        <w:tc>
          <w:tcPr>
            <w:tcW w:w="43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w:t>
            </w:r>
          </w:p>
        </w:tc>
        <w:tc>
          <w:tcPr>
            <w:tcW w:w="483"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Daily</w:t>
            </w:r>
          </w:p>
        </w:tc>
        <w:tc>
          <w:tcPr>
            <w:tcW w:w="44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 xml:space="preserve">252 </w:t>
            </w:r>
          </w:p>
        </w:tc>
        <w:tc>
          <w:tcPr>
            <w:tcW w:w="414"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26,460</w:t>
            </w:r>
          </w:p>
        </w:tc>
        <w:tc>
          <w:tcPr>
            <w:tcW w:w="39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 hour</w:t>
            </w:r>
          </w:p>
        </w:tc>
        <w:tc>
          <w:tcPr>
            <w:tcW w:w="40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252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26,460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$25,200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[252 hours x $100]</w:t>
            </w:r>
          </w:p>
        </w:tc>
        <w:tc>
          <w:tcPr>
            <w:tcW w:w="700" w:type="pct"/>
            <w:gridSpan w:val="2"/>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$2,646,000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 x $25,200]</w:t>
            </w:r>
          </w:p>
        </w:tc>
      </w:tr>
      <w:tr w:rsidR="00050A06" w:rsidRPr="00BA1318" w:rsidTr="00050A06">
        <w:trPr>
          <w:trHeight w:val="700"/>
        </w:trPr>
        <w:tc>
          <w:tcPr>
            <w:tcW w:w="753" w:type="pct"/>
          </w:tcPr>
          <w:p w:rsidR="008E57F8" w:rsidRPr="00050A06" w:rsidRDefault="008E57F8" w:rsidP="008E57F8">
            <w:pPr>
              <w:spacing w:after="0" w:line="240" w:lineRule="auto"/>
              <w:rPr>
                <w:rFonts w:eastAsia="Times New Roman" w:cs="Times New Roman"/>
                <w:b/>
                <w:sz w:val="18"/>
                <w:szCs w:val="18"/>
              </w:rPr>
            </w:pPr>
            <w:r w:rsidRPr="00050A06">
              <w:rPr>
                <w:rFonts w:eastAsia="Times New Roman" w:cs="Times New Roman"/>
                <w:b/>
                <w:sz w:val="18"/>
                <w:szCs w:val="18"/>
                <w:u w:val="single"/>
              </w:rPr>
              <w:t>Recordkeeping</w:t>
            </w:r>
            <w:r w:rsidRPr="00050A06">
              <w:rPr>
                <w:rFonts w:eastAsia="Times New Roman" w:cs="Times New Roman"/>
                <w:b/>
                <w:sz w:val="18"/>
                <w:szCs w:val="18"/>
              </w:rPr>
              <w:t>: Portfolio Reconciliation</w:t>
            </w:r>
          </w:p>
        </w:tc>
        <w:tc>
          <w:tcPr>
            <w:tcW w:w="43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w:t>
            </w:r>
          </w:p>
        </w:tc>
        <w:tc>
          <w:tcPr>
            <w:tcW w:w="483"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Daily, weekly, quarterly, or annually</w:t>
            </w:r>
          </w:p>
        </w:tc>
        <w:tc>
          <w:tcPr>
            <w:tcW w:w="44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 xml:space="preserve">8,120 </w:t>
            </w:r>
          </w:p>
        </w:tc>
        <w:tc>
          <w:tcPr>
            <w:tcW w:w="414"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852,600</w:t>
            </w:r>
          </w:p>
        </w:tc>
        <w:tc>
          <w:tcPr>
            <w:tcW w:w="39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 hours</w:t>
            </w:r>
          </w:p>
        </w:tc>
        <w:tc>
          <w:tcPr>
            <w:tcW w:w="40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812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85,260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$81,200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[812 hours x $100]</w:t>
            </w:r>
          </w:p>
        </w:tc>
        <w:tc>
          <w:tcPr>
            <w:tcW w:w="700" w:type="pct"/>
            <w:gridSpan w:val="2"/>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$8,526,000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 x $81,200]</w:t>
            </w:r>
          </w:p>
        </w:tc>
      </w:tr>
      <w:tr w:rsidR="00050A06" w:rsidRPr="00BA1318" w:rsidTr="00050A06">
        <w:trPr>
          <w:trHeight w:val="348"/>
        </w:trPr>
        <w:tc>
          <w:tcPr>
            <w:tcW w:w="753" w:type="pct"/>
          </w:tcPr>
          <w:p w:rsidR="008E57F8" w:rsidRPr="00050A06" w:rsidRDefault="008E57F8" w:rsidP="008E57F8">
            <w:pPr>
              <w:spacing w:after="0" w:line="240" w:lineRule="auto"/>
              <w:rPr>
                <w:rFonts w:eastAsia="Times New Roman" w:cs="Times New Roman"/>
                <w:b/>
                <w:sz w:val="18"/>
                <w:szCs w:val="18"/>
              </w:rPr>
            </w:pPr>
            <w:r w:rsidRPr="00050A06">
              <w:rPr>
                <w:rFonts w:eastAsia="Times New Roman" w:cs="Times New Roman"/>
                <w:b/>
                <w:sz w:val="18"/>
                <w:szCs w:val="18"/>
                <w:u w:val="single"/>
              </w:rPr>
              <w:t>Recordkeeping</w:t>
            </w:r>
            <w:r w:rsidRPr="00050A06">
              <w:rPr>
                <w:rFonts w:eastAsia="Times New Roman" w:cs="Times New Roman"/>
                <w:b/>
                <w:sz w:val="18"/>
                <w:szCs w:val="18"/>
              </w:rPr>
              <w:t xml:space="preserve">: </w:t>
            </w:r>
          </w:p>
          <w:p w:rsidR="008E57F8" w:rsidRPr="00050A06" w:rsidRDefault="008E57F8" w:rsidP="008E57F8">
            <w:pPr>
              <w:spacing w:after="0" w:line="240" w:lineRule="auto"/>
              <w:rPr>
                <w:rFonts w:eastAsia="Times New Roman" w:cs="Times New Roman"/>
                <w:b/>
                <w:sz w:val="18"/>
                <w:szCs w:val="18"/>
              </w:rPr>
            </w:pPr>
            <w:r w:rsidRPr="00050A06">
              <w:rPr>
                <w:rFonts w:eastAsia="Times New Roman" w:cs="Times New Roman"/>
                <w:b/>
                <w:sz w:val="18"/>
                <w:szCs w:val="18"/>
              </w:rPr>
              <w:t>Portfolio Compression</w:t>
            </w:r>
          </w:p>
        </w:tc>
        <w:tc>
          <w:tcPr>
            <w:tcW w:w="43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w:t>
            </w:r>
          </w:p>
        </w:tc>
        <w:tc>
          <w:tcPr>
            <w:tcW w:w="483"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As needed</w:t>
            </w:r>
          </w:p>
        </w:tc>
        <w:tc>
          <w:tcPr>
            <w:tcW w:w="44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1,029</w:t>
            </w:r>
          </w:p>
        </w:tc>
        <w:tc>
          <w:tcPr>
            <w:tcW w:w="414"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108,045</w:t>
            </w:r>
          </w:p>
        </w:tc>
        <w:tc>
          <w:tcPr>
            <w:tcW w:w="398"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.17 hours</w:t>
            </w:r>
          </w:p>
        </w:tc>
        <w:tc>
          <w:tcPr>
            <w:tcW w:w="406"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178.5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18,742.5 hours</w:t>
            </w:r>
          </w:p>
        </w:tc>
        <w:tc>
          <w:tcPr>
            <w:tcW w:w="481" w:type="pct"/>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$17,850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[178.5 hours x $100]</w:t>
            </w:r>
          </w:p>
        </w:tc>
        <w:tc>
          <w:tcPr>
            <w:tcW w:w="700" w:type="pct"/>
            <w:gridSpan w:val="2"/>
          </w:tcPr>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$1,874,250</w:t>
            </w:r>
          </w:p>
          <w:p w:rsidR="008E57F8" w:rsidRPr="00050A06" w:rsidRDefault="008E57F8" w:rsidP="008E57F8">
            <w:pPr>
              <w:spacing w:after="0" w:line="240" w:lineRule="auto"/>
              <w:rPr>
                <w:rFonts w:eastAsia="Times New Roman" w:cs="Times New Roman"/>
                <w:sz w:val="18"/>
                <w:szCs w:val="18"/>
              </w:rPr>
            </w:pPr>
            <w:r w:rsidRPr="00050A06">
              <w:rPr>
                <w:rFonts w:eastAsia="Times New Roman" w:cs="Times New Roman"/>
                <w:sz w:val="18"/>
                <w:szCs w:val="18"/>
              </w:rPr>
              <w:t>[105 x $17,850]</w:t>
            </w:r>
          </w:p>
        </w:tc>
      </w:tr>
    </w:tbl>
    <w:p w:rsidR="00BA1318" w:rsidRPr="00BA1318" w:rsidRDefault="00BA1318" w:rsidP="00BA1318">
      <w:pPr>
        <w:spacing w:after="0" w:line="240" w:lineRule="auto"/>
        <w:jc w:val="both"/>
        <w:rPr>
          <w:rFonts w:eastAsia="Times New Roman" w:cs="Times New Roman"/>
          <w:szCs w:val="24"/>
        </w:rPr>
      </w:pPr>
    </w:p>
    <w:p w:rsidR="00BA1318" w:rsidRDefault="00BA131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0"/>
          <w:szCs w:val="20"/>
        </w:rPr>
      </w:pPr>
    </w:p>
    <w:p w:rsidR="008E57F8" w:rsidRPr="00BA131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008E57F8" w:rsidRDefault="008E57F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00BA1318" w:rsidRPr="00BA1318" w:rsidRDefault="00BA131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r w:rsidRPr="00BA1318">
        <w:rPr>
          <w:rFonts w:eastAsia="Times New Roman" w:cs="Times New Roman"/>
          <w:b/>
          <w:szCs w:val="20"/>
        </w:rPr>
        <w:t>Orderly Liquidation NPRM</w:t>
      </w:r>
      <w:r w:rsidR="001E76E1">
        <w:rPr>
          <w:rFonts w:eastAsia="Times New Roman" w:cs="Times New Roman"/>
          <w:b/>
          <w:szCs w:val="20"/>
        </w:rPr>
        <w:t xml:space="preserve"> (</w:t>
      </w:r>
      <w:r w:rsidR="001E76E1" w:rsidRPr="001E76E1">
        <w:rPr>
          <w:rFonts w:eastAsia="Times New Roman" w:cs="Times New Roman"/>
          <w:b/>
          <w:szCs w:val="20"/>
        </w:rPr>
        <w:t>OMB Control Number 3038-0083)</w:t>
      </w:r>
      <w:r w:rsidRPr="00BA1318">
        <w:rPr>
          <w:rFonts w:eastAsia="Times New Roman" w:cs="Times New Roman"/>
          <w:b/>
          <w:szCs w:val="20"/>
        </w:rPr>
        <w:t>:</w:t>
      </w:r>
    </w:p>
    <w:tbl>
      <w:tblPr>
        <w:tblpPr w:leftFromText="180" w:rightFromText="180" w:vertAnchor="text" w:horzAnchor="page" w:tblpX="489" w:tblpY="222"/>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006"/>
        <w:gridCol w:w="1126"/>
        <w:gridCol w:w="977"/>
        <w:gridCol w:w="977"/>
        <w:gridCol w:w="935"/>
        <w:gridCol w:w="956"/>
        <w:gridCol w:w="966"/>
        <w:gridCol w:w="1076"/>
        <w:gridCol w:w="892"/>
      </w:tblGrid>
      <w:tr w:rsidR="00050A06" w:rsidRPr="00BA1318" w:rsidTr="00DA6104">
        <w:tc>
          <w:tcPr>
            <w:tcW w:w="703"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Requirement</w:t>
            </w:r>
          </w:p>
        </w:tc>
        <w:tc>
          <w:tcPr>
            <w:tcW w:w="485"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Estimated Number of Registrants Per Year</w:t>
            </w:r>
          </w:p>
        </w:tc>
        <w:tc>
          <w:tcPr>
            <w:tcW w:w="543"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Frequency of Response</w:t>
            </w:r>
          </w:p>
        </w:tc>
        <w:tc>
          <w:tcPr>
            <w:tcW w:w="471"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Number of Responses Per Registrant</w:t>
            </w:r>
          </w:p>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Annually</w:t>
            </w:r>
          </w:p>
        </w:tc>
        <w:tc>
          <w:tcPr>
            <w:tcW w:w="471"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Aggregate</w:t>
            </w:r>
          </w:p>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Number of  Responses</w:t>
            </w:r>
          </w:p>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Annually</w:t>
            </w:r>
          </w:p>
          <w:p w:rsidR="008E57F8" w:rsidRPr="00DA6104" w:rsidRDefault="008E57F8" w:rsidP="008E57F8">
            <w:pPr>
              <w:spacing w:after="0" w:line="240" w:lineRule="auto"/>
              <w:jc w:val="center"/>
              <w:rPr>
                <w:rFonts w:eastAsia="Times New Roman" w:cs="Times New Roman"/>
                <w:sz w:val="18"/>
                <w:szCs w:val="18"/>
              </w:rPr>
            </w:pPr>
          </w:p>
        </w:tc>
        <w:tc>
          <w:tcPr>
            <w:tcW w:w="451"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Estimated Average Number of Hours Per Response</w:t>
            </w:r>
          </w:p>
          <w:p w:rsidR="008E57F8" w:rsidRPr="00DA6104" w:rsidRDefault="008E57F8" w:rsidP="008E57F8">
            <w:pPr>
              <w:spacing w:after="0" w:line="240" w:lineRule="auto"/>
              <w:jc w:val="center"/>
              <w:rPr>
                <w:rFonts w:eastAsia="Times New Roman" w:cs="Times New Roman"/>
                <w:sz w:val="18"/>
                <w:szCs w:val="18"/>
              </w:rPr>
            </w:pPr>
          </w:p>
        </w:tc>
        <w:tc>
          <w:tcPr>
            <w:tcW w:w="461"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Estimated Annual Hour Burden Per Registrant</w:t>
            </w:r>
          </w:p>
          <w:p w:rsidR="008E57F8" w:rsidRPr="00DA6104" w:rsidRDefault="008E57F8" w:rsidP="008E57F8">
            <w:pPr>
              <w:spacing w:after="0" w:line="240" w:lineRule="auto"/>
              <w:jc w:val="center"/>
              <w:rPr>
                <w:rFonts w:eastAsia="Times New Roman" w:cs="Times New Roman"/>
                <w:sz w:val="18"/>
                <w:szCs w:val="18"/>
              </w:rPr>
            </w:pPr>
          </w:p>
        </w:tc>
        <w:tc>
          <w:tcPr>
            <w:tcW w:w="466"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Estimated Aggregate Hour Burden</w:t>
            </w:r>
          </w:p>
        </w:tc>
        <w:tc>
          <w:tcPr>
            <w:tcW w:w="519" w:type="pct"/>
          </w:tcPr>
          <w:p w:rsidR="008E57F8" w:rsidRPr="00DA6104" w:rsidRDefault="008E57F8" w:rsidP="008E57F8">
            <w:pPr>
              <w:spacing w:after="0" w:line="240" w:lineRule="auto"/>
              <w:jc w:val="center"/>
              <w:rPr>
                <w:rFonts w:eastAsia="Times New Roman" w:cs="Times New Roman"/>
                <w:sz w:val="18"/>
                <w:szCs w:val="18"/>
              </w:rPr>
            </w:pPr>
            <w:r w:rsidRPr="00DA6104">
              <w:rPr>
                <w:rFonts w:eastAsia="Times New Roman" w:cs="Times New Roman"/>
                <w:sz w:val="18"/>
                <w:szCs w:val="18"/>
              </w:rPr>
              <w:t>Estimated Annual Cost Per Registrant</w:t>
            </w:r>
            <w:r w:rsidRPr="00DA6104">
              <w:rPr>
                <w:rFonts w:eastAsia="Times New Roman" w:cs="Times New Roman"/>
                <w:sz w:val="18"/>
                <w:szCs w:val="18"/>
                <w:vertAlign w:val="superscript"/>
              </w:rPr>
              <w:footnoteReference w:id="15"/>
            </w:r>
          </w:p>
          <w:p w:rsidR="008E57F8" w:rsidRPr="00DA6104" w:rsidRDefault="008E57F8" w:rsidP="008E57F8">
            <w:pPr>
              <w:spacing w:after="0" w:line="240" w:lineRule="auto"/>
              <w:jc w:val="center"/>
              <w:rPr>
                <w:rFonts w:eastAsia="Times New Roman" w:cs="Times New Roman"/>
                <w:sz w:val="18"/>
                <w:szCs w:val="18"/>
              </w:rPr>
            </w:pPr>
          </w:p>
        </w:tc>
        <w:tc>
          <w:tcPr>
            <w:tcW w:w="430" w:type="pct"/>
          </w:tcPr>
          <w:p w:rsidR="008E57F8" w:rsidRPr="00BA1318" w:rsidRDefault="008E57F8" w:rsidP="008E57F8">
            <w:pPr>
              <w:spacing w:after="0" w:line="240" w:lineRule="auto"/>
              <w:jc w:val="center"/>
              <w:rPr>
                <w:rFonts w:eastAsia="Times New Roman" w:cs="Times New Roman"/>
                <w:sz w:val="20"/>
                <w:szCs w:val="20"/>
              </w:rPr>
            </w:pPr>
            <w:r w:rsidRPr="00BA1318">
              <w:rPr>
                <w:rFonts w:eastAsia="Times New Roman" w:cs="Times New Roman"/>
                <w:sz w:val="20"/>
                <w:szCs w:val="20"/>
              </w:rPr>
              <w:t>Estimated Aggregate Annual Cost</w:t>
            </w:r>
            <w:r w:rsidRPr="00BA1318">
              <w:rPr>
                <w:rFonts w:eastAsia="Times New Roman" w:cs="Times New Roman"/>
                <w:sz w:val="20"/>
                <w:szCs w:val="20"/>
                <w:vertAlign w:val="superscript"/>
              </w:rPr>
              <w:footnoteReference w:id="16"/>
            </w:r>
          </w:p>
          <w:p w:rsidR="008E57F8" w:rsidRPr="00BA1318" w:rsidRDefault="008E57F8" w:rsidP="008E57F8">
            <w:pPr>
              <w:spacing w:after="0" w:line="240" w:lineRule="auto"/>
              <w:jc w:val="center"/>
              <w:rPr>
                <w:rFonts w:eastAsia="Times New Roman" w:cs="Times New Roman"/>
                <w:sz w:val="20"/>
                <w:szCs w:val="20"/>
              </w:rPr>
            </w:pPr>
          </w:p>
        </w:tc>
      </w:tr>
      <w:tr w:rsidR="00050A06" w:rsidRPr="00BA1318" w:rsidTr="00DA6104">
        <w:tc>
          <w:tcPr>
            <w:tcW w:w="703" w:type="pct"/>
          </w:tcPr>
          <w:p w:rsidR="008E57F8" w:rsidRPr="00DA6104" w:rsidRDefault="008E57F8" w:rsidP="008E57F8">
            <w:pPr>
              <w:spacing w:after="0" w:line="240" w:lineRule="auto"/>
              <w:rPr>
                <w:rFonts w:eastAsia="Times New Roman" w:cs="Times New Roman"/>
                <w:b/>
                <w:sz w:val="18"/>
                <w:szCs w:val="18"/>
              </w:rPr>
            </w:pPr>
            <w:r w:rsidRPr="00DA6104">
              <w:rPr>
                <w:rFonts w:eastAsia="Times New Roman" w:cs="Times New Roman"/>
                <w:b/>
                <w:sz w:val="18"/>
                <w:szCs w:val="18"/>
                <w:u w:val="single"/>
              </w:rPr>
              <w:t>Recordkeeping</w:t>
            </w:r>
            <w:r w:rsidRPr="00DA6104">
              <w:rPr>
                <w:rFonts w:eastAsia="Times New Roman" w:cs="Times New Roman"/>
                <w:b/>
                <w:sz w:val="18"/>
                <w:szCs w:val="18"/>
              </w:rPr>
              <w:t>:</w:t>
            </w:r>
          </w:p>
          <w:p w:rsidR="008E57F8" w:rsidRPr="00DA6104" w:rsidRDefault="008E57F8" w:rsidP="008E57F8">
            <w:pPr>
              <w:spacing w:after="0" w:line="240" w:lineRule="auto"/>
              <w:rPr>
                <w:rFonts w:eastAsia="Times New Roman" w:cs="Times New Roman"/>
                <w:b/>
                <w:sz w:val="18"/>
                <w:szCs w:val="18"/>
              </w:rPr>
            </w:pPr>
            <w:r w:rsidRPr="00DA6104">
              <w:rPr>
                <w:rFonts w:eastAsia="Times New Roman" w:cs="Times New Roman"/>
                <w:b/>
                <w:sz w:val="18"/>
                <w:szCs w:val="18"/>
              </w:rPr>
              <w:t>Orderly Liquidation Termination Notice Provision</w:t>
            </w:r>
          </w:p>
          <w:p w:rsidR="008E57F8" w:rsidRPr="00DA6104" w:rsidRDefault="008E57F8" w:rsidP="008E57F8">
            <w:pPr>
              <w:spacing w:after="0" w:line="240" w:lineRule="auto"/>
              <w:rPr>
                <w:rFonts w:eastAsia="Times New Roman" w:cs="Times New Roman"/>
                <w:sz w:val="18"/>
                <w:szCs w:val="18"/>
              </w:rPr>
            </w:pPr>
          </w:p>
        </w:tc>
        <w:tc>
          <w:tcPr>
            <w:tcW w:w="485"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105</w:t>
            </w:r>
          </w:p>
        </w:tc>
        <w:tc>
          <w:tcPr>
            <w:tcW w:w="543"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At least once per counterparty</w:t>
            </w:r>
          </w:p>
        </w:tc>
        <w:tc>
          <w:tcPr>
            <w:tcW w:w="471"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540</w:t>
            </w:r>
          </w:p>
        </w:tc>
        <w:tc>
          <w:tcPr>
            <w:tcW w:w="471"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56,700</w:t>
            </w:r>
          </w:p>
        </w:tc>
        <w:tc>
          <w:tcPr>
            <w:tcW w:w="451"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.50 hours</w:t>
            </w:r>
          </w:p>
        </w:tc>
        <w:tc>
          <w:tcPr>
            <w:tcW w:w="461"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270 hours</w:t>
            </w:r>
          </w:p>
        </w:tc>
        <w:tc>
          <w:tcPr>
            <w:tcW w:w="466"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28,350 hours</w:t>
            </w:r>
          </w:p>
        </w:tc>
        <w:tc>
          <w:tcPr>
            <w:tcW w:w="519" w:type="pct"/>
          </w:tcPr>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$27,000</w:t>
            </w:r>
          </w:p>
          <w:p w:rsidR="008E57F8" w:rsidRPr="00DA6104" w:rsidRDefault="008E57F8" w:rsidP="008E57F8">
            <w:pPr>
              <w:spacing w:after="0" w:line="240" w:lineRule="auto"/>
              <w:rPr>
                <w:rFonts w:eastAsia="Times New Roman" w:cs="Times New Roman"/>
                <w:sz w:val="18"/>
                <w:szCs w:val="18"/>
              </w:rPr>
            </w:pPr>
            <w:r w:rsidRPr="00DA6104">
              <w:rPr>
                <w:rFonts w:eastAsia="Times New Roman" w:cs="Times New Roman"/>
                <w:sz w:val="18"/>
                <w:szCs w:val="18"/>
              </w:rPr>
              <w:t>[270 hours x $100]</w:t>
            </w:r>
          </w:p>
        </w:tc>
        <w:tc>
          <w:tcPr>
            <w:tcW w:w="430" w:type="pct"/>
          </w:tcPr>
          <w:p w:rsidR="008E57F8" w:rsidRPr="00BA1318" w:rsidRDefault="008E57F8" w:rsidP="008E57F8">
            <w:pPr>
              <w:spacing w:after="0" w:line="240" w:lineRule="auto"/>
              <w:rPr>
                <w:rFonts w:eastAsia="Times New Roman" w:cs="Times New Roman"/>
                <w:sz w:val="20"/>
                <w:szCs w:val="20"/>
              </w:rPr>
            </w:pPr>
            <w:r w:rsidRPr="00BA1318">
              <w:rPr>
                <w:rFonts w:eastAsia="Times New Roman" w:cs="Times New Roman"/>
                <w:sz w:val="20"/>
                <w:szCs w:val="20"/>
              </w:rPr>
              <w:t>$</w:t>
            </w:r>
            <w:r>
              <w:rPr>
                <w:rFonts w:eastAsia="Times New Roman" w:cs="Times New Roman"/>
                <w:sz w:val="20"/>
                <w:szCs w:val="20"/>
              </w:rPr>
              <w:t>2,83</w:t>
            </w:r>
            <w:r w:rsidRPr="00BA1318">
              <w:rPr>
                <w:rFonts w:eastAsia="Times New Roman" w:cs="Times New Roman"/>
                <w:sz w:val="20"/>
                <w:szCs w:val="20"/>
              </w:rPr>
              <w:t>5,000</w:t>
            </w:r>
          </w:p>
          <w:p w:rsidR="008E57F8" w:rsidRPr="00BA1318" w:rsidRDefault="008E57F8" w:rsidP="008E57F8">
            <w:pPr>
              <w:spacing w:after="0" w:line="240" w:lineRule="auto"/>
              <w:rPr>
                <w:rFonts w:eastAsia="Times New Roman" w:cs="Times New Roman"/>
                <w:sz w:val="20"/>
                <w:szCs w:val="20"/>
              </w:rPr>
            </w:pPr>
            <w:r w:rsidRPr="00BA1318">
              <w:rPr>
                <w:rFonts w:eastAsia="Times New Roman" w:cs="Times New Roman"/>
                <w:sz w:val="20"/>
                <w:szCs w:val="20"/>
              </w:rPr>
              <w:t>[1</w:t>
            </w:r>
            <w:r>
              <w:rPr>
                <w:rFonts w:eastAsia="Times New Roman" w:cs="Times New Roman"/>
                <w:sz w:val="20"/>
                <w:szCs w:val="20"/>
              </w:rPr>
              <w:t>0</w:t>
            </w:r>
            <w:r w:rsidRPr="00BA1318">
              <w:rPr>
                <w:rFonts w:eastAsia="Times New Roman" w:cs="Times New Roman"/>
                <w:sz w:val="20"/>
                <w:szCs w:val="20"/>
              </w:rPr>
              <w:t>5 x $27,000]</w:t>
            </w:r>
          </w:p>
        </w:tc>
      </w:tr>
    </w:tbl>
    <w:p w:rsidR="00BA1318" w:rsidRPr="00BA1318" w:rsidRDefault="00BA131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0"/>
        </w:rPr>
      </w:pPr>
    </w:p>
    <w:p w:rsidR="00BA1318" w:rsidRPr="00BA1318" w:rsidRDefault="00BA1318" w:rsidP="00BA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0"/>
        </w:rPr>
      </w:pPr>
    </w:p>
    <w:p w:rsidR="0055646B" w:rsidRDefault="0055646B"/>
    <w:sectPr w:rsidR="0055646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F4" w:rsidRDefault="002D6FF4" w:rsidP="00BA1318">
      <w:pPr>
        <w:spacing w:after="0" w:line="240" w:lineRule="auto"/>
      </w:pPr>
      <w:r>
        <w:separator/>
      </w:r>
    </w:p>
  </w:endnote>
  <w:endnote w:type="continuationSeparator" w:id="0">
    <w:p w:rsidR="002D6FF4" w:rsidRDefault="002D6FF4" w:rsidP="00BA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F4" w:rsidRDefault="002D6FF4">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352E0B">
      <w:rPr>
        <w:rFonts w:ascii="Times New Roman" w:hAnsi="Times New Roman"/>
        <w:noProof/>
        <w:sz w:val="20"/>
        <w:szCs w:val="20"/>
      </w:rPr>
      <w:t>1</w:t>
    </w:r>
    <w:r>
      <w:rPr>
        <w:rFonts w:ascii="Times New Roman" w:hAnsi="Times New Roman"/>
        <w:sz w:val="20"/>
        <w:szCs w:val="20"/>
      </w:rPr>
      <w:fldChar w:fldCharType="end"/>
    </w:r>
  </w:p>
  <w:p w:rsidR="002D6FF4" w:rsidRDefault="002D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F4" w:rsidRDefault="002D6FF4" w:rsidP="00BA1318">
      <w:pPr>
        <w:spacing w:after="0" w:line="240" w:lineRule="auto"/>
      </w:pPr>
      <w:r>
        <w:separator/>
      </w:r>
    </w:p>
  </w:footnote>
  <w:footnote w:type="continuationSeparator" w:id="0">
    <w:p w:rsidR="002D6FF4" w:rsidRDefault="002D6FF4" w:rsidP="00BA1318">
      <w:pPr>
        <w:spacing w:after="0" w:line="240" w:lineRule="auto"/>
      </w:pPr>
      <w:r>
        <w:continuationSeparator/>
      </w:r>
    </w:p>
  </w:footnote>
  <w:footnote w:id="1">
    <w:p w:rsidR="002D6FF4" w:rsidRDefault="002D6FF4" w:rsidP="00BA1318">
      <w:pPr>
        <w:pStyle w:val="FootnoteText"/>
      </w:pPr>
      <w:r>
        <w:rPr>
          <w:rStyle w:val="FootnoteReference"/>
        </w:rPr>
        <w:footnoteRef/>
      </w:r>
      <w:r>
        <w:t xml:space="preserve"> </w:t>
      </w:r>
      <w:r w:rsidRPr="00644F3A">
        <w:t>76 FR 6715 (Feb. 8, 2011)</w:t>
      </w:r>
      <w:r>
        <w:t>.</w:t>
      </w:r>
    </w:p>
  </w:footnote>
  <w:footnote w:id="2">
    <w:p w:rsidR="002D6FF4" w:rsidRDefault="002D6FF4" w:rsidP="00BA1318">
      <w:pPr>
        <w:pStyle w:val="FootnoteText"/>
      </w:pPr>
      <w:r>
        <w:rPr>
          <w:rStyle w:val="FootnoteReference"/>
        </w:rPr>
        <w:footnoteRef/>
      </w:r>
      <w:r>
        <w:t xml:space="preserve"> </w:t>
      </w:r>
      <w:r w:rsidRPr="00644F3A">
        <w:t>75 FR 81519 (Dec. 28, 2010)</w:t>
      </w:r>
      <w:r>
        <w:t>.</w:t>
      </w:r>
    </w:p>
  </w:footnote>
  <w:footnote w:id="3">
    <w:p w:rsidR="002D6FF4" w:rsidRDefault="002D6FF4" w:rsidP="00BA1318">
      <w:pPr>
        <w:pStyle w:val="FootnoteText"/>
      </w:pPr>
      <w:r>
        <w:rPr>
          <w:rStyle w:val="FootnoteReference"/>
        </w:rPr>
        <w:footnoteRef/>
      </w:r>
      <w:r>
        <w:t xml:space="preserve"> </w:t>
      </w:r>
      <w:r w:rsidRPr="00644F3A">
        <w:t>76 FR 6708 (Feb. 8, 2011)</w:t>
      </w:r>
      <w:r>
        <w:t>.</w:t>
      </w:r>
    </w:p>
  </w:footnote>
  <w:footnote w:id="4">
    <w:p w:rsidR="002D6FF4" w:rsidRDefault="002D6FF4" w:rsidP="00D504F0">
      <w:pPr>
        <w:pStyle w:val="FootnoteText"/>
      </w:pPr>
      <w:r>
        <w:rPr>
          <w:rStyle w:val="FootnoteReference"/>
        </w:rPr>
        <w:footnoteRef/>
      </w:r>
      <w:r>
        <w:t xml:space="preserve"> Confirmation, Portfolio Reconciliation, Portfolio Compression, and Swap</w:t>
      </w:r>
    </w:p>
    <w:p w:rsidR="002D6FF4" w:rsidRDefault="002D6FF4" w:rsidP="00D504F0">
      <w:pPr>
        <w:pStyle w:val="FootnoteText"/>
      </w:pPr>
      <w:r>
        <w:t>Trading Relationship Documentation Requirements for Swap Dealers and Major Swap Participants</w:t>
      </w:r>
      <w:r w:rsidRPr="00D504F0">
        <w:t xml:space="preserve"> </w:t>
      </w:r>
      <w:r>
        <w:t xml:space="preserve">, 77 FR 55904 (Sept. 11, 2011).  The Commission has proposed to amend the definition of material terms for purposes of portfolio reconciliation exercises.  See 80 FR 57129 (Sept. 22, 2015). </w:t>
      </w:r>
    </w:p>
  </w:footnote>
  <w:footnote w:id="5">
    <w:p w:rsidR="002D6FF4" w:rsidRPr="004E724E" w:rsidRDefault="002D6FF4" w:rsidP="004E724E">
      <w:pPr>
        <w:pStyle w:val="FootnoteText"/>
        <w:rPr>
          <w:szCs w:val="24"/>
        </w:rPr>
      </w:pPr>
      <w:r w:rsidRPr="004E724E">
        <w:rPr>
          <w:rStyle w:val="FootnoteReference"/>
          <w:szCs w:val="24"/>
        </w:rPr>
        <w:footnoteRef/>
      </w:r>
      <w:r w:rsidRPr="004E724E">
        <w:rPr>
          <w:szCs w:val="24"/>
        </w:rPr>
        <w:t xml:space="preserve"> </w:t>
      </w:r>
      <w:r w:rsidRPr="002D6FF4">
        <w:rPr>
          <w:i/>
          <w:szCs w:val="24"/>
          <w:u w:val="single"/>
        </w:rPr>
        <w:t>See</w:t>
      </w:r>
      <w:r w:rsidRPr="002D6FF4">
        <w:rPr>
          <w:szCs w:val="24"/>
        </w:rPr>
        <w:t xml:space="preserve"> </w:t>
      </w:r>
      <w:r w:rsidRPr="002D6FF4">
        <w:rPr>
          <w:rFonts w:eastAsia="Calibri"/>
          <w:iCs/>
          <w:szCs w:val="24"/>
          <w:u w:val="single"/>
        </w:rPr>
        <w:t>http://www.bls.gov/oes/current/oes_nat.htm.</w:t>
      </w:r>
    </w:p>
  </w:footnote>
  <w:footnote w:id="6">
    <w:p w:rsidR="002D6FF4" w:rsidRDefault="002D6FF4" w:rsidP="004E724E"/>
    <w:p w:rsidR="002D6FF4" w:rsidRDefault="002D6FF4" w:rsidP="004E724E"/>
  </w:footnote>
  <w:footnote w:id="7">
    <w:p w:rsidR="002D6FF4" w:rsidRDefault="002D6FF4" w:rsidP="00EE350E">
      <w:pPr>
        <w:pStyle w:val="FootnoteText"/>
      </w:pPr>
      <w:r>
        <w:rPr>
          <w:rStyle w:val="FootnoteReference"/>
        </w:rPr>
        <w:footnoteRef/>
      </w:r>
      <w:r>
        <w:t xml:space="preserve"> </w:t>
      </w:r>
      <w:r>
        <w:rPr>
          <w:rFonts w:ascii="Melior" w:hAnsi="Melior" w:cs="Melior"/>
        </w:rPr>
        <w:t>The Commission previously estimated that 125 SDs and MSPs would register, whereas the actual number of such registrants is 105.</w:t>
      </w:r>
    </w:p>
  </w:footnote>
  <w:footnote w:id="8">
    <w:p w:rsidR="002D6FF4" w:rsidRPr="00735439" w:rsidRDefault="002D6FF4" w:rsidP="002D6FF4">
      <w:pPr>
        <w:autoSpaceDE w:val="0"/>
        <w:autoSpaceDN w:val="0"/>
        <w:adjustRightInd w:val="0"/>
        <w:spacing w:after="120" w:line="240" w:lineRule="auto"/>
      </w:pPr>
      <w:r>
        <w:rPr>
          <w:rStyle w:val="FootnoteReference"/>
        </w:rPr>
        <w:footnoteRef/>
      </w:r>
      <w:r>
        <w:t xml:space="preserve"> </w:t>
      </w:r>
      <w:r>
        <w:rPr>
          <w:rFonts w:ascii="Melior" w:hAnsi="Melior" w:cs="Melior"/>
        </w:rPr>
        <w:t>While the Commission  the actual number of such registrants is 105</w:t>
      </w:r>
      <w:r w:rsidRPr="00D504F0">
        <w:rPr>
          <w:rFonts w:ascii="Melior" w:hAnsi="Melior" w:cs="Melior"/>
        </w:rPr>
        <w:t>,</w:t>
      </w:r>
      <w:r>
        <w:rPr>
          <w:rFonts w:ascii="Melior" w:hAnsi="Melior" w:cs="Melior"/>
        </w:rPr>
        <w:t xml:space="preserve">based on information currently available to the Commission, the Commission continues to believe that each such registrant, on average, will have 540 counterparties.  </w:t>
      </w:r>
    </w:p>
  </w:footnote>
  <w:footnote w:id="9">
    <w:p w:rsidR="002D6FF4" w:rsidRDefault="002D6FF4" w:rsidP="00BA1318">
      <w:pPr>
        <w:pStyle w:val="FootnoteText"/>
      </w:pPr>
      <w:r>
        <w:rPr>
          <w:rStyle w:val="FootnoteReference"/>
        </w:rPr>
        <w:footnoteRef/>
      </w:r>
      <w:r>
        <w:t xml:space="preserve"> </w:t>
      </w:r>
      <w:r>
        <w:rPr>
          <w:rFonts w:ascii="Melior" w:hAnsi="Melior" w:cs="Melior"/>
        </w:rPr>
        <w:t>While the actual number of such registrants is 105,based on information currently available to the Commission, the Commission continues to believe that each such registrant, on average, will have 540 counterparties</w:t>
      </w:r>
      <w:r w:rsidRPr="00047274">
        <w:rPr>
          <w:rFonts w:ascii="Melior" w:hAnsi="Melior" w:cs="Melior"/>
        </w:rPr>
        <w:t>.</w:t>
      </w:r>
      <w:r>
        <w:t xml:space="preserve"> </w:t>
      </w:r>
    </w:p>
  </w:footnote>
  <w:footnote w:id="10">
    <w:p w:rsidR="002D6FF4" w:rsidRDefault="002D6FF4" w:rsidP="00BA1318">
      <w:pPr>
        <w:pStyle w:val="FootnoteText"/>
      </w:pPr>
      <w:r>
        <w:rPr>
          <w:rStyle w:val="FootnoteReference"/>
        </w:rPr>
        <w:footnoteRef/>
      </w:r>
      <w:r>
        <w:t xml:space="preserve"> </w:t>
      </w:r>
      <w:r w:rsidRPr="00CC5660">
        <w:rPr>
          <w:u w:val="single"/>
        </w:rPr>
        <w:t>See Id</w:t>
      </w:r>
      <w:r>
        <w:t>.</w:t>
      </w:r>
    </w:p>
  </w:footnote>
  <w:footnote w:id="11">
    <w:p w:rsidR="008E57F8" w:rsidRPr="008E7834" w:rsidRDefault="008E57F8" w:rsidP="008E57F8">
      <w:pPr>
        <w:pStyle w:val="FootnoteText"/>
        <w:rPr>
          <w:b/>
        </w:rPr>
      </w:pPr>
      <w:r>
        <w:rPr>
          <w:rStyle w:val="FootnoteReference"/>
        </w:rPr>
        <w:footnoteRef/>
      </w:r>
      <w:r>
        <w:t xml:space="preserve"> As explained in detail in the response to Question 12, for the purposes of the category titled, “Recordkeeping: Swap Trading Relationship Documentation (excluding cleared swap records),” the Commission has used an hourly wage rate of $100 for one half of the burden hours in that category and an hourly wage rate of $125 for one half of the burden hours.  </w:t>
      </w:r>
    </w:p>
  </w:footnote>
  <w:footnote w:id="12">
    <w:p w:rsidR="008E57F8" w:rsidRDefault="008E57F8" w:rsidP="008E57F8">
      <w:pPr>
        <w:pStyle w:val="FootnoteText"/>
      </w:pPr>
      <w:r>
        <w:rPr>
          <w:rStyle w:val="FootnoteReference"/>
        </w:rPr>
        <w:footnoteRef/>
      </w:r>
      <w:r>
        <w:t xml:space="preserve"> The figures in this column reflect the “</w:t>
      </w:r>
      <w:r w:rsidRPr="000415C5">
        <w:t>Estimated Number of Registrants Per Year</w:t>
      </w:r>
      <w:r>
        <w:t>” multiplied by the “</w:t>
      </w:r>
      <w:r w:rsidRPr="000415C5">
        <w:t>Estimated Annual Cost Per Registrant</w:t>
      </w:r>
      <w:r>
        <w:t>.”</w:t>
      </w:r>
    </w:p>
  </w:footnote>
  <w:footnote w:id="13">
    <w:p w:rsidR="008E57F8" w:rsidRDefault="008E57F8" w:rsidP="008E57F8">
      <w:pPr>
        <w:pStyle w:val="FootnoteText"/>
      </w:pPr>
      <w:r>
        <w:rPr>
          <w:rStyle w:val="FootnoteReference"/>
        </w:rPr>
        <w:footnoteRef/>
      </w:r>
      <w:r>
        <w:t xml:space="preserve"> For purposes of these cost estimates, an hourly wage rate of $100 was used.  Thus, the figures in this column reflect the “</w:t>
      </w:r>
      <w:r w:rsidRPr="000415C5">
        <w:t>Estimated Annual Hour Burden Per Registrant</w:t>
      </w:r>
      <w:r>
        <w:t>” multiplied by $100.</w:t>
      </w:r>
    </w:p>
  </w:footnote>
  <w:footnote w:id="14">
    <w:p w:rsidR="008E57F8" w:rsidRDefault="008E57F8" w:rsidP="008E57F8">
      <w:pPr>
        <w:pStyle w:val="FootnoteText"/>
      </w:pPr>
      <w:r>
        <w:rPr>
          <w:rStyle w:val="FootnoteReference"/>
        </w:rPr>
        <w:footnoteRef/>
      </w:r>
      <w:r>
        <w:t xml:space="preserve"> The figures in this column reflect the “</w:t>
      </w:r>
      <w:r w:rsidRPr="000415C5">
        <w:t>Estimated Number of Registrants Per Year</w:t>
      </w:r>
      <w:r>
        <w:t>” multiplied by the “</w:t>
      </w:r>
      <w:r w:rsidRPr="000415C5">
        <w:t>Estimated Annual Cost Per Registrant</w:t>
      </w:r>
      <w:r>
        <w:t>.”</w:t>
      </w:r>
    </w:p>
  </w:footnote>
  <w:footnote w:id="15">
    <w:p w:rsidR="008E57F8" w:rsidRDefault="008E57F8" w:rsidP="008E57F8">
      <w:pPr>
        <w:pStyle w:val="FootnoteText"/>
      </w:pPr>
      <w:r>
        <w:rPr>
          <w:rStyle w:val="FootnoteReference"/>
        </w:rPr>
        <w:footnoteRef/>
      </w:r>
      <w:r>
        <w:t xml:space="preserve"> For purposes of these cost estimates, an hourly wage rate of $100 was used.  Thus, the figures in this column reflect the “</w:t>
      </w:r>
      <w:r w:rsidRPr="000415C5">
        <w:t>Estimated Annual Hour Burden Per Registrant</w:t>
      </w:r>
      <w:r>
        <w:t>” multiplied by $100.</w:t>
      </w:r>
    </w:p>
  </w:footnote>
  <w:footnote w:id="16">
    <w:p w:rsidR="008E57F8" w:rsidRDefault="008E57F8" w:rsidP="008E57F8">
      <w:pPr>
        <w:pStyle w:val="FootnoteText"/>
      </w:pPr>
      <w:r>
        <w:rPr>
          <w:rStyle w:val="FootnoteReference"/>
        </w:rPr>
        <w:footnoteRef/>
      </w:r>
      <w:r>
        <w:t xml:space="preserve"> The figures in this column reflect the “</w:t>
      </w:r>
      <w:r w:rsidRPr="000415C5">
        <w:t>Estimated Number of Registrants Per Year</w:t>
      </w:r>
      <w:r>
        <w:t>” multiplied by the “</w:t>
      </w:r>
      <w:r w:rsidRPr="000415C5">
        <w:t>Estimated Annual Cost Per Registrant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C117B"/>
    <w:multiLevelType w:val="hybridMultilevel"/>
    <w:tmpl w:val="8F6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18"/>
    <w:rsid w:val="00050A06"/>
    <w:rsid w:val="000E4E49"/>
    <w:rsid w:val="00115202"/>
    <w:rsid w:val="0011620E"/>
    <w:rsid w:val="0013795D"/>
    <w:rsid w:val="0018126F"/>
    <w:rsid w:val="00183CC8"/>
    <w:rsid w:val="00190A55"/>
    <w:rsid w:val="001B4390"/>
    <w:rsid w:val="001B5400"/>
    <w:rsid w:val="001B60CB"/>
    <w:rsid w:val="001B6245"/>
    <w:rsid w:val="001C314B"/>
    <w:rsid w:val="001D01C6"/>
    <w:rsid w:val="001E76E1"/>
    <w:rsid w:val="0021722B"/>
    <w:rsid w:val="00222435"/>
    <w:rsid w:val="00256EB0"/>
    <w:rsid w:val="00280C43"/>
    <w:rsid w:val="002B585C"/>
    <w:rsid w:val="002C5E15"/>
    <w:rsid w:val="002D6FF4"/>
    <w:rsid w:val="00352E0B"/>
    <w:rsid w:val="00361AA5"/>
    <w:rsid w:val="003903AF"/>
    <w:rsid w:val="003C0126"/>
    <w:rsid w:val="003C18DB"/>
    <w:rsid w:val="003E70F4"/>
    <w:rsid w:val="003F207B"/>
    <w:rsid w:val="00424FCB"/>
    <w:rsid w:val="00451353"/>
    <w:rsid w:val="00454140"/>
    <w:rsid w:val="00455E64"/>
    <w:rsid w:val="00475D17"/>
    <w:rsid w:val="00487E41"/>
    <w:rsid w:val="004D274F"/>
    <w:rsid w:val="004E724E"/>
    <w:rsid w:val="0050177C"/>
    <w:rsid w:val="00533AA3"/>
    <w:rsid w:val="0055646B"/>
    <w:rsid w:val="00564392"/>
    <w:rsid w:val="005B2F66"/>
    <w:rsid w:val="005E5367"/>
    <w:rsid w:val="0061024E"/>
    <w:rsid w:val="0063496C"/>
    <w:rsid w:val="00665CD5"/>
    <w:rsid w:val="006B57CD"/>
    <w:rsid w:val="006B76EA"/>
    <w:rsid w:val="006D6096"/>
    <w:rsid w:val="006D6DFE"/>
    <w:rsid w:val="006F2568"/>
    <w:rsid w:val="00724A1E"/>
    <w:rsid w:val="007553CB"/>
    <w:rsid w:val="007F7240"/>
    <w:rsid w:val="0080433A"/>
    <w:rsid w:val="00823E89"/>
    <w:rsid w:val="00877854"/>
    <w:rsid w:val="008A60AC"/>
    <w:rsid w:val="008D0B29"/>
    <w:rsid w:val="008E03F9"/>
    <w:rsid w:val="008E152F"/>
    <w:rsid w:val="008E57F8"/>
    <w:rsid w:val="009020B1"/>
    <w:rsid w:val="009127E8"/>
    <w:rsid w:val="00920711"/>
    <w:rsid w:val="009B74FE"/>
    <w:rsid w:val="009C2788"/>
    <w:rsid w:val="00A20321"/>
    <w:rsid w:val="00A33965"/>
    <w:rsid w:val="00A66881"/>
    <w:rsid w:val="00A910A8"/>
    <w:rsid w:val="00AA4436"/>
    <w:rsid w:val="00AC12F3"/>
    <w:rsid w:val="00B03754"/>
    <w:rsid w:val="00B74E9A"/>
    <w:rsid w:val="00B86DD0"/>
    <w:rsid w:val="00BA1318"/>
    <w:rsid w:val="00BA5C10"/>
    <w:rsid w:val="00BC7EF3"/>
    <w:rsid w:val="00C177F3"/>
    <w:rsid w:val="00C47E66"/>
    <w:rsid w:val="00C72B84"/>
    <w:rsid w:val="00CC13FE"/>
    <w:rsid w:val="00CD3E4C"/>
    <w:rsid w:val="00D46F0A"/>
    <w:rsid w:val="00D504F0"/>
    <w:rsid w:val="00D54B17"/>
    <w:rsid w:val="00D83453"/>
    <w:rsid w:val="00DA6104"/>
    <w:rsid w:val="00DA6809"/>
    <w:rsid w:val="00DF3581"/>
    <w:rsid w:val="00DF56AE"/>
    <w:rsid w:val="00E165E8"/>
    <w:rsid w:val="00EE350E"/>
    <w:rsid w:val="00F640B5"/>
    <w:rsid w:val="00FA34C7"/>
    <w:rsid w:val="00FC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A3"/>
    <w:rPr>
      <w:rFonts w:ascii="Times New Roman" w:hAnsi="Times New Roman"/>
      <w:sz w:val="24"/>
    </w:rPr>
  </w:style>
  <w:style w:type="paragraph" w:styleId="Heading1">
    <w:name w:val="heading 1"/>
    <w:basedOn w:val="Normal"/>
    <w:next w:val="Normal"/>
    <w:link w:val="Heading1Char"/>
    <w:qFormat/>
    <w:rsid w:val="00BA1318"/>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1318"/>
    <w:rPr>
      <w:rFonts w:ascii="Arial" w:eastAsia="Times New Roman" w:hAnsi="Arial" w:cs="Times New Roman"/>
      <w:b/>
      <w:sz w:val="24"/>
      <w:szCs w:val="20"/>
    </w:rPr>
  </w:style>
  <w:style w:type="numbering" w:customStyle="1" w:styleId="NoList1">
    <w:name w:val="No List1"/>
    <w:next w:val="NoList"/>
    <w:uiPriority w:val="99"/>
    <w:semiHidden/>
    <w:unhideWhenUsed/>
    <w:rsid w:val="00BA1318"/>
  </w:style>
  <w:style w:type="paragraph" w:styleId="EndnoteText">
    <w:name w:val="endnote text"/>
    <w:basedOn w:val="Normal"/>
    <w:link w:val="EndnoteTextChar"/>
    <w:semiHidden/>
    <w:rsid w:val="00BA1318"/>
    <w:pPr>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customStyle="1" w:styleId="EndnoteTextChar">
    <w:name w:val="Endnote Text Char"/>
    <w:basedOn w:val="DefaultParagraphFont"/>
    <w:link w:val="EndnoteText"/>
    <w:semiHidden/>
    <w:rsid w:val="00BA1318"/>
    <w:rPr>
      <w:rFonts w:ascii="Courier" w:eastAsia="Times New Roman" w:hAnsi="Courier" w:cs="Times New Roman"/>
      <w:sz w:val="24"/>
      <w:szCs w:val="20"/>
    </w:rPr>
  </w:style>
  <w:style w:type="paragraph" w:styleId="TOC6">
    <w:name w:val="toc 6"/>
    <w:basedOn w:val="Normal"/>
    <w:next w:val="Normal"/>
    <w:semiHidden/>
    <w:rsid w:val="00BA1318"/>
    <w:pPr>
      <w:tabs>
        <w:tab w:val="right" w:pos="9360"/>
      </w:tabs>
      <w:suppressAutoHyphens/>
      <w:overflowPunct w:val="0"/>
      <w:autoSpaceDE w:val="0"/>
      <w:autoSpaceDN w:val="0"/>
      <w:adjustRightInd w:val="0"/>
      <w:spacing w:after="0" w:line="240" w:lineRule="auto"/>
      <w:ind w:left="720" w:hanging="720"/>
      <w:textAlignment w:val="baseline"/>
    </w:pPr>
    <w:rPr>
      <w:rFonts w:ascii="Courier" w:eastAsia="Times New Roman" w:hAnsi="Courier" w:cs="Times New Roman"/>
      <w:szCs w:val="20"/>
    </w:rPr>
  </w:style>
  <w:style w:type="character" w:styleId="FootnoteReference">
    <w:name w:val="footnote reference"/>
    <w:aliases w:val="Style 19,Style 16,fr,Style 35"/>
    <w:uiPriority w:val="99"/>
    <w:rsid w:val="00BA1318"/>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rsid w:val="00BA1318"/>
    <w:pPr>
      <w:spacing w:after="0" w:line="240" w:lineRule="auto"/>
    </w:pPr>
    <w:rPr>
      <w:rFonts w:eastAsia="Times New Roman" w:cs="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BA1318"/>
    <w:rPr>
      <w:rFonts w:ascii="Times New Roman" w:eastAsia="Times New Roman" w:hAnsi="Times New Roman" w:cs="Times New Roman"/>
      <w:sz w:val="24"/>
      <w:szCs w:val="20"/>
    </w:rPr>
  </w:style>
  <w:style w:type="paragraph" w:customStyle="1" w:styleId="Default">
    <w:name w:val="Default"/>
    <w:rsid w:val="00BA1318"/>
    <w:pPr>
      <w:widowControl w:val="0"/>
      <w:autoSpaceDE w:val="0"/>
      <w:autoSpaceDN w:val="0"/>
      <w:adjustRightInd w:val="0"/>
      <w:spacing w:after="0" w:line="240" w:lineRule="auto"/>
    </w:pPr>
    <w:rPr>
      <w:rFonts w:ascii="Optimum" w:eastAsia="Times New Roman" w:hAnsi="Optimum" w:cs="Optimum"/>
      <w:color w:val="000000"/>
      <w:sz w:val="24"/>
      <w:szCs w:val="24"/>
    </w:rPr>
  </w:style>
  <w:style w:type="paragraph" w:styleId="Header">
    <w:name w:val="header"/>
    <w:basedOn w:val="Normal"/>
    <w:link w:val="HeaderChar"/>
    <w:rsid w:val="00BA1318"/>
    <w:pPr>
      <w:tabs>
        <w:tab w:val="center" w:pos="4680"/>
        <w:tab w:val="right" w:pos="936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BA1318"/>
    <w:rPr>
      <w:rFonts w:ascii="Arial" w:eastAsia="Times New Roman" w:hAnsi="Arial" w:cs="Times New Roman"/>
      <w:sz w:val="24"/>
      <w:szCs w:val="24"/>
    </w:rPr>
  </w:style>
  <w:style w:type="paragraph" w:styleId="Footer">
    <w:name w:val="footer"/>
    <w:basedOn w:val="Normal"/>
    <w:link w:val="FooterChar"/>
    <w:uiPriority w:val="99"/>
    <w:rsid w:val="00BA1318"/>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uiPriority w:val="99"/>
    <w:rsid w:val="00BA1318"/>
    <w:rPr>
      <w:rFonts w:ascii="Arial" w:eastAsia="Times New Roman" w:hAnsi="Arial" w:cs="Times New Roman"/>
      <w:sz w:val="24"/>
      <w:szCs w:val="24"/>
    </w:rPr>
  </w:style>
  <w:style w:type="paragraph" w:styleId="PlainText">
    <w:name w:val="Plain Text"/>
    <w:basedOn w:val="Normal"/>
    <w:link w:val="PlainTextChar"/>
    <w:uiPriority w:val="99"/>
    <w:unhideWhenUsed/>
    <w:rsid w:val="00BA1318"/>
    <w:pPr>
      <w:spacing w:after="0" w:line="240" w:lineRule="auto"/>
    </w:pPr>
    <w:rPr>
      <w:rFonts w:ascii="Calibri" w:eastAsia="Times New Roman" w:hAnsi="Calibri" w:cs="Times New Roman"/>
      <w:color w:val="1F497D"/>
      <w:szCs w:val="21"/>
    </w:rPr>
  </w:style>
  <w:style w:type="character" w:customStyle="1" w:styleId="PlainTextChar">
    <w:name w:val="Plain Text Char"/>
    <w:basedOn w:val="DefaultParagraphFont"/>
    <w:link w:val="PlainText"/>
    <w:uiPriority w:val="99"/>
    <w:rsid w:val="00BA1318"/>
    <w:rPr>
      <w:rFonts w:ascii="Calibri" w:eastAsia="Times New Roman" w:hAnsi="Calibri" w:cs="Times New Roman"/>
      <w:color w:val="1F497D"/>
      <w:szCs w:val="21"/>
    </w:rPr>
  </w:style>
  <w:style w:type="paragraph" w:customStyle="1" w:styleId="CM3">
    <w:name w:val="CM3"/>
    <w:basedOn w:val="Default"/>
    <w:next w:val="Default"/>
    <w:uiPriority w:val="99"/>
    <w:rsid w:val="00BA1318"/>
    <w:pPr>
      <w:spacing w:line="268" w:lineRule="atLeast"/>
    </w:pPr>
    <w:rPr>
      <w:rFonts w:cs="Times New Roman"/>
      <w:color w:val="auto"/>
    </w:rPr>
  </w:style>
  <w:style w:type="paragraph" w:styleId="Title">
    <w:name w:val="Title"/>
    <w:basedOn w:val="Normal"/>
    <w:link w:val="TitleChar"/>
    <w:qFormat/>
    <w:rsid w:val="00BA1318"/>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BA1318"/>
    <w:rPr>
      <w:rFonts w:ascii="Times New Roman" w:eastAsia="Times New Roman" w:hAnsi="Times New Roman" w:cs="Times New Roman"/>
      <w:b/>
      <w:sz w:val="40"/>
      <w:szCs w:val="20"/>
    </w:rPr>
  </w:style>
  <w:style w:type="paragraph" w:styleId="BalloonText">
    <w:name w:val="Balloon Text"/>
    <w:basedOn w:val="Normal"/>
    <w:link w:val="BalloonTextChar"/>
    <w:rsid w:val="00BA13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318"/>
    <w:rPr>
      <w:rFonts w:ascii="Tahoma" w:eastAsia="Times New Roman" w:hAnsi="Tahoma" w:cs="Tahoma"/>
      <w:sz w:val="16"/>
      <w:szCs w:val="16"/>
    </w:rPr>
  </w:style>
  <w:style w:type="character" w:styleId="CommentReference">
    <w:name w:val="annotation reference"/>
    <w:basedOn w:val="DefaultParagraphFont"/>
    <w:rsid w:val="00BA1318"/>
    <w:rPr>
      <w:sz w:val="16"/>
      <w:szCs w:val="16"/>
    </w:rPr>
  </w:style>
  <w:style w:type="paragraph" w:styleId="CommentText">
    <w:name w:val="annotation text"/>
    <w:basedOn w:val="Normal"/>
    <w:link w:val="CommentTextChar"/>
    <w:rsid w:val="00BA131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A131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BA1318"/>
    <w:rPr>
      <w:b/>
      <w:bCs/>
    </w:rPr>
  </w:style>
  <w:style w:type="character" w:customStyle="1" w:styleId="CommentSubjectChar">
    <w:name w:val="Comment Subject Char"/>
    <w:basedOn w:val="CommentTextChar"/>
    <w:link w:val="CommentSubject"/>
    <w:rsid w:val="00BA1318"/>
    <w:rPr>
      <w:rFonts w:ascii="Arial" w:eastAsia="Times New Roman" w:hAnsi="Arial" w:cs="Times New Roman"/>
      <w:b/>
      <w:bCs/>
      <w:sz w:val="20"/>
      <w:szCs w:val="20"/>
    </w:rPr>
  </w:style>
  <w:style w:type="paragraph" w:styleId="Revision">
    <w:name w:val="Revision"/>
    <w:hidden/>
    <w:uiPriority w:val="99"/>
    <w:semiHidden/>
    <w:rsid w:val="00D54B17"/>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A3"/>
    <w:rPr>
      <w:rFonts w:ascii="Times New Roman" w:hAnsi="Times New Roman"/>
      <w:sz w:val="24"/>
    </w:rPr>
  </w:style>
  <w:style w:type="paragraph" w:styleId="Heading1">
    <w:name w:val="heading 1"/>
    <w:basedOn w:val="Normal"/>
    <w:next w:val="Normal"/>
    <w:link w:val="Heading1Char"/>
    <w:qFormat/>
    <w:rsid w:val="00BA1318"/>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1318"/>
    <w:rPr>
      <w:rFonts w:ascii="Arial" w:eastAsia="Times New Roman" w:hAnsi="Arial" w:cs="Times New Roman"/>
      <w:b/>
      <w:sz w:val="24"/>
      <w:szCs w:val="20"/>
    </w:rPr>
  </w:style>
  <w:style w:type="numbering" w:customStyle="1" w:styleId="NoList1">
    <w:name w:val="No List1"/>
    <w:next w:val="NoList"/>
    <w:uiPriority w:val="99"/>
    <w:semiHidden/>
    <w:unhideWhenUsed/>
    <w:rsid w:val="00BA1318"/>
  </w:style>
  <w:style w:type="paragraph" w:styleId="EndnoteText">
    <w:name w:val="endnote text"/>
    <w:basedOn w:val="Normal"/>
    <w:link w:val="EndnoteTextChar"/>
    <w:semiHidden/>
    <w:rsid w:val="00BA1318"/>
    <w:pPr>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customStyle="1" w:styleId="EndnoteTextChar">
    <w:name w:val="Endnote Text Char"/>
    <w:basedOn w:val="DefaultParagraphFont"/>
    <w:link w:val="EndnoteText"/>
    <w:semiHidden/>
    <w:rsid w:val="00BA1318"/>
    <w:rPr>
      <w:rFonts w:ascii="Courier" w:eastAsia="Times New Roman" w:hAnsi="Courier" w:cs="Times New Roman"/>
      <w:sz w:val="24"/>
      <w:szCs w:val="20"/>
    </w:rPr>
  </w:style>
  <w:style w:type="paragraph" w:styleId="TOC6">
    <w:name w:val="toc 6"/>
    <w:basedOn w:val="Normal"/>
    <w:next w:val="Normal"/>
    <w:semiHidden/>
    <w:rsid w:val="00BA1318"/>
    <w:pPr>
      <w:tabs>
        <w:tab w:val="right" w:pos="9360"/>
      </w:tabs>
      <w:suppressAutoHyphens/>
      <w:overflowPunct w:val="0"/>
      <w:autoSpaceDE w:val="0"/>
      <w:autoSpaceDN w:val="0"/>
      <w:adjustRightInd w:val="0"/>
      <w:spacing w:after="0" w:line="240" w:lineRule="auto"/>
      <w:ind w:left="720" w:hanging="720"/>
      <w:textAlignment w:val="baseline"/>
    </w:pPr>
    <w:rPr>
      <w:rFonts w:ascii="Courier" w:eastAsia="Times New Roman" w:hAnsi="Courier" w:cs="Times New Roman"/>
      <w:szCs w:val="20"/>
    </w:rPr>
  </w:style>
  <w:style w:type="character" w:styleId="FootnoteReference">
    <w:name w:val="footnote reference"/>
    <w:aliases w:val="Style 19,Style 16,fr,Style 35"/>
    <w:uiPriority w:val="99"/>
    <w:rsid w:val="00BA1318"/>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rsid w:val="00BA1318"/>
    <w:pPr>
      <w:spacing w:after="0" w:line="240" w:lineRule="auto"/>
    </w:pPr>
    <w:rPr>
      <w:rFonts w:eastAsia="Times New Roman" w:cs="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BA1318"/>
    <w:rPr>
      <w:rFonts w:ascii="Times New Roman" w:eastAsia="Times New Roman" w:hAnsi="Times New Roman" w:cs="Times New Roman"/>
      <w:sz w:val="24"/>
      <w:szCs w:val="20"/>
    </w:rPr>
  </w:style>
  <w:style w:type="paragraph" w:customStyle="1" w:styleId="Default">
    <w:name w:val="Default"/>
    <w:rsid w:val="00BA1318"/>
    <w:pPr>
      <w:widowControl w:val="0"/>
      <w:autoSpaceDE w:val="0"/>
      <w:autoSpaceDN w:val="0"/>
      <w:adjustRightInd w:val="0"/>
      <w:spacing w:after="0" w:line="240" w:lineRule="auto"/>
    </w:pPr>
    <w:rPr>
      <w:rFonts w:ascii="Optimum" w:eastAsia="Times New Roman" w:hAnsi="Optimum" w:cs="Optimum"/>
      <w:color w:val="000000"/>
      <w:sz w:val="24"/>
      <w:szCs w:val="24"/>
    </w:rPr>
  </w:style>
  <w:style w:type="paragraph" w:styleId="Header">
    <w:name w:val="header"/>
    <w:basedOn w:val="Normal"/>
    <w:link w:val="HeaderChar"/>
    <w:rsid w:val="00BA1318"/>
    <w:pPr>
      <w:tabs>
        <w:tab w:val="center" w:pos="4680"/>
        <w:tab w:val="right" w:pos="936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BA1318"/>
    <w:rPr>
      <w:rFonts w:ascii="Arial" w:eastAsia="Times New Roman" w:hAnsi="Arial" w:cs="Times New Roman"/>
      <w:sz w:val="24"/>
      <w:szCs w:val="24"/>
    </w:rPr>
  </w:style>
  <w:style w:type="paragraph" w:styleId="Footer">
    <w:name w:val="footer"/>
    <w:basedOn w:val="Normal"/>
    <w:link w:val="FooterChar"/>
    <w:uiPriority w:val="99"/>
    <w:rsid w:val="00BA1318"/>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uiPriority w:val="99"/>
    <w:rsid w:val="00BA1318"/>
    <w:rPr>
      <w:rFonts w:ascii="Arial" w:eastAsia="Times New Roman" w:hAnsi="Arial" w:cs="Times New Roman"/>
      <w:sz w:val="24"/>
      <w:szCs w:val="24"/>
    </w:rPr>
  </w:style>
  <w:style w:type="paragraph" w:styleId="PlainText">
    <w:name w:val="Plain Text"/>
    <w:basedOn w:val="Normal"/>
    <w:link w:val="PlainTextChar"/>
    <w:uiPriority w:val="99"/>
    <w:unhideWhenUsed/>
    <w:rsid w:val="00BA1318"/>
    <w:pPr>
      <w:spacing w:after="0" w:line="240" w:lineRule="auto"/>
    </w:pPr>
    <w:rPr>
      <w:rFonts w:ascii="Calibri" w:eastAsia="Times New Roman" w:hAnsi="Calibri" w:cs="Times New Roman"/>
      <w:color w:val="1F497D"/>
      <w:szCs w:val="21"/>
    </w:rPr>
  </w:style>
  <w:style w:type="character" w:customStyle="1" w:styleId="PlainTextChar">
    <w:name w:val="Plain Text Char"/>
    <w:basedOn w:val="DefaultParagraphFont"/>
    <w:link w:val="PlainText"/>
    <w:uiPriority w:val="99"/>
    <w:rsid w:val="00BA1318"/>
    <w:rPr>
      <w:rFonts w:ascii="Calibri" w:eastAsia="Times New Roman" w:hAnsi="Calibri" w:cs="Times New Roman"/>
      <w:color w:val="1F497D"/>
      <w:szCs w:val="21"/>
    </w:rPr>
  </w:style>
  <w:style w:type="paragraph" w:customStyle="1" w:styleId="CM3">
    <w:name w:val="CM3"/>
    <w:basedOn w:val="Default"/>
    <w:next w:val="Default"/>
    <w:uiPriority w:val="99"/>
    <w:rsid w:val="00BA1318"/>
    <w:pPr>
      <w:spacing w:line="268" w:lineRule="atLeast"/>
    </w:pPr>
    <w:rPr>
      <w:rFonts w:cs="Times New Roman"/>
      <w:color w:val="auto"/>
    </w:rPr>
  </w:style>
  <w:style w:type="paragraph" w:styleId="Title">
    <w:name w:val="Title"/>
    <w:basedOn w:val="Normal"/>
    <w:link w:val="TitleChar"/>
    <w:qFormat/>
    <w:rsid w:val="00BA1318"/>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BA1318"/>
    <w:rPr>
      <w:rFonts w:ascii="Times New Roman" w:eastAsia="Times New Roman" w:hAnsi="Times New Roman" w:cs="Times New Roman"/>
      <w:b/>
      <w:sz w:val="40"/>
      <w:szCs w:val="20"/>
    </w:rPr>
  </w:style>
  <w:style w:type="paragraph" w:styleId="BalloonText">
    <w:name w:val="Balloon Text"/>
    <w:basedOn w:val="Normal"/>
    <w:link w:val="BalloonTextChar"/>
    <w:rsid w:val="00BA13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318"/>
    <w:rPr>
      <w:rFonts w:ascii="Tahoma" w:eastAsia="Times New Roman" w:hAnsi="Tahoma" w:cs="Tahoma"/>
      <w:sz w:val="16"/>
      <w:szCs w:val="16"/>
    </w:rPr>
  </w:style>
  <w:style w:type="character" w:styleId="CommentReference">
    <w:name w:val="annotation reference"/>
    <w:basedOn w:val="DefaultParagraphFont"/>
    <w:rsid w:val="00BA1318"/>
    <w:rPr>
      <w:sz w:val="16"/>
      <w:szCs w:val="16"/>
    </w:rPr>
  </w:style>
  <w:style w:type="paragraph" w:styleId="CommentText">
    <w:name w:val="annotation text"/>
    <w:basedOn w:val="Normal"/>
    <w:link w:val="CommentTextChar"/>
    <w:rsid w:val="00BA131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A131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BA1318"/>
    <w:rPr>
      <w:b/>
      <w:bCs/>
    </w:rPr>
  </w:style>
  <w:style w:type="character" w:customStyle="1" w:styleId="CommentSubjectChar">
    <w:name w:val="Comment Subject Char"/>
    <w:basedOn w:val="CommentTextChar"/>
    <w:link w:val="CommentSubject"/>
    <w:rsid w:val="00BA1318"/>
    <w:rPr>
      <w:rFonts w:ascii="Arial" w:eastAsia="Times New Roman" w:hAnsi="Arial" w:cs="Times New Roman"/>
      <w:b/>
      <w:bCs/>
      <w:sz w:val="20"/>
      <w:szCs w:val="20"/>
    </w:rPr>
  </w:style>
  <w:style w:type="paragraph" w:styleId="Revision">
    <w:name w:val="Revision"/>
    <w:hidden/>
    <w:uiPriority w:val="99"/>
    <w:semiHidden/>
    <w:rsid w:val="00D54B1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C5E3-9DBB-4593-8C57-07B67D5A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4668</Words>
  <Characters>26609</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Hudson, Sheila</cp:lastModifiedBy>
  <cp:revision>2</cp:revision>
  <cp:lastPrinted>2016-01-19T16:57:00Z</cp:lastPrinted>
  <dcterms:created xsi:type="dcterms:W3CDTF">2016-02-04T15:27:00Z</dcterms:created>
  <dcterms:modified xsi:type="dcterms:W3CDTF">2016-02-04T15:27:00Z</dcterms:modified>
</cp:coreProperties>
</file>