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206" w:rsidRDefault="00F94206">
      <w:pPr>
        <w:ind w:left="270" w:hanging="360"/>
      </w:pPr>
      <w:bookmarkStart w:id="0" w:name="_GoBack"/>
      <w:bookmarkEnd w:id="0"/>
    </w:p>
    <w:p w:rsidR="00F94206" w:rsidRDefault="00F94206"/>
    <w:p w:rsidR="00F94206" w:rsidRDefault="008072FE">
      <w:pPr>
        <w:jc w:val="center"/>
      </w:pPr>
      <w:r>
        <w:t>SUPPORTING STATEMENT</w:t>
      </w:r>
      <w:r w:rsidR="008E41DB">
        <w:t xml:space="preserve"> – PART B</w:t>
      </w:r>
    </w:p>
    <w:p w:rsidR="00AC5D52" w:rsidRDefault="00AC5D52" w:rsidP="00C11380">
      <w:pPr>
        <w:jc w:val="center"/>
      </w:pPr>
    </w:p>
    <w:p w:rsidR="00AC5D52" w:rsidRDefault="00AC5D52" w:rsidP="00C11380">
      <w:pPr>
        <w:jc w:val="center"/>
      </w:pPr>
    </w:p>
    <w:p w:rsidR="00C11380" w:rsidRDefault="008E41DB" w:rsidP="00C11380">
      <w:pPr>
        <w:jc w:val="center"/>
      </w:pPr>
      <w:r>
        <w:t>Small Business Lending Survey</w:t>
      </w:r>
    </w:p>
    <w:p w:rsidR="00F94206" w:rsidRDefault="008E41DB">
      <w:pPr>
        <w:jc w:val="center"/>
      </w:pPr>
      <w:r>
        <w:t xml:space="preserve">(OMB Control No. </w:t>
      </w:r>
      <w:r w:rsidR="007C6AD4">
        <w:t>3064</w:t>
      </w:r>
      <w:r>
        <w:t>-</w:t>
      </w:r>
      <w:r w:rsidR="007C6AD4">
        <w:t>NEW</w:t>
      </w:r>
      <w:r>
        <w:t>)</w:t>
      </w:r>
    </w:p>
    <w:p w:rsidR="008E41DB" w:rsidRDefault="008E41DB">
      <w:pPr>
        <w:jc w:val="center"/>
      </w:pPr>
    </w:p>
    <w:p w:rsidR="00F94206" w:rsidRDefault="00F94206"/>
    <w:p w:rsidR="00F94206" w:rsidRDefault="008072F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u w:val="single"/>
        </w:rPr>
      </w:pPr>
      <w:r>
        <w:rPr>
          <w:b/>
          <w:bCs/>
          <w:color w:val="000000"/>
        </w:rPr>
        <w:t xml:space="preserve">B. </w:t>
      </w:r>
      <w:r>
        <w:rPr>
          <w:b/>
          <w:bCs/>
          <w:color w:val="000000"/>
        </w:rPr>
        <w:tab/>
      </w:r>
      <w:r>
        <w:rPr>
          <w:bCs/>
          <w:color w:val="000000"/>
          <w:u w:val="single"/>
        </w:rPr>
        <w:t>C</w:t>
      </w:r>
      <w:r w:rsidR="00284EAD">
        <w:rPr>
          <w:bCs/>
          <w:color w:val="000000"/>
          <w:u w:val="single"/>
        </w:rPr>
        <w:t>ollection of Information Employing Statistical Methods</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Pr>
          <w:color w:val="000000"/>
        </w:rPr>
        <w:t>1.</w:t>
      </w:r>
      <w:r>
        <w:rPr>
          <w:color w:val="000000"/>
        </w:rPr>
        <w:tab/>
      </w:r>
      <w:r w:rsidRPr="00C11380">
        <w:rPr>
          <w:bCs/>
          <w:color w:val="000000"/>
          <w:u w:val="single"/>
        </w:rPr>
        <w:t xml:space="preserve">Universe </w:t>
      </w:r>
      <w:r w:rsidR="00C11380" w:rsidRPr="00C11380">
        <w:rPr>
          <w:bCs/>
          <w:color w:val="000000"/>
          <w:u w:val="single"/>
        </w:rPr>
        <w:t xml:space="preserve">and Sample </w:t>
      </w:r>
      <w:r w:rsidRPr="00C11380">
        <w:rPr>
          <w:bCs/>
          <w:color w:val="000000"/>
          <w:u w:val="single"/>
        </w:rPr>
        <w:t>Selection</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B5408" w:rsidRPr="00216920" w:rsidRDefault="00216920" w:rsidP="00284EA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B050"/>
        </w:rPr>
      </w:pPr>
      <w:r w:rsidRPr="006353ED">
        <w:t xml:space="preserve">The universe for the Small Business Lending Survey (SBLS) was provided by FDIC, and includes approximately 6,500 </w:t>
      </w:r>
      <w:r w:rsidR="008F0618">
        <w:t>FDIC-</w:t>
      </w:r>
      <w:r w:rsidRPr="006353ED">
        <w:t xml:space="preserve">insured depository institutions </w:t>
      </w:r>
      <w:r w:rsidR="007C6AD4">
        <w:t xml:space="preserve">that were operating </w:t>
      </w:r>
      <w:r w:rsidRPr="006353ED">
        <w:t>in the United States</w:t>
      </w:r>
      <w:r w:rsidR="007C6AD4">
        <w:t xml:space="preserve"> as of December 31, 2015</w:t>
      </w:r>
      <w:r w:rsidRPr="006353ED">
        <w:t xml:space="preserve">. </w:t>
      </w:r>
      <w:r w:rsidR="00093F5A">
        <w:t xml:space="preserve"> </w:t>
      </w:r>
      <w:r w:rsidR="00C03226" w:rsidRPr="006353ED">
        <w:t xml:space="preserve">The </w:t>
      </w:r>
      <w:r w:rsidR="00C03226">
        <w:t xml:space="preserve">universe is then stratified </w:t>
      </w:r>
      <w:r w:rsidR="007C6AD4">
        <w:t>along two dimensions: whether</w:t>
      </w:r>
      <w:r w:rsidR="0004428B">
        <w:t xml:space="preserve"> a majority of the institution’s deposits </w:t>
      </w:r>
      <w:r w:rsidR="007C6AD4">
        <w:t xml:space="preserve">are </w:t>
      </w:r>
      <w:r w:rsidR="00C03226">
        <w:t>within a metropolitan statistical area (MSA),</w:t>
      </w:r>
      <w:r w:rsidR="0004428B">
        <w:t xml:space="preserve"> and a measure of size based on assets.</w:t>
      </w:r>
      <w:r w:rsidR="00023216">
        <w:t xml:space="preserve"> </w:t>
      </w:r>
      <w:r w:rsidR="0004428B">
        <w:t xml:space="preserve"> Using these two criteria </w:t>
      </w:r>
      <w:r w:rsidR="00C03226">
        <w:t xml:space="preserve">creates 8 </w:t>
      </w:r>
      <w:r w:rsidR="000B5408">
        <w:t>strata</w:t>
      </w:r>
      <w:r w:rsidR="0004428B">
        <w:t xml:space="preserve">.  </w:t>
      </w:r>
      <w:r w:rsidR="000B5408">
        <w:t xml:space="preserve">The strata and the universe sizes shown in Table 1 below are from </w:t>
      </w:r>
      <w:r w:rsidR="000B5408" w:rsidRPr="006353ED">
        <w:t xml:space="preserve">June 30, 2014. </w:t>
      </w:r>
    </w:p>
    <w:p w:rsidR="000B5408" w:rsidRDefault="000B5408" w:rsidP="00284EAD">
      <w:pPr>
        <w:ind w:left="1440"/>
      </w:pPr>
    </w:p>
    <w:p w:rsidR="000B5408" w:rsidRDefault="000B5408" w:rsidP="00284EAD">
      <w:pPr>
        <w:ind w:left="1440"/>
        <w:rPr>
          <w:b/>
        </w:rPr>
      </w:pPr>
      <w:r>
        <w:rPr>
          <w:b/>
        </w:rPr>
        <w:t>Table 1: Strata Definitions and Population Sizes</w:t>
      </w:r>
    </w:p>
    <w:p w:rsidR="000B5408" w:rsidRDefault="000B5408" w:rsidP="000B5408"/>
    <w:tbl>
      <w:tblPr>
        <w:tblStyle w:val="TableGrid"/>
        <w:tblW w:w="0" w:type="auto"/>
        <w:jc w:val="center"/>
        <w:tblLook w:val="04A0" w:firstRow="1" w:lastRow="0" w:firstColumn="1" w:lastColumn="0" w:noHBand="0" w:noVBand="1"/>
      </w:tblPr>
      <w:tblGrid>
        <w:gridCol w:w="4878"/>
        <w:gridCol w:w="2340"/>
      </w:tblGrid>
      <w:tr w:rsidR="000B5408" w:rsidTr="000B5408">
        <w:trPr>
          <w:jc w:val="center"/>
        </w:trPr>
        <w:tc>
          <w:tcPr>
            <w:tcW w:w="4878" w:type="dxa"/>
            <w:tcBorders>
              <w:top w:val="single" w:sz="4" w:space="0" w:color="auto"/>
              <w:left w:val="single" w:sz="4" w:space="0" w:color="auto"/>
              <w:bottom w:val="single" w:sz="4" w:space="0" w:color="auto"/>
              <w:right w:val="single" w:sz="4" w:space="0" w:color="auto"/>
            </w:tcBorders>
            <w:hideMark/>
          </w:tcPr>
          <w:p w:rsidR="000B5408" w:rsidRDefault="000B5408">
            <w:pPr>
              <w:rPr>
                <w:b/>
              </w:rPr>
            </w:pPr>
            <w:r>
              <w:rPr>
                <w:b/>
              </w:rPr>
              <w:t>Strata</w:t>
            </w:r>
          </w:p>
        </w:tc>
        <w:tc>
          <w:tcPr>
            <w:tcW w:w="2340" w:type="dxa"/>
            <w:tcBorders>
              <w:top w:val="single" w:sz="4" w:space="0" w:color="auto"/>
              <w:left w:val="single" w:sz="4" w:space="0" w:color="auto"/>
              <w:bottom w:val="single" w:sz="4" w:space="0" w:color="auto"/>
              <w:right w:val="single" w:sz="4" w:space="0" w:color="auto"/>
            </w:tcBorders>
            <w:hideMark/>
          </w:tcPr>
          <w:p w:rsidR="000B5408" w:rsidRDefault="000B5408">
            <w:pPr>
              <w:rPr>
                <w:b/>
              </w:rPr>
            </w:pPr>
            <w:r>
              <w:rPr>
                <w:b/>
              </w:rPr>
              <w:t>Universe</w:t>
            </w:r>
          </w:p>
        </w:tc>
      </w:tr>
      <w:tr w:rsidR="000B5408" w:rsidTr="000B5408">
        <w:trPr>
          <w:jc w:val="center"/>
        </w:trPr>
        <w:tc>
          <w:tcPr>
            <w:tcW w:w="4878" w:type="dxa"/>
            <w:tcBorders>
              <w:top w:val="single" w:sz="4" w:space="0" w:color="auto"/>
              <w:left w:val="single" w:sz="4" w:space="0" w:color="auto"/>
              <w:bottom w:val="single" w:sz="4" w:space="0" w:color="auto"/>
              <w:right w:val="single" w:sz="4" w:space="0" w:color="auto"/>
            </w:tcBorders>
            <w:hideMark/>
          </w:tcPr>
          <w:p w:rsidR="000B5408" w:rsidRDefault="000B5408" w:rsidP="000B540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&lt; $250 million, MSA</w:t>
            </w:r>
          </w:p>
        </w:tc>
        <w:tc>
          <w:tcPr>
            <w:tcW w:w="2340" w:type="dxa"/>
            <w:tcBorders>
              <w:top w:val="single" w:sz="4" w:space="0" w:color="auto"/>
              <w:left w:val="single" w:sz="4" w:space="0" w:color="auto"/>
              <w:bottom w:val="single" w:sz="4" w:space="0" w:color="auto"/>
              <w:right w:val="single" w:sz="4" w:space="0" w:color="auto"/>
            </w:tcBorders>
            <w:hideMark/>
          </w:tcPr>
          <w:p w:rsidR="000B5408" w:rsidRDefault="000B5408">
            <w:r>
              <w:t>1,828</w:t>
            </w:r>
          </w:p>
        </w:tc>
      </w:tr>
      <w:tr w:rsidR="000B5408" w:rsidTr="000B5408">
        <w:trPr>
          <w:jc w:val="center"/>
        </w:trPr>
        <w:tc>
          <w:tcPr>
            <w:tcW w:w="4878" w:type="dxa"/>
            <w:tcBorders>
              <w:top w:val="single" w:sz="4" w:space="0" w:color="auto"/>
              <w:left w:val="single" w:sz="4" w:space="0" w:color="auto"/>
              <w:bottom w:val="single" w:sz="4" w:space="0" w:color="auto"/>
              <w:right w:val="single" w:sz="4" w:space="0" w:color="auto"/>
            </w:tcBorders>
            <w:hideMark/>
          </w:tcPr>
          <w:p w:rsidR="000B5408" w:rsidRDefault="000B5408" w:rsidP="000B540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&lt; $250 million, non-MSA</w:t>
            </w:r>
          </w:p>
        </w:tc>
        <w:tc>
          <w:tcPr>
            <w:tcW w:w="2340" w:type="dxa"/>
            <w:tcBorders>
              <w:top w:val="single" w:sz="4" w:space="0" w:color="auto"/>
              <w:left w:val="single" w:sz="4" w:space="0" w:color="auto"/>
              <w:bottom w:val="single" w:sz="4" w:space="0" w:color="auto"/>
              <w:right w:val="single" w:sz="4" w:space="0" w:color="auto"/>
            </w:tcBorders>
            <w:hideMark/>
          </w:tcPr>
          <w:p w:rsidR="000B5408" w:rsidRDefault="000B5408">
            <w:r>
              <w:t>2,209</w:t>
            </w:r>
          </w:p>
        </w:tc>
      </w:tr>
      <w:tr w:rsidR="000B5408" w:rsidTr="000B5408">
        <w:trPr>
          <w:jc w:val="center"/>
        </w:trPr>
        <w:tc>
          <w:tcPr>
            <w:tcW w:w="4878" w:type="dxa"/>
            <w:tcBorders>
              <w:top w:val="single" w:sz="4" w:space="0" w:color="auto"/>
              <w:left w:val="single" w:sz="4" w:space="0" w:color="auto"/>
              <w:bottom w:val="single" w:sz="4" w:space="0" w:color="auto"/>
              <w:right w:val="single" w:sz="4" w:space="0" w:color="auto"/>
            </w:tcBorders>
            <w:hideMark/>
          </w:tcPr>
          <w:p w:rsidR="000B5408" w:rsidRDefault="000B5408" w:rsidP="000B540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$250 million - &lt; $1 billion, MSA</w:t>
            </w:r>
          </w:p>
        </w:tc>
        <w:tc>
          <w:tcPr>
            <w:tcW w:w="2340" w:type="dxa"/>
            <w:tcBorders>
              <w:top w:val="single" w:sz="4" w:space="0" w:color="auto"/>
              <w:left w:val="single" w:sz="4" w:space="0" w:color="auto"/>
              <w:bottom w:val="single" w:sz="4" w:space="0" w:color="auto"/>
              <w:right w:val="single" w:sz="4" w:space="0" w:color="auto"/>
            </w:tcBorders>
            <w:hideMark/>
          </w:tcPr>
          <w:p w:rsidR="000B5408" w:rsidRDefault="000B5408">
            <w:r>
              <w:t>1,201</w:t>
            </w:r>
          </w:p>
        </w:tc>
      </w:tr>
      <w:tr w:rsidR="000B5408" w:rsidTr="00F2091A">
        <w:trPr>
          <w:trHeight w:val="332"/>
          <w:jc w:val="center"/>
        </w:trPr>
        <w:tc>
          <w:tcPr>
            <w:tcW w:w="4878" w:type="dxa"/>
            <w:tcBorders>
              <w:top w:val="single" w:sz="4" w:space="0" w:color="auto"/>
              <w:left w:val="single" w:sz="4" w:space="0" w:color="auto"/>
              <w:bottom w:val="single" w:sz="4" w:space="0" w:color="auto"/>
              <w:right w:val="single" w:sz="4" w:space="0" w:color="auto"/>
            </w:tcBorders>
            <w:hideMark/>
          </w:tcPr>
          <w:p w:rsidR="000B5408" w:rsidRDefault="000B5408" w:rsidP="000B540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$250 million - &lt; $1 billion non-MSA</w:t>
            </w:r>
          </w:p>
        </w:tc>
        <w:tc>
          <w:tcPr>
            <w:tcW w:w="2340" w:type="dxa"/>
            <w:tcBorders>
              <w:top w:val="single" w:sz="4" w:space="0" w:color="auto"/>
              <w:left w:val="single" w:sz="4" w:space="0" w:color="auto"/>
              <w:bottom w:val="single" w:sz="4" w:space="0" w:color="auto"/>
              <w:right w:val="single" w:sz="4" w:space="0" w:color="auto"/>
            </w:tcBorders>
            <w:hideMark/>
          </w:tcPr>
          <w:p w:rsidR="000B5408" w:rsidRDefault="000B5408">
            <w:r>
              <w:t>666</w:t>
            </w:r>
          </w:p>
        </w:tc>
      </w:tr>
      <w:tr w:rsidR="000B5408" w:rsidTr="000B5408">
        <w:trPr>
          <w:jc w:val="center"/>
        </w:trPr>
        <w:tc>
          <w:tcPr>
            <w:tcW w:w="4878" w:type="dxa"/>
            <w:tcBorders>
              <w:top w:val="single" w:sz="4" w:space="0" w:color="auto"/>
              <w:left w:val="single" w:sz="4" w:space="0" w:color="auto"/>
              <w:bottom w:val="single" w:sz="4" w:space="0" w:color="auto"/>
              <w:right w:val="single" w:sz="4" w:space="0" w:color="auto"/>
            </w:tcBorders>
            <w:hideMark/>
          </w:tcPr>
          <w:p w:rsidR="000B5408" w:rsidRDefault="000B5408" w:rsidP="000B540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 billion - &lt; $10 billion MSA</w:t>
            </w:r>
          </w:p>
        </w:tc>
        <w:tc>
          <w:tcPr>
            <w:tcW w:w="2340" w:type="dxa"/>
            <w:tcBorders>
              <w:top w:val="single" w:sz="4" w:space="0" w:color="auto"/>
              <w:left w:val="single" w:sz="4" w:space="0" w:color="auto"/>
              <w:bottom w:val="single" w:sz="4" w:space="0" w:color="auto"/>
              <w:right w:val="single" w:sz="4" w:space="0" w:color="auto"/>
            </w:tcBorders>
            <w:hideMark/>
          </w:tcPr>
          <w:p w:rsidR="000B5408" w:rsidRDefault="000B5408">
            <w:r>
              <w:t>466</w:t>
            </w:r>
          </w:p>
        </w:tc>
      </w:tr>
      <w:tr w:rsidR="000B5408" w:rsidTr="000B5408">
        <w:trPr>
          <w:jc w:val="center"/>
        </w:trPr>
        <w:tc>
          <w:tcPr>
            <w:tcW w:w="4878" w:type="dxa"/>
            <w:tcBorders>
              <w:top w:val="single" w:sz="4" w:space="0" w:color="auto"/>
              <w:left w:val="single" w:sz="4" w:space="0" w:color="auto"/>
              <w:bottom w:val="single" w:sz="4" w:space="0" w:color="auto"/>
              <w:right w:val="single" w:sz="4" w:space="0" w:color="auto"/>
            </w:tcBorders>
            <w:hideMark/>
          </w:tcPr>
          <w:p w:rsidR="000B5408" w:rsidRDefault="000B5408" w:rsidP="000B540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 billion - &lt; $10 billion, non-MSA</w:t>
            </w:r>
          </w:p>
        </w:tc>
        <w:tc>
          <w:tcPr>
            <w:tcW w:w="2340" w:type="dxa"/>
            <w:tcBorders>
              <w:top w:val="single" w:sz="4" w:space="0" w:color="auto"/>
              <w:left w:val="single" w:sz="4" w:space="0" w:color="auto"/>
              <w:bottom w:val="single" w:sz="4" w:space="0" w:color="auto"/>
              <w:right w:val="single" w:sz="4" w:space="0" w:color="auto"/>
            </w:tcBorders>
            <w:hideMark/>
          </w:tcPr>
          <w:p w:rsidR="000B5408" w:rsidRDefault="000B5408">
            <w:r>
              <w:t>86</w:t>
            </w:r>
          </w:p>
        </w:tc>
      </w:tr>
      <w:tr w:rsidR="000B5408" w:rsidTr="000B5408">
        <w:trPr>
          <w:jc w:val="center"/>
        </w:trPr>
        <w:tc>
          <w:tcPr>
            <w:tcW w:w="4878" w:type="dxa"/>
            <w:tcBorders>
              <w:top w:val="single" w:sz="4" w:space="0" w:color="auto"/>
              <w:left w:val="single" w:sz="4" w:space="0" w:color="auto"/>
              <w:bottom w:val="single" w:sz="4" w:space="0" w:color="auto"/>
              <w:right w:val="single" w:sz="4" w:space="0" w:color="auto"/>
            </w:tcBorders>
            <w:hideMark/>
          </w:tcPr>
          <w:p w:rsidR="000B5408" w:rsidRDefault="000B5408" w:rsidP="000B540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$10 billion - &lt; $50 billion</w:t>
            </w:r>
          </w:p>
        </w:tc>
        <w:tc>
          <w:tcPr>
            <w:tcW w:w="2340" w:type="dxa"/>
            <w:tcBorders>
              <w:top w:val="single" w:sz="4" w:space="0" w:color="auto"/>
              <w:left w:val="single" w:sz="4" w:space="0" w:color="auto"/>
              <w:bottom w:val="single" w:sz="4" w:space="0" w:color="auto"/>
              <w:right w:val="single" w:sz="4" w:space="0" w:color="auto"/>
            </w:tcBorders>
            <w:hideMark/>
          </w:tcPr>
          <w:p w:rsidR="000B5408" w:rsidRDefault="000B5408">
            <w:r>
              <w:t>68</w:t>
            </w:r>
          </w:p>
        </w:tc>
      </w:tr>
      <w:tr w:rsidR="000B5408" w:rsidTr="000B5408">
        <w:trPr>
          <w:jc w:val="center"/>
        </w:trPr>
        <w:tc>
          <w:tcPr>
            <w:tcW w:w="4878" w:type="dxa"/>
            <w:tcBorders>
              <w:top w:val="single" w:sz="4" w:space="0" w:color="auto"/>
              <w:left w:val="single" w:sz="4" w:space="0" w:color="auto"/>
              <w:bottom w:val="single" w:sz="4" w:space="0" w:color="auto"/>
              <w:right w:val="single" w:sz="4" w:space="0" w:color="auto"/>
            </w:tcBorders>
            <w:hideMark/>
          </w:tcPr>
          <w:p w:rsidR="000B5408" w:rsidRDefault="000B5408" w:rsidP="000B540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&gt;= $50 billion</w:t>
            </w:r>
          </w:p>
        </w:tc>
        <w:tc>
          <w:tcPr>
            <w:tcW w:w="2340" w:type="dxa"/>
            <w:tcBorders>
              <w:top w:val="single" w:sz="4" w:space="0" w:color="auto"/>
              <w:left w:val="single" w:sz="4" w:space="0" w:color="auto"/>
              <w:bottom w:val="single" w:sz="4" w:space="0" w:color="auto"/>
              <w:right w:val="single" w:sz="4" w:space="0" w:color="auto"/>
            </w:tcBorders>
            <w:hideMark/>
          </w:tcPr>
          <w:p w:rsidR="000B5408" w:rsidRDefault="000B5408">
            <w:r>
              <w:t>36</w:t>
            </w:r>
          </w:p>
        </w:tc>
      </w:tr>
      <w:tr w:rsidR="000B5408" w:rsidTr="000B5408">
        <w:trPr>
          <w:jc w:val="center"/>
        </w:trPr>
        <w:tc>
          <w:tcPr>
            <w:tcW w:w="4878" w:type="dxa"/>
            <w:tcBorders>
              <w:top w:val="single" w:sz="4" w:space="0" w:color="auto"/>
              <w:left w:val="single" w:sz="4" w:space="0" w:color="auto"/>
              <w:bottom w:val="single" w:sz="4" w:space="0" w:color="auto"/>
              <w:right w:val="single" w:sz="4" w:space="0" w:color="auto"/>
            </w:tcBorders>
            <w:hideMark/>
          </w:tcPr>
          <w:p w:rsidR="000B5408" w:rsidRDefault="000B5408">
            <w:r>
              <w:t>TOTAL</w:t>
            </w:r>
          </w:p>
        </w:tc>
        <w:tc>
          <w:tcPr>
            <w:tcW w:w="2340" w:type="dxa"/>
            <w:tcBorders>
              <w:top w:val="single" w:sz="4" w:space="0" w:color="auto"/>
              <w:left w:val="single" w:sz="4" w:space="0" w:color="auto"/>
              <w:bottom w:val="single" w:sz="4" w:space="0" w:color="auto"/>
              <w:right w:val="single" w:sz="4" w:space="0" w:color="auto"/>
            </w:tcBorders>
            <w:hideMark/>
          </w:tcPr>
          <w:p w:rsidR="000B5408" w:rsidRDefault="000B5408">
            <w:r>
              <w:t>6,560</w:t>
            </w:r>
          </w:p>
        </w:tc>
      </w:tr>
    </w:tbl>
    <w:p w:rsidR="000B5408" w:rsidRDefault="000B5408" w:rsidP="000B5408"/>
    <w:p w:rsidR="000B5408" w:rsidRDefault="000B5408" w:rsidP="00284EAD">
      <w:pPr>
        <w:ind w:left="1440"/>
      </w:pPr>
      <w:r>
        <w:t xml:space="preserve">The sampling methodology is a disproportionate stratified sample of the first 6 strata, </w:t>
      </w:r>
      <w:r w:rsidR="000B4DEC">
        <w:t xml:space="preserve">making those </w:t>
      </w:r>
      <w:proofErr w:type="spellStart"/>
      <w:r>
        <w:t>noncertainty</w:t>
      </w:r>
      <w:proofErr w:type="spellEnd"/>
      <w:r>
        <w:t xml:space="preserve"> strata</w:t>
      </w:r>
      <w:r w:rsidR="000B4DEC">
        <w:t>.  S</w:t>
      </w:r>
      <w:r>
        <w:t xml:space="preserve">ampling </w:t>
      </w:r>
      <w:r w:rsidR="001A6765">
        <w:t xml:space="preserve">of </w:t>
      </w:r>
      <w:r>
        <w:t>the last 2 strata</w:t>
      </w:r>
      <w:r w:rsidR="000B4DEC">
        <w:t>, those with the largest assets, will be</w:t>
      </w:r>
      <w:r>
        <w:t xml:space="preserve"> with certainty</w:t>
      </w:r>
      <w:r w:rsidR="000B4DEC">
        <w:t xml:space="preserve">, making them </w:t>
      </w:r>
      <w:r>
        <w:t xml:space="preserve">certainty strata. </w:t>
      </w:r>
      <w:r w:rsidR="000B4DEC">
        <w:t xml:space="preserve"> This is effectively a census of the largest institutions, with a sampling of the remainder. </w:t>
      </w:r>
      <w:r>
        <w:t>The</w:t>
      </w:r>
      <w:r w:rsidR="000B4DEC">
        <w:t xml:space="preserve"> census of </w:t>
      </w:r>
      <w:r>
        <w:t xml:space="preserve">strata 7 and 8 will reduce the available sample for use in strata 1 through 6.  The allocation of the remaining sample will be based on a formula to </w:t>
      </w:r>
      <w:r w:rsidR="000B4DEC">
        <w:t xml:space="preserve">minimize variance.  This </w:t>
      </w:r>
      <w:r w:rsidR="00D97121">
        <w:t xml:space="preserve">precision </w:t>
      </w:r>
      <w:r w:rsidR="000B4DEC">
        <w:t xml:space="preserve">constraint </w:t>
      </w:r>
      <w:r w:rsidR="00D97121">
        <w:t xml:space="preserve">is </w:t>
      </w:r>
      <w:r w:rsidR="007102DF">
        <w:t xml:space="preserve">based on assumptions of a </w:t>
      </w:r>
      <w:r>
        <w:t xml:space="preserve">binomial characteristic, </w:t>
      </w:r>
      <w:r w:rsidR="00D97121">
        <w:t xml:space="preserve">a </w:t>
      </w:r>
      <w:r>
        <w:t xml:space="preserve">stratum response rate, an initial allocation used in variance estimation, and the number of units in each </w:t>
      </w:r>
      <w:proofErr w:type="gramStart"/>
      <w:r>
        <w:t>strata</w:t>
      </w:r>
      <w:proofErr w:type="gramEnd"/>
      <w:r>
        <w:t>.</w:t>
      </w:r>
      <w:r w:rsidR="007102DF">
        <w:t xml:space="preserve"> </w:t>
      </w:r>
      <w:r w:rsidR="00023216">
        <w:t xml:space="preserve"> </w:t>
      </w:r>
      <w:r>
        <w:t xml:space="preserve">Simple random sampling (SRS) will be used for sampling within each stratum. </w:t>
      </w:r>
    </w:p>
    <w:p w:rsidR="000B5408" w:rsidRDefault="000B5408" w:rsidP="00284EAD">
      <w:pPr>
        <w:ind w:left="1440"/>
      </w:pPr>
    </w:p>
    <w:p w:rsidR="000B5408" w:rsidRDefault="000B5408" w:rsidP="00284EAD">
      <w:pPr>
        <w:ind w:left="1440"/>
      </w:pPr>
      <w:r>
        <w:lastRenderedPageBreak/>
        <w:t xml:space="preserve">Using a finite population correction factor, a Horvitz Thompson estimator (HT) for the number in the strata with the chosen characteristic, and using the Sen Yates Grundy (SYG) variance formula for the HT estimator under the assumption of SRS, a sample size required to achieve the precision can be calculated. </w:t>
      </w:r>
      <w:r w:rsidR="00023216">
        <w:t xml:space="preserve"> </w:t>
      </w:r>
      <w:r w:rsidR="007102DF">
        <w:t xml:space="preserve">The sample will be proportionally adjusted either up or down to meet the sample size restraint. </w:t>
      </w:r>
      <w:r>
        <w:t xml:space="preserve"> </w:t>
      </w:r>
    </w:p>
    <w:p w:rsidR="009558BE" w:rsidRDefault="009558BE" w:rsidP="00284EAD">
      <w:pPr>
        <w:ind w:left="1440"/>
      </w:pPr>
    </w:p>
    <w:p w:rsidR="000B5408" w:rsidRDefault="000B5408" w:rsidP="00284EAD">
      <w:pPr>
        <w:ind w:left="1440"/>
      </w:pPr>
      <w:r>
        <w:t>Table 2 illustrates a possible allocation, resulting in a sample of 1994 selected units.</w:t>
      </w:r>
    </w:p>
    <w:p w:rsidR="000B5408" w:rsidRDefault="000B5408" w:rsidP="000B5408">
      <w:pPr>
        <w:pStyle w:val="BodyText"/>
        <w:rPr>
          <w:rFonts w:ascii="Times New Roman" w:hAnsi="Times New Roman" w:cs="Times New Roman"/>
          <w:b/>
          <w:sz w:val="24"/>
          <w:szCs w:val="24"/>
        </w:rPr>
      </w:pPr>
    </w:p>
    <w:p w:rsidR="000B5408" w:rsidRDefault="000B5408" w:rsidP="000B5408">
      <w:pPr>
        <w:pStyle w:val="BodyText"/>
        <w:rPr>
          <w:rFonts w:ascii="Times New Roman" w:hAnsi="Times New Roman" w:cs="Times New Roman"/>
          <w:b/>
          <w:sz w:val="24"/>
          <w:szCs w:val="24"/>
        </w:rPr>
      </w:pPr>
      <w:r>
        <w:rPr>
          <w:rFonts w:ascii="Times New Roman" w:hAnsi="Times New Roman" w:cs="Times New Roman"/>
          <w:b/>
          <w:sz w:val="24"/>
          <w:szCs w:val="24"/>
        </w:rPr>
        <w:t>Table 2: Illustration of Possible Sample Allocation</w:t>
      </w:r>
    </w:p>
    <w:tbl>
      <w:tblPr>
        <w:tblStyle w:val="TableGrid"/>
        <w:tblW w:w="9360" w:type="dxa"/>
        <w:jc w:val="center"/>
        <w:tblLook w:val="04A0" w:firstRow="1" w:lastRow="0" w:firstColumn="1" w:lastColumn="0" w:noHBand="0" w:noVBand="1"/>
      </w:tblPr>
      <w:tblGrid>
        <w:gridCol w:w="2947"/>
        <w:gridCol w:w="1362"/>
        <w:gridCol w:w="2571"/>
        <w:gridCol w:w="2480"/>
      </w:tblGrid>
      <w:tr w:rsidR="000B5408" w:rsidTr="000B5408">
        <w:trPr>
          <w:trHeight w:val="1043"/>
          <w:jc w:val="center"/>
        </w:trPr>
        <w:tc>
          <w:tcPr>
            <w:tcW w:w="3326"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rPr>
                <w:b/>
              </w:rPr>
            </w:pPr>
            <w:r>
              <w:rPr>
                <w:b/>
              </w:rPr>
              <w:t>Strata</w:t>
            </w:r>
          </w:p>
        </w:tc>
        <w:tc>
          <w:tcPr>
            <w:tcW w:w="144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rPr>
                <w:b/>
              </w:rPr>
            </w:pPr>
            <w:r>
              <w:rPr>
                <w:b/>
              </w:rPr>
              <w:t>Universe Size</w:t>
            </w:r>
          </w:p>
        </w:tc>
        <w:tc>
          <w:tcPr>
            <w:tcW w:w="288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rPr>
                <w:b/>
              </w:rPr>
            </w:pPr>
            <w:r>
              <w:rPr>
                <w:b/>
              </w:rPr>
              <w:t>What is the Precision you would like the estimate of a characteristic to have?</w:t>
            </w:r>
          </w:p>
        </w:tc>
        <w:tc>
          <w:tcPr>
            <w:tcW w:w="2785"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rPr>
                <w:b/>
              </w:rPr>
            </w:pPr>
            <w:r>
              <w:rPr>
                <w:b/>
              </w:rPr>
              <w:t>Sample Size Given the Assumptions</w:t>
            </w:r>
          </w:p>
        </w:tc>
      </w:tr>
      <w:tr w:rsidR="000B5408" w:rsidTr="000B5408">
        <w:trPr>
          <w:trHeight w:val="541"/>
          <w:jc w:val="center"/>
        </w:trPr>
        <w:tc>
          <w:tcPr>
            <w:tcW w:w="3326" w:type="dxa"/>
            <w:tcBorders>
              <w:top w:val="single" w:sz="4" w:space="0" w:color="auto"/>
              <w:left w:val="single" w:sz="4" w:space="0" w:color="auto"/>
              <w:bottom w:val="single" w:sz="4" w:space="0" w:color="auto"/>
              <w:right w:val="single" w:sz="4" w:space="0" w:color="auto"/>
            </w:tcBorders>
            <w:vAlign w:val="center"/>
            <w:hideMark/>
          </w:tcPr>
          <w:p w:rsidR="000B5408" w:rsidRDefault="000B5408" w:rsidP="000B5408">
            <w:pPr>
              <w:pStyle w:val="ListParagraph"/>
              <w:numPr>
                <w:ilvl w:val="0"/>
                <w:numId w:val="6"/>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&lt; $250 million, MSA</w:t>
            </w:r>
          </w:p>
        </w:tc>
        <w:tc>
          <w:tcPr>
            <w:tcW w:w="144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1,828</w:t>
            </w:r>
          </w:p>
        </w:tc>
        <w:tc>
          <w:tcPr>
            <w:tcW w:w="288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10%</w:t>
            </w:r>
          </w:p>
        </w:tc>
        <w:tc>
          <w:tcPr>
            <w:tcW w:w="2785"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rPr>
                <w:color w:val="000000"/>
              </w:rPr>
            </w:pPr>
            <w:r>
              <w:rPr>
                <w:color w:val="000000"/>
              </w:rPr>
              <w:t>411</w:t>
            </w:r>
          </w:p>
        </w:tc>
      </w:tr>
      <w:tr w:rsidR="000B5408" w:rsidTr="000B5408">
        <w:trPr>
          <w:trHeight w:val="558"/>
          <w:jc w:val="center"/>
        </w:trPr>
        <w:tc>
          <w:tcPr>
            <w:tcW w:w="3326" w:type="dxa"/>
            <w:tcBorders>
              <w:top w:val="single" w:sz="4" w:space="0" w:color="auto"/>
              <w:left w:val="single" w:sz="4" w:space="0" w:color="auto"/>
              <w:bottom w:val="single" w:sz="4" w:space="0" w:color="auto"/>
              <w:right w:val="single" w:sz="4" w:space="0" w:color="auto"/>
            </w:tcBorders>
            <w:vAlign w:val="center"/>
            <w:hideMark/>
          </w:tcPr>
          <w:p w:rsidR="000B5408" w:rsidRDefault="000B5408" w:rsidP="000B5408">
            <w:pPr>
              <w:pStyle w:val="ListParagraph"/>
              <w:numPr>
                <w:ilvl w:val="0"/>
                <w:numId w:val="6"/>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&lt; $250 million, non-MSA</w:t>
            </w:r>
          </w:p>
        </w:tc>
        <w:tc>
          <w:tcPr>
            <w:tcW w:w="144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2,209</w:t>
            </w:r>
          </w:p>
        </w:tc>
        <w:tc>
          <w:tcPr>
            <w:tcW w:w="288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10%</w:t>
            </w:r>
          </w:p>
        </w:tc>
        <w:tc>
          <w:tcPr>
            <w:tcW w:w="2785"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rPr>
                <w:color w:val="000000"/>
              </w:rPr>
            </w:pPr>
            <w:r>
              <w:rPr>
                <w:color w:val="000000"/>
              </w:rPr>
              <w:t>424</w:t>
            </w:r>
          </w:p>
        </w:tc>
      </w:tr>
      <w:tr w:rsidR="000B5408" w:rsidTr="000B5408">
        <w:trPr>
          <w:trHeight w:val="828"/>
          <w:jc w:val="center"/>
        </w:trPr>
        <w:tc>
          <w:tcPr>
            <w:tcW w:w="3326" w:type="dxa"/>
            <w:tcBorders>
              <w:top w:val="single" w:sz="4" w:space="0" w:color="auto"/>
              <w:left w:val="single" w:sz="4" w:space="0" w:color="auto"/>
              <w:bottom w:val="single" w:sz="4" w:space="0" w:color="auto"/>
              <w:right w:val="single" w:sz="4" w:space="0" w:color="auto"/>
            </w:tcBorders>
            <w:vAlign w:val="center"/>
            <w:hideMark/>
          </w:tcPr>
          <w:p w:rsidR="000B5408" w:rsidRDefault="000B5408" w:rsidP="000B5408">
            <w:pPr>
              <w:pStyle w:val="ListParagraph"/>
              <w:numPr>
                <w:ilvl w:val="0"/>
                <w:numId w:val="6"/>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 million - &lt; $1 billion, MSA</w:t>
            </w:r>
          </w:p>
        </w:tc>
        <w:tc>
          <w:tcPr>
            <w:tcW w:w="144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1,201</w:t>
            </w:r>
          </w:p>
        </w:tc>
        <w:tc>
          <w:tcPr>
            <w:tcW w:w="288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10%</w:t>
            </w:r>
          </w:p>
        </w:tc>
        <w:tc>
          <w:tcPr>
            <w:tcW w:w="2785"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rPr>
                <w:color w:val="000000"/>
              </w:rPr>
            </w:pPr>
            <w:r>
              <w:rPr>
                <w:color w:val="000000"/>
              </w:rPr>
              <w:t>373</w:t>
            </w:r>
          </w:p>
        </w:tc>
      </w:tr>
      <w:tr w:rsidR="000B5408" w:rsidTr="000B5408">
        <w:trPr>
          <w:trHeight w:val="828"/>
          <w:jc w:val="center"/>
        </w:trPr>
        <w:tc>
          <w:tcPr>
            <w:tcW w:w="3326" w:type="dxa"/>
            <w:tcBorders>
              <w:top w:val="single" w:sz="4" w:space="0" w:color="auto"/>
              <w:left w:val="single" w:sz="4" w:space="0" w:color="auto"/>
              <w:bottom w:val="single" w:sz="4" w:space="0" w:color="auto"/>
              <w:right w:val="single" w:sz="4" w:space="0" w:color="auto"/>
            </w:tcBorders>
            <w:vAlign w:val="center"/>
            <w:hideMark/>
          </w:tcPr>
          <w:p w:rsidR="000B5408" w:rsidRDefault="000B5408" w:rsidP="000B5408">
            <w:pPr>
              <w:pStyle w:val="ListParagraph"/>
              <w:numPr>
                <w:ilvl w:val="0"/>
                <w:numId w:val="6"/>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 million - &lt; $1 billion non-MSA</w:t>
            </w:r>
          </w:p>
        </w:tc>
        <w:tc>
          <w:tcPr>
            <w:tcW w:w="144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666</w:t>
            </w:r>
          </w:p>
        </w:tc>
        <w:tc>
          <w:tcPr>
            <w:tcW w:w="288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10%</w:t>
            </w:r>
          </w:p>
        </w:tc>
        <w:tc>
          <w:tcPr>
            <w:tcW w:w="2785"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rPr>
                <w:color w:val="000000"/>
              </w:rPr>
            </w:pPr>
            <w:r>
              <w:rPr>
                <w:color w:val="000000"/>
              </w:rPr>
              <w:t>306</w:t>
            </w:r>
          </w:p>
        </w:tc>
      </w:tr>
      <w:tr w:rsidR="000B5408" w:rsidTr="000B5408">
        <w:trPr>
          <w:trHeight w:val="828"/>
          <w:jc w:val="center"/>
        </w:trPr>
        <w:tc>
          <w:tcPr>
            <w:tcW w:w="3326" w:type="dxa"/>
            <w:tcBorders>
              <w:top w:val="single" w:sz="4" w:space="0" w:color="auto"/>
              <w:left w:val="single" w:sz="4" w:space="0" w:color="auto"/>
              <w:bottom w:val="single" w:sz="4" w:space="0" w:color="auto"/>
              <w:right w:val="single" w:sz="4" w:space="0" w:color="auto"/>
            </w:tcBorders>
            <w:vAlign w:val="center"/>
            <w:hideMark/>
          </w:tcPr>
          <w:p w:rsidR="000B5408" w:rsidRDefault="000B5408" w:rsidP="000B5408">
            <w:pPr>
              <w:pStyle w:val="ListParagraph"/>
              <w:numPr>
                <w:ilvl w:val="0"/>
                <w:numId w:val="6"/>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billion - &lt; $10 billion MSA</w:t>
            </w:r>
          </w:p>
        </w:tc>
        <w:tc>
          <w:tcPr>
            <w:tcW w:w="144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466</w:t>
            </w:r>
          </w:p>
        </w:tc>
        <w:tc>
          <w:tcPr>
            <w:tcW w:w="288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10%</w:t>
            </w:r>
          </w:p>
        </w:tc>
        <w:tc>
          <w:tcPr>
            <w:tcW w:w="2785"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rPr>
                <w:color w:val="000000"/>
              </w:rPr>
            </w:pPr>
            <w:r>
              <w:rPr>
                <w:color w:val="000000"/>
              </w:rPr>
              <w:t>291</w:t>
            </w:r>
          </w:p>
        </w:tc>
      </w:tr>
      <w:tr w:rsidR="000B5408" w:rsidTr="000B5408">
        <w:trPr>
          <w:trHeight w:val="828"/>
          <w:jc w:val="center"/>
        </w:trPr>
        <w:tc>
          <w:tcPr>
            <w:tcW w:w="3326" w:type="dxa"/>
            <w:tcBorders>
              <w:top w:val="single" w:sz="4" w:space="0" w:color="auto"/>
              <w:left w:val="single" w:sz="4" w:space="0" w:color="auto"/>
              <w:bottom w:val="single" w:sz="4" w:space="0" w:color="auto"/>
              <w:right w:val="single" w:sz="4" w:space="0" w:color="auto"/>
            </w:tcBorders>
            <w:vAlign w:val="center"/>
            <w:hideMark/>
          </w:tcPr>
          <w:p w:rsidR="000B5408" w:rsidRDefault="000B5408" w:rsidP="000B5408">
            <w:pPr>
              <w:pStyle w:val="ListParagraph"/>
              <w:numPr>
                <w:ilvl w:val="0"/>
                <w:numId w:val="6"/>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billion - &lt; $10 billion, non-MSA</w:t>
            </w:r>
          </w:p>
        </w:tc>
        <w:tc>
          <w:tcPr>
            <w:tcW w:w="144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86</w:t>
            </w:r>
          </w:p>
        </w:tc>
        <w:tc>
          <w:tcPr>
            <w:tcW w:w="288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10%</w:t>
            </w:r>
          </w:p>
        </w:tc>
        <w:tc>
          <w:tcPr>
            <w:tcW w:w="2785"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rPr>
                <w:color w:val="000000"/>
              </w:rPr>
            </w:pPr>
            <w:r>
              <w:rPr>
                <w:color w:val="000000"/>
              </w:rPr>
              <w:t>85</w:t>
            </w:r>
          </w:p>
        </w:tc>
      </w:tr>
      <w:tr w:rsidR="000B5408" w:rsidTr="000B5408">
        <w:trPr>
          <w:trHeight w:val="541"/>
          <w:jc w:val="center"/>
        </w:trPr>
        <w:tc>
          <w:tcPr>
            <w:tcW w:w="3326" w:type="dxa"/>
            <w:tcBorders>
              <w:top w:val="single" w:sz="4" w:space="0" w:color="auto"/>
              <w:left w:val="single" w:sz="4" w:space="0" w:color="auto"/>
              <w:bottom w:val="single" w:sz="4" w:space="0" w:color="auto"/>
              <w:right w:val="single" w:sz="4" w:space="0" w:color="auto"/>
            </w:tcBorders>
            <w:vAlign w:val="center"/>
            <w:hideMark/>
          </w:tcPr>
          <w:p w:rsidR="000B5408" w:rsidRDefault="000B5408" w:rsidP="000B5408">
            <w:pPr>
              <w:pStyle w:val="ListParagraph"/>
              <w:numPr>
                <w:ilvl w:val="0"/>
                <w:numId w:val="6"/>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billion - &lt; $50 billion</w:t>
            </w:r>
          </w:p>
        </w:tc>
        <w:tc>
          <w:tcPr>
            <w:tcW w:w="144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68</w:t>
            </w:r>
          </w:p>
        </w:tc>
        <w:tc>
          <w:tcPr>
            <w:tcW w:w="288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5%</w:t>
            </w:r>
          </w:p>
        </w:tc>
        <w:tc>
          <w:tcPr>
            <w:tcW w:w="2785"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68</w:t>
            </w:r>
          </w:p>
        </w:tc>
      </w:tr>
      <w:tr w:rsidR="000B5408" w:rsidTr="000B5408">
        <w:trPr>
          <w:trHeight w:val="485"/>
          <w:jc w:val="center"/>
        </w:trPr>
        <w:tc>
          <w:tcPr>
            <w:tcW w:w="3326" w:type="dxa"/>
            <w:tcBorders>
              <w:top w:val="single" w:sz="4" w:space="0" w:color="auto"/>
              <w:left w:val="single" w:sz="4" w:space="0" w:color="auto"/>
              <w:bottom w:val="single" w:sz="4" w:space="0" w:color="auto"/>
              <w:right w:val="single" w:sz="4" w:space="0" w:color="auto"/>
            </w:tcBorders>
            <w:vAlign w:val="center"/>
            <w:hideMark/>
          </w:tcPr>
          <w:p w:rsidR="000B5408" w:rsidRDefault="000B5408" w:rsidP="000B5408">
            <w:pPr>
              <w:pStyle w:val="ListParagraph"/>
              <w:numPr>
                <w:ilvl w:val="0"/>
                <w:numId w:val="6"/>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&gt;= $50 billion</w:t>
            </w:r>
          </w:p>
        </w:tc>
        <w:tc>
          <w:tcPr>
            <w:tcW w:w="144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36</w:t>
            </w:r>
          </w:p>
        </w:tc>
        <w:tc>
          <w:tcPr>
            <w:tcW w:w="288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5%</w:t>
            </w:r>
          </w:p>
        </w:tc>
        <w:tc>
          <w:tcPr>
            <w:tcW w:w="2785"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36</w:t>
            </w:r>
          </w:p>
        </w:tc>
      </w:tr>
      <w:tr w:rsidR="000B5408" w:rsidTr="000B5408">
        <w:trPr>
          <w:trHeight w:val="539"/>
          <w:jc w:val="center"/>
        </w:trPr>
        <w:tc>
          <w:tcPr>
            <w:tcW w:w="3326"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TOTAL</w:t>
            </w:r>
          </w:p>
        </w:tc>
        <w:tc>
          <w:tcPr>
            <w:tcW w:w="1440"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pPr>
            <w:r>
              <w:t>6,560</w:t>
            </w:r>
          </w:p>
        </w:tc>
        <w:tc>
          <w:tcPr>
            <w:tcW w:w="2880" w:type="dxa"/>
            <w:tcBorders>
              <w:top w:val="single" w:sz="4" w:space="0" w:color="auto"/>
              <w:left w:val="single" w:sz="4" w:space="0" w:color="auto"/>
              <w:bottom w:val="single" w:sz="4" w:space="0" w:color="auto"/>
              <w:right w:val="single" w:sz="4" w:space="0" w:color="auto"/>
            </w:tcBorders>
            <w:vAlign w:val="center"/>
          </w:tcPr>
          <w:p w:rsidR="000B5408" w:rsidRDefault="000B5408">
            <w:pPr>
              <w:jc w:val="center"/>
            </w:pPr>
          </w:p>
        </w:tc>
        <w:tc>
          <w:tcPr>
            <w:tcW w:w="2785" w:type="dxa"/>
            <w:tcBorders>
              <w:top w:val="single" w:sz="4" w:space="0" w:color="auto"/>
              <w:left w:val="single" w:sz="4" w:space="0" w:color="auto"/>
              <w:bottom w:val="single" w:sz="4" w:space="0" w:color="auto"/>
              <w:right w:val="single" w:sz="4" w:space="0" w:color="auto"/>
            </w:tcBorders>
            <w:vAlign w:val="center"/>
            <w:hideMark/>
          </w:tcPr>
          <w:p w:rsidR="000B5408" w:rsidRDefault="000B5408">
            <w:pPr>
              <w:jc w:val="center"/>
              <w:rPr>
                <w:b/>
              </w:rPr>
            </w:pPr>
            <w:r>
              <w:rPr>
                <w:b/>
              </w:rPr>
              <w:t>1994</w:t>
            </w:r>
          </w:p>
        </w:tc>
      </w:tr>
    </w:tbl>
    <w:p w:rsidR="00446F7B" w:rsidRDefault="00446F7B" w:rsidP="00D3670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46F7B" w:rsidRDefault="00446F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446F7B" w:rsidRDefault="00446F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9D7262" w:rsidRDefault="008072FE" w:rsidP="009D72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Cs/>
          <w:color w:val="000000"/>
        </w:rPr>
      </w:pPr>
      <w:r>
        <w:rPr>
          <w:color w:val="000000"/>
        </w:rPr>
        <w:t>2.</w:t>
      </w:r>
      <w:r>
        <w:rPr>
          <w:color w:val="000000"/>
        </w:rPr>
        <w:tab/>
      </w:r>
      <w:r>
        <w:rPr>
          <w:bCs/>
          <w:color w:val="000000"/>
          <w:u w:val="single"/>
        </w:rPr>
        <w:t>Procedures for Collecting Information</w:t>
      </w:r>
    </w:p>
    <w:p w:rsidR="009D7262" w:rsidRDefault="009D7262" w:rsidP="009D72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Cs/>
          <w:color w:val="000000"/>
        </w:rPr>
      </w:pPr>
    </w:p>
    <w:p w:rsidR="009D7262" w:rsidRDefault="009D7262" w:rsidP="00284EA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color w:val="000000"/>
        </w:rPr>
      </w:pPr>
      <w:r>
        <w:rPr>
          <w:bCs/>
          <w:color w:val="000000"/>
        </w:rPr>
        <w:t xml:space="preserve">Data collection will be conducted entirely online, although a mixed mode approach will be used to invite and prompt participation by bank headquarters management.  </w:t>
      </w:r>
      <w:r w:rsidR="008F0618">
        <w:rPr>
          <w:bCs/>
          <w:color w:val="000000"/>
        </w:rPr>
        <w:t>A</w:t>
      </w:r>
      <w:r w:rsidR="00D36705">
        <w:rPr>
          <w:bCs/>
          <w:color w:val="000000"/>
        </w:rPr>
        <w:t>n advance contact letter</w:t>
      </w:r>
      <w:r w:rsidR="008F0618">
        <w:rPr>
          <w:bCs/>
          <w:color w:val="000000"/>
        </w:rPr>
        <w:t xml:space="preserve">, signed by the Chairman of the FDIC, </w:t>
      </w:r>
      <w:r w:rsidR="008F0618">
        <w:rPr>
          <w:bCs/>
          <w:color w:val="000000"/>
        </w:rPr>
        <w:lastRenderedPageBreak/>
        <w:t>will be</w:t>
      </w:r>
      <w:r w:rsidR="00D36705">
        <w:rPr>
          <w:bCs/>
          <w:color w:val="000000"/>
        </w:rPr>
        <w:t xml:space="preserve"> sent to the sample cases informing them that </w:t>
      </w:r>
      <w:r w:rsidR="001A6765">
        <w:rPr>
          <w:bCs/>
          <w:color w:val="000000"/>
        </w:rPr>
        <w:t xml:space="preserve">the </w:t>
      </w:r>
      <w:r w:rsidR="00D36705">
        <w:rPr>
          <w:bCs/>
          <w:color w:val="000000"/>
        </w:rPr>
        <w:t xml:space="preserve">FDIC is conducting this survey and </w:t>
      </w:r>
      <w:r w:rsidR="001A6765">
        <w:rPr>
          <w:bCs/>
          <w:color w:val="000000"/>
        </w:rPr>
        <w:t xml:space="preserve">that </w:t>
      </w:r>
      <w:r w:rsidR="00D36705">
        <w:rPr>
          <w:bCs/>
          <w:color w:val="000000"/>
        </w:rPr>
        <w:t xml:space="preserve">the Census Bureau will be the data collection agent.  Recipients will be informed that, if desired, they can log into the self-service option on the Business Help Site (BHS) and update mailing and contact information.  The letter will provide a due date of June 15, 2016 for contact changes. </w:t>
      </w:r>
    </w:p>
    <w:p w:rsidR="00D36705" w:rsidRDefault="00D36705" w:rsidP="009D72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Cs/>
          <w:color w:val="000000"/>
        </w:rPr>
      </w:pPr>
    </w:p>
    <w:p w:rsidR="00D36705" w:rsidRPr="009D7262" w:rsidRDefault="00D36705" w:rsidP="00284EAD">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color w:val="000000"/>
        </w:rPr>
      </w:pPr>
      <w:r>
        <w:rPr>
          <w:bCs/>
          <w:color w:val="000000"/>
        </w:rPr>
        <w:t>On June 29</w:t>
      </w:r>
      <w:r w:rsidR="0064282D">
        <w:rPr>
          <w:bCs/>
          <w:color w:val="000000"/>
        </w:rPr>
        <w:t xml:space="preserve">, </w:t>
      </w:r>
      <w:r>
        <w:rPr>
          <w:bCs/>
          <w:color w:val="000000"/>
        </w:rPr>
        <w:t>2016, the initial survey request will be sent by mail, by means of a letter joint</w:t>
      </w:r>
      <w:r w:rsidR="00C13190">
        <w:rPr>
          <w:bCs/>
          <w:color w:val="000000"/>
        </w:rPr>
        <w:t>ly</w:t>
      </w:r>
      <w:r>
        <w:rPr>
          <w:bCs/>
          <w:color w:val="000000"/>
        </w:rPr>
        <w:t xml:space="preserve">-written by </w:t>
      </w:r>
      <w:r w:rsidR="000720DB">
        <w:rPr>
          <w:bCs/>
          <w:color w:val="000000"/>
        </w:rPr>
        <w:t xml:space="preserve">the </w:t>
      </w:r>
      <w:r>
        <w:rPr>
          <w:bCs/>
          <w:color w:val="000000"/>
        </w:rPr>
        <w:t xml:space="preserve">FDIC and the Census </w:t>
      </w:r>
      <w:r w:rsidR="00284EAD">
        <w:rPr>
          <w:bCs/>
          <w:color w:val="000000"/>
        </w:rPr>
        <w:t>Bureau, which</w:t>
      </w:r>
      <w:r>
        <w:rPr>
          <w:bCs/>
          <w:color w:val="000000"/>
        </w:rPr>
        <w:t xml:space="preserve"> will introduce the study and outline procedures for logging on to the Census Bureau's data collection website to respond to the survey. </w:t>
      </w:r>
    </w:p>
    <w:p w:rsidR="00D36705" w:rsidRDefault="00D36705" w:rsidP="00D3670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rPr>
      </w:pPr>
      <w:r>
        <w:rPr>
          <w:rFonts w:cs="Calibri"/>
        </w:rPr>
        <w:tab/>
      </w:r>
    </w:p>
    <w:p w:rsidR="00D36705" w:rsidRDefault="00D36705" w:rsidP="00284EA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alibri"/>
        </w:rPr>
      </w:pPr>
      <w:r>
        <w:rPr>
          <w:rFonts w:cs="Calibri"/>
        </w:rPr>
        <w:t xml:space="preserve">The Census Bureau's Centurion data collection website will be the only means of reporting for the Small Business Lending Survey.  The data collection period will begin on June 29, 2016, and have a due date of August 10, 2016. </w:t>
      </w:r>
      <w:r w:rsidR="00023216">
        <w:rPr>
          <w:rFonts w:cs="Calibri"/>
        </w:rPr>
        <w:t xml:space="preserve"> </w:t>
      </w:r>
      <w:r>
        <w:rPr>
          <w:rFonts w:cs="Calibri"/>
        </w:rPr>
        <w:t>The Centurion online reporting website will remain active and open to collect response data until December 23, 2016.</w:t>
      </w:r>
    </w:p>
    <w:p w:rsidR="00CE4597" w:rsidRDefault="00CE4597" w:rsidP="00D3670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E4597" w:rsidRPr="00CE4597" w:rsidRDefault="008072FE" w:rsidP="00CE45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Cs/>
        </w:rPr>
      </w:pPr>
      <w:r w:rsidRPr="00CE4597">
        <w:t>3.</w:t>
      </w:r>
      <w:r w:rsidRPr="00CE4597">
        <w:tab/>
      </w:r>
      <w:r w:rsidRPr="00CE4597">
        <w:rPr>
          <w:bCs/>
          <w:u w:val="single"/>
        </w:rPr>
        <w:t>Methods to Maximize Response</w:t>
      </w:r>
    </w:p>
    <w:p w:rsidR="00CE4597" w:rsidRPr="00CE4597" w:rsidRDefault="00CE4597" w:rsidP="00CE45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Cs/>
        </w:rPr>
      </w:pPr>
    </w:p>
    <w:p w:rsidR="00CE4597" w:rsidRDefault="00CE4597" w:rsidP="00CE4597">
      <w:pPr>
        <w:pStyle w:val="ListParagraph"/>
        <w:numPr>
          <w:ilvl w:val="0"/>
          <w:numId w:val="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24"/>
          <w:szCs w:val="24"/>
        </w:rPr>
      </w:pPr>
      <w:r w:rsidRPr="00CE4597">
        <w:rPr>
          <w:rFonts w:ascii="Times New Roman" w:hAnsi="Times New Roman" w:cs="Times New Roman"/>
          <w:bCs/>
          <w:sz w:val="24"/>
          <w:szCs w:val="24"/>
        </w:rPr>
        <w:t>Fol</w:t>
      </w:r>
      <w:r>
        <w:rPr>
          <w:rFonts w:ascii="Times New Roman" w:hAnsi="Times New Roman" w:cs="Times New Roman"/>
          <w:bCs/>
          <w:sz w:val="24"/>
          <w:szCs w:val="24"/>
        </w:rPr>
        <w:t>low-up procedures</w:t>
      </w:r>
    </w:p>
    <w:p w:rsidR="00CE4597" w:rsidRPr="00CE4597" w:rsidRDefault="00CE4597" w:rsidP="00CE45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rPr>
      </w:pPr>
      <w:r>
        <w:rPr>
          <w:bCs/>
        </w:rPr>
        <w:tab/>
        <w:t xml:space="preserve">Respondents are asked to complete the survey within 45 days of receipt.  Those who do not respond to the survey receive a follow-up letter. </w:t>
      </w:r>
      <w:r w:rsidR="006276FE">
        <w:rPr>
          <w:bCs/>
        </w:rPr>
        <w:t xml:space="preserve"> There will be a toll-free telephone number associated with the survey, in which respondents can receive troubleshooting advice from trained call center representatives, as well as contact analysts at the Census Bureau who can help with survey questions related to content.</w:t>
      </w:r>
      <w:r w:rsidR="00023216">
        <w:rPr>
          <w:bCs/>
        </w:rPr>
        <w:t xml:space="preserve"> </w:t>
      </w:r>
      <w:r w:rsidR="006276FE">
        <w:rPr>
          <w:bCs/>
        </w:rPr>
        <w:t xml:space="preserve"> </w:t>
      </w:r>
      <w:r>
        <w:rPr>
          <w:bCs/>
        </w:rPr>
        <w:t>Two weeks before the due date, respondents will receive a due date reminder letter.  Those who do not respond to the survey receive a follow-up letter one week after the due date.  The follow-up letter will also include a flyer with instructions about how to submit their survey answers online.</w:t>
      </w:r>
      <w:r w:rsidR="00023216">
        <w:rPr>
          <w:bCs/>
        </w:rPr>
        <w:t xml:space="preserve"> </w:t>
      </w:r>
      <w:r>
        <w:rPr>
          <w:bCs/>
        </w:rPr>
        <w:t xml:space="preserve"> A second follow-up letter will be sent to those respondents who have not completed the survey, and this letter will be sent certified mail</w:t>
      </w:r>
      <w:r w:rsidR="006276FE">
        <w:rPr>
          <w:bCs/>
        </w:rPr>
        <w:t xml:space="preserve"> and addressed to the attention of the CEO</w:t>
      </w:r>
      <w:r>
        <w:rPr>
          <w:bCs/>
        </w:rPr>
        <w:t xml:space="preserve">.  </w:t>
      </w:r>
      <w:r w:rsidRPr="00CE4597">
        <w:rPr>
          <w:bCs/>
        </w:rPr>
        <w:t xml:space="preserve">Throughout the collection process, the Census Bureau will periodically check response rates for each of the strata, and focus on targeted telephone follow-up to maximize responses. </w:t>
      </w:r>
    </w:p>
    <w:p w:rsidR="00CE4597" w:rsidRPr="00CE4597" w:rsidRDefault="00CE4597" w:rsidP="00CE45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A14356" w:rsidRPr="00CE4597" w:rsidRDefault="00A14356" w:rsidP="00CE4597">
      <w:pPr>
        <w:pStyle w:val="ListParagraph"/>
        <w:numPr>
          <w:ilvl w:val="0"/>
          <w:numId w:val="8"/>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CE4597">
        <w:rPr>
          <w:rFonts w:ascii="Times New Roman" w:hAnsi="Times New Roman" w:cs="Times New Roman"/>
          <w:sz w:val="24"/>
          <w:szCs w:val="24"/>
        </w:rPr>
        <w:t>Estimating for Missing Data</w:t>
      </w:r>
    </w:p>
    <w:p w:rsidR="00A14356" w:rsidRDefault="00A14356" w:rsidP="00A1435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CE4597">
        <w:rPr>
          <w:color w:val="F79646" w:themeColor="accent6"/>
        </w:rPr>
        <w:tab/>
      </w:r>
      <w:r w:rsidRPr="00CE4597">
        <w:rPr>
          <w:color w:val="000000"/>
        </w:rPr>
        <w:t xml:space="preserve">Estimation will use a Horvitz Thompson estimator.  Each selected institution will have a sampling weight that is the inverse of its probability of selection within </w:t>
      </w:r>
      <w:r w:rsidR="007C3621" w:rsidRPr="00CE4597">
        <w:rPr>
          <w:color w:val="000000"/>
        </w:rPr>
        <w:t>that stratum</w:t>
      </w:r>
      <w:r w:rsidRPr="00CE4597">
        <w:rPr>
          <w:color w:val="000000"/>
        </w:rPr>
        <w:t>.  This</w:t>
      </w:r>
      <w:r>
        <w:rPr>
          <w:color w:val="000000"/>
        </w:rPr>
        <w:t xml:space="preserve"> sampling weight will be a multiplier that will reflect the characteristics of institutions in the population that were not selected.  This multiplier will also feature in the precision of the statistics derived from the survey.  For instance, in stratum 4, if 306 of the 666 are selected for sampling, each of those 306 will have a sampling weight of 666 over 306 or 2.18. </w:t>
      </w:r>
    </w:p>
    <w:p w:rsidR="00A14356" w:rsidRDefault="00A14356" w:rsidP="00A1435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A14356" w:rsidRDefault="00A14356" w:rsidP="00A1435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Pr>
          <w:color w:val="000000"/>
        </w:rPr>
        <w:lastRenderedPageBreak/>
        <w:t>The certainty strata will have sampling weights of 1.  While they do affect the accuracy of the estimate, they do not affect the precision of the estimates</w:t>
      </w:r>
      <w:r w:rsidR="00023216">
        <w:rPr>
          <w:color w:val="000000"/>
        </w:rPr>
        <w:t>,</w:t>
      </w:r>
      <w:r>
        <w:rPr>
          <w:color w:val="000000"/>
        </w:rPr>
        <w:t xml:space="preserve"> which is based on probability theory on observing only a subset of the population.  </w:t>
      </w:r>
    </w:p>
    <w:p w:rsidR="00120818" w:rsidRDefault="00120818" w:rsidP="001E046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20818" w:rsidRDefault="00F242C5" w:rsidP="00A143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Pr>
          <w:color w:val="000000"/>
        </w:rPr>
        <w:t>To be considered a respondent,</w:t>
      </w:r>
      <w:r w:rsidR="00CF363F">
        <w:rPr>
          <w:color w:val="000000"/>
        </w:rPr>
        <w:t xml:space="preserve"> a bank has to answer question 2 of the survey</w:t>
      </w:r>
      <w:r>
        <w:rPr>
          <w:color w:val="000000"/>
        </w:rPr>
        <w:t xml:space="preserve">.  </w:t>
      </w:r>
      <w:proofErr w:type="spellStart"/>
      <w:r w:rsidR="00120818" w:rsidRPr="00120818">
        <w:rPr>
          <w:color w:val="000000"/>
        </w:rPr>
        <w:t>Nonrespondents</w:t>
      </w:r>
      <w:proofErr w:type="spellEnd"/>
      <w:r w:rsidR="00120818" w:rsidRPr="00120818">
        <w:rPr>
          <w:color w:val="000000"/>
        </w:rPr>
        <w:t xml:space="preserve"> will receive weights of zero and b</w:t>
      </w:r>
      <w:r w:rsidR="00D73531">
        <w:rPr>
          <w:color w:val="000000"/>
        </w:rPr>
        <w:t>e excluded from tabulations.</w:t>
      </w:r>
      <w:r w:rsidR="00120818" w:rsidRPr="00120818">
        <w:rPr>
          <w:color w:val="000000"/>
        </w:rPr>
        <w:t xml:space="preserve"> I</w:t>
      </w:r>
      <w:r w:rsidR="00D73531">
        <w:rPr>
          <w:color w:val="000000"/>
        </w:rPr>
        <w:t>f banks respond to some q</w:t>
      </w:r>
      <w:r w:rsidR="00120818" w:rsidRPr="00120818">
        <w:rPr>
          <w:color w:val="000000"/>
        </w:rPr>
        <w:t>uestions in the survey</w:t>
      </w:r>
      <w:r w:rsidR="00CF363F">
        <w:rPr>
          <w:color w:val="000000"/>
        </w:rPr>
        <w:t xml:space="preserve"> but not to question 2,</w:t>
      </w:r>
      <w:r>
        <w:rPr>
          <w:color w:val="000000"/>
        </w:rPr>
        <w:t xml:space="preserve"> their responses </w:t>
      </w:r>
      <w:r w:rsidR="00120818" w:rsidRPr="00120818">
        <w:rPr>
          <w:color w:val="000000"/>
        </w:rPr>
        <w:t>will</w:t>
      </w:r>
      <w:r w:rsidR="00120818">
        <w:rPr>
          <w:color w:val="000000"/>
        </w:rPr>
        <w:t xml:space="preserve"> remain in the database, but </w:t>
      </w:r>
      <w:r w:rsidR="00CF363F">
        <w:rPr>
          <w:color w:val="000000"/>
        </w:rPr>
        <w:t xml:space="preserve">data from these banks </w:t>
      </w:r>
      <w:r w:rsidR="00120818" w:rsidRPr="00120818">
        <w:rPr>
          <w:color w:val="000000"/>
        </w:rPr>
        <w:t xml:space="preserve">will </w:t>
      </w:r>
      <w:r w:rsidR="00120818">
        <w:rPr>
          <w:color w:val="000000"/>
        </w:rPr>
        <w:t>not be included in tabulation</w:t>
      </w:r>
      <w:r>
        <w:rPr>
          <w:color w:val="000000"/>
        </w:rPr>
        <w:t>s or analyses</w:t>
      </w:r>
      <w:r w:rsidR="00CF363F">
        <w:rPr>
          <w:color w:val="000000"/>
        </w:rPr>
        <w:t xml:space="preserve"> and they will be designated as </w:t>
      </w:r>
      <w:proofErr w:type="spellStart"/>
      <w:r w:rsidR="00CF363F">
        <w:rPr>
          <w:color w:val="000000"/>
        </w:rPr>
        <w:t>nonrespondents</w:t>
      </w:r>
      <w:proofErr w:type="spellEnd"/>
      <w:r w:rsidR="00CF363F">
        <w:rPr>
          <w:color w:val="000000"/>
        </w:rPr>
        <w:t>.</w:t>
      </w:r>
    </w:p>
    <w:p w:rsidR="00A14356" w:rsidRDefault="00A14356" w:rsidP="00A143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A14356" w:rsidRDefault="00A14356" w:rsidP="00A143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Pr>
          <w:color w:val="000000"/>
        </w:rPr>
        <w:t xml:space="preserve">Institutions that do respond will have their sampling weights increased to account </w:t>
      </w:r>
      <w:r w:rsidRPr="00361A53">
        <w:rPr>
          <w:color w:val="000000"/>
        </w:rPr>
        <w:t xml:space="preserve">for </w:t>
      </w:r>
      <w:proofErr w:type="spellStart"/>
      <w:r w:rsidRPr="00361A53">
        <w:rPr>
          <w:color w:val="000000"/>
        </w:rPr>
        <w:t>nonresponding</w:t>
      </w:r>
      <w:proofErr w:type="spellEnd"/>
      <w:r w:rsidRPr="00361A53">
        <w:rPr>
          <w:color w:val="000000"/>
        </w:rPr>
        <w:t xml:space="preserve"> sampled institutions within their sampling stratum.  In this</w:t>
      </w:r>
      <w:r>
        <w:rPr>
          <w:color w:val="000000"/>
        </w:rPr>
        <w:t xml:space="preserve"> way, responding institutions will still be representing the collection of all eligible units, whether sampled or not.  This adjustment will be a weighting adjustment based only on the ratio of the number of eligible institutions within a stratum to those that responded from within that stratum. </w:t>
      </w:r>
    </w:p>
    <w:p w:rsidR="00A14356" w:rsidRDefault="00A14356" w:rsidP="00A143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A14356" w:rsidRDefault="00A14356" w:rsidP="00A1435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Pr>
          <w:color w:val="000000"/>
        </w:rPr>
        <w:t>For instance, in stratum 7, all 68 eligible institutions will be selected and have an initial sampling weight of 1.  However, if only 60 respond, then their sampling weights will be increased by the ratio of 68 over 60, or 1.13.</w:t>
      </w:r>
      <w:r w:rsidR="00424B85">
        <w:rPr>
          <w:color w:val="000000"/>
        </w:rPr>
        <w:t xml:space="preserve"> </w:t>
      </w:r>
      <w:r>
        <w:rPr>
          <w:color w:val="000000"/>
        </w:rPr>
        <w:t xml:space="preserve"> Information collec</w:t>
      </w:r>
      <w:r w:rsidR="006276FE">
        <w:rPr>
          <w:color w:val="000000"/>
        </w:rPr>
        <w:t>ted about them will be affected</w:t>
      </w:r>
      <w:r>
        <w:rPr>
          <w:color w:val="000000"/>
        </w:rPr>
        <w:t xml:space="preserve"> by this increase in their sampling weights.  They still will not feature in the variance estimate of precision, since all 68 were selected for every possible sample.  In a similar way, if only 250 of the 306 sampled in stratum 4 respond, they will have final weights of 2.67 instead of their original weight of 2.18.</w:t>
      </w:r>
      <w:r w:rsidR="00424B85">
        <w:rPr>
          <w:color w:val="000000"/>
        </w:rPr>
        <w:t xml:space="preserve"> </w:t>
      </w:r>
      <w:r>
        <w:rPr>
          <w:color w:val="000000"/>
        </w:rPr>
        <w:t xml:space="preserve"> This will increase the variance</w:t>
      </w:r>
      <w:r w:rsidR="00424B85">
        <w:rPr>
          <w:color w:val="000000"/>
        </w:rPr>
        <w:t>,</w:t>
      </w:r>
      <w:r>
        <w:rPr>
          <w:color w:val="000000"/>
        </w:rPr>
        <w:t xml:space="preserve"> however, which is seen as a decrease in precision.  This reduction in precision will reduce the ability to discern statistically significant differences between groups. </w:t>
      </w:r>
    </w:p>
    <w:p w:rsidR="00446F7B" w:rsidRDefault="00446F7B" w:rsidP="00AC5D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46F7B" w:rsidRDefault="00446F7B" w:rsidP="00446F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530"/>
        <w:rPr>
          <w:color w:val="000000"/>
        </w:rPr>
      </w:pPr>
    </w:p>
    <w:p w:rsidR="00F94206" w:rsidRPr="00376E0A" w:rsidRDefault="008072FE">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Cs/>
        </w:rPr>
        <w:tab/>
        <w:t>4</w:t>
      </w:r>
      <w:r w:rsidRPr="00376E0A">
        <w:rPr>
          <w:rFonts w:ascii="Times New Roman" w:hAnsi="Times New Roman"/>
          <w:bCs/>
        </w:rPr>
        <w:t xml:space="preserve">.         </w:t>
      </w:r>
      <w:r w:rsidRPr="00376E0A">
        <w:rPr>
          <w:rFonts w:ascii="Times New Roman" w:hAnsi="Times New Roman"/>
          <w:bCs/>
          <w:u w:val="single"/>
        </w:rPr>
        <w:t>Testing of Procedures</w:t>
      </w:r>
    </w:p>
    <w:p w:rsidR="00F94206" w:rsidRPr="00376E0A" w:rsidRDefault="00F94206">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bCs/>
          <w:u w:val="single"/>
        </w:rPr>
      </w:pPr>
    </w:p>
    <w:p w:rsidR="00924032" w:rsidRPr="00243153" w:rsidRDefault="005E642F" w:rsidP="0092403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924032">
        <w:rPr>
          <w:color w:val="000000"/>
        </w:rPr>
        <w:t xml:space="preserve">Throughout the survey development phase, </w:t>
      </w:r>
      <w:r w:rsidR="001A6765" w:rsidRPr="00924032">
        <w:rPr>
          <w:color w:val="000000"/>
        </w:rPr>
        <w:t xml:space="preserve">the </w:t>
      </w:r>
      <w:r w:rsidRPr="00924032">
        <w:rPr>
          <w:color w:val="000000"/>
        </w:rPr>
        <w:t>FDIC and the Census Bu</w:t>
      </w:r>
      <w:r w:rsidR="00361A53" w:rsidRPr="00924032">
        <w:rPr>
          <w:color w:val="000000"/>
        </w:rPr>
        <w:t xml:space="preserve">reau conducted </w:t>
      </w:r>
      <w:r w:rsidR="00424B85">
        <w:rPr>
          <w:color w:val="000000"/>
        </w:rPr>
        <w:t>3</w:t>
      </w:r>
      <w:r w:rsidR="00361A53" w:rsidRPr="00924032">
        <w:rPr>
          <w:color w:val="000000"/>
        </w:rPr>
        <w:t xml:space="preserve"> rounds of cognitive </w:t>
      </w:r>
      <w:r w:rsidR="00F44310" w:rsidRPr="00924032">
        <w:rPr>
          <w:color w:val="000000"/>
        </w:rPr>
        <w:t>interviews</w:t>
      </w:r>
      <w:r w:rsidR="00361A53" w:rsidRPr="00924032">
        <w:rPr>
          <w:color w:val="000000"/>
        </w:rPr>
        <w:t xml:space="preserve"> with </w:t>
      </w:r>
      <w:r w:rsidR="00424B85">
        <w:rPr>
          <w:color w:val="000000"/>
        </w:rPr>
        <w:t>40</w:t>
      </w:r>
      <w:r w:rsidR="00361A53" w:rsidRPr="00924032">
        <w:rPr>
          <w:color w:val="000000"/>
        </w:rPr>
        <w:t xml:space="preserve"> banking institutions of various sizes and geo</w:t>
      </w:r>
      <w:r w:rsidR="00F44310" w:rsidRPr="00924032">
        <w:rPr>
          <w:color w:val="000000"/>
        </w:rPr>
        <w:t>graphic settings</w:t>
      </w:r>
      <w:r w:rsidR="00271DF6" w:rsidRPr="00924032">
        <w:rPr>
          <w:color w:val="000000"/>
        </w:rPr>
        <w:t xml:space="preserve"> in 10 states</w:t>
      </w:r>
      <w:r w:rsidR="00F44310" w:rsidRPr="00924032">
        <w:rPr>
          <w:color w:val="000000"/>
        </w:rPr>
        <w:t>.</w:t>
      </w:r>
      <w:r w:rsidR="00424B85">
        <w:rPr>
          <w:color w:val="000000"/>
        </w:rPr>
        <w:t xml:space="preserve"> </w:t>
      </w:r>
      <w:r w:rsidR="00F44310" w:rsidRPr="00924032">
        <w:rPr>
          <w:color w:val="000000"/>
        </w:rPr>
        <w:t xml:space="preserve"> </w:t>
      </w:r>
      <w:r w:rsidR="007C6AD4" w:rsidRPr="00243153">
        <w:rPr>
          <w:color w:val="000000"/>
        </w:rPr>
        <w:t xml:space="preserve">The cognitive testing was conducted to ensure that the survey questions are clearly worded and understood by bank personnel, and </w:t>
      </w:r>
      <w:r w:rsidR="007C6AD4">
        <w:rPr>
          <w:color w:val="000000"/>
        </w:rPr>
        <w:t>to ensure that the requested information could be provided by the respondents</w:t>
      </w:r>
      <w:r w:rsidR="003D73A7">
        <w:rPr>
          <w:color w:val="000000"/>
        </w:rPr>
        <w:t xml:space="preserve"> while minimizing response burden</w:t>
      </w:r>
      <w:r w:rsidR="007C6AD4" w:rsidRPr="00243153">
        <w:rPr>
          <w:color w:val="000000"/>
        </w:rPr>
        <w:t xml:space="preserve">.  </w:t>
      </w:r>
      <w:r w:rsidR="00F44310" w:rsidRPr="00924032">
        <w:rPr>
          <w:color w:val="000000"/>
        </w:rPr>
        <w:t>The multiple rounds of interviews helped shape the survey content and flow.</w:t>
      </w:r>
      <w:r w:rsidR="00424B85">
        <w:rPr>
          <w:color w:val="000000"/>
        </w:rPr>
        <w:t xml:space="preserve"> </w:t>
      </w:r>
      <w:r w:rsidR="00F44310" w:rsidRPr="00924032">
        <w:rPr>
          <w:color w:val="000000"/>
        </w:rPr>
        <w:t xml:space="preserve"> </w:t>
      </w:r>
      <w:r w:rsidR="007C6AD4" w:rsidRPr="00924032">
        <w:rPr>
          <w:color w:val="000000"/>
        </w:rPr>
        <w:t xml:space="preserve">Specifically, </w:t>
      </w:r>
      <w:r w:rsidR="003D73A7" w:rsidRPr="00924032">
        <w:rPr>
          <w:color w:val="000000"/>
        </w:rPr>
        <w:t xml:space="preserve">response choices were significantly revised and expanded to capture the range and diversity of experiences of the banks that participated in the cognitive testing.  In addition, </w:t>
      </w:r>
      <w:r w:rsidR="00924032" w:rsidRPr="00924032">
        <w:rPr>
          <w:color w:val="000000"/>
        </w:rPr>
        <w:t xml:space="preserve">in response to </w:t>
      </w:r>
      <w:r w:rsidR="00924032" w:rsidRPr="00243153">
        <w:rPr>
          <w:color w:val="000000"/>
        </w:rPr>
        <w:t>feedback from the cognitive testing, the FDIC has significantly reduced the number of questions in the survey, retaining only questions that rely on expert knowledge and do not require the gathering of data, or questions that only require data that can be provided from core data systems or from existing internal reports.  Additionally, the FDIC has also reduced the number of question</w:t>
      </w:r>
      <w:r w:rsidR="001F54AA">
        <w:rPr>
          <w:color w:val="000000"/>
        </w:rPr>
        <w:t>s</w:t>
      </w:r>
      <w:r w:rsidR="00924032" w:rsidRPr="00243153">
        <w:rPr>
          <w:color w:val="000000"/>
        </w:rPr>
        <w:t xml:space="preserve"> that will be answered by banks with less than $1 billion in assets.  Furthermore, </w:t>
      </w:r>
      <w:r w:rsidR="00924032" w:rsidRPr="00243153">
        <w:rPr>
          <w:color w:val="000000"/>
        </w:rPr>
        <w:lastRenderedPageBreak/>
        <w:t>the FDIC has revised the survey to include screener questions that will also reduce the number of questions for banks with $1 billion or more in assets whose systems do not collect specific information.  Therefore, the revised survey is now significantly shorter for banks of all sizes.</w:t>
      </w:r>
    </w:p>
    <w:p w:rsidR="007C6AD4" w:rsidRDefault="007C6AD4">
      <w:pPr>
        <w:pStyle w:val="Level2"/>
        <w:numPr>
          <w:ilvl w:val="0"/>
          <w:numId w:val="0"/>
        </w:numPr>
        <w:ind w:left="1440"/>
        <w:rPr>
          <w:rFonts w:ascii="Times New Roman" w:hAnsi="Times New Roman"/>
        </w:rPr>
      </w:pPr>
    </w:p>
    <w:p w:rsidR="00F94206" w:rsidRPr="00376E0A" w:rsidRDefault="005E642F">
      <w:pPr>
        <w:pStyle w:val="Level2"/>
        <w:numPr>
          <w:ilvl w:val="0"/>
          <w:numId w:val="0"/>
        </w:numPr>
        <w:ind w:left="1440"/>
        <w:rPr>
          <w:rFonts w:ascii="Times New Roman" w:hAnsi="Times New Roman"/>
        </w:rPr>
      </w:pPr>
      <w:r w:rsidRPr="00376E0A">
        <w:rPr>
          <w:rFonts w:ascii="Times New Roman" w:hAnsi="Times New Roman"/>
        </w:rPr>
        <w:t xml:space="preserve">Prior to survey launch, the Census Bureau will test the usability </w:t>
      </w:r>
      <w:r w:rsidR="001A6765">
        <w:rPr>
          <w:rFonts w:ascii="Times New Roman" w:hAnsi="Times New Roman"/>
        </w:rPr>
        <w:t xml:space="preserve">of the </w:t>
      </w:r>
      <w:r w:rsidRPr="00376E0A">
        <w:rPr>
          <w:rFonts w:ascii="Times New Roman" w:hAnsi="Times New Roman"/>
        </w:rPr>
        <w:t xml:space="preserve">survey </w:t>
      </w:r>
      <w:r w:rsidRPr="00361A53">
        <w:rPr>
          <w:rFonts w:ascii="Times New Roman" w:hAnsi="Times New Roman"/>
        </w:rPr>
        <w:t xml:space="preserve">instrument on </w:t>
      </w:r>
      <w:r w:rsidR="00424B85">
        <w:rPr>
          <w:rFonts w:ascii="Times New Roman" w:hAnsi="Times New Roman"/>
        </w:rPr>
        <w:t>15</w:t>
      </w:r>
      <w:r w:rsidR="000270DA" w:rsidRPr="00361A53">
        <w:rPr>
          <w:rFonts w:ascii="Times New Roman" w:hAnsi="Times New Roman"/>
        </w:rPr>
        <w:t xml:space="preserve"> to </w:t>
      </w:r>
      <w:r w:rsidR="00424B85">
        <w:rPr>
          <w:rFonts w:ascii="Times New Roman" w:hAnsi="Times New Roman"/>
        </w:rPr>
        <w:t>20</w:t>
      </w:r>
      <w:r w:rsidR="000270DA" w:rsidRPr="00361A53">
        <w:rPr>
          <w:rFonts w:ascii="Times New Roman" w:hAnsi="Times New Roman"/>
        </w:rPr>
        <w:t xml:space="preserve"> </w:t>
      </w:r>
      <w:r w:rsidRPr="00361A53">
        <w:rPr>
          <w:rFonts w:ascii="Times New Roman" w:hAnsi="Times New Roman"/>
        </w:rPr>
        <w:t>participants.</w:t>
      </w:r>
      <w:r w:rsidRPr="00376E0A">
        <w:rPr>
          <w:rFonts w:ascii="Times New Roman" w:hAnsi="Times New Roman"/>
        </w:rPr>
        <w:t xml:space="preserve">  Separate OMB clearances were submitted </w:t>
      </w:r>
      <w:r w:rsidR="00D30E5C">
        <w:rPr>
          <w:rFonts w:ascii="Times New Roman" w:hAnsi="Times New Roman"/>
        </w:rPr>
        <w:t xml:space="preserve">by the Census Bureau </w:t>
      </w:r>
      <w:r w:rsidRPr="00376E0A">
        <w:rPr>
          <w:rFonts w:ascii="Times New Roman" w:hAnsi="Times New Roman"/>
        </w:rPr>
        <w:t>for these pretests</w:t>
      </w:r>
      <w:r w:rsidR="00D30E5C">
        <w:rPr>
          <w:rFonts w:ascii="Times New Roman" w:hAnsi="Times New Roman"/>
        </w:rPr>
        <w:t>, which were conducted under OMB control number 0607-0725</w:t>
      </w:r>
      <w:r w:rsidRPr="00376E0A">
        <w:rPr>
          <w:rFonts w:ascii="Times New Roman" w:hAnsi="Times New Roman"/>
        </w:rPr>
        <w:t>.  During the instrument usability testing, the Census Bureau will test that the Centurion data collection i</w:t>
      </w:r>
      <w:r w:rsidR="00376E0A" w:rsidRPr="00376E0A">
        <w:rPr>
          <w:rFonts w:ascii="Times New Roman" w:hAnsi="Times New Roman"/>
        </w:rPr>
        <w:t xml:space="preserve">nstrument functions as intended.  In addition, FDIC will test the instrument and input data exactly as will be done by respondents.  The Census Bureau also utilizes its internal Testing Support Branch, which tests every possible outcome of data entry and survey flow to ensure the respondent does not run into issues involving the instrument.  </w:t>
      </w:r>
    </w:p>
    <w:p w:rsidR="005E642F" w:rsidRPr="00376E0A" w:rsidRDefault="005E642F">
      <w:pPr>
        <w:pStyle w:val="Level2"/>
        <w:numPr>
          <w:ilvl w:val="0"/>
          <w:numId w:val="0"/>
        </w:numPr>
        <w:ind w:left="1440"/>
        <w:rPr>
          <w:rFonts w:ascii="Times New Roman" w:hAnsi="Times New Roman"/>
        </w:rPr>
      </w:pPr>
    </w:p>
    <w:p w:rsidR="005E642F" w:rsidRPr="00A14356" w:rsidRDefault="005E642F">
      <w:pPr>
        <w:pStyle w:val="Level2"/>
        <w:numPr>
          <w:ilvl w:val="0"/>
          <w:numId w:val="0"/>
        </w:numPr>
        <w:ind w:left="1440"/>
        <w:rPr>
          <w:rFonts w:ascii="Times New Roman" w:hAnsi="Times New Roman"/>
          <w:color w:val="F79646" w:themeColor="accent6"/>
        </w:rPr>
      </w:pPr>
    </w:p>
    <w:p w:rsidR="00F94206" w:rsidRPr="0014677A" w:rsidRDefault="008072FE" w:rsidP="00284EAD">
      <w:pPr>
        <w:numPr>
          <w:ilvl w:val="0"/>
          <w:numId w:val="3"/>
        </w:numPr>
        <w:tabs>
          <w:tab w:val="clear" w:pos="1440"/>
        </w:tabs>
        <w:autoSpaceDE w:val="0"/>
        <w:autoSpaceDN w:val="0"/>
        <w:adjustRightInd w:val="0"/>
        <w:ind w:left="0" w:firstLine="720"/>
        <w:rPr>
          <w:u w:val="single"/>
        </w:rPr>
      </w:pPr>
      <w:r w:rsidRPr="0014677A">
        <w:rPr>
          <w:u w:val="single"/>
        </w:rPr>
        <w:t>Contacts</w:t>
      </w:r>
      <w:r w:rsidR="001A6765">
        <w:rPr>
          <w:u w:val="single"/>
        </w:rPr>
        <w:t>:</w:t>
      </w:r>
      <w:r w:rsidRPr="0014677A">
        <w:rPr>
          <w:u w:val="single"/>
        </w:rPr>
        <w:t xml:space="preserve"> Statistical Aspects and Data Collection</w:t>
      </w:r>
    </w:p>
    <w:p w:rsidR="00F94206" w:rsidRDefault="00F94206" w:rsidP="00284EAD">
      <w:pPr>
        <w:autoSpaceDE w:val="0"/>
        <w:autoSpaceDN w:val="0"/>
        <w:adjustRightInd w:val="0"/>
        <w:ind w:left="360"/>
      </w:pPr>
    </w:p>
    <w:p w:rsidR="00F94206" w:rsidRDefault="008072FE" w:rsidP="00284EAD">
      <w:pPr>
        <w:autoSpaceDE w:val="0"/>
        <w:autoSpaceDN w:val="0"/>
        <w:adjustRightInd w:val="0"/>
        <w:ind w:left="1440"/>
      </w:pPr>
      <w:r>
        <w:t>The following Census Bureau staff may be contacted on the statistical data collection and analysis operations:</w:t>
      </w:r>
    </w:p>
    <w:p w:rsidR="00F94206" w:rsidRDefault="00F94206" w:rsidP="00284EAD">
      <w:pPr>
        <w:autoSpaceDE w:val="0"/>
        <w:autoSpaceDN w:val="0"/>
        <w:adjustRightInd w:val="0"/>
        <w:ind w:left="1440"/>
      </w:pPr>
    </w:p>
    <w:p w:rsidR="00A14356" w:rsidRDefault="00A14356" w:rsidP="00284EAD">
      <w:pPr>
        <w:autoSpaceDE w:val="0"/>
        <w:autoSpaceDN w:val="0"/>
        <w:adjustRightInd w:val="0"/>
        <w:ind w:left="1440"/>
      </w:pPr>
      <w:r>
        <w:tab/>
      </w:r>
      <w:r>
        <w:tab/>
        <w:t>Person responsible for statistical methodology:</w:t>
      </w:r>
    </w:p>
    <w:p w:rsidR="00A14356" w:rsidRDefault="00A14356" w:rsidP="00284EAD">
      <w:pPr>
        <w:autoSpaceDE w:val="0"/>
        <w:autoSpaceDN w:val="0"/>
        <w:adjustRightInd w:val="0"/>
        <w:ind w:left="1440"/>
      </w:pPr>
    </w:p>
    <w:p w:rsidR="00A14356" w:rsidRDefault="00A14356" w:rsidP="00284EAD">
      <w:pPr>
        <w:autoSpaceDE w:val="0"/>
        <w:autoSpaceDN w:val="0"/>
        <w:adjustRightInd w:val="0"/>
        <w:ind w:left="1440"/>
      </w:pPr>
      <w:r>
        <w:t>Amy Newman-Smith</w:t>
      </w:r>
    </w:p>
    <w:p w:rsidR="00A14356" w:rsidRDefault="00A14356" w:rsidP="00284EAD">
      <w:pPr>
        <w:autoSpaceDE w:val="0"/>
        <w:autoSpaceDN w:val="0"/>
        <w:adjustRightInd w:val="0"/>
        <w:ind w:left="1440"/>
      </w:pPr>
      <w:r>
        <w:t>Methodology Director for Manufacturing, Investment, and Construction Programs</w:t>
      </w:r>
    </w:p>
    <w:p w:rsidR="00A14356" w:rsidRDefault="00A14356" w:rsidP="00284EAD">
      <w:pPr>
        <w:autoSpaceDE w:val="0"/>
        <w:autoSpaceDN w:val="0"/>
        <w:adjustRightInd w:val="0"/>
        <w:ind w:left="1440"/>
      </w:pPr>
      <w:r>
        <w:t>Economic Statistical Methods Division</w:t>
      </w:r>
    </w:p>
    <w:p w:rsidR="00A14356" w:rsidRDefault="00A14356" w:rsidP="00284EAD">
      <w:pPr>
        <w:autoSpaceDE w:val="0"/>
        <w:autoSpaceDN w:val="0"/>
        <w:adjustRightInd w:val="0"/>
        <w:ind w:left="1440"/>
      </w:pPr>
      <w:r>
        <w:t>U.S. Census Bureau</w:t>
      </w:r>
    </w:p>
    <w:p w:rsidR="00A14356" w:rsidRDefault="00A14356" w:rsidP="00284EAD">
      <w:pPr>
        <w:autoSpaceDE w:val="0"/>
        <w:autoSpaceDN w:val="0"/>
        <w:adjustRightInd w:val="0"/>
        <w:ind w:left="1440"/>
      </w:pPr>
      <w:r>
        <w:t>(301) 763-6595</w:t>
      </w:r>
    </w:p>
    <w:p w:rsidR="00A14356" w:rsidRDefault="00A14356" w:rsidP="00284EAD">
      <w:pPr>
        <w:autoSpaceDE w:val="0"/>
        <w:autoSpaceDN w:val="0"/>
        <w:adjustRightInd w:val="0"/>
        <w:ind w:left="1440"/>
      </w:pPr>
    </w:p>
    <w:p w:rsidR="00A14356" w:rsidRDefault="00A14356" w:rsidP="00284EAD">
      <w:pPr>
        <w:autoSpaceDE w:val="0"/>
        <w:autoSpaceDN w:val="0"/>
        <w:adjustRightInd w:val="0"/>
        <w:ind w:left="1440"/>
      </w:pPr>
      <w:r>
        <w:tab/>
      </w:r>
      <w:r>
        <w:tab/>
        <w:t>Person responsible for data collection:</w:t>
      </w:r>
    </w:p>
    <w:p w:rsidR="00A14356" w:rsidRDefault="00A14356" w:rsidP="00284EAD">
      <w:pPr>
        <w:autoSpaceDE w:val="0"/>
        <w:autoSpaceDN w:val="0"/>
        <w:adjustRightInd w:val="0"/>
        <w:ind w:left="1440"/>
      </w:pPr>
    </w:p>
    <w:p w:rsidR="00A14356" w:rsidRDefault="00A14356" w:rsidP="00284EAD">
      <w:pPr>
        <w:autoSpaceDE w:val="0"/>
        <w:autoSpaceDN w:val="0"/>
        <w:adjustRightInd w:val="0"/>
        <w:ind w:left="1440"/>
      </w:pPr>
      <w:r>
        <w:t>Richard S. Hough</w:t>
      </w:r>
    </w:p>
    <w:p w:rsidR="00A14356" w:rsidRDefault="00A14356" w:rsidP="00284EAD">
      <w:pPr>
        <w:autoSpaceDE w:val="0"/>
        <w:autoSpaceDN w:val="0"/>
        <w:adjustRightInd w:val="0"/>
        <w:ind w:left="1440"/>
      </w:pPr>
      <w:r>
        <w:t>Assistant Division Chief for R&amp;D and Special Surveys</w:t>
      </w:r>
    </w:p>
    <w:p w:rsidR="00A14356" w:rsidRDefault="00A14356" w:rsidP="00284EAD">
      <w:pPr>
        <w:autoSpaceDE w:val="0"/>
        <w:autoSpaceDN w:val="0"/>
        <w:adjustRightInd w:val="0"/>
        <w:ind w:left="1440"/>
      </w:pPr>
      <w:r>
        <w:t>Economic Reimbursable Surveys Division</w:t>
      </w:r>
    </w:p>
    <w:p w:rsidR="00F94206" w:rsidRDefault="00A14356" w:rsidP="00284EAD">
      <w:pPr>
        <w:autoSpaceDE w:val="0"/>
        <w:autoSpaceDN w:val="0"/>
        <w:adjustRightInd w:val="0"/>
        <w:ind w:left="1440"/>
      </w:pPr>
      <w:r>
        <w:t>U.S. Census Bureau</w:t>
      </w:r>
    </w:p>
    <w:p w:rsidR="00A14356" w:rsidRDefault="00A14356" w:rsidP="00284EAD">
      <w:pPr>
        <w:autoSpaceDE w:val="0"/>
        <w:autoSpaceDN w:val="0"/>
        <w:adjustRightInd w:val="0"/>
        <w:ind w:left="1440"/>
      </w:pPr>
      <w:r>
        <w:t>(301) 763-4823</w:t>
      </w:r>
    </w:p>
    <w:p w:rsidR="00F94206" w:rsidRDefault="00F94206" w:rsidP="00AC5D52">
      <w:pPr>
        <w:autoSpaceDE w:val="0"/>
        <w:autoSpaceDN w:val="0"/>
        <w:adjustRightInd w:val="0"/>
      </w:pP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94206" w:rsidRDefault="00F94206"/>
    <w:sectPr w:rsidR="00F942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795" w:rsidRDefault="003D5795" w:rsidP="001E3C6A">
      <w:r>
        <w:separator/>
      </w:r>
    </w:p>
  </w:endnote>
  <w:endnote w:type="continuationSeparator" w:id="0">
    <w:p w:rsidR="003D5795" w:rsidRDefault="003D5795" w:rsidP="001E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fredo's Danc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583097"/>
      <w:docPartObj>
        <w:docPartGallery w:val="Page Numbers (Bottom of Page)"/>
        <w:docPartUnique/>
      </w:docPartObj>
    </w:sdtPr>
    <w:sdtEndPr>
      <w:rPr>
        <w:noProof/>
      </w:rPr>
    </w:sdtEndPr>
    <w:sdtContent>
      <w:p w:rsidR="007C6AD4" w:rsidRDefault="007C6AD4">
        <w:pPr>
          <w:pStyle w:val="Footer"/>
          <w:jc w:val="center"/>
        </w:pPr>
        <w:r>
          <w:fldChar w:fldCharType="begin"/>
        </w:r>
        <w:r>
          <w:instrText xml:space="preserve"> PAGE   \* MERGEFORMAT </w:instrText>
        </w:r>
        <w:r>
          <w:fldChar w:fldCharType="separate"/>
        </w:r>
        <w:r w:rsidR="00413796">
          <w:rPr>
            <w:noProof/>
          </w:rPr>
          <w:t>5</w:t>
        </w:r>
        <w:r>
          <w:rPr>
            <w:noProof/>
          </w:rPr>
          <w:fldChar w:fldCharType="end"/>
        </w:r>
      </w:p>
    </w:sdtContent>
  </w:sdt>
  <w:p w:rsidR="007C6AD4" w:rsidRDefault="007C6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795" w:rsidRDefault="003D5795" w:rsidP="001E3C6A">
      <w:r>
        <w:separator/>
      </w:r>
    </w:p>
  </w:footnote>
  <w:footnote w:type="continuationSeparator" w:id="0">
    <w:p w:rsidR="003D5795" w:rsidRDefault="003D5795" w:rsidP="001E3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2D35BA"/>
    <w:multiLevelType w:val="hybridMultilevel"/>
    <w:tmpl w:val="28AA6B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2F126C"/>
    <w:multiLevelType w:val="hybridMultilevel"/>
    <w:tmpl w:val="13B8D462"/>
    <w:lvl w:ilvl="0" w:tplc="314230CC">
      <w:start w:val="1"/>
      <w:numFmt w:val="lowerLetter"/>
      <w:lvlText w:val="%1."/>
      <w:lvlJc w:val="left"/>
      <w:pPr>
        <w:ind w:left="1800" w:hanging="360"/>
      </w:pPr>
      <w:rPr>
        <w:rFonts w:ascii="Times New Roman" w:hAnsi="Times New Roman" w:cs="Times New Roman" w:hint="default"/>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571BFC"/>
    <w:multiLevelType w:val="hybridMultilevel"/>
    <w:tmpl w:val="2C0659BC"/>
    <w:lvl w:ilvl="0" w:tplc="B9EAF24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C3B5BF4"/>
    <w:multiLevelType w:val="hybridMultilevel"/>
    <w:tmpl w:val="28AA6B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D6D042C"/>
    <w:multiLevelType w:val="hybridMultilevel"/>
    <w:tmpl w:val="6208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12952B7"/>
    <w:multiLevelType w:val="hybridMultilevel"/>
    <w:tmpl w:val="4F6C79AE"/>
    <w:lvl w:ilvl="0" w:tplc="A92EE2E0">
      <w:start w:val="5"/>
      <w:numFmt w:val="decimal"/>
      <w:lvlText w:val="%1."/>
      <w:lvlJc w:val="left"/>
      <w:pPr>
        <w:tabs>
          <w:tab w:val="num" w:pos="1440"/>
        </w:tabs>
        <w:ind w:left="1440" w:hanging="72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C891ACD"/>
    <w:multiLevelType w:val="hybridMultilevel"/>
    <w:tmpl w:val="47B44300"/>
    <w:lvl w:ilvl="0" w:tplc="A92813BA">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7"/>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1A8"/>
    <w:rsid w:val="00023216"/>
    <w:rsid w:val="000270DA"/>
    <w:rsid w:val="0004428B"/>
    <w:rsid w:val="00050C3E"/>
    <w:rsid w:val="0006780B"/>
    <w:rsid w:val="000720DB"/>
    <w:rsid w:val="00093F5A"/>
    <w:rsid w:val="000B4DEC"/>
    <w:rsid w:val="000B5408"/>
    <w:rsid w:val="000E389E"/>
    <w:rsid w:val="000F5D87"/>
    <w:rsid w:val="00120818"/>
    <w:rsid w:val="0014677A"/>
    <w:rsid w:val="001A6765"/>
    <w:rsid w:val="001C47B9"/>
    <w:rsid w:val="001E046D"/>
    <w:rsid w:val="001E3C6A"/>
    <w:rsid w:val="001F54AA"/>
    <w:rsid w:val="002107A7"/>
    <w:rsid w:val="00216920"/>
    <w:rsid w:val="002226B7"/>
    <w:rsid w:val="00227FEF"/>
    <w:rsid w:val="002460A8"/>
    <w:rsid w:val="00271DF6"/>
    <w:rsid w:val="0027478C"/>
    <w:rsid w:val="00280054"/>
    <w:rsid w:val="00284EAD"/>
    <w:rsid w:val="00286311"/>
    <w:rsid w:val="002B731C"/>
    <w:rsid w:val="003207A3"/>
    <w:rsid w:val="00341108"/>
    <w:rsid w:val="00360D21"/>
    <w:rsid w:val="00361A53"/>
    <w:rsid w:val="00364648"/>
    <w:rsid w:val="00376E0A"/>
    <w:rsid w:val="003D5795"/>
    <w:rsid w:val="003D73A7"/>
    <w:rsid w:val="004068F2"/>
    <w:rsid w:val="00411DEB"/>
    <w:rsid w:val="00413796"/>
    <w:rsid w:val="00420082"/>
    <w:rsid w:val="00424B85"/>
    <w:rsid w:val="00446F7B"/>
    <w:rsid w:val="004514B9"/>
    <w:rsid w:val="004A1582"/>
    <w:rsid w:val="004E619A"/>
    <w:rsid w:val="00563055"/>
    <w:rsid w:val="0056610E"/>
    <w:rsid w:val="00581A02"/>
    <w:rsid w:val="005A2B8D"/>
    <w:rsid w:val="005A31A8"/>
    <w:rsid w:val="005E642F"/>
    <w:rsid w:val="00610240"/>
    <w:rsid w:val="00621D61"/>
    <w:rsid w:val="00627503"/>
    <w:rsid w:val="006276FE"/>
    <w:rsid w:val="006353ED"/>
    <w:rsid w:val="0064282D"/>
    <w:rsid w:val="00665CF6"/>
    <w:rsid w:val="006A5C95"/>
    <w:rsid w:val="006C2FEE"/>
    <w:rsid w:val="006C3FAD"/>
    <w:rsid w:val="006D4A91"/>
    <w:rsid w:val="007058C5"/>
    <w:rsid w:val="007102DF"/>
    <w:rsid w:val="0074516B"/>
    <w:rsid w:val="00761A1A"/>
    <w:rsid w:val="007A1031"/>
    <w:rsid w:val="007C3621"/>
    <w:rsid w:val="007C6AD4"/>
    <w:rsid w:val="007D6B2B"/>
    <w:rsid w:val="007F0442"/>
    <w:rsid w:val="008072FE"/>
    <w:rsid w:val="0084048C"/>
    <w:rsid w:val="00873F5E"/>
    <w:rsid w:val="00875321"/>
    <w:rsid w:val="008E41DB"/>
    <w:rsid w:val="008F0618"/>
    <w:rsid w:val="008F6DA7"/>
    <w:rsid w:val="00924032"/>
    <w:rsid w:val="00930063"/>
    <w:rsid w:val="00953F87"/>
    <w:rsid w:val="009558BE"/>
    <w:rsid w:val="009A2461"/>
    <w:rsid w:val="009A40A0"/>
    <w:rsid w:val="009A6613"/>
    <w:rsid w:val="009D7262"/>
    <w:rsid w:val="00A14356"/>
    <w:rsid w:val="00A37E1F"/>
    <w:rsid w:val="00A64ACF"/>
    <w:rsid w:val="00A73CE6"/>
    <w:rsid w:val="00AC5D52"/>
    <w:rsid w:val="00B21297"/>
    <w:rsid w:val="00B52679"/>
    <w:rsid w:val="00B63CCA"/>
    <w:rsid w:val="00B908E8"/>
    <w:rsid w:val="00BA6F6D"/>
    <w:rsid w:val="00BC7799"/>
    <w:rsid w:val="00C03226"/>
    <w:rsid w:val="00C057A5"/>
    <w:rsid w:val="00C11380"/>
    <w:rsid w:val="00C13190"/>
    <w:rsid w:val="00C20D0E"/>
    <w:rsid w:val="00C50EEF"/>
    <w:rsid w:val="00C80C32"/>
    <w:rsid w:val="00C80CF2"/>
    <w:rsid w:val="00CA5F90"/>
    <w:rsid w:val="00CB691D"/>
    <w:rsid w:val="00CE3982"/>
    <w:rsid w:val="00CE4597"/>
    <w:rsid w:val="00CF363F"/>
    <w:rsid w:val="00D02F26"/>
    <w:rsid w:val="00D30E5C"/>
    <w:rsid w:val="00D33DE5"/>
    <w:rsid w:val="00D36705"/>
    <w:rsid w:val="00D728D4"/>
    <w:rsid w:val="00D73531"/>
    <w:rsid w:val="00D97121"/>
    <w:rsid w:val="00DD1A82"/>
    <w:rsid w:val="00DE0FAE"/>
    <w:rsid w:val="00DF312A"/>
    <w:rsid w:val="00DF6A75"/>
    <w:rsid w:val="00E027A5"/>
    <w:rsid w:val="00F02319"/>
    <w:rsid w:val="00F2091A"/>
    <w:rsid w:val="00F242C5"/>
    <w:rsid w:val="00F26B2F"/>
    <w:rsid w:val="00F44310"/>
    <w:rsid w:val="00F5298A"/>
    <w:rsid w:val="00F75B24"/>
    <w:rsid w:val="00F94206"/>
    <w:rsid w:val="00FB2BC1"/>
    <w:rsid w:val="00FF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widowControl w:val="0"/>
      <w:numPr>
        <w:ilvl w:val="1"/>
        <w:numId w:val="1"/>
      </w:numPr>
      <w:autoSpaceDE w:val="0"/>
      <w:autoSpaceDN w:val="0"/>
      <w:adjustRightInd w:val="0"/>
      <w:ind w:left="1440" w:hanging="720"/>
      <w:outlineLvl w:val="1"/>
    </w:pPr>
    <w:rPr>
      <w:rFonts w:ascii="Alfredo's Dance" w:hAnsi="Alfredo's Danc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uiPriority w:val="99"/>
    <w:unhideWhenUsed/>
    <w:rsid w:val="000B5408"/>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0B5408"/>
    <w:rPr>
      <w:rFonts w:asciiTheme="minorHAnsi" w:eastAsiaTheme="minorHAnsi" w:hAnsiTheme="minorHAnsi" w:cstheme="minorBidi"/>
      <w:sz w:val="22"/>
      <w:szCs w:val="22"/>
    </w:rPr>
  </w:style>
  <w:style w:type="paragraph" w:styleId="ListParagraph">
    <w:name w:val="List Paragraph"/>
    <w:basedOn w:val="Normal"/>
    <w:uiPriority w:val="34"/>
    <w:qFormat/>
    <w:rsid w:val="000B5408"/>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7C6AD4"/>
    <w:pPr>
      <w:tabs>
        <w:tab w:val="center" w:pos="4680"/>
        <w:tab w:val="right" w:pos="9360"/>
      </w:tabs>
    </w:pPr>
  </w:style>
  <w:style w:type="character" w:customStyle="1" w:styleId="HeaderChar">
    <w:name w:val="Header Char"/>
    <w:basedOn w:val="DefaultParagraphFont"/>
    <w:link w:val="Header"/>
    <w:rsid w:val="007C6AD4"/>
    <w:rPr>
      <w:sz w:val="24"/>
      <w:szCs w:val="24"/>
    </w:rPr>
  </w:style>
  <w:style w:type="paragraph" w:styleId="Footer">
    <w:name w:val="footer"/>
    <w:basedOn w:val="Normal"/>
    <w:link w:val="FooterChar"/>
    <w:uiPriority w:val="99"/>
    <w:rsid w:val="007C6AD4"/>
    <w:pPr>
      <w:tabs>
        <w:tab w:val="center" w:pos="4680"/>
        <w:tab w:val="right" w:pos="9360"/>
      </w:tabs>
    </w:pPr>
  </w:style>
  <w:style w:type="character" w:customStyle="1" w:styleId="FooterChar">
    <w:name w:val="Footer Char"/>
    <w:basedOn w:val="DefaultParagraphFont"/>
    <w:link w:val="Footer"/>
    <w:uiPriority w:val="99"/>
    <w:rsid w:val="007C6AD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widowControl w:val="0"/>
      <w:numPr>
        <w:ilvl w:val="1"/>
        <w:numId w:val="1"/>
      </w:numPr>
      <w:autoSpaceDE w:val="0"/>
      <w:autoSpaceDN w:val="0"/>
      <w:adjustRightInd w:val="0"/>
      <w:ind w:left="1440" w:hanging="720"/>
      <w:outlineLvl w:val="1"/>
    </w:pPr>
    <w:rPr>
      <w:rFonts w:ascii="Alfredo's Dance" w:hAnsi="Alfredo's Danc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uiPriority w:val="99"/>
    <w:unhideWhenUsed/>
    <w:rsid w:val="000B5408"/>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0B5408"/>
    <w:rPr>
      <w:rFonts w:asciiTheme="minorHAnsi" w:eastAsiaTheme="minorHAnsi" w:hAnsiTheme="minorHAnsi" w:cstheme="minorBidi"/>
      <w:sz w:val="22"/>
      <w:szCs w:val="22"/>
    </w:rPr>
  </w:style>
  <w:style w:type="paragraph" w:styleId="ListParagraph">
    <w:name w:val="List Paragraph"/>
    <w:basedOn w:val="Normal"/>
    <w:uiPriority w:val="34"/>
    <w:qFormat/>
    <w:rsid w:val="000B5408"/>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7C6AD4"/>
    <w:pPr>
      <w:tabs>
        <w:tab w:val="center" w:pos="4680"/>
        <w:tab w:val="right" w:pos="9360"/>
      </w:tabs>
    </w:pPr>
  </w:style>
  <w:style w:type="character" w:customStyle="1" w:styleId="HeaderChar">
    <w:name w:val="Header Char"/>
    <w:basedOn w:val="DefaultParagraphFont"/>
    <w:link w:val="Header"/>
    <w:rsid w:val="007C6AD4"/>
    <w:rPr>
      <w:sz w:val="24"/>
      <w:szCs w:val="24"/>
    </w:rPr>
  </w:style>
  <w:style w:type="paragraph" w:styleId="Footer">
    <w:name w:val="footer"/>
    <w:basedOn w:val="Normal"/>
    <w:link w:val="FooterChar"/>
    <w:uiPriority w:val="99"/>
    <w:rsid w:val="007C6AD4"/>
    <w:pPr>
      <w:tabs>
        <w:tab w:val="center" w:pos="4680"/>
        <w:tab w:val="right" w:pos="9360"/>
      </w:tabs>
    </w:pPr>
  </w:style>
  <w:style w:type="character" w:customStyle="1" w:styleId="FooterChar">
    <w:name w:val="Footer Char"/>
    <w:basedOn w:val="DefaultParagraphFont"/>
    <w:link w:val="Footer"/>
    <w:uiPriority w:val="99"/>
    <w:rsid w:val="007C6A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4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1713</Words>
  <Characters>8896</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10588</CharactersWithSpaces>
  <SharedDoc>false</SharedDoc>
  <HLinks>
    <vt:vector size="6" baseType="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leneta gregorie</dc:creator>
  <cp:lastModifiedBy>Kuiper, Gary</cp:lastModifiedBy>
  <cp:revision>2</cp:revision>
  <cp:lastPrinted>2016-02-18T00:37:00Z</cp:lastPrinted>
  <dcterms:created xsi:type="dcterms:W3CDTF">2016-02-24T21:38:00Z</dcterms:created>
  <dcterms:modified xsi:type="dcterms:W3CDTF">2016-02-24T21:38:00Z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