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C31E0" w14:textId="77777777" w:rsidR="00885C5E" w:rsidRDefault="00885C5E" w:rsidP="00885C5E">
      <w:pPr>
        <w:tabs>
          <w:tab w:val="center" w:pos="4680"/>
        </w:tabs>
        <w:suppressAutoHyphens/>
        <w:jc w:val="center"/>
        <w:rPr>
          <w:rFonts w:ascii="Times New Roman" w:hAnsi="Times New Roman"/>
          <w:b/>
          <w:bCs/>
        </w:rPr>
      </w:pPr>
      <w:bookmarkStart w:id="0" w:name="_GoBack"/>
      <w:bookmarkEnd w:id="0"/>
      <w:r w:rsidRPr="00FC2AEC">
        <w:rPr>
          <w:rFonts w:ascii="Times New Roman" w:hAnsi="Times New Roman"/>
          <w:b/>
          <w:bCs/>
        </w:rPr>
        <w:t>SUPPORTING STATEMENT</w:t>
      </w:r>
    </w:p>
    <w:p w14:paraId="58D20E8D" w14:textId="77777777" w:rsidR="00885C5E" w:rsidRPr="00CE4BC5" w:rsidRDefault="00885C5E" w:rsidP="00885C5E">
      <w:pPr>
        <w:tabs>
          <w:tab w:val="center" w:pos="4680"/>
        </w:tabs>
        <w:suppressAutoHyphens/>
        <w:jc w:val="center"/>
        <w:rPr>
          <w:rFonts w:ascii="Times New Roman" w:hAnsi="Times New Roman"/>
          <w:b/>
          <w:bCs/>
        </w:rPr>
      </w:pPr>
      <w:r w:rsidRPr="00CE4BC5">
        <w:rPr>
          <w:rFonts w:ascii="Times New Roman" w:hAnsi="Times New Roman"/>
          <w:b/>
          <w:bCs/>
        </w:rPr>
        <w:t>for the Paperwork Reduction Act Information Collection Submission for</w:t>
      </w:r>
    </w:p>
    <w:p w14:paraId="0D852F90" w14:textId="77777777" w:rsidR="00885C5E" w:rsidRDefault="00885C5E" w:rsidP="00885C5E">
      <w:pPr>
        <w:jc w:val="center"/>
        <w:rPr>
          <w:rFonts w:ascii="Times New Roman" w:hAnsi="Times New Roman"/>
          <w:b/>
        </w:rPr>
      </w:pPr>
      <w:r>
        <w:rPr>
          <w:rFonts w:ascii="Times New Roman" w:hAnsi="Times New Roman"/>
          <w:b/>
        </w:rPr>
        <w:t xml:space="preserve">Rule 15b9-1 </w:t>
      </w:r>
      <w:r w:rsidRPr="00CE4BC5">
        <w:rPr>
          <w:rFonts w:ascii="Times New Roman" w:hAnsi="Times New Roman"/>
          <w:b/>
        </w:rPr>
        <w:t xml:space="preserve">– </w:t>
      </w:r>
      <w:r>
        <w:rPr>
          <w:rFonts w:ascii="Times New Roman" w:hAnsi="Times New Roman"/>
          <w:b/>
        </w:rPr>
        <w:t>Exemption for Certain Exchange Members</w:t>
      </w:r>
    </w:p>
    <w:p w14:paraId="497E4FD9" w14:textId="77777777" w:rsidR="00885C5E" w:rsidRDefault="00885C5E" w:rsidP="00885C5E">
      <w:pPr>
        <w:jc w:val="center"/>
        <w:rPr>
          <w:rFonts w:ascii="Times New Roman" w:hAnsi="Times New Roman"/>
          <w:b/>
        </w:rPr>
      </w:pPr>
    </w:p>
    <w:p w14:paraId="0DCA1BF1" w14:textId="77777777" w:rsidR="00885C5E" w:rsidRPr="00CE4BC5" w:rsidRDefault="00885C5E" w:rsidP="00885C5E">
      <w:pPr>
        <w:ind w:left="120" w:right="70" w:firstLine="720"/>
        <w:rPr>
          <w:rFonts w:ascii="Times New Roman" w:hAnsi="Times New Roman"/>
        </w:rPr>
      </w:pPr>
      <w:r w:rsidRPr="00CE4BC5">
        <w:rPr>
          <w:rFonts w:ascii="Times New Roman" w:hAnsi="Times New Roman"/>
          <w:spacing w:val="-3"/>
        </w:rPr>
        <w:t>T</w:t>
      </w:r>
      <w:r w:rsidRPr="00CE4BC5">
        <w:rPr>
          <w:rFonts w:ascii="Times New Roman" w:hAnsi="Times New Roman"/>
          <w:spacing w:val="-2"/>
        </w:rPr>
        <w:t>hi</w:t>
      </w:r>
      <w:r w:rsidRPr="00CE4BC5">
        <w:rPr>
          <w:rFonts w:ascii="Times New Roman" w:hAnsi="Times New Roman"/>
        </w:rPr>
        <w:t>s</w:t>
      </w:r>
      <w:r w:rsidRPr="00CE4BC5">
        <w:rPr>
          <w:rFonts w:ascii="Times New Roman" w:hAnsi="Times New Roman"/>
          <w:spacing w:val="-7"/>
        </w:rPr>
        <w:t xml:space="preserve"> </w:t>
      </w:r>
      <w:r w:rsidRPr="00CE4BC5">
        <w:rPr>
          <w:rFonts w:ascii="Times New Roman" w:hAnsi="Times New Roman"/>
          <w:spacing w:val="-2"/>
        </w:rPr>
        <w:t>su</w:t>
      </w:r>
      <w:r w:rsidRPr="00CE4BC5">
        <w:rPr>
          <w:rFonts w:ascii="Times New Roman" w:hAnsi="Times New Roman"/>
          <w:spacing w:val="-5"/>
        </w:rPr>
        <w:t>b</w:t>
      </w:r>
      <w:r w:rsidRPr="00CE4BC5">
        <w:rPr>
          <w:rFonts w:ascii="Times New Roman" w:hAnsi="Times New Roman"/>
          <w:spacing w:val="-2"/>
        </w:rPr>
        <w:t>m</w:t>
      </w:r>
      <w:r w:rsidRPr="00CE4BC5">
        <w:rPr>
          <w:rFonts w:ascii="Times New Roman" w:hAnsi="Times New Roman"/>
          <w:spacing w:val="-4"/>
        </w:rPr>
        <w:t>i</w:t>
      </w:r>
      <w:r w:rsidRPr="00CE4BC5">
        <w:rPr>
          <w:rFonts w:ascii="Times New Roman" w:hAnsi="Times New Roman"/>
          <w:spacing w:val="-2"/>
        </w:rPr>
        <w:t>ss</w:t>
      </w:r>
      <w:r w:rsidRPr="00CE4BC5">
        <w:rPr>
          <w:rFonts w:ascii="Times New Roman" w:hAnsi="Times New Roman"/>
          <w:spacing w:val="-4"/>
        </w:rPr>
        <w:t>i</w:t>
      </w:r>
      <w:r w:rsidRPr="00CE4BC5">
        <w:rPr>
          <w:rFonts w:ascii="Times New Roman" w:hAnsi="Times New Roman"/>
          <w:spacing w:val="-2"/>
        </w:rPr>
        <w:t>o</w:t>
      </w:r>
      <w:r w:rsidRPr="00CE4BC5">
        <w:rPr>
          <w:rFonts w:ascii="Times New Roman" w:hAnsi="Times New Roman"/>
        </w:rPr>
        <w:t>n</w:t>
      </w:r>
      <w:r w:rsidRPr="00CE4BC5">
        <w:rPr>
          <w:rFonts w:ascii="Times New Roman" w:hAnsi="Times New Roman"/>
          <w:spacing w:val="-7"/>
        </w:rPr>
        <w:t xml:space="preserve"> </w:t>
      </w:r>
      <w:r w:rsidRPr="00CE4BC5">
        <w:rPr>
          <w:rFonts w:ascii="Times New Roman" w:hAnsi="Times New Roman"/>
          <w:spacing w:val="-2"/>
        </w:rPr>
        <w:t>i</w:t>
      </w:r>
      <w:r w:rsidRPr="00CE4BC5">
        <w:rPr>
          <w:rFonts w:ascii="Times New Roman" w:hAnsi="Times New Roman"/>
        </w:rPr>
        <w:t>s</w:t>
      </w:r>
      <w:r w:rsidRPr="00CE4BC5">
        <w:rPr>
          <w:rFonts w:ascii="Times New Roman" w:hAnsi="Times New Roman"/>
          <w:spacing w:val="-5"/>
        </w:rPr>
        <w:t xml:space="preserve"> </w:t>
      </w:r>
      <w:r w:rsidRPr="00CE4BC5">
        <w:rPr>
          <w:rFonts w:ascii="Times New Roman" w:hAnsi="Times New Roman"/>
          <w:spacing w:val="-2"/>
        </w:rPr>
        <w:t>b</w:t>
      </w:r>
      <w:r w:rsidRPr="00CE4BC5">
        <w:rPr>
          <w:rFonts w:ascii="Times New Roman" w:hAnsi="Times New Roman"/>
          <w:spacing w:val="-6"/>
        </w:rPr>
        <w:t>e</w:t>
      </w:r>
      <w:r w:rsidRPr="00CE4BC5">
        <w:rPr>
          <w:rFonts w:ascii="Times New Roman" w:hAnsi="Times New Roman"/>
          <w:spacing w:val="-2"/>
        </w:rPr>
        <w:t>in</w:t>
      </w:r>
      <w:r w:rsidRPr="00CE4BC5">
        <w:rPr>
          <w:rFonts w:ascii="Times New Roman" w:hAnsi="Times New Roman"/>
        </w:rPr>
        <w:t>g</w:t>
      </w:r>
      <w:r w:rsidRPr="00CE4BC5">
        <w:rPr>
          <w:rFonts w:ascii="Times New Roman" w:hAnsi="Times New Roman"/>
          <w:spacing w:val="-7"/>
        </w:rPr>
        <w:t xml:space="preserve"> </w:t>
      </w:r>
      <w:r w:rsidRPr="00CE4BC5">
        <w:rPr>
          <w:rFonts w:ascii="Times New Roman" w:hAnsi="Times New Roman"/>
          <w:spacing w:val="-2"/>
        </w:rPr>
        <w:t>m</w:t>
      </w:r>
      <w:r w:rsidRPr="00CE4BC5">
        <w:rPr>
          <w:rFonts w:ascii="Times New Roman" w:hAnsi="Times New Roman"/>
          <w:spacing w:val="-3"/>
        </w:rPr>
        <w:t>a</w:t>
      </w:r>
      <w:r w:rsidRPr="00CE4BC5">
        <w:rPr>
          <w:rFonts w:ascii="Times New Roman" w:hAnsi="Times New Roman"/>
          <w:spacing w:val="-2"/>
        </w:rPr>
        <w:t>d</w:t>
      </w:r>
      <w:r w:rsidRPr="00CE4BC5">
        <w:rPr>
          <w:rFonts w:ascii="Times New Roman" w:hAnsi="Times New Roman"/>
        </w:rPr>
        <w:t>e</w:t>
      </w:r>
      <w:r w:rsidRPr="00CE4BC5">
        <w:rPr>
          <w:rFonts w:ascii="Times New Roman" w:hAnsi="Times New Roman"/>
          <w:spacing w:val="-6"/>
        </w:rPr>
        <w:t xml:space="preserve"> </w:t>
      </w:r>
      <w:r w:rsidRPr="00CE4BC5">
        <w:rPr>
          <w:rFonts w:ascii="Times New Roman" w:hAnsi="Times New Roman"/>
          <w:spacing w:val="-2"/>
        </w:rPr>
        <w:t>pu</w:t>
      </w:r>
      <w:r w:rsidRPr="00CE4BC5">
        <w:rPr>
          <w:rFonts w:ascii="Times New Roman" w:hAnsi="Times New Roman"/>
          <w:spacing w:val="-3"/>
        </w:rPr>
        <w:t>r</w:t>
      </w:r>
      <w:r w:rsidRPr="00CE4BC5">
        <w:rPr>
          <w:rFonts w:ascii="Times New Roman" w:hAnsi="Times New Roman"/>
          <w:spacing w:val="-5"/>
        </w:rPr>
        <w:t>s</w:t>
      </w:r>
      <w:r w:rsidRPr="00CE4BC5">
        <w:rPr>
          <w:rFonts w:ascii="Times New Roman" w:hAnsi="Times New Roman"/>
          <w:spacing w:val="-2"/>
        </w:rPr>
        <w:t>u</w:t>
      </w:r>
      <w:r w:rsidRPr="00CE4BC5">
        <w:rPr>
          <w:rFonts w:ascii="Times New Roman" w:hAnsi="Times New Roman"/>
          <w:spacing w:val="-3"/>
        </w:rPr>
        <w:t>a</w:t>
      </w:r>
      <w:r w:rsidRPr="00CE4BC5">
        <w:rPr>
          <w:rFonts w:ascii="Times New Roman" w:hAnsi="Times New Roman"/>
          <w:spacing w:val="-2"/>
        </w:rPr>
        <w:t>n</w:t>
      </w:r>
      <w:r w:rsidRPr="00CE4BC5">
        <w:rPr>
          <w:rFonts w:ascii="Times New Roman" w:hAnsi="Times New Roman"/>
        </w:rPr>
        <w:t>t</w:t>
      </w:r>
      <w:r w:rsidRPr="00CE4BC5">
        <w:rPr>
          <w:rFonts w:ascii="Times New Roman" w:hAnsi="Times New Roman"/>
          <w:spacing w:val="-7"/>
        </w:rPr>
        <w:t xml:space="preserve"> </w:t>
      </w:r>
      <w:r w:rsidRPr="00CE4BC5">
        <w:rPr>
          <w:rFonts w:ascii="Times New Roman" w:hAnsi="Times New Roman"/>
          <w:spacing w:val="-2"/>
        </w:rPr>
        <w:t>t</w:t>
      </w:r>
      <w:r w:rsidRPr="00CE4BC5">
        <w:rPr>
          <w:rFonts w:ascii="Times New Roman" w:hAnsi="Times New Roman"/>
        </w:rPr>
        <w:t>o</w:t>
      </w:r>
      <w:r w:rsidRPr="00CE4BC5">
        <w:rPr>
          <w:rFonts w:ascii="Times New Roman" w:hAnsi="Times New Roman"/>
          <w:spacing w:val="-7"/>
        </w:rPr>
        <w:t xml:space="preserve"> </w:t>
      </w:r>
      <w:r w:rsidRPr="00CE4BC5">
        <w:rPr>
          <w:rFonts w:ascii="Times New Roman" w:hAnsi="Times New Roman"/>
          <w:spacing w:val="-2"/>
        </w:rPr>
        <w:t>th</w:t>
      </w:r>
      <w:r w:rsidRPr="00CE4BC5">
        <w:rPr>
          <w:rFonts w:ascii="Times New Roman" w:hAnsi="Times New Roman"/>
        </w:rPr>
        <w:t>e</w:t>
      </w:r>
      <w:r w:rsidRPr="00CE4BC5">
        <w:rPr>
          <w:rFonts w:ascii="Times New Roman" w:hAnsi="Times New Roman"/>
          <w:spacing w:val="-8"/>
        </w:rPr>
        <w:t xml:space="preserve"> </w:t>
      </w:r>
      <w:r w:rsidRPr="00CE4BC5">
        <w:rPr>
          <w:rFonts w:ascii="Times New Roman" w:hAnsi="Times New Roman"/>
          <w:spacing w:val="-1"/>
        </w:rPr>
        <w:t>P</w:t>
      </w:r>
      <w:r w:rsidRPr="00CE4BC5">
        <w:rPr>
          <w:rFonts w:ascii="Times New Roman" w:hAnsi="Times New Roman"/>
          <w:spacing w:val="-3"/>
        </w:rPr>
        <w:t>a</w:t>
      </w:r>
      <w:r w:rsidRPr="00CE4BC5">
        <w:rPr>
          <w:rFonts w:ascii="Times New Roman" w:hAnsi="Times New Roman"/>
          <w:spacing w:val="-5"/>
        </w:rPr>
        <w:t>p</w:t>
      </w:r>
      <w:r w:rsidRPr="00CE4BC5">
        <w:rPr>
          <w:rFonts w:ascii="Times New Roman" w:hAnsi="Times New Roman"/>
          <w:spacing w:val="-3"/>
        </w:rPr>
        <w:t>erw</w:t>
      </w:r>
      <w:r w:rsidRPr="00CE4BC5">
        <w:rPr>
          <w:rFonts w:ascii="Times New Roman" w:hAnsi="Times New Roman"/>
          <w:spacing w:val="-2"/>
        </w:rPr>
        <w:t>o</w:t>
      </w:r>
      <w:r w:rsidRPr="00CE4BC5">
        <w:rPr>
          <w:rFonts w:ascii="Times New Roman" w:hAnsi="Times New Roman"/>
          <w:spacing w:val="-3"/>
        </w:rPr>
        <w:t>r</w:t>
      </w:r>
      <w:r w:rsidRPr="00CE4BC5">
        <w:rPr>
          <w:rFonts w:ascii="Times New Roman" w:hAnsi="Times New Roman"/>
        </w:rPr>
        <w:t>k</w:t>
      </w:r>
      <w:r w:rsidRPr="00CE4BC5">
        <w:rPr>
          <w:rFonts w:ascii="Times New Roman" w:hAnsi="Times New Roman"/>
          <w:spacing w:val="-5"/>
        </w:rPr>
        <w:t xml:space="preserve"> </w:t>
      </w:r>
      <w:r w:rsidRPr="00CE4BC5">
        <w:rPr>
          <w:rFonts w:ascii="Times New Roman" w:hAnsi="Times New Roman"/>
          <w:spacing w:val="-2"/>
        </w:rPr>
        <w:t>R</w:t>
      </w:r>
      <w:r w:rsidRPr="00CE4BC5">
        <w:rPr>
          <w:rFonts w:ascii="Times New Roman" w:hAnsi="Times New Roman"/>
          <w:spacing w:val="-3"/>
        </w:rPr>
        <w:t>e</w:t>
      </w:r>
      <w:r w:rsidRPr="00CE4BC5">
        <w:rPr>
          <w:rFonts w:ascii="Times New Roman" w:hAnsi="Times New Roman"/>
          <w:spacing w:val="-2"/>
        </w:rPr>
        <w:t>du</w:t>
      </w:r>
      <w:r w:rsidRPr="00CE4BC5">
        <w:rPr>
          <w:rFonts w:ascii="Times New Roman" w:hAnsi="Times New Roman"/>
          <w:spacing w:val="-6"/>
        </w:rPr>
        <w:t>c</w:t>
      </w:r>
      <w:r w:rsidRPr="00CE4BC5">
        <w:rPr>
          <w:rFonts w:ascii="Times New Roman" w:hAnsi="Times New Roman"/>
          <w:spacing w:val="-2"/>
        </w:rPr>
        <w:t>ti</w:t>
      </w:r>
      <w:r w:rsidRPr="00CE4BC5">
        <w:rPr>
          <w:rFonts w:ascii="Times New Roman" w:hAnsi="Times New Roman"/>
          <w:spacing w:val="-5"/>
        </w:rPr>
        <w:t>o</w:t>
      </w:r>
      <w:r w:rsidRPr="00CE4BC5">
        <w:rPr>
          <w:rFonts w:ascii="Times New Roman" w:hAnsi="Times New Roman"/>
        </w:rPr>
        <w:t>n</w:t>
      </w:r>
      <w:r w:rsidRPr="00CE4BC5">
        <w:rPr>
          <w:rFonts w:ascii="Times New Roman" w:hAnsi="Times New Roman"/>
          <w:spacing w:val="-5"/>
        </w:rPr>
        <w:t xml:space="preserve"> </w:t>
      </w:r>
      <w:r w:rsidRPr="00CE4BC5">
        <w:rPr>
          <w:rFonts w:ascii="Times New Roman" w:hAnsi="Times New Roman"/>
          <w:spacing w:val="-3"/>
        </w:rPr>
        <w:t>Ac</w:t>
      </w:r>
      <w:r w:rsidRPr="00CE4BC5">
        <w:rPr>
          <w:rFonts w:ascii="Times New Roman" w:hAnsi="Times New Roman"/>
        </w:rPr>
        <w:t>t</w:t>
      </w:r>
      <w:r w:rsidRPr="00CE4BC5">
        <w:rPr>
          <w:rFonts w:ascii="Times New Roman" w:hAnsi="Times New Roman"/>
          <w:spacing w:val="-7"/>
        </w:rPr>
        <w:t xml:space="preserve"> </w:t>
      </w:r>
      <w:r w:rsidRPr="00CE4BC5">
        <w:rPr>
          <w:rFonts w:ascii="Times New Roman" w:hAnsi="Times New Roman"/>
          <w:spacing w:val="-2"/>
        </w:rPr>
        <w:t>o</w:t>
      </w:r>
      <w:r w:rsidRPr="00CE4BC5">
        <w:rPr>
          <w:rFonts w:ascii="Times New Roman" w:hAnsi="Times New Roman"/>
        </w:rPr>
        <w:t>f</w:t>
      </w:r>
      <w:r w:rsidRPr="00CE4BC5">
        <w:rPr>
          <w:rFonts w:ascii="Times New Roman" w:hAnsi="Times New Roman"/>
          <w:spacing w:val="-8"/>
        </w:rPr>
        <w:t xml:space="preserve"> </w:t>
      </w:r>
      <w:r w:rsidRPr="00CE4BC5">
        <w:rPr>
          <w:rFonts w:ascii="Times New Roman" w:hAnsi="Times New Roman"/>
          <w:spacing w:val="-2"/>
        </w:rPr>
        <w:t>1995</w:t>
      </w:r>
      <w:r w:rsidRPr="00CE4BC5">
        <w:rPr>
          <w:rFonts w:ascii="Times New Roman" w:hAnsi="Times New Roman"/>
        </w:rPr>
        <w:t>,</w:t>
      </w:r>
      <w:r w:rsidRPr="00CE4BC5">
        <w:rPr>
          <w:rFonts w:ascii="Times New Roman" w:hAnsi="Times New Roman"/>
          <w:spacing w:val="-7"/>
        </w:rPr>
        <w:t xml:space="preserve"> </w:t>
      </w:r>
      <w:r w:rsidRPr="00CE4BC5">
        <w:rPr>
          <w:rFonts w:ascii="Times New Roman" w:hAnsi="Times New Roman"/>
          <w:spacing w:val="-2"/>
        </w:rPr>
        <w:t>4</w:t>
      </w:r>
      <w:r w:rsidRPr="00CE4BC5">
        <w:rPr>
          <w:rFonts w:ascii="Times New Roman" w:hAnsi="Times New Roman"/>
        </w:rPr>
        <w:t>4</w:t>
      </w:r>
      <w:r w:rsidRPr="00CE4BC5">
        <w:rPr>
          <w:rFonts w:ascii="Times New Roman" w:hAnsi="Times New Roman"/>
          <w:spacing w:val="-5"/>
        </w:rPr>
        <w:t xml:space="preserve"> </w:t>
      </w:r>
      <w:r w:rsidRPr="00CE4BC5">
        <w:rPr>
          <w:rFonts w:ascii="Times New Roman" w:hAnsi="Times New Roman"/>
          <w:spacing w:val="-3"/>
        </w:rPr>
        <w:t>U</w:t>
      </w:r>
      <w:r w:rsidRPr="00CE4BC5">
        <w:rPr>
          <w:rFonts w:ascii="Times New Roman" w:hAnsi="Times New Roman"/>
          <w:spacing w:val="-5"/>
        </w:rPr>
        <w:t>.</w:t>
      </w:r>
      <w:r w:rsidRPr="00CE4BC5">
        <w:rPr>
          <w:rFonts w:ascii="Times New Roman" w:hAnsi="Times New Roman"/>
          <w:spacing w:val="-1"/>
        </w:rPr>
        <w:t>S</w:t>
      </w:r>
      <w:r w:rsidRPr="00CE4BC5">
        <w:rPr>
          <w:rFonts w:ascii="Times New Roman" w:hAnsi="Times New Roman"/>
          <w:spacing w:val="-5"/>
        </w:rPr>
        <w:t>.</w:t>
      </w:r>
      <w:r w:rsidRPr="00CE4BC5">
        <w:rPr>
          <w:rFonts w:ascii="Times New Roman" w:hAnsi="Times New Roman"/>
          <w:spacing w:val="-2"/>
        </w:rPr>
        <w:t>C</w:t>
      </w:r>
      <w:r w:rsidRPr="00CE4BC5">
        <w:rPr>
          <w:rFonts w:ascii="Times New Roman" w:hAnsi="Times New Roman"/>
        </w:rPr>
        <w:t xml:space="preserve">. </w:t>
      </w:r>
      <w:r w:rsidRPr="00CE4BC5">
        <w:rPr>
          <w:rFonts w:ascii="Times New Roman" w:hAnsi="Times New Roman"/>
          <w:spacing w:val="-1"/>
        </w:rPr>
        <w:t>S</w:t>
      </w:r>
      <w:r w:rsidRPr="00CE4BC5">
        <w:rPr>
          <w:rFonts w:ascii="Times New Roman" w:hAnsi="Times New Roman"/>
          <w:spacing w:val="-3"/>
        </w:rPr>
        <w:t>ec</w:t>
      </w:r>
      <w:r w:rsidRPr="00CE4BC5">
        <w:rPr>
          <w:rFonts w:ascii="Times New Roman" w:hAnsi="Times New Roman"/>
          <w:spacing w:val="-2"/>
        </w:rPr>
        <w:t>t</w:t>
      </w:r>
      <w:r w:rsidRPr="00CE4BC5">
        <w:rPr>
          <w:rFonts w:ascii="Times New Roman" w:hAnsi="Times New Roman"/>
          <w:spacing w:val="-4"/>
        </w:rPr>
        <w:t>i</w:t>
      </w:r>
      <w:r w:rsidRPr="00CE4BC5">
        <w:rPr>
          <w:rFonts w:ascii="Times New Roman" w:hAnsi="Times New Roman"/>
          <w:spacing w:val="-2"/>
        </w:rPr>
        <w:t>o</w:t>
      </w:r>
      <w:r w:rsidRPr="00CE4BC5">
        <w:rPr>
          <w:rFonts w:ascii="Times New Roman" w:hAnsi="Times New Roman"/>
        </w:rPr>
        <w:t>n</w:t>
      </w:r>
      <w:r w:rsidRPr="00CE4BC5">
        <w:rPr>
          <w:rFonts w:ascii="Times New Roman" w:hAnsi="Times New Roman"/>
          <w:spacing w:val="-5"/>
        </w:rPr>
        <w:t xml:space="preserve"> 3</w:t>
      </w:r>
      <w:r w:rsidRPr="00CE4BC5">
        <w:rPr>
          <w:rFonts w:ascii="Times New Roman" w:hAnsi="Times New Roman"/>
          <w:spacing w:val="-2"/>
        </w:rPr>
        <w:t>50</w:t>
      </w:r>
      <w:r w:rsidRPr="00CE4BC5">
        <w:rPr>
          <w:rFonts w:ascii="Times New Roman" w:hAnsi="Times New Roman"/>
        </w:rPr>
        <w:t>1</w:t>
      </w:r>
      <w:r w:rsidRPr="00CE4BC5">
        <w:rPr>
          <w:rFonts w:ascii="Times New Roman" w:hAnsi="Times New Roman"/>
          <w:spacing w:val="-5"/>
        </w:rPr>
        <w:t xml:space="preserve"> </w:t>
      </w:r>
      <w:r w:rsidRPr="00FC56B5">
        <w:rPr>
          <w:rFonts w:ascii="Times New Roman" w:hAnsi="Times New Roman"/>
          <w:spacing w:val="-6"/>
          <w:u w:val="single"/>
        </w:rPr>
        <w:t>e</w:t>
      </w:r>
      <w:r w:rsidRPr="00FC56B5">
        <w:rPr>
          <w:rFonts w:ascii="Times New Roman" w:hAnsi="Times New Roman"/>
          <w:u w:val="single"/>
        </w:rPr>
        <w:t>t</w:t>
      </w:r>
      <w:r w:rsidRPr="00CE4BC5">
        <w:rPr>
          <w:rFonts w:ascii="Times New Roman" w:hAnsi="Times New Roman"/>
          <w:spacing w:val="-4"/>
        </w:rPr>
        <w:t xml:space="preserve"> </w:t>
      </w:r>
      <w:r w:rsidRPr="00FC56B5">
        <w:rPr>
          <w:rFonts w:ascii="Times New Roman" w:hAnsi="Times New Roman"/>
          <w:spacing w:val="-2"/>
          <w:u w:val="single"/>
        </w:rPr>
        <w:t>s</w:t>
      </w:r>
      <w:r w:rsidRPr="00FC56B5">
        <w:rPr>
          <w:rFonts w:ascii="Times New Roman" w:hAnsi="Times New Roman"/>
          <w:spacing w:val="-3"/>
          <w:u w:val="single"/>
        </w:rPr>
        <w:t>e</w:t>
      </w:r>
      <w:r w:rsidRPr="00FC56B5">
        <w:rPr>
          <w:rFonts w:ascii="Times New Roman" w:hAnsi="Times New Roman"/>
          <w:spacing w:val="-5"/>
          <w:u w:val="single"/>
        </w:rPr>
        <w:t>q</w:t>
      </w:r>
      <w:r w:rsidRPr="00CE4BC5">
        <w:rPr>
          <w:rFonts w:ascii="Times New Roman" w:hAnsi="Times New Roman"/>
        </w:rPr>
        <w:t>.</w:t>
      </w:r>
    </w:p>
    <w:p w14:paraId="1D9E9371" w14:textId="77777777" w:rsidR="00885C5E" w:rsidRPr="00FC2AEC" w:rsidRDefault="00885C5E" w:rsidP="00885C5E">
      <w:pPr>
        <w:tabs>
          <w:tab w:val="center" w:pos="4680"/>
        </w:tabs>
        <w:suppressAutoHyphens/>
        <w:rPr>
          <w:rFonts w:ascii="Times New Roman" w:hAnsi="Times New Roman"/>
        </w:rPr>
      </w:pPr>
    </w:p>
    <w:p w14:paraId="678B13F1" w14:textId="77777777" w:rsidR="00885C5E" w:rsidRPr="00FC2AEC" w:rsidRDefault="00885C5E" w:rsidP="00885C5E">
      <w:pPr>
        <w:pStyle w:val="Heading1"/>
        <w:spacing w:line="240" w:lineRule="auto"/>
        <w:rPr>
          <w:rFonts w:ascii="Times New Roman" w:hAnsi="Times New Roman"/>
        </w:rPr>
      </w:pPr>
      <w:r w:rsidRPr="00FC2AEC">
        <w:rPr>
          <w:rFonts w:ascii="Times New Roman" w:hAnsi="Times New Roman"/>
        </w:rPr>
        <w:t>A.</w:t>
      </w:r>
      <w:r w:rsidRPr="00FC2AEC">
        <w:rPr>
          <w:rFonts w:ascii="Times New Roman" w:hAnsi="Times New Roman"/>
        </w:rPr>
        <w:tab/>
        <w:t>JUSTIFICATION</w:t>
      </w:r>
    </w:p>
    <w:p w14:paraId="5D88DFBD" w14:textId="77777777" w:rsidR="00885C5E" w:rsidRPr="00FC2AEC" w:rsidRDefault="00885C5E" w:rsidP="00885C5E">
      <w:pPr>
        <w:tabs>
          <w:tab w:val="left" w:pos="-720"/>
        </w:tabs>
        <w:suppressAutoHyphens/>
        <w:rPr>
          <w:rFonts w:ascii="Times New Roman" w:hAnsi="Times New Roman"/>
          <w:b/>
          <w:bCs/>
        </w:rPr>
      </w:pPr>
    </w:p>
    <w:p w14:paraId="66FC31AC" w14:textId="77777777" w:rsidR="00885C5E" w:rsidRPr="00FC2AEC" w:rsidRDefault="00885C5E" w:rsidP="00885C5E">
      <w:pPr>
        <w:tabs>
          <w:tab w:val="left" w:pos="-720"/>
          <w:tab w:val="left" w:pos="0"/>
        </w:tabs>
        <w:suppressAutoHyphens/>
        <w:ind w:left="360"/>
        <w:rPr>
          <w:rFonts w:ascii="Times New Roman" w:hAnsi="Times New Roman"/>
          <w:b/>
          <w:bCs/>
        </w:rPr>
      </w:pPr>
      <w:r w:rsidRPr="00FC2AEC">
        <w:rPr>
          <w:rFonts w:ascii="Times New Roman" w:hAnsi="Times New Roman"/>
          <w:b/>
          <w:bCs/>
        </w:rPr>
        <w:tab/>
        <w:t>1.</w:t>
      </w:r>
      <w:r w:rsidRPr="00FC2AEC">
        <w:rPr>
          <w:rFonts w:ascii="Times New Roman" w:hAnsi="Times New Roman"/>
          <w:b/>
          <w:bCs/>
        </w:rPr>
        <w:tab/>
        <w:t>Necessity for the Information Collection</w:t>
      </w:r>
    </w:p>
    <w:p w14:paraId="740A6F6B" w14:textId="77777777" w:rsidR="00885C5E" w:rsidRDefault="00885C5E" w:rsidP="00885C5E">
      <w:pPr>
        <w:pStyle w:val="Document1"/>
        <w:keepNext w:val="0"/>
        <w:keepLines w:val="0"/>
        <w:tabs>
          <w:tab w:val="left" w:pos="0"/>
        </w:tabs>
        <w:spacing w:line="240" w:lineRule="auto"/>
        <w:rPr>
          <w:rFonts w:ascii="Times New Roman" w:hAnsi="Times New Roman"/>
        </w:rPr>
      </w:pPr>
    </w:p>
    <w:p w14:paraId="4F615734" w14:textId="77777777" w:rsidR="00885C5E" w:rsidRDefault="00885C5E" w:rsidP="00885C5E">
      <w:pPr>
        <w:widowControl/>
        <w:autoSpaceDE/>
        <w:autoSpaceDN/>
        <w:adjustRightInd/>
        <w:ind w:firstLine="720"/>
        <w:rPr>
          <w:rFonts w:ascii="Times New Roman" w:eastAsia="Calibri" w:hAnsi="Times New Roman"/>
        </w:rPr>
      </w:pPr>
      <w:r w:rsidRPr="000D068C">
        <w:rPr>
          <w:rFonts w:ascii="Times New Roman" w:eastAsia="Calibri" w:hAnsi="Times New Roman"/>
        </w:rPr>
        <w:t>Rule 15b9-1</w:t>
      </w:r>
      <w:r>
        <w:rPr>
          <w:rFonts w:ascii="Times New Roman" w:eastAsia="Calibri" w:hAnsi="Times New Roman"/>
        </w:rPr>
        <w:t xml:space="preserve"> (“Rule”) </w:t>
      </w:r>
      <w:r w:rsidRPr="000D068C">
        <w:rPr>
          <w:rFonts w:ascii="Times New Roman" w:eastAsia="Calibri" w:hAnsi="Times New Roman"/>
        </w:rPr>
        <w:t xml:space="preserve">provides an exemption for certain broker-dealers from the </w:t>
      </w:r>
      <w:r>
        <w:rPr>
          <w:rFonts w:ascii="Times New Roman" w:eastAsia="Calibri" w:hAnsi="Times New Roman"/>
        </w:rPr>
        <w:t xml:space="preserve">Securities </w:t>
      </w:r>
      <w:r w:rsidRPr="000D068C">
        <w:rPr>
          <w:rFonts w:ascii="Times New Roman" w:eastAsia="Calibri" w:hAnsi="Times New Roman"/>
        </w:rPr>
        <w:t>Exchange Act</w:t>
      </w:r>
      <w:r>
        <w:rPr>
          <w:rFonts w:ascii="Times New Roman" w:eastAsia="Calibri" w:hAnsi="Times New Roman"/>
        </w:rPr>
        <w:t xml:space="preserve"> of 1934 (“Exchange Act”)</w:t>
      </w:r>
      <w:r w:rsidRPr="000D068C">
        <w:rPr>
          <w:rFonts w:ascii="Times New Roman" w:eastAsia="Calibri" w:hAnsi="Times New Roman"/>
        </w:rPr>
        <w:t xml:space="preserve"> requirement to become a member of a</w:t>
      </w:r>
      <w:r>
        <w:rPr>
          <w:rFonts w:ascii="Times New Roman" w:eastAsia="Calibri" w:hAnsi="Times New Roman"/>
        </w:rPr>
        <w:t xml:space="preserve"> </w:t>
      </w:r>
      <w:r w:rsidRPr="000D068C">
        <w:rPr>
          <w:rFonts w:ascii="Times New Roman" w:eastAsia="Calibri" w:hAnsi="Times New Roman"/>
        </w:rPr>
        <w:t>n</w:t>
      </w:r>
      <w:r>
        <w:rPr>
          <w:rFonts w:ascii="Times New Roman" w:eastAsia="Calibri" w:hAnsi="Times New Roman"/>
        </w:rPr>
        <w:t>ational securities association</w:t>
      </w:r>
      <w:r w:rsidRPr="000D068C">
        <w:rPr>
          <w:rFonts w:ascii="Times New Roman" w:eastAsia="Calibri" w:hAnsi="Times New Roman"/>
        </w:rPr>
        <w:t xml:space="preserve"> </w:t>
      </w:r>
      <w:r>
        <w:rPr>
          <w:rFonts w:ascii="Times New Roman" w:eastAsia="Calibri" w:hAnsi="Times New Roman"/>
        </w:rPr>
        <w:t>(“</w:t>
      </w:r>
      <w:r w:rsidRPr="000D068C">
        <w:rPr>
          <w:rFonts w:ascii="Times New Roman" w:eastAsia="Calibri" w:hAnsi="Times New Roman"/>
        </w:rPr>
        <w:t>Association</w:t>
      </w:r>
      <w:r>
        <w:rPr>
          <w:rFonts w:ascii="Times New Roman" w:eastAsia="Calibri" w:hAnsi="Times New Roman"/>
        </w:rPr>
        <w:t>”)</w:t>
      </w:r>
      <w:r w:rsidRPr="000D068C">
        <w:rPr>
          <w:rFonts w:ascii="Times New Roman" w:eastAsia="Calibri" w:hAnsi="Times New Roman"/>
        </w:rPr>
        <w:t xml:space="preserve">.  However, the equities markets have undergone a substantial transformation since the </w:t>
      </w:r>
      <w:r>
        <w:rPr>
          <w:rFonts w:ascii="Times New Roman" w:eastAsia="Calibri" w:hAnsi="Times New Roman"/>
        </w:rPr>
        <w:t xml:space="preserve">U.S. Securities and </w:t>
      </w:r>
      <w:r w:rsidRPr="000D068C">
        <w:rPr>
          <w:rFonts w:ascii="Times New Roman" w:eastAsia="Calibri" w:hAnsi="Times New Roman"/>
        </w:rPr>
        <w:t>Commission</w:t>
      </w:r>
      <w:r>
        <w:rPr>
          <w:rFonts w:ascii="Times New Roman" w:eastAsia="Calibri" w:hAnsi="Times New Roman"/>
        </w:rPr>
        <w:t xml:space="preserve"> (“Commission”)</w:t>
      </w:r>
      <w:r w:rsidRPr="000D068C">
        <w:rPr>
          <w:rFonts w:ascii="Times New Roman" w:eastAsia="Calibri" w:hAnsi="Times New Roman"/>
        </w:rPr>
        <w:t xml:space="preserve"> previously considered the Rule.  Over time, active, cross-market proprietary trading firms began relying on the Rule 15b9-1 exemption in ways that were not envisioned when the Rule was adopted or amended.  The Commission</w:t>
      </w:r>
      <w:r>
        <w:rPr>
          <w:rFonts w:ascii="Times New Roman" w:eastAsia="Calibri" w:hAnsi="Times New Roman"/>
        </w:rPr>
        <w:t xml:space="preserve">, on March 25, 2015, voted to </w:t>
      </w:r>
      <w:r w:rsidRPr="000D068C">
        <w:rPr>
          <w:rFonts w:ascii="Times New Roman" w:eastAsia="Calibri" w:hAnsi="Times New Roman"/>
        </w:rPr>
        <w:t>propos</w:t>
      </w:r>
      <w:r>
        <w:rPr>
          <w:rFonts w:ascii="Times New Roman" w:eastAsia="Calibri" w:hAnsi="Times New Roman"/>
        </w:rPr>
        <w:t>e certain amendments</w:t>
      </w:r>
      <w:r w:rsidRPr="009F7817">
        <w:rPr>
          <w:rStyle w:val="FootnoteReference"/>
          <w:rFonts w:ascii="Times New Roman" w:eastAsia="Calibri" w:hAnsi="Times New Roman"/>
        </w:rPr>
        <w:footnoteReference w:id="1"/>
      </w:r>
      <w:r>
        <w:rPr>
          <w:rFonts w:ascii="Times New Roman" w:eastAsia="Calibri" w:hAnsi="Times New Roman"/>
        </w:rPr>
        <w:t xml:space="preserve"> to </w:t>
      </w:r>
      <w:r w:rsidRPr="000D068C">
        <w:rPr>
          <w:rFonts w:ascii="Times New Roman" w:eastAsia="Calibri" w:hAnsi="Times New Roman"/>
        </w:rPr>
        <w:t xml:space="preserve">Rule 15b9-1 to better align the scope of its exemption, in light of today’s market activity, </w:t>
      </w:r>
      <w:r w:rsidRPr="000D068C" w:rsidDel="00BB7BCE">
        <w:rPr>
          <w:rFonts w:ascii="Times New Roman" w:eastAsia="Calibri" w:hAnsi="Times New Roman"/>
        </w:rPr>
        <w:t xml:space="preserve">with </w:t>
      </w:r>
      <w:r w:rsidRPr="000D068C">
        <w:rPr>
          <w:rFonts w:ascii="Times New Roman" w:eastAsia="Calibri" w:hAnsi="Times New Roman"/>
        </w:rPr>
        <w:t xml:space="preserve">Section 15(b)(8) of the Exchange Act and the </w:t>
      </w:r>
      <w:r w:rsidRPr="000D068C" w:rsidDel="00BB7BCE">
        <w:rPr>
          <w:rFonts w:ascii="Times New Roman" w:eastAsia="Calibri" w:hAnsi="Times New Roman"/>
        </w:rPr>
        <w:t>Commission’s purpose</w:t>
      </w:r>
      <w:r w:rsidRPr="000D068C">
        <w:rPr>
          <w:rFonts w:ascii="Times New Roman" w:eastAsia="Calibri" w:hAnsi="Times New Roman"/>
        </w:rPr>
        <w:t>s underlying</w:t>
      </w:r>
      <w:r w:rsidRPr="000D068C" w:rsidDel="00BB7BCE">
        <w:rPr>
          <w:rFonts w:ascii="Times New Roman" w:eastAsia="Calibri" w:hAnsi="Times New Roman"/>
        </w:rPr>
        <w:t xml:space="preserve"> </w:t>
      </w:r>
      <w:r w:rsidRPr="000D068C">
        <w:rPr>
          <w:rFonts w:ascii="Times New Roman" w:eastAsia="Calibri" w:hAnsi="Times New Roman"/>
        </w:rPr>
        <w:t>the</w:t>
      </w:r>
      <w:r w:rsidRPr="000D068C" w:rsidDel="00BB7BCE">
        <w:rPr>
          <w:rFonts w:ascii="Times New Roman" w:eastAsia="Calibri" w:hAnsi="Times New Roman"/>
        </w:rPr>
        <w:t xml:space="preserve"> adopti</w:t>
      </w:r>
      <w:r w:rsidRPr="000D068C">
        <w:rPr>
          <w:rFonts w:ascii="Times New Roman" w:eastAsia="Calibri" w:hAnsi="Times New Roman"/>
        </w:rPr>
        <w:t>on of</w:t>
      </w:r>
      <w:r w:rsidRPr="000D068C" w:rsidDel="00BB7BCE">
        <w:rPr>
          <w:rFonts w:ascii="Times New Roman" w:eastAsia="Calibri" w:hAnsi="Times New Roman"/>
        </w:rPr>
        <w:t xml:space="preserve"> Rule 15b9-1</w:t>
      </w:r>
      <w:r>
        <w:rPr>
          <w:rFonts w:ascii="Times New Roman" w:eastAsia="Calibri" w:hAnsi="Times New Roman"/>
        </w:rPr>
        <w:t>.</w:t>
      </w:r>
    </w:p>
    <w:p w14:paraId="645B3EFA" w14:textId="77777777" w:rsidR="00885C5E" w:rsidRPr="000D068C" w:rsidRDefault="00885C5E" w:rsidP="00885C5E">
      <w:pPr>
        <w:widowControl/>
        <w:autoSpaceDE/>
        <w:autoSpaceDN/>
        <w:adjustRightInd/>
        <w:ind w:firstLine="720"/>
        <w:rPr>
          <w:rFonts w:ascii="Times New Roman" w:eastAsia="Calibri" w:hAnsi="Times New Roman"/>
        </w:rPr>
      </w:pPr>
    </w:p>
    <w:p w14:paraId="1B8BFBE7" w14:textId="77777777" w:rsidR="00885C5E" w:rsidRDefault="00885C5E" w:rsidP="00885C5E">
      <w:pPr>
        <w:widowControl/>
        <w:autoSpaceDE/>
        <w:autoSpaceDN/>
        <w:adjustRightInd/>
        <w:ind w:firstLine="720"/>
        <w:rPr>
          <w:rFonts w:ascii="Times New Roman" w:eastAsiaTheme="minorHAnsi" w:hAnsi="Times New Roman"/>
        </w:rPr>
      </w:pPr>
      <w:r w:rsidRPr="000D068C">
        <w:rPr>
          <w:rFonts w:ascii="Times New Roman" w:eastAsiaTheme="minorHAnsi" w:hAnsi="Times New Roman"/>
        </w:rPr>
        <w:t>Section 15(b)(9) of the Exchange Act,</w:t>
      </w:r>
      <w:bookmarkStart w:id="1" w:name="_Ref410907755"/>
      <w:r w:rsidRPr="000D068C">
        <w:rPr>
          <w:rFonts w:ascii="Times New Roman" w:eastAsiaTheme="minorHAnsi" w:hAnsi="Times New Roman"/>
          <w:vertAlign w:val="superscript"/>
        </w:rPr>
        <w:footnoteReference w:id="2"/>
      </w:r>
      <w:bookmarkEnd w:id="1"/>
      <w:r w:rsidRPr="000D068C">
        <w:rPr>
          <w:rFonts w:ascii="Times New Roman" w:eastAsiaTheme="minorHAnsi" w:hAnsi="Times New Roman"/>
        </w:rPr>
        <w:t xml:space="preserve"> provides the Commission with authority to exempt any broker-dealer from the requirements of Section 15(b)(8), if that exemption is consistent with the public interest and the protection of investors.  Pursuant to that authority, the Commission adopted Rule 15b9-1,</w:t>
      </w:r>
      <w:r w:rsidRPr="000D068C">
        <w:rPr>
          <w:rFonts w:ascii="Times New Roman" w:eastAsiaTheme="minorHAnsi" w:hAnsi="Times New Roman"/>
          <w:vertAlign w:val="superscript"/>
        </w:rPr>
        <w:footnoteReference w:id="3"/>
      </w:r>
      <w:r w:rsidRPr="000D068C">
        <w:rPr>
          <w:rFonts w:ascii="Times New Roman" w:eastAsiaTheme="minorHAnsi" w:hAnsi="Times New Roman"/>
        </w:rPr>
        <w:t xml:space="preserve"> which was last substantively updated in 1983.</w:t>
      </w:r>
      <w:bookmarkStart w:id="2" w:name="_Ref410907857"/>
      <w:r w:rsidRPr="000D068C">
        <w:rPr>
          <w:rFonts w:ascii="Times New Roman" w:eastAsiaTheme="minorHAnsi" w:hAnsi="Times New Roman"/>
          <w:vertAlign w:val="superscript"/>
        </w:rPr>
        <w:footnoteReference w:id="4"/>
      </w:r>
      <w:bookmarkEnd w:id="2"/>
      <w:r w:rsidRPr="000D068C">
        <w:rPr>
          <w:rFonts w:ascii="Times New Roman" w:eastAsiaTheme="minorHAnsi" w:hAnsi="Times New Roman"/>
        </w:rPr>
        <w:t xml:space="preserve">  </w:t>
      </w:r>
      <w:r>
        <w:rPr>
          <w:rFonts w:ascii="Times New Roman" w:eastAsiaTheme="minorHAnsi" w:hAnsi="Times New Roman"/>
        </w:rPr>
        <w:t>T</w:t>
      </w:r>
      <w:r w:rsidRPr="000D068C">
        <w:rPr>
          <w:rFonts w:ascii="Times New Roman" w:eastAsiaTheme="minorHAnsi" w:hAnsi="Times New Roman"/>
        </w:rPr>
        <w:t>he equities markets have undergone a substantial transformation since the Commission previously considered Rule 15b9-1, evolving from markets with both manual and automated features and trading volumes concentrated on the primary listing exchanges, to a highly electronic, decentralized market with substantial competition among a large number and great variety of trading venues.</w:t>
      </w:r>
      <w:bookmarkStart w:id="3" w:name="_Ref410385506"/>
      <w:r w:rsidRPr="000D068C">
        <w:rPr>
          <w:rFonts w:ascii="Times New Roman" w:eastAsiaTheme="minorHAnsi" w:hAnsi="Times New Roman"/>
          <w:vertAlign w:val="superscript"/>
        </w:rPr>
        <w:footnoteReference w:id="5"/>
      </w:r>
      <w:bookmarkEnd w:id="3"/>
      <w:r w:rsidRPr="000D068C">
        <w:rPr>
          <w:rFonts w:ascii="Times New Roman" w:eastAsiaTheme="minorHAnsi" w:hAnsi="Times New Roman"/>
        </w:rPr>
        <w:t xml:space="preserve">  New types of proprietary trading firms have emerged, including those that </w:t>
      </w:r>
      <w:r w:rsidRPr="000D068C">
        <w:rPr>
          <w:rFonts w:ascii="Times New Roman" w:eastAsiaTheme="minorHAnsi" w:hAnsi="Times New Roman"/>
        </w:rPr>
        <w:lastRenderedPageBreak/>
        <w:t>engage in so-called high-frequency trading strategies.  These</w:t>
      </w:r>
      <w:r w:rsidRPr="000D068C" w:rsidDel="00166961">
        <w:rPr>
          <w:rFonts w:ascii="Times New Roman" w:eastAsiaTheme="minorHAnsi" w:hAnsi="Times New Roman"/>
        </w:rPr>
        <w:t xml:space="preserve"> </w:t>
      </w:r>
      <w:r w:rsidRPr="000D068C">
        <w:rPr>
          <w:rFonts w:ascii="Times New Roman" w:eastAsiaTheme="minorHAnsi" w:hAnsi="Times New Roman"/>
        </w:rPr>
        <w:t>firms tend to effect transactions across the full range of exchange and off-exchange markets, including alternative trading systems (“ATSs”).  They also tend to use complex electronic trading strategies and sophisticated technology to generate a large volume of orders and transactions throughout the national market system.</w:t>
      </w:r>
    </w:p>
    <w:p w14:paraId="644B82CA" w14:textId="77777777" w:rsidR="00885C5E" w:rsidRPr="000D068C" w:rsidRDefault="00885C5E" w:rsidP="00885C5E">
      <w:pPr>
        <w:widowControl/>
        <w:autoSpaceDE/>
        <w:autoSpaceDN/>
        <w:adjustRightInd/>
        <w:ind w:firstLine="720"/>
        <w:rPr>
          <w:rFonts w:ascii="Times New Roman" w:eastAsiaTheme="minorHAnsi" w:hAnsi="Times New Roman"/>
        </w:rPr>
      </w:pPr>
    </w:p>
    <w:p w14:paraId="3FE5703A" w14:textId="77777777" w:rsidR="00885C5E" w:rsidRDefault="00885C5E" w:rsidP="00885C5E">
      <w:pPr>
        <w:widowControl/>
        <w:autoSpaceDE/>
        <w:autoSpaceDN/>
        <w:adjustRightInd/>
        <w:ind w:firstLine="720"/>
        <w:rPr>
          <w:rFonts w:ascii="Times New Roman" w:eastAsiaTheme="minorHAnsi" w:hAnsi="Times New Roman"/>
        </w:rPr>
      </w:pPr>
      <w:r>
        <w:rPr>
          <w:rFonts w:ascii="Times New Roman" w:eastAsiaTheme="minorHAnsi" w:hAnsi="Times New Roman"/>
        </w:rPr>
        <w:t>T</w:t>
      </w:r>
      <w:r w:rsidRPr="000D068C">
        <w:rPr>
          <w:rFonts w:ascii="Times New Roman" w:eastAsiaTheme="minorHAnsi" w:hAnsi="Times New Roman"/>
        </w:rPr>
        <w:t xml:space="preserve">he Commission </w:t>
      </w:r>
      <w:r>
        <w:rPr>
          <w:rFonts w:ascii="Times New Roman" w:eastAsiaTheme="minorHAnsi" w:hAnsi="Times New Roman"/>
        </w:rPr>
        <w:t>proposed</w:t>
      </w:r>
      <w:r w:rsidRPr="000D068C">
        <w:rPr>
          <w:rFonts w:ascii="Times New Roman" w:eastAsiaTheme="minorHAnsi" w:hAnsi="Times New Roman"/>
        </w:rPr>
        <w:t xml:space="preserve"> to amend Rule 15b9-1 to better align the scope of its exemption, in light of today’s market activity, </w:t>
      </w:r>
      <w:r w:rsidRPr="000D068C" w:rsidDel="00BB7BCE">
        <w:rPr>
          <w:rFonts w:ascii="Times New Roman" w:eastAsiaTheme="minorHAnsi" w:hAnsi="Times New Roman"/>
        </w:rPr>
        <w:t xml:space="preserve">with </w:t>
      </w:r>
      <w:r w:rsidRPr="000D068C">
        <w:rPr>
          <w:rFonts w:ascii="Times New Roman" w:eastAsiaTheme="minorHAnsi" w:hAnsi="Times New Roman"/>
        </w:rPr>
        <w:t xml:space="preserve">Section 15(b)(8) of the Exchange Act and the </w:t>
      </w:r>
      <w:r w:rsidRPr="000D068C" w:rsidDel="00BB7BCE">
        <w:rPr>
          <w:rFonts w:ascii="Times New Roman" w:eastAsiaTheme="minorHAnsi" w:hAnsi="Times New Roman"/>
        </w:rPr>
        <w:t xml:space="preserve">Commission’s original purpose in adopting Rule 15b9-1, </w:t>
      </w:r>
      <w:r w:rsidRPr="000D068C">
        <w:rPr>
          <w:rFonts w:ascii="Times New Roman" w:eastAsiaTheme="minorHAnsi" w:hAnsi="Times New Roman"/>
        </w:rPr>
        <w:t>which was to accommodate broker-dealer activities ancillary to a floor-based business while preserving the traditional role of the exchange as the entity best suited to regulate member conduct on the exchange.</w:t>
      </w:r>
      <w:bookmarkStart w:id="4" w:name="_Ref411244351"/>
      <w:bookmarkStart w:id="5" w:name="_Ref411265816"/>
      <w:r w:rsidRPr="000D068C">
        <w:rPr>
          <w:rFonts w:ascii="Times New Roman" w:eastAsiaTheme="minorHAnsi" w:hAnsi="Times New Roman"/>
          <w:vertAlign w:val="superscript"/>
        </w:rPr>
        <w:footnoteReference w:id="6"/>
      </w:r>
      <w:bookmarkEnd w:id="4"/>
      <w:bookmarkEnd w:id="5"/>
      <w:r w:rsidRPr="000D068C">
        <w:rPr>
          <w:rFonts w:ascii="Times New Roman" w:eastAsiaTheme="minorHAnsi" w:hAnsi="Times New Roman"/>
        </w:rPr>
        <w:t xml:space="preserve">  A broker-dealer that conducts off-exchange transactions outside the limited scope of Rule 15b9-1, as proposed to be amended, would be required to become a member of an Association.  Consequently, such a broker-dealer would be subject, with respect to its off-exchange transactions, to the oversight and rules of an Association, </w:t>
      </w:r>
      <w:r w:rsidRPr="000D068C" w:rsidDel="007473AF">
        <w:rPr>
          <w:rFonts w:ascii="Times New Roman" w:eastAsiaTheme="minorHAnsi" w:hAnsi="Times New Roman"/>
        </w:rPr>
        <w:t xml:space="preserve">the </w:t>
      </w:r>
      <w:r w:rsidRPr="000D068C">
        <w:rPr>
          <w:rFonts w:ascii="Times New Roman" w:eastAsiaTheme="minorHAnsi" w:hAnsi="Times New Roman"/>
        </w:rPr>
        <w:t xml:space="preserve">category of </w:t>
      </w:r>
      <w:r>
        <w:rPr>
          <w:rFonts w:ascii="Times New Roman" w:eastAsiaTheme="minorHAnsi" w:hAnsi="Times New Roman"/>
        </w:rPr>
        <w:t>self-regulatory organization (“</w:t>
      </w:r>
      <w:r w:rsidRPr="000D068C" w:rsidDel="007473AF">
        <w:rPr>
          <w:rFonts w:ascii="Times New Roman" w:eastAsiaTheme="minorHAnsi" w:hAnsi="Times New Roman"/>
        </w:rPr>
        <w:t>SRO</w:t>
      </w:r>
      <w:r>
        <w:rPr>
          <w:rFonts w:ascii="Times New Roman" w:eastAsiaTheme="minorHAnsi" w:hAnsi="Times New Roman"/>
        </w:rPr>
        <w:t>”)</w:t>
      </w:r>
      <w:r w:rsidRPr="000D068C" w:rsidDel="007473AF">
        <w:rPr>
          <w:rFonts w:ascii="Times New Roman" w:eastAsiaTheme="minorHAnsi" w:hAnsi="Times New Roman"/>
        </w:rPr>
        <w:t xml:space="preserve"> primarily responsible for regulating trading in the off-exchange market in accordance with Section 15(b)(8)</w:t>
      </w:r>
      <w:r w:rsidRPr="000D068C">
        <w:rPr>
          <w:rFonts w:ascii="Times New Roman" w:eastAsiaTheme="minorHAnsi" w:hAnsi="Times New Roman"/>
        </w:rPr>
        <w:t>.</w:t>
      </w:r>
      <w:bookmarkStart w:id="6" w:name="_Ref413950269"/>
      <w:r w:rsidRPr="000D068C">
        <w:rPr>
          <w:rFonts w:ascii="Times New Roman" w:eastAsiaTheme="minorHAnsi" w:hAnsi="Times New Roman"/>
          <w:vertAlign w:val="superscript"/>
        </w:rPr>
        <w:footnoteReference w:id="7"/>
      </w:r>
      <w:bookmarkEnd w:id="6"/>
      <w:r w:rsidRPr="000D068C">
        <w:rPr>
          <w:rFonts w:ascii="Times New Roman" w:eastAsiaTheme="minorHAnsi" w:hAnsi="Times New Roman"/>
        </w:rPr>
        <w:t xml:space="preserve">  Further, as a result of the proposal, a broker-dealer that does not trade off-exchange but that trades indirectly on multiple exchanges would be required in accordance with Section 15(b)(8), to become a member of an Association, or alternatively, a member of each exchange where it effects transactions other than transactions to hedge the risks of </w:t>
      </w:r>
      <w:r>
        <w:rPr>
          <w:rFonts w:ascii="Times New Roman" w:eastAsiaTheme="minorHAnsi" w:hAnsi="Times New Roman"/>
        </w:rPr>
        <w:t>its floor-based activities.</w:t>
      </w:r>
    </w:p>
    <w:p w14:paraId="600F29AD" w14:textId="77777777" w:rsidR="00885C5E" w:rsidRDefault="00885C5E" w:rsidP="00885C5E">
      <w:pPr>
        <w:widowControl/>
        <w:autoSpaceDE/>
        <w:autoSpaceDN/>
        <w:adjustRightInd/>
        <w:ind w:firstLine="720"/>
        <w:rPr>
          <w:rFonts w:ascii="Times New Roman" w:eastAsiaTheme="minorHAnsi" w:hAnsi="Times New Roman"/>
        </w:rPr>
      </w:pPr>
    </w:p>
    <w:p w14:paraId="40BEAC10" w14:textId="77777777" w:rsidR="00885C5E" w:rsidRPr="00BD6E36" w:rsidRDefault="00885C5E" w:rsidP="00885C5E">
      <w:pPr>
        <w:widowControl/>
        <w:autoSpaceDE/>
        <w:autoSpaceDN/>
        <w:adjustRightInd/>
        <w:ind w:firstLine="720"/>
        <w:rPr>
          <w:rFonts w:ascii="Times New Roman" w:eastAsiaTheme="minorHAnsi" w:hAnsi="Times New Roman"/>
        </w:rPr>
      </w:pPr>
      <w:r>
        <w:rPr>
          <w:rFonts w:ascii="Times New Roman" w:eastAsiaTheme="minorHAnsi" w:hAnsi="Times New Roman"/>
        </w:rPr>
        <w:t xml:space="preserve">As part of the proposed amendments to Rule 15b9-1, the Commission proposed to </w:t>
      </w:r>
      <w:r w:rsidRPr="00BD6E36">
        <w:rPr>
          <w:rFonts w:ascii="Times New Roman" w:eastAsiaTheme="minorHAnsi" w:hAnsi="Times New Roman"/>
        </w:rPr>
        <w:t xml:space="preserve">eliminate the </w:t>
      </w:r>
      <w:r w:rsidRPr="00BD6E36">
        <w:rPr>
          <w:rFonts w:ascii="Times New Roman" w:eastAsiaTheme="minorHAnsi" w:hAnsi="Times New Roman"/>
          <w:u w:val="single"/>
        </w:rPr>
        <w:t>de</w:t>
      </w:r>
      <w:r w:rsidRPr="00BD6E36">
        <w:rPr>
          <w:rFonts w:ascii="Times New Roman" w:eastAsiaTheme="minorHAnsi" w:hAnsi="Times New Roman"/>
        </w:rPr>
        <w:t xml:space="preserve"> </w:t>
      </w:r>
      <w:r w:rsidRPr="00BD6E36">
        <w:rPr>
          <w:rFonts w:ascii="Times New Roman" w:eastAsiaTheme="minorHAnsi" w:hAnsi="Times New Roman"/>
          <w:u w:val="single"/>
        </w:rPr>
        <w:t>minimis</w:t>
      </w:r>
      <w:r w:rsidRPr="00BD6E36">
        <w:rPr>
          <w:rFonts w:ascii="Times New Roman" w:eastAsiaTheme="minorHAnsi" w:hAnsi="Times New Roman"/>
        </w:rPr>
        <w:t xml:space="preserve"> allowance in its entirety</w:t>
      </w:r>
      <w:r>
        <w:rPr>
          <w:rFonts w:ascii="Times New Roman" w:eastAsiaTheme="minorHAnsi" w:hAnsi="Times New Roman"/>
        </w:rPr>
        <w:t xml:space="preserve"> and </w:t>
      </w:r>
      <w:r w:rsidRPr="00BD6E36">
        <w:rPr>
          <w:rFonts w:ascii="Times New Roman" w:eastAsiaTheme="minorHAnsi" w:hAnsi="Times New Roman"/>
        </w:rPr>
        <w:t>replace the allowance with an exemption from Association membership for exchange member broker-dealers that operate on the floor of the exchange, to the extent they effect transactions off-exchange solely for the purpose of hedging the risks of their floor-based activities.  The Commission propose</w:t>
      </w:r>
      <w:r>
        <w:rPr>
          <w:rFonts w:ascii="Times New Roman" w:eastAsiaTheme="minorHAnsi" w:hAnsi="Times New Roman"/>
        </w:rPr>
        <w:t>d that</w:t>
      </w:r>
      <w:r w:rsidRPr="00BD6E36">
        <w:rPr>
          <w:rFonts w:ascii="Times New Roman" w:eastAsiaTheme="minorHAnsi" w:hAnsi="Times New Roman"/>
        </w:rPr>
        <w:t xml:space="preserve"> the hedging exemption be limited to firms that trade on the floor of a national securities exchange, as the </w:t>
      </w:r>
      <w:r w:rsidRPr="00BD6E36">
        <w:rPr>
          <w:rFonts w:ascii="Times New Roman" w:eastAsiaTheme="minorHAnsi" w:hAnsi="Times New Roman"/>
        </w:rPr>
        <w:lastRenderedPageBreak/>
        <w:t>Commission understands that currently, broker-dealers that trade exclusively on a single exchange do so on a physical exchange floor.</w:t>
      </w:r>
      <w:r>
        <w:rPr>
          <w:rFonts w:ascii="Times New Roman" w:eastAsiaTheme="minorHAnsi" w:hAnsi="Times New Roman"/>
        </w:rPr>
        <w:t xml:space="preserve"> </w:t>
      </w:r>
      <w:r w:rsidRPr="00BD6E36">
        <w:rPr>
          <w:rFonts w:ascii="Times New Roman" w:eastAsiaTheme="minorHAnsi" w:hAnsi="Times New Roman"/>
        </w:rPr>
        <w:t xml:space="preserve"> A dealer seeking to rely on this </w:t>
      </w:r>
      <w:r w:rsidRPr="00BD6E36" w:rsidDel="006467DD">
        <w:rPr>
          <w:rFonts w:ascii="Times New Roman" w:eastAsiaTheme="minorHAnsi" w:hAnsi="Times New Roman"/>
        </w:rPr>
        <w:t xml:space="preserve">exception </w:t>
      </w:r>
      <w:r>
        <w:rPr>
          <w:rFonts w:ascii="Times New Roman" w:eastAsiaTheme="minorHAnsi" w:hAnsi="Times New Roman"/>
        </w:rPr>
        <w:t xml:space="preserve">would have to </w:t>
      </w:r>
      <w:r w:rsidRPr="00BD6E36">
        <w:rPr>
          <w:rFonts w:ascii="Times New Roman" w:eastAsiaTheme="minorHAnsi" w:hAnsi="Times New Roman"/>
        </w:rPr>
        <w:t xml:space="preserve">establish, maintain and enforce written policies and procedures reasonably designed to ensure and demonstrate that such hedging transactions reduce or otherwise mitigate the risks of the financial exposure the dealer incurs as a result of its floor-based activity.  </w:t>
      </w:r>
      <w:r>
        <w:rPr>
          <w:rFonts w:ascii="Times New Roman" w:eastAsiaTheme="minorHAnsi" w:hAnsi="Times New Roman"/>
        </w:rPr>
        <w:t>The</w:t>
      </w:r>
      <w:r w:rsidRPr="00BD6E36">
        <w:rPr>
          <w:rFonts w:ascii="Times New Roman" w:eastAsiaTheme="minorHAnsi" w:hAnsi="Times New Roman"/>
        </w:rPr>
        <w:t xml:space="preserve"> dealer </w:t>
      </w:r>
      <w:r>
        <w:rPr>
          <w:rFonts w:ascii="Times New Roman" w:eastAsiaTheme="minorHAnsi" w:hAnsi="Times New Roman"/>
        </w:rPr>
        <w:t>would also be required to</w:t>
      </w:r>
      <w:r w:rsidRPr="00BD6E36">
        <w:rPr>
          <w:rFonts w:ascii="Times New Roman" w:eastAsiaTheme="minorHAnsi" w:hAnsi="Times New Roman"/>
        </w:rPr>
        <w:t xml:space="preserve"> preserve a copy of its policies and procedures in a manner consistent with 17 CFR 240.17a-4 until three years after the date the policies and procedures are replaced with updated policies and procedures.”</w:t>
      </w:r>
    </w:p>
    <w:p w14:paraId="6DDBAFF6" w14:textId="77777777" w:rsidR="00885C5E" w:rsidRDefault="00885C5E" w:rsidP="00885C5E">
      <w:pPr>
        <w:pStyle w:val="Document1"/>
        <w:keepNext w:val="0"/>
        <w:keepLines w:val="0"/>
        <w:tabs>
          <w:tab w:val="left" w:pos="0"/>
        </w:tabs>
        <w:spacing w:line="240" w:lineRule="auto"/>
        <w:rPr>
          <w:rFonts w:ascii="Times New Roman" w:hAnsi="Times New Roman"/>
        </w:rPr>
      </w:pPr>
    </w:p>
    <w:p w14:paraId="1FFA5B84" w14:textId="77777777" w:rsidR="00885C5E" w:rsidRPr="00FC2AEC" w:rsidRDefault="00885C5E" w:rsidP="00885C5E">
      <w:pPr>
        <w:tabs>
          <w:tab w:val="left" w:pos="-720"/>
          <w:tab w:val="left" w:pos="0"/>
        </w:tabs>
        <w:suppressAutoHyphens/>
        <w:ind w:left="720"/>
        <w:rPr>
          <w:rFonts w:ascii="Times New Roman" w:hAnsi="Times New Roman"/>
          <w:b/>
          <w:bCs/>
        </w:rPr>
      </w:pPr>
      <w:r w:rsidRPr="00FC2AEC">
        <w:rPr>
          <w:rFonts w:ascii="Times New Roman" w:hAnsi="Times New Roman"/>
          <w:b/>
          <w:bCs/>
        </w:rPr>
        <w:t>2.</w:t>
      </w:r>
      <w:r w:rsidRPr="00FC2AEC">
        <w:rPr>
          <w:rFonts w:ascii="Times New Roman" w:hAnsi="Times New Roman"/>
          <w:b/>
          <w:bCs/>
        </w:rPr>
        <w:tab/>
        <w:t>Purpose of the Information Collection</w:t>
      </w:r>
    </w:p>
    <w:p w14:paraId="6295A70D" w14:textId="77777777" w:rsidR="00885C5E" w:rsidRDefault="00885C5E" w:rsidP="00885C5E">
      <w:pPr>
        <w:pStyle w:val="Document1"/>
        <w:keepNext w:val="0"/>
        <w:keepLines w:val="0"/>
        <w:tabs>
          <w:tab w:val="left" w:pos="0"/>
        </w:tabs>
        <w:spacing w:line="240" w:lineRule="auto"/>
        <w:rPr>
          <w:rFonts w:ascii="Times New Roman" w:hAnsi="Times New Roman"/>
        </w:rPr>
      </w:pPr>
    </w:p>
    <w:p w14:paraId="22367E3C" w14:textId="77777777" w:rsidR="00885C5E" w:rsidRDefault="00885C5E" w:rsidP="00885C5E">
      <w:pPr>
        <w:widowControl/>
        <w:autoSpaceDE/>
        <w:autoSpaceDN/>
        <w:adjustRightInd/>
        <w:ind w:firstLine="720"/>
        <w:rPr>
          <w:rFonts w:ascii="Times New Roman" w:eastAsiaTheme="minorHAnsi" w:hAnsi="Times New Roman"/>
        </w:rPr>
      </w:pPr>
      <w:r w:rsidRPr="00BD6E36">
        <w:rPr>
          <w:rFonts w:ascii="Times New Roman" w:eastAsiaTheme="minorHAnsi" w:hAnsi="Times New Roman"/>
        </w:rPr>
        <w:t>The Commission preliminarily believes that requiring written policies and procedures</w:t>
      </w:r>
      <w:r>
        <w:rPr>
          <w:rFonts w:ascii="Times New Roman" w:eastAsiaTheme="minorHAnsi" w:hAnsi="Times New Roman"/>
        </w:rPr>
        <w:t xml:space="preserve"> </w:t>
      </w:r>
      <w:r w:rsidRPr="00BD6E36">
        <w:rPr>
          <w:rFonts w:ascii="Times New Roman" w:eastAsiaTheme="minorHAnsi" w:hAnsi="Times New Roman"/>
        </w:rPr>
        <w:t xml:space="preserve">would facilitate SRO supervision of broker-dealers relying on the proposed hedging exemption, as it would provide an efficient and effective way for regulators to assess compliance with the proposed exemption.  The determination of whether an off-exchange transaction by a floor-based dealer reduces or otherwise mitigates the risk of the financial exposure incurred as a result of the dealer’s floor-based business may vary depending on the nature of the business of the floor-based dealer, its financial position, and the particular transactions effected.  Consequently, the Commission preliminarily believes that requiring floor-based dealers to develop written policies and procedures will provide sufficient flexibility to accommodate the varying business models of floor-based dealers and appropriate hedging activities.  </w:t>
      </w:r>
    </w:p>
    <w:p w14:paraId="1F95757A" w14:textId="77777777" w:rsidR="00885C5E" w:rsidRPr="00FC2AEC" w:rsidRDefault="00885C5E" w:rsidP="00885C5E">
      <w:pPr>
        <w:pStyle w:val="Document1"/>
        <w:keepNext w:val="0"/>
        <w:keepLines w:val="0"/>
        <w:spacing w:line="240" w:lineRule="auto"/>
        <w:rPr>
          <w:rFonts w:ascii="Times New Roman" w:hAnsi="Times New Roman"/>
        </w:rPr>
      </w:pPr>
    </w:p>
    <w:p w14:paraId="43C88D35" w14:textId="77777777" w:rsidR="00885C5E" w:rsidRPr="00FC2AEC" w:rsidRDefault="00885C5E" w:rsidP="00885C5E">
      <w:pPr>
        <w:pStyle w:val="BodyTextIndent"/>
        <w:ind w:firstLine="0"/>
        <w:rPr>
          <w:rFonts w:ascii="Times New Roman" w:hAnsi="Times New Roman"/>
        </w:rPr>
      </w:pPr>
      <w:r w:rsidRPr="00FC2AEC">
        <w:rPr>
          <w:rFonts w:ascii="Times New Roman" w:hAnsi="Times New Roman"/>
        </w:rPr>
        <w:t>3.</w:t>
      </w:r>
      <w:r w:rsidRPr="00FC2AEC">
        <w:rPr>
          <w:rFonts w:ascii="Times New Roman" w:hAnsi="Times New Roman"/>
        </w:rPr>
        <w:tab/>
        <w:t>Role of Improved Information Technology</w:t>
      </w:r>
    </w:p>
    <w:p w14:paraId="7FDDF375" w14:textId="77777777" w:rsidR="00885C5E" w:rsidRPr="00FC2AEC" w:rsidRDefault="00885C5E" w:rsidP="00885C5E">
      <w:pPr>
        <w:tabs>
          <w:tab w:val="left" w:pos="-720"/>
        </w:tabs>
        <w:suppressAutoHyphens/>
        <w:rPr>
          <w:rFonts w:ascii="Times New Roman" w:hAnsi="Times New Roman"/>
        </w:rPr>
      </w:pPr>
    </w:p>
    <w:p w14:paraId="00D1BB1B" w14:textId="77777777" w:rsidR="00885C5E" w:rsidRPr="00587CAC" w:rsidRDefault="00885C5E" w:rsidP="00885C5E">
      <w:pPr>
        <w:tabs>
          <w:tab w:val="left" w:pos="-720"/>
        </w:tabs>
        <w:suppressAutoHyphens/>
        <w:rPr>
          <w:rFonts w:ascii="Times New Roman" w:hAnsi="Times New Roman"/>
        </w:rPr>
      </w:pPr>
      <w:r w:rsidRPr="00FC2AEC">
        <w:rPr>
          <w:rFonts w:ascii="Times New Roman" w:hAnsi="Times New Roman"/>
        </w:rPr>
        <w:tab/>
      </w:r>
      <w:r w:rsidRPr="00587CAC">
        <w:rPr>
          <w:rFonts w:ascii="Times New Roman" w:hAnsi="Times New Roman"/>
        </w:rPr>
        <w:t>The policies and procedures required by the proposed amendments to Rule 15b9-1 do not directly u</w:t>
      </w:r>
      <w:r w:rsidRPr="00587CAC">
        <w:rPr>
          <w:rFonts w:ascii="Times New Roman" w:hAnsi="Times New Roman"/>
          <w:spacing w:val="-3"/>
        </w:rPr>
        <w:t xml:space="preserve">tilize information technology in the collection of information.  However, the Commission anticipates that dealers relying on the exemption will utilize information technology when enforcing the policies and procedures required by the rule. </w:t>
      </w:r>
    </w:p>
    <w:p w14:paraId="0903A7FE" w14:textId="77777777" w:rsidR="00885C5E" w:rsidRPr="00587CAC" w:rsidRDefault="00885C5E" w:rsidP="00885C5E">
      <w:pPr>
        <w:widowControl/>
        <w:autoSpaceDE/>
        <w:autoSpaceDN/>
        <w:adjustRightInd/>
        <w:ind w:firstLine="720"/>
        <w:rPr>
          <w:rFonts w:ascii="Times New Roman" w:hAnsi="Times New Roman"/>
          <w:b/>
          <w:bCs/>
        </w:rPr>
      </w:pPr>
    </w:p>
    <w:p w14:paraId="6C50830E" w14:textId="77777777" w:rsidR="00885C5E" w:rsidRPr="00FC2AEC" w:rsidRDefault="00885C5E" w:rsidP="00885C5E">
      <w:pPr>
        <w:widowControl/>
        <w:autoSpaceDE/>
        <w:autoSpaceDN/>
        <w:adjustRightInd/>
        <w:ind w:firstLine="720"/>
        <w:rPr>
          <w:rFonts w:ascii="Times New Roman" w:hAnsi="Times New Roman"/>
          <w:b/>
          <w:bCs/>
        </w:rPr>
      </w:pPr>
      <w:r w:rsidRPr="00587CAC">
        <w:rPr>
          <w:rFonts w:ascii="Times New Roman" w:hAnsi="Times New Roman"/>
          <w:b/>
          <w:bCs/>
        </w:rPr>
        <w:t>4.</w:t>
      </w:r>
      <w:r w:rsidRPr="00587CAC">
        <w:rPr>
          <w:rFonts w:ascii="Times New Roman" w:hAnsi="Times New Roman"/>
          <w:b/>
          <w:bCs/>
        </w:rPr>
        <w:tab/>
        <w:t>Efforts to Identify Duplication</w:t>
      </w:r>
    </w:p>
    <w:p w14:paraId="67C095E0" w14:textId="77777777" w:rsidR="00885C5E" w:rsidRPr="00FC2AEC" w:rsidRDefault="00885C5E" w:rsidP="00885C5E">
      <w:pPr>
        <w:tabs>
          <w:tab w:val="left" w:pos="-720"/>
        </w:tabs>
        <w:suppressAutoHyphens/>
        <w:rPr>
          <w:rFonts w:ascii="Times New Roman" w:hAnsi="Times New Roman"/>
        </w:rPr>
      </w:pPr>
    </w:p>
    <w:p w14:paraId="6242961A" w14:textId="77777777" w:rsidR="00885C5E" w:rsidRPr="00FC2AEC" w:rsidRDefault="00885C5E" w:rsidP="00885C5E">
      <w:pPr>
        <w:tabs>
          <w:tab w:val="left" w:pos="-720"/>
        </w:tabs>
        <w:suppressAutoHyphens/>
        <w:rPr>
          <w:rFonts w:ascii="Times New Roman" w:hAnsi="Times New Roman"/>
          <w:spacing w:val="-3"/>
        </w:rPr>
      </w:pPr>
      <w:r w:rsidRPr="00FC2AEC">
        <w:rPr>
          <w:rFonts w:ascii="Times New Roman" w:hAnsi="Times New Roman"/>
        </w:rPr>
        <w:tab/>
      </w:r>
      <w:r>
        <w:rPr>
          <w:rFonts w:ascii="Times New Roman" w:hAnsi="Times New Roman"/>
        </w:rPr>
        <w:t>The proposed rule amendments would allow certain dealers to avoid membership in an Association.  As a result, dealers complying with the proposed rule would be able to avoid potentially duplicative regulation by various SROs.</w:t>
      </w:r>
    </w:p>
    <w:p w14:paraId="2F855A95" w14:textId="77777777" w:rsidR="00885C5E" w:rsidRPr="00FC2AEC" w:rsidRDefault="00885C5E" w:rsidP="00885C5E">
      <w:pPr>
        <w:pStyle w:val="Document1"/>
        <w:keepNext w:val="0"/>
        <w:keepLines w:val="0"/>
        <w:spacing w:line="240" w:lineRule="auto"/>
        <w:rPr>
          <w:rFonts w:ascii="Times New Roman" w:hAnsi="Times New Roman"/>
        </w:rPr>
      </w:pPr>
    </w:p>
    <w:p w14:paraId="29F0D8A0" w14:textId="77777777" w:rsidR="00885C5E" w:rsidRPr="00FC2AEC" w:rsidRDefault="00885C5E" w:rsidP="00885C5E">
      <w:pPr>
        <w:tabs>
          <w:tab w:val="left" w:pos="-720"/>
          <w:tab w:val="left" w:pos="0"/>
        </w:tabs>
        <w:suppressAutoHyphens/>
        <w:ind w:left="720"/>
        <w:rPr>
          <w:rFonts w:ascii="Times New Roman" w:hAnsi="Times New Roman"/>
        </w:rPr>
      </w:pPr>
      <w:r w:rsidRPr="00FC2AEC">
        <w:rPr>
          <w:rFonts w:ascii="Times New Roman" w:hAnsi="Times New Roman"/>
          <w:b/>
          <w:bCs/>
        </w:rPr>
        <w:t>5.</w:t>
      </w:r>
      <w:r w:rsidRPr="00FC2AEC">
        <w:rPr>
          <w:rFonts w:ascii="Times New Roman" w:hAnsi="Times New Roman"/>
          <w:b/>
          <w:bCs/>
        </w:rPr>
        <w:tab/>
        <w:t>Effect on Small Entities</w:t>
      </w:r>
    </w:p>
    <w:p w14:paraId="17B34B71" w14:textId="77777777" w:rsidR="00885C5E" w:rsidRDefault="00885C5E" w:rsidP="00885C5E">
      <w:pPr>
        <w:tabs>
          <w:tab w:val="left" w:pos="-720"/>
        </w:tabs>
        <w:suppressAutoHyphens/>
        <w:rPr>
          <w:rFonts w:ascii="Times New Roman" w:hAnsi="Times New Roman"/>
        </w:rPr>
      </w:pPr>
    </w:p>
    <w:p w14:paraId="5461F54F" w14:textId="77777777" w:rsidR="00885C5E" w:rsidRPr="00BD6E36" w:rsidRDefault="00885C5E" w:rsidP="00885C5E">
      <w:pPr>
        <w:widowControl/>
        <w:ind w:firstLine="720"/>
        <w:rPr>
          <w:rFonts w:ascii="Times New Roman" w:eastAsiaTheme="minorHAnsi" w:hAnsi="Times New Roman"/>
          <w:b/>
        </w:rPr>
      </w:pPr>
      <w:r>
        <w:rPr>
          <w:rFonts w:ascii="Times New Roman" w:eastAsiaTheme="minorHAnsi" w:hAnsi="Times New Roman"/>
        </w:rPr>
        <w:t xml:space="preserve">In preparing the proposed amendments, the Commission </w:t>
      </w:r>
      <w:r w:rsidRPr="00BD6E36">
        <w:rPr>
          <w:rFonts w:ascii="Times New Roman" w:eastAsiaTheme="minorHAnsi" w:hAnsi="Times New Roman"/>
        </w:rPr>
        <w:t>examined recent FOCUS data for the 125 Non-Member Firms and concluded that at most 11 of the affected entities have net capital of $500,000 or less, and some of those might not be small entities because they might be affiliates of larger organizations.</w:t>
      </w:r>
      <w:r>
        <w:rPr>
          <w:rFonts w:ascii="Times New Roman" w:eastAsiaTheme="minorHAnsi" w:hAnsi="Times New Roman"/>
        </w:rPr>
        <w:t xml:space="preserve">  </w:t>
      </w:r>
      <w:r w:rsidRPr="00BD6E36">
        <w:rPr>
          <w:rFonts w:ascii="Times New Roman" w:eastAsiaTheme="minorHAnsi" w:hAnsi="Times New Roman"/>
        </w:rPr>
        <w:t xml:space="preserve">Although the Commission lacks the data to quantify these firms’ off-exchange activity, it does have FOCUS information on the firms’ disclosed activities.  Based on this disclosure, the Commission </w:t>
      </w:r>
      <w:r>
        <w:rPr>
          <w:rFonts w:ascii="Times New Roman" w:eastAsiaTheme="minorHAnsi" w:hAnsi="Times New Roman"/>
        </w:rPr>
        <w:t xml:space="preserve">preliminarily </w:t>
      </w:r>
      <w:r w:rsidRPr="00BD6E36">
        <w:rPr>
          <w:rFonts w:ascii="Times New Roman" w:eastAsiaTheme="minorHAnsi" w:hAnsi="Times New Roman"/>
        </w:rPr>
        <w:t xml:space="preserve">believes that many of these firms may be able to trade off-exchange under the proposed floor member hedging exemption for a number of reasons.  </w:t>
      </w:r>
      <w:r>
        <w:rPr>
          <w:rFonts w:ascii="Times New Roman" w:eastAsiaTheme="minorHAnsi" w:hAnsi="Times New Roman"/>
        </w:rPr>
        <w:t xml:space="preserve">As a result, the Commission preliminarily believes that the proposed amendments to </w:t>
      </w:r>
      <w:r>
        <w:rPr>
          <w:rFonts w:ascii="Times New Roman" w:eastAsiaTheme="minorHAnsi" w:hAnsi="Times New Roman"/>
        </w:rPr>
        <w:lastRenderedPageBreak/>
        <w:t xml:space="preserve">Rule </w:t>
      </w:r>
      <w:r w:rsidRPr="00BD6E36">
        <w:rPr>
          <w:rFonts w:ascii="Times New Roman" w:eastAsiaTheme="minorHAnsi" w:hAnsi="Times New Roman"/>
        </w:rPr>
        <w:t xml:space="preserve">15b9-1 would not, if adopted, have a significant economic impact on a substantial number of small entities. </w:t>
      </w:r>
    </w:p>
    <w:p w14:paraId="4D0CA793" w14:textId="77777777" w:rsidR="00885C5E" w:rsidRDefault="00885C5E" w:rsidP="00885C5E">
      <w:pPr>
        <w:tabs>
          <w:tab w:val="left" w:pos="-720"/>
        </w:tabs>
        <w:suppressAutoHyphens/>
        <w:rPr>
          <w:rFonts w:ascii="Times New Roman" w:hAnsi="Times New Roman"/>
        </w:rPr>
      </w:pPr>
    </w:p>
    <w:p w14:paraId="79857E00" w14:textId="77777777" w:rsidR="00885C5E" w:rsidRPr="00FC2AEC" w:rsidRDefault="00885C5E" w:rsidP="00885C5E">
      <w:pPr>
        <w:tabs>
          <w:tab w:val="left" w:pos="-720"/>
          <w:tab w:val="left" w:pos="0"/>
        </w:tabs>
        <w:suppressAutoHyphens/>
        <w:ind w:left="720"/>
        <w:rPr>
          <w:rFonts w:ascii="Times New Roman" w:hAnsi="Times New Roman"/>
        </w:rPr>
      </w:pPr>
      <w:r w:rsidRPr="00FC2AEC">
        <w:rPr>
          <w:rFonts w:ascii="Times New Roman" w:hAnsi="Times New Roman"/>
          <w:b/>
          <w:bCs/>
        </w:rPr>
        <w:t>6.</w:t>
      </w:r>
      <w:r w:rsidRPr="00FC2AEC">
        <w:rPr>
          <w:rFonts w:ascii="Times New Roman" w:hAnsi="Times New Roman"/>
          <w:b/>
          <w:bCs/>
        </w:rPr>
        <w:tab/>
        <w:t>Consequences of Less Frequent Collection</w:t>
      </w:r>
    </w:p>
    <w:p w14:paraId="113FD0C5" w14:textId="77777777" w:rsidR="00885C5E" w:rsidRPr="00FC2AEC" w:rsidRDefault="00885C5E" w:rsidP="00885C5E">
      <w:pPr>
        <w:tabs>
          <w:tab w:val="left" w:pos="-720"/>
        </w:tabs>
        <w:suppressAutoHyphens/>
        <w:rPr>
          <w:rFonts w:ascii="Times New Roman" w:hAnsi="Times New Roman"/>
        </w:rPr>
      </w:pPr>
    </w:p>
    <w:p w14:paraId="5838D854" w14:textId="77777777" w:rsidR="00885C5E" w:rsidRPr="00FC2AEC" w:rsidRDefault="00885C5E" w:rsidP="00885C5E">
      <w:pPr>
        <w:tabs>
          <w:tab w:val="left" w:pos="-720"/>
        </w:tabs>
        <w:suppressAutoHyphens/>
        <w:rPr>
          <w:rFonts w:ascii="Times New Roman" w:hAnsi="Times New Roman"/>
        </w:rPr>
      </w:pPr>
      <w:r>
        <w:rPr>
          <w:rFonts w:ascii="Times New Roman" w:hAnsi="Times New Roman"/>
        </w:rPr>
        <w:tab/>
        <w:t xml:space="preserve">The Commission preliminarily believes that collecting the information on a less frequent basis would frustrate both the ability of the SRO to supervise those </w:t>
      </w:r>
      <w:r w:rsidRPr="00BD6E36">
        <w:rPr>
          <w:rFonts w:ascii="Times New Roman" w:eastAsiaTheme="minorHAnsi" w:hAnsi="Times New Roman"/>
        </w:rPr>
        <w:t>broker-dealers relying on the proposed hedging exemption</w:t>
      </w:r>
      <w:r>
        <w:rPr>
          <w:rFonts w:ascii="Times New Roman" w:eastAsiaTheme="minorHAnsi" w:hAnsi="Times New Roman"/>
        </w:rPr>
        <w:t xml:space="preserve"> and the ability of broker-dealers subject to the proposed rule to ensure that their hedging activities continue to comply with the requirements of the proposed rule.</w:t>
      </w:r>
    </w:p>
    <w:p w14:paraId="17CFE24A" w14:textId="77777777" w:rsidR="00885C5E" w:rsidRPr="00FC2AEC" w:rsidRDefault="00885C5E" w:rsidP="00885C5E">
      <w:pPr>
        <w:tabs>
          <w:tab w:val="left" w:pos="-720"/>
        </w:tabs>
        <w:suppressAutoHyphens/>
        <w:rPr>
          <w:rFonts w:ascii="Times New Roman" w:hAnsi="Times New Roman"/>
        </w:rPr>
      </w:pPr>
    </w:p>
    <w:p w14:paraId="1D28E735" w14:textId="77777777" w:rsidR="00885C5E" w:rsidRPr="00FC2AEC" w:rsidRDefault="00885C5E" w:rsidP="00885C5E">
      <w:pPr>
        <w:pStyle w:val="BodyTextIndent"/>
        <w:keepNext w:val="0"/>
        <w:keepLines w:val="0"/>
        <w:ind w:firstLine="0"/>
        <w:rPr>
          <w:rFonts w:ascii="Times New Roman" w:hAnsi="Times New Roman"/>
        </w:rPr>
      </w:pPr>
      <w:r w:rsidRPr="00FC2AEC">
        <w:rPr>
          <w:rFonts w:ascii="Times New Roman" w:hAnsi="Times New Roman"/>
        </w:rPr>
        <w:t>7.</w:t>
      </w:r>
      <w:r w:rsidRPr="00FC2AEC">
        <w:rPr>
          <w:rFonts w:ascii="Times New Roman" w:hAnsi="Times New Roman"/>
        </w:rPr>
        <w:tab/>
        <w:t>Inconsistencies with Guidelines in 5 CFR 1320.5(d)(2)</w:t>
      </w:r>
    </w:p>
    <w:p w14:paraId="453AAA2E" w14:textId="77777777" w:rsidR="00885C5E" w:rsidRPr="00FC2AEC" w:rsidRDefault="00885C5E" w:rsidP="00885C5E">
      <w:pPr>
        <w:tabs>
          <w:tab w:val="left" w:pos="-720"/>
        </w:tabs>
        <w:suppressAutoHyphens/>
        <w:rPr>
          <w:rFonts w:ascii="Times New Roman" w:hAnsi="Times New Roman"/>
          <w:spacing w:val="-3"/>
        </w:rPr>
      </w:pPr>
    </w:p>
    <w:p w14:paraId="769F7CF3" w14:textId="2FF2D857" w:rsidR="00885C5E" w:rsidRPr="00787EC8" w:rsidRDefault="00885C5E" w:rsidP="00885C5E">
      <w:pPr>
        <w:tabs>
          <w:tab w:val="left" w:pos="-720"/>
        </w:tabs>
        <w:suppressAutoHyphens/>
        <w:rPr>
          <w:rFonts w:ascii="Times New Roman" w:hAnsi="Times New Roman"/>
          <w:highlight w:val="yellow"/>
        </w:rPr>
      </w:pPr>
      <w:r w:rsidRPr="00FC2AEC">
        <w:rPr>
          <w:rFonts w:ascii="Times New Roman" w:hAnsi="Times New Roman"/>
        </w:rPr>
        <w:tab/>
      </w:r>
      <w:r w:rsidRPr="00787EC8">
        <w:rPr>
          <w:rFonts w:ascii="Times New Roman" w:hAnsi="Times New Roman"/>
        </w:rPr>
        <w:t xml:space="preserve">5 CFR 1320.5(d)(2) requires an agency to demonstrate, in its submission for OMB clearance, that the reporting of information more often than quarterly is necessary to satisfy statutory requirements or other substantial need.  The proposed amendments to </w:t>
      </w:r>
      <w:r>
        <w:rPr>
          <w:rFonts w:ascii="Times New Roman" w:hAnsi="Times New Roman"/>
        </w:rPr>
        <w:t>R</w:t>
      </w:r>
      <w:r w:rsidRPr="00787EC8">
        <w:rPr>
          <w:rFonts w:ascii="Times New Roman" w:hAnsi="Times New Roman"/>
        </w:rPr>
        <w:t>ule 15b9-1 would require the dealer to establish, maintain and enforce written policies and procedures reasonably designed to ensure and demonstrate that such hedging transactions reduce or otherwise mitigate the risks of the financial exposure the dealer incurs as a result of its floor-based activity.</w:t>
      </w:r>
      <w:r>
        <w:rPr>
          <w:rFonts w:ascii="Times New Roman" w:hAnsi="Times New Roman"/>
        </w:rPr>
        <w:t xml:space="preserve">  The proposed rules do not require the dealer to report information more often that quarterly.  As a result, </w:t>
      </w:r>
      <w:r w:rsidR="00FE30ED">
        <w:rPr>
          <w:rFonts w:ascii="Times New Roman" w:hAnsi="Times New Roman"/>
        </w:rPr>
        <w:t xml:space="preserve">there are no special circumstances.  This collection under </w:t>
      </w:r>
      <w:r>
        <w:rPr>
          <w:rFonts w:ascii="Times New Roman" w:hAnsi="Times New Roman"/>
        </w:rPr>
        <w:t xml:space="preserve">the proposed amendments to Rule 15b9-1 </w:t>
      </w:r>
      <w:r w:rsidR="00FE30ED">
        <w:rPr>
          <w:rFonts w:ascii="Times New Roman" w:hAnsi="Times New Roman"/>
        </w:rPr>
        <w:t xml:space="preserve">is </w:t>
      </w:r>
      <w:r>
        <w:rPr>
          <w:rFonts w:ascii="Times New Roman" w:hAnsi="Times New Roman"/>
        </w:rPr>
        <w:t>consistent with the guidelines of 5 CFR 1320.5(d)(2).</w:t>
      </w:r>
      <w:r w:rsidRPr="00787EC8">
        <w:rPr>
          <w:rFonts w:ascii="Times New Roman" w:hAnsi="Times New Roman"/>
          <w:highlight w:val="yellow"/>
        </w:rPr>
        <w:t xml:space="preserve"> </w:t>
      </w:r>
    </w:p>
    <w:p w14:paraId="5F89791A" w14:textId="77777777" w:rsidR="00885C5E" w:rsidRPr="00FC2AEC" w:rsidRDefault="00885C5E" w:rsidP="00885C5E">
      <w:pPr>
        <w:tabs>
          <w:tab w:val="left" w:pos="-720"/>
        </w:tabs>
        <w:suppressAutoHyphens/>
        <w:rPr>
          <w:rFonts w:ascii="Times New Roman" w:hAnsi="Times New Roman"/>
          <w:b/>
          <w:bCs/>
        </w:rPr>
      </w:pPr>
    </w:p>
    <w:p w14:paraId="37F7B9D4" w14:textId="77777777" w:rsidR="00885C5E" w:rsidRPr="00FC2AEC" w:rsidRDefault="00885C5E" w:rsidP="00885C5E">
      <w:pPr>
        <w:tabs>
          <w:tab w:val="left" w:pos="-720"/>
          <w:tab w:val="left" w:pos="0"/>
        </w:tabs>
        <w:suppressAutoHyphens/>
        <w:ind w:left="720"/>
        <w:rPr>
          <w:rFonts w:ascii="Times New Roman" w:hAnsi="Times New Roman"/>
        </w:rPr>
      </w:pPr>
      <w:r w:rsidRPr="00FC2AEC">
        <w:rPr>
          <w:rFonts w:ascii="Times New Roman" w:hAnsi="Times New Roman"/>
          <w:b/>
          <w:bCs/>
        </w:rPr>
        <w:t>8.</w:t>
      </w:r>
      <w:r w:rsidRPr="00FC2AEC">
        <w:rPr>
          <w:rFonts w:ascii="Times New Roman" w:hAnsi="Times New Roman"/>
          <w:b/>
          <w:bCs/>
        </w:rPr>
        <w:tab/>
        <w:t>Consultation Outside the Agency</w:t>
      </w:r>
    </w:p>
    <w:p w14:paraId="35A0DC9F" w14:textId="77777777" w:rsidR="00885C5E" w:rsidRPr="00FC2AEC" w:rsidRDefault="00885C5E" w:rsidP="00885C5E">
      <w:pPr>
        <w:tabs>
          <w:tab w:val="left" w:pos="-720"/>
        </w:tabs>
        <w:suppressAutoHyphens/>
        <w:rPr>
          <w:rFonts w:ascii="Times New Roman" w:hAnsi="Times New Roman"/>
        </w:rPr>
      </w:pPr>
    </w:p>
    <w:p w14:paraId="1D94131A" w14:textId="77777777" w:rsidR="00FE30ED" w:rsidRPr="001D01BC" w:rsidRDefault="00885C5E" w:rsidP="001D01BC">
      <w:pPr>
        <w:rPr>
          <w:rFonts w:ascii="Times New Roman" w:hAnsi="Times New Roman"/>
        </w:rPr>
      </w:pPr>
      <w:r w:rsidRPr="00FE30ED">
        <w:rPr>
          <w:rFonts w:ascii="Times New Roman" w:hAnsi="Times New Roman"/>
        </w:rPr>
        <w:tab/>
        <w:t>The Commission has not consulted with entities outside the agency about the proposed amendments to Rule 15b9-1.</w:t>
      </w:r>
      <w:r w:rsidR="00FE30ED" w:rsidRPr="00FE30ED">
        <w:rPr>
          <w:rFonts w:ascii="Times New Roman" w:hAnsi="Times New Roman"/>
        </w:rPr>
        <w:t xml:space="preserve">  </w:t>
      </w:r>
      <w:r w:rsidR="00FE30ED" w:rsidRPr="001D01BC">
        <w:rPr>
          <w:rFonts w:ascii="Times New Roman" w:hAnsi="Times New Roman"/>
        </w:rPr>
        <w:t xml:space="preserve">“The Commission has issued a release soliciting 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 </w:t>
      </w:r>
      <w:hyperlink r:id="rId12" w:history="1">
        <w:r w:rsidR="00FE30ED" w:rsidRPr="001D01BC">
          <w:rPr>
            <w:rStyle w:val="Hyperlink"/>
            <w:rFonts w:ascii="Times New Roman" w:hAnsi="Times New Roman"/>
          </w:rPr>
          <w:t>http://www.sec.gov/rules/proposed.shtml</w:t>
        </w:r>
      </w:hyperlink>
      <w:r w:rsidR="00FE30ED" w:rsidRPr="001D01BC">
        <w:rPr>
          <w:rFonts w:ascii="Times New Roman" w:hAnsi="Times New Roman"/>
        </w:rPr>
        <w:t>. The Commission will consider all comments received prior to publishing the final rule, and will explain in any adopting release how the final rule responds to such comments, in accordance with 5 C.F.R. 1320.11(f).”</w:t>
      </w:r>
    </w:p>
    <w:p w14:paraId="773C9B19" w14:textId="32345B01" w:rsidR="00885C5E" w:rsidRPr="0090769E" w:rsidRDefault="00885C5E" w:rsidP="00885C5E">
      <w:pPr>
        <w:tabs>
          <w:tab w:val="left" w:pos="-720"/>
        </w:tabs>
        <w:suppressAutoHyphens/>
        <w:rPr>
          <w:rFonts w:ascii="Times New Roman" w:hAnsi="Times New Roman"/>
        </w:rPr>
      </w:pPr>
    </w:p>
    <w:p w14:paraId="6B361E99" w14:textId="77777777" w:rsidR="00885C5E" w:rsidRPr="00FC2AEC" w:rsidRDefault="00885C5E" w:rsidP="00885C5E">
      <w:pPr>
        <w:tabs>
          <w:tab w:val="left" w:pos="-720"/>
          <w:tab w:val="left" w:pos="0"/>
        </w:tabs>
        <w:suppressAutoHyphens/>
        <w:ind w:left="720"/>
        <w:rPr>
          <w:rFonts w:ascii="Times New Roman" w:hAnsi="Times New Roman"/>
        </w:rPr>
      </w:pPr>
      <w:r w:rsidRPr="00FC2AEC">
        <w:rPr>
          <w:rFonts w:ascii="Times New Roman" w:hAnsi="Times New Roman"/>
          <w:b/>
          <w:bCs/>
        </w:rPr>
        <w:t>9.</w:t>
      </w:r>
      <w:r w:rsidRPr="00FC2AEC">
        <w:rPr>
          <w:rFonts w:ascii="Times New Roman" w:hAnsi="Times New Roman"/>
          <w:b/>
          <w:bCs/>
        </w:rPr>
        <w:tab/>
        <w:t>Payment or Gift to Respondents</w:t>
      </w:r>
    </w:p>
    <w:p w14:paraId="1640CFBE" w14:textId="77777777" w:rsidR="00885C5E" w:rsidRPr="00FC2AEC" w:rsidRDefault="00885C5E" w:rsidP="00885C5E">
      <w:pPr>
        <w:tabs>
          <w:tab w:val="left" w:pos="-720"/>
        </w:tabs>
        <w:suppressAutoHyphens/>
        <w:rPr>
          <w:rFonts w:ascii="Times New Roman" w:hAnsi="Times New Roman"/>
        </w:rPr>
      </w:pPr>
    </w:p>
    <w:p w14:paraId="4F6E5EC0" w14:textId="77777777" w:rsidR="00885C5E" w:rsidRPr="00FC2AEC" w:rsidRDefault="00885C5E" w:rsidP="00885C5E">
      <w:pPr>
        <w:tabs>
          <w:tab w:val="left" w:pos="-720"/>
        </w:tabs>
        <w:suppressAutoHyphens/>
        <w:rPr>
          <w:rFonts w:ascii="Times New Roman" w:hAnsi="Times New Roman"/>
        </w:rPr>
      </w:pPr>
      <w:r w:rsidRPr="00FC2AEC">
        <w:rPr>
          <w:rFonts w:ascii="Times New Roman" w:hAnsi="Times New Roman"/>
        </w:rPr>
        <w:tab/>
      </w:r>
      <w:r w:rsidRPr="00600D78">
        <w:rPr>
          <w:rFonts w:ascii="Times New Roman" w:hAnsi="Times New Roman"/>
        </w:rPr>
        <w:t>Not applicable.</w:t>
      </w:r>
    </w:p>
    <w:p w14:paraId="5835C477" w14:textId="77777777" w:rsidR="00885C5E" w:rsidRPr="00FC2AEC" w:rsidRDefault="00885C5E" w:rsidP="00885C5E">
      <w:pPr>
        <w:tabs>
          <w:tab w:val="left" w:pos="-720"/>
        </w:tabs>
        <w:suppressAutoHyphens/>
        <w:rPr>
          <w:rFonts w:ascii="Times New Roman" w:hAnsi="Times New Roman"/>
        </w:rPr>
      </w:pPr>
    </w:p>
    <w:p w14:paraId="21BEE578" w14:textId="77777777" w:rsidR="00885C5E" w:rsidRPr="00FC2AEC" w:rsidRDefault="00885C5E" w:rsidP="00885C5E">
      <w:pPr>
        <w:tabs>
          <w:tab w:val="left" w:pos="-720"/>
          <w:tab w:val="left" w:pos="0"/>
        </w:tabs>
        <w:suppressAutoHyphens/>
        <w:ind w:left="720"/>
        <w:rPr>
          <w:rFonts w:ascii="Times New Roman" w:hAnsi="Times New Roman"/>
        </w:rPr>
      </w:pPr>
      <w:r w:rsidRPr="00FC2AEC">
        <w:rPr>
          <w:rFonts w:ascii="Times New Roman" w:hAnsi="Times New Roman"/>
          <w:b/>
          <w:bCs/>
        </w:rPr>
        <w:t>10.</w:t>
      </w:r>
      <w:r w:rsidRPr="00FC2AEC">
        <w:rPr>
          <w:rFonts w:ascii="Times New Roman" w:hAnsi="Times New Roman"/>
          <w:b/>
          <w:bCs/>
        </w:rPr>
        <w:tab/>
        <w:t>Assurance of Confidentiality</w:t>
      </w:r>
    </w:p>
    <w:p w14:paraId="3375F713" w14:textId="77777777" w:rsidR="00885C5E" w:rsidRPr="00FC2AEC" w:rsidRDefault="00885C5E" w:rsidP="00885C5E">
      <w:pPr>
        <w:keepLines/>
        <w:tabs>
          <w:tab w:val="left" w:pos="-720"/>
        </w:tabs>
        <w:suppressAutoHyphens/>
        <w:rPr>
          <w:rFonts w:ascii="Times New Roman" w:hAnsi="Times New Roman"/>
        </w:rPr>
      </w:pPr>
    </w:p>
    <w:p w14:paraId="4F945C82" w14:textId="77777777" w:rsidR="00885C5E" w:rsidRPr="00FC2AEC" w:rsidRDefault="00885C5E" w:rsidP="00885C5E">
      <w:pPr>
        <w:tabs>
          <w:tab w:val="left" w:pos="-720"/>
        </w:tabs>
        <w:suppressAutoHyphens/>
        <w:rPr>
          <w:rFonts w:ascii="Times New Roman" w:hAnsi="Times New Roman"/>
        </w:rPr>
      </w:pPr>
      <w:r w:rsidRPr="00FC2AEC">
        <w:rPr>
          <w:rFonts w:ascii="Times New Roman" w:hAnsi="Times New Roman"/>
        </w:rPr>
        <w:tab/>
      </w:r>
      <w:r w:rsidRPr="0090769E">
        <w:rPr>
          <w:rFonts w:ascii="Times New Roman" w:hAnsi="Times New Roman"/>
        </w:rPr>
        <w:t xml:space="preserve">The information collected pursuant to the proposed amendments to Rule 15b9-1 will not be widely available as it is information related to the internal operations of those dealers complying with the exemption.  To the extent that the Commission receives confidential </w:t>
      </w:r>
      <w:r w:rsidRPr="0090769E">
        <w:rPr>
          <w:rFonts w:ascii="Times New Roman" w:hAnsi="Times New Roman"/>
        </w:rPr>
        <w:lastRenderedPageBreak/>
        <w:t>information pursuant to Rule 15b9-1, such information will be kept confidential, subject to the provisions of the Freedom of Information Act.</w:t>
      </w:r>
    </w:p>
    <w:p w14:paraId="09ADC172" w14:textId="77777777" w:rsidR="00885C5E" w:rsidRPr="00FC2AEC" w:rsidRDefault="00885C5E" w:rsidP="00885C5E">
      <w:pPr>
        <w:tabs>
          <w:tab w:val="left" w:pos="-720"/>
        </w:tabs>
        <w:suppressAutoHyphens/>
        <w:rPr>
          <w:rFonts w:ascii="Times New Roman" w:hAnsi="Times New Roman"/>
        </w:rPr>
      </w:pPr>
    </w:p>
    <w:p w14:paraId="69E2DA33" w14:textId="77777777" w:rsidR="00885C5E" w:rsidRPr="00FC2AEC" w:rsidRDefault="00885C5E" w:rsidP="00885C5E">
      <w:pPr>
        <w:tabs>
          <w:tab w:val="left" w:pos="-720"/>
          <w:tab w:val="left" w:pos="0"/>
        </w:tabs>
        <w:suppressAutoHyphens/>
        <w:ind w:left="720"/>
        <w:rPr>
          <w:rFonts w:ascii="Times New Roman" w:hAnsi="Times New Roman"/>
          <w:b/>
          <w:bCs/>
        </w:rPr>
      </w:pPr>
      <w:r w:rsidRPr="00FC2AEC">
        <w:rPr>
          <w:rFonts w:ascii="Times New Roman" w:hAnsi="Times New Roman"/>
          <w:b/>
          <w:bCs/>
        </w:rPr>
        <w:t>11.</w:t>
      </w:r>
      <w:r w:rsidRPr="00FC2AEC">
        <w:rPr>
          <w:rFonts w:ascii="Times New Roman" w:hAnsi="Times New Roman"/>
          <w:b/>
          <w:bCs/>
        </w:rPr>
        <w:tab/>
        <w:t>Sensitive Questions</w:t>
      </w:r>
    </w:p>
    <w:p w14:paraId="3ED9C1AD" w14:textId="77777777" w:rsidR="00885C5E" w:rsidRPr="00FC2AEC" w:rsidRDefault="00885C5E" w:rsidP="00885C5E">
      <w:pPr>
        <w:pStyle w:val="TOC6"/>
        <w:tabs>
          <w:tab w:val="clear" w:pos="9360"/>
          <w:tab w:val="left" w:pos="-720"/>
          <w:tab w:val="left" w:pos="0"/>
        </w:tabs>
        <w:spacing w:line="240" w:lineRule="auto"/>
        <w:rPr>
          <w:rFonts w:ascii="Times New Roman" w:hAnsi="Times New Roman"/>
        </w:rPr>
      </w:pPr>
    </w:p>
    <w:p w14:paraId="42E7D9F2" w14:textId="1262548E" w:rsidR="00885C5E" w:rsidRDefault="00FE30ED" w:rsidP="001D01BC">
      <w:pPr>
        <w:ind w:firstLine="720"/>
        <w:rPr>
          <w:rFonts w:ascii="Times New Roman" w:hAnsi="Times New Roman"/>
        </w:rPr>
      </w:pPr>
      <w:r w:rsidRPr="002A681A">
        <w:rPr>
          <w:rFonts w:ascii="Times New Roman" w:hAnsi="Times New Roman"/>
        </w:rPr>
        <w:t xml:space="preserve">Not applicable.  </w:t>
      </w:r>
      <w:r w:rsidR="00885C5E" w:rsidRPr="0090769E">
        <w:rPr>
          <w:rFonts w:ascii="Times New Roman" w:hAnsi="Times New Roman"/>
        </w:rPr>
        <w:t>The collection of information will not include Personally Identifiable Information.</w:t>
      </w:r>
      <w:r w:rsidR="00885C5E" w:rsidRPr="0090769E">
        <w:rPr>
          <w:rStyle w:val="FootnoteReference"/>
          <w:rFonts w:ascii="Times New Roman" w:hAnsi="Times New Roman"/>
        </w:rPr>
        <w:footnoteReference w:id="8"/>
      </w:r>
      <w:r w:rsidR="00885C5E">
        <w:rPr>
          <w:rFonts w:ascii="Times New Roman" w:hAnsi="Times New Roman"/>
        </w:rPr>
        <w:t xml:space="preserve">  </w:t>
      </w:r>
    </w:p>
    <w:p w14:paraId="53A0F96C" w14:textId="77777777" w:rsidR="00885C5E" w:rsidRDefault="00885C5E" w:rsidP="00885C5E">
      <w:pPr>
        <w:tabs>
          <w:tab w:val="left" w:pos="-720"/>
        </w:tabs>
        <w:suppressAutoHyphens/>
        <w:rPr>
          <w:rFonts w:ascii="Times New Roman" w:hAnsi="Times New Roman"/>
        </w:rPr>
      </w:pPr>
    </w:p>
    <w:p w14:paraId="618D7C46" w14:textId="195E4C0A" w:rsidR="00885C5E" w:rsidRPr="00FC2AEC" w:rsidRDefault="00885C5E" w:rsidP="00885C5E">
      <w:pPr>
        <w:tabs>
          <w:tab w:val="left" w:pos="-720"/>
          <w:tab w:val="left" w:pos="0"/>
        </w:tabs>
        <w:suppressAutoHyphens/>
        <w:ind w:left="720"/>
        <w:rPr>
          <w:rFonts w:ascii="Times New Roman" w:hAnsi="Times New Roman"/>
        </w:rPr>
      </w:pPr>
      <w:r w:rsidRPr="00FC2AEC">
        <w:rPr>
          <w:rFonts w:ascii="Times New Roman" w:hAnsi="Times New Roman"/>
          <w:b/>
          <w:bCs/>
        </w:rPr>
        <w:t>12.</w:t>
      </w:r>
      <w:r w:rsidRPr="00FC2AEC">
        <w:rPr>
          <w:rFonts w:ascii="Times New Roman" w:hAnsi="Times New Roman"/>
          <w:b/>
          <w:bCs/>
        </w:rPr>
        <w:tab/>
        <w:t>Estimate of Burden</w:t>
      </w:r>
    </w:p>
    <w:p w14:paraId="0BE573AE" w14:textId="77777777" w:rsidR="00885C5E" w:rsidRDefault="00885C5E" w:rsidP="00885C5E">
      <w:pPr>
        <w:tabs>
          <w:tab w:val="left" w:pos="-720"/>
        </w:tabs>
        <w:suppressAutoHyphens/>
        <w:rPr>
          <w:rFonts w:ascii="Times New Roman" w:hAnsi="Times New Roman"/>
        </w:rPr>
      </w:pPr>
    </w:p>
    <w:p w14:paraId="7C93A36A" w14:textId="6A458DB3" w:rsidR="00885C5E" w:rsidRDefault="00885C5E" w:rsidP="00885C5E">
      <w:pPr>
        <w:tabs>
          <w:tab w:val="left" w:pos="-720"/>
        </w:tabs>
        <w:suppressAutoHyphens/>
        <w:rPr>
          <w:rFonts w:ascii="Times New Roman" w:eastAsiaTheme="minorHAnsi" w:hAnsi="Times New Roman"/>
        </w:rPr>
      </w:pPr>
      <w:r w:rsidRPr="00FC2AEC">
        <w:rPr>
          <w:rFonts w:ascii="Times New Roman" w:hAnsi="Times New Roman"/>
        </w:rPr>
        <w:tab/>
      </w:r>
      <w:r w:rsidR="00BF6678">
        <w:rPr>
          <w:rFonts w:ascii="Times New Roman" w:hAnsi="Times New Roman"/>
        </w:rPr>
        <w:t xml:space="preserve">The Commission estimates that </w:t>
      </w:r>
      <w:r w:rsidR="00D3466F">
        <w:rPr>
          <w:rFonts w:ascii="Times New Roman" w:hAnsi="Times New Roman"/>
        </w:rPr>
        <w:t>up to</w:t>
      </w:r>
      <w:r w:rsidR="00BF6678">
        <w:rPr>
          <w:rFonts w:ascii="Times New Roman" w:hAnsi="Times New Roman"/>
        </w:rPr>
        <w:t xml:space="preserve"> 100 dealers </w:t>
      </w:r>
      <w:r w:rsidR="00D3466F">
        <w:rPr>
          <w:rFonts w:ascii="Times New Roman" w:hAnsi="Times New Roman"/>
        </w:rPr>
        <w:t xml:space="preserve">may </w:t>
      </w:r>
      <w:r w:rsidR="00BF6678">
        <w:rPr>
          <w:rFonts w:ascii="Times New Roman" w:hAnsi="Times New Roman"/>
        </w:rPr>
        <w:t xml:space="preserve">wish to take advantage of the exemption provided for under the proposed amendments to Rule 15b9-1.  </w:t>
      </w:r>
      <w:r w:rsidRPr="00FC2AEC">
        <w:rPr>
          <w:rFonts w:ascii="Times New Roman" w:hAnsi="Times New Roman"/>
        </w:rPr>
        <w:t xml:space="preserve">The total </w:t>
      </w:r>
      <w:r w:rsidR="001D01BC" w:rsidRPr="00FC2AEC">
        <w:rPr>
          <w:rFonts w:ascii="Times New Roman" w:hAnsi="Times New Roman"/>
        </w:rPr>
        <w:t>r</w:t>
      </w:r>
      <w:r w:rsidR="001D01BC">
        <w:rPr>
          <w:rFonts w:ascii="Times New Roman" w:hAnsi="Times New Roman"/>
        </w:rPr>
        <w:t>ecordkeeping</w:t>
      </w:r>
      <w:r w:rsidR="001D01BC" w:rsidRPr="00FC2AEC">
        <w:rPr>
          <w:rFonts w:ascii="Times New Roman" w:hAnsi="Times New Roman"/>
        </w:rPr>
        <w:t xml:space="preserve"> </w:t>
      </w:r>
      <w:r w:rsidRPr="00FC2AEC">
        <w:rPr>
          <w:rFonts w:ascii="Times New Roman" w:hAnsi="Times New Roman"/>
        </w:rPr>
        <w:t xml:space="preserve">burden for </w:t>
      </w:r>
      <w:r>
        <w:rPr>
          <w:rFonts w:ascii="Times New Roman" w:hAnsi="Times New Roman"/>
        </w:rPr>
        <w:t xml:space="preserve">those dealers is approximately </w:t>
      </w:r>
      <w:r w:rsidR="00BF6678">
        <w:rPr>
          <w:rFonts w:ascii="Times New Roman" w:hAnsi="Times New Roman"/>
        </w:rPr>
        <w:t xml:space="preserve">1,600 </w:t>
      </w:r>
      <w:r>
        <w:rPr>
          <w:rFonts w:ascii="Times New Roman" w:hAnsi="Times New Roman"/>
        </w:rPr>
        <w:t>hours initially and 9,600 hours annually thereafter.</w:t>
      </w:r>
      <w:r w:rsidRPr="00FC2AEC">
        <w:rPr>
          <w:rFonts w:ascii="Times New Roman" w:hAnsi="Times New Roman"/>
        </w:rPr>
        <w:t xml:space="preserve">  This burden is broken down </w:t>
      </w:r>
      <w:r>
        <w:rPr>
          <w:rFonts w:ascii="Times New Roman" w:hAnsi="Times New Roman"/>
        </w:rPr>
        <w:t>in more detail below.</w:t>
      </w:r>
      <w:r>
        <w:rPr>
          <w:rFonts w:ascii="Times New Roman" w:eastAsiaTheme="minorHAnsi" w:hAnsi="Times New Roman"/>
        </w:rPr>
        <w:t xml:space="preserve"> </w:t>
      </w:r>
    </w:p>
    <w:p w14:paraId="46F1051B" w14:textId="77777777" w:rsidR="00885C5E" w:rsidRDefault="00885C5E" w:rsidP="00885C5E">
      <w:pPr>
        <w:tabs>
          <w:tab w:val="left" w:pos="-720"/>
        </w:tabs>
        <w:suppressAutoHyphens/>
        <w:rPr>
          <w:rFonts w:ascii="Times New Roman" w:eastAsiaTheme="minorHAnsi" w:hAnsi="Times New Roman"/>
        </w:rPr>
      </w:pPr>
    </w:p>
    <w:p w14:paraId="0A2C3ACB" w14:textId="77777777" w:rsidR="00B23FBD" w:rsidRDefault="00885C5E" w:rsidP="00885C5E">
      <w:pPr>
        <w:widowControl/>
        <w:autoSpaceDE/>
        <w:autoSpaceDN/>
        <w:adjustRightInd/>
        <w:ind w:firstLine="720"/>
        <w:rPr>
          <w:rFonts w:ascii="Times New Roman" w:eastAsiaTheme="minorHAnsi" w:hAnsi="Times New Roman"/>
        </w:rPr>
      </w:pPr>
      <w:r w:rsidRPr="000D068C">
        <w:rPr>
          <w:rFonts w:ascii="Times New Roman" w:eastAsiaTheme="minorHAnsi" w:hAnsi="Times New Roman"/>
        </w:rPr>
        <w:t>The Commission estimates that the one-time, initial burden for a dealer to establish written policies and procedures as required under Rule 15b9-1 would be approximately 16 hours.</w:t>
      </w:r>
      <w:bookmarkStart w:id="7" w:name="_Ref413739705"/>
      <w:r w:rsidRPr="000D068C">
        <w:rPr>
          <w:rFonts w:ascii="Times New Roman" w:eastAsiaTheme="minorHAnsi" w:hAnsi="Times New Roman"/>
          <w:vertAlign w:val="superscript"/>
        </w:rPr>
        <w:footnoteReference w:id="9"/>
      </w:r>
      <w:bookmarkEnd w:id="7"/>
      <w:r w:rsidRPr="000D068C">
        <w:rPr>
          <w:rFonts w:ascii="Times New Roman" w:eastAsiaTheme="minorHAnsi" w:hAnsi="Times New Roman"/>
        </w:rPr>
        <w:t xml:space="preserve">  This figure is based on the estimated number of hours to develop a set of written policies and procedures, including review and approval by appropriate legal personnel.  The Commission notes that the policies and procedures required by the proposed Rule are limited to hedging transactions that reduce or otherwise mitigate the risks of the financial exposure the dealer incurs as a result of its floor-based activity.  </w:t>
      </w:r>
    </w:p>
    <w:p w14:paraId="4A35A5C2" w14:textId="77777777" w:rsidR="00B23FBD" w:rsidRDefault="00B23FBD" w:rsidP="00885C5E">
      <w:pPr>
        <w:widowControl/>
        <w:autoSpaceDE/>
        <w:autoSpaceDN/>
        <w:adjustRightInd/>
        <w:ind w:firstLine="720"/>
        <w:rPr>
          <w:rFonts w:ascii="Times New Roman" w:eastAsiaTheme="minorHAnsi" w:hAnsi="Times New Roman"/>
        </w:rPr>
      </w:pPr>
    </w:p>
    <w:p w14:paraId="275DB05B" w14:textId="5DD83351" w:rsidR="00885C5E" w:rsidRDefault="00885C5E" w:rsidP="00885C5E">
      <w:pPr>
        <w:widowControl/>
        <w:autoSpaceDE/>
        <w:autoSpaceDN/>
        <w:adjustRightInd/>
        <w:ind w:firstLine="720"/>
        <w:rPr>
          <w:rFonts w:ascii="Times New Roman" w:eastAsiaTheme="minorHAnsi" w:hAnsi="Times New Roman"/>
        </w:rPr>
      </w:pPr>
      <w:r w:rsidRPr="000D068C">
        <w:rPr>
          <w:rFonts w:ascii="Times New Roman" w:eastAsiaTheme="minorHAnsi" w:hAnsi="Times New Roman"/>
        </w:rPr>
        <w:t>In addition, the Commission estimates the annual burden of maintaining and enforcing such policies and procedures, including a review of such policies at least annually, would be approximately 96 hours for each dealer.</w:t>
      </w:r>
      <w:r w:rsidRPr="000D068C">
        <w:rPr>
          <w:rFonts w:ascii="Times New Roman" w:eastAsiaTheme="minorHAnsi" w:hAnsi="Times New Roman"/>
          <w:vertAlign w:val="superscript"/>
        </w:rPr>
        <w:footnoteReference w:id="10"/>
      </w:r>
      <w:r w:rsidRPr="000D068C">
        <w:rPr>
          <w:rFonts w:ascii="Times New Roman" w:eastAsiaTheme="minorHAnsi" w:hAnsi="Times New Roman"/>
        </w:rPr>
        <w:t xml:space="preserve">  This figure includes an estimate of hours related to reviewing existing policies and procedures, making necessary updates, conducting ongoing training, maintaining relevant systems and internal controls, performing necessary testing and monitoring of off-exchange hedging transactions as they relate to the broker-dealer’s floor-based activities and maintaining copies of the policies and procedures for the period of time required by the proposed rule.</w:t>
      </w:r>
    </w:p>
    <w:p w14:paraId="50435AD7" w14:textId="77777777" w:rsidR="00885C5E" w:rsidRPr="000D068C" w:rsidRDefault="00885C5E" w:rsidP="00885C5E">
      <w:pPr>
        <w:widowControl/>
        <w:autoSpaceDE/>
        <w:autoSpaceDN/>
        <w:adjustRightInd/>
        <w:ind w:firstLine="720"/>
        <w:rPr>
          <w:rFonts w:ascii="Times New Roman" w:eastAsiaTheme="minorHAnsi" w:hAnsi="Times New Roman"/>
        </w:rPr>
      </w:pPr>
    </w:p>
    <w:p w14:paraId="42FB82A4" w14:textId="52E7719D" w:rsidR="00D3466F" w:rsidRDefault="00885C5E" w:rsidP="00885C5E">
      <w:pPr>
        <w:widowControl/>
        <w:autoSpaceDE/>
        <w:autoSpaceDN/>
        <w:adjustRightInd/>
        <w:ind w:firstLine="720"/>
        <w:rPr>
          <w:rFonts w:ascii="Times New Roman" w:hAnsi="Times New Roman"/>
        </w:rPr>
      </w:pPr>
      <w:r w:rsidRPr="000D068C">
        <w:rPr>
          <w:rFonts w:ascii="Times New Roman" w:eastAsiaTheme="minorHAnsi" w:hAnsi="Times New Roman"/>
        </w:rPr>
        <w:lastRenderedPageBreak/>
        <w:t xml:space="preserve">The Commission estimates that the </w:t>
      </w:r>
      <w:r w:rsidR="00D3466F">
        <w:rPr>
          <w:rFonts w:ascii="Times New Roman" w:eastAsiaTheme="minorHAnsi" w:hAnsi="Times New Roman"/>
        </w:rPr>
        <w:t xml:space="preserve">annualized </w:t>
      </w:r>
      <w:r w:rsidRPr="000D068C">
        <w:rPr>
          <w:rFonts w:ascii="Times New Roman" w:eastAsiaTheme="minorHAnsi" w:hAnsi="Times New Roman"/>
        </w:rPr>
        <w:t xml:space="preserve">burden associated with Rule 15b9-1 would be </w:t>
      </w:r>
      <w:r w:rsidR="00BF6678">
        <w:rPr>
          <w:rFonts w:ascii="Times New Roman" w:eastAsiaTheme="minorHAnsi" w:hAnsi="Times New Roman"/>
        </w:rPr>
        <w:t xml:space="preserve">10,133.33 hours </w:t>
      </w:r>
      <w:r w:rsidRPr="000D068C">
        <w:rPr>
          <w:rFonts w:ascii="Times New Roman" w:eastAsiaTheme="minorHAnsi" w:hAnsi="Times New Roman"/>
        </w:rPr>
        <w:t xml:space="preserve">which corresponds to an initial burden of </w:t>
      </w:r>
      <w:r w:rsidR="00BF6678">
        <w:rPr>
          <w:rFonts w:ascii="Times New Roman" w:eastAsiaTheme="minorHAnsi" w:hAnsi="Times New Roman"/>
        </w:rPr>
        <w:t>533.33</w:t>
      </w:r>
      <w:r w:rsidRPr="000D068C">
        <w:rPr>
          <w:rFonts w:ascii="Times New Roman" w:eastAsiaTheme="minorHAnsi" w:hAnsi="Times New Roman"/>
        </w:rPr>
        <w:t xml:space="preserve"> hours</w:t>
      </w:r>
      <w:bookmarkStart w:id="8" w:name="_Ref413740066"/>
      <w:r w:rsidRPr="000D068C">
        <w:rPr>
          <w:rFonts w:ascii="Times New Roman" w:eastAsiaTheme="minorHAnsi" w:hAnsi="Times New Roman"/>
          <w:vertAlign w:val="superscript"/>
        </w:rPr>
        <w:footnoteReference w:id="11"/>
      </w:r>
      <w:bookmarkEnd w:id="8"/>
      <w:r w:rsidRPr="000D068C">
        <w:rPr>
          <w:rFonts w:ascii="Times New Roman" w:eastAsiaTheme="minorHAnsi" w:hAnsi="Times New Roman"/>
        </w:rPr>
        <w:t xml:space="preserve"> </w:t>
      </w:r>
      <w:r w:rsidR="00B23FBD">
        <w:rPr>
          <w:rFonts w:ascii="Times New Roman" w:eastAsiaTheme="minorHAnsi" w:hAnsi="Times New Roman"/>
        </w:rPr>
        <w:t xml:space="preserve">and an </w:t>
      </w:r>
      <w:r w:rsidRPr="000D068C">
        <w:rPr>
          <w:rFonts w:ascii="Times New Roman" w:eastAsiaTheme="minorHAnsi" w:hAnsi="Times New Roman"/>
        </w:rPr>
        <w:t xml:space="preserve">ongoing burden </w:t>
      </w:r>
      <w:r w:rsidR="00D3466F">
        <w:rPr>
          <w:rFonts w:ascii="Times New Roman" w:eastAsiaTheme="minorHAnsi" w:hAnsi="Times New Roman"/>
        </w:rPr>
        <w:t xml:space="preserve">of </w:t>
      </w:r>
      <w:r w:rsidRPr="000D068C">
        <w:rPr>
          <w:rFonts w:ascii="Times New Roman" w:eastAsiaTheme="minorHAnsi" w:hAnsi="Times New Roman"/>
        </w:rPr>
        <w:t>9,600 hours.</w:t>
      </w:r>
      <w:r w:rsidRPr="000D068C">
        <w:rPr>
          <w:rFonts w:ascii="Times New Roman" w:eastAsiaTheme="minorHAnsi" w:hAnsi="Times New Roman"/>
          <w:vertAlign w:val="superscript"/>
        </w:rPr>
        <w:footnoteReference w:id="12"/>
      </w:r>
      <w:r w:rsidRPr="00E8369D">
        <w:rPr>
          <w:rFonts w:ascii="Times New Roman" w:hAnsi="Times New Roman"/>
        </w:rPr>
        <w:t xml:space="preserve"> </w:t>
      </w:r>
      <w:r>
        <w:rPr>
          <w:rFonts w:ascii="Times New Roman" w:hAnsi="Times New Roman"/>
        </w:rPr>
        <w:t xml:space="preserve"> </w:t>
      </w:r>
    </w:p>
    <w:p w14:paraId="38D0FED5" w14:textId="31792F58" w:rsidR="00D3466F" w:rsidRPr="001D01BC" w:rsidRDefault="00D3466F" w:rsidP="00D3466F">
      <w:pPr>
        <w:ind w:right="49" w:firstLine="720"/>
        <w:rPr>
          <w:rFonts w:ascii="Times New Roman" w:hAnsi="Times New Roman"/>
          <w:b/>
        </w:rPr>
      </w:pPr>
      <w:r w:rsidRPr="00D3466F">
        <w:rPr>
          <w:rFonts w:ascii="Times New Roman" w:hAnsi="Times New Roman"/>
          <w:b/>
        </w:rPr>
        <w:lastRenderedPageBreak/>
        <w:t>In summary, the Commission estimates that, over a three-year period, the total re</w:t>
      </w:r>
      <w:r w:rsidR="001D01BC">
        <w:rPr>
          <w:rFonts w:ascii="Times New Roman" w:hAnsi="Times New Roman"/>
          <w:b/>
        </w:rPr>
        <w:t>cordkeeping</w:t>
      </w:r>
      <w:r w:rsidRPr="00D3466F">
        <w:rPr>
          <w:rFonts w:ascii="Times New Roman" w:hAnsi="Times New Roman"/>
          <w:b/>
        </w:rPr>
        <w:t xml:space="preserve"> burden associated with </w:t>
      </w:r>
      <w:r w:rsidRPr="001D01BC">
        <w:rPr>
          <w:rFonts w:ascii="Times New Roman" w:eastAsiaTheme="minorHAnsi" w:hAnsi="Times New Roman"/>
          <w:b/>
        </w:rPr>
        <w:t xml:space="preserve">Rule 15b9-1 </w:t>
      </w:r>
      <w:r w:rsidRPr="00D3466F">
        <w:rPr>
          <w:rFonts w:ascii="Times New Roman" w:hAnsi="Times New Roman"/>
          <w:b/>
        </w:rPr>
        <w:t xml:space="preserve">would be approximately 30,400 hours, or </w:t>
      </w:r>
      <w:r w:rsidRPr="00D3466F">
        <w:rPr>
          <w:rFonts w:ascii="Times New Roman" w:hAnsi="Times New Roman"/>
          <w:b/>
        </w:rPr>
        <w:fldChar w:fldCharType="begin"/>
      </w:r>
      <w:r w:rsidRPr="00D3466F">
        <w:rPr>
          <w:rFonts w:ascii="Times New Roman" w:hAnsi="Times New Roman"/>
          <w:b/>
        </w:rPr>
        <w:instrText xml:space="preserve"> =(6000+1500)/3 \# #,###</w:instrText>
      </w:r>
      <w:r w:rsidRPr="001D01BC">
        <w:rPr>
          <w:rFonts w:ascii="Times New Roman" w:hAnsi="Times New Roman"/>
          <w:b/>
        </w:rPr>
        <w:fldChar w:fldCharType="separate"/>
      </w:r>
      <w:r w:rsidRPr="00D3466F">
        <w:rPr>
          <w:rFonts w:ascii="Times New Roman" w:hAnsi="Times New Roman"/>
          <w:b/>
          <w:noProof/>
        </w:rPr>
        <w:t>10,133.33 hours</w:t>
      </w:r>
      <w:r w:rsidRPr="00D3466F">
        <w:rPr>
          <w:rFonts w:ascii="Times New Roman" w:hAnsi="Times New Roman"/>
          <w:b/>
        </w:rPr>
        <w:fldChar w:fldCharType="end"/>
      </w:r>
      <w:r w:rsidRPr="00D3466F">
        <w:rPr>
          <w:rFonts w:ascii="Times New Roman" w:hAnsi="Times New Roman"/>
          <w:b/>
        </w:rPr>
        <w:t xml:space="preserve"> per year</w:t>
      </w:r>
      <w:r w:rsidRPr="00D3466F">
        <w:rPr>
          <w:rStyle w:val="FootnoteReference"/>
          <w:rFonts w:ascii="Times New Roman" w:hAnsi="Times New Roman"/>
          <w:b/>
          <w:spacing w:val="10"/>
        </w:rPr>
        <w:footnoteReference w:id="13"/>
      </w:r>
      <w:r w:rsidRPr="00D3466F">
        <w:rPr>
          <w:rFonts w:ascii="Times New Roman" w:hAnsi="Times New Roman"/>
          <w:b/>
        </w:rPr>
        <w:t xml:space="preserve"> when annualized over three years.  The average estimated burden per dealer would be 304 hours, or 101.33 hours per year</w:t>
      </w:r>
      <w:r w:rsidRPr="00D3466F">
        <w:rPr>
          <w:rStyle w:val="FootnoteReference"/>
          <w:rFonts w:ascii="Times New Roman" w:hAnsi="Times New Roman"/>
          <w:b/>
        </w:rPr>
        <w:footnoteReference w:id="14"/>
      </w:r>
      <w:r w:rsidRPr="00D3466F">
        <w:rPr>
          <w:rFonts w:ascii="Times New Roman" w:hAnsi="Times New Roman"/>
          <w:b/>
        </w:rPr>
        <w:t xml:space="preserve"> when annualized over three years.</w:t>
      </w:r>
    </w:p>
    <w:p w14:paraId="4CCEE917" w14:textId="77777777" w:rsidR="00D3466F" w:rsidRDefault="00D3466F" w:rsidP="00885C5E">
      <w:pPr>
        <w:widowControl/>
        <w:autoSpaceDE/>
        <w:autoSpaceDN/>
        <w:adjustRightInd/>
        <w:ind w:firstLine="720"/>
        <w:rPr>
          <w:rFonts w:ascii="Times New Roman" w:hAnsi="Times New Roman"/>
        </w:rPr>
      </w:pPr>
    </w:p>
    <w:p w14:paraId="034C8B3B" w14:textId="77777777" w:rsidR="00885C5E" w:rsidRPr="00FC2AEC" w:rsidRDefault="00885C5E" w:rsidP="00885C5E">
      <w:pPr>
        <w:tabs>
          <w:tab w:val="left" w:pos="-720"/>
          <w:tab w:val="left" w:pos="0"/>
        </w:tabs>
        <w:suppressAutoHyphens/>
        <w:ind w:left="720"/>
        <w:rPr>
          <w:rFonts w:ascii="Times New Roman" w:hAnsi="Times New Roman"/>
        </w:rPr>
      </w:pPr>
      <w:r w:rsidRPr="00FC2AEC">
        <w:rPr>
          <w:rFonts w:ascii="Times New Roman" w:hAnsi="Times New Roman"/>
          <w:b/>
          <w:bCs/>
        </w:rPr>
        <w:t>13.</w:t>
      </w:r>
      <w:r w:rsidRPr="00FC2AEC">
        <w:rPr>
          <w:rFonts w:ascii="Times New Roman" w:hAnsi="Times New Roman"/>
          <w:b/>
          <w:bCs/>
        </w:rPr>
        <w:tab/>
        <w:t xml:space="preserve">Estimate of Total Annual Cost Burden </w:t>
      </w:r>
    </w:p>
    <w:p w14:paraId="2A86008C" w14:textId="77777777" w:rsidR="00885C5E" w:rsidRPr="00FC2AEC" w:rsidRDefault="00885C5E" w:rsidP="00885C5E">
      <w:pPr>
        <w:tabs>
          <w:tab w:val="left" w:pos="-720"/>
        </w:tabs>
        <w:suppressAutoHyphens/>
        <w:rPr>
          <w:rFonts w:ascii="Times New Roman" w:hAnsi="Times New Roman"/>
        </w:rPr>
      </w:pPr>
    </w:p>
    <w:p w14:paraId="71CFB17B" w14:textId="77777777" w:rsidR="00885C5E" w:rsidRPr="00FC2AEC" w:rsidRDefault="00885C5E" w:rsidP="00885C5E">
      <w:pPr>
        <w:tabs>
          <w:tab w:val="left" w:pos="-720"/>
        </w:tabs>
        <w:suppressAutoHyphens/>
        <w:rPr>
          <w:rFonts w:ascii="Times New Roman" w:hAnsi="Times New Roman"/>
        </w:rPr>
      </w:pPr>
      <w:r w:rsidRPr="00FC2AEC">
        <w:rPr>
          <w:rFonts w:ascii="Times New Roman" w:hAnsi="Times New Roman"/>
        </w:rPr>
        <w:tab/>
      </w:r>
      <w:r>
        <w:rPr>
          <w:rFonts w:ascii="Times New Roman" w:hAnsi="Times New Roman"/>
        </w:rPr>
        <w:t>The Commission preliminarily does not believe there are any costs related to the proposed amendments that have not been accounted for in the burdens discussed above.</w:t>
      </w:r>
    </w:p>
    <w:p w14:paraId="47D8BC7C" w14:textId="77777777" w:rsidR="00885C5E" w:rsidRPr="00FC2AEC" w:rsidRDefault="00885C5E" w:rsidP="00885C5E">
      <w:pPr>
        <w:rPr>
          <w:rFonts w:ascii="Times New Roman" w:hAnsi="Times New Roman"/>
        </w:rPr>
      </w:pPr>
    </w:p>
    <w:p w14:paraId="60C3C42D" w14:textId="77777777" w:rsidR="00885C5E" w:rsidRPr="00FC2AEC" w:rsidRDefault="00885C5E" w:rsidP="00885C5E">
      <w:pPr>
        <w:tabs>
          <w:tab w:val="left" w:pos="-720"/>
        </w:tabs>
        <w:suppressAutoHyphens/>
        <w:ind w:left="720"/>
        <w:rPr>
          <w:rFonts w:ascii="Times New Roman" w:hAnsi="Times New Roman"/>
        </w:rPr>
      </w:pPr>
      <w:r w:rsidRPr="00FC2AEC">
        <w:rPr>
          <w:rFonts w:ascii="Times New Roman" w:hAnsi="Times New Roman"/>
          <w:b/>
          <w:bCs/>
        </w:rPr>
        <w:t xml:space="preserve">14.  </w:t>
      </w:r>
      <w:r w:rsidRPr="00FC2AEC">
        <w:rPr>
          <w:rFonts w:ascii="Times New Roman" w:hAnsi="Times New Roman"/>
          <w:b/>
          <w:bCs/>
        </w:rPr>
        <w:tab/>
        <w:t>Estimate of Cost to the Federal Government</w:t>
      </w:r>
    </w:p>
    <w:p w14:paraId="5149D819" w14:textId="77777777" w:rsidR="00885C5E" w:rsidRPr="00FC2AEC" w:rsidRDefault="00885C5E" w:rsidP="00885C5E">
      <w:pPr>
        <w:keepLines/>
        <w:tabs>
          <w:tab w:val="left" w:pos="-720"/>
        </w:tabs>
        <w:suppressAutoHyphens/>
        <w:rPr>
          <w:rFonts w:ascii="Times New Roman" w:hAnsi="Times New Roman"/>
        </w:rPr>
      </w:pPr>
    </w:p>
    <w:p w14:paraId="18F42A8D" w14:textId="77777777" w:rsidR="00885C5E" w:rsidRPr="00FC2AEC" w:rsidRDefault="00885C5E" w:rsidP="00885C5E">
      <w:pPr>
        <w:pStyle w:val="Document1"/>
        <w:keepNext w:val="0"/>
        <w:keepLines w:val="0"/>
        <w:spacing w:line="240" w:lineRule="auto"/>
        <w:rPr>
          <w:rFonts w:ascii="Times New Roman" w:hAnsi="Times New Roman"/>
        </w:rPr>
      </w:pPr>
      <w:r w:rsidRPr="00FC2AEC">
        <w:rPr>
          <w:rFonts w:ascii="Times New Roman" w:hAnsi="Times New Roman"/>
        </w:rPr>
        <w:tab/>
      </w:r>
      <w:r w:rsidRPr="0090769E">
        <w:rPr>
          <w:rFonts w:ascii="Times New Roman" w:hAnsi="Times New Roman"/>
        </w:rPr>
        <w:t>The Commission does not believe there are any costs to the Federal Government related to the proposed amendments to Rule 15b9-1.</w:t>
      </w:r>
    </w:p>
    <w:p w14:paraId="6A11132D" w14:textId="77777777" w:rsidR="00885C5E" w:rsidRPr="00FC2AEC" w:rsidRDefault="00885C5E" w:rsidP="00885C5E">
      <w:pPr>
        <w:pStyle w:val="Document1"/>
        <w:keepNext w:val="0"/>
        <w:keepLines w:val="0"/>
        <w:spacing w:line="240" w:lineRule="auto"/>
        <w:rPr>
          <w:rFonts w:ascii="Times New Roman" w:hAnsi="Times New Roman"/>
        </w:rPr>
      </w:pPr>
    </w:p>
    <w:p w14:paraId="2C1988C7" w14:textId="77777777" w:rsidR="00885C5E" w:rsidRPr="00FC2AEC" w:rsidRDefault="00885C5E" w:rsidP="00885C5E">
      <w:pPr>
        <w:keepNext/>
        <w:tabs>
          <w:tab w:val="left" w:pos="-720"/>
        </w:tabs>
        <w:suppressAutoHyphens/>
        <w:ind w:left="720"/>
        <w:rPr>
          <w:rFonts w:ascii="Times New Roman" w:hAnsi="Times New Roman"/>
        </w:rPr>
      </w:pPr>
      <w:r w:rsidRPr="00FC2AEC">
        <w:rPr>
          <w:rFonts w:ascii="Times New Roman" w:hAnsi="Times New Roman"/>
          <w:b/>
          <w:bCs/>
        </w:rPr>
        <w:t xml:space="preserve">15.  </w:t>
      </w:r>
      <w:r w:rsidRPr="00FC2AEC">
        <w:rPr>
          <w:rFonts w:ascii="Times New Roman" w:hAnsi="Times New Roman"/>
          <w:b/>
          <w:bCs/>
        </w:rPr>
        <w:tab/>
        <w:t>Explanation of Changes in Burden</w:t>
      </w:r>
    </w:p>
    <w:p w14:paraId="6AA1158E" w14:textId="77777777" w:rsidR="00885C5E" w:rsidRPr="00FC2AEC" w:rsidRDefault="00885C5E" w:rsidP="00885C5E">
      <w:pPr>
        <w:keepNext/>
        <w:rPr>
          <w:rFonts w:ascii="Times New Roman" w:hAnsi="Times New Roman"/>
          <w:color w:val="000000"/>
        </w:rPr>
      </w:pPr>
      <w:r w:rsidRPr="00FC2AEC">
        <w:rPr>
          <w:rFonts w:ascii="Times New Roman" w:hAnsi="Times New Roman"/>
        </w:rPr>
        <w:tab/>
      </w:r>
    </w:p>
    <w:p w14:paraId="40C4CB91" w14:textId="77777777" w:rsidR="00885C5E" w:rsidRPr="00FC2AEC" w:rsidRDefault="00885C5E" w:rsidP="00885C5E">
      <w:pPr>
        <w:tabs>
          <w:tab w:val="left" w:pos="-720"/>
        </w:tabs>
        <w:suppressAutoHyphens/>
        <w:rPr>
          <w:rFonts w:ascii="Times New Roman" w:hAnsi="Times New Roman"/>
          <w:b/>
        </w:rPr>
      </w:pPr>
      <w:r w:rsidRPr="00FC2AEC">
        <w:rPr>
          <w:rFonts w:ascii="Times New Roman" w:hAnsi="Times New Roman"/>
        </w:rPr>
        <w:tab/>
      </w:r>
      <w:r>
        <w:rPr>
          <w:rFonts w:ascii="Times New Roman" w:hAnsi="Times New Roman"/>
        </w:rPr>
        <w:t>Not applicable.</w:t>
      </w:r>
    </w:p>
    <w:p w14:paraId="58C2517E" w14:textId="77777777" w:rsidR="00885C5E" w:rsidRPr="00FC2AEC" w:rsidRDefault="00885C5E" w:rsidP="00885C5E">
      <w:pPr>
        <w:tabs>
          <w:tab w:val="left" w:pos="-720"/>
        </w:tabs>
        <w:suppressAutoHyphens/>
        <w:rPr>
          <w:rFonts w:ascii="Times New Roman" w:hAnsi="Times New Roman"/>
        </w:rPr>
      </w:pPr>
    </w:p>
    <w:p w14:paraId="31BD241E" w14:textId="77777777" w:rsidR="00885C5E" w:rsidRPr="00FC2AEC" w:rsidRDefault="00885C5E" w:rsidP="00885C5E">
      <w:pPr>
        <w:widowControl/>
        <w:autoSpaceDE/>
        <w:autoSpaceDN/>
        <w:adjustRightInd/>
        <w:ind w:firstLine="720"/>
        <w:rPr>
          <w:rFonts w:ascii="Times New Roman" w:hAnsi="Times New Roman"/>
        </w:rPr>
      </w:pPr>
      <w:r w:rsidRPr="00FC2AEC">
        <w:rPr>
          <w:rFonts w:ascii="Times New Roman" w:hAnsi="Times New Roman"/>
          <w:b/>
          <w:bCs/>
        </w:rPr>
        <w:t>16.</w:t>
      </w:r>
      <w:r w:rsidRPr="00FC2AEC">
        <w:rPr>
          <w:rFonts w:ascii="Times New Roman" w:hAnsi="Times New Roman"/>
          <w:b/>
          <w:bCs/>
        </w:rPr>
        <w:tab/>
        <w:t>Information Collection Planned for Statistical Purposes</w:t>
      </w:r>
    </w:p>
    <w:p w14:paraId="401F6878" w14:textId="77777777" w:rsidR="00885C5E" w:rsidRPr="00FC2AEC" w:rsidRDefault="00885C5E" w:rsidP="00885C5E">
      <w:pPr>
        <w:tabs>
          <w:tab w:val="left" w:pos="-720"/>
        </w:tabs>
        <w:suppressAutoHyphens/>
        <w:rPr>
          <w:rFonts w:ascii="Times New Roman" w:hAnsi="Times New Roman"/>
        </w:rPr>
      </w:pPr>
    </w:p>
    <w:p w14:paraId="0FF787B5" w14:textId="77777777" w:rsidR="00885C5E" w:rsidRDefault="00885C5E" w:rsidP="00885C5E">
      <w:pPr>
        <w:tabs>
          <w:tab w:val="left" w:pos="-720"/>
        </w:tabs>
        <w:suppressAutoHyphens/>
        <w:rPr>
          <w:rFonts w:ascii="Times New Roman" w:hAnsi="Times New Roman"/>
        </w:rPr>
      </w:pPr>
      <w:r w:rsidRPr="00FC2AEC">
        <w:rPr>
          <w:rFonts w:ascii="Times New Roman" w:hAnsi="Times New Roman"/>
        </w:rPr>
        <w:tab/>
        <w:t>Not applicable.</w:t>
      </w:r>
    </w:p>
    <w:p w14:paraId="261DE281" w14:textId="77777777" w:rsidR="00885C5E" w:rsidRDefault="00885C5E" w:rsidP="00885C5E">
      <w:pPr>
        <w:widowControl/>
        <w:autoSpaceDE/>
        <w:autoSpaceDN/>
        <w:adjustRightInd/>
        <w:rPr>
          <w:rFonts w:ascii="Times New Roman" w:hAnsi="Times New Roman"/>
        </w:rPr>
      </w:pPr>
    </w:p>
    <w:p w14:paraId="638727BB" w14:textId="77777777" w:rsidR="00885C5E" w:rsidRPr="00FC2AEC" w:rsidRDefault="00885C5E" w:rsidP="00885C5E">
      <w:pPr>
        <w:tabs>
          <w:tab w:val="left" w:pos="-720"/>
          <w:tab w:val="left" w:pos="0"/>
        </w:tabs>
        <w:suppressAutoHyphens/>
        <w:ind w:left="720"/>
        <w:rPr>
          <w:rFonts w:ascii="Times New Roman" w:hAnsi="Times New Roman"/>
        </w:rPr>
      </w:pPr>
      <w:r w:rsidRPr="00FC2AEC">
        <w:rPr>
          <w:rFonts w:ascii="Times New Roman" w:hAnsi="Times New Roman"/>
          <w:b/>
          <w:bCs/>
        </w:rPr>
        <w:t>17.</w:t>
      </w:r>
      <w:r w:rsidRPr="00FC2AEC">
        <w:rPr>
          <w:rFonts w:ascii="Times New Roman" w:hAnsi="Times New Roman"/>
          <w:b/>
          <w:bCs/>
        </w:rPr>
        <w:tab/>
        <w:t>Approval to not Display Expiration Date</w:t>
      </w:r>
    </w:p>
    <w:p w14:paraId="530C2BF7" w14:textId="77777777" w:rsidR="00885C5E" w:rsidRPr="00FC2AEC" w:rsidRDefault="00885C5E" w:rsidP="00885C5E">
      <w:pPr>
        <w:tabs>
          <w:tab w:val="left" w:pos="-720"/>
        </w:tabs>
        <w:suppressAutoHyphens/>
        <w:rPr>
          <w:rFonts w:ascii="Times New Roman" w:hAnsi="Times New Roman"/>
        </w:rPr>
      </w:pPr>
    </w:p>
    <w:p w14:paraId="14FF8650" w14:textId="77777777" w:rsidR="00885C5E" w:rsidRPr="00FC2AEC" w:rsidRDefault="00885C5E" w:rsidP="00885C5E">
      <w:pPr>
        <w:tabs>
          <w:tab w:val="left" w:pos="-720"/>
        </w:tabs>
        <w:suppressAutoHyphens/>
        <w:rPr>
          <w:rFonts w:ascii="Times New Roman" w:hAnsi="Times New Roman"/>
        </w:rPr>
      </w:pPr>
      <w:r w:rsidRPr="00FC2AEC">
        <w:rPr>
          <w:rFonts w:ascii="Times New Roman" w:hAnsi="Times New Roman"/>
        </w:rPr>
        <w:tab/>
        <w:t>Not applicable.</w:t>
      </w:r>
    </w:p>
    <w:p w14:paraId="29D06DE6" w14:textId="77777777" w:rsidR="00885C5E" w:rsidRPr="00FC2AEC" w:rsidRDefault="00885C5E" w:rsidP="00885C5E">
      <w:pPr>
        <w:tabs>
          <w:tab w:val="left" w:pos="-720"/>
        </w:tabs>
        <w:suppressAutoHyphens/>
        <w:rPr>
          <w:rFonts w:ascii="Times New Roman" w:hAnsi="Times New Roman"/>
        </w:rPr>
      </w:pPr>
    </w:p>
    <w:p w14:paraId="3C14EB4B" w14:textId="77777777" w:rsidR="00885C5E" w:rsidRPr="00FC2AEC" w:rsidRDefault="00885C5E" w:rsidP="00885C5E">
      <w:pPr>
        <w:keepNext/>
        <w:keepLines/>
        <w:tabs>
          <w:tab w:val="left" w:pos="-720"/>
          <w:tab w:val="left" w:pos="0"/>
        </w:tabs>
        <w:suppressAutoHyphens/>
        <w:ind w:left="720"/>
        <w:rPr>
          <w:rFonts w:ascii="Times New Roman" w:hAnsi="Times New Roman"/>
        </w:rPr>
      </w:pPr>
      <w:r w:rsidRPr="00FC2AEC">
        <w:rPr>
          <w:rFonts w:ascii="Times New Roman" w:hAnsi="Times New Roman"/>
          <w:b/>
          <w:bCs/>
        </w:rPr>
        <w:t>18.</w:t>
      </w:r>
      <w:r w:rsidRPr="00FC2AEC">
        <w:rPr>
          <w:rFonts w:ascii="Times New Roman" w:hAnsi="Times New Roman"/>
          <w:b/>
          <w:bCs/>
        </w:rPr>
        <w:tab/>
        <w:t>Exceptions to Certification Statement</w:t>
      </w:r>
    </w:p>
    <w:p w14:paraId="099374D1" w14:textId="77777777" w:rsidR="00885C5E" w:rsidRPr="00FC2AEC" w:rsidRDefault="00885C5E" w:rsidP="00885C5E">
      <w:pPr>
        <w:keepLines/>
        <w:tabs>
          <w:tab w:val="left" w:pos="-720"/>
        </w:tabs>
        <w:suppressAutoHyphens/>
        <w:rPr>
          <w:rFonts w:ascii="Times New Roman" w:hAnsi="Times New Roman"/>
        </w:rPr>
      </w:pPr>
    </w:p>
    <w:p w14:paraId="78F51DDC" w14:textId="77777777" w:rsidR="00885C5E" w:rsidRPr="00FC2AEC" w:rsidRDefault="00885C5E" w:rsidP="00885C5E">
      <w:pPr>
        <w:keepLines/>
        <w:tabs>
          <w:tab w:val="left" w:pos="-720"/>
        </w:tabs>
        <w:suppressAutoHyphens/>
        <w:rPr>
          <w:rFonts w:ascii="Times New Roman" w:hAnsi="Times New Roman"/>
        </w:rPr>
      </w:pPr>
      <w:r w:rsidRPr="00FC2AEC">
        <w:rPr>
          <w:rFonts w:ascii="Times New Roman" w:hAnsi="Times New Roman"/>
        </w:rPr>
        <w:tab/>
        <w:t>Not applicable.</w:t>
      </w:r>
    </w:p>
    <w:p w14:paraId="6E877A01" w14:textId="77777777" w:rsidR="00885C5E" w:rsidRPr="00FC2AEC" w:rsidRDefault="00885C5E" w:rsidP="00885C5E">
      <w:pPr>
        <w:keepLines/>
        <w:tabs>
          <w:tab w:val="left" w:pos="-720"/>
        </w:tabs>
        <w:suppressAutoHyphens/>
        <w:rPr>
          <w:rFonts w:ascii="Times New Roman" w:hAnsi="Times New Roman"/>
        </w:rPr>
      </w:pPr>
    </w:p>
    <w:p w14:paraId="5E606695" w14:textId="77777777" w:rsidR="00885C5E" w:rsidRPr="00FC2AEC" w:rsidRDefault="00885C5E" w:rsidP="00885C5E">
      <w:pPr>
        <w:tabs>
          <w:tab w:val="left" w:pos="-720"/>
        </w:tabs>
        <w:suppressAutoHyphens/>
        <w:rPr>
          <w:rFonts w:ascii="Times New Roman" w:hAnsi="Times New Roman"/>
        </w:rPr>
      </w:pPr>
      <w:r w:rsidRPr="00FC2AEC">
        <w:rPr>
          <w:rFonts w:ascii="Times New Roman" w:hAnsi="Times New Roman"/>
          <w:b/>
          <w:bCs/>
        </w:rPr>
        <w:t>B.</w:t>
      </w:r>
      <w:r w:rsidRPr="00FC2AEC">
        <w:rPr>
          <w:rFonts w:ascii="Times New Roman" w:hAnsi="Times New Roman"/>
          <w:b/>
          <w:bCs/>
        </w:rPr>
        <w:tab/>
        <w:t>COLLECTIONS OF INFORMATION EMPLOYING STATISTICAL METHODS</w:t>
      </w:r>
    </w:p>
    <w:p w14:paraId="334C4376" w14:textId="77777777" w:rsidR="00885C5E" w:rsidRPr="00FC2AEC" w:rsidRDefault="00885C5E" w:rsidP="00885C5E">
      <w:pPr>
        <w:tabs>
          <w:tab w:val="left" w:pos="-720"/>
        </w:tabs>
        <w:suppressAutoHyphens/>
        <w:rPr>
          <w:rFonts w:ascii="Times New Roman" w:hAnsi="Times New Roman"/>
        </w:rPr>
      </w:pPr>
    </w:p>
    <w:p w14:paraId="0FC4DDD6" w14:textId="77777777" w:rsidR="00885C5E" w:rsidRPr="00FC2AEC" w:rsidRDefault="00885C5E" w:rsidP="00885C5E">
      <w:pPr>
        <w:tabs>
          <w:tab w:val="left" w:pos="-720"/>
        </w:tabs>
        <w:suppressAutoHyphens/>
        <w:rPr>
          <w:rFonts w:ascii="Times New Roman" w:hAnsi="Times New Roman"/>
        </w:rPr>
      </w:pPr>
      <w:r w:rsidRPr="00FC2AEC">
        <w:rPr>
          <w:rFonts w:ascii="Times New Roman" w:hAnsi="Times New Roman"/>
        </w:rPr>
        <w:tab/>
        <w:t>This collection does not involve statistical methods.</w:t>
      </w:r>
    </w:p>
    <w:p w14:paraId="3A6098A6" w14:textId="4E7C5455" w:rsidR="00D54CFD" w:rsidRPr="00885C5E" w:rsidRDefault="00D54CFD" w:rsidP="00885C5E"/>
    <w:sectPr w:rsidR="00D54CFD" w:rsidRPr="00885C5E" w:rsidSect="000D068C">
      <w:headerReference w:type="default" r:id="rId13"/>
      <w:footerReference w:type="even" r:id="rId14"/>
      <w:footerReference w:type="default" r:id="rId15"/>
      <w:endnotePr>
        <w:numFmt w:val="decimal"/>
      </w:endnotePr>
      <w:pgSz w:w="12240" w:h="15840" w:code="1"/>
      <w:pgMar w:top="1440" w:right="1440" w:bottom="1440" w:left="1440" w:header="1440" w:footer="10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098A9" w14:textId="77777777" w:rsidR="00C57FD1" w:rsidRDefault="00C57FD1">
      <w:pPr>
        <w:widowControl/>
        <w:spacing w:line="20" w:lineRule="exact"/>
        <w:rPr>
          <w:sz w:val="20"/>
        </w:rPr>
      </w:pPr>
    </w:p>
  </w:endnote>
  <w:endnote w:type="continuationSeparator" w:id="0">
    <w:p w14:paraId="3A6098AA" w14:textId="77777777" w:rsidR="00C57FD1" w:rsidRDefault="00C57FD1">
      <w:r>
        <w:rPr>
          <w:sz w:val="20"/>
        </w:rPr>
        <w:t xml:space="preserve"> </w:t>
      </w:r>
    </w:p>
  </w:endnote>
  <w:endnote w:type="continuationNotice" w:id="1">
    <w:p w14:paraId="3A6098AB" w14:textId="77777777" w:rsidR="00C57FD1" w:rsidRDefault="00C57FD1">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ino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98AD" w14:textId="77777777" w:rsidR="00B10008" w:rsidRDefault="00B100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6098AE" w14:textId="77777777" w:rsidR="00B10008" w:rsidRDefault="00B10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98AF" w14:textId="77777777" w:rsidR="00B10008" w:rsidRPr="004814E4" w:rsidRDefault="00B10008">
    <w:pPr>
      <w:pStyle w:val="Footer"/>
      <w:framePr w:wrap="around" w:vAnchor="text" w:hAnchor="margin" w:xAlign="center" w:y="1"/>
      <w:rPr>
        <w:rStyle w:val="PageNumber"/>
        <w:rFonts w:ascii="Times New Roman" w:hAnsi="Times New Roman"/>
      </w:rPr>
    </w:pPr>
    <w:r w:rsidRPr="004814E4">
      <w:rPr>
        <w:rStyle w:val="PageNumber"/>
        <w:rFonts w:ascii="Times New Roman" w:hAnsi="Times New Roman"/>
      </w:rPr>
      <w:fldChar w:fldCharType="begin"/>
    </w:r>
    <w:r w:rsidRPr="004814E4">
      <w:rPr>
        <w:rStyle w:val="PageNumber"/>
        <w:rFonts w:ascii="Times New Roman" w:hAnsi="Times New Roman"/>
      </w:rPr>
      <w:instrText xml:space="preserve">PAGE  </w:instrText>
    </w:r>
    <w:r w:rsidRPr="004814E4">
      <w:rPr>
        <w:rStyle w:val="PageNumber"/>
        <w:rFonts w:ascii="Times New Roman" w:hAnsi="Times New Roman"/>
      </w:rPr>
      <w:fldChar w:fldCharType="separate"/>
    </w:r>
    <w:r w:rsidR="001D01BC">
      <w:rPr>
        <w:rStyle w:val="PageNumber"/>
        <w:rFonts w:ascii="Times New Roman" w:hAnsi="Times New Roman"/>
        <w:noProof/>
      </w:rPr>
      <w:t>8</w:t>
    </w:r>
    <w:r w:rsidRPr="004814E4">
      <w:rPr>
        <w:rStyle w:val="PageNumber"/>
        <w:rFonts w:ascii="Times New Roman" w:hAnsi="Times New Roman"/>
      </w:rPr>
      <w:fldChar w:fldCharType="end"/>
    </w:r>
  </w:p>
  <w:p w14:paraId="3A6098B0" w14:textId="77777777" w:rsidR="00B10008" w:rsidRDefault="00B10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098A7" w14:textId="77777777" w:rsidR="00C57FD1" w:rsidRDefault="00C57FD1">
      <w:r>
        <w:rPr>
          <w:sz w:val="20"/>
        </w:rPr>
        <w:separator/>
      </w:r>
    </w:p>
  </w:footnote>
  <w:footnote w:type="continuationSeparator" w:id="0">
    <w:p w14:paraId="3A6098A8" w14:textId="77777777" w:rsidR="00C57FD1" w:rsidRDefault="00C57FD1">
      <w:r>
        <w:continuationSeparator/>
      </w:r>
    </w:p>
  </w:footnote>
  <w:footnote w:id="1">
    <w:p w14:paraId="0E7F17AA" w14:textId="422A4B2B" w:rsidR="00885C5E" w:rsidRPr="00FA564F" w:rsidRDefault="00885C5E" w:rsidP="00885C5E">
      <w:pPr>
        <w:pStyle w:val="FootnoteText"/>
        <w:spacing w:after="120"/>
        <w:ind w:left="720" w:hanging="720"/>
      </w:pPr>
      <w:r w:rsidRPr="00FA564F">
        <w:rPr>
          <w:rStyle w:val="FootnoteReference"/>
          <w:rFonts w:ascii="Times New Roman" w:hAnsi="Times New Roman"/>
        </w:rPr>
        <w:footnoteRef/>
      </w:r>
      <w:r w:rsidRPr="00FA564F">
        <w:t xml:space="preserve"> </w:t>
      </w:r>
      <w:r w:rsidRPr="00FA564F">
        <w:tab/>
      </w:r>
      <w:r w:rsidRPr="00FA564F">
        <w:rPr>
          <w:u w:val="single"/>
        </w:rPr>
        <w:t>See</w:t>
      </w:r>
      <w:r w:rsidRPr="00FA564F">
        <w:t xml:space="preserve"> Exemption for Certain Exchange Members; Securities Exchange Act Release No. 74581 (March 25, 2015), 80 FR 1803</w:t>
      </w:r>
      <w:r w:rsidR="006C6FCD">
        <w:t>5</w:t>
      </w:r>
      <w:r>
        <w:t xml:space="preserve"> (April 2, 2015)</w:t>
      </w:r>
      <w:r w:rsidRPr="00FA564F">
        <w:t>.</w:t>
      </w:r>
    </w:p>
  </w:footnote>
  <w:footnote w:id="2">
    <w:p w14:paraId="3CBB7BB9" w14:textId="77777777" w:rsidR="00885C5E" w:rsidRPr="000D068C" w:rsidRDefault="00885C5E" w:rsidP="00885C5E">
      <w:pPr>
        <w:pStyle w:val="FootnoteText"/>
        <w:spacing w:after="120" w:line="240" w:lineRule="auto"/>
        <w:ind w:left="720" w:hanging="720"/>
      </w:pPr>
      <w:r w:rsidRPr="00FA564F">
        <w:rPr>
          <w:rStyle w:val="FootnoteReference"/>
          <w:rFonts w:ascii="Times New Roman" w:hAnsi="Times New Roman"/>
        </w:rPr>
        <w:footnoteRef/>
      </w:r>
      <w:r w:rsidRPr="00FA564F">
        <w:t xml:space="preserve"> </w:t>
      </w:r>
      <w:r w:rsidRPr="00FA564F">
        <w:tab/>
      </w:r>
      <w:r w:rsidRPr="00FA564F">
        <w:rPr>
          <w:lang w:val="en"/>
        </w:rPr>
        <w:t>“The Commission by rule or order, as it deems consistent with the public interest and the protection of investors, may conditionally</w:t>
      </w:r>
      <w:r w:rsidRPr="000D068C">
        <w:rPr>
          <w:lang w:val="en"/>
        </w:rPr>
        <w:t xml:space="preserve"> or unconditionally exempt from paragraph (8) of this subsection any broker or dealer or class of brokers or dealers specified in such rule or order.”</w:t>
      </w:r>
      <w:r w:rsidRPr="000D068C">
        <w:t xml:space="preserve">  15 U.S.C. 78</w:t>
      </w:r>
      <w:r w:rsidRPr="000D068C">
        <w:rPr>
          <w:u w:val="single"/>
        </w:rPr>
        <w:t>o</w:t>
      </w:r>
      <w:r w:rsidRPr="000D068C">
        <w:t>(b)(9); Pub. L. No. 98-38, 97 Stat. 205 (1983).</w:t>
      </w:r>
    </w:p>
  </w:footnote>
  <w:footnote w:id="3">
    <w:p w14:paraId="7F862D10" w14:textId="77777777" w:rsidR="00885C5E" w:rsidRPr="000D068C" w:rsidRDefault="00885C5E" w:rsidP="00885C5E">
      <w:pPr>
        <w:pStyle w:val="FootnoteText"/>
        <w:spacing w:after="120" w:line="240" w:lineRule="auto"/>
        <w:ind w:left="720" w:hanging="720"/>
      </w:pPr>
      <w:r w:rsidRPr="000D068C">
        <w:rPr>
          <w:rStyle w:val="FootnoteReference"/>
          <w:rFonts w:ascii="Times New Roman" w:hAnsi="Times New Roman"/>
        </w:rPr>
        <w:footnoteRef/>
      </w:r>
      <w:r w:rsidRPr="000D068C">
        <w:t xml:space="preserve"> </w:t>
      </w:r>
      <w:r w:rsidRPr="000D068C">
        <w:tab/>
        <w:t xml:space="preserve">17 CFR 240.15b9-1.  </w:t>
      </w:r>
    </w:p>
  </w:footnote>
  <w:footnote w:id="4">
    <w:p w14:paraId="597BBC3E" w14:textId="77777777" w:rsidR="00885C5E" w:rsidRPr="000D068C" w:rsidRDefault="00885C5E" w:rsidP="00885C5E">
      <w:pPr>
        <w:pStyle w:val="FootnoteText"/>
        <w:spacing w:after="120" w:line="240" w:lineRule="auto"/>
        <w:ind w:left="720" w:hanging="720"/>
      </w:pPr>
      <w:r w:rsidRPr="000D068C">
        <w:rPr>
          <w:rStyle w:val="FootnoteReference"/>
          <w:rFonts w:ascii="Times New Roman" w:hAnsi="Times New Roman"/>
        </w:rPr>
        <w:footnoteRef/>
      </w:r>
      <w:r w:rsidRPr="000D068C">
        <w:t xml:space="preserve"> </w:t>
      </w:r>
      <w:r w:rsidRPr="000D068C">
        <w:tab/>
      </w:r>
      <w:r w:rsidRPr="000D068C">
        <w:rPr>
          <w:u w:val="single"/>
        </w:rPr>
        <w:t>See</w:t>
      </w:r>
      <w:r w:rsidRPr="000D068C">
        <w:t xml:space="preserve"> SECO Programs; Direct Regulation of Certain Broker-Dealers; Elimination, Exchange Act Release No. 20409 (November 22, 1983), 48 FR 53688 (November 29, 1983) (“SECO Programs Release”).</w:t>
      </w:r>
    </w:p>
  </w:footnote>
  <w:footnote w:id="5">
    <w:p w14:paraId="7AF172E8" w14:textId="77777777" w:rsidR="00885C5E" w:rsidRPr="000D068C" w:rsidRDefault="00885C5E" w:rsidP="00885C5E">
      <w:pPr>
        <w:pStyle w:val="FootnoteText"/>
        <w:spacing w:after="120" w:line="240" w:lineRule="auto"/>
        <w:ind w:left="720" w:hanging="720"/>
      </w:pPr>
      <w:r w:rsidRPr="000D068C">
        <w:rPr>
          <w:rStyle w:val="FootnoteReference"/>
          <w:rFonts w:ascii="Times New Roman" w:hAnsi="Times New Roman"/>
        </w:rPr>
        <w:footnoteRef/>
      </w:r>
      <w:r w:rsidRPr="000D068C">
        <w:t xml:space="preserve"> </w:t>
      </w:r>
      <w:r w:rsidRPr="000D068C">
        <w:tab/>
      </w:r>
      <w:r w:rsidRPr="000D068C">
        <w:rPr>
          <w:u w:val="single"/>
        </w:rPr>
        <w:t>See</w:t>
      </w:r>
      <w:r w:rsidRPr="000D068C">
        <w:t xml:space="preserve"> Concept Release Concerning Equity Market Structure, Exchange Act Release No. 61358 (January 14, 2010), 75 FR 3594, 3594-3596 (January 21, 2010) (“Concept Release”) (discussing the evolution from “a market structure with primarily manual trading to a market structure with primarily automated trading”).</w:t>
      </w:r>
    </w:p>
  </w:footnote>
  <w:footnote w:id="6">
    <w:p w14:paraId="1BD22D10" w14:textId="77777777" w:rsidR="00885C5E" w:rsidRPr="000D068C" w:rsidRDefault="00885C5E" w:rsidP="00885C5E">
      <w:pPr>
        <w:pStyle w:val="FootnoteText"/>
        <w:spacing w:after="120" w:line="240" w:lineRule="auto"/>
        <w:ind w:left="720" w:hanging="720"/>
      </w:pPr>
      <w:r w:rsidRPr="000D068C">
        <w:rPr>
          <w:rStyle w:val="FootnoteReference"/>
          <w:rFonts w:ascii="Times New Roman" w:hAnsi="Times New Roman"/>
        </w:rPr>
        <w:footnoteRef/>
      </w:r>
      <w:r w:rsidRPr="000D068C">
        <w:t xml:space="preserve"> </w:t>
      </w:r>
      <w:r w:rsidRPr="000D068C">
        <w:tab/>
        <w:t xml:space="preserve">In adopting Rule 15b8-1, the Commission stated:  “Among the broker-dealers that are not members of a registered national securities association are several specialists and other floor members of national securities exchanges, some of whom introduce accounts to other members.  The over-the-counter business of these broker-dealers may be limited to receipt of a portion of the commissions paid on occasional over-the-counter transactions in these introduced accounts, and to certain other transactions incidental to their activities as specialists.  In most cases, the income derived from these activities is nominal.”  </w:t>
      </w:r>
      <w:r w:rsidRPr="000D068C">
        <w:rPr>
          <w:u w:val="single"/>
        </w:rPr>
        <w:t>See</w:t>
      </w:r>
      <w:r w:rsidRPr="000D068C">
        <w:t xml:space="preserve"> Qualifications and Fees Release, </w:t>
      </w:r>
      <w:r w:rsidRPr="000D068C">
        <w:rPr>
          <w:u w:val="single"/>
        </w:rPr>
        <w:t>supra</w:t>
      </w:r>
      <w:r w:rsidRPr="000D068C">
        <w:t xml:space="preserve"> note </w:t>
      </w:r>
      <w:r w:rsidRPr="000D068C">
        <w:fldChar w:fldCharType="begin"/>
      </w:r>
      <w:r w:rsidRPr="000D068C">
        <w:instrText xml:space="preserve"> NOTEREF _Ref410907504 \h  \* MERGEFORMAT </w:instrText>
      </w:r>
      <w:r w:rsidRPr="000D068C">
        <w:fldChar w:fldCharType="separate"/>
      </w:r>
      <w:r w:rsidRPr="000D068C">
        <w:t>12</w:t>
      </w:r>
      <w:r w:rsidRPr="000D068C">
        <w:fldChar w:fldCharType="end"/>
      </w:r>
      <w:r w:rsidRPr="000D068C">
        <w:t>, at 11675.</w:t>
      </w:r>
    </w:p>
  </w:footnote>
  <w:footnote w:id="7">
    <w:p w14:paraId="69177F2C" w14:textId="77777777" w:rsidR="00885C5E" w:rsidRPr="000D068C" w:rsidRDefault="00885C5E" w:rsidP="00885C5E">
      <w:pPr>
        <w:pStyle w:val="FootnoteText"/>
        <w:spacing w:after="120" w:line="240" w:lineRule="auto"/>
        <w:ind w:left="720" w:hanging="720"/>
      </w:pPr>
      <w:r w:rsidRPr="000D068C">
        <w:rPr>
          <w:rStyle w:val="FootnoteReference"/>
          <w:rFonts w:ascii="Times New Roman" w:hAnsi="Times New Roman"/>
        </w:rPr>
        <w:footnoteRef/>
      </w:r>
      <w:r w:rsidRPr="000D068C">
        <w:t xml:space="preserve"> </w:t>
      </w:r>
      <w:r w:rsidRPr="000D068C">
        <w:tab/>
      </w:r>
      <w:r w:rsidRPr="000D068C">
        <w:rPr>
          <w:u w:val="single"/>
        </w:rPr>
        <w:t>See</w:t>
      </w:r>
      <w:r w:rsidRPr="000D068C">
        <w:t xml:space="preserve"> Pub. L. No. 75-719, 52 Stat. 1070 (1938) (The Maloney Act, which established the concept of and framework for Associations, states in its preamble that its purpose was “[t]o provide for the establishment of a mechanism of regulation [Associations] among over-the-counter brokers and dealers operating in interstate and foreign commerce or through the mails, to prevent acts and practices inconsistent with just and equitable principles of trade, and for other purposes”).  </w:t>
      </w:r>
      <w:r w:rsidRPr="000D068C">
        <w:rPr>
          <w:u w:val="single"/>
        </w:rPr>
        <w:t>See</w:t>
      </w:r>
      <w:r w:rsidRPr="000D068C">
        <w:t xml:space="preserve"> </w:t>
      </w:r>
      <w:r w:rsidRPr="000D068C">
        <w:rPr>
          <w:u w:val="single"/>
        </w:rPr>
        <w:t>also</w:t>
      </w:r>
      <w:r w:rsidRPr="000D068C">
        <w:t xml:space="preserve"> </w:t>
      </w:r>
      <w:r w:rsidRPr="000D068C">
        <w:rPr>
          <w:u w:val="single"/>
        </w:rPr>
        <w:t>infra</w:t>
      </w:r>
      <w:r w:rsidRPr="000D068C">
        <w:t xml:space="preserve"> notes </w:t>
      </w:r>
      <w:r w:rsidRPr="000D068C">
        <w:fldChar w:fldCharType="begin"/>
      </w:r>
      <w:r w:rsidRPr="000D068C">
        <w:instrText xml:space="preserve"> NOTEREF _Ref410724901 \h  \* MERGEFORMAT </w:instrText>
      </w:r>
      <w:r w:rsidRPr="000D068C">
        <w:fldChar w:fldCharType="separate"/>
      </w:r>
      <w:r w:rsidRPr="000D068C">
        <w:t>26</w:t>
      </w:r>
      <w:r w:rsidRPr="000D068C">
        <w:fldChar w:fldCharType="end"/>
      </w:r>
      <w:r w:rsidRPr="000D068C">
        <w:t xml:space="preserve">, </w:t>
      </w:r>
      <w:r w:rsidRPr="000D068C">
        <w:fldChar w:fldCharType="begin"/>
      </w:r>
      <w:r w:rsidRPr="000D068C">
        <w:instrText xml:space="preserve"> NOTEREF _Ref410723268 \h  \* MERGEFORMAT </w:instrText>
      </w:r>
      <w:r w:rsidRPr="000D068C">
        <w:fldChar w:fldCharType="separate"/>
      </w:r>
      <w:r w:rsidRPr="000D068C">
        <w:t>28</w:t>
      </w:r>
      <w:r w:rsidRPr="000D068C">
        <w:fldChar w:fldCharType="end"/>
      </w:r>
      <w:r w:rsidRPr="000D068C">
        <w:t>-</w:t>
      </w:r>
      <w:r w:rsidRPr="000D068C">
        <w:fldChar w:fldCharType="begin"/>
      </w:r>
      <w:r w:rsidRPr="000D068C">
        <w:instrText xml:space="preserve"> NOTEREF _Ref404689318 \h  \* MERGEFORMAT </w:instrText>
      </w:r>
      <w:r w:rsidRPr="000D068C">
        <w:fldChar w:fldCharType="separate"/>
      </w:r>
      <w:r w:rsidRPr="000D068C">
        <w:t>33</w:t>
      </w:r>
      <w:r w:rsidRPr="000D068C">
        <w:fldChar w:fldCharType="end"/>
      </w:r>
      <w:r w:rsidRPr="000D068C">
        <w:t xml:space="preserve"> and accompanying text (describing the early history of the Maloney Act).</w:t>
      </w:r>
    </w:p>
  </w:footnote>
  <w:footnote w:id="8">
    <w:p w14:paraId="4576BC50" w14:textId="77777777" w:rsidR="00885C5E" w:rsidRPr="000D068C" w:rsidRDefault="00885C5E" w:rsidP="00885C5E">
      <w:pPr>
        <w:pStyle w:val="Default"/>
        <w:spacing w:after="120"/>
        <w:ind w:left="720" w:hanging="720"/>
      </w:pPr>
      <w:r w:rsidRPr="000D068C">
        <w:rPr>
          <w:rStyle w:val="FootnoteReference"/>
          <w:rFonts w:ascii="Times New Roman" w:hAnsi="Times New Roman"/>
        </w:rPr>
        <w:footnoteRef/>
      </w:r>
      <w:r w:rsidRPr="000D068C">
        <w:t xml:space="preserve"> </w:t>
      </w:r>
      <w:r w:rsidRPr="000D068C">
        <w:tab/>
        <w:t xml:space="preserve">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  </w:t>
      </w:r>
    </w:p>
  </w:footnote>
  <w:footnote w:id="9">
    <w:p w14:paraId="7723102B" w14:textId="77777777" w:rsidR="00885C5E" w:rsidRPr="000D068C" w:rsidRDefault="00885C5E" w:rsidP="00885C5E">
      <w:pPr>
        <w:pStyle w:val="FootnoteText"/>
        <w:spacing w:after="120" w:line="240" w:lineRule="auto"/>
        <w:ind w:left="720" w:hanging="720"/>
      </w:pPr>
      <w:r w:rsidRPr="000D068C">
        <w:rPr>
          <w:rStyle w:val="FootnoteReference"/>
          <w:rFonts w:ascii="Times New Roman" w:hAnsi="Times New Roman"/>
        </w:rPr>
        <w:footnoteRef/>
      </w:r>
      <w:r w:rsidRPr="000D068C">
        <w:t xml:space="preserve"> </w:t>
      </w:r>
      <w:r w:rsidRPr="000D068C">
        <w:tab/>
        <w:t>This figure is based on the following:  (Compliance Manager at 10 hours) + (Compliance Attorney at 5 hours) + (Director of Compliance at 1 hour) = 16 burden hours per dealer.</w:t>
      </w:r>
    </w:p>
  </w:footnote>
  <w:footnote w:id="10">
    <w:p w14:paraId="173029ED" w14:textId="77777777" w:rsidR="00885C5E" w:rsidRPr="000D068C" w:rsidRDefault="00885C5E" w:rsidP="00885C5E">
      <w:pPr>
        <w:pStyle w:val="FootnoteText"/>
        <w:spacing w:after="120" w:line="240" w:lineRule="auto"/>
        <w:ind w:left="720" w:hanging="720"/>
      </w:pPr>
      <w:r w:rsidRPr="000D068C">
        <w:rPr>
          <w:rStyle w:val="FootnoteReference"/>
          <w:rFonts w:ascii="Times New Roman" w:hAnsi="Times New Roman"/>
        </w:rPr>
        <w:footnoteRef/>
      </w:r>
      <w:r w:rsidRPr="000D068C">
        <w:t xml:space="preserve"> </w:t>
      </w:r>
      <w:r w:rsidRPr="000D068C">
        <w:tab/>
        <w:t>This figure is based on the following:  (Compliance Manager at 60 hours) + (Compliance Attorney at 24 hours) + (Director of Compliance at 12 hours) = 96 burden hours per dealer.</w:t>
      </w:r>
    </w:p>
  </w:footnote>
  <w:footnote w:id="11">
    <w:p w14:paraId="2DC51695" w14:textId="784D0DA7" w:rsidR="00885C5E" w:rsidRPr="000D068C" w:rsidRDefault="00885C5E" w:rsidP="00885C5E">
      <w:pPr>
        <w:pStyle w:val="FootnoteText"/>
        <w:spacing w:after="120" w:line="240" w:lineRule="auto"/>
        <w:ind w:left="720" w:hanging="720"/>
      </w:pPr>
      <w:r w:rsidRPr="000D068C">
        <w:rPr>
          <w:rStyle w:val="FootnoteReference"/>
          <w:rFonts w:ascii="Times New Roman" w:hAnsi="Times New Roman"/>
        </w:rPr>
        <w:footnoteRef/>
      </w:r>
      <w:r w:rsidRPr="000D068C">
        <w:t xml:space="preserve"> </w:t>
      </w:r>
      <w:r w:rsidRPr="000D068C">
        <w:tab/>
        <w:t>This figure is based on the following:  (</w:t>
      </w:r>
      <w:r w:rsidR="00BF6678">
        <w:t>Year 1: (</w:t>
      </w:r>
      <w:r w:rsidRPr="000D068C">
        <w:t>16 burden hours per dealer) x (100 dealers)</w:t>
      </w:r>
      <w:r w:rsidR="00BF6678">
        <w:t xml:space="preserve">) + </w:t>
      </w:r>
      <w:r w:rsidR="00BF6678" w:rsidRPr="000D068C">
        <w:t>(</w:t>
      </w:r>
      <w:r w:rsidR="00BF6678">
        <w:t>Year 2: (0</w:t>
      </w:r>
      <w:r w:rsidR="00BF6678" w:rsidRPr="000D068C">
        <w:t xml:space="preserve"> burden hours per dealer) x (100 dealers)</w:t>
      </w:r>
      <w:r w:rsidR="00BF6678">
        <w:t xml:space="preserve">) + </w:t>
      </w:r>
      <w:r w:rsidR="00BF6678" w:rsidRPr="000D068C">
        <w:t>(</w:t>
      </w:r>
      <w:r w:rsidR="00BF6678">
        <w:t>Year 3: (0</w:t>
      </w:r>
      <w:r w:rsidR="00BF6678" w:rsidRPr="000D068C">
        <w:t xml:space="preserve"> burden hours per dealer) x (100 dealers)</w:t>
      </w:r>
      <w:r w:rsidR="00BF6678">
        <w:t>))</w:t>
      </w:r>
      <w:r w:rsidRPr="000D068C">
        <w:t xml:space="preserve"> = </w:t>
      </w:r>
      <w:r w:rsidR="00BF6678">
        <w:t>1,600</w:t>
      </w:r>
      <w:r w:rsidRPr="000D068C">
        <w:t xml:space="preserve"> burden hours</w:t>
      </w:r>
      <w:r w:rsidR="00BF6678">
        <w:t xml:space="preserve"> ÷ 3 = 533.33 hours per year</w:t>
      </w:r>
      <w:r w:rsidRPr="000D068C">
        <w:t xml:space="preserve">.  In estimating these burden hours, the Commission examined the estimated burdens imposed by other rules applicable to broker-dealers.  For example, amendments to Regulation SHO adopted in 2010 required broker-dealers to establish, maintain, and enforce written policies and procedures relating to Rule 201(c) and Rule 201(d)(6) to ensure short-sale orders are, among other things, properly marked, are submitted at the proper price, or are properly off-set (in the case of Rule 201(d)(6).  </w:t>
      </w:r>
      <w:r w:rsidRPr="000D068C">
        <w:rPr>
          <w:u w:val="single"/>
        </w:rPr>
        <w:t>See</w:t>
      </w:r>
      <w:r w:rsidRPr="000D068C">
        <w:t xml:space="preserve"> Exchange Act Release No. 61595 (February 26, 2010) 75 FR 11232, 11286 (March 10, 2010) (“Amendments to Regulation SHO”).  The policies and procedures relating to Rule 201(c) and Rule 201(d)(6) required under the Amendments to Regulation SHO estimated an average initial one-time burden of 160 burden hours per broker-dealer and ongoing compliance cost of 60 hours annually to ensure the policies and procedures are up-to-date and remain in compliance as well as an additional 336 hours annual to monitor, surveil, and enforce trading in compliance with Rule 201.  </w:t>
      </w:r>
      <w:r w:rsidRPr="000D068C">
        <w:rPr>
          <w:u w:val="single"/>
        </w:rPr>
        <w:t>Id.</w:t>
      </w:r>
      <w:r w:rsidRPr="000D068C">
        <w:t xml:space="preserve">  The Commission preliminarily believes that the policies and procedures under the proposed floor member hedging exemption will be substantially less burdensome than those required by the Amendments to Regulation SHO because those policies and procedures require certain technology and real-time monitoring components.  For example, under the Amendments to Regulation SHO described above, broker-dealers’ policies and procedures must be reasonably designed to enable a broker-dealer to monitor, on a real-time basis, the national best bid so as to determine the price at which a broker-dealer may submit a short sale order to a trading center in compliance with Rule 201(c), and off-setting transactions under the riskless principal provision under Rule 201(d)(6) must be allocated to a riskless principal or customer account within 60 seconds of execution.  </w:t>
      </w:r>
      <w:r w:rsidRPr="000D068C">
        <w:rPr>
          <w:u w:val="single"/>
        </w:rPr>
        <w:t>Id.</w:t>
      </w:r>
      <w:r w:rsidRPr="000D068C">
        <w:t xml:space="preserve"> at 11284.  In contrast, the policies and procedures under the proposed amendments to Rule 15b9-1 do not involve a real-time monitoring or technology component.</w:t>
      </w:r>
    </w:p>
  </w:footnote>
  <w:footnote w:id="12">
    <w:p w14:paraId="7D000F6B" w14:textId="3F11C80A" w:rsidR="00885C5E" w:rsidRPr="001D01BC" w:rsidRDefault="00885C5E" w:rsidP="00885C5E">
      <w:pPr>
        <w:pStyle w:val="FootnoteText"/>
        <w:spacing w:after="120" w:line="240" w:lineRule="auto"/>
        <w:ind w:left="720" w:hanging="720"/>
        <w:rPr>
          <w:szCs w:val="24"/>
        </w:rPr>
      </w:pPr>
      <w:r w:rsidRPr="000D068C">
        <w:rPr>
          <w:rStyle w:val="FootnoteReference"/>
          <w:rFonts w:ascii="Times New Roman" w:hAnsi="Times New Roman"/>
        </w:rPr>
        <w:footnoteRef/>
      </w:r>
      <w:r w:rsidRPr="000D068C">
        <w:t xml:space="preserve"> </w:t>
      </w:r>
      <w:r w:rsidRPr="000D068C">
        <w:tab/>
        <w:t xml:space="preserve">This figure is based on the following:  </w:t>
      </w:r>
      <w:r w:rsidR="00BF6678" w:rsidRPr="000D068C">
        <w:t>(</w:t>
      </w:r>
      <w:r w:rsidR="00BF6678">
        <w:t xml:space="preserve">Year 1: </w:t>
      </w:r>
      <w:r w:rsidR="00BF6678" w:rsidRPr="000D068C">
        <w:t>(96 burden hours per dealer) x (100 dealers)</w:t>
      </w:r>
      <w:r w:rsidR="00BF6678">
        <w:t xml:space="preserve">) + </w:t>
      </w:r>
      <w:r w:rsidR="00BF6678" w:rsidRPr="000D068C">
        <w:t>(</w:t>
      </w:r>
      <w:r w:rsidR="00BF6678">
        <w:t xml:space="preserve">Year 2: </w:t>
      </w:r>
      <w:r w:rsidR="00BF6678" w:rsidRPr="000D068C">
        <w:t>(96 burden hours per dealer) x (100 dealers)</w:t>
      </w:r>
      <w:r w:rsidR="00BF6678">
        <w:t xml:space="preserve">) + </w:t>
      </w:r>
      <w:r w:rsidR="00BF6678" w:rsidRPr="000D068C">
        <w:t>(</w:t>
      </w:r>
      <w:r w:rsidR="00BF6678">
        <w:t xml:space="preserve">Year 3: </w:t>
      </w:r>
      <w:r w:rsidR="00BF6678" w:rsidRPr="000D068C">
        <w:t>(96 burden hours per dealer) x (100 dealers)</w:t>
      </w:r>
      <w:r w:rsidR="00BF6678">
        <w:t>))</w:t>
      </w:r>
      <w:r w:rsidR="00BF6678" w:rsidRPr="000D068C">
        <w:t xml:space="preserve"> = </w:t>
      </w:r>
      <w:r w:rsidR="00BF6678">
        <w:t>28,800</w:t>
      </w:r>
      <w:r w:rsidR="00BF6678" w:rsidRPr="000D068C">
        <w:t xml:space="preserve"> burden hours</w:t>
      </w:r>
      <w:r w:rsidR="00BF6678">
        <w:t xml:space="preserve"> ÷ 3 = 9,600 hours per year</w:t>
      </w:r>
      <w:r w:rsidR="00BF6678" w:rsidRPr="000D068C">
        <w:t xml:space="preserve">.  </w:t>
      </w:r>
      <w:r w:rsidRPr="000D068C">
        <w:t xml:space="preserve">In estimating these burden hours, the Commission also examined the estimated initial and ongoing burden hours imposed on registered security-based swap dealers under Regulation SBSR—Reporting and Dissemination of Security-Based Swap Information.  </w:t>
      </w:r>
      <w:r w:rsidRPr="000D068C">
        <w:rPr>
          <w:u w:val="single"/>
        </w:rPr>
        <w:t>See</w:t>
      </w:r>
      <w:r w:rsidRPr="000D068C">
        <w:t xml:space="preserve"> Exchange Act Release No. 74244 (February 11, 2015) 80 FR 14564, 14683 (March 19, 2015) (“Regulation SBSR”).  Regulation SBSR requires registered security-based swap dealers to establish, maintain, and enforce written policies and procedures that are reasonably designed to ensure compliance with any security-based swap transaction reporting obligations.  </w:t>
      </w:r>
      <w:r w:rsidRPr="000D068C">
        <w:rPr>
          <w:u w:val="single"/>
        </w:rPr>
        <w:t>Id.</w:t>
      </w:r>
      <w:r w:rsidRPr="000D068C">
        <w:t xml:space="preserve">  The estimated initial and ongoing compliance burden on registered security-based swap dealers under Regulation SBSR were 216 burden hours and 120 burden hours respectively.  </w:t>
      </w:r>
      <w:r w:rsidRPr="000D068C">
        <w:rPr>
          <w:u w:val="single"/>
        </w:rPr>
        <w:t>Id.</w:t>
      </w:r>
      <w:r w:rsidRPr="000D068C">
        <w:t xml:space="preserve">   The Commission preliminarily believes that the initial and ongoing burden hours under the proposed floor member hedging exemption will be substantially less than for registered security-based swap dealers under Regulation </w:t>
      </w:r>
      <w:r w:rsidRPr="00D3466F">
        <w:t xml:space="preserve">SBSR, because the policies and procedures under Regulation SBSR require programing certain systems for transaction reporting and performing testing of such systems.  </w:t>
      </w:r>
      <w:r w:rsidRPr="00D3466F">
        <w:rPr>
          <w:u w:val="single"/>
        </w:rPr>
        <w:t>Id.</w:t>
      </w:r>
      <w:r w:rsidRPr="00D3466F">
        <w:t xml:space="preserve">  In contrast, the proposed floor member hedging exemption would not necessarily require programming or testing of certain systems and is a much more discrete set of policies and procedures as compared to the more comprehensive policies and procedures required by Regulation SBSR, which cover, among other things, the full scope of reporting security-</w:t>
      </w:r>
      <w:r w:rsidRPr="006C6FCD">
        <w:rPr>
          <w:szCs w:val="24"/>
        </w:rPr>
        <w:t>ba</w:t>
      </w:r>
      <w:r w:rsidRPr="001D01BC">
        <w:rPr>
          <w:szCs w:val="24"/>
        </w:rPr>
        <w:t xml:space="preserve">sed swap transactions by registered security-based swap dealers and others.    </w:t>
      </w:r>
    </w:p>
  </w:footnote>
  <w:footnote w:id="13">
    <w:p w14:paraId="44CD054C" w14:textId="776C2091" w:rsidR="00D3466F" w:rsidRPr="00D3466F" w:rsidRDefault="00D3466F" w:rsidP="00D3466F">
      <w:pPr>
        <w:widowControl/>
        <w:spacing w:after="120"/>
        <w:ind w:left="720" w:right="-20" w:hanging="720"/>
        <w:rPr>
          <w:rFonts w:ascii="Times New Roman" w:hAnsi="Times New Roman"/>
          <w:sz w:val="20"/>
          <w:szCs w:val="20"/>
        </w:rPr>
      </w:pPr>
      <w:r w:rsidRPr="001D01BC">
        <w:rPr>
          <w:rStyle w:val="FootnoteReference"/>
          <w:rFonts w:ascii="Times New Roman" w:hAnsi="Times New Roman"/>
        </w:rPr>
        <w:footnoteRef/>
      </w:r>
      <w:r w:rsidRPr="001D01BC">
        <w:rPr>
          <w:rFonts w:ascii="Times New Roman" w:hAnsi="Times New Roman"/>
        </w:rPr>
        <w:t xml:space="preserve"> </w:t>
      </w:r>
      <w:r w:rsidRPr="001D01BC">
        <w:rPr>
          <w:rFonts w:ascii="Times New Roman" w:hAnsi="Times New Roman"/>
        </w:rPr>
        <w:tab/>
      </w:r>
      <w:r w:rsidRPr="00D3466F">
        <w:rPr>
          <w:rFonts w:ascii="Times New Roman" w:hAnsi="Times New Roman"/>
          <w:spacing w:val="1"/>
        </w:rPr>
        <w:t>30,400</w:t>
      </w:r>
      <w:r w:rsidRPr="001D01BC">
        <w:rPr>
          <w:rFonts w:ascii="Times New Roman" w:hAnsi="Times New Roman"/>
          <w:spacing w:val="-1"/>
        </w:rPr>
        <w:t xml:space="preserve"> h</w:t>
      </w:r>
      <w:r w:rsidRPr="001D01BC">
        <w:rPr>
          <w:rFonts w:ascii="Times New Roman" w:hAnsi="Times New Roman"/>
          <w:spacing w:val="1"/>
        </w:rPr>
        <w:t>o</w:t>
      </w:r>
      <w:r w:rsidRPr="001D01BC">
        <w:rPr>
          <w:rFonts w:ascii="Times New Roman" w:hAnsi="Times New Roman"/>
          <w:spacing w:val="-1"/>
        </w:rPr>
        <w:t>u</w:t>
      </w:r>
      <w:r w:rsidRPr="001D01BC">
        <w:rPr>
          <w:rFonts w:ascii="Times New Roman" w:hAnsi="Times New Roman"/>
          <w:spacing w:val="1"/>
        </w:rPr>
        <w:t>r</w:t>
      </w:r>
      <w:r w:rsidRPr="001D01BC">
        <w:rPr>
          <w:rFonts w:ascii="Times New Roman" w:hAnsi="Times New Roman"/>
          <w:spacing w:val="-1"/>
        </w:rPr>
        <w:t xml:space="preserve">s </w:t>
      </w:r>
      <w:r w:rsidRPr="001D01BC">
        <w:rPr>
          <w:rFonts w:ascii="Times New Roman" w:hAnsi="Times New Roman"/>
        </w:rPr>
        <w:t>÷ 3 = 10,133.33 hours per year.</w:t>
      </w:r>
    </w:p>
  </w:footnote>
  <w:footnote w:id="14">
    <w:p w14:paraId="08511F3C" w14:textId="7BE54148" w:rsidR="00D3466F" w:rsidRPr="00CE3F5E" w:rsidRDefault="00D3466F" w:rsidP="00D3466F">
      <w:pPr>
        <w:pStyle w:val="FootnoteText"/>
        <w:spacing w:after="120"/>
        <w:ind w:left="720" w:hanging="720"/>
      </w:pPr>
      <w:r w:rsidRPr="006C6FCD">
        <w:rPr>
          <w:rStyle w:val="FootnoteReference"/>
          <w:rFonts w:ascii="Times New Roman" w:hAnsi="Times New Roman"/>
        </w:rPr>
        <w:footnoteRef/>
      </w:r>
      <w:r w:rsidRPr="00D3466F">
        <w:t xml:space="preserve"> </w:t>
      </w:r>
      <w:r w:rsidRPr="00D3466F">
        <w:tab/>
        <w:t>30,400 hours ÷ 100 (estimated number of dealers) = 304 ÷ 3 = 101.33 hours per respondent.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98AC" w14:textId="77777777" w:rsidR="00B10008" w:rsidRDefault="00B10008">
    <w:pPr>
      <w:suppressAutoHyphens/>
      <w:spacing w:after="140" w:line="10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7774"/>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C11E0"/>
    <w:multiLevelType w:val="hybridMultilevel"/>
    <w:tmpl w:val="D52E0654"/>
    <w:lvl w:ilvl="0" w:tplc="AFFAB6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F0CEA"/>
    <w:multiLevelType w:val="hybridMultilevel"/>
    <w:tmpl w:val="89F277F4"/>
    <w:lvl w:ilvl="0" w:tplc="E3F605F8">
      <w:start w:val="1"/>
      <w:numFmt w:val="upperLetter"/>
      <w:lvlText w:val="%1."/>
      <w:lvlJc w:val="left"/>
      <w:pPr>
        <w:tabs>
          <w:tab w:val="num" w:pos="1305"/>
        </w:tabs>
        <w:ind w:left="1305" w:hanging="57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
    <w:nsid w:val="284800A2"/>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C76141"/>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262C4"/>
    <w:multiLevelType w:val="hybridMultilevel"/>
    <w:tmpl w:val="6C08F62C"/>
    <w:lvl w:ilvl="0" w:tplc="38709E6E">
      <w:start w:val="1"/>
      <w:numFmt w:val="lowerLetter"/>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544DA1"/>
    <w:multiLevelType w:val="hybridMultilevel"/>
    <w:tmpl w:val="8826A766"/>
    <w:lvl w:ilvl="0" w:tplc="0DB06830">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48776C"/>
    <w:multiLevelType w:val="hybridMultilevel"/>
    <w:tmpl w:val="55D2E7FC"/>
    <w:lvl w:ilvl="0" w:tplc="9D7C08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5"/>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07"/>
    <w:rsid w:val="00000682"/>
    <w:rsid w:val="00002252"/>
    <w:rsid w:val="00003342"/>
    <w:rsid w:val="00004895"/>
    <w:rsid w:val="00007C53"/>
    <w:rsid w:val="000107C4"/>
    <w:rsid w:val="000179A0"/>
    <w:rsid w:val="00027B58"/>
    <w:rsid w:val="000310EB"/>
    <w:rsid w:val="000327D6"/>
    <w:rsid w:val="00032A3F"/>
    <w:rsid w:val="00044E71"/>
    <w:rsid w:val="00050A8F"/>
    <w:rsid w:val="00055DEE"/>
    <w:rsid w:val="00057D30"/>
    <w:rsid w:val="000637CE"/>
    <w:rsid w:val="00071585"/>
    <w:rsid w:val="0007760D"/>
    <w:rsid w:val="000A047A"/>
    <w:rsid w:val="000A4A94"/>
    <w:rsid w:val="000A523F"/>
    <w:rsid w:val="000A6E97"/>
    <w:rsid w:val="000B217E"/>
    <w:rsid w:val="000B4340"/>
    <w:rsid w:val="000B5D45"/>
    <w:rsid w:val="000C33FB"/>
    <w:rsid w:val="000C6658"/>
    <w:rsid w:val="000C697C"/>
    <w:rsid w:val="000D068C"/>
    <w:rsid w:val="000E20B9"/>
    <w:rsid w:val="000E4781"/>
    <w:rsid w:val="000E4E9A"/>
    <w:rsid w:val="000E7989"/>
    <w:rsid w:val="000F0DF1"/>
    <w:rsid w:val="000F6DB4"/>
    <w:rsid w:val="001042D8"/>
    <w:rsid w:val="00104B26"/>
    <w:rsid w:val="00106E3C"/>
    <w:rsid w:val="0011284E"/>
    <w:rsid w:val="00116DAA"/>
    <w:rsid w:val="001172A2"/>
    <w:rsid w:val="00120642"/>
    <w:rsid w:val="001267E6"/>
    <w:rsid w:val="001323DD"/>
    <w:rsid w:val="0013351B"/>
    <w:rsid w:val="00133B34"/>
    <w:rsid w:val="0014041E"/>
    <w:rsid w:val="001500A9"/>
    <w:rsid w:val="001535EE"/>
    <w:rsid w:val="00157E9E"/>
    <w:rsid w:val="0016284C"/>
    <w:rsid w:val="00167C65"/>
    <w:rsid w:val="00173468"/>
    <w:rsid w:val="00177163"/>
    <w:rsid w:val="00177C60"/>
    <w:rsid w:val="00183CDC"/>
    <w:rsid w:val="00190B59"/>
    <w:rsid w:val="00191ECA"/>
    <w:rsid w:val="001B67A3"/>
    <w:rsid w:val="001C0BD8"/>
    <w:rsid w:val="001C37EE"/>
    <w:rsid w:val="001D01BC"/>
    <w:rsid w:val="001D1E1D"/>
    <w:rsid w:val="001D3938"/>
    <w:rsid w:val="001E4690"/>
    <w:rsid w:val="001F0666"/>
    <w:rsid w:val="001F17BF"/>
    <w:rsid w:val="001F203C"/>
    <w:rsid w:val="001F27B8"/>
    <w:rsid w:val="001F2F83"/>
    <w:rsid w:val="001F33AC"/>
    <w:rsid w:val="001F42B9"/>
    <w:rsid w:val="001F7BFB"/>
    <w:rsid w:val="00204E0C"/>
    <w:rsid w:val="00205469"/>
    <w:rsid w:val="0023521D"/>
    <w:rsid w:val="002369F5"/>
    <w:rsid w:val="0024202D"/>
    <w:rsid w:val="0024237A"/>
    <w:rsid w:val="002429CE"/>
    <w:rsid w:val="002511DF"/>
    <w:rsid w:val="00252F01"/>
    <w:rsid w:val="00257A83"/>
    <w:rsid w:val="002603F8"/>
    <w:rsid w:val="00262F6F"/>
    <w:rsid w:val="00264025"/>
    <w:rsid w:val="00264924"/>
    <w:rsid w:val="0026558D"/>
    <w:rsid w:val="00267EF4"/>
    <w:rsid w:val="00271F26"/>
    <w:rsid w:val="00275C72"/>
    <w:rsid w:val="002862FC"/>
    <w:rsid w:val="00286B62"/>
    <w:rsid w:val="00290391"/>
    <w:rsid w:val="00293988"/>
    <w:rsid w:val="00296BA9"/>
    <w:rsid w:val="002A4DA7"/>
    <w:rsid w:val="002A5127"/>
    <w:rsid w:val="002A5EB5"/>
    <w:rsid w:val="002B6105"/>
    <w:rsid w:val="002B6857"/>
    <w:rsid w:val="002C400B"/>
    <w:rsid w:val="002D02A5"/>
    <w:rsid w:val="002D21BD"/>
    <w:rsid w:val="002D2A2D"/>
    <w:rsid w:val="002D30DD"/>
    <w:rsid w:val="002D5108"/>
    <w:rsid w:val="002D6D44"/>
    <w:rsid w:val="002E3E85"/>
    <w:rsid w:val="002E4A5A"/>
    <w:rsid w:val="002E63CA"/>
    <w:rsid w:val="002F2732"/>
    <w:rsid w:val="002F4651"/>
    <w:rsid w:val="0030750A"/>
    <w:rsid w:val="0031174C"/>
    <w:rsid w:val="00312F06"/>
    <w:rsid w:val="0031352A"/>
    <w:rsid w:val="00316848"/>
    <w:rsid w:val="0032599E"/>
    <w:rsid w:val="00325A9E"/>
    <w:rsid w:val="00331EE3"/>
    <w:rsid w:val="00344553"/>
    <w:rsid w:val="003607CF"/>
    <w:rsid w:val="00360EEE"/>
    <w:rsid w:val="00361762"/>
    <w:rsid w:val="003625C3"/>
    <w:rsid w:val="00363A9B"/>
    <w:rsid w:val="003803DA"/>
    <w:rsid w:val="00385046"/>
    <w:rsid w:val="0039001A"/>
    <w:rsid w:val="003932C8"/>
    <w:rsid w:val="00393A01"/>
    <w:rsid w:val="00395794"/>
    <w:rsid w:val="003A0623"/>
    <w:rsid w:val="003A2252"/>
    <w:rsid w:val="003A2726"/>
    <w:rsid w:val="003A5254"/>
    <w:rsid w:val="003B40A6"/>
    <w:rsid w:val="003C1A47"/>
    <w:rsid w:val="003C5DC6"/>
    <w:rsid w:val="003D3B1D"/>
    <w:rsid w:val="003E1B7C"/>
    <w:rsid w:val="003E5AD0"/>
    <w:rsid w:val="003E6FD0"/>
    <w:rsid w:val="00414D16"/>
    <w:rsid w:val="0041582C"/>
    <w:rsid w:val="00416390"/>
    <w:rsid w:val="004219EE"/>
    <w:rsid w:val="00424051"/>
    <w:rsid w:val="0042775C"/>
    <w:rsid w:val="00436151"/>
    <w:rsid w:val="00440448"/>
    <w:rsid w:val="00441A91"/>
    <w:rsid w:val="004451F5"/>
    <w:rsid w:val="0044575A"/>
    <w:rsid w:val="0045187C"/>
    <w:rsid w:val="00453E59"/>
    <w:rsid w:val="00460189"/>
    <w:rsid w:val="00460BA2"/>
    <w:rsid w:val="004713FA"/>
    <w:rsid w:val="004759D6"/>
    <w:rsid w:val="0047713E"/>
    <w:rsid w:val="004814E4"/>
    <w:rsid w:val="004857C6"/>
    <w:rsid w:val="00485E65"/>
    <w:rsid w:val="004869CB"/>
    <w:rsid w:val="00491DC5"/>
    <w:rsid w:val="00493855"/>
    <w:rsid w:val="00494830"/>
    <w:rsid w:val="00497E0F"/>
    <w:rsid w:val="004A066F"/>
    <w:rsid w:val="004A1C5A"/>
    <w:rsid w:val="004A5CC2"/>
    <w:rsid w:val="004A6BAB"/>
    <w:rsid w:val="004B149C"/>
    <w:rsid w:val="004B3B8B"/>
    <w:rsid w:val="004B468F"/>
    <w:rsid w:val="004C739D"/>
    <w:rsid w:val="004D2130"/>
    <w:rsid w:val="004D645C"/>
    <w:rsid w:val="004D792B"/>
    <w:rsid w:val="004D7AB5"/>
    <w:rsid w:val="004E4186"/>
    <w:rsid w:val="004F575B"/>
    <w:rsid w:val="00501DBA"/>
    <w:rsid w:val="005118C0"/>
    <w:rsid w:val="0051468E"/>
    <w:rsid w:val="00515960"/>
    <w:rsid w:val="00517F86"/>
    <w:rsid w:val="0052196F"/>
    <w:rsid w:val="00525476"/>
    <w:rsid w:val="0053069D"/>
    <w:rsid w:val="005437B3"/>
    <w:rsid w:val="00543EC7"/>
    <w:rsid w:val="00546251"/>
    <w:rsid w:val="00551BAD"/>
    <w:rsid w:val="005579B8"/>
    <w:rsid w:val="00566BAA"/>
    <w:rsid w:val="00566E46"/>
    <w:rsid w:val="00567024"/>
    <w:rsid w:val="00572811"/>
    <w:rsid w:val="0057316C"/>
    <w:rsid w:val="005742FD"/>
    <w:rsid w:val="00577EB8"/>
    <w:rsid w:val="005872BB"/>
    <w:rsid w:val="00587CAC"/>
    <w:rsid w:val="00594888"/>
    <w:rsid w:val="005A093D"/>
    <w:rsid w:val="005A431E"/>
    <w:rsid w:val="005B4568"/>
    <w:rsid w:val="005B75B3"/>
    <w:rsid w:val="005B7A9B"/>
    <w:rsid w:val="005C028E"/>
    <w:rsid w:val="005C0866"/>
    <w:rsid w:val="005C2C82"/>
    <w:rsid w:val="005D0B37"/>
    <w:rsid w:val="005D2BB0"/>
    <w:rsid w:val="005D718D"/>
    <w:rsid w:val="005F3491"/>
    <w:rsid w:val="005F7224"/>
    <w:rsid w:val="00600D78"/>
    <w:rsid w:val="00603439"/>
    <w:rsid w:val="0060504E"/>
    <w:rsid w:val="006107FC"/>
    <w:rsid w:val="00611879"/>
    <w:rsid w:val="00612D3E"/>
    <w:rsid w:val="006259E1"/>
    <w:rsid w:val="00632B29"/>
    <w:rsid w:val="00633CFD"/>
    <w:rsid w:val="006369CD"/>
    <w:rsid w:val="00636C07"/>
    <w:rsid w:val="00637F44"/>
    <w:rsid w:val="0064323F"/>
    <w:rsid w:val="006466C8"/>
    <w:rsid w:val="00653C11"/>
    <w:rsid w:val="0065571E"/>
    <w:rsid w:val="00660064"/>
    <w:rsid w:val="00661135"/>
    <w:rsid w:val="006612BF"/>
    <w:rsid w:val="00665F0B"/>
    <w:rsid w:val="00672F39"/>
    <w:rsid w:val="0068225C"/>
    <w:rsid w:val="0068308F"/>
    <w:rsid w:val="00684BDE"/>
    <w:rsid w:val="00695FCA"/>
    <w:rsid w:val="006A4FE1"/>
    <w:rsid w:val="006B12D8"/>
    <w:rsid w:val="006B40B4"/>
    <w:rsid w:val="006B6683"/>
    <w:rsid w:val="006B71C7"/>
    <w:rsid w:val="006C3237"/>
    <w:rsid w:val="006C6FCD"/>
    <w:rsid w:val="006D03C6"/>
    <w:rsid w:val="006D2FDF"/>
    <w:rsid w:val="006D3A9A"/>
    <w:rsid w:val="006D45E5"/>
    <w:rsid w:val="006D4D6B"/>
    <w:rsid w:val="006D58F8"/>
    <w:rsid w:val="006D5C85"/>
    <w:rsid w:val="006D74FA"/>
    <w:rsid w:val="006E2895"/>
    <w:rsid w:val="006E3DE1"/>
    <w:rsid w:val="006F2E1B"/>
    <w:rsid w:val="00706C4E"/>
    <w:rsid w:val="00711CA3"/>
    <w:rsid w:val="00727AC5"/>
    <w:rsid w:val="0073567A"/>
    <w:rsid w:val="00736A92"/>
    <w:rsid w:val="007440EB"/>
    <w:rsid w:val="0074427D"/>
    <w:rsid w:val="007451E0"/>
    <w:rsid w:val="007459AA"/>
    <w:rsid w:val="00750CC2"/>
    <w:rsid w:val="007516FB"/>
    <w:rsid w:val="00752248"/>
    <w:rsid w:val="00756D27"/>
    <w:rsid w:val="00760452"/>
    <w:rsid w:val="007619BD"/>
    <w:rsid w:val="00767CB0"/>
    <w:rsid w:val="0077093A"/>
    <w:rsid w:val="00776BA9"/>
    <w:rsid w:val="00787EC8"/>
    <w:rsid w:val="00792E9A"/>
    <w:rsid w:val="007933AC"/>
    <w:rsid w:val="00793E1A"/>
    <w:rsid w:val="007967CC"/>
    <w:rsid w:val="00797FDE"/>
    <w:rsid w:val="007A1C30"/>
    <w:rsid w:val="007A3960"/>
    <w:rsid w:val="007B0A52"/>
    <w:rsid w:val="007B262F"/>
    <w:rsid w:val="007B4A0D"/>
    <w:rsid w:val="007C139E"/>
    <w:rsid w:val="007C4DDF"/>
    <w:rsid w:val="007C5164"/>
    <w:rsid w:val="007D0D84"/>
    <w:rsid w:val="007D561B"/>
    <w:rsid w:val="007D5B78"/>
    <w:rsid w:val="007E6956"/>
    <w:rsid w:val="007F1CF5"/>
    <w:rsid w:val="007F2C35"/>
    <w:rsid w:val="007F6099"/>
    <w:rsid w:val="007F6DD0"/>
    <w:rsid w:val="00800040"/>
    <w:rsid w:val="00814592"/>
    <w:rsid w:val="00822045"/>
    <w:rsid w:val="00833603"/>
    <w:rsid w:val="00840449"/>
    <w:rsid w:val="00843880"/>
    <w:rsid w:val="0085154A"/>
    <w:rsid w:val="00853284"/>
    <w:rsid w:val="00860ABE"/>
    <w:rsid w:val="00860BF5"/>
    <w:rsid w:val="0086538A"/>
    <w:rsid w:val="00865FEB"/>
    <w:rsid w:val="00870E9F"/>
    <w:rsid w:val="00871206"/>
    <w:rsid w:val="00876348"/>
    <w:rsid w:val="00885369"/>
    <w:rsid w:val="00885C5E"/>
    <w:rsid w:val="00886D93"/>
    <w:rsid w:val="008919B9"/>
    <w:rsid w:val="008924AE"/>
    <w:rsid w:val="008A0571"/>
    <w:rsid w:val="008A081B"/>
    <w:rsid w:val="008A2EAA"/>
    <w:rsid w:val="008A4AD4"/>
    <w:rsid w:val="008A6837"/>
    <w:rsid w:val="008A73B4"/>
    <w:rsid w:val="008B2A75"/>
    <w:rsid w:val="008B45D8"/>
    <w:rsid w:val="008B6868"/>
    <w:rsid w:val="008C1C61"/>
    <w:rsid w:val="008C2677"/>
    <w:rsid w:val="008C7CC2"/>
    <w:rsid w:val="008D0618"/>
    <w:rsid w:val="008D1152"/>
    <w:rsid w:val="008D6442"/>
    <w:rsid w:val="008E26BF"/>
    <w:rsid w:val="008F0C76"/>
    <w:rsid w:val="008F2266"/>
    <w:rsid w:val="00900CC3"/>
    <w:rsid w:val="00900E39"/>
    <w:rsid w:val="00902A85"/>
    <w:rsid w:val="009072C0"/>
    <w:rsid w:val="0090769E"/>
    <w:rsid w:val="00913C80"/>
    <w:rsid w:val="00917A4C"/>
    <w:rsid w:val="0092075F"/>
    <w:rsid w:val="0092170B"/>
    <w:rsid w:val="00921B06"/>
    <w:rsid w:val="0092508B"/>
    <w:rsid w:val="009308E8"/>
    <w:rsid w:val="00930959"/>
    <w:rsid w:val="00931498"/>
    <w:rsid w:val="00931657"/>
    <w:rsid w:val="00932F2D"/>
    <w:rsid w:val="009361F5"/>
    <w:rsid w:val="0093697E"/>
    <w:rsid w:val="00945867"/>
    <w:rsid w:val="00947499"/>
    <w:rsid w:val="00956B69"/>
    <w:rsid w:val="009602EC"/>
    <w:rsid w:val="00962591"/>
    <w:rsid w:val="00964299"/>
    <w:rsid w:val="00965BAB"/>
    <w:rsid w:val="00966444"/>
    <w:rsid w:val="00972EB8"/>
    <w:rsid w:val="00973407"/>
    <w:rsid w:val="00974289"/>
    <w:rsid w:val="009769D8"/>
    <w:rsid w:val="009855EA"/>
    <w:rsid w:val="00994E20"/>
    <w:rsid w:val="009A0804"/>
    <w:rsid w:val="009A0B84"/>
    <w:rsid w:val="009A7EA0"/>
    <w:rsid w:val="009B1BFE"/>
    <w:rsid w:val="009B6E8A"/>
    <w:rsid w:val="009D6986"/>
    <w:rsid w:val="009F18ED"/>
    <w:rsid w:val="009F410B"/>
    <w:rsid w:val="009F632C"/>
    <w:rsid w:val="00A07294"/>
    <w:rsid w:val="00A10746"/>
    <w:rsid w:val="00A136E4"/>
    <w:rsid w:val="00A2145C"/>
    <w:rsid w:val="00A21FF6"/>
    <w:rsid w:val="00A259C9"/>
    <w:rsid w:val="00A31619"/>
    <w:rsid w:val="00A316D0"/>
    <w:rsid w:val="00A34BFD"/>
    <w:rsid w:val="00A3519A"/>
    <w:rsid w:val="00A37842"/>
    <w:rsid w:val="00A378FF"/>
    <w:rsid w:val="00A40C25"/>
    <w:rsid w:val="00A410E2"/>
    <w:rsid w:val="00A45A34"/>
    <w:rsid w:val="00A479EE"/>
    <w:rsid w:val="00A54120"/>
    <w:rsid w:val="00A70173"/>
    <w:rsid w:val="00A73674"/>
    <w:rsid w:val="00A73B71"/>
    <w:rsid w:val="00A80C32"/>
    <w:rsid w:val="00A82202"/>
    <w:rsid w:val="00A86AE0"/>
    <w:rsid w:val="00A9059C"/>
    <w:rsid w:val="00A919FC"/>
    <w:rsid w:val="00A94643"/>
    <w:rsid w:val="00AA3EF2"/>
    <w:rsid w:val="00AA6049"/>
    <w:rsid w:val="00AB1917"/>
    <w:rsid w:val="00AC7F0D"/>
    <w:rsid w:val="00AD159C"/>
    <w:rsid w:val="00AE16E9"/>
    <w:rsid w:val="00AE465F"/>
    <w:rsid w:val="00AF63D5"/>
    <w:rsid w:val="00B066F5"/>
    <w:rsid w:val="00B06D73"/>
    <w:rsid w:val="00B07C2D"/>
    <w:rsid w:val="00B10008"/>
    <w:rsid w:val="00B14B37"/>
    <w:rsid w:val="00B23FBD"/>
    <w:rsid w:val="00B2786F"/>
    <w:rsid w:val="00B3104B"/>
    <w:rsid w:val="00B33D3E"/>
    <w:rsid w:val="00B3432B"/>
    <w:rsid w:val="00B364D8"/>
    <w:rsid w:val="00B36A00"/>
    <w:rsid w:val="00B41891"/>
    <w:rsid w:val="00B41B0D"/>
    <w:rsid w:val="00B45376"/>
    <w:rsid w:val="00B53E0A"/>
    <w:rsid w:val="00B551BD"/>
    <w:rsid w:val="00B62035"/>
    <w:rsid w:val="00B67B58"/>
    <w:rsid w:val="00B72572"/>
    <w:rsid w:val="00B73AD5"/>
    <w:rsid w:val="00B82BD7"/>
    <w:rsid w:val="00B90134"/>
    <w:rsid w:val="00B91332"/>
    <w:rsid w:val="00B9320E"/>
    <w:rsid w:val="00B96A65"/>
    <w:rsid w:val="00B97CDE"/>
    <w:rsid w:val="00BA0B49"/>
    <w:rsid w:val="00BA105C"/>
    <w:rsid w:val="00BB1145"/>
    <w:rsid w:val="00BB5A04"/>
    <w:rsid w:val="00BB7B0C"/>
    <w:rsid w:val="00BC0B8C"/>
    <w:rsid w:val="00BC1BC3"/>
    <w:rsid w:val="00BC2531"/>
    <w:rsid w:val="00BD260F"/>
    <w:rsid w:val="00BD31E7"/>
    <w:rsid w:val="00BD6E36"/>
    <w:rsid w:val="00BE4729"/>
    <w:rsid w:val="00BE51F0"/>
    <w:rsid w:val="00BF018D"/>
    <w:rsid w:val="00BF0F37"/>
    <w:rsid w:val="00BF1D8B"/>
    <w:rsid w:val="00BF445B"/>
    <w:rsid w:val="00BF6678"/>
    <w:rsid w:val="00C0235F"/>
    <w:rsid w:val="00C048FB"/>
    <w:rsid w:val="00C07F1F"/>
    <w:rsid w:val="00C1121C"/>
    <w:rsid w:val="00C17946"/>
    <w:rsid w:val="00C268B2"/>
    <w:rsid w:val="00C35801"/>
    <w:rsid w:val="00C35849"/>
    <w:rsid w:val="00C40D65"/>
    <w:rsid w:val="00C439EB"/>
    <w:rsid w:val="00C44713"/>
    <w:rsid w:val="00C46195"/>
    <w:rsid w:val="00C46207"/>
    <w:rsid w:val="00C47A50"/>
    <w:rsid w:val="00C5010C"/>
    <w:rsid w:val="00C505E9"/>
    <w:rsid w:val="00C5401B"/>
    <w:rsid w:val="00C54DEF"/>
    <w:rsid w:val="00C57FD1"/>
    <w:rsid w:val="00C6728A"/>
    <w:rsid w:val="00C71A69"/>
    <w:rsid w:val="00C80F67"/>
    <w:rsid w:val="00C840D0"/>
    <w:rsid w:val="00C90A61"/>
    <w:rsid w:val="00C92032"/>
    <w:rsid w:val="00C92C91"/>
    <w:rsid w:val="00C94463"/>
    <w:rsid w:val="00C97689"/>
    <w:rsid w:val="00CA1301"/>
    <w:rsid w:val="00CA2963"/>
    <w:rsid w:val="00CB217D"/>
    <w:rsid w:val="00CB30AD"/>
    <w:rsid w:val="00CB352F"/>
    <w:rsid w:val="00CB5127"/>
    <w:rsid w:val="00CC0EDC"/>
    <w:rsid w:val="00CC1F5E"/>
    <w:rsid w:val="00CC2B3E"/>
    <w:rsid w:val="00CC491B"/>
    <w:rsid w:val="00CD01FC"/>
    <w:rsid w:val="00CE0B14"/>
    <w:rsid w:val="00CE4BC5"/>
    <w:rsid w:val="00CF25C7"/>
    <w:rsid w:val="00CF50BA"/>
    <w:rsid w:val="00D22E07"/>
    <w:rsid w:val="00D2471D"/>
    <w:rsid w:val="00D27007"/>
    <w:rsid w:val="00D32D88"/>
    <w:rsid w:val="00D32E67"/>
    <w:rsid w:val="00D3466F"/>
    <w:rsid w:val="00D3472F"/>
    <w:rsid w:val="00D512E3"/>
    <w:rsid w:val="00D54C34"/>
    <w:rsid w:val="00D54CFD"/>
    <w:rsid w:val="00D560F3"/>
    <w:rsid w:val="00D60CA9"/>
    <w:rsid w:val="00D60FCB"/>
    <w:rsid w:val="00D677F5"/>
    <w:rsid w:val="00D703EA"/>
    <w:rsid w:val="00D72567"/>
    <w:rsid w:val="00D75BB2"/>
    <w:rsid w:val="00D75C50"/>
    <w:rsid w:val="00D805D0"/>
    <w:rsid w:val="00D834C8"/>
    <w:rsid w:val="00D910B2"/>
    <w:rsid w:val="00D94DBE"/>
    <w:rsid w:val="00D94E01"/>
    <w:rsid w:val="00D95E5E"/>
    <w:rsid w:val="00D9781D"/>
    <w:rsid w:val="00DA6BE7"/>
    <w:rsid w:val="00DC2127"/>
    <w:rsid w:val="00DC257D"/>
    <w:rsid w:val="00DC74F5"/>
    <w:rsid w:val="00DD115E"/>
    <w:rsid w:val="00DD18BA"/>
    <w:rsid w:val="00DD76F2"/>
    <w:rsid w:val="00DE0BED"/>
    <w:rsid w:val="00DE0D47"/>
    <w:rsid w:val="00DE18E0"/>
    <w:rsid w:val="00DE5648"/>
    <w:rsid w:val="00DF5987"/>
    <w:rsid w:val="00E00611"/>
    <w:rsid w:val="00E01A2F"/>
    <w:rsid w:val="00E056E0"/>
    <w:rsid w:val="00E05BFA"/>
    <w:rsid w:val="00E065D6"/>
    <w:rsid w:val="00E13D16"/>
    <w:rsid w:val="00E141D6"/>
    <w:rsid w:val="00E14B5A"/>
    <w:rsid w:val="00E157B2"/>
    <w:rsid w:val="00E16530"/>
    <w:rsid w:val="00E21FC9"/>
    <w:rsid w:val="00E232A4"/>
    <w:rsid w:val="00E31CCD"/>
    <w:rsid w:val="00E321F2"/>
    <w:rsid w:val="00E40C58"/>
    <w:rsid w:val="00E416E4"/>
    <w:rsid w:val="00E41D7E"/>
    <w:rsid w:val="00E42BC0"/>
    <w:rsid w:val="00E442E8"/>
    <w:rsid w:val="00E52FD6"/>
    <w:rsid w:val="00E53818"/>
    <w:rsid w:val="00E564F5"/>
    <w:rsid w:val="00E727E5"/>
    <w:rsid w:val="00E768B5"/>
    <w:rsid w:val="00E82B85"/>
    <w:rsid w:val="00E85880"/>
    <w:rsid w:val="00E95705"/>
    <w:rsid w:val="00EA728F"/>
    <w:rsid w:val="00EB0FF3"/>
    <w:rsid w:val="00EB134B"/>
    <w:rsid w:val="00EC61CF"/>
    <w:rsid w:val="00ED2F85"/>
    <w:rsid w:val="00ED52D8"/>
    <w:rsid w:val="00EE7BD6"/>
    <w:rsid w:val="00EF51CE"/>
    <w:rsid w:val="00EF75B4"/>
    <w:rsid w:val="00F0217D"/>
    <w:rsid w:val="00F05042"/>
    <w:rsid w:val="00F05B9D"/>
    <w:rsid w:val="00F156C5"/>
    <w:rsid w:val="00F16105"/>
    <w:rsid w:val="00F252B0"/>
    <w:rsid w:val="00F31466"/>
    <w:rsid w:val="00F32EAE"/>
    <w:rsid w:val="00F33FAF"/>
    <w:rsid w:val="00F45861"/>
    <w:rsid w:val="00F46F59"/>
    <w:rsid w:val="00F55F53"/>
    <w:rsid w:val="00F653AF"/>
    <w:rsid w:val="00F744B2"/>
    <w:rsid w:val="00F75988"/>
    <w:rsid w:val="00F778DB"/>
    <w:rsid w:val="00F8460D"/>
    <w:rsid w:val="00F946F5"/>
    <w:rsid w:val="00F961AB"/>
    <w:rsid w:val="00FA3CA2"/>
    <w:rsid w:val="00FA513F"/>
    <w:rsid w:val="00FA562D"/>
    <w:rsid w:val="00FA64DB"/>
    <w:rsid w:val="00FA6E31"/>
    <w:rsid w:val="00FA742E"/>
    <w:rsid w:val="00FB7F80"/>
    <w:rsid w:val="00FC2AEC"/>
    <w:rsid w:val="00FC7D11"/>
    <w:rsid w:val="00FD0B37"/>
    <w:rsid w:val="00FD0DE4"/>
    <w:rsid w:val="00FD1BC1"/>
    <w:rsid w:val="00FD31F3"/>
    <w:rsid w:val="00FD5A82"/>
    <w:rsid w:val="00FE0AE5"/>
    <w:rsid w:val="00FE0EA2"/>
    <w:rsid w:val="00FE143C"/>
    <w:rsid w:val="00FE30ED"/>
    <w:rsid w:val="00FE547B"/>
    <w:rsid w:val="00FE603A"/>
    <w:rsid w:val="00FE605C"/>
    <w:rsid w:val="00FF32D0"/>
    <w:rsid w:val="00FF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60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7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A047A"/>
    <w:pPr>
      <w:keepNext/>
      <w:tabs>
        <w:tab w:val="left" w:pos="-720"/>
      </w:tabs>
      <w:suppressAutoHyphens/>
      <w:spacing w:line="480" w:lineRule="atLeast"/>
      <w:outlineLvl w:val="0"/>
    </w:pPr>
    <w:rPr>
      <w:b/>
      <w:bCs/>
    </w:rPr>
  </w:style>
  <w:style w:type="paragraph" w:styleId="Heading3">
    <w:name w:val="heading 3"/>
    <w:basedOn w:val="Normal"/>
    <w:next w:val="Normal"/>
    <w:link w:val="Heading3Char"/>
    <w:semiHidden/>
    <w:unhideWhenUsed/>
    <w:qFormat/>
    <w:rsid w:val="00921B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047A"/>
    <w:rPr>
      <w:sz w:val="20"/>
    </w:rPr>
  </w:style>
  <w:style w:type="character" w:styleId="EndnoteReference">
    <w:name w:val="endnote reference"/>
    <w:basedOn w:val="DefaultParagraphFont"/>
    <w:semiHidden/>
    <w:rsid w:val="000A047A"/>
    <w:rPr>
      <w:rFonts w:ascii="Courier" w:hAnsi="Courier"/>
      <w:sz w:val="24"/>
      <w:szCs w:val="24"/>
      <w:vertAlign w:val="superscript"/>
      <w:lang w:val="en-US"/>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E05BFA"/>
    <w:pPr>
      <w:tabs>
        <w:tab w:val="left" w:pos="-720"/>
      </w:tabs>
      <w:suppressAutoHyphens/>
      <w:spacing w:line="240" w:lineRule="atLeast"/>
    </w:pPr>
    <w:rPr>
      <w:rFonts w:ascii="Times New Roman" w:hAnsi="Times New Roman"/>
      <w:szCs w:val="20"/>
    </w:rPr>
  </w:style>
  <w:style w:type="character" w:styleId="FootnoteReference">
    <w:name w:val="footnote reference"/>
    <w:aliases w:val="fr,Style 19,Style 16,Style 39,Style 14,Style 35,12,Style 6,Footnote Reference Superscript,SUPERS,BVI fnr,Footnote symbol,(Footnote Reference),Footnote reference number,note TESI,EN Footnote Reference,Voetnootverwijzing"/>
    <w:basedOn w:val="DefaultParagraphFont"/>
    <w:uiPriority w:val="99"/>
    <w:qFormat/>
    <w:rsid w:val="000A047A"/>
    <w:rPr>
      <w:rFonts w:ascii="Courier" w:hAnsi="Courier"/>
      <w:sz w:val="24"/>
      <w:szCs w:val="24"/>
      <w:vertAlign w:val="superscript"/>
      <w:lang w:val="en-US"/>
    </w:rPr>
  </w:style>
  <w:style w:type="character" w:customStyle="1" w:styleId="2">
    <w:name w:val="2"/>
    <w:basedOn w:val="DefaultParagraphFont"/>
    <w:rsid w:val="000A047A"/>
    <w:rPr>
      <w:rFonts w:ascii="Courier" w:hAnsi="Courier"/>
      <w:sz w:val="24"/>
      <w:szCs w:val="24"/>
      <w:lang w:val="en-US"/>
    </w:rPr>
  </w:style>
  <w:style w:type="character" w:customStyle="1" w:styleId="Heading">
    <w:name w:val="Heading"/>
    <w:basedOn w:val="DefaultParagraphFont"/>
    <w:rsid w:val="000A047A"/>
  </w:style>
  <w:style w:type="character" w:customStyle="1" w:styleId="RightPar">
    <w:name w:val="Right Par"/>
    <w:basedOn w:val="DefaultParagraphFont"/>
    <w:rsid w:val="000A047A"/>
  </w:style>
  <w:style w:type="character" w:customStyle="1" w:styleId="Bibliogrphy">
    <w:name w:val="Bibliogrphy"/>
    <w:basedOn w:val="DefaultParagraphFont"/>
    <w:rsid w:val="000A047A"/>
  </w:style>
  <w:style w:type="character" w:customStyle="1" w:styleId="Subheading">
    <w:name w:val="Subheading"/>
    <w:basedOn w:val="DefaultParagraphFont"/>
    <w:rsid w:val="000A047A"/>
  </w:style>
  <w:style w:type="character" w:customStyle="1" w:styleId="1">
    <w:name w:val="1"/>
    <w:basedOn w:val="DefaultParagraphFont"/>
    <w:rsid w:val="000A047A"/>
    <w:rPr>
      <w:rFonts w:ascii="Courier" w:hAnsi="Courier"/>
      <w:sz w:val="24"/>
      <w:szCs w:val="24"/>
      <w:lang w:val="en-US"/>
    </w:rPr>
  </w:style>
  <w:style w:type="character" w:customStyle="1" w:styleId="Document8">
    <w:name w:val="Document 8"/>
    <w:basedOn w:val="DefaultParagraphFont"/>
    <w:rsid w:val="000A047A"/>
  </w:style>
  <w:style w:type="character" w:customStyle="1" w:styleId="Document4">
    <w:name w:val="Document 4"/>
    <w:basedOn w:val="DefaultParagraphFont"/>
    <w:rsid w:val="000A047A"/>
    <w:rPr>
      <w:b/>
      <w:bCs/>
      <w:i/>
      <w:iCs/>
      <w:sz w:val="24"/>
      <w:szCs w:val="24"/>
    </w:rPr>
  </w:style>
  <w:style w:type="character" w:customStyle="1" w:styleId="Document6">
    <w:name w:val="Document 6"/>
    <w:basedOn w:val="DefaultParagraphFont"/>
    <w:rsid w:val="000A047A"/>
  </w:style>
  <w:style w:type="character" w:customStyle="1" w:styleId="Document5">
    <w:name w:val="Document 5"/>
    <w:basedOn w:val="DefaultParagraphFont"/>
    <w:rsid w:val="000A047A"/>
  </w:style>
  <w:style w:type="character" w:customStyle="1" w:styleId="Document2">
    <w:name w:val="Document 2"/>
    <w:basedOn w:val="DefaultParagraphFont"/>
    <w:rsid w:val="000A047A"/>
    <w:rPr>
      <w:rFonts w:ascii="Courier" w:hAnsi="Courier"/>
      <w:sz w:val="24"/>
      <w:szCs w:val="24"/>
      <w:lang w:val="en-US"/>
    </w:rPr>
  </w:style>
  <w:style w:type="character" w:customStyle="1" w:styleId="Document7">
    <w:name w:val="Document 7"/>
    <w:basedOn w:val="DefaultParagraphFont"/>
    <w:rsid w:val="000A047A"/>
  </w:style>
  <w:style w:type="character" w:customStyle="1" w:styleId="RightPar1">
    <w:name w:val="Right Par 1"/>
    <w:basedOn w:val="DefaultParagraphFont"/>
    <w:rsid w:val="000A047A"/>
  </w:style>
  <w:style w:type="character" w:customStyle="1" w:styleId="RightPar2">
    <w:name w:val="Right Par 2"/>
    <w:basedOn w:val="DefaultParagraphFont"/>
    <w:rsid w:val="000A047A"/>
  </w:style>
  <w:style w:type="character" w:customStyle="1" w:styleId="Document3">
    <w:name w:val="Document 3"/>
    <w:basedOn w:val="DefaultParagraphFont"/>
    <w:rsid w:val="000A047A"/>
    <w:rPr>
      <w:rFonts w:ascii="Courier" w:hAnsi="Courier"/>
      <w:sz w:val="24"/>
      <w:szCs w:val="24"/>
      <w:lang w:val="en-US"/>
    </w:rPr>
  </w:style>
  <w:style w:type="character" w:customStyle="1" w:styleId="RightPar3">
    <w:name w:val="Right Par 3"/>
    <w:basedOn w:val="DefaultParagraphFont"/>
    <w:rsid w:val="000A047A"/>
  </w:style>
  <w:style w:type="character" w:customStyle="1" w:styleId="RightPar4">
    <w:name w:val="Right Par 4"/>
    <w:basedOn w:val="DefaultParagraphFont"/>
    <w:rsid w:val="000A047A"/>
  </w:style>
  <w:style w:type="character" w:customStyle="1" w:styleId="RightPar5">
    <w:name w:val="Right Par 5"/>
    <w:basedOn w:val="DefaultParagraphFont"/>
    <w:rsid w:val="000A047A"/>
  </w:style>
  <w:style w:type="character" w:customStyle="1" w:styleId="RightPar6">
    <w:name w:val="Right Par 6"/>
    <w:basedOn w:val="DefaultParagraphFont"/>
    <w:rsid w:val="000A047A"/>
  </w:style>
  <w:style w:type="character" w:customStyle="1" w:styleId="RightPar7">
    <w:name w:val="Right Par 7"/>
    <w:basedOn w:val="DefaultParagraphFont"/>
    <w:rsid w:val="000A047A"/>
  </w:style>
  <w:style w:type="character" w:customStyle="1" w:styleId="RightPar8">
    <w:name w:val="Right Par 8"/>
    <w:basedOn w:val="DefaultParagraphFont"/>
    <w:rsid w:val="000A047A"/>
  </w:style>
  <w:style w:type="paragraph" w:customStyle="1" w:styleId="Document1">
    <w:name w:val="Document 1"/>
    <w:rsid w:val="000A047A"/>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rsid w:val="000A047A"/>
  </w:style>
  <w:style w:type="character" w:customStyle="1" w:styleId="TechInit">
    <w:name w:val="Tech Init"/>
    <w:basedOn w:val="DefaultParagraphFont"/>
    <w:rsid w:val="000A047A"/>
    <w:rPr>
      <w:rFonts w:ascii="Courier" w:hAnsi="Courier"/>
      <w:sz w:val="24"/>
      <w:szCs w:val="24"/>
      <w:lang w:val="en-US"/>
    </w:rPr>
  </w:style>
  <w:style w:type="character" w:customStyle="1" w:styleId="Technical5">
    <w:name w:val="Technical 5"/>
    <w:basedOn w:val="DefaultParagraphFont"/>
    <w:rsid w:val="000A047A"/>
  </w:style>
  <w:style w:type="character" w:customStyle="1" w:styleId="Technical6">
    <w:name w:val="Technical 6"/>
    <w:basedOn w:val="DefaultParagraphFont"/>
    <w:rsid w:val="000A047A"/>
  </w:style>
  <w:style w:type="character" w:customStyle="1" w:styleId="Technical2">
    <w:name w:val="Technical 2"/>
    <w:basedOn w:val="DefaultParagraphFont"/>
    <w:rsid w:val="000A047A"/>
    <w:rPr>
      <w:rFonts w:ascii="Courier" w:hAnsi="Courier"/>
      <w:sz w:val="24"/>
      <w:szCs w:val="24"/>
      <w:lang w:val="en-US"/>
    </w:rPr>
  </w:style>
  <w:style w:type="character" w:customStyle="1" w:styleId="Technical3">
    <w:name w:val="Technical 3"/>
    <w:basedOn w:val="DefaultParagraphFont"/>
    <w:rsid w:val="000A047A"/>
    <w:rPr>
      <w:rFonts w:ascii="Courier" w:hAnsi="Courier"/>
      <w:sz w:val="24"/>
      <w:szCs w:val="24"/>
      <w:lang w:val="en-US"/>
    </w:rPr>
  </w:style>
  <w:style w:type="character" w:customStyle="1" w:styleId="Technical4">
    <w:name w:val="Technical 4"/>
    <w:basedOn w:val="DefaultParagraphFont"/>
    <w:rsid w:val="000A047A"/>
  </w:style>
  <w:style w:type="character" w:customStyle="1" w:styleId="Technical1">
    <w:name w:val="Technical 1"/>
    <w:basedOn w:val="DefaultParagraphFont"/>
    <w:rsid w:val="000A047A"/>
    <w:rPr>
      <w:rFonts w:ascii="Courier" w:hAnsi="Courier"/>
      <w:sz w:val="24"/>
      <w:szCs w:val="24"/>
      <w:lang w:val="en-US"/>
    </w:rPr>
  </w:style>
  <w:style w:type="character" w:customStyle="1" w:styleId="Technical7">
    <w:name w:val="Technical 7"/>
    <w:basedOn w:val="DefaultParagraphFont"/>
    <w:rsid w:val="000A047A"/>
  </w:style>
  <w:style w:type="character" w:customStyle="1" w:styleId="Technical8">
    <w:name w:val="Technical 8"/>
    <w:basedOn w:val="DefaultParagraphFont"/>
    <w:rsid w:val="000A047A"/>
  </w:style>
  <w:style w:type="paragraph" w:customStyle="1" w:styleId="text">
    <w:name w:val="text"/>
    <w:rsid w:val="000A047A"/>
    <w:pPr>
      <w:widowControl w:val="0"/>
      <w:tabs>
        <w:tab w:val="left" w:pos="-720"/>
      </w:tabs>
      <w:suppressAutoHyphens/>
      <w:autoSpaceDE w:val="0"/>
      <w:autoSpaceDN w:val="0"/>
      <w:adjustRightInd w:val="0"/>
      <w:spacing w:line="240" w:lineRule="atLeast"/>
      <w:jc w:val="both"/>
    </w:pPr>
    <w:rPr>
      <w:rFonts w:ascii="Kino MT" w:hAnsi="Kino MT"/>
      <w:spacing w:val="-3"/>
      <w:sz w:val="24"/>
      <w:szCs w:val="24"/>
    </w:rPr>
  </w:style>
  <w:style w:type="paragraph" w:customStyle="1" w:styleId="footnotes">
    <w:name w:val="footnotes"/>
    <w:rsid w:val="000A047A"/>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0A047A"/>
  </w:style>
  <w:style w:type="character" w:customStyle="1" w:styleId="EquationCaption">
    <w:name w:val="_Equation Caption"/>
    <w:basedOn w:val="DefaultParagraphFont"/>
    <w:rsid w:val="000A047A"/>
  </w:style>
  <w:style w:type="paragraph" w:styleId="Header">
    <w:name w:val="header"/>
    <w:basedOn w:val="Normal"/>
    <w:rsid w:val="000A047A"/>
    <w:pPr>
      <w:tabs>
        <w:tab w:val="left" w:pos="0"/>
        <w:tab w:val="center" w:pos="4320"/>
        <w:tab w:val="right" w:pos="8640"/>
        <w:tab w:val="left" w:pos="9360"/>
      </w:tabs>
      <w:suppressAutoHyphens/>
      <w:spacing w:line="240" w:lineRule="atLeast"/>
    </w:pPr>
  </w:style>
  <w:style w:type="paragraph" w:styleId="Footer">
    <w:name w:val="footer"/>
    <w:basedOn w:val="Normal"/>
    <w:rsid w:val="000A047A"/>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0A047A"/>
  </w:style>
  <w:style w:type="paragraph" w:customStyle="1" w:styleId="item">
    <w:name w:val="item"/>
    <w:rsid w:val="000A04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w:hAnsi="Courier"/>
      <w:spacing w:val="-3"/>
      <w:sz w:val="24"/>
      <w:szCs w:val="24"/>
    </w:rPr>
  </w:style>
  <w:style w:type="character" w:customStyle="1" w:styleId="14B">
    <w:name w:val="14B"/>
    <w:basedOn w:val="DefaultParagraphFont"/>
    <w:rsid w:val="000A047A"/>
    <w:rPr>
      <w:rFonts w:ascii="Footlight MT Light" w:hAnsi="Footlight MT Light"/>
      <w:b/>
      <w:bCs/>
      <w:sz w:val="28"/>
      <w:szCs w:val="28"/>
      <w:lang w:val="en-US"/>
    </w:rPr>
  </w:style>
  <w:style w:type="character" w:customStyle="1" w:styleId="12B">
    <w:name w:val="12B"/>
    <w:basedOn w:val="DefaultParagraphFont"/>
    <w:rsid w:val="000A047A"/>
    <w:rPr>
      <w:rFonts w:ascii="Footlight MT Light" w:hAnsi="Footlight MT Light"/>
      <w:b/>
      <w:bCs/>
      <w:sz w:val="24"/>
      <w:szCs w:val="24"/>
      <w:lang w:val="en-US"/>
    </w:rPr>
  </w:style>
  <w:style w:type="character" w:customStyle="1" w:styleId="18b">
    <w:name w:val="18b"/>
    <w:basedOn w:val="DefaultParagraphFont"/>
    <w:rsid w:val="000A047A"/>
    <w:rPr>
      <w:rFonts w:ascii="Footlight MT Light" w:hAnsi="Footlight MT Light"/>
      <w:b/>
      <w:bCs/>
      <w:sz w:val="36"/>
      <w:szCs w:val="36"/>
      <w:lang w:val="en-US"/>
    </w:rPr>
  </w:style>
  <w:style w:type="character" w:customStyle="1" w:styleId="Unnamed1">
    <w:name w:val="Unnamed 1"/>
    <w:basedOn w:val="DefaultParagraphFont"/>
    <w:rsid w:val="000A047A"/>
    <w:rPr>
      <w:rFonts w:ascii="Courier" w:hAnsi="Courier"/>
      <w:sz w:val="24"/>
      <w:szCs w:val="24"/>
      <w:lang w:val="en-US"/>
    </w:rPr>
  </w:style>
  <w:style w:type="character" w:customStyle="1" w:styleId="3">
    <w:name w:val="3"/>
    <w:basedOn w:val="DefaultParagraphFont"/>
    <w:rsid w:val="000A047A"/>
    <w:rPr>
      <w:rFonts w:ascii="Courier" w:hAnsi="Courier"/>
      <w:sz w:val="24"/>
      <w:szCs w:val="24"/>
      <w:lang w:val="en-US"/>
    </w:rPr>
  </w:style>
  <w:style w:type="paragraph" w:customStyle="1" w:styleId="LETTERS">
    <w:name w:val="LETTERS"/>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character" w:customStyle="1" w:styleId="SINGLE">
    <w:name w:val="SINGLE"/>
    <w:basedOn w:val="DefaultParagraphFont"/>
    <w:rsid w:val="000A047A"/>
    <w:rPr>
      <w:rFonts w:ascii="Courier" w:hAnsi="Courier"/>
      <w:sz w:val="24"/>
      <w:szCs w:val="24"/>
      <w:lang w:val="en-US"/>
    </w:rPr>
  </w:style>
  <w:style w:type="paragraph" w:customStyle="1" w:styleId="DOUBLE">
    <w:name w:val="DOUBLE"/>
    <w:rsid w:val="000A047A"/>
    <w:pPr>
      <w:widowControl w:val="0"/>
      <w:tabs>
        <w:tab w:val="left" w:pos="-720"/>
      </w:tabs>
      <w:suppressAutoHyphens/>
      <w:autoSpaceDE w:val="0"/>
      <w:autoSpaceDN w:val="0"/>
      <w:adjustRightInd w:val="0"/>
      <w:spacing w:line="480" w:lineRule="atLeast"/>
    </w:pPr>
    <w:rPr>
      <w:rFonts w:ascii="Courier" w:hAnsi="Courier"/>
      <w:sz w:val="24"/>
      <w:szCs w:val="24"/>
    </w:rPr>
  </w:style>
  <w:style w:type="character" w:customStyle="1" w:styleId="STQUOTE1">
    <w:name w:val="STQUOTE1"/>
    <w:basedOn w:val="DefaultParagraphFont"/>
    <w:rsid w:val="000A047A"/>
    <w:rPr>
      <w:rFonts w:ascii="Courier" w:hAnsi="Courier"/>
      <w:sz w:val="24"/>
      <w:szCs w:val="24"/>
      <w:lang w:val="en-US"/>
    </w:rPr>
  </w:style>
  <w:style w:type="paragraph" w:customStyle="1" w:styleId="STQUOTE2">
    <w:name w:val="STQUOTE2"/>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ind w:left="1440" w:right="720" w:hanging="1440"/>
    </w:pPr>
    <w:rPr>
      <w:rFonts w:ascii="Courier" w:hAnsi="Courier"/>
      <w:sz w:val="24"/>
      <w:szCs w:val="24"/>
    </w:rPr>
  </w:style>
  <w:style w:type="paragraph" w:customStyle="1" w:styleId="PERSONAL">
    <w:name w:val="PERSONAL"/>
    <w:rsid w:val="000A047A"/>
    <w:pPr>
      <w:widowControl w:val="0"/>
      <w:tabs>
        <w:tab w:val="left" w:pos="1440"/>
      </w:tabs>
      <w:suppressAutoHyphens/>
      <w:autoSpaceDE w:val="0"/>
      <w:autoSpaceDN w:val="0"/>
      <w:adjustRightInd w:val="0"/>
      <w:spacing w:line="240" w:lineRule="atLeast"/>
    </w:pPr>
    <w:rPr>
      <w:rFonts w:ascii="Courier" w:hAnsi="Courier"/>
      <w:sz w:val="24"/>
      <w:szCs w:val="24"/>
    </w:rPr>
  </w:style>
  <w:style w:type="paragraph" w:customStyle="1" w:styleId="TABSI10">
    <w:name w:val="TABSI10"/>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ABSI5">
    <w:name w:val="TABSI5"/>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earsheetp2">
    <w:name w:val="Tearsheet.p2"/>
    <w:rsid w:val="000A047A"/>
    <w:pPr>
      <w:widowControl w:val="0"/>
      <w:tabs>
        <w:tab w:val="left" w:pos="7200"/>
        <w:tab w:val="left" w:pos="11232"/>
      </w:tabs>
      <w:suppressAutoHyphens/>
      <w:autoSpaceDE w:val="0"/>
      <w:autoSpaceDN w:val="0"/>
      <w:adjustRightInd w:val="0"/>
      <w:spacing w:line="240" w:lineRule="atLeast"/>
    </w:pPr>
    <w:rPr>
      <w:rFonts w:ascii="Courier" w:hAnsi="Courier"/>
      <w:sz w:val="24"/>
      <w:szCs w:val="24"/>
    </w:rPr>
  </w:style>
  <w:style w:type="paragraph" w:customStyle="1" w:styleId="Tearsheetp1">
    <w:name w:val="Tearsheet.p1"/>
    <w:rsid w:val="000A047A"/>
    <w:pPr>
      <w:widowControl w:val="0"/>
      <w:tabs>
        <w:tab w:val="left" w:pos="3312"/>
        <w:tab w:val="left" w:pos="5184"/>
        <w:tab w:val="left" w:pos="8784"/>
      </w:tabs>
      <w:suppressAutoHyphens/>
      <w:autoSpaceDE w:val="0"/>
      <w:autoSpaceDN w:val="0"/>
      <w:adjustRightInd w:val="0"/>
      <w:spacing w:line="240" w:lineRule="atLeast"/>
    </w:pPr>
    <w:rPr>
      <w:rFonts w:ascii="Courier New" w:hAnsi="Courier New" w:cs="Courier New"/>
      <w:sz w:val="24"/>
      <w:szCs w:val="24"/>
    </w:rPr>
  </w:style>
  <w:style w:type="character" w:customStyle="1" w:styleId="CAPaper">
    <w:name w:val="CA Paper"/>
    <w:basedOn w:val="DefaultParagraphFont"/>
    <w:rsid w:val="000A047A"/>
    <w:rPr>
      <w:rFonts w:ascii="Courier" w:hAnsi="Courier"/>
      <w:sz w:val="24"/>
      <w:szCs w:val="24"/>
      <w:lang w:val="en-US"/>
    </w:rPr>
  </w:style>
  <w:style w:type="character" w:customStyle="1" w:styleId="BulletList">
    <w:name w:val="Bullet List"/>
    <w:basedOn w:val="DefaultParagraphFont"/>
    <w:rsid w:val="000A047A"/>
  </w:style>
  <w:style w:type="character" w:customStyle="1" w:styleId="kkc1">
    <w:name w:val="kkc 1"/>
    <w:basedOn w:val="DefaultParagraphFont"/>
    <w:rsid w:val="000A047A"/>
  </w:style>
  <w:style w:type="paragraph" w:styleId="TOC1">
    <w:name w:val="toc 1"/>
    <w:basedOn w:val="Normal"/>
    <w:next w:val="Normal"/>
    <w:autoRedefine/>
    <w:semiHidden/>
    <w:rsid w:val="000A047A"/>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A047A"/>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0A047A"/>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0A047A"/>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0A047A"/>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0A047A"/>
    <w:pPr>
      <w:tabs>
        <w:tab w:val="right" w:pos="9360"/>
      </w:tabs>
      <w:suppressAutoHyphens/>
      <w:spacing w:line="240" w:lineRule="atLeast"/>
      <w:ind w:left="720" w:hanging="720"/>
    </w:pPr>
  </w:style>
  <w:style w:type="paragraph" w:styleId="TOC7">
    <w:name w:val="toc 7"/>
    <w:basedOn w:val="Normal"/>
    <w:next w:val="Normal"/>
    <w:autoRedefine/>
    <w:semiHidden/>
    <w:rsid w:val="000A047A"/>
    <w:pPr>
      <w:suppressAutoHyphens/>
      <w:spacing w:line="240" w:lineRule="atLeast"/>
      <w:ind w:left="720" w:hanging="720"/>
    </w:pPr>
  </w:style>
  <w:style w:type="paragraph" w:styleId="TOC8">
    <w:name w:val="toc 8"/>
    <w:basedOn w:val="Normal"/>
    <w:next w:val="Normal"/>
    <w:autoRedefine/>
    <w:semiHidden/>
    <w:rsid w:val="000A047A"/>
    <w:pPr>
      <w:tabs>
        <w:tab w:val="right" w:pos="9360"/>
      </w:tabs>
      <w:suppressAutoHyphens/>
      <w:spacing w:line="240" w:lineRule="atLeast"/>
      <w:ind w:left="720" w:hanging="720"/>
    </w:pPr>
  </w:style>
  <w:style w:type="paragraph" w:styleId="TOC9">
    <w:name w:val="toc 9"/>
    <w:basedOn w:val="Normal"/>
    <w:next w:val="Normal"/>
    <w:autoRedefine/>
    <w:semiHidden/>
    <w:rsid w:val="000A047A"/>
    <w:pPr>
      <w:tabs>
        <w:tab w:val="right" w:leader="dot" w:pos="9360"/>
      </w:tabs>
      <w:suppressAutoHyphens/>
      <w:spacing w:line="240" w:lineRule="atLeast"/>
      <w:ind w:left="720" w:hanging="720"/>
    </w:pPr>
  </w:style>
  <w:style w:type="paragraph" w:styleId="Index1">
    <w:name w:val="index 1"/>
    <w:basedOn w:val="Normal"/>
    <w:next w:val="Normal"/>
    <w:autoRedefine/>
    <w:semiHidden/>
    <w:rsid w:val="000A047A"/>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0A047A"/>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0A047A"/>
    <w:pPr>
      <w:tabs>
        <w:tab w:val="right" w:pos="9360"/>
      </w:tabs>
      <w:suppressAutoHyphens/>
      <w:spacing w:line="240" w:lineRule="atLeast"/>
    </w:pPr>
  </w:style>
  <w:style w:type="paragraph" w:styleId="Caption">
    <w:name w:val="caption"/>
    <w:basedOn w:val="Normal"/>
    <w:next w:val="Normal"/>
    <w:qFormat/>
    <w:rsid w:val="000A047A"/>
    <w:rPr>
      <w:sz w:val="20"/>
    </w:rPr>
  </w:style>
  <w:style w:type="character" w:customStyle="1" w:styleId="EquationCaption1">
    <w:name w:val="_Equation Caption1"/>
    <w:rsid w:val="000A047A"/>
  </w:style>
  <w:style w:type="paragraph" w:styleId="BodyTextIndent">
    <w:name w:val="Body Text Indent"/>
    <w:basedOn w:val="Normal"/>
    <w:rsid w:val="000A047A"/>
    <w:pPr>
      <w:keepNext/>
      <w:keepLines/>
      <w:tabs>
        <w:tab w:val="left" w:pos="-720"/>
        <w:tab w:val="left" w:pos="0"/>
      </w:tabs>
      <w:suppressAutoHyphens/>
      <w:ind w:left="720" w:hanging="720"/>
    </w:pPr>
    <w:rPr>
      <w:b/>
      <w:bCs/>
    </w:rPr>
  </w:style>
  <w:style w:type="paragraph" w:styleId="BalloonText">
    <w:name w:val="Balloon Text"/>
    <w:basedOn w:val="Normal"/>
    <w:semiHidden/>
    <w:rsid w:val="0014041E"/>
    <w:rPr>
      <w:rFonts w:ascii="Tahoma" w:hAnsi="Tahoma" w:cs="Tahoma"/>
      <w:sz w:val="16"/>
      <w:szCs w:val="16"/>
    </w:rPr>
  </w:style>
  <w:style w:type="paragraph" w:styleId="DocumentMap">
    <w:name w:val="Document Map"/>
    <w:basedOn w:val="Normal"/>
    <w:semiHidden/>
    <w:rsid w:val="004713FA"/>
    <w:pPr>
      <w:shd w:val="clear" w:color="auto" w:fill="000080"/>
    </w:pPr>
    <w:rPr>
      <w:rFonts w:ascii="Tahoma" w:hAnsi="Tahoma" w:cs="Tahoma"/>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05BFA"/>
    <w:rPr>
      <w:sz w:val="24"/>
    </w:rPr>
  </w:style>
  <w:style w:type="paragraph" w:styleId="NormalWeb">
    <w:name w:val="Normal (Web)"/>
    <w:basedOn w:val="Normal"/>
    <w:unhideWhenUsed/>
    <w:rsid w:val="006E3DE1"/>
    <w:pPr>
      <w:widowControl/>
      <w:autoSpaceDE/>
      <w:autoSpaceDN/>
      <w:adjustRightInd/>
      <w:spacing w:before="100" w:beforeAutospacing="1" w:after="100" w:afterAutospacing="1"/>
    </w:pPr>
    <w:rPr>
      <w:rFonts w:ascii="Verdana" w:hAnsi="Verdana"/>
      <w:sz w:val="20"/>
      <w:szCs w:val="20"/>
    </w:rPr>
  </w:style>
  <w:style w:type="character" w:styleId="CommentReference">
    <w:name w:val="annotation reference"/>
    <w:basedOn w:val="DefaultParagraphFont"/>
    <w:rsid w:val="00E14B5A"/>
    <w:rPr>
      <w:sz w:val="16"/>
      <w:szCs w:val="16"/>
    </w:rPr>
  </w:style>
  <w:style w:type="paragraph" w:styleId="CommentText">
    <w:name w:val="annotation text"/>
    <w:basedOn w:val="Normal"/>
    <w:link w:val="CommentTextChar"/>
    <w:rsid w:val="00E14B5A"/>
    <w:rPr>
      <w:sz w:val="20"/>
      <w:szCs w:val="20"/>
    </w:rPr>
  </w:style>
  <w:style w:type="character" w:customStyle="1" w:styleId="CommentTextChar">
    <w:name w:val="Comment Text Char"/>
    <w:basedOn w:val="DefaultParagraphFont"/>
    <w:link w:val="CommentText"/>
    <w:rsid w:val="00E14B5A"/>
    <w:rPr>
      <w:rFonts w:ascii="Courier" w:hAnsi="Courier"/>
    </w:rPr>
  </w:style>
  <w:style w:type="paragraph" w:styleId="CommentSubject">
    <w:name w:val="annotation subject"/>
    <w:basedOn w:val="CommentText"/>
    <w:next w:val="CommentText"/>
    <w:link w:val="CommentSubjectChar"/>
    <w:rsid w:val="00E14B5A"/>
    <w:rPr>
      <w:b/>
      <w:bCs/>
    </w:rPr>
  </w:style>
  <w:style w:type="character" w:customStyle="1" w:styleId="CommentSubjectChar">
    <w:name w:val="Comment Subject Char"/>
    <w:basedOn w:val="CommentTextChar"/>
    <w:link w:val="CommentSubject"/>
    <w:rsid w:val="00E14B5A"/>
    <w:rPr>
      <w:rFonts w:ascii="Courier" w:hAnsi="Courier"/>
      <w:b/>
      <w:bCs/>
    </w:rPr>
  </w:style>
  <w:style w:type="paragraph" w:styleId="ListParagraph">
    <w:name w:val="List Paragraph"/>
    <w:basedOn w:val="Normal"/>
    <w:uiPriority w:val="34"/>
    <w:qFormat/>
    <w:rsid w:val="00793E1A"/>
    <w:pPr>
      <w:ind w:left="720"/>
      <w:contextualSpacing/>
    </w:pPr>
  </w:style>
  <w:style w:type="character" w:customStyle="1" w:styleId="Heading3Char">
    <w:name w:val="Heading 3 Char"/>
    <w:basedOn w:val="DefaultParagraphFont"/>
    <w:link w:val="Heading3"/>
    <w:uiPriority w:val="99"/>
    <w:rsid w:val="00921B06"/>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E13D16"/>
    <w:pPr>
      <w:spacing w:after="120"/>
    </w:pPr>
  </w:style>
  <w:style w:type="character" w:customStyle="1" w:styleId="BodyTextChar">
    <w:name w:val="Body Text Char"/>
    <w:basedOn w:val="DefaultParagraphFont"/>
    <w:link w:val="BodyText"/>
    <w:rsid w:val="00E13D16"/>
    <w:rPr>
      <w:rFonts w:ascii="Courier" w:hAnsi="Courier"/>
      <w:sz w:val="24"/>
      <w:szCs w:val="24"/>
    </w:rPr>
  </w:style>
  <w:style w:type="paragraph" w:customStyle="1" w:styleId="Default">
    <w:name w:val="Default"/>
    <w:rsid w:val="004219EE"/>
    <w:pPr>
      <w:autoSpaceDE w:val="0"/>
      <w:autoSpaceDN w:val="0"/>
      <w:adjustRightInd w:val="0"/>
    </w:pPr>
    <w:rPr>
      <w:color w:val="000000"/>
      <w:sz w:val="24"/>
      <w:szCs w:val="24"/>
    </w:rPr>
  </w:style>
  <w:style w:type="paragraph" w:styleId="Revision">
    <w:name w:val="Revision"/>
    <w:hidden/>
    <w:uiPriority w:val="99"/>
    <w:semiHidden/>
    <w:rsid w:val="00B72572"/>
    <w:rPr>
      <w:rFonts w:ascii="Courier" w:hAnsi="Courier"/>
      <w:sz w:val="24"/>
      <w:szCs w:val="24"/>
    </w:rPr>
  </w:style>
  <w:style w:type="table" w:styleId="TableGrid">
    <w:name w:val="Table Grid"/>
    <w:basedOn w:val="TableNormal"/>
    <w:rsid w:val="00744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5571E"/>
    <w:rPr>
      <w:rFonts w:cs="Times New Roman"/>
      <w:color w:val="0000FF"/>
      <w:u w:val="single"/>
    </w:rPr>
  </w:style>
  <w:style w:type="paragraph" w:customStyle="1" w:styleId="Footnote">
    <w:name w:val="Footnote"/>
    <w:basedOn w:val="FootnoteText"/>
    <w:link w:val="FootnoteChar"/>
    <w:qFormat/>
    <w:rsid w:val="0065571E"/>
    <w:pPr>
      <w:widowControl/>
      <w:tabs>
        <w:tab w:val="clear" w:pos="-720"/>
      </w:tabs>
      <w:suppressAutoHyphens w:val="0"/>
      <w:autoSpaceDE/>
      <w:autoSpaceDN/>
      <w:adjustRightInd/>
      <w:spacing w:line="240" w:lineRule="auto"/>
      <w:ind w:left="720" w:hanging="720"/>
    </w:pPr>
    <w:rPr>
      <w:rFonts w:eastAsia="Calibri"/>
      <w:sz w:val="20"/>
    </w:rPr>
  </w:style>
  <w:style w:type="character" w:customStyle="1" w:styleId="FootnoteChar">
    <w:name w:val="Footnote Char"/>
    <w:basedOn w:val="DefaultParagraphFont"/>
    <w:link w:val="Footnote"/>
    <w:rsid w:val="0065571E"/>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7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A047A"/>
    <w:pPr>
      <w:keepNext/>
      <w:tabs>
        <w:tab w:val="left" w:pos="-720"/>
      </w:tabs>
      <w:suppressAutoHyphens/>
      <w:spacing w:line="480" w:lineRule="atLeast"/>
      <w:outlineLvl w:val="0"/>
    </w:pPr>
    <w:rPr>
      <w:b/>
      <w:bCs/>
    </w:rPr>
  </w:style>
  <w:style w:type="paragraph" w:styleId="Heading3">
    <w:name w:val="heading 3"/>
    <w:basedOn w:val="Normal"/>
    <w:next w:val="Normal"/>
    <w:link w:val="Heading3Char"/>
    <w:semiHidden/>
    <w:unhideWhenUsed/>
    <w:qFormat/>
    <w:rsid w:val="00921B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047A"/>
    <w:rPr>
      <w:sz w:val="20"/>
    </w:rPr>
  </w:style>
  <w:style w:type="character" w:styleId="EndnoteReference">
    <w:name w:val="endnote reference"/>
    <w:basedOn w:val="DefaultParagraphFont"/>
    <w:semiHidden/>
    <w:rsid w:val="000A047A"/>
    <w:rPr>
      <w:rFonts w:ascii="Courier" w:hAnsi="Courier"/>
      <w:sz w:val="24"/>
      <w:szCs w:val="24"/>
      <w:vertAlign w:val="superscript"/>
      <w:lang w:val="en-US"/>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E05BFA"/>
    <w:pPr>
      <w:tabs>
        <w:tab w:val="left" w:pos="-720"/>
      </w:tabs>
      <w:suppressAutoHyphens/>
      <w:spacing w:line="240" w:lineRule="atLeast"/>
    </w:pPr>
    <w:rPr>
      <w:rFonts w:ascii="Times New Roman" w:hAnsi="Times New Roman"/>
      <w:szCs w:val="20"/>
    </w:rPr>
  </w:style>
  <w:style w:type="character" w:styleId="FootnoteReference">
    <w:name w:val="footnote reference"/>
    <w:aliases w:val="fr,Style 19,Style 16,Style 39,Style 14,Style 35,12,Style 6,Footnote Reference Superscript,SUPERS,BVI fnr,Footnote symbol,(Footnote Reference),Footnote reference number,note TESI,EN Footnote Reference,Voetnootverwijzing"/>
    <w:basedOn w:val="DefaultParagraphFont"/>
    <w:uiPriority w:val="99"/>
    <w:qFormat/>
    <w:rsid w:val="000A047A"/>
    <w:rPr>
      <w:rFonts w:ascii="Courier" w:hAnsi="Courier"/>
      <w:sz w:val="24"/>
      <w:szCs w:val="24"/>
      <w:vertAlign w:val="superscript"/>
      <w:lang w:val="en-US"/>
    </w:rPr>
  </w:style>
  <w:style w:type="character" w:customStyle="1" w:styleId="2">
    <w:name w:val="2"/>
    <w:basedOn w:val="DefaultParagraphFont"/>
    <w:rsid w:val="000A047A"/>
    <w:rPr>
      <w:rFonts w:ascii="Courier" w:hAnsi="Courier"/>
      <w:sz w:val="24"/>
      <w:szCs w:val="24"/>
      <w:lang w:val="en-US"/>
    </w:rPr>
  </w:style>
  <w:style w:type="character" w:customStyle="1" w:styleId="Heading">
    <w:name w:val="Heading"/>
    <w:basedOn w:val="DefaultParagraphFont"/>
    <w:rsid w:val="000A047A"/>
  </w:style>
  <w:style w:type="character" w:customStyle="1" w:styleId="RightPar">
    <w:name w:val="Right Par"/>
    <w:basedOn w:val="DefaultParagraphFont"/>
    <w:rsid w:val="000A047A"/>
  </w:style>
  <w:style w:type="character" w:customStyle="1" w:styleId="Bibliogrphy">
    <w:name w:val="Bibliogrphy"/>
    <w:basedOn w:val="DefaultParagraphFont"/>
    <w:rsid w:val="000A047A"/>
  </w:style>
  <w:style w:type="character" w:customStyle="1" w:styleId="Subheading">
    <w:name w:val="Subheading"/>
    <w:basedOn w:val="DefaultParagraphFont"/>
    <w:rsid w:val="000A047A"/>
  </w:style>
  <w:style w:type="character" w:customStyle="1" w:styleId="1">
    <w:name w:val="1"/>
    <w:basedOn w:val="DefaultParagraphFont"/>
    <w:rsid w:val="000A047A"/>
    <w:rPr>
      <w:rFonts w:ascii="Courier" w:hAnsi="Courier"/>
      <w:sz w:val="24"/>
      <w:szCs w:val="24"/>
      <w:lang w:val="en-US"/>
    </w:rPr>
  </w:style>
  <w:style w:type="character" w:customStyle="1" w:styleId="Document8">
    <w:name w:val="Document 8"/>
    <w:basedOn w:val="DefaultParagraphFont"/>
    <w:rsid w:val="000A047A"/>
  </w:style>
  <w:style w:type="character" w:customStyle="1" w:styleId="Document4">
    <w:name w:val="Document 4"/>
    <w:basedOn w:val="DefaultParagraphFont"/>
    <w:rsid w:val="000A047A"/>
    <w:rPr>
      <w:b/>
      <w:bCs/>
      <w:i/>
      <w:iCs/>
      <w:sz w:val="24"/>
      <w:szCs w:val="24"/>
    </w:rPr>
  </w:style>
  <w:style w:type="character" w:customStyle="1" w:styleId="Document6">
    <w:name w:val="Document 6"/>
    <w:basedOn w:val="DefaultParagraphFont"/>
    <w:rsid w:val="000A047A"/>
  </w:style>
  <w:style w:type="character" w:customStyle="1" w:styleId="Document5">
    <w:name w:val="Document 5"/>
    <w:basedOn w:val="DefaultParagraphFont"/>
    <w:rsid w:val="000A047A"/>
  </w:style>
  <w:style w:type="character" w:customStyle="1" w:styleId="Document2">
    <w:name w:val="Document 2"/>
    <w:basedOn w:val="DefaultParagraphFont"/>
    <w:rsid w:val="000A047A"/>
    <w:rPr>
      <w:rFonts w:ascii="Courier" w:hAnsi="Courier"/>
      <w:sz w:val="24"/>
      <w:szCs w:val="24"/>
      <w:lang w:val="en-US"/>
    </w:rPr>
  </w:style>
  <w:style w:type="character" w:customStyle="1" w:styleId="Document7">
    <w:name w:val="Document 7"/>
    <w:basedOn w:val="DefaultParagraphFont"/>
    <w:rsid w:val="000A047A"/>
  </w:style>
  <w:style w:type="character" w:customStyle="1" w:styleId="RightPar1">
    <w:name w:val="Right Par 1"/>
    <w:basedOn w:val="DefaultParagraphFont"/>
    <w:rsid w:val="000A047A"/>
  </w:style>
  <w:style w:type="character" w:customStyle="1" w:styleId="RightPar2">
    <w:name w:val="Right Par 2"/>
    <w:basedOn w:val="DefaultParagraphFont"/>
    <w:rsid w:val="000A047A"/>
  </w:style>
  <w:style w:type="character" w:customStyle="1" w:styleId="Document3">
    <w:name w:val="Document 3"/>
    <w:basedOn w:val="DefaultParagraphFont"/>
    <w:rsid w:val="000A047A"/>
    <w:rPr>
      <w:rFonts w:ascii="Courier" w:hAnsi="Courier"/>
      <w:sz w:val="24"/>
      <w:szCs w:val="24"/>
      <w:lang w:val="en-US"/>
    </w:rPr>
  </w:style>
  <w:style w:type="character" w:customStyle="1" w:styleId="RightPar3">
    <w:name w:val="Right Par 3"/>
    <w:basedOn w:val="DefaultParagraphFont"/>
    <w:rsid w:val="000A047A"/>
  </w:style>
  <w:style w:type="character" w:customStyle="1" w:styleId="RightPar4">
    <w:name w:val="Right Par 4"/>
    <w:basedOn w:val="DefaultParagraphFont"/>
    <w:rsid w:val="000A047A"/>
  </w:style>
  <w:style w:type="character" w:customStyle="1" w:styleId="RightPar5">
    <w:name w:val="Right Par 5"/>
    <w:basedOn w:val="DefaultParagraphFont"/>
    <w:rsid w:val="000A047A"/>
  </w:style>
  <w:style w:type="character" w:customStyle="1" w:styleId="RightPar6">
    <w:name w:val="Right Par 6"/>
    <w:basedOn w:val="DefaultParagraphFont"/>
    <w:rsid w:val="000A047A"/>
  </w:style>
  <w:style w:type="character" w:customStyle="1" w:styleId="RightPar7">
    <w:name w:val="Right Par 7"/>
    <w:basedOn w:val="DefaultParagraphFont"/>
    <w:rsid w:val="000A047A"/>
  </w:style>
  <w:style w:type="character" w:customStyle="1" w:styleId="RightPar8">
    <w:name w:val="Right Par 8"/>
    <w:basedOn w:val="DefaultParagraphFont"/>
    <w:rsid w:val="000A047A"/>
  </w:style>
  <w:style w:type="paragraph" w:customStyle="1" w:styleId="Document1">
    <w:name w:val="Document 1"/>
    <w:rsid w:val="000A047A"/>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rsid w:val="000A047A"/>
  </w:style>
  <w:style w:type="character" w:customStyle="1" w:styleId="TechInit">
    <w:name w:val="Tech Init"/>
    <w:basedOn w:val="DefaultParagraphFont"/>
    <w:rsid w:val="000A047A"/>
    <w:rPr>
      <w:rFonts w:ascii="Courier" w:hAnsi="Courier"/>
      <w:sz w:val="24"/>
      <w:szCs w:val="24"/>
      <w:lang w:val="en-US"/>
    </w:rPr>
  </w:style>
  <w:style w:type="character" w:customStyle="1" w:styleId="Technical5">
    <w:name w:val="Technical 5"/>
    <w:basedOn w:val="DefaultParagraphFont"/>
    <w:rsid w:val="000A047A"/>
  </w:style>
  <w:style w:type="character" w:customStyle="1" w:styleId="Technical6">
    <w:name w:val="Technical 6"/>
    <w:basedOn w:val="DefaultParagraphFont"/>
    <w:rsid w:val="000A047A"/>
  </w:style>
  <w:style w:type="character" w:customStyle="1" w:styleId="Technical2">
    <w:name w:val="Technical 2"/>
    <w:basedOn w:val="DefaultParagraphFont"/>
    <w:rsid w:val="000A047A"/>
    <w:rPr>
      <w:rFonts w:ascii="Courier" w:hAnsi="Courier"/>
      <w:sz w:val="24"/>
      <w:szCs w:val="24"/>
      <w:lang w:val="en-US"/>
    </w:rPr>
  </w:style>
  <w:style w:type="character" w:customStyle="1" w:styleId="Technical3">
    <w:name w:val="Technical 3"/>
    <w:basedOn w:val="DefaultParagraphFont"/>
    <w:rsid w:val="000A047A"/>
    <w:rPr>
      <w:rFonts w:ascii="Courier" w:hAnsi="Courier"/>
      <w:sz w:val="24"/>
      <w:szCs w:val="24"/>
      <w:lang w:val="en-US"/>
    </w:rPr>
  </w:style>
  <w:style w:type="character" w:customStyle="1" w:styleId="Technical4">
    <w:name w:val="Technical 4"/>
    <w:basedOn w:val="DefaultParagraphFont"/>
    <w:rsid w:val="000A047A"/>
  </w:style>
  <w:style w:type="character" w:customStyle="1" w:styleId="Technical1">
    <w:name w:val="Technical 1"/>
    <w:basedOn w:val="DefaultParagraphFont"/>
    <w:rsid w:val="000A047A"/>
    <w:rPr>
      <w:rFonts w:ascii="Courier" w:hAnsi="Courier"/>
      <w:sz w:val="24"/>
      <w:szCs w:val="24"/>
      <w:lang w:val="en-US"/>
    </w:rPr>
  </w:style>
  <w:style w:type="character" w:customStyle="1" w:styleId="Technical7">
    <w:name w:val="Technical 7"/>
    <w:basedOn w:val="DefaultParagraphFont"/>
    <w:rsid w:val="000A047A"/>
  </w:style>
  <w:style w:type="character" w:customStyle="1" w:styleId="Technical8">
    <w:name w:val="Technical 8"/>
    <w:basedOn w:val="DefaultParagraphFont"/>
    <w:rsid w:val="000A047A"/>
  </w:style>
  <w:style w:type="paragraph" w:customStyle="1" w:styleId="text">
    <w:name w:val="text"/>
    <w:rsid w:val="000A047A"/>
    <w:pPr>
      <w:widowControl w:val="0"/>
      <w:tabs>
        <w:tab w:val="left" w:pos="-720"/>
      </w:tabs>
      <w:suppressAutoHyphens/>
      <w:autoSpaceDE w:val="0"/>
      <w:autoSpaceDN w:val="0"/>
      <w:adjustRightInd w:val="0"/>
      <w:spacing w:line="240" w:lineRule="atLeast"/>
      <w:jc w:val="both"/>
    </w:pPr>
    <w:rPr>
      <w:rFonts w:ascii="Kino MT" w:hAnsi="Kino MT"/>
      <w:spacing w:val="-3"/>
      <w:sz w:val="24"/>
      <w:szCs w:val="24"/>
    </w:rPr>
  </w:style>
  <w:style w:type="paragraph" w:customStyle="1" w:styleId="footnotes">
    <w:name w:val="footnotes"/>
    <w:rsid w:val="000A047A"/>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0A047A"/>
  </w:style>
  <w:style w:type="character" w:customStyle="1" w:styleId="EquationCaption">
    <w:name w:val="_Equation Caption"/>
    <w:basedOn w:val="DefaultParagraphFont"/>
    <w:rsid w:val="000A047A"/>
  </w:style>
  <w:style w:type="paragraph" w:styleId="Header">
    <w:name w:val="header"/>
    <w:basedOn w:val="Normal"/>
    <w:rsid w:val="000A047A"/>
    <w:pPr>
      <w:tabs>
        <w:tab w:val="left" w:pos="0"/>
        <w:tab w:val="center" w:pos="4320"/>
        <w:tab w:val="right" w:pos="8640"/>
        <w:tab w:val="left" w:pos="9360"/>
      </w:tabs>
      <w:suppressAutoHyphens/>
      <w:spacing w:line="240" w:lineRule="atLeast"/>
    </w:pPr>
  </w:style>
  <w:style w:type="paragraph" w:styleId="Footer">
    <w:name w:val="footer"/>
    <w:basedOn w:val="Normal"/>
    <w:rsid w:val="000A047A"/>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0A047A"/>
  </w:style>
  <w:style w:type="paragraph" w:customStyle="1" w:styleId="item">
    <w:name w:val="item"/>
    <w:rsid w:val="000A04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w:hAnsi="Courier"/>
      <w:spacing w:val="-3"/>
      <w:sz w:val="24"/>
      <w:szCs w:val="24"/>
    </w:rPr>
  </w:style>
  <w:style w:type="character" w:customStyle="1" w:styleId="14B">
    <w:name w:val="14B"/>
    <w:basedOn w:val="DefaultParagraphFont"/>
    <w:rsid w:val="000A047A"/>
    <w:rPr>
      <w:rFonts w:ascii="Footlight MT Light" w:hAnsi="Footlight MT Light"/>
      <w:b/>
      <w:bCs/>
      <w:sz w:val="28"/>
      <w:szCs w:val="28"/>
      <w:lang w:val="en-US"/>
    </w:rPr>
  </w:style>
  <w:style w:type="character" w:customStyle="1" w:styleId="12B">
    <w:name w:val="12B"/>
    <w:basedOn w:val="DefaultParagraphFont"/>
    <w:rsid w:val="000A047A"/>
    <w:rPr>
      <w:rFonts w:ascii="Footlight MT Light" w:hAnsi="Footlight MT Light"/>
      <w:b/>
      <w:bCs/>
      <w:sz w:val="24"/>
      <w:szCs w:val="24"/>
      <w:lang w:val="en-US"/>
    </w:rPr>
  </w:style>
  <w:style w:type="character" w:customStyle="1" w:styleId="18b">
    <w:name w:val="18b"/>
    <w:basedOn w:val="DefaultParagraphFont"/>
    <w:rsid w:val="000A047A"/>
    <w:rPr>
      <w:rFonts w:ascii="Footlight MT Light" w:hAnsi="Footlight MT Light"/>
      <w:b/>
      <w:bCs/>
      <w:sz w:val="36"/>
      <w:szCs w:val="36"/>
      <w:lang w:val="en-US"/>
    </w:rPr>
  </w:style>
  <w:style w:type="character" w:customStyle="1" w:styleId="Unnamed1">
    <w:name w:val="Unnamed 1"/>
    <w:basedOn w:val="DefaultParagraphFont"/>
    <w:rsid w:val="000A047A"/>
    <w:rPr>
      <w:rFonts w:ascii="Courier" w:hAnsi="Courier"/>
      <w:sz w:val="24"/>
      <w:szCs w:val="24"/>
      <w:lang w:val="en-US"/>
    </w:rPr>
  </w:style>
  <w:style w:type="character" w:customStyle="1" w:styleId="3">
    <w:name w:val="3"/>
    <w:basedOn w:val="DefaultParagraphFont"/>
    <w:rsid w:val="000A047A"/>
    <w:rPr>
      <w:rFonts w:ascii="Courier" w:hAnsi="Courier"/>
      <w:sz w:val="24"/>
      <w:szCs w:val="24"/>
      <w:lang w:val="en-US"/>
    </w:rPr>
  </w:style>
  <w:style w:type="paragraph" w:customStyle="1" w:styleId="LETTERS">
    <w:name w:val="LETTERS"/>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character" w:customStyle="1" w:styleId="SINGLE">
    <w:name w:val="SINGLE"/>
    <w:basedOn w:val="DefaultParagraphFont"/>
    <w:rsid w:val="000A047A"/>
    <w:rPr>
      <w:rFonts w:ascii="Courier" w:hAnsi="Courier"/>
      <w:sz w:val="24"/>
      <w:szCs w:val="24"/>
      <w:lang w:val="en-US"/>
    </w:rPr>
  </w:style>
  <w:style w:type="paragraph" w:customStyle="1" w:styleId="DOUBLE">
    <w:name w:val="DOUBLE"/>
    <w:rsid w:val="000A047A"/>
    <w:pPr>
      <w:widowControl w:val="0"/>
      <w:tabs>
        <w:tab w:val="left" w:pos="-720"/>
      </w:tabs>
      <w:suppressAutoHyphens/>
      <w:autoSpaceDE w:val="0"/>
      <w:autoSpaceDN w:val="0"/>
      <w:adjustRightInd w:val="0"/>
      <w:spacing w:line="480" w:lineRule="atLeast"/>
    </w:pPr>
    <w:rPr>
      <w:rFonts w:ascii="Courier" w:hAnsi="Courier"/>
      <w:sz w:val="24"/>
      <w:szCs w:val="24"/>
    </w:rPr>
  </w:style>
  <w:style w:type="character" w:customStyle="1" w:styleId="STQUOTE1">
    <w:name w:val="STQUOTE1"/>
    <w:basedOn w:val="DefaultParagraphFont"/>
    <w:rsid w:val="000A047A"/>
    <w:rPr>
      <w:rFonts w:ascii="Courier" w:hAnsi="Courier"/>
      <w:sz w:val="24"/>
      <w:szCs w:val="24"/>
      <w:lang w:val="en-US"/>
    </w:rPr>
  </w:style>
  <w:style w:type="paragraph" w:customStyle="1" w:styleId="STQUOTE2">
    <w:name w:val="STQUOTE2"/>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ind w:left="1440" w:right="720" w:hanging="1440"/>
    </w:pPr>
    <w:rPr>
      <w:rFonts w:ascii="Courier" w:hAnsi="Courier"/>
      <w:sz w:val="24"/>
      <w:szCs w:val="24"/>
    </w:rPr>
  </w:style>
  <w:style w:type="paragraph" w:customStyle="1" w:styleId="PERSONAL">
    <w:name w:val="PERSONAL"/>
    <w:rsid w:val="000A047A"/>
    <w:pPr>
      <w:widowControl w:val="0"/>
      <w:tabs>
        <w:tab w:val="left" w:pos="1440"/>
      </w:tabs>
      <w:suppressAutoHyphens/>
      <w:autoSpaceDE w:val="0"/>
      <w:autoSpaceDN w:val="0"/>
      <w:adjustRightInd w:val="0"/>
      <w:spacing w:line="240" w:lineRule="atLeast"/>
    </w:pPr>
    <w:rPr>
      <w:rFonts w:ascii="Courier" w:hAnsi="Courier"/>
      <w:sz w:val="24"/>
      <w:szCs w:val="24"/>
    </w:rPr>
  </w:style>
  <w:style w:type="paragraph" w:customStyle="1" w:styleId="TABSI10">
    <w:name w:val="TABSI10"/>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ABSI5">
    <w:name w:val="TABSI5"/>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earsheetp2">
    <w:name w:val="Tearsheet.p2"/>
    <w:rsid w:val="000A047A"/>
    <w:pPr>
      <w:widowControl w:val="0"/>
      <w:tabs>
        <w:tab w:val="left" w:pos="7200"/>
        <w:tab w:val="left" w:pos="11232"/>
      </w:tabs>
      <w:suppressAutoHyphens/>
      <w:autoSpaceDE w:val="0"/>
      <w:autoSpaceDN w:val="0"/>
      <w:adjustRightInd w:val="0"/>
      <w:spacing w:line="240" w:lineRule="atLeast"/>
    </w:pPr>
    <w:rPr>
      <w:rFonts w:ascii="Courier" w:hAnsi="Courier"/>
      <w:sz w:val="24"/>
      <w:szCs w:val="24"/>
    </w:rPr>
  </w:style>
  <w:style w:type="paragraph" w:customStyle="1" w:styleId="Tearsheetp1">
    <w:name w:val="Tearsheet.p1"/>
    <w:rsid w:val="000A047A"/>
    <w:pPr>
      <w:widowControl w:val="0"/>
      <w:tabs>
        <w:tab w:val="left" w:pos="3312"/>
        <w:tab w:val="left" w:pos="5184"/>
        <w:tab w:val="left" w:pos="8784"/>
      </w:tabs>
      <w:suppressAutoHyphens/>
      <w:autoSpaceDE w:val="0"/>
      <w:autoSpaceDN w:val="0"/>
      <w:adjustRightInd w:val="0"/>
      <w:spacing w:line="240" w:lineRule="atLeast"/>
    </w:pPr>
    <w:rPr>
      <w:rFonts w:ascii="Courier New" w:hAnsi="Courier New" w:cs="Courier New"/>
      <w:sz w:val="24"/>
      <w:szCs w:val="24"/>
    </w:rPr>
  </w:style>
  <w:style w:type="character" w:customStyle="1" w:styleId="CAPaper">
    <w:name w:val="CA Paper"/>
    <w:basedOn w:val="DefaultParagraphFont"/>
    <w:rsid w:val="000A047A"/>
    <w:rPr>
      <w:rFonts w:ascii="Courier" w:hAnsi="Courier"/>
      <w:sz w:val="24"/>
      <w:szCs w:val="24"/>
      <w:lang w:val="en-US"/>
    </w:rPr>
  </w:style>
  <w:style w:type="character" w:customStyle="1" w:styleId="BulletList">
    <w:name w:val="Bullet List"/>
    <w:basedOn w:val="DefaultParagraphFont"/>
    <w:rsid w:val="000A047A"/>
  </w:style>
  <w:style w:type="character" w:customStyle="1" w:styleId="kkc1">
    <w:name w:val="kkc 1"/>
    <w:basedOn w:val="DefaultParagraphFont"/>
    <w:rsid w:val="000A047A"/>
  </w:style>
  <w:style w:type="paragraph" w:styleId="TOC1">
    <w:name w:val="toc 1"/>
    <w:basedOn w:val="Normal"/>
    <w:next w:val="Normal"/>
    <w:autoRedefine/>
    <w:semiHidden/>
    <w:rsid w:val="000A047A"/>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A047A"/>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0A047A"/>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0A047A"/>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0A047A"/>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0A047A"/>
    <w:pPr>
      <w:tabs>
        <w:tab w:val="right" w:pos="9360"/>
      </w:tabs>
      <w:suppressAutoHyphens/>
      <w:spacing w:line="240" w:lineRule="atLeast"/>
      <w:ind w:left="720" w:hanging="720"/>
    </w:pPr>
  </w:style>
  <w:style w:type="paragraph" w:styleId="TOC7">
    <w:name w:val="toc 7"/>
    <w:basedOn w:val="Normal"/>
    <w:next w:val="Normal"/>
    <w:autoRedefine/>
    <w:semiHidden/>
    <w:rsid w:val="000A047A"/>
    <w:pPr>
      <w:suppressAutoHyphens/>
      <w:spacing w:line="240" w:lineRule="atLeast"/>
      <w:ind w:left="720" w:hanging="720"/>
    </w:pPr>
  </w:style>
  <w:style w:type="paragraph" w:styleId="TOC8">
    <w:name w:val="toc 8"/>
    <w:basedOn w:val="Normal"/>
    <w:next w:val="Normal"/>
    <w:autoRedefine/>
    <w:semiHidden/>
    <w:rsid w:val="000A047A"/>
    <w:pPr>
      <w:tabs>
        <w:tab w:val="right" w:pos="9360"/>
      </w:tabs>
      <w:suppressAutoHyphens/>
      <w:spacing w:line="240" w:lineRule="atLeast"/>
      <w:ind w:left="720" w:hanging="720"/>
    </w:pPr>
  </w:style>
  <w:style w:type="paragraph" w:styleId="TOC9">
    <w:name w:val="toc 9"/>
    <w:basedOn w:val="Normal"/>
    <w:next w:val="Normal"/>
    <w:autoRedefine/>
    <w:semiHidden/>
    <w:rsid w:val="000A047A"/>
    <w:pPr>
      <w:tabs>
        <w:tab w:val="right" w:leader="dot" w:pos="9360"/>
      </w:tabs>
      <w:suppressAutoHyphens/>
      <w:spacing w:line="240" w:lineRule="atLeast"/>
      <w:ind w:left="720" w:hanging="720"/>
    </w:pPr>
  </w:style>
  <w:style w:type="paragraph" w:styleId="Index1">
    <w:name w:val="index 1"/>
    <w:basedOn w:val="Normal"/>
    <w:next w:val="Normal"/>
    <w:autoRedefine/>
    <w:semiHidden/>
    <w:rsid w:val="000A047A"/>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0A047A"/>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0A047A"/>
    <w:pPr>
      <w:tabs>
        <w:tab w:val="right" w:pos="9360"/>
      </w:tabs>
      <w:suppressAutoHyphens/>
      <w:spacing w:line="240" w:lineRule="atLeast"/>
    </w:pPr>
  </w:style>
  <w:style w:type="paragraph" w:styleId="Caption">
    <w:name w:val="caption"/>
    <w:basedOn w:val="Normal"/>
    <w:next w:val="Normal"/>
    <w:qFormat/>
    <w:rsid w:val="000A047A"/>
    <w:rPr>
      <w:sz w:val="20"/>
    </w:rPr>
  </w:style>
  <w:style w:type="character" w:customStyle="1" w:styleId="EquationCaption1">
    <w:name w:val="_Equation Caption1"/>
    <w:rsid w:val="000A047A"/>
  </w:style>
  <w:style w:type="paragraph" w:styleId="BodyTextIndent">
    <w:name w:val="Body Text Indent"/>
    <w:basedOn w:val="Normal"/>
    <w:rsid w:val="000A047A"/>
    <w:pPr>
      <w:keepNext/>
      <w:keepLines/>
      <w:tabs>
        <w:tab w:val="left" w:pos="-720"/>
        <w:tab w:val="left" w:pos="0"/>
      </w:tabs>
      <w:suppressAutoHyphens/>
      <w:ind w:left="720" w:hanging="720"/>
    </w:pPr>
    <w:rPr>
      <w:b/>
      <w:bCs/>
    </w:rPr>
  </w:style>
  <w:style w:type="paragraph" w:styleId="BalloonText">
    <w:name w:val="Balloon Text"/>
    <w:basedOn w:val="Normal"/>
    <w:semiHidden/>
    <w:rsid w:val="0014041E"/>
    <w:rPr>
      <w:rFonts w:ascii="Tahoma" w:hAnsi="Tahoma" w:cs="Tahoma"/>
      <w:sz w:val="16"/>
      <w:szCs w:val="16"/>
    </w:rPr>
  </w:style>
  <w:style w:type="paragraph" w:styleId="DocumentMap">
    <w:name w:val="Document Map"/>
    <w:basedOn w:val="Normal"/>
    <w:semiHidden/>
    <w:rsid w:val="004713FA"/>
    <w:pPr>
      <w:shd w:val="clear" w:color="auto" w:fill="000080"/>
    </w:pPr>
    <w:rPr>
      <w:rFonts w:ascii="Tahoma" w:hAnsi="Tahoma" w:cs="Tahoma"/>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05BFA"/>
    <w:rPr>
      <w:sz w:val="24"/>
    </w:rPr>
  </w:style>
  <w:style w:type="paragraph" w:styleId="NormalWeb">
    <w:name w:val="Normal (Web)"/>
    <w:basedOn w:val="Normal"/>
    <w:unhideWhenUsed/>
    <w:rsid w:val="006E3DE1"/>
    <w:pPr>
      <w:widowControl/>
      <w:autoSpaceDE/>
      <w:autoSpaceDN/>
      <w:adjustRightInd/>
      <w:spacing w:before="100" w:beforeAutospacing="1" w:after="100" w:afterAutospacing="1"/>
    </w:pPr>
    <w:rPr>
      <w:rFonts w:ascii="Verdana" w:hAnsi="Verdana"/>
      <w:sz w:val="20"/>
      <w:szCs w:val="20"/>
    </w:rPr>
  </w:style>
  <w:style w:type="character" w:styleId="CommentReference">
    <w:name w:val="annotation reference"/>
    <w:basedOn w:val="DefaultParagraphFont"/>
    <w:rsid w:val="00E14B5A"/>
    <w:rPr>
      <w:sz w:val="16"/>
      <w:szCs w:val="16"/>
    </w:rPr>
  </w:style>
  <w:style w:type="paragraph" w:styleId="CommentText">
    <w:name w:val="annotation text"/>
    <w:basedOn w:val="Normal"/>
    <w:link w:val="CommentTextChar"/>
    <w:rsid w:val="00E14B5A"/>
    <w:rPr>
      <w:sz w:val="20"/>
      <w:szCs w:val="20"/>
    </w:rPr>
  </w:style>
  <w:style w:type="character" w:customStyle="1" w:styleId="CommentTextChar">
    <w:name w:val="Comment Text Char"/>
    <w:basedOn w:val="DefaultParagraphFont"/>
    <w:link w:val="CommentText"/>
    <w:rsid w:val="00E14B5A"/>
    <w:rPr>
      <w:rFonts w:ascii="Courier" w:hAnsi="Courier"/>
    </w:rPr>
  </w:style>
  <w:style w:type="paragraph" w:styleId="CommentSubject">
    <w:name w:val="annotation subject"/>
    <w:basedOn w:val="CommentText"/>
    <w:next w:val="CommentText"/>
    <w:link w:val="CommentSubjectChar"/>
    <w:rsid w:val="00E14B5A"/>
    <w:rPr>
      <w:b/>
      <w:bCs/>
    </w:rPr>
  </w:style>
  <w:style w:type="character" w:customStyle="1" w:styleId="CommentSubjectChar">
    <w:name w:val="Comment Subject Char"/>
    <w:basedOn w:val="CommentTextChar"/>
    <w:link w:val="CommentSubject"/>
    <w:rsid w:val="00E14B5A"/>
    <w:rPr>
      <w:rFonts w:ascii="Courier" w:hAnsi="Courier"/>
      <w:b/>
      <w:bCs/>
    </w:rPr>
  </w:style>
  <w:style w:type="paragraph" w:styleId="ListParagraph">
    <w:name w:val="List Paragraph"/>
    <w:basedOn w:val="Normal"/>
    <w:uiPriority w:val="34"/>
    <w:qFormat/>
    <w:rsid w:val="00793E1A"/>
    <w:pPr>
      <w:ind w:left="720"/>
      <w:contextualSpacing/>
    </w:pPr>
  </w:style>
  <w:style w:type="character" w:customStyle="1" w:styleId="Heading3Char">
    <w:name w:val="Heading 3 Char"/>
    <w:basedOn w:val="DefaultParagraphFont"/>
    <w:link w:val="Heading3"/>
    <w:uiPriority w:val="99"/>
    <w:rsid w:val="00921B06"/>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E13D16"/>
    <w:pPr>
      <w:spacing w:after="120"/>
    </w:pPr>
  </w:style>
  <w:style w:type="character" w:customStyle="1" w:styleId="BodyTextChar">
    <w:name w:val="Body Text Char"/>
    <w:basedOn w:val="DefaultParagraphFont"/>
    <w:link w:val="BodyText"/>
    <w:rsid w:val="00E13D16"/>
    <w:rPr>
      <w:rFonts w:ascii="Courier" w:hAnsi="Courier"/>
      <w:sz w:val="24"/>
      <w:szCs w:val="24"/>
    </w:rPr>
  </w:style>
  <w:style w:type="paragraph" w:customStyle="1" w:styleId="Default">
    <w:name w:val="Default"/>
    <w:rsid w:val="004219EE"/>
    <w:pPr>
      <w:autoSpaceDE w:val="0"/>
      <w:autoSpaceDN w:val="0"/>
      <w:adjustRightInd w:val="0"/>
    </w:pPr>
    <w:rPr>
      <w:color w:val="000000"/>
      <w:sz w:val="24"/>
      <w:szCs w:val="24"/>
    </w:rPr>
  </w:style>
  <w:style w:type="paragraph" w:styleId="Revision">
    <w:name w:val="Revision"/>
    <w:hidden/>
    <w:uiPriority w:val="99"/>
    <w:semiHidden/>
    <w:rsid w:val="00B72572"/>
    <w:rPr>
      <w:rFonts w:ascii="Courier" w:hAnsi="Courier"/>
      <w:sz w:val="24"/>
      <w:szCs w:val="24"/>
    </w:rPr>
  </w:style>
  <w:style w:type="table" w:styleId="TableGrid">
    <w:name w:val="Table Grid"/>
    <w:basedOn w:val="TableNormal"/>
    <w:rsid w:val="00744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5571E"/>
    <w:rPr>
      <w:rFonts w:cs="Times New Roman"/>
      <w:color w:val="0000FF"/>
      <w:u w:val="single"/>
    </w:rPr>
  </w:style>
  <w:style w:type="paragraph" w:customStyle="1" w:styleId="Footnote">
    <w:name w:val="Footnote"/>
    <w:basedOn w:val="FootnoteText"/>
    <w:link w:val="FootnoteChar"/>
    <w:qFormat/>
    <w:rsid w:val="0065571E"/>
    <w:pPr>
      <w:widowControl/>
      <w:tabs>
        <w:tab w:val="clear" w:pos="-720"/>
      </w:tabs>
      <w:suppressAutoHyphens w:val="0"/>
      <w:autoSpaceDE/>
      <w:autoSpaceDN/>
      <w:adjustRightInd/>
      <w:spacing w:line="240" w:lineRule="auto"/>
      <w:ind w:left="720" w:hanging="720"/>
    </w:pPr>
    <w:rPr>
      <w:rFonts w:eastAsia="Calibri"/>
      <w:sz w:val="20"/>
    </w:rPr>
  </w:style>
  <w:style w:type="character" w:customStyle="1" w:styleId="FootnoteChar">
    <w:name w:val="Footnote Char"/>
    <w:basedOn w:val="DefaultParagraphFont"/>
    <w:link w:val="Footnote"/>
    <w:rsid w:val="0065571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07038">
      <w:bodyDiv w:val="1"/>
      <w:marLeft w:val="0"/>
      <w:marRight w:val="0"/>
      <w:marTop w:val="0"/>
      <w:marBottom w:val="0"/>
      <w:divBdr>
        <w:top w:val="none" w:sz="0" w:space="0" w:color="auto"/>
        <w:left w:val="none" w:sz="0" w:space="0" w:color="auto"/>
        <w:bottom w:val="none" w:sz="0" w:space="0" w:color="auto"/>
        <w:right w:val="none" w:sz="0" w:space="0" w:color="auto"/>
      </w:divBdr>
    </w:div>
    <w:div w:id="1589458334">
      <w:bodyDiv w:val="1"/>
      <w:marLeft w:val="0"/>
      <w:marRight w:val="0"/>
      <w:marTop w:val="30"/>
      <w:marBottom w:val="750"/>
      <w:divBdr>
        <w:top w:val="none" w:sz="0" w:space="0" w:color="auto"/>
        <w:left w:val="none" w:sz="0" w:space="0" w:color="auto"/>
        <w:bottom w:val="none" w:sz="0" w:space="0" w:color="auto"/>
        <w:right w:val="none" w:sz="0" w:space="0" w:color="auto"/>
      </w:divBdr>
      <w:divsChild>
        <w:div w:id="560405865">
          <w:marLeft w:val="0"/>
          <w:marRight w:val="0"/>
          <w:marTop w:val="0"/>
          <w:marBottom w:val="0"/>
          <w:divBdr>
            <w:top w:val="none" w:sz="0" w:space="0" w:color="auto"/>
            <w:left w:val="none" w:sz="0" w:space="0" w:color="auto"/>
            <w:bottom w:val="none" w:sz="0" w:space="0" w:color="auto"/>
            <w:right w:val="none" w:sz="0" w:space="0" w:color="auto"/>
          </w:divBdr>
        </w:div>
      </w:divsChild>
    </w:div>
    <w:div w:id="1989086905">
      <w:bodyDiv w:val="1"/>
      <w:marLeft w:val="0"/>
      <w:marRight w:val="0"/>
      <w:marTop w:val="0"/>
      <w:marBottom w:val="0"/>
      <w:divBdr>
        <w:top w:val="none" w:sz="0" w:space="0" w:color="auto"/>
        <w:left w:val="none" w:sz="0" w:space="0" w:color="auto"/>
        <w:bottom w:val="none" w:sz="0" w:space="0" w:color="auto"/>
        <w:right w:val="none" w:sz="0" w:space="0" w:color="auto"/>
      </w:divBdr>
    </w:div>
    <w:div w:id="20832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ec.gov/rules/proposed.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8A7CE79E19BF4387DCE4AF833A5E05" ma:contentTypeVersion="0" ma:contentTypeDescription="Create a new document." ma:contentTypeScope="" ma:versionID="a97fac66182089915d7d483c3342be91">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95DD5-C6D6-49B0-AA12-06ECFD8EC1F6}">
  <ds:schemaRefs>
    <ds:schemaRef ds:uri="http://schemas.microsoft.com/sharepoint/v3/contenttype/forms"/>
  </ds:schemaRefs>
</ds:datastoreItem>
</file>

<file path=customXml/itemProps2.xml><?xml version="1.0" encoding="utf-8"?>
<ds:datastoreItem xmlns:ds="http://schemas.openxmlformats.org/officeDocument/2006/customXml" ds:itemID="{74ED5A8A-B96F-41F5-A289-FEE57D8D5F82}">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19C9463C-DBDA-4EA5-A109-18A911B55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30AE50-50F8-4AF9-B247-4EADB57B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13368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Ogershok, Michael</dc:creator>
  <cp:lastModifiedBy>Tontz, Jennifer</cp:lastModifiedBy>
  <cp:revision>2</cp:revision>
  <cp:lastPrinted>2015-04-02T14:14:00Z</cp:lastPrinted>
  <dcterms:created xsi:type="dcterms:W3CDTF">2016-02-03T16:07:00Z</dcterms:created>
  <dcterms:modified xsi:type="dcterms:W3CDTF">2016-02-03T16:07:00Z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GEAAO+/T9t20xwlS0exGg1od+YTEN0HZTzWBZX24K6ZkwHZbKkPhVCHoVwGetVEx7ofegQyP9BoLPpM6
myU1LlwaKai3ZpF+5jNelE3XnuadyXk+mjSoVeMXIWq79poLJDdCRgh+hBXyzLiJ9qED3RNat1rR
2sYnvHbPtf6OsO38Mage39zk+e2pVkeoeJUxUsXqgyQmKiBTKUVGJbOg97BpNcIa8atlFRBRdzZW
n+m3lefC5PEH5AVeZ</vt:lpwstr>
  </property>
  <property fmtid="{D5CDD505-2E9C-101B-9397-08002B2CF9AE}" pid="3" name="MAIL_MSG_ID2">
    <vt:lpwstr>9jb+HamSw2h</vt:lpwstr>
  </property>
  <property fmtid="{D5CDD505-2E9C-101B-9397-08002B2CF9AE}" pid="4" name="RESPONSE_SENDER_NAME">
    <vt:lpwstr>gAAAdya76B99d4hLGUR1rQ+8TxTv0GGEPdix</vt:lpwstr>
  </property>
  <property fmtid="{D5CDD505-2E9C-101B-9397-08002B2CF9AE}" pid="5" name="EMAIL_OWNER_ADDRESS">
    <vt:lpwstr>sAAAE9kkUq3pEoLvczR+gwULoRJCEYyHZPZQs15hk10/NoM=</vt:lpwstr>
  </property>
  <property fmtid="{D5CDD505-2E9C-101B-9397-08002B2CF9AE}" pid="6" name="ContentTypeId">
    <vt:lpwstr>0x0101008C8A7CE79E19BF4387DCE4AF833A5E05</vt:lpwstr>
  </property>
</Properties>
</file>