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1B" w:rsidRDefault="008B561B" w:rsidP="006B600C">
      <w:pPr>
        <w:spacing w:line="480" w:lineRule="auto"/>
        <w:jc w:val="center"/>
        <w:outlineLvl w:val="0"/>
        <w:rPr>
          <w:b/>
          <w:bCs/>
        </w:rPr>
      </w:pPr>
      <w:bookmarkStart w:id="0" w:name="OLE_LINK3"/>
      <w:bookmarkStart w:id="1" w:name="OLE_LINK4"/>
    </w:p>
    <w:p w:rsidR="008B561B" w:rsidRDefault="008B561B" w:rsidP="006B600C">
      <w:pPr>
        <w:spacing w:line="480" w:lineRule="auto"/>
        <w:jc w:val="center"/>
        <w:outlineLvl w:val="0"/>
        <w:rPr>
          <w:b/>
          <w:bCs/>
        </w:rPr>
      </w:pPr>
    </w:p>
    <w:p w:rsidR="004E1260" w:rsidRDefault="00572257" w:rsidP="006B600C">
      <w:pPr>
        <w:spacing w:line="480" w:lineRule="auto"/>
        <w:jc w:val="center"/>
        <w:outlineLvl w:val="0"/>
        <w:rPr>
          <w:b/>
          <w:bCs/>
        </w:rPr>
      </w:pPr>
      <w:r>
        <w:rPr>
          <w:b/>
          <w:bCs/>
        </w:rPr>
        <w:t>SUPPLEMENTAL NUTRITION ASSISTANCE PROGRAM</w:t>
      </w:r>
      <w:r w:rsidR="004E1260">
        <w:rPr>
          <w:b/>
          <w:bCs/>
        </w:rPr>
        <w:t xml:space="preserve"> (SNAP)</w:t>
      </w:r>
    </w:p>
    <w:p w:rsidR="006B600C" w:rsidRDefault="00572257" w:rsidP="006B600C">
      <w:pPr>
        <w:spacing w:line="480" w:lineRule="auto"/>
        <w:jc w:val="center"/>
        <w:outlineLvl w:val="0"/>
        <w:rPr>
          <w:b/>
          <w:bCs/>
        </w:rPr>
      </w:pPr>
      <w:r>
        <w:rPr>
          <w:b/>
          <w:bCs/>
        </w:rPr>
        <w:t xml:space="preserve"> </w:t>
      </w:r>
      <w:r w:rsidR="006B600C">
        <w:rPr>
          <w:b/>
          <w:bCs/>
        </w:rPr>
        <w:t xml:space="preserve">OMB CLEARANCE NUMBER </w:t>
      </w:r>
      <w:r w:rsidR="00F259D8">
        <w:rPr>
          <w:b/>
          <w:bCs/>
        </w:rPr>
        <w:t>0584-</w:t>
      </w:r>
      <w:r w:rsidR="006B600C">
        <w:rPr>
          <w:b/>
          <w:bCs/>
        </w:rPr>
        <w:t>N</w:t>
      </w:r>
      <w:r w:rsidR="006B600C" w:rsidRPr="009A4246">
        <w:rPr>
          <w:b/>
          <w:bCs/>
        </w:rPr>
        <w:t>ew</w:t>
      </w:r>
    </w:p>
    <w:p w:rsidR="00572257" w:rsidRDefault="00572257" w:rsidP="00274C81">
      <w:pPr>
        <w:spacing w:line="480" w:lineRule="auto"/>
        <w:jc w:val="center"/>
        <w:rPr>
          <w:b/>
        </w:rPr>
      </w:pPr>
      <w:r w:rsidRPr="00572257">
        <w:rPr>
          <w:b/>
        </w:rPr>
        <w:t xml:space="preserve">Employment and Training Performance </w:t>
      </w:r>
    </w:p>
    <w:p w:rsidR="00274C81" w:rsidRPr="00274C81" w:rsidRDefault="00572257" w:rsidP="00274C81">
      <w:pPr>
        <w:spacing w:line="480" w:lineRule="auto"/>
        <w:jc w:val="center"/>
        <w:rPr>
          <w:b/>
        </w:rPr>
      </w:pPr>
      <w:r w:rsidRPr="00572257">
        <w:rPr>
          <w:b/>
        </w:rPr>
        <w:t>Measurement, Monitoring and Reporting Requirements</w:t>
      </w:r>
      <w:r w:rsidRPr="00C3717F">
        <w:rPr>
          <w:b/>
        </w:rPr>
        <w:t xml:space="preserve"> </w:t>
      </w:r>
    </w:p>
    <w:bookmarkEnd w:id="0"/>
    <w:bookmarkEnd w:id="1"/>
    <w:p w:rsidR="00F54905" w:rsidRDefault="00F54905" w:rsidP="00BF11AD">
      <w:pPr>
        <w:spacing w:line="480" w:lineRule="auto"/>
        <w:jc w:val="center"/>
        <w:rPr>
          <w:b/>
        </w:rPr>
      </w:pPr>
      <w:r w:rsidRPr="00A504D6">
        <w:rPr>
          <w:b/>
        </w:rPr>
        <w:t>RIN</w:t>
      </w:r>
      <w:r w:rsidR="00572257">
        <w:rPr>
          <w:b/>
        </w:rPr>
        <w:t xml:space="preserve"> </w:t>
      </w:r>
      <w:r w:rsidR="00F259D8">
        <w:rPr>
          <w:b/>
        </w:rPr>
        <w:t>0584-AE33</w:t>
      </w:r>
      <w:r w:rsidR="00F259D8" w:rsidRPr="00A504D6">
        <w:rPr>
          <w:b/>
        </w:rPr>
        <w:t xml:space="preserve"> </w:t>
      </w:r>
    </w:p>
    <w:p w:rsidR="00675C5D" w:rsidRPr="00675C5D" w:rsidRDefault="00572257" w:rsidP="00BF11AD">
      <w:pPr>
        <w:spacing w:line="480" w:lineRule="auto"/>
        <w:jc w:val="center"/>
        <w:rPr>
          <w:b/>
        </w:rPr>
      </w:pPr>
      <w:r>
        <w:rPr>
          <w:b/>
        </w:rPr>
        <w:t xml:space="preserve">Moira Johnston, </w:t>
      </w:r>
      <w:r w:rsidR="00B65672">
        <w:rPr>
          <w:b/>
        </w:rPr>
        <w:t xml:space="preserve">Director, </w:t>
      </w:r>
    </w:p>
    <w:p w:rsidR="00572257" w:rsidRDefault="00572257" w:rsidP="00572257">
      <w:pPr>
        <w:spacing w:line="480" w:lineRule="auto"/>
        <w:jc w:val="center"/>
        <w:rPr>
          <w:b/>
        </w:rPr>
      </w:pPr>
      <w:r>
        <w:rPr>
          <w:b/>
        </w:rPr>
        <w:t>Office of Employment and Training</w:t>
      </w:r>
    </w:p>
    <w:p w:rsidR="00572257" w:rsidRPr="00675C5D" w:rsidRDefault="00572257" w:rsidP="00572257">
      <w:pPr>
        <w:spacing w:line="480" w:lineRule="auto"/>
        <w:jc w:val="center"/>
        <w:rPr>
          <w:b/>
        </w:rPr>
      </w:pPr>
      <w:r>
        <w:rPr>
          <w:b/>
          <w:bCs/>
        </w:rPr>
        <w:t>Supplemental Nutrition Assistance Program</w:t>
      </w:r>
      <w:r w:rsidRPr="00675C5D">
        <w:rPr>
          <w:b/>
        </w:rPr>
        <w:t xml:space="preserve"> </w:t>
      </w:r>
    </w:p>
    <w:p w:rsidR="00572257" w:rsidRPr="00675C5D" w:rsidRDefault="00572257" w:rsidP="00572257">
      <w:pPr>
        <w:spacing w:line="480" w:lineRule="auto"/>
        <w:jc w:val="center"/>
        <w:rPr>
          <w:b/>
        </w:rPr>
      </w:pPr>
      <w:r w:rsidRPr="00675C5D">
        <w:rPr>
          <w:b/>
        </w:rPr>
        <w:t>Food and Nutrition Service, USDA</w:t>
      </w:r>
    </w:p>
    <w:p w:rsidR="00675C5D" w:rsidRPr="00675C5D" w:rsidRDefault="00675C5D" w:rsidP="00BF11AD">
      <w:pPr>
        <w:spacing w:line="480" w:lineRule="auto"/>
        <w:jc w:val="center"/>
        <w:rPr>
          <w:b/>
        </w:rPr>
      </w:pPr>
      <w:r w:rsidRPr="00675C5D">
        <w:rPr>
          <w:b/>
        </w:rPr>
        <w:t>3101 Park Center Drive</w:t>
      </w:r>
    </w:p>
    <w:p w:rsidR="00675C5D" w:rsidRPr="00675C5D" w:rsidRDefault="00675C5D" w:rsidP="00BF11AD">
      <w:pPr>
        <w:spacing w:line="480" w:lineRule="auto"/>
        <w:jc w:val="center"/>
        <w:rPr>
          <w:b/>
        </w:rPr>
      </w:pPr>
      <w:r w:rsidRPr="00675C5D">
        <w:rPr>
          <w:b/>
        </w:rPr>
        <w:t>Alexandria, VA  22302</w:t>
      </w:r>
    </w:p>
    <w:p w:rsidR="00675C5D" w:rsidRPr="00524B4D" w:rsidRDefault="00675C5D" w:rsidP="00BF11AD">
      <w:pPr>
        <w:spacing w:line="480" w:lineRule="auto"/>
        <w:jc w:val="center"/>
        <w:rPr>
          <w:b/>
        </w:rPr>
      </w:pPr>
      <w:r w:rsidRPr="00675C5D">
        <w:rPr>
          <w:b/>
        </w:rPr>
        <w:t>PH:</w:t>
      </w:r>
      <w:r w:rsidRPr="00675C5D">
        <w:rPr>
          <w:b/>
        </w:rPr>
        <w:tab/>
      </w:r>
      <w:r w:rsidRPr="00524B4D">
        <w:rPr>
          <w:b/>
        </w:rPr>
        <w:t>703-305-</w:t>
      </w:r>
      <w:r w:rsidR="00524B4D" w:rsidRPr="00524B4D">
        <w:rPr>
          <w:b/>
        </w:rPr>
        <w:t>2</w:t>
      </w:r>
      <w:r w:rsidR="00572257">
        <w:rPr>
          <w:b/>
        </w:rPr>
        <w:t>515</w:t>
      </w:r>
    </w:p>
    <w:p w:rsidR="00675C5D" w:rsidRPr="00675C5D" w:rsidRDefault="00572257" w:rsidP="00BF11AD">
      <w:pPr>
        <w:spacing w:line="480" w:lineRule="auto"/>
        <w:jc w:val="center"/>
        <w:rPr>
          <w:b/>
        </w:rPr>
      </w:pPr>
      <w:r>
        <w:rPr>
          <w:b/>
        </w:rPr>
        <w:t>Moira.Johnston</w:t>
      </w:r>
      <w:r w:rsidR="00675C5D" w:rsidRPr="00524B4D">
        <w:rPr>
          <w:b/>
        </w:rPr>
        <w:t>@fns.usda.gov</w:t>
      </w:r>
    </w:p>
    <w:p w:rsidR="0084346E" w:rsidRDefault="00F1190B" w:rsidP="00BF11AD">
      <w:pPr>
        <w:spacing w:line="480" w:lineRule="auto"/>
        <w:outlineLvl w:val="0"/>
        <w:rPr>
          <w:color w:val="000000"/>
        </w:rPr>
      </w:pPr>
      <w:r>
        <w:rPr>
          <w:color w:val="000000"/>
        </w:rPr>
        <w:br w:type="page"/>
      </w:r>
    </w:p>
    <w:p w:rsidR="0077371D" w:rsidRDefault="0077371D" w:rsidP="00CE4932">
      <w:pPr>
        <w:spacing w:line="480" w:lineRule="auto"/>
        <w:rPr>
          <w:b/>
          <w:bCs/>
          <w:color w:val="000000"/>
        </w:rPr>
      </w:pPr>
      <w:r w:rsidRPr="007021BA">
        <w:rPr>
          <w:b/>
          <w:bCs/>
          <w:color w:val="000000"/>
        </w:rPr>
        <w:lastRenderedPageBreak/>
        <w:t>1</w:t>
      </w:r>
      <w:r w:rsidR="003C3770" w:rsidRPr="007021BA">
        <w:rPr>
          <w:b/>
          <w:bCs/>
          <w:color w:val="000000"/>
        </w:rPr>
        <w:t xml:space="preserve">.  </w:t>
      </w:r>
      <w:r w:rsidR="00744CBF" w:rsidRPr="007021BA">
        <w:rPr>
          <w:b/>
          <w:bCs/>
          <w:color w:val="000000"/>
        </w:rPr>
        <w:t>Explain the circumstances that make the collection of information necessary</w:t>
      </w:r>
      <w:proofErr w:type="gramStart"/>
      <w:r w:rsidR="00744CBF" w:rsidRPr="007021BA">
        <w:rPr>
          <w:b/>
          <w:bCs/>
          <w:color w:val="000000"/>
        </w:rPr>
        <w:t xml:space="preserve">. </w:t>
      </w:r>
      <w:proofErr w:type="gramEnd"/>
      <w:r w:rsidR="00744CBF" w:rsidRPr="007021BA">
        <w:rPr>
          <w:b/>
        </w:rPr>
        <w:t xml:space="preserve">Identify any legal or administrative requirements that necessitate the collection.  </w:t>
      </w:r>
      <w:r w:rsidR="00CD2FEA" w:rsidRPr="007021BA">
        <w:rPr>
          <w:b/>
        </w:rPr>
        <w:t>Attach a copy of the appropriate section of each statute and regulation mandating or authorizing the collection of information</w:t>
      </w:r>
      <w:r w:rsidR="00CD2FEA" w:rsidRPr="007021BA">
        <w:rPr>
          <w:b/>
          <w:bCs/>
          <w:color w:val="000000"/>
        </w:rPr>
        <w:t>).</w:t>
      </w:r>
    </w:p>
    <w:p w:rsidR="008E23EE" w:rsidRPr="00C3717F" w:rsidRDefault="00572257" w:rsidP="008E23EE">
      <w:pPr>
        <w:spacing w:before="100" w:beforeAutospacing="1" w:after="240" w:line="480" w:lineRule="auto"/>
        <w:contextualSpacing/>
      </w:pPr>
      <w:r>
        <w:t xml:space="preserve">This is a new collection.  </w:t>
      </w:r>
      <w:r w:rsidR="008E23EE" w:rsidRPr="00C3717F">
        <w:t xml:space="preserve">The Department is requiring that State agencies report outcome data for SNAP </w:t>
      </w:r>
      <w:r w:rsidR="004E1260">
        <w:t>Employment and Training (</w:t>
      </w:r>
      <w:r w:rsidR="008E23EE" w:rsidRPr="00C3717F">
        <w:t>E&amp;T</w:t>
      </w:r>
      <w:r w:rsidR="004E1260">
        <w:t>)</w:t>
      </w:r>
      <w:r w:rsidR="008E23EE" w:rsidRPr="00C3717F">
        <w:t xml:space="preserve"> programs as mandated by Section 16(h)(5) of the F</w:t>
      </w:r>
      <w:r w:rsidR="00572B60">
        <w:t xml:space="preserve">ood and </w:t>
      </w:r>
      <w:r w:rsidR="008E23EE" w:rsidRPr="00C3717F">
        <w:t>N</w:t>
      </w:r>
      <w:r w:rsidR="00572B60">
        <w:t xml:space="preserve">utrition  </w:t>
      </w:r>
      <w:r w:rsidR="008E23EE" w:rsidRPr="00C3717F">
        <w:t>A</w:t>
      </w:r>
      <w:r w:rsidR="00572B60">
        <w:t xml:space="preserve">ct </w:t>
      </w:r>
      <w:r w:rsidR="00077059">
        <w:t>(FNA)</w:t>
      </w:r>
      <w:r w:rsidR="008E23EE" w:rsidRPr="00C3717F">
        <w:t xml:space="preserve"> as amended by section 4022 of the Agricultural Act of 2014.  The Department </w:t>
      </w:r>
      <w:r>
        <w:t>is establishing</w:t>
      </w:r>
      <w:r w:rsidR="008E23EE" w:rsidRPr="00C3717F">
        <w:t xml:space="preserve"> five separate reporting measures and is requiring State agencies to  report outcome data to monitor the effectiveness of E&amp;T programs: (1) the number of E&amp;T participants who enter unsubsidized employment; (2) the number of E&amp;T participants who retain unsubsidized employment for at least three months after entering employment; (3) the average cumulative earnings per participant over three months of unsubsidized employment, (4) the total number of participants that completed a training, educational, work experience or an on the job training component; and (5) certain unique characteristics of SNAP E&amp;T participants that will provide information on the challenges they face in obtaining employment.  State agencies are also required to identify appropriate reporting measures for each proposed component that serves a threshold number of participants of at least 100 a year</w:t>
      </w:r>
      <w:proofErr w:type="gramStart"/>
      <w:r w:rsidR="008E23EE" w:rsidRPr="00C3717F">
        <w:t xml:space="preserve">. </w:t>
      </w:r>
      <w:proofErr w:type="gramEnd"/>
      <w:r w:rsidR="008E23EE" w:rsidRPr="00C3717F">
        <w:t xml:space="preserve">The reporting measures for these components will be identified in State agencies’ E&amp;T plans and the outcome data will be reported to </w:t>
      </w:r>
      <w:r w:rsidR="004E1260">
        <w:t>the Food and Nutrition Service (</w:t>
      </w:r>
      <w:r w:rsidR="008E23EE" w:rsidRPr="00C3717F">
        <w:t>FNS</w:t>
      </w:r>
      <w:r w:rsidR="004E1260">
        <w:t>)</w:t>
      </w:r>
      <w:r w:rsidR="008E23EE" w:rsidRPr="00C3717F">
        <w:t xml:space="preserve"> in State agencies’ annual reports.  State agencies will be required to report outcome data annually. </w:t>
      </w:r>
    </w:p>
    <w:p w:rsidR="00274C81" w:rsidRDefault="00274C81" w:rsidP="00274C81">
      <w:pPr>
        <w:pStyle w:val="Default"/>
        <w:spacing w:line="480" w:lineRule="auto"/>
        <w:rPr>
          <w:b/>
          <w:bCs/>
        </w:rPr>
      </w:pPr>
    </w:p>
    <w:p w:rsidR="009742E9" w:rsidRDefault="009742E9" w:rsidP="00274C81">
      <w:pPr>
        <w:pStyle w:val="Default"/>
        <w:spacing w:line="480" w:lineRule="auto"/>
        <w:rPr>
          <w:b/>
          <w:bCs/>
        </w:rPr>
      </w:pPr>
      <w:r>
        <w:rPr>
          <w:b/>
          <w:bCs/>
        </w:rPr>
        <w:lastRenderedPageBreak/>
        <w:t>2</w:t>
      </w:r>
      <w:r w:rsidR="003C3770">
        <w:rPr>
          <w:b/>
          <w:bCs/>
        </w:rPr>
        <w:t xml:space="preserve">.  </w:t>
      </w:r>
      <w:r w:rsidR="00744CBF" w:rsidRPr="003E4AF3">
        <w:rPr>
          <w:b/>
        </w:rPr>
        <w:t xml:space="preserve">Indicate how, by whom, and for what purpose the information is to be used. </w:t>
      </w:r>
      <w:r w:rsidR="00744CBF">
        <w:rPr>
          <w:b/>
        </w:rPr>
        <w:t xml:space="preserve"> </w:t>
      </w:r>
      <w:r w:rsidR="00744CBF" w:rsidRPr="003E4AF3">
        <w:rPr>
          <w:b/>
        </w:rPr>
        <w:t>Except for a new collection, indicate the actual use the agency has made of the information received from the current collection</w:t>
      </w:r>
      <w:r w:rsidR="008569E5">
        <w:rPr>
          <w:b/>
          <w:bCs/>
        </w:rPr>
        <w:t>.</w:t>
      </w:r>
    </w:p>
    <w:p w:rsidR="00026A47" w:rsidRPr="00C3717F" w:rsidRDefault="008A2BCA" w:rsidP="00026A47">
      <w:pPr>
        <w:spacing w:line="480" w:lineRule="auto"/>
      </w:pPr>
      <w:r>
        <w:t>Since t</w:t>
      </w:r>
      <w:r w:rsidR="00627F57">
        <w:t xml:space="preserve">his is a new </w:t>
      </w:r>
      <w:r w:rsidR="004B1A92">
        <w:t>collection</w:t>
      </w:r>
      <w:r>
        <w:t>, FNS has not had this information to date</w:t>
      </w:r>
      <w:proofErr w:type="gramStart"/>
      <w:r>
        <w:t>.</w:t>
      </w:r>
      <w:r w:rsidR="00026A47" w:rsidRPr="00C3717F">
        <w:t xml:space="preserve"> </w:t>
      </w:r>
      <w:r>
        <w:t xml:space="preserve">  </w:t>
      </w:r>
      <w:proofErr w:type="gramEnd"/>
      <w:r w:rsidR="002545C3">
        <w:t>While a</w:t>
      </w:r>
      <w:r>
        <w:t xml:space="preserve"> number </w:t>
      </w:r>
      <w:r w:rsidR="009454F6">
        <w:t xml:space="preserve">of </w:t>
      </w:r>
      <w:r w:rsidR="009454F6" w:rsidRPr="00C3717F">
        <w:t>State</w:t>
      </w:r>
      <w:r w:rsidR="00026A47" w:rsidRPr="00C3717F">
        <w:t xml:space="preserve"> agencies</w:t>
      </w:r>
      <w:r>
        <w:t xml:space="preserve"> have collected various pieces of information about the outcome of their E&amp;T efforts, t</w:t>
      </w:r>
      <w:r w:rsidRPr="00C3717F">
        <w:t xml:space="preserve">his rule will require the reporting of </w:t>
      </w:r>
      <w:r>
        <w:t xml:space="preserve">uniform </w:t>
      </w:r>
      <w:r w:rsidRPr="00C3717F">
        <w:t>outcome data</w:t>
      </w:r>
      <w:r w:rsidR="00026A47" w:rsidRPr="00C3717F">
        <w:t xml:space="preserve">.  </w:t>
      </w:r>
      <w:r>
        <w:t>With this information</w:t>
      </w:r>
      <w:r w:rsidR="00F16F3F">
        <w:t>,</w:t>
      </w:r>
      <w:r>
        <w:t xml:space="preserve"> FNS</w:t>
      </w:r>
      <w:r w:rsidR="00026A47" w:rsidRPr="00C3717F">
        <w:t xml:space="preserve"> will </w:t>
      </w:r>
      <w:r>
        <w:t xml:space="preserve">be able to identify more, and less, successful E&amp;T practices and </w:t>
      </w:r>
      <w:r w:rsidR="00026A47" w:rsidRPr="00C3717F">
        <w:t>work with State agencies</w:t>
      </w:r>
      <w:r>
        <w:t xml:space="preserve"> to improve their E&amp;T programs.  This process is critical to </w:t>
      </w:r>
      <w:r w:rsidR="002545C3">
        <w:t>building a more effective E&amp;T operation nationally that will help move more individuals into the workforce more quickly.  Beyond the many benefits that earnings provide to SNAP’s low income population, they also reduce the cost of SNAP.</w:t>
      </w:r>
      <w:r w:rsidR="00026A47" w:rsidRPr="00C3717F">
        <w:t xml:space="preserve"> </w:t>
      </w:r>
    </w:p>
    <w:p w:rsidR="00E45D37" w:rsidRDefault="00E45D37" w:rsidP="00131E76">
      <w:pPr>
        <w:spacing w:line="480" w:lineRule="auto"/>
      </w:pPr>
      <w:bookmarkStart w:id="2" w:name="OLE_LINK1"/>
      <w:bookmarkStart w:id="3" w:name="OLE_LINK2"/>
    </w:p>
    <w:bookmarkEnd w:id="2"/>
    <w:bookmarkEnd w:id="3"/>
    <w:p w:rsidR="009742E9" w:rsidRDefault="009742E9" w:rsidP="007541A5">
      <w:pPr>
        <w:pStyle w:val="p5"/>
        <w:tabs>
          <w:tab w:val="clear" w:pos="663"/>
          <w:tab w:val="left" w:pos="540"/>
        </w:tabs>
        <w:spacing w:line="480" w:lineRule="auto"/>
        <w:ind w:left="0" w:firstLine="0"/>
        <w:rPr>
          <w:color w:val="000000"/>
        </w:rPr>
      </w:pPr>
      <w:r w:rsidRPr="006D64C7">
        <w:rPr>
          <w:b/>
          <w:color w:val="000000"/>
        </w:rPr>
        <w:t>3.</w:t>
      </w:r>
      <w:r w:rsidR="003C3770">
        <w:rPr>
          <w:color w:val="000000"/>
        </w:rPr>
        <w:t xml:space="preserve"> </w:t>
      </w:r>
      <w:r>
        <w:rPr>
          <w:color w:val="000000"/>
        </w:rPr>
        <w:t xml:space="preserve"> </w:t>
      </w:r>
      <w:r w:rsidR="007541A5" w:rsidRPr="00596919">
        <w:rPr>
          <w:b/>
        </w:rPr>
        <w:t xml:space="preserve">Describe whether, and to what extent, the collection of </w:t>
      </w:r>
      <w:r w:rsidR="007541A5">
        <w:rPr>
          <w:b/>
        </w:rPr>
        <w:t xml:space="preserve">information involves the use of </w:t>
      </w:r>
      <w:r w:rsidR="007541A5" w:rsidRPr="00596919">
        <w:rPr>
          <w:b/>
        </w:rPr>
        <w:t>automated, electronic, mechanical, or other technological collection techniques or other</w:t>
      </w:r>
      <w:r w:rsidR="007541A5">
        <w:t xml:space="preserve"> </w:t>
      </w:r>
      <w:r w:rsidR="007541A5" w:rsidRPr="00596919">
        <w:rPr>
          <w:b/>
        </w:rPr>
        <w:t>forms of information technology, e.g., permitting electronic submission of responses</w:t>
      </w:r>
      <w:r w:rsidR="007541A5">
        <w:rPr>
          <w:b/>
        </w:rPr>
        <w:t xml:space="preserve"> </w:t>
      </w:r>
      <w:r w:rsidR="007541A5" w:rsidRPr="00596919">
        <w:rPr>
          <w:b/>
        </w:rPr>
        <w:t>and the basis for the decision for adopting this means of collection.</w:t>
      </w:r>
      <w:r w:rsidR="007541A5">
        <w:rPr>
          <w:b/>
        </w:rPr>
        <w:t xml:space="preserve">  </w:t>
      </w:r>
      <w:r w:rsidR="007541A5" w:rsidRPr="00596919">
        <w:rPr>
          <w:b/>
        </w:rPr>
        <w:t>Also, describe any</w:t>
      </w:r>
      <w:r w:rsidR="007541A5">
        <w:rPr>
          <w:b/>
        </w:rPr>
        <w:t xml:space="preserve"> </w:t>
      </w:r>
      <w:r w:rsidR="007541A5" w:rsidRPr="00596919">
        <w:rPr>
          <w:b/>
        </w:rPr>
        <w:t>consideration of using information technology to reduce burden</w:t>
      </w:r>
      <w:r>
        <w:rPr>
          <w:color w:val="000000"/>
        </w:rPr>
        <w:t>.</w:t>
      </w:r>
    </w:p>
    <w:p w:rsidR="00AB4A4D" w:rsidRDefault="004E1260" w:rsidP="00CE4932">
      <w:pPr>
        <w:spacing w:line="480" w:lineRule="auto"/>
        <w:rPr>
          <w:color w:val="000000"/>
        </w:rPr>
      </w:pPr>
      <w:r>
        <w:t>SNAP is administered and operated by State and local government agencies and as such it is their decision on how data is collected.  State agencies submit numerous reports to FNS regarding SNAP</w:t>
      </w:r>
      <w:proofErr w:type="gramStart"/>
      <w:r>
        <w:t>,</w:t>
      </w:r>
      <w:proofErr w:type="gramEnd"/>
      <w:r>
        <w:t xml:space="preserve"> the vast majority are generated by automated systems.  The Department supports States automation and modernization efforts and their development is funded with matching funds.  Fo</w:t>
      </w:r>
      <w:r w:rsidR="00572B60">
        <w:t xml:space="preserve">r </w:t>
      </w:r>
      <w:r>
        <w:t xml:space="preserve">this new requirement, States are expected to automate the data collection process as much as possible and the Department will facilitate electronic submission of the </w:t>
      </w:r>
      <w:r>
        <w:lastRenderedPageBreak/>
        <w:t>information collect</w:t>
      </w:r>
      <w:r w:rsidR="00285176">
        <w:t>ion</w:t>
      </w:r>
      <w:r>
        <w:t xml:space="preserve">.  </w:t>
      </w:r>
      <w:r w:rsidR="00026A47" w:rsidRPr="00C3717F">
        <w:t>The Department is</w:t>
      </w:r>
      <w:r w:rsidR="002545C3">
        <w:t xml:space="preserve"> also</w:t>
      </w:r>
      <w:r w:rsidR="00026A47" w:rsidRPr="00C3717F">
        <w:t xml:space="preserve"> committed to complying with the E-Government Act, to promote the use of the Internet and other information technologies to provide increased opportunities for citizen access to Government information and services, and for other purposes.</w:t>
      </w:r>
    </w:p>
    <w:p w:rsidR="00320C8A" w:rsidRDefault="00320C8A" w:rsidP="00CE4932">
      <w:pPr>
        <w:pStyle w:val="BodyText"/>
        <w:spacing w:line="480" w:lineRule="auto"/>
        <w:rPr>
          <w:color w:val="000000"/>
        </w:rPr>
      </w:pPr>
    </w:p>
    <w:p w:rsidR="009742E9" w:rsidRDefault="009742E9" w:rsidP="00CE4932">
      <w:pPr>
        <w:pStyle w:val="BodyText"/>
        <w:spacing w:line="480" w:lineRule="auto"/>
        <w:rPr>
          <w:color w:val="000000"/>
        </w:rPr>
      </w:pPr>
      <w:r>
        <w:rPr>
          <w:color w:val="000000"/>
        </w:rPr>
        <w:t>4.</w:t>
      </w:r>
      <w:r w:rsidR="00D2509B">
        <w:rPr>
          <w:color w:val="000000"/>
        </w:rPr>
        <w:t xml:space="preserve"> </w:t>
      </w:r>
      <w:r>
        <w:rPr>
          <w:color w:val="000000"/>
        </w:rPr>
        <w:t xml:space="preserve"> </w:t>
      </w:r>
      <w:r w:rsidR="007541A5" w:rsidRPr="00596919">
        <w:rPr>
          <w:color w:val="000000"/>
        </w:rPr>
        <w:t>Describe efforts to identify duplication</w:t>
      </w:r>
      <w:proofErr w:type="gramStart"/>
      <w:r w:rsidR="007541A5" w:rsidRPr="00596919">
        <w:rPr>
          <w:color w:val="000000"/>
        </w:rPr>
        <w:t xml:space="preserve">. </w:t>
      </w:r>
      <w:proofErr w:type="gramEnd"/>
      <w:r w:rsidR="007541A5" w:rsidRPr="00596919">
        <w:t>Show specifically why any similar information</w:t>
      </w:r>
      <w:r w:rsidR="007541A5" w:rsidRPr="007541A5">
        <w:t xml:space="preserve"> </w:t>
      </w:r>
      <w:r w:rsidR="007541A5" w:rsidRPr="00596919">
        <w:t>already available cannot be used or modified for use for the purpose described in item 2</w:t>
      </w:r>
      <w:r w:rsidR="00D200B4">
        <w:t xml:space="preserve"> above</w:t>
      </w:r>
      <w:r w:rsidR="00BE7AE1">
        <w:rPr>
          <w:color w:val="000000"/>
        </w:rPr>
        <w:t>.</w:t>
      </w:r>
    </w:p>
    <w:p w:rsidR="0038185D" w:rsidRDefault="007E731D" w:rsidP="00CE4932">
      <w:pPr>
        <w:pStyle w:val="BodyTextIndent3"/>
        <w:spacing w:after="0" w:line="480" w:lineRule="auto"/>
        <w:ind w:left="0"/>
        <w:rPr>
          <w:spacing w:val="-3"/>
          <w:sz w:val="24"/>
          <w:szCs w:val="24"/>
        </w:rPr>
      </w:pPr>
      <w:r>
        <w:rPr>
          <w:spacing w:val="-3"/>
          <w:sz w:val="24"/>
          <w:szCs w:val="24"/>
        </w:rPr>
        <w:t xml:space="preserve">Every effort has been made to avoid duplication.  FNS has reviewed USDA </w:t>
      </w:r>
      <w:r w:rsidR="00131E76">
        <w:rPr>
          <w:spacing w:val="-3"/>
          <w:sz w:val="24"/>
          <w:szCs w:val="24"/>
        </w:rPr>
        <w:t>recordkeeping</w:t>
      </w:r>
      <w:r>
        <w:rPr>
          <w:spacing w:val="-3"/>
          <w:sz w:val="24"/>
          <w:szCs w:val="24"/>
        </w:rPr>
        <w:t xml:space="preserve"> requirements, state administrative agency </w:t>
      </w:r>
      <w:r w:rsidR="00131E76">
        <w:rPr>
          <w:spacing w:val="-3"/>
          <w:sz w:val="24"/>
          <w:szCs w:val="24"/>
        </w:rPr>
        <w:t>recordkeeping</w:t>
      </w:r>
      <w:r>
        <w:rPr>
          <w:spacing w:val="-3"/>
          <w:sz w:val="24"/>
          <w:szCs w:val="24"/>
        </w:rPr>
        <w:t xml:space="preserve"> requirements, and special studies by other government and private agencies.  FNS solely monitors and administers </w:t>
      </w:r>
      <w:r w:rsidR="004E1260">
        <w:rPr>
          <w:spacing w:val="-3"/>
          <w:sz w:val="24"/>
          <w:szCs w:val="24"/>
        </w:rPr>
        <w:t>SNAP.</w:t>
      </w:r>
    </w:p>
    <w:p w:rsidR="001C5015" w:rsidRDefault="001C5015" w:rsidP="00CE4932">
      <w:pPr>
        <w:pStyle w:val="BodyTextIndent3"/>
        <w:spacing w:after="0" w:line="480" w:lineRule="auto"/>
        <w:ind w:left="0"/>
        <w:rPr>
          <w:spacing w:val="-3"/>
          <w:sz w:val="24"/>
          <w:szCs w:val="24"/>
        </w:rPr>
      </w:pPr>
    </w:p>
    <w:p w:rsidR="009742E9" w:rsidRDefault="009742E9" w:rsidP="00CE4932">
      <w:pPr>
        <w:pStyle w:val="BodyText"/>
        <w:spacing w:line="480" w:lineRule="auto"/>
        <w:rPr>
          <w:color w:val="000000"/>
        </w:rPr>
      </w:pPr>
      <w:r>
        <w:rPr>
          <w:color w:val="000000"/>
        </w:rPr>
        <w:t>5.</w:t>
      </w:r>
      <w:r w:rsidR="006177FA">
        <w:rPr>
          <w:color w:val="000000"/>
        </w:rPr>
        <w:t xml:space="preserve"> </w:t>
      </w:r>
      <w:r>
        <w:rPr>
          <w:color w:val="000000"/>
        </w:rPr>
        <w:t xml:space="preserve"> </w:t>
      </w:r>
      <w:r w:rsidR="00D200B4" w:rsidRPr="00843CF1">
        <w:t>If the collection of information impacts small businesses or other small</w:t>
      </w:r>
      <w:r w:rsidR="00D200B4" w:rsidRPr="00843CF1">
        <w:rPr>
          <w:color w:val="000000"/>
        </w:rPr>
        <w:t xml:space="preserve"> </w:t>
      </w:r>
      <w:r w:rsidR="00D200B4" w:rsidRPr="00843CF1">
        <w:t>entities,</w:t>
      </w:r>
      <w:r w:rsidR="00D200B4" w:rsidRPr="00D200B4">
        <w:t xml:space="preserve"> </w:t>
      </w:r>
      <w:r w:rsidR="00D200B4" w:rsidRPr="00843CF1">
        <w:t>describe</w:t>
      </w:r>
      <w:r w:rsidR="00D200B4" w:rsidRPr="005C5FC6">
        <w:t xml:space="preserve"> any methods used to minimize burden</w:t>
      </w:r>
      <w:r w:rsidR="00006605">
        <w:rPr>
          <w:color w:val="000000"/>
        </w:rPr>
        <w:t>.</w:t>
      </w:r>
    </w:p>
    <w:p w:rsidR="0040094C" w:rsidRDefault="00E92930" w:rsidP="00DA70F1">
      <w:pPr>
        <w:tabs>
          <w:tab w:val="left" w:pos="-720"/>
        </w:tabs>
        <w:suppressAutoHyphens/>
        <w:spacing w:line="480" w:lineRule="auto"/>
        <w:rPr>
          <w:spacing w:val="-3"/>
        </w:rPr>
      </w:pPr>
      <w:r>
        <w:rPr>
          <w:color w:val="000000"/>
        </w:rPr>
        <w:t>Information being requested or required has been held to the minimum required for the in</w:t>
      </w:r>
      <w:r w:rsidR="0028571D">
        <w:rPr>
          <w:color w:val="000000"/>
        </w:rPr>
        <w:t xml:space="preserve">tended use.  </w:t>
      </w:r>
      <w:r w:rsidR="00E45D37" w:rsidRPr="00B31EF6">
        <w:rPr>
          <w:spacing w:val="-3"/>
        </w:rPr>
        <w:t xml:space="preserve">No small entities are impacted by this collection of information.   </w:t>
      </w:r>
      <w:r w:rsidR="00E45D37" w:rsidRPr="00F90EE2">
        <w:rPr>
          <w:spacing w:val="-3"/>
        </w:rPr>
        <w:t xml:space="preserve"> </w:t>
      </w:r>
    </w:p>
    <w:p w:rsidR="00DA70F1" w:rsidRDefault="00DA70F1" w:rsidP="0040094C">
      <w:pPr>
        <w:tabs>
          <w:tab w:val="left" w:pos="-720"/>
        </w:tabs>
        <w:suppressAutoHyphens/>
        <w:spacing w:line="480" w:lineRule="auto"/>
        <w:ind w:left="360"/>
        <w:rPr>
          <w:spacing w:val="-3"/>
        </w:rPr>
      </w:pPr>
    </w:p>
    <w:p w:rsidR="009742E9" w:rsidRDefault="009742E9" w:rsidP="00CE4932">
      <w:pPr>
        <w:pStyle w:val="BodyText"/>
        <w:spacing w:line="480" w:lineRule="auto"/>
        <w:rPr>
          <w:color w:val="000000"/>
        </w:rPr>
      </w:pPr>
      <w:r>
        <w:rPr>
          <w:color w:val="000000"/>
        </w:rPr>
        <w:t>6.</w:t>
      </w:r>
      <w:r w:rsidR="006177FA">
        <w:rPr>
          <w:color w:val="000000"/>
        </w:rPr>
        <w:t xml:space="preserve"> </w:t>
      </w:r>
      <w:r>
        <w:rPr>
          <w:color w:val="000000"/>
        </w:rPr>
        <w:t xml:space="preserve"> </w:t>
      </w:r>
      <w:r w:rsidR="00D200B4" w:rsidRPr="00596919">
        <w:t>Describe the consequence to Federal program or policy activities if the collection is</w:t>
      </w:r>
      <w:r w:rsidR="00D200B4">
        <w:t xml:space="preserve"> </w:t>
      </w:r>
      <w:r w:rsidR="00D200B4" w:rsidRPr="00596919">
        <w:t>not</w:t>
      </w:r>
      <w:r w:rsidR="00D200B4">
        <w:t xml:space="preserve"> </w:t>
      </w:r>
      <w:r w:rsidR="00D200B4" w:rsidRPr="00596919">
        <w:t>conducted or is conducted less frequently, as well as any technical or legal obstacles to</w:t>
      </w:r>
      <w:r w:rsidR="00D200B4">
        <w:t xml:space="preserve"> reducing burden</w:t>
      </w:r>
      <w:r>
        <w:rPr>
          <w:color w:val="000000"/>
        </w:rPr>
        <w:t>.</w:t>
      </w:r>
    </w:p>
    <w:p w:rsidR="00572B60" w:rsidRPr="00077059" w:rsidRDefault="00077059" w:rsidP="00CE4932">
      <w:pPr>
        <w:pStyle w:val="BodyText"/>
        <w:spacing w:line="480" w:lineRule="auto"/>
        <w:rPr>
          <w:b w:val="0"/>
          <w:color w:val="000000"/>
        </w:rPr>
      </w:pPr>
      <w:r w:rsidRPr="00077059">
        <w:rPr>
          <w:b w:val="0"/>
          <w:color w:val="000000"/>
        </w:rPr>
        <w:t xml:space="preserve">Without this data collection, FNS will continue to be severely limited in understanding effective E&amp;T practices and providing assistance to States in improving their operations.  </w:t>
      </w:r>
      <w:r w:rsidR="00572B60" w:rsidRPr="00077059">
        <w:rPr>
          <w:b w:val="0"/>
          <w:color w:val="000000"/>
        </w:rPr>
        <w:t xml:space="preserve">FNS considered more frequent (quarterly) </w:t>
      </w:r>
      <w:r w:rsidRPr="00077059">
        <w:rPr>
          <w:b w:val="0"/>
          <w:color w:val="000000"/>
        </w:rPr>
        <w:t>collection</w:t>
      </w:r>
      <w:r w:rsidR="00572B60" w:rsidRPr="00077059">
        <w:rPr>
          <w:b w:val="0"/>
          <w:color w:val="000000"/>
        </w:rPr>
        <w:t xml:space="preserve"> of the reporting measures, but </w:t>
      </w:r>
      <w:r w:rsidRPr="00077059">
        <w:rPr>
          <w:b w:val="0"/>
          <w:color w:val="000000"/>
        </w:rPr>
        <w:t>determined</w:t>
      </w:r>
      <w:r w:rsidR="00572B60" w:rsidRPr="00077059">
        <w:rPr>
          <w:b w:val="0"/>
          <w:color w:val="000000"/>
        </w:rPr>
        <w:t xml:space="preserve"> that </w:t>
      </w:r>
      <w:r w:rsidRPr="00077059">
        <w:rPr>
          <w:b w:val="0"/>
          <w:color w:val="000000"/>
        </w:rPr>
        <w:t>the data would be incomplete and its usefulness uncertain</w:t>
      </w:r>
      <w:proofErr w:type="gramStart"/>
      <w:r w:rsidRPr="00077059">
        <w:rPr>
          <w:b w:val="0"/>
          <w:color w:val="000000"/>
        </w:rPr>
        <w:t xml:space="preserve">.   </w:t>
      </w:r>
      <w:proofErr w:type="gramEnd"/>
      <w:r w:rsidRPr="00077059">
        <w:rPr>
          <w:b w:val="0"/>
          <w:color w:val="000000"/>
        </w:rPr>
        <w:t xml:space="preserve">Beyond the FNA requirement that measures </w:t>
      </w:r>
      <w:r w:rsidRPr="00077059">
        <w:rPr>
          <w:b w:val="0"/>
          <w:color w:val="000000"/>
        </w:rPr>
        <w:lastRenderedPageBreak/>
        <w:t>be reported annually, less frequent reporting would result in FNS frequently relying on outdated information.</w:t>
      </w:r>
    </w:p>
    <w:p w:rsidR="0040094C" w:rsidRDefault="0040094C" w:rsidP="00CE4932">
      <w:pPr>
        <w:pStyle w:val="BodyText"/>
        <w:spacing w:line="480" w:lineRule="auto"/>
      </w:pPr>
    </w:p>
    <w:p w:rsidR="0057575A" w:rsidRDefault="009742E9" w:rsidP="00CE4932">
      <w:pPr>
        <w:pStyle w:val="BodyText"/>
        <w:spacing w:line="480" w:lineRule="auto"/>
      </w:pPr>
      <w:r>
        <w:t>7.</w:t>
      </w:r>
      <w:r w:rsidR="006177FA">
        <w:t xml:space="preserve"> </w:t>
      </w:r>
      <w:r>
        <w:t xml:space="preserve"> </w:t>
      </w:r>
      <w:r w:rsidR="00120191">
        <w:rPr>
          <w:color w:val="000000"/>
        </w:rPr>
        <w:t>Explain any s</w:t>
      </w:r>
      <w:r w:rsidR="006177FA">
        <w:rPr>
          <w:color w:val="000000"/>
        </w:rPr>
        <w:t xml:space="preserve">pecial circumstances </w:t>
      </w:r>
      <w:r w:rsidR="00120191">
        <w:rPr>
          <w:color w:val="000000"/>
        </w:rPr>
        <w:t xml:space="preserve">that would cause an information collection </w:t>
      </w:r>
      <w:r w:rsidR="006177FA">
        <w:rPr>
          <w:color w:val="000000"/>
        </w:rPr>
        <w:t xml:space="preserve">to </w:t>
      </w:r>
      <w:r w:rsidR="00120191">
        <w:rPr>
          <w:color w:val="000000"/>
        </w:rPr>
        <w:t>be conducted in a manner that is incons</w:t>
      </w:r>
      <w:r w:rsidR="006177FA">
        <w:rPr>
          <w:color w:val="000000"/>
        </w:rPr>
        <w:t>i</w:t>
      </w:r>
      <w:r w:rsidR="00120191">
        <w:rPr>
          <w:color w:val="000000"/>
        </w:rPr>
        <w:t>ste</w:t>
      </w:r>
      <w:r w:rsidR="006177FA">
        <w:rPr>
          <w:color w:val="000000"/>
        </w:rPr>
        <w:t>n</w:t>
      </w:r>
      <w:r w:rsidR="00120191">
        <w:rPr>
          <w:color w:val="000000"/>
        </w:rPr>
        <w:t>t</w:t>
      </w:r>
      <w:r w:rsidR="006177FA">
        <w:rPr>
          <w:color w:val="000000"/>
        </w:rPr>
        <w:t xml:space="preserve"> </w:t>
      </w:r>
      <w:r w:rsidR="00120191">
        <w:rPr>
          <w:color w:val="000000"/>
        </w:rPr>
        <w:t xml:space="preserve">with </w:t>
      </w:r>
      <w:r w:rsidR="006177FA">
        <w:rPr>
          <w:color w:val="000000"/>
        </w:rPr>
        <w:t>5 CFR 1320.</w:t>
      </w:r>
      <w:r w:rsidR="000F2DAF">
        <w:rPr>
          <w:color w:val="000000"/>
        </w:rPr>
        <w:t>5</w:t>
      </w:r>
      <w:r w:rsidR="00120191">
        <w:rPr>
          <w:color w:val="000000"/>
        </w:rPr>
        <w:t>:</w:t>
      </w:r>
    </w:p>
    <w:p w:rsidR="00EC6D32" w:rsidRPr="00596919" w:rsidRDefault="00EC6D32" w:rsidP="00EC6D32">
      <w:pPr>
        <w:numPr>
          <w:ilvl w:val="0"/>
          <w:numId w:val="13"/>
        </w:numPr>
        <w:spacing w:after="80" w:line="480" w:lineRule="auto"/>
        <w:ind w:left="1080"/>
        <w:rPr>
          <w:b/>
        </w:rPr>
      </w:pPr>
      <w:r w:rsidRPr="003E4AF3">
        <w:rPr>
          <w:b/>
        </w:rPr>
        <w:t>requiring respondents to report informa</w:t>
      </w:r>
      <w:r w:rsidRPr="003E4AF3">
        <w:rPr>
          <w:b/>
        </w:rPr>
        <w:softHyphen/>
        <w:t>tio</w:t>
      </w:r>
      <w:r>
        <w:rPr>
          <w:b/>
        </w:rPr>
        <w:t xml:space="preserve">n to the agency more often than </w:t>
      </w:r>
      <w:r w:rsidRPr="003E4AF3">
        <w:rPr>
          <w:b/>
        </w:rPr>
        <w:t>quarterly;</w:t>
      </w:r>
    </w:p>
    <w:p w:rsidR="00EC6D32" w:rsidRPr="00596919" w:rsidRDefault="00EC6D32" w:rsidP="00EC6D32">
      <w:pPr>
        <w:numPr>
          <w:ilvl w:val="0"/>
          <w:numId w:val="11"/>
        </w:numPr>
        <w:tabs>
          <w:tab w:val="clear" w:pos="360"/>
        </w:tabs>
        <w:spacing w:after="80" w:line="480" w:lineRule="auto"/>
        <w:ind w:left="1080"/>
        <w:rPr>
          <w:b/>
        </w:rPr>
      </w:pPr>
      <w:r w:rsidRPr="003E4AF3">
        <w:rPr>
          <w:b/>
        </w:rPr>
        <w:t>requiring respondents to prepare a writ</w:t>
      </w:r>
      <w:r w:rsidRPr="003E4AF3">
        <w:rPr>
          <w:b/>
        </w:rPr>
        <w:softHyphen/>
        <w:t>ten response to a collection of infor</w:t>
      </w:r>
      <w:r w:rsidRPr="003E4AF3">
        <w:rPr>
          <w:b/>
        </w:rPr>
        <w:softHyphen/>
        <w:t>ma</w:t>
      </w:r>
      <w:r w:rsidRPr="003E4AF3">
        <w:rPr>
          <w:b/>
        </w:rPr>
        <w:softHyphen/>
        <w:t>tion in fewer than 30 days after receipt of it;</w:t>
      </w:r>
    </w:p>
    <w:p w:rsidR="00EC6D32" w:rsidRDefault="00EC6D32" w:rsidP="00EC6D32">
      <w:pPr>
        <w:numPr>
          <w:ilvl w:val="0"/>
          <w:numId w:val="12"/>
        </w:numPr>
        <w:tabs>
          <w:tab w:val="clear" w:pos="360"/>
        </w:tabs>
        <w:spacing w:after="80" w:line="480" w:lineRule="auto"/>
        <w:ind w:left="1080"/>
        <w:rPr>
          <w:b/>
        </w:rPr>
      </w:pPr>
      <w:r w:rsidRPr="003E4AF3">
        <w:rPr>
          <w:b/>
        </w:rPr>
        <w:t>requiring respondents to submit more than an original and two copies of any docu</w:t>
      </w:r>
      <w:r w:rsidRPr="003E4AF3">
        <w:rPr>
          <w:b/>
        </w:rPr>
        <w:softHyphen/>
        <w:t>ment;</w:t>
      </w:r>
    </w:p>
    <w:p w:rsidR="00EC6D32" w:rsidRPr="00596919" w:rsidRDefault="00EC6D32" w:rsidP="00EC6D32">
      <w:pPr>
        <w:numPr>
          <w:ilvl w:val="0"/>
          <w:numId w:val="15"/>
        </w:numPr>
        <w:tabs>
          <w:tab w:val="clear" w:pos="360"/>
        </w:tabs>
        <w:spacing w:after="80" w:line="480" w:lineRule="auto"/>
        <w:ind w:left="1170" w:hanging="450"/>
        <w:rPr>
          <w:b/>
        </w:rPr>
      </w:pPr>
      <w:r w:rsidRPr="003E4AF3">
        <w:rPr>
          <w:b/>
        </w:rPr>
        <w:t>requiring respondents to retain re</w:t>
      </w:r>
      <w:r w:rsidRPr="003E4AF3">
        <w:rPr>
          <w:b/>
        </w:rPr>
        <w:softHyphen/>
        <w:t>cords, other than health, medical, governm</w:t>
      </w:r>
      <w:r w:rsidRPr="003E4AF3">
        <w:rPr>
          <w:b/>
        </w:rPr>
        <w:softHyphen/>
        <w:t>ent contract, grant-in-aid, or tax records for more than three years;</w:t>
      </w:r>
    </w:p>
    <w:p w:rsidR="00EC6D32" w:rsidRDefault="00EC6D32" w:rsidP="00EC6D32">
      <w:pPr>
        <w:numPr>
          <w:ilvl w:val="0"/>
          <w:numId w:val="12"/>
        </w:numPr>
        <w:tabs>
          <w:tab w:val="clear" w:pos="360"/>
        </w:tabs>
        <w:spacing w:after="80" w:line="480" w:lineRule="auto"/>
        <w:ind w:left="1080"/>
        <w:rPr>
          <w:b/>
        </w:rPr>
      </w:pPr>
      <w:r w:rsidRPr="003E4AF3">
        <w:rPr>
          <w:b/>
        </w:rPr>
        <w:t>in connection with a statisti</w:t>
      </w:r>
      <w:r w:rsidRPr="003E4AF3">
        <w:rPr>
          <w:b/>
        </w:rPr>
        <w:softHyphen/>
        <w:t>cal sur</w:t>
      </w:r>
      <w:r w:rsidRPr="003E4AF3">
        <w:rPr>
          <w:b/>
        </w:rPr>
        <w:softHyphen/>
        <w:t>vey, that is not de</w:t>
      </w:r>
      <w:r w:rsidRPr="003E4AF3">
        <w:rPr>
          <w:b/>
        </w:rPr>
        <w:softHyphen/>
        <w:t>signed to produce valid and reli</w:t>
      </w:r>
      <w:r w:rsidRPr="003E4AF3">
        <w:rPr>
          <w:b/>
        </w:rPr>
        <w:softHyphen/>
        <w:t>able</w:t>
      </w:r>
      <w:r w:rsidR="006A187D" w:rsidRPr="006A187D">
        <w:rPr>
          <w:b/>
        </w:rPr>
        <w:t xml:space="preserve"> </w:t>
      </w:r>
      <w:r w:rsidR="006A187D" w:rsidRPr="003E4AF3">
        <w:rPr>
          <w:b/>
        </w:rPr>
        <w:t>results that can be general</w:t>
      </w:r>
      <w:r w:rsidR="006A187D" w:rsidRPr="003E4AF3">
        <w:rPr>
          <w:b/>
        </w:rPr>
        <w:softHyphen/>
        <w:t>ized to the uni</w:t>
      </w:r>
      <w:r w:rsidR="006A187D" w:rsidRPr="003E4AF3">
        <w:rPr>
          <w:b/>
        </w:rPr>
        <w:softHyphen/>
        <w:t>verse of study</w:t>
      </w:r>
      <w:r w:rsidR="006A187D">
        <w:rPr>
          <w:b/>
        </w:rPr>
        <w:t>;</w:t>
      </w:r>
    </w:p>
    <w:p w:rsidR="006A187D" w:rsidRPr="00596919" w:rsidRDefault="006A187D" w:rsidP="006A187D">
      <w:pPr>
        <w:numPr>
          <w:ilvl w:val="0"/>
          <w:numId w:val="16"/>
        </w:numPr>
        <w:tabs>
          <w:tab w:val="clear" w:pos="360"/>
        </w:tabs>
        <w:spacing w:after="80" w:line="480" w:lineRule="auto"/>
        <w:ind w:left="1080"/>
        <w:rPr>
          <w:b/>
        </w:rPr>
      </w:pPr>
      <w:r w:rsidRPr="003E4AF3">
        <w:rPr>
          <w:b/>
        </w:rPr>
        <w:t>requiring the use of a statis</w:t>
      </w:r>
      <w:r w:rsidRPr="003E4AF3">
        <w:rPr>
          <w:b/>
        </w:rPr>
        <w:softHyphen/>
        <w:t>tical data classi</w:t>
      </w:r>
      <w:r w:rsidRPr="003E4AF3">
        <w:rPr>
          <w:b/>
        </w:rPr>
        <w:softHyphen/>
        <w:t>fication that has not been re</w:t>
      </w:r>
      <w:r w:rsidRPr="003E4AF3">
        <w:rPr>
          <w:b/>
        </w:rPr>
        <w:softHyphen/>
        <w:t>vie</w:t>
      </w:r>
      <w:r w:rsidRPr="003E4AF3">
        <w:rPr>
          <w:b/>
        </w:rPr>
        <w:softHyphen/>
        <w:t>wed</w:t>
      </w:r>
      <w:r w:rsidRPr="006A187D">
        <w:rPr>
          <w:b/>
        </w:rPr>
        <w:t xml:space="preserve"> </w:t>
      </w:r>
      <w:r w:rsidRPr="003E4AF3">
        <w:rPr>
          <w:b/>
        </w:rPr>
        <w:t>and approved by OMB;</w:t>
      </w:r>
    </w:p>
    <w:p w:rsidR="006A187D" w:rsidRDefault="006A187D" w:rsidP="006A187D">
      <w:pPr>
        <w:numPr>
          <w:ilvl w:val="0"/>
          <w:numId w:val="12"/>
        </w:numPr>
        <w:tabs>
          <w:tab w:val="clear" w:pos="360"/>
        </w:tabs>
        <w:spacing w:after="80" w:line="480" w:lineRule="auto"/>
        <w:ind w:left="1080"/>
        <w:rPr>
          <w:b/>
        </w:rPr>
      </w:pPr>
      <w:r w:rsidRPr="003E4AF3">
        <w:rPr>
          <w:b/>
        </w:rPr>
        <w:t>that includes a pledge of confiden</w:t>
      </w:r>
      <w:r w:rsidRPr="003E4AF3">
        <w:rPr>
          <w:b/>
        </w:rPr>
        <w:softHyphen/>
        <w:t>tiali</w:t>
      </w:r>
      <w:r w:rsidRPr="003E4AF3">
        <w:rPr>
          <w:b/>
        </w:rPr>
        <w:softHyphen/>
        <w:t>ty that is not supported by au</w:t>
      </w:r>
      <w:r w:rsidRPr="003E4AF3">
        <w:rPr>
          <w:b/>
        </w:rPr>
        <w:softHyphen/>
        <w:t>thority estab</w:t>
      </w:r>
      <w:r w:rsidRPr="003E4AF3">
        <w:rPr>
          <w:b/>
        </w:rPr>
        <w:softHyphen/>
        <w:t>lished in statute or regu</w:t>
      </w:r>
      <w:r w:rsidRPr="003E4AF3">
        <w:rPr>
          <w:b/>
        </w:rPr>
        <w:softHyphen/>
        <w:t>la</w:t>
      </w:r>
      <w:r w:rsidRPr="003E4AF3">
        <w:rPr>
          <w:b/>
        </w:rPr>
        <w:softHyphen/>
        <w:t>tion, that is not sup</w:t>
      </w:r>
      <w:r w:rsidRPr="003E4AF3">
        <w:rPr>
          <w:b/>
        </w:rPr>
        <w:softHyphen/>
        <w:t>ported by dis</w:t>
      </w:r>
      <w:r w:rsidRPr="003E4AF3">
        <w:rPr>
          <w:b/>
        </w:rPr>
        <w:softHyphen/>
        <w:t>closure and data security policies that are consistent with the pledge, or which unneces</w:t>
      </w:r>
      <w:r w:rsidRPr="003E4AF3">
        <w:rPr>
          <w:b/>
        </w:rPr>
        <w:softHyphen/>
        <w:t>sarily impedes shar</w:t>
      </w:r>
      <w:r w:rsidRPr="003E4AF3">
        <w:rPr>
          <w:b/>
        </w:rPr>
        <w:softHyphen/>
        <w:t>ing of data with other agencies for com</w:t>
      </w:r>
      <w:r w:rsidRPr="003E4AF3">
        <w:rPr>
          <w:b/>
        </w:rPr>
        <w:softHyphen/>
        <w:t>patible confiden</w:t>
      </w:r>
      <w:r w:rsidRPr="003E4AF3">
        <w:rPr>
          <w:b/>
        </w:rPr>
        <w:softHyphen/>
        <w:t>tial</w:t>
      </w:r>
      <w:r>
        <w:rPr>
          <w:b/>
        </w:rPr>
        <w:t xml:space="preserve"> use; or</w:t>
      </w:r>
    </w:p>
    <w:p w:rsidR="006A187D" w:rsidRPr="00596919" w:rsidRDefault="006A187D" w:rsidP="006A187D">
      <w:pPr>
        <w:numPr>
          <w:ilvl w:val="0"/>
          <w:numId w:val="12"/>
        </w:numPr>
        <w:tabs>
          <w:tab w:val="clear" w:pos="360"/>
        </w:tabs>
        <w:spacing w:after="80" w:line="480" w:lineRule="auto"/>
        <w:ind w:left="1080"/>
        <w:rPr>
          <w:b/>
        </w:rPr>
      </w:pPr>
      <w:r w:rsidRPr="003E4AF3">
        <w:rPr>
          <w:b/>
        </w:rPr>
        <w:lastRenderedPageBreak/>
        <w:t>requiring respondents to submit propri</w:t>
      </w:r>
      <w:r w:rsidRPr="003E4AF3">
        <w:rPr>
          <w:b/>
        </w:rPr>
        <w:softHyphen/>
        <w:t>etary trade secret, or other confidential information unless the agency can demon</w:t>
      </w:r>
      <w:r w:rsidRPr="003E4AF3">
        <w:rPr>
          <w:b/>
        </w:rPr>
        <w:softHyphen/>
        <w:t>strate that it has instituted procedures to protect the information's</w:t>
      </w:r>
      <w:r w:rsidRPr="006A187D">
        <w:rPr>
          <w:b/>
        </w:rPr>
        <w:t xml:space="preserve"> </w:t>
      </w:r>
      <w:r w:rsidRPr="003E4AF3">
        <w:rPr>
          <w:b/>
        </w:rPr>
        <w:t>confidentiality to the extent permit</w:t>
      </w:r>
      <w:r w:rsidRPr="003E4AF3">
        <w:rPr>
          <w:b/>
        </w:rPr>
        <w:softHyphen/>
        <w:t>ted by law</w:t>
      </w:r>
      <w:r>
        <w:rPr>
          <w:b/>
        </w:rPr>
        <w:t>.</w:t>
      </w:r>
    </w:p>
    <w:p w:rsidR="00212609" w:rsidRDefault="008F460C" w:rsidP="00CE4932">
      <w:pPr>
        <w:tabs>
          <w:tab w:val="left" w:pos="0"/>
        </w:tabs>
        <w:spacing w:line="480" w:lineRule="auto"/>
      </w:pPr>
      <w:r>
        <w:t>There are no circumstances that will cause the information collection to be inconsistent with</w:t>
      </w:r>
      <w:r w:rsidR="00212609">
        <w:t xml:space="preserve"> the </w:t>
      </w:r>
      <w:r w:rsidR="00CE4932">
        <w:t>guidelines</w:t>
      </w:r>
      <w:r w:rsidR="00212609">
        <w:t xml:space="preserve"> of 5 CF</w:t>
      </w:r>
      <w:r w:rsidR="00624444">
        <w:t>R 1320.</w:t>
      </w:r>
      <w:r w:rsidR="000F2DAF">
        <w:t>5</w:t>
      </w:r>
      <w:r w:rsidR="00B41534">
        <w:t>.</w:t>
      </w:r>
    </w:p>
    <w:p w:rsidR="00624444" w:rsidRDefault="00624444" w:rsidP="00CE4932">
      <w:pPr>
        <w:tabs>
          <w:tab w:val="left" w:pos="0"/>
        </w:tabs>
        <w:spacing w:line="480" w:lineRule="auto"/>
      </w:pPr>
    </w:p>
    <w:p w:rsidR="009742E9" w:rsidRDefault="009742E9" w:rsidP="00CE4932">
      <w:pPr>
        <w:pStyle w:val="BodyText"/>
        <w:spacing w:line="480" w:lineRule="auto"/>
        <w:rPr>
          <w:color w:val="000000"/>
        </w:rPr>
      </w:pPr>
      <w:r>
        <w:rPr>
          <w:color w:val="000000"/>
        </w:rPr>
        <w:t>8.</w:t>
      </w:r>
      <w:r w:rsidR="006177FA">
        <w:rPr>
          <w:color w:val="000000"/>
        </w:rPr>
        <w:t xml:space="preserve"> </w:t>
      </w:r>
      <w:r>
        <w:rPr>
          <w:color w:val="000000"/>
        </w:rPr>
        <w:t xml:space="preserve"> </w:t>
      </w:r>
      <w:r w:rsidR="00EC6D32" w:rsidRPr="00FB6CAC">
        <w:t>If applicable, provide a copy and identify the date and page number of publication</w:t>
      </w:r>
      <w:r w:rsidR="00EC6D32" w:rsidRPr="00EC6D32">
        <w:t xml:space="preserve"> </w:t>
      </w:r>
      <w:r w:rsidR="00EC6D32" w:rsidRPr="00D701D1">
        <w:t>in the Federal Register of the agency's notice, soliciting comments</w:t>
      </w:r>
      <w:r w:rsidR="00EC6D32" w:rsidRPr="00EC6D32">
        <w:t xml:space="preserve"> </w:t>
      </w:r>
      <w:r w:rsidR="00EC6D32" w:rsidRPr="00D701D1">
        <w:t>on the information</w:t>
      </w:r>
      <w:r w:rsidR="00EC6D32" w:rsidRPr="00EC6D32">
        <w:t xml:space="preserve"> </w:t>
      </w:r>
      <w:r w:rsidR="00EC6D32" w:rsidRPr="00D701D1">
        <w:t>collectio</w:t>
      </w:r>
      <w:r w:rsidR="00EC6D32">
        <w:t xml:space="preserve">n prior to submission to OMB.  </w:t>
      </w:r>
      <w:r w:rsidR="00EC6D32" w:rsidRPr="00D701D1">
        <w:t>Summarize public comments</w:t>
      </w:r>
      <w:r w:rsidR="00EC6D32" w:rsidRPr="00EC6D32">
        <w:t xml:space="preserve"> </w:t>
      </w:r>
      <w:r w:rsidR="00EC6D32" w:rsidRPr="00D701D1">
        <w:t>received in response</w:t>
      </w:r>
      <w:r w:rsidR="00EC6D32">
        <w:t xml:space="preserve"> to that</w:t>
      </w:r>
      <w:r w:rsidR="00EC6D32" w:rsidRPr="00EC6D32">
        <w:t xml:space="preserve"> </w:t>
      </w:r>
      <w:r w:rsidR="00EC6D32" w:rsidRPr="00D701D1">
        <w:t>notice and describe actions taken by the agency in response to</w:t>
      </w:r>
      <w:r w:rsidR="00EC6D32">
        <w:t xml:space="preserve"> these comments</w:t>
      </w:r>
      <w:r w:rsidR="006177FA">
        <w:rPr>
          <w:color w:val="000000"/>
        </w:rPr>
        <w:t>.</w:t>
      </w:r>
    </w:p>
    <w:p w:rsidR="00EB0028" w:rsidRDefault="00EB0028" w:rsidP="00EB0028">
      <w:pPr>
        <w:spacing w:line="480" w:lineRule="auto"/>
      </w:pPr>
      <w:r w:rsidRPr="006A3647">
        <w:t xml:space="preserve">A </w:t>
      </w:r>
      <w:r>
        <w:t>60 day Federal Register N</w:t>
      </w:r>
      <w:r w:rsidRPr="006A3647">
        <w:t xml:space="preserve">otice </w:t>
      </w:r>
      <w:r>
        <w:t xml:space="preserve">is embedded in the Proposed Rule, </w:t>
      </w:r>
      <w:r w:rsidRPr="00EB0028">
        <w:t>Supplemental Nutrition Assistance Program (SNAP):  Employment and Training Program Monitoring, Oversight and Reporting Measures</w:t>
      </w:r>
      <w:r w:rsidRPr="009F7B50">
        <w:t xml:space="preserve"> </w:t>
      </w:r>
      <w:r w:rsidRPr="006A3647">
        <w:t xml:space="preserve">published in the </w:t>
      </w:r>
      <w:r w:rsidRPr="001D2DD4">
        <w:rPr>
          <w:rFonts w:ascii="Melior-Bold" w:hAnsi="Melior-Bold" w:cs="Melior-Bold"/>
          <w:bCs/>
        </w:rPr>
        <w:t>Federal Register</w:t>
      </w:r>
      <w:r w:rsidRPr="00F372FE">
        <w:t xml:space="preserve">.  Comments will be addressed in the </w:t>
      </w:r>
      <w:r>
        <w:t>final</w:t>
      </w:r>
      <w:r w:rsidRPr="00F372FE">
        <w:t xml:space="preserve"> rule.  </w:t>
      </w:r>
    </w:p>
    <w:p w:rsidR="00EC6D32" w:rsidRDefault="00EC6D32" w:rsidP="00EC6D32">
      <w:pPr>
        <w:pStyle w:val="BodyText"/>
        <w:numPr>
          <w:ilvl w:val="0"/>
          <w:numId w:val="10"/>
        </w:numPr>
        <w:spacing w:line="480" w:lineRule="auto"/>
        <w:ind w:left="1080"/>
        <w:rPr>
          <w:b w:val="0"/>
          <w:color w:val="000000"/>
        </w:rPr>
      </w:pPr>
      <w:r w:rsidRPr="003E4AF3">
        <w:rPr>
          <w:color w:val="000000"/>
        </w:rPr>
        <w:t>Describe efforts to consult with persons outside the agency to obtain their views on the availability of data, frequency of collection</w:t>
      </w:r>
      <w:proofErr w:type="gramStart"/>
      <w:r w:rsidRPr="003E4AF3">
        <w:rPr>
          <w:color w:val="000000"/>
        </w:rPr>
        <w:t xml:space="preserve">, </w:t>
      </w:r>
      <w:r w:rsidRPr="003E4AF3">
        <w:t xml:space="preserve"> the</w:t>
      </w:r>
      <w:proofErr w:type="gramEnd"/>
      <w:r w:rsidRPr="003E4AF3">
        <w:t xml:space="preserve"> clarity of instructions and recordkeeping, disclosure, or reporting form, and on the data elements to be recorded, disclosed, or reported</w:t>
      </w:r>
      <w:r>
        <w:t>.</w:t>
      </w:r>
    </w:p>
    <w:p w:rsidR="00FE0638" w:rsidRDefault="00EB0028" w:rsidP="0013669F">
      <w:pPr>
        <w:pStyle w:val="BodyText"/>
        <w:spacing w:line="480" w:lineRule="auto"/>
        <w:rPr>
          <w:b w:val="0"/>
        </w:rPr>
      </w:pPr>
      <w:r w:rsidRPr="00111D60">
        <w:rPr>
          <w:b w:val="0"/>
        </w:rPr>
        <w:t xml:space="preserve">FNS consults with Regional Offices regarding any proposed changes as the result of legislative, regulatory or administrative changes.  Regional offices are in constant contact with State agencies which provide feedback on FNS processes and procedures that may impact them. </w:t>
      </w:r>
      <w:r>
        <w:rPr>
          <w:b w:val="0"/>
        </w:rPr>
        <w:t xml:space="preserve"> </w:t>
      </w:r>
      <w:r w:rsidRPr="00111D60">
        <w:rPr>
          <w:b w:val="0"/>
        </w:rPr>
        <w:t xml:space="preserve">Additionally, </w:t>
      </w:r>
      <w:r w:rsidR="00D1201A" w:rsidRPr="00D1201A">
        <w:rPr>
          <w:b w:val="0"/>
        </w:rPr>
        <w:t xml:space="preserve">FNS has consulted with staff from the Department of Labor regarding their experience with reporting measures including current and potential changes to measures.   </w:t>
      </w:r>
    </w:p>
    <w:p w:rsidR="00EB0028" w:rsidRPr="00241B29" w:rsidRDefault="00EB0028" w:rsidP="0013669F">
      <w:pPr>
        <w:pStyle w:val="BodyText"/>
        <w:spacing w:line="480" w:lineRule="auto"/>
        <w:rPr>
          <w:b w:val="0"/>
        </w:rPr>
      </w:pPr>
    </w:p>
    <w:p w:rsidR="009742E9" w:rsidRPr="00624444" w:rsidRDefault="009742E9" w:rsidP="0013669F">
      <w:pPr>
        <w:pStyle w:val="BodyText"/>
        <w:spacing w:line="480" w:lineRule="auto"/>
      </w:pPr>
      <w:r w:rsidRPr="00624444">
        <w:t>9.</w:t>
      </w:r>
      <w:r w:rsidR="006177FA">
        <w:t xml:space="preserve"> </w:t>
      </w:r>
      <w:r w:rsidRPr="00624444">
        <w:t xml:space="preserve"> </w:t>
      </w:r>
      <w:r w:rsidR="00EC6D32" w:rsidRPr="00596919">
        <w:t xml:space="preserve">Explain any decision to provide any payment or </w:t>
      </w:r>
      <w:r w:rsidR="00EC6D32">
        <w:t xml:space="preserve">gift to respondents, other than </w:t>
      </w:r>
      <w:r w:rsidR="00EC6D32" w:rsidRPr="00596919">
        <w:t>remuneration of contractors or grantees</w:t>
      </w:r>
      <w:r w:rsidR="006177FA">
        <w:t>.</w:t>
      </w:r>
    </w:p>
    <w:p w:rsidR="009742E9" w:rsidRDefault="009742E9" w:rsidP="00CE4932">
      <w:pPr>
        <w:spacing w:line="480" w:lineRule="auto"/>
        <w:outlineLvl w:val="0"/>
        <w:rPr>
          <w:color w:val="000000"/>
        </w:rPr>
      </w:pPr>
      <w:r>
        <w:rPr>
          <w:color w:val="000000"/>
        </w:rPr>
        <w:t xml:space="preserve">No payment or gift </w:t>
      </w:r>
      <w:r w:rsidR="006177FA">
        <w:rPr>
          <w:color w:val="000000"/>
        </w:rPr>
        <w:t>w</w:t>
      </w:r>
      <w:r w:rsidR="00790ED9">
        <w:rPr>
          <w:color w:val="000000"/>
        </w:rPr>
        <w:t>ill be</w:t>
      </w:r>
      <w:r w:rsidR="006177FA">
        <w:rPr>
          <w:color w:val="000000"/>
        </w:rPr>
        <w:t xml:space="preserve"> provided</w:t>
      </w:r>
      <w:r>
        <w:rPr>
          <w:color w:val="000000"/>
        </w:rPr>
        <w:t xml:space="preserve"> to respondents.</w:t>
      </w:r>
    </w:p>
    <w:p w:rsidR="00BC3D35" w:rsidRDefault="00BC3D35" w:rsidP="00CE4932">
      <w:pPr>
        <w:pStyle w:val="BodyText"/>
        <w:spacing w:line="480" w:lineRule="auto"/>
        <w:rPr>
          <w:color w:val="000000"/>
        </w:rPr>
      </w:pPr>
    </w:p>
    <w:p w:rsidR="009742E9" w:rsidRDefault="009742E9" w:rsidP="00CE4932">
      <w:pPr>
        <w:pStyle w:val="BodyText"/>
        <w:spacing w:line="480" w:lineRule="auto"/>
        <w:rPr>
          <w:color w:val="000000"/>
        </w:rPr>
      </w:pPr>
      <w:r>
        <w:rPr>
          <w:color w:val="000000"/>
        </w:rPr>
        <w:t>10.</w:t>
      </w:r>
      <w:r w:rsidR="006177FA">
        <w:rPr>
          <w:color w:val="000000"/>
        </w:rPr>
        <w:t xml:space="preserve"> </w:t>
      </w:r>
      <w:r>
        <w:rPr>
          <w:color w:val="000000"/>
        </w:rPr>
        <w:t xml:space="preserve"> </w:t>
      </w:r>
      <w:r w:rsidR="007E6286" w:rsidRPr="001451F3">
        <w:t xml:space="preserve">Describe any assurance of confidentiality </w:t>
      </w:r>
      <w:r w:rsidR="006177FA">
        <w:rPr>
          <w:color w:val="000000"/>
        </w:rPr>
        <w:t>provided to respondents</w:t>
      </w:r>
      <w:r w:rsidR="007E6286">
        <w:rPr>
          <w:color w:val="000000"/>
        </w:rPr>
        <w:t xml:space="preserve"> and the basis for the assurance in statute, regulation, or agency policy</w:t>
      </w:r>
      <w:r>
        <w:rPr>
          <w:color w:val="000000"/>
        </w:rPr>
        <w:t>.</w:t>
      </w:r>
    </w:p>
    <w:p w:rsidR="009742E9" w:rsidRDefault="006177FA" w:rsidP="00CE4932">
      <w:pPr>
        <w:spacing w:line="480" w:lineRule="auto"/>
        <w:rPr>
          <w:color w:val="000000"/>
        </w:rPr>
      </w:pPr>
      <w:r>
        <w:rPr>
          <w:color w:val="000000"/>
        </w:rPr>
        <w:t>The Department compl</w:t>
      </w:r>
      <w:r w:rsidR="00FE39E8">
        <w:rPr>
          <w:color w:val="000000"/>
        </w:rPr>
        <w:t>ies</w:t>
      </w:r>
      <w:r>
        <w:rPr>
          <w:color w:val="000000"/>
        </w:rPr>
        <w:t xml:space="preserve"> with the Privacy Act of 1974.</w:t>
      </w:r>
      <w:r w:rsidR="00FE39E8">
        <w:rPr>
          <w:color w:val="000000"/>
        </w:rPr>
        <w:t xml:space="preserve">  </w:t>
      </w:r>
      <w:r w:rsidR="00FE39E8" w:rsidRPr="00596919">
        <w:rPr>
          <w:spacing w:val="-3"/>
        </w:rPr>
        <w:t xml:space="preserve">No confidential information is associated with </w:t>
      </w:r>
      <w:r w:rsidR="0040094C">
        <w:rPr>
          <w:spacing w:val="-3"/>
        </w:rPr>
        <w:t xml:space="preserve">this information collection.  </w:t>
      </w:r>
    </w:p>
    <w:p w:rsidR="000140C1" w:rsidRDefault="000140C1" w:rsidP="00CE4932">
      <w:pPr>
        <w:spacing w:line="480" w:lineRule="auto"/>
        <w:rPr>
          <w:color w:val="000000"/>
        </w:rPr>
      </w:pPr>
    </w:p>
    <w:p w:rsidR="009742E9" w:rsidRDefault="009742E9" w:rsidP="00CE4932">
      <w:pPr>
        <w:pStyle w:val="BodyText"/>
        <w:spacing w:line="480" w:lineRule="auto"/>
        <w:rPr>
          <w:color w:val="000000"/>
        </w:rPr>
      </w:pPr>
      <w:r>
        <w:rPr>
          <w:color w:val="000000"/>
        </w:rPr>
        <w:t>11.</w:t>
      </w:r>
      <w:r w:rsidR="006177FA">
        <w:rPr>
          <w:color w:val="000000"/>
        </w:rPr>
        <w:t xml:space="preserve"> </w:t>
      </w:r>
      <w:r>
        <w:rPr>
          <w:color w:val="000000"/>
        </w:rPr>
        <w:t xml:space="preserve"> </w:t>
      </w:r>
      <w:r w:rsidR="007E6286" w:rsidRPr="00840876">
        <w:rPr>
          <w:color w:val="000000"/>
        </w:rPr>
        <w:t xml:space="preserve">Provide additional justification for any questions of a sensitive nature, </w:t>
      </w:r>
      <w:r w:rsidR="007E6286" w:rsidRPr="00840876">
        <w:t xml:space="preserve">such </w:t>
      </w:r>
      <w:r w:rsidR="007E6286">
        <w:rPr>
          <w:color w:val="000000"/>
        </w:rPr>
        <w:t>as sexual behavior or attitudes</w:t>
      </w:r>
      <w:r w:rsidR="007E6286" w:rsidRPr="00840876">
        <w:t>, religious beliefs, and other matters that are commonly considered</w:t>
      </w:r>
      <w:r w:rsidR="007E6286">
        <w:t xml:space="preserve"> private</w:t>
      </w:r>
      <w:r w:rsidR="00CF4444">
        <w:rPr>
          <w:color w:val="000000"/>
        </w:rPr>
        <w:t>.</w:t>
      </w:r>
      <w:r w:rsidR="007E6286" w:rsidRPr="00840876">
        <w:t xml:space="preserve">  This justification should include the reasons why the agency considers</w:t>
      </w:r>
      <w:r w:rsidR="007E6286">
        <w:t xml:space="preserve"> the questions necessary, </w:t>
      </w:r>
      <w:r w:rsidR="007E6286" w:rsidRPr="00840876">
        <w:t>the specific uses to be made of the information, the explanation to be given</w:t>
      </w:r>
      <w:r w:rsidR="007E6286">
        <w:t xml:space="preserve"> to </w:t>
      </w:r>
      <w:r w:rsidR="007E6286" w:rsidRPr="00840876">
        <w:t>persons from whom the information is requested, and any steps to be taken to obtain their</w:t>
      </w:r>
      <w:r w:rsidR="007E6286">
        <w:t xml:space="preserve"> consent.</w:t>
      </w:r>
    </w:p>
    <w:p w:rsidR="00CF4444" w:rsidRDefault="006177FA" w:rsidP="00CE4932">
      <w:pPr>
        <w:pStyle w:val="BodyText"/>
        <w:spacing w:line="480" w:lineRule="auto"/>
        <w:rPr>
          <w:b w:val="0"/>
          <w:color w:val="000000"/>
        </w:rPr>
      </w:pPr>
      <w:r>
        <w:rPr>
          <w:b w:val="0"/>
          <w:color w:val="000000"/>
        </w:rPr>
        <w:t>There are no questions of a sensitive nature included in this clearance package</w:t>
      </w:r>
      <w:r w:rsidR="00CF4444">
        <w:rPr>
          <w:b w:val="0"/>
          <w:color w:val="000000"/>
        </w:rPr>
        <w:t>.</w:t>
      </w:r>
    </w:p>
    <w:p w:rsidR="000140C1" w:rsidRPr="00CF4444" w:rsidRDefault="000140C1" w:rsidP="00CE4932">
      <w:pPr>
        <w:pStyle w:val="BodyText"/>
        <w:spacing w:line="480" w:lineRule="auto"/>
        <w:rPr>
          <w:b w:val="0"/>
          <w:color w:val="000000"/>
        </w:rPr>
      </w:pPr>
    </w:p>
    <w:p w:rsidR="007E6286" w:rsidRDefault="009742E9" w:rsidP="00CE4932">
      <w:pPr>
        <w:pStyle w:val="BodyText"/>
        <w:spacing w:line="480" w:lineRule="auto"/>
        <w:rPr>
          <w:color w:val="000000"/>
        </w:rPr>
      </w:pPr>
      <w:r>
        <w:rPr>
          <w:color w:val="000000"/>
        </w:rPr>
        <w:t>12.</w:t>
      </w:r>
      <w:r w:rsidR="006C76B0">
        <w:rPr>
          <w:color w:val="000000"/>
        </w:rPr>
        <w:t xml:space="preserve"> </w:t>
      </w:r>
      <w:r>
        <w:rPr>
          <w:color w:val="000000"/>
        </w:rPr>
        <w:t xml:space="preserve"> </w:t>
      </w:r>
      <w:r w:rsidR="00877A4E">
        <w:rPr>
          <w:color w:val="000000"/>
        </w:rPr>
        <w:t>Provide e</w:t>
      </w:r>
      <w:r>
        <w:rPr>
          <w:color w:val="000000"/>
        </w:rPr>
        <w:t xml:space="preserve">stimates of the hour burden </w:t>
      </w:r>
      <w:r w:rsidR="007E6286">
        <w:rPr>
          <w:color w:val="000000"/>
        </w:rPr>
        <w:t>of the information collection.  The statement should include:</w:t>
      </w:r>
    </w:p>
    <w:p w:rsidR="00F00015" w:rsidRPr="00111D60" w:rsidRDefault="007E6286" w:rsidP="00241B29">
      <w:pPr>
        <w:spacing w:line="480" w:lineRule="auto"/>
        <w:ind w:firstLine="720"/>
        <w:rPr>
          <w:b/>
        </w:rPr>
      </w:pPr>
      <w:r w:rsidRPr="00111D60">
        <w:rPr>
          <w:b/>
        </w:rPr>
        <w:t xml:space="preserve">Indicate the number of respondents, frequency of response, annual hour burden, and an explanation of how the burden was estimated.  If this request for approval covers </w:t>
      </w:r>
      <w:r w:rsidRPr="00111D60">
        <w:rPr>
          <w:b/>
        </w:rPr>
        <w:lastRenderedPageBreak/>
        <w:t>more than one form, provide separate hour burden estimates for each form and aggregate the hour bur</w:t>
      </w:r>
      <w:r w:rsidR="00C779F9" w:rsidRPr="00111D60">
        <w:rPr>
          <w:b/>
        </w:rPr>
        <w:t>dens in Item 13 of OMB Form 83</w:t>
      </w:r>
      <w:r w:rsidR="00931C0D" w:rsidRPr="00111D60">
        <w:rPr>
          <w:b/>
        </w:rPr>
        <w:t>.</w:t>
      </w:r>
    </w:p>
    <w:p w:rsidR="00D1201A" w:rsidRDefault="00F93382">
      <w:pPr>
        <w:spacing w:line="480" w:lineRule="auto"/>
      </w:pPr>
      <w:r>
        <w:t xml:space="preserve">The Department has determined that the effect on State Agencies will be two-fold:  one-time capital costs for developing new or modifying existing data collection systems for E&amp;T programs </w:t>
      </w:r>
      <w:r w:rsidR="00933A3C">
        <w:t xml:space="preserve">(see question 13) </w:t>
      </w:r>
      <w:r>
        <w:t xml:space="preserve">and </w:t>
      </w:r>
      <w:r w:rsidR="00933A3C">
        <w:t xml:space="preserve">ongoing </w:t>
      </w:r>
      <w:r>
        <w:t>reporting burden for collecting and reporting data for the required outcome measures.</w:t>
      </w:r>
    </w:p>
    <w:p w:rsidR="00241B29" w:rsidRDefault="00241B29" w:rsidP="00241B29">
      <w:pPr>
        <w:spacing w:line="480" w:lineRule="auto"/>
      </w:pPr>
    </w:p>
    <w:p w:rsidR="00A268A4" w:rsidRDefault="00F55FC2" w:rsidP="00241B29">
      <w:pPr>
        <w:spacing w:line="480" w:lineRule="auto"/>
      </w:pPr>
      <w:r>
        <w:rPr>
          <w:b/>
          <w:i/>
        </w:rPr>
        <w:t xml:space="preserve">Ongoing </w:t>
      </w:r>
      <w:r w:rsidR="00241B29" w:rsidRPr="0044246D">
        <w:rPr>
          <w:b/>
          <w:i/>
        </w:rPr>
        <w:t>State Agency Reporting Burden</w:t>
      </w:r>
      <w:r w:rsidR="00241B29">
        <w:t>:  States currently monitor E&amp;T activity and report that information quarterly to FNS using the SNAP Employment and Training (E&amp;T) Program Activity Report, also known as the FNS-583 report</w:t>
      </w:r>
      <w:r w:rsidR="00933A3C">
        <w:t xml:space="preserve"> (OMB No. 0584-0594, Expiration date 6/30/17)</w:t>
      </w:r>
      <w:r w:rsidR="00241B29">
        <w:t xml:space="preserve">.  The FNS-583 requires that States report the number of new registrants, </w:t>
      </w:r>
      <w:r w:rsidR="00933A3C">
        <w:t>Able-Bodied Adults Without Dependents (</w:t>
      </w:r>
      <w:r w:rsidR="00241B29">
        <w:t>ABAWD</w:t>
      </w:r>
      <w:r w:rsidR="00933A3C">
        <w:t>)</w:t>
      </w:r>
      <w:r w:rsidR="00241B29">
        <w:t xml:space="preserve"> applicants and recipients participating in qualifying components (i.e.</w:t>
      </w:r>
      <w:r w:rsidR="00933A3C">
        <w:t>,</w:t>
      </w:r>
      <w:r w:rsidR="00241B29">
        <w:t xml:space="preserve"> work slots that satisfy ABAWD work requirements and protect them from the 3-in-36-month time limit), other applicants that participate in qualifying components, and case-month exemptions for ABAWDS that have been exempted under State discretionary exemption policies.  This report carries a burden estimate of 32 hours and accounts for time needed to review instructions, search data sources, compile and maintain the necessary data, and review and finalize the information that has been collected.  The Department anticipates that the additional time burden from these new reporting requirements will be similar to what currently exists as a result of the FNS-583 reporting requirements – with the caveat that some data elements might take slightly more time to collect, while others might take less time. </w:t>
      </w:r>
    </w:p>
    <w:p w:rsidR="00A268A4" w:rsidRPr="00AD23E9" w:rsidRDefault="00241B29" w:rsidP="00111D60">
      <w:pPr>
        <w:spacing w:line="480" w:lineRule="auto"/>
        <w:ind w:firstLine="720"/>
      </w:pPr>
      <w:r>
        <w:t>State agencies will continue to use a combination of methods to collect the outcome data, including existing automated data</w:t>
      </w:r>
      <w:r w:rsidRPr="00536A6F">
        <w:t xml:space="preserve"> </w:t>
      </w:r>
      <w:r>
        <w:t xml:space="preserve">systems, new data collection, sampling methods, and some </w:t>
      </w:r>
      <w:r>
        <w:lastRenderedPageBreak/>
        <w:t xml:space="preserve">direct contact with SNAP E&amp;T participants.  </w:t>
      </w:r>
      <w:r w:rsidR="00A268A4" w:rsidRPr="00AD23E9">
        <w:t xml:space="preserve">FNS estimates that the </w:t>
      </w:r>
      <w:r w:rsidR="00A268A4">
        <w:t xml:space="preserve">ongoing </w:t>
      </w:r>
      <w:r w:rsidR="00A268A4" w:rsidRPr="00AD23E9">
        <w:t xml:space="preserve">additional time burden </w:t>
      </w:r>
      <w:r w:rsidR="00A268A4">
        <w:t xml:space="preserve">will average no more than </w:t>
      </w:r>
      <w:r w:rsidR="00A268A4" w:rsidRPr="00AD23E9">
        <w:t xml:space="preserve">about </w:t>
      </w:r>
      <w:r w:rsidR="00A268A4">
        <w:t xml:space="preserve">231 </w:t>
      </w:r>
      <w:r w:rsidR="00A268A4" w:rsidRPr="00AD23E9">
        <w:t>hours annually per State (</w:t>
      </w:r>
      <w:r w:rsidR="00A268A4">
        <w:t xml:space="preserve">about </w:t>
      </w:r>
      <w:r w:rsidR="00A268A4" w:rsidRPr="00AD23E9">
        <w:t>one</w:t>
      </w:r>
      <w:r w:rsidR="00A268A4">
        <w:t xml:space="preserve"> and a half</w:t>
      </w:r>
      <w:r w:rsidR="00A268A4" w:rsidRPr="00AD23E9">
        <w:t xml:space="preserve"> staff-month</w:t>
      </w:r>
      <w:r w:rsidR="00A268A4">
        <w:t>s</w:t>
      </w:r>
      <w:r w:rsidR="00A268A4" w:rsidRPr="00AD23E9">
        <w:t>) on average (</w:t>
      </w:r>
      <w:r w:rsidR="00A268A4" w:rsidRPr="00ED0802">
        <w:rPr>
          <w:bCs/>
          <w:color w:val="000000"/>
        </w:rPr>
        <w:t>12,233</w:t>
      </w:r>
      <w:r w:rsidR="00A268A4" w:rsidRPr="00356471">
        <w:rPr>
          <w:b/>
          <w:color w:val="000000"/>
        </w:rPr>
        <w:t xml:space="preserve"> </w:t>
      </w:r>
      <w:r w:rsidR="00A268A4" w:rsidRPr="00AD23E9">
        <w:t xml:space="preserve">hours per year for all States), or less than $1 million in total.  </w:t>
      </w:r>
      <w:r w:rsidR="00A268A4">
        <w:t xml:space="preserve">The breakdown of the 231 hours is itemized in the table below.  FNS believes this estimate may be somewhat high since data that can be collected through automated data systems is expected to require less time than data collected through direct contact with SNAP E&amp;T participants.  </w:t>
      </w:r>
    </w:p>
    <w:tbl>
      <w:tblPr>
        <w:tblpPr w:leftFromText="180" w:rightFromText="180" w:vertAnchor="text" w:horzAnchor="margin" w:tblpXSpec="center" w:tblpY="398"/>
        <w:tblW w:w="10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182"/>
        <w:gridCol w:w="1523"/>
        <w:gridCol w:w="1083"/>
        <w:gridCol w:w="1270"/>
        <w:gridCol w:w="1742"/>
        <w:gridCol w:w="1176"/>
      </w:tblGrid>
      <w:tr w:rsidR="00A268A4" w:rsidRPr="00AD23E9" w:rsidTr="000401D2">
        <w:trPr>
          <w:trHeight w:val="620"/>
        </w:trPr>
        <w:tc>
          <w:tcPr>
            <w:tcW w:w="10879" w:type="dxa"/>
            <w:gridSpan w:val="7"/>
            <w:shd w:val="clear" w:color="auto" w:fill="auto"/>
            <w:vAlign w:val="center"/>
            <w:hideMark/>
          </w:tcPr>
          <w:p w:rsidR="00A268A4" w:rsidRPr="00AD23E9" w:rsidRDefault="00A268A4" w:rsidP="000401D2">
            <w:pPr>
              <w:jc w:val="center"/>
              <w:rPr>
                <w:b/>
                <w:bCs/>
              </w:rPr>
            </w:pPr>
            <w:r w:rsidRPr="00AD23E9">
              <w:rPr>
                <w:b/>
                <w:bCs/>
              </w:rPr>
              <w:t xml:space="preserve">Estimated </w:t>
            </w:r>
            <w:r>
              <w:rPr>
                <w:b/>
                <w:bCs/>
              </w:rPr>
              <w:t xml:space="preserve">Ongoing </w:t>
            </w:r>
            <w:r w:rsidRPr="00AD23E9">
              <w:rPr>
                <w:b/>
                <w:bCs/>
              </w:rPr>
              <w:t>Reporting and Recordkeeping Burden Hours</w:t>
            </w:r>
          </w:p>
        </w:tc>
      </w:tr>
      <w:tr w:rsidR="00A268A4" w:rsidRPr="00AD23E9" w:rsidTr="000401D2">
        <w:trPr>
          <w:trHeight w:val="1035"/>
        </w:trPr>
        <w:tc>
          <w:tcPr>
            <w:tcW w:w="1903" w:type="dxa"/>
            <w:shd w:val="clear" w:color="auto" w:fill="auto"/>
            <w:hideMark/>
          </w:tcPr>
          <w:p w:rsidR="00A268A4" w:rsidRPr="00AD23E9" w:rsidRDefault="00A268A4" w:rsidP="000401D2">
            <w:pPr>
              <w:rPr>
                <w:b/>
                <w:bCs/>
              </w:rPr>
            </w:pPr>
            <w:r w:rsidRPr="00AD23E9">
              <w:rPr>
                <w:b/>
                <w:bCs/>
              </w:rPr>
              <w:t>Regulation Section</w:t>
            </w:r>
          </w:p>
        </w:tc>
        <w:tc>
          <w:tcPr>
            <w:tcW w:w="2182" w:type="dxa"/>
            <w:shd w:val="clear" w:color="auto" w:fill="auto"/>
            <w:hideMark/>
          </w:tcPr>
          <w:p w:rsidR="00A268A4" w:rsidRPr="00AD23E9" w:rsidRDefault="00A268A4" w:rsidP="000401D2">
            <w:pPr>
              <w:rPr>
                <w:b/>
                <w:bCs/>
              </w:rPr>
            </w:pPr>
            <w:r w:rsidRPr="00AD23E9">
              <w:rPr>
                <w:b/>
                <w:bCs/>
              </w:rPr>
              <w:t>Description of Activity</w:t>
            </w:r>
          </w:p>
        </w:tc>
        <w:tc>
          <w:tcPr>
            <w:tcW w:w="1523" w:type="dxa"/>
            <w:shd w:val="clear" w:color="auto" w:fill="auto"/>
            <w:hideMark/>
          </w:tcPr>
          <w:p w:rsidR="00A268A4" w:rsidRPr="00AD23E9" w:rsidRDefault="00A268A4" w:rsidP="000401D2">
            <w:pPr>
              <w:rPr>
                <w:b/>
                <w:bCs/>
              </w:rPr>
            </w:pPr>
            <w:r w:rsidRPr="00AD23E9">
              <w:rPr>
                <w:b/>
                <w:bCs/>
              </w:rPr>
              <w:t xml:space="preserve">Number of Respondents </w:t>
            </w:r>
          </w:p>
        </w:tc>
        <w:tc>
          <w:tcPr>
            <w:tcW w:w="1083" w:type="dxa"/>
            <w:shd w:val="clear" w:color="auto" w:fill="auto"/>
            <w:hideMark/>
          </w:tcPr>
          <w:p w:rsidR="00A268A4" w:rsidRPr="00AD23E9" w:rsidRDefault="00A268A4" w:rsidP="000401D2">
            <w:pPr>
              <w:rPr>
                <w:b/>
                <w:bCs/>
              </w:rPr>
            </w:pPr>
            <w:r w:rsidRPr="00AD23E9">
              <w:rPr>
                <w:b/>
                <w:bCs/>
              </w:rPr>
              <w:t>Annual Report/</w:t>
            </w:r>
          </w:p>
          <w:p w:rsidR="00A268A4" w:rsidRPr="00AD23E9" w:rsidRDefault="00A268A4" w:rsidP="000401D2">
            <w:pPr>
              <w:rPr>
                <w:b/>
                <w:bCs/>
              </w:rPr>
            </w:pPr>
            <w:r w:rsidRPr="00AD23E9">
              <w:rPr>
                <w:b/>
                <w:bCs/>
              </w:rPr>
              <w:t xml:space="preserve">Record Filed </w:t>
            </w:r>
          </w:p>
        </w:tc>
        <w:tc>
          <w:tcPr>
            <w:tcW w:w="1270" w:type="dxa"/>
            <w:shd w:val="clear" w:color="auto" w:fill="auto"/>
            <w:hideMark/>
          </w:tcPr>
          <w:p w:rsidR="00A268A4" w:rsidRPr="00AD23E9" w:rsidRDefault="00A268A4" w:rsidP="000401D2">
            <w:pPr>
              <w:rPr>
                <w:b/>
                <w:bCs/>
              </w:rPr>
            </w:pPr>
            <w:r w:rsidRPr="00AD23E9">
              <w:rPr>
                <w:b/>
                <w:bCs/>
              </w:rPr>
              <w:t xml:space="preserve">Total Annual Responses </w:t>
            </w:r>
          </w:p>
        </w:tc>
        <w:tc>
          <w:tcPr>
            <w:tcW w:w="1742" w:type="dxa"/>
            <w:shd w:val="clear" w:color="auto" w:fill="auto"/>
            <w:hideMark/>
          </w:tcPr>
          <w:p w:rsidR="00A268A4" w:rsidRPr="00AD23E9" w:rsidRDefault="00A268A4" w:rsidP="000401D2">
            <w:pPr>
              <w:rPr>
                <w:b/>
                <w:bCs/>
              </w:rPr>
            </w:pPr>
            <w:r>
              <w:rPr>
                <w:b/>
                <w:bCs/>
              </w:rPr>
              <w:t>Average</w:t>
            </w:r>
            <w:r w:rsidRPr="00AD23E9">
              <w:rPr>
                <w:b/>
                <w:bCs/>
              </w:rPr>
              <w:t xml:space="preserve"> Burden Hours Per Response </w:t>
            </w:r>
          </w:p>
        </w:tc>
        <w:tc>
          <w:tcPr>
            <w:tcW w:w="1176" w:type="dxa"/>
            <w:shd w:val="clear" w:color="auto" w:fill="auto"/>
            <w:hideMark/>
          </w:tcPr>
          <w:p w:rsidR="00A268A4" w:rsidRPr="00AD23E9" w:rsidRDefault="00A268A4" w:rsidP="000401D2">
            <w:pPr>
              <w:rPr>
                <w:b/>
                <w:bCs/>
              </w:rPr>
            </w:pPr>
            <w:r w:rsidRPr="00AD23E9">
              <w:rPr>
                <w:b/>
                <w:bCs/>
              </w:rPr>
              <w:t xml:space="preserve">Total Burden Hours </w:t>
            </w:r>
          </w:p>
        </w:tc>
      </w:tr>
      <w:tr w:rsidR="00A268A4" w:rsidRPr="00AD23E9" w:rsidTr="000401D2">
        <w:trPr>
          <w:trHeight w:val="1035"/>
        </w:trPr>
        <w:tc>
          <w:tcPr>
            <w:tcW w:w="1903" w:type="dxa"/>
            <w:shd w:val="clear" w:color="auto" w:fill="auto"/>
          </w:tcPr>
          <w:p w:rsidR="00A268A4" w:rsidRPr="00AD23E9" w:rsidRDefault="00A268A4" w:rsidP="000401D2">
            <w:pPr>
              <w:rPr>
                <w:b/>
                <w:bCs/>
              </w:rPr>
            </w:pPr>
            <w:r w:rsidRPr="00AD23E9">
              <w:rPr>
                <w:b/>
                <w:bCs/>
              </w:rPr>
              <w:t>27</w:t>
            </w:r>
            <w:r>
              <w:rPr>
                <w:b/>
                <w:bCs/>
              </w:rPr>
              <w:t xml:space="preserve">2.1(f) Recordkeeping </w:t>
            </w:r>
          </w:p>
        </w:tc>
        <w:tc>
          <w:tcPr>
            <w:tcW w:w="2182" w:type="dxa"/>
            <w:shd w:val="clear" w:color="auto" w:fill="auto"/>
            <w:vAlign w:val="bottom"/>
          </w:tcPr>
          <w:p w:rsidR="00A268A4" w:rsidRPr="00AD23E9" w:rsidRDefault="00A268A4" w:rsidP="000401D2">
            <w:pPr>
              <w:rPr>
                <w:b/>
                <w:bCs/>
              </w:rPr>
            </w:pPr>
          </w:p>
        </w:tc>
        <w:tc>
          <w:tcPr>
            <w:tcW w:w="1523" w:type="dxa"/>
            <w:shd w:val="clear" w:color="auto" w:fill="auto"/>
          </w:tcPr>
          <w:p w:rsidR="00A268A4" w:rsidRPr="00AD23E9" w:rsidRDefault="00A268A4" w:rsidP="000401D2">
            <w:pPr>
              <w:rPr>
                <w:b/>
                <w:bCs/>
              </w:rPr>
            </w:pPr>
            <w:r w:rsidRPr="00AD23E9">
              <w:rPr>
                <w:color w:val="000000"/>
              </w:rPr>
              <w:t>53</w:t>
            </w:r>
          </w:p>
        </w:tc>
        <w:tc>
          <w:tcPr>
            <w:tcW w:w="1083" w:type="dxa"/>
            <w:shd w:val="clear" w:color="auto" w:fill="auto"/>
          </w:tcPr>
          <w:p w:rsidR="00A268A4" w:rsidRPr="00AD23E9" w:rsidRDefault="00A268A4" w:rsidP="000401D2">
            <w:pPr>
              <w:rPr>
                <w:b/>
                <w:bCs/>
              </w:rPr>
            </w:pPr>
            <w:r w:rsidRPr="00AD23E9">
              <w:rPr>
                <w:color w:val="000000"/>
              </w:rPr>
              <w:t>1</w:t>
            </w:r>
          </w:p>
        </w:tc>
        <w:tc>
          <w:tcPr>
            <w:tcW w:w="1270" w:type="dxa"/>
            <w:shd w:val="clear" w:color="auto" w:fill="auto"/>
          </w:tcPr>
          <w:p w:rsidR="00A268A4" w:rsidRPr="00AD23E9" w:rsidRDefault="00A268A4" w:rsidP="000401D2">
            <w:pPr>
              <w:rPr>
                <w:b/>
                <w:bCs/>
              </w:rPr>
            </w:pPr>
            <w:r w:rsidRPr="00AD23E9">
              <w:rPr>
                <w:color w:val="000000"/>
              </w:rPr>
              <w:t>53</w:t>
            </w:r>
          </w:p>
        </w:tc>
        <w:tc>
          <w:tcPr>
            <w:tcW w:w="1742" w:type="dxa"/>
            <w:shd w:val="clear" w:color="auto" w:fill="auto"/>
          </w:tcPr>
          <w:p w:rsidR="00A268A4" w:rsidRPr="00AD23E9" w:rsidRDefault="00A268A4" w:rsidP="000401D2">
            <w:pPr>
              <w:rPr>
                <w:b/>
                <w:bCs/>
              </w:rPr>
            </w:pPr>
            <w:r>
              <w:rPr>
                <w:color w:val="000000"/>
              </w:rPr>
              <w:t>1</w:t>
            </w:r>
          </w:p>
        </w:tc>
        <w:tc>
          <w:tcPr>
            <w:tcW w:w="1176" w:type="dxa"/>
            <w:shd w:val="clear" w:color="auto" w:fill="auto"/>
          </w:tcPr>
          <w:p w:rsidR="00A268A4" w:rsidRPr="00AD23E9" w:rsidRDefault="00A268A4" w:rsidP="000401D2">
            <w:pPr>
              <w:rPr>
                <w:b/>
                <w:bCs/>
              </w:rPr>
            </w:pPr>
            <w:r>
              <w:rPr>
                <w:color w:val="000000"/>
              </w:rPr>
              <w:t>53</w:t>
            </w:r>
          </w:p>
        </w:tc>
      </w:tr>
      <w:tr w:rsidR="00A268A4" w:rsidRPr="00AD23E9" w:rsidTr="00A268A4">
        <w:trPr>
          <w:trHeight w:val="619"/>
        </w:trPr>
        <w:tc>
          <w:tcPr>
            <w:tcW w:w="1903" w:type="dxa"/>
            <w:shd w:val="clear" w:color="auto" w:fill="auto"/>
            <w:noWrap/>
            <w:hideMark/>
          </w:tcPr>
          <w:p w:rsidR="00A268A4" w:rsidRDefault="00A268A4" w:rsidP="000401D2">
            <w:pPr>
              <w:rPr>
                <w:b/>
                <w:bCs/>
              </w:rPr>
            </w:pPr>
            <w:r w:rsidRPr="00AD23E9">
              <w:rPr>
                <w:b/>
                <w:bCs/>
              </w:rPr>
              <w:t>273.7(c)(17)(</w:t>
            </w:r>
            <w:proofErr w:type="spellStart"/>
            <w:r w:rsidRPr="00AD23E9">
              <w:rPr>
                <w:b/>
                <w:bCs/>
              </w:rPr>
              <w:t>i</w:t>
            </w:r>
            <w:proofErr w:type="spellEnd"/>
            <w:r w:rsidRPr="00AD23E9">
              <w:rPr>
                <w:b/>
                <w:bCs/>
              </w:rPr>
              <w:t>)</w:t>
            </w:r>
          </w:p>
          <w:p w:rsidR="00A268A4" w:rsidRPr="00AD23E9" w:rsidRDefault="00A268A4" w:rsidP="000401D2">
            <w:pPr>
              <w:rPr>
                <w:b/>
                <w:bCs/>
              </w:rPr>
            </w:pPr>
            <w:r>
              <w:rPr>
                <w:b/>
                <w:bCs/>
              </w:rPr>
              <w:t>Reporting</w:t>
            </w:r>
          </w:p>
        </w:tc>
        <w:tc>
          <w:tcPr>
            <w:tcW w:w="2182" w:type="dxa"/>
            <w:shd w:val="clear" w:color="auto" w:fill="auto"/>
            <w:vAlign w:val="bottom"/>
            <w:hideMark/>
          </w:tcPr>
          <w:p w:rsidR="00A268A4" w:rsidRPr="00AD23E9" w:rsidRDefault="00A268A4" w:rsidP="000401D2">
            <w:pPr>
              <w:rPr>
                <w:color w:val="000000"/>
              </w:rPr>
            </w:pPr>
            <w:r w:rsidRPr="00AD23E9">
              <w:t xml:space="preserve">E&amp;T participants who have </w:t>
            </w:r>
            <w:r>
              <w:t>earnings in the second quarter after completion of E&amp;T</w:t>
            </w:r>
            <w:r w:rsidRPr="00AD23E9">
              <w:t xml:space="preserve"> </w:t>
            </w:r>
          </w:p>
        </w:tc>
        <w:tc>
          <w:tcPr>
            <w:tcW w:w="1523" w:type="dxa"/>
            <w:shd w:val="clear" w:color="auto" w:fill="auto"/>
            <w:noWrap/>
            <w:hideMark/>
          </w:tcPr>
          <w:p w:rsidR="00A268A4" w:rsidRPr="00AD23E9" w:rsidRDefault="00A268A4" w:rsidP="000401D2">
            <w:pPr>
              <w:rPr>
                <w:color w:val="000000"/>
              </w:rPr>
            </w:pPr>
            <w:r w:rsidRPr="00AD23E9">
              <w:rPr>
                <w:color w:val="000000"/>
              </w:rPr>
              <w:t>53</w:t>
            </w:r>
          </w:p>
        </w:tc>
        <w:tc>
          <w:tcPr>
            <w:tcW w:w="1083" w:type="dxa"/>
            <w:shd w:val="clear" w:color="auto" w:fill="auto"/>
            <w:noWrap/>
            <w:hideMark/>
          </w:tcPr>
          <w:p w:rsidR="00A268A4" w:rsidRPr="00AD23E9" w:rsidRDefault="00A268A4" w:rsidP="000401D2">
            <w:pPr>
              <w:rPr>
                <w:color w:val="000000"/>
              </w:rPr>
            </w:pPr>
            <w:r w:rsidRPr="00AD23E9">
              <w:rPr>
                <w:color w:val="000000"/>
              </w:rPr>
              <w:t>1</w:t>
            </w:r>
          </w:p>
        </w:tc>
        <w:tc>
          <w:tcPr>
            <w:tcW w:w="1270" w:type="dxa"/>
            <w:shd w:val="clear" w:color="auto" w:fill="auto"/>
            <w:noWrap/>
            <w:hideMark/>
          </w:tcPr>
          <w:p w:rsidR="00A268A4" w:rsidRPr="00AD23E9" w:rsidRDefault="00A268A4" w:rsidP="000401D2">
            <w:pPr>
              <w:rPr>
                <w:color w:val="000000"/>
              </w:rPr>
            </w:pPr>
            <w:r w:rsidRPr="00AD23E9">
              <w:rPr>
                <w:color w:val="000000"/>
              </w:rPr>
              <w:t>53</w:t>
            </w:r>
          </w:p>
        </w:tc>
        <w:tc>
          <w:tcPr>
            <w:tcW w:w="1742" w:type="dxa"/>
            <w:shd w:val="clear" w:color="auto" w:fill="auto"/>
            <w:noWrap/>
            <w:hideMark/>
          </w:tcPr>
          <w:p w:rsidR="00A268A4" w:rsidRPr="00AD23E9" w:rsidRDefault="00A268A4" w:rsidP="000401D2">
            <w:pPr>
              <w:rPr>
                <w:color w:val="000000"/>
              </w:rPr>
            </w:pPr>
            <w:r>
              <w:rPr>
                <w:color w:val="000000"/>
              </w:rPr>
              <w:t>40</w:t>
            </w:r>
          </w:p>
        </w:tc>
        <w:tc>
          <w:tcPr>
            <w:tcW w:w="1176" w:type="dxa"/>
            <w:shd w:val="clear" w:color="auto" w:fill="auto"/>
            <w:noWrap/>
            <w:hideMark/>
          </w:tcPr>
          <w:p w:rsidR="00A268A4" w:rsidRPr="00AD23E9" w:rsidRDefault="00A268A4" w:rsidP="000401D2">
            <w:pPr>
              <w:rPr>
                <w:color w:val="000000"/>
              </w:rPr>
            </w:pPr>
            <w:r>
              <w:rPr>
                <w:color w:val="000000"/>
              </w:rPr>
              <w:t>2120</w:t>
            </w:r>
          </w:p>
        </w:tc>
      </w:tr>
      <w:tr w:rsidR="00A268A4" w:rsidRPr="00AD23E9" w:rsidTr="000401D2">
        <w:trPr>
          <w:trHeight w:val="610"/>
        </w:trPr>
        <w:tc>
          <w:tcPr>
            <w:tcW w:w="1903" w:type="dxa"/>
            <w:shd w:val="clear" w:color="auto" w:fill="auto"/>
            <w:noWrap/>
            <w:hideMark/>
          </w:tcPr>
          <w:p w:rsidR="00A268A4" w:rsidRPr="00AD23E9" w:rsidRDefault="00A268A4" w:rsidP="000401D2">
            <w:pPr>
              <w:rPr>
                <w:b/>
                <w:bCs/>
              </w:rPr>
            </w:pPr>
            <w:r w:rsidRPr="00AD23E9">
              <w:rPr>
                <w:b/>
                <w:bCs/>
              </w:rPr>
              <w:t>273.7(c)(17)(ii)</w:t>
            </w:r>
            <w:r>
              <w:rPr>
                <w:b/>
                <w:bCs/>
              </w:rPr>
              <w:t xml:space="preserve">  Reporting</w:t>
            </w:r>
          </w:p>
        </w:tc>
        <w:tc>
          <w:tcPr>
            <w:tcW w:w="2182" w:type="dxa"/>
            <w:shd w:val="clear" w:color="auto" w:fill="auto"/>
            <w:hideMark/>
          </w:tcPr>
          <w:p w:rsidR="00A268A4" w:rsidRPr="00AD23E9" w:rsidRDefault="00A268A4" w:rsidP="000401D2">
            <w:pPr>
              <w:rPr>
                <w:color w:val="000000"/>
              </w:rPr>
            </w:pPr>
            <w:r w:rsidRPr="00AD23E9">
              <w:t xml:space="preserve">E&amp;T participants who </w:t>
            </w:r>
            <w:r>
              <w:t>have earnings in the fourth quarter after completion of E&amp;T</w:t>
            </w:r>
            <w:r w:rsidRPr="00AD23E9">
              <w:t xml:space="preserve"> </w:t>
            </w:r>
          </w:p>
        </w:tc>
        <w:tc>
          <w:tcPr>
            <w:tcW w:w="1523" w:type="dxa"/>
            <w:shd w:val="clear" w:color="auto" w:fill="auto"/>
            <w:noWrap/>
            <w:hideMark/>
          </w:tcPr>
          <w:p w:rsidR="00A268A4" w:rsidRPr="00AD23E9" w:rsidRDefault="00A268A4" w:rsidP="000401D2">
            <w:pPr>
              <w:rPr>
                <w:color w:val="000000"/>
              </w:rPr>
            </w:pPr>
            <w:r w:rsidRPr="00AD23E9">
              <w:rPr>
                <w:color w:val="000000"/>
              </w:rPr>
              <w:t>53</w:t>
            </w:r>
          </w:p>
        </w:tc>
        <w:tc>
          <w:tcPr>
            <w:tcW w:w="1083" w:type="dxa"/>
            <w:shd w:val="clear" w:color="auto" w:fill="auto"/>
            <w:noWrap/>
            <w:hideMark/>
          </w:tcPr>
          <w:p w:rsidR="00A268A4" w:rsidRPr="00AD23E9" w:rsidRDefault="00A268A4" w:rsidP="000401D2">
            <w:pPr>
              <w:rPr>
                <w:color w:val="000000"/>
              </w:rPr>
            </w:pPr>
            <w:r w:rsidRPr="00AD23E9">
              <w:rPr>
                <w:color w:val="000000"/>
              </w:rPr>
              <w:t>1</w:t>
            </w:r>
          </w:p>
        </w:tc>
        <w:tc>
          <w:tcPr>
            <w:tcW w:w="1270" w:type="dxa"/>
            <w:shd w:val="clear" w:color="auto" w:fill="auto"/>
            <w:noWrap/>
            <w:hideMark/>
          </w:tcPr>
          <w:p w:rsidR="00A268A4" w:rsidRPr="00AD23E9" w:rsidRDefault="00A268A4" w:rsidP="000401D2">
            <w:pPr>
              <w:rPr>
                <w:color w:val="000000"/>
              </w:rPr>
            </w:pPr>
            <w:r w:rsidRPr="00AD23E9">
              <w:rPr>
                <w:color w:val="000000"/>
              </w:rPr>
              <w:t>53</w:t>
            </w:r>
          </w:p>
        </w:tc>
        <w:tc>
          <w:tcPr>
            <w:tcW w:w="1742" w:type="dxa"/>
            <w:shd w:val="clear" w:color="auto" w:fill="auto"/>
            <w:noWrap/>
            <w:hideMark/>
          </w:tcPr>
          <w:p w:rsidR="00A268A4" w:rsidRPr="00AD23E9" w:rsidRDefault="00A268A4" w:rsidP="000401D2">
            <w:pPr>
              <w:rPr>
                <w:color w:val="000000"/>
              </w:rPr>
            </w:pPr>
            <w:r w:rsidRPr="00AD23E9">
              <w:rPr>
                <w:color w:val="000000"/>
              </w:rPr>
              <w:t>40</w:t>
            </w:r>
          </w:p>
        </w:tc>
        <w:tc>
          <w:tcPr>
            <w:tcW w:w="1176" w:type="dxa"/>
            <w:shd w:val="clear" w:color="auto" w:fill="auto"/>
            <w:noWrap/>
            <w:hideMark/>
          </w:tcPr>
          <w:p w:rsidR="00A268A4" w:rsidRPr="00AD23E9" w:rsidRDefault="00A268A4" w:rsidP="000401D2">
            <w:pPr>
              <w:rPr>
                <w:color w:val="000000"/>
              </w:rPr>
            </w:pPr>
            <w:r w:rsidRPr="00AD23E9">
              <w:rPr>
                <w:color w:val="000000"/>
              </w:rPr>
              <w:t>2120</w:t>
            </w:r>
          </w:p>
        </w:tc>
      </w:tr>
      <w:tr w:rsidR="00A268A4" w:rsidRPr="00AD23E9" w:rsidTr="000401D2">
        <w:trPr>
          <w:trHeight w:val="637"/>
        </w:trPr>
        <w:tc>
          <w:tcPr>
            <w:tcW w:w="1903" w:type="dxa"/>
            <w:shd w:val="clear" w:color="auto" w:fill="auto"/>
            <w:noWrap/>
            <w:hideMark/>
          </w:tcPr>
          <w:p w:rsidR="00A268A4" w:rsidRPr="00AD23E9" w:rsidRDefault="00A268A4" w:rsidP="000401D2">
            <w:pPr>
              <w:rPr>
                <w:b/>
                <w:bCs/>
              </w:rPr>
            </w:pPr>
            <w:r w:rsidRPr="00AD23E9">
              <w:rPr>
                <w:b/>
                <w:bCs/>
              </w:rPr>
              <w:t>273.7(c)(17)(iii)</w:t>
            </w:r>
            <w:r>
              <w:rPr>
                <w:b/>
                <w:bCs/>
              </w:rPr>
              <w:t xml:space="preserve">  Reporting</w:t>
            </w:r>
          </w:p>
        </w:tc>
        <w:tc>
          <w:tcPr>
            <w:tcW w:w="2182" w:type="dxa"/>
            <w:shd w:val="clear" w:color="auto" w:fill="auto"/>
            <w:hideMark/>
          </w:tcPr>
          <w:p w:rsidR="00A268A4" w:rsidRPr="00AD23E9" w:rsidRDefault="00A268A4" w:rsidP="000401D2">
            <w:pPr>
              <w:rPr>
                <w:color w:val="000000"/>
              </w:rPr>
            </w:pPr>
            <w:r w:rsidRPr="00AD23E9">
              <w:t>Median</w:t>
            </w:r>
            <w:r>
              <w:t xml:space="preserve"> quarterly</w:t>
            </w:r>
            <w:r w:rsidRPr="00AD23E9">
              <w:t xml:space="preserve"> earnings</w:t>
            </w:r>
          </w:p>
        </w:tc>
        <w:tc>
          <w:tcPr>
            <w:tcW w:w="1523" w:type="dxa"/>
            <w:shd w:val="clear" w:color="auto" w:fill="auto"/>
            <w:noWrap/>
            <w:hideMark/>
          </w:tcPr>
          <w:p w:rsidR="00A268A4" w:rsidRPr="00AD23E9" w:rsidRDefault="00A268A4" w:rsidP="000401D2">
            <w:pPr>
              <w:rPr>
                <w:color w:val="000000"/>
              </w:rPr>
            </w:pPr>
            <w:r w:rsidRPr="00AD23E9">
              <w:rPr>
                <w:color w:val="000000"/>
              </w:rPr>
              <w:t>53</w:t>
            </w:r>
          </w:p>
        </w:tc>
        <w:tc>
          <w:tcPr>
            <w:tcW w:w="1083" w:type="dxa"/>
            <w:shd w:val="clear" w:color="auto" w:fill="auto"/>
            <w:noWrap/>
            <w:hideMark/>
          </w:tcPr>
          <w:p w:rsidR="00A268A4" w:rsidRPr="00AD23E9" w:rsidRDefault="00A268A4" w:rsidP="000401D2">
            <w:pPr>
              <w:rPr>
                <w:color w:val="000000"/>
              </w:rPr>
            </w:pPr>
            <w:r w:rsidRPr="00AD23E9">
              <w:rPr>
                <w:color w:val="000000"/>
              </w:rPr>
              <w:t>1</w:t>
            </w:r>
          </w:p>
        </w:tc>
        <w:tc>
          <w:tcPr>
            <w:tcW w:w="1270" w:type="dxa"/>
            <w:shd w:val="clear" w:color="auto" w:fill="auto"/>
            <w:noWrap/>
            <w:hideMark/>
          </w:tcPr>
          <w:p w:rsidR="00A268A4" w:rsidRPr="00AD23E9" w:rsidRDefault="00A268A4" w:rsidP="000401D2">
            <w:pPr>
              <w:rPr>
                <w:color w:val="000000"/>
              </w:rPr>
            </w:pPr>
            <w:r w:rsidRPr="00AD23E9">
              <w:rPr>
                <w:color w:val="000000"/>
              </w:rPr>
              <w:t>53</w:t>
            </w:r>
          </w:p>
        </w:tc>
        <w:tc>
          <w:tcPr>
            <w:tcW w:w="1742" w:type="dxa"/>
            <w:shd w:val="clear" w:color="auto" w:fill="auto"/>
            <w:noWrap/>
            <w:hideMark/>
          </w:tcPr>
          <w:p w:rsidR="00A268A4" w:rsidRPr="00AD23E9" w:rsidRDefault="00A268A4" w:rsidP="000401D2">
            <w:pPr>
              <w:rPr>
                <w:color w:val="000000"/>
              </w:rPr>
            </w:pPr>
            <w:r w:rsidRPr="00AD23E9">
              <w:rPr>
                <w:color w:val="000000"/>
              </w:rPr>
              <w:t>40</w:t>
            </w:r>
          </w:p>
        </w:tc>
        <w:tc>
          <w:tcPr>
            <w:tcW w:w="1176" w:type="dxa"/>
            <w:shd w:val="clear" w:color="auto" w:fill="auto"/>
            <w:noWrap/>
            <w:hideMark/>
          </w:tcPr>
          <w:p w:rsidR="00A268A4" w:rsidRPr="00AD23E9" w:rsidRDefault="00A268A4" w:rsidP="000401D2">
            <w:pPr>
              <w:rPr>
                <w:color w:val="000000"/>
              </w:rPr>
            </w:pPr>
            <w:r w:rsidRPr="00AD23E9">
              <w:rPr>
                <w:color w:val="000000"/>
              </w:rPr>
              <w:t>2120</w:t>
            </w:r>
          </w:p>
        </w:tc>
      </w:tr>
      <w:tr w:rsidR="00A268A4" w:rsidRPr="00AD23E9" w:rsidTr="000401D2">
        <w:trPr>
          <w:trHeight w:val="780"/>
        </w:trPr>
        <w:tc>
          <w:tcPr>
            <w:tcW w:w="1903" w:type="dxa"/>
            <w:shd w:val="clear" w:color="auto" w:fill="auto"/>
            <w:noWrap/>
            <w:hideMark/>
          </w:tcPr>
          <w:p w:rsidR="00A268A4" w:rsidRPr="00AD23E9" w:rsidRDefault="00A268A4" w:rsidP="000401D2">
            <w:pPr>
              <w:rPr>
                <w:b/>
                <w:bCs/>
              </w:rPr>
            </w:pPr>
            <w:r w:rsidRPr="00AD23E9">
              <w:rPr>
                <w:b/>
                <w:bCs/>
              </w:rPr>
              <w:t>273.7(c)(17)(iv)</w:t>
            </w:r>
            <w:r>
              <w:rPr>
                <w:b/>
                <w:bCs/>
              </w:rPr>
              <w:t xml:space="preserve">  Reporting</w:t>
            </w:r>
          </w:p>
        </w:tc>
        <w:tc>
          <w:tcPr>
            <w:tcW w:w="2182" w:type="dxa"/>
            <w:shd w:val="clear" w:color="auto" w:fill="auto"/>
            <w:hideMark/>
          </w:tcPr>
          <w:p w:rsidR="00A268A4" w:rsidRPr="00AD23E9" w:rsidRDefault="00A268A4" w:rsidP="000401D2">
            <w:pPr>
              <w:rPr>
                <w:color w:val="000000"/>
              </w:rPr>
            </w:pPr>
            <w:r w:rsidRPr="00AD23E9">
              <w:t>E&amp;T participants that completed a training, educational, work experience or an on</w:t>
            </w:r>
            <w:r>
              <w:t>-</w:t>
            </w:r>
            <w:r w:rsidRPr="00AD23E9">
              <w:t>the</w:t>
            </w:r>
            <w:r>
              <w:t>-</w:t>
            </w:r>
            <w:r w:rsidRPr="00AD23E9">
              <w:t>job training component</w:t>
            </w:r>
            <w:r>
              <w:t xml:space="preserve"> within 6 months after completion of participation in </w:t>
            </w:r>
            <w:r>
              <w:lastRenderedPageBreak/>
              <w:t>E&amp;T</w:t>
            </w:r>
            <w:r w:rsidRPr="00AD23E9" w:rsidDel="00455922">
              <w:t xml:space="preserve"> </w:t>
            </w:r>
          </w:p>
        </w:tc>
        <w:tc>
          <w:tcPr>
            <w:tcW w:w="1523" w:type="dxa"/>
            <w:shd w:val="clear" w:color="auto" w:fill="auto"/>
            <w:noWrap/>
            <w:hideMark/>
          </w:tcPr>
          <w:p w:rsidR="00A268A4" w:rsidRPr="00AD23E9" w:rsidRDefault="00A268A4" w:rsidP="000401D2">
            <w:pPr>
              <w:rPr>
                <w:color w:val="000000"/>
              </w:rPr>
            </w:pPr>
            <w:r w:rsidRPr="00AD23E9">
              <w:rPr>
                <w:color w:val="000000"/>
              </w:rPr>
              <w:lastRenderedPageBreak/>
              <w:t xml:space="preserve">45 </w:t>
            </w:r>
          </w:p>
        </w:tc>
        <w:tc>
          <w:tcPr>
            <w:tcW w:w="1083" w:type="dxa"/>
            <w:shd w:val="clear" w:color="auto" w:fill="auto"/>
            <w:noWrap/>
            <w:hideMark/>
          </w:tcPr>
          <w:p w:rsidR="00A268A4" w:rsidRPr="00AD23E9" w:rsidRDefault="00A268A4" w:rsidP="000401D2">
            <w:pPr>
              <w:rPr>
                <w:color w:val="000000"/>
              </w:rPr>
            </w:pPr>
            <w:r w:rsidRPr="00AD23E9">
              <w:rPr>
                <w:color w:val="000000"/>
              </w:rPr>
              <w:t>1</w:t>
            </w:r>
          </w:p>
        </w:tc>
        <w:tc>
          <w:tcPr>
            <w:tcW w:w="1270" w:type="dxa"/>
            <w:shd w:val="clear" w:color="auto" w:fill="auto"/>
            <w:noWrap/>
            <w:hideMark/>
          </w:tcPr>
          <w:p w:rsidR="00A268A4" w:rsidRPr="00AD23E9" w:rsidRDefault="00A268A4" w:rsidP="000401D2">
            <w:pPr>
              <w:rPr>
                <w:color w:val="000000"/>
              </w:rPr>
            </w:pPr>
            <w:r w:rsidRPr="00AD23E9">
              <w:rPr>
                <w:color w:val="000000"/>
              </w:rPr>
              <w:t>45</w:t>
            </w:r>
          </w:p>
        </w:tc>
        <w:tc>
          <w:tcPr>
            <w:tcW w:w="1742" w:type="dxa"/>
            <w:shd w:val="clear" w:color="auto" w:fill="auto"/>
            <w:noWrap/>
            <w:hideMark/>
          </w:tcPr>
          <w:p w:rsidR="00A268A4" w:rsidRPr="00AD23E9" w:rsidRDefault="00A268A4" w:rsidP="000401D2">
            <w:pPr>
              <w:rPr>
                <w:color w:val="000000"/>
              </w:rPr>
            </w:pPr>
            <w:r>
              <w:rPr>
                <w:color w:val="000000"/>
              </w:rPr>
              <w:t>80</w:t>
            </w:r>
          </w:p>
        </w:tc>
        <w:tc>
          <w:tcPr>
            <w:tcW w:w="1176" w:type="dxa"/>
            <w:shd w:val="clear" w:color="auto" w:fill="auto"/>
            <w:noWrap/>
            <w:hideMark/>
          </w:tcPr>
          <w:p w:rsidR="00A268A4" w:rsidRPr="00AD23E9" w:rsidRDefault="00A268A4" w:rsidP="000401D2">
            <w:pPr>
              <w:rPr>
                <w:color w:val="000000"/>
              </w:rPr>
            </w:pPr>
            <w:r>
              <w:rPr>
                <w:color w:val="000000"/>
              </w:rPr>
              <w:t>3600</w:t>
            </w:r>
          </w:p>
        </w:tc>
      </w:tr>
      <w:tr w:rsidR="00A268A4" w:rsidRPr="00AD23E9" w:rsidTr="000401D2">
        <w:trPr>
          <w:trHeight w:val="961"/>
        </w:trPr>
        <w:tc>
          <w:tcPr>
            <w:tcW w:w="1903" w:type="dxa"/>
            <w:shd w:val="clear" w:color="auto" w:fill="auto"/>
            <w:noWrap/>
            <w:hideMark/>
          </w:tcPr>
          <w:p w:rsidR="00A268A4" w:rsidRPr="00AD23E9" w:rsidRDefault="00A268A4" w:rsidP="000401D2">
            <w:pPr>
              <w:rPr>
                <w:b/>
                <w:bCs/>
              </w:rPr>
            </w:pPr>
            <w:r w:rsidRPr="00AD23E9">
              <w:rPr>
                <w:b/>
                <w:bCs/>
              </w:rPr>
              <w:lastRenderedPageBreak/>
              <w:t>273.7(c)(17)(v) &amp; (vi)</w:t>
            </w:r>
            <w:r>
              <w:rPr>
                <w:b/>
                <w:bCs/>
              </w:rPr>
              <w:t xml:space="preserve">  Reporting</w:t>
            </w:r>
          </w:p>
        </w:tc>
        <w:tc>
          <w:tcPr>
            <w:tcW w:w="2182" w:type="dxa"/>
            <w:shd w:val="clear" w:color="auto" w:fill="auto"/>
            <w:hideMark/>
          </w:tcPr>
          <w:p w:rsidR="00A268A4" w:rsidRPr="00AD23E9" w:rsidRDefault="00A268A4" w:rsidP="000401D2">
            <w:pPr>
              <w:rPr>
                <w:color w:val="000000"/>
              </w:rPr>
            </w:pPr>
            <w:r w:rsidRPr="00AD23E9">
              <w:t xml:space="preserve">Characteristics of  E&amp;T participants, some broken </w:t>
            </w:r>
            <w:r>
              <w:t>out</w:t>
            </w:r>
            <w:r w:rsidRPr="00AD23E9">
              <w:t xml:space="preserve"> by 4 above measures</w:t>
            </w:r>
          </w:p>
        </w:tc>
        <w:tc>
          <w:tcPr>
            <w:tcW w:w="1523" w:type="dxa"/>
            <w:shd w:val="clear" w:color="auto" w:fill="auto"/>
            <w:noWrap/>
            <w:hideMark/>
          </w:tcPr>
          <w:p w:rsidR="00A268A4" w:rsidRPr="00AD23E9" w:rsidRDefault="00A268A4" w:rsidP="000401D2">
            <w:pPr>
              <w:rPr>
                <w:color w:val="000000"/>
              </w:rPr>
            </w:pPr>
            <w:r w:rsidRPr="00AD23E9">
              <w:rPr>
                <w:color w:val="000000"/>
              </w:rPr>
              <w:t>53</w:t>
            </w:r>
          </w:p>
        </w:tc>
        <w:tc>
          <w:tcPr>
            <w:tcW w:w="1083" w:type="dxa"/>
            <w:shd w:val="clear" w:color="auto" w:fill="auto"/>
            <w:noWrap/>
            <w:hideMark/>
          </w:tcPr>
          <w:p w:rsidR="00A268A4" w:rsidRPr="00AD23E9" w:rsidRDefault="00A268A4" w:rsidP="000401D2">
            <w:pPr>
              <w:rPr>
                <w:color w:val="000000"/>
              </w:rPr>
            </w:pPr>
            <w:r w:rsidRPr="00AD23E9">
              <w:rPr>
                <w:color w:val="000000"/>
              </w:rPr>
              <w:t>1</w:t>
            </w:r>
          </w:p>
        </w:tc>
        <w:tc>
          <w:tcPr>
            <w:tcW w:w="1270" w:type="dxa"/>
            <w:shd w:val="clear" w:color="auto" w:fill="auto"/>
            <w:noWrap/>
            <w:hideMark/>
          </w:tcPr>
          <w:p w:rsidR="00A268A4" w:rsidRPr="00AD23E9" w:rsidRDefault="00A268A4" w:rsidP="000401D2">
            <w:pPr>
              <w:rPr>
                <w:color w:val="000000"/>
              </w:rPr>
            </w:pPr>
            <w:r w:rsidRPr="00AD23E9">
              <w:rPr>
                <w:color w:val="000000"/>
              </w:rPr>
              <w:t>53</w:t>
            </w:r>
          </w:p>
        </w:tc>
        <w:tc>
          <w:tcPr>
            <w:tcW w:w="1742" w:type="dxa"/>
            <w:shd w:val="clear" w:color="auto" w:fill="auto"/>
            <w:noWrap/>
            <w:hideMark/>
          </w:tcPr>
          <w:p w:rsidR="00A268A4" w:rsidRPr="00AD23E9" w:rsidRDefault="00A268A4" w:rsidP="000401D2">
            <w:pPr>
              <w:rPr>
                <w:color w:val="000000"/>
              </w:rPr>
            </w:pPr>
            <w:r>
              <w:rPr>
                <w:color w:val="000000"/>
              </w:rPr>
              <w:t>20</w:t>
            </w:r>
          </w:p>
        </w:tc>
        <w:tc>
          <w:tcPr>
            <w:tcW w:w="1176" w:type="dxa"/>
            <w:shd w:val="clear" w:color="auto" w:fill="auto"/>
            <w:noWrap/>
            <w:hideMark/>
          </w:tcPr>
          <w:p w:rsidR="00A268A4" w:rsidRPr="00AD23E9" w:rsidRDefault="00A268A4" w:rsidP="000401D2">
            <w:pPr>
              <w:rPr>
                <w:color w:val="000000"/>
              </w:rPr>
            </w:pPr>
            <w:r>
              <w:rPr>
                <w:color w:val="000000"/>
              </w:rPr>
              <w:t>1060</w:t>
            </w:r>
          </w:p>
        </w:tc>
      </w:tr>
      <w:tr w:rsidR="00A268A4" w:rsidRPr="00AD23E9" w:rsidTr="000401D2">
        <w:trPr>
          <w:trHeight w:val="780"/>
        </w:trPr>
        <w:tc>
          <w:tcPr>
            <w:tcW w:w="1903" w:type="dxa"/>
            <w:shd w:val="clear" w:color="auto" w:fill="auto"/>
            <w:noWrap/>
            <w:hideMark/>
          </w:tcPr>
          <w:p w:rsidR="00A268A4" w:rsidRPr="00AD23E9" w:rsidRDefault="00A268A4" w:rsidP="000401D2">
            <w:pPr>
              <w:rPr>
                <w:b/>
                <w:bCs/>
              </w:rPr>
            </w:pPr>
            <w:r w:rsidRPr="00AD23E9">
              <w:rPr>
                <w:b/>
                <w:bCs/>
              </w:rPr>
              <w:t>273.7(c)(17)(vii)</w:t>
            </w:r>
            <w:r>
              <w:rPr>
                <w:b/>
                <w:bCs/>
              </w:rPr>
              <w:t xml:space="preserve">  Reporting</w:t>
            </w:r>
          </w:p>
        </w:tc>
        <w:tc>
          <w:tcPr>
            <w:tcW w:w="2182" w:type="dxa"/>
            <w:shd w:val="clear" w:color="auto" w:fill="auto"/>
            <w:hideMark/>
          </w:tcPr>
          <w:p w:rsidR="00A268A4" w:rsidRPr="00AD23E9" w:rsidRDefault="00A268A4" w:rsidP="000401D2">
            <w:pPr>
              <w:rPr>
                <w:b/>
                <w:bCs/>
              </w:rPr>
            </w:pPr>
            <w:r w:rsidRPr="00AD23E9">
              <w:t>Measures in a State agencies’ E&amp;T  plan for components that are designed to serve at least 100 E&amp;T participants a year</w:t>
            </w:r>
          </w:p>
        </w:tc>
        <w:tc>
          <w:tcPr>
            <w:tcW w:w="1523" w:type="dxa"/>
            <w:shd w:val="clear" w:color="auto" w:fill="auto"/>
            <w:noWrap/>
            <w:hideMark/>
          </w:tcPr>
          <w:p w:rsidR="00A268A4" w:rsidRPr="00AD23E9" w:rsidRDefault="00A268A4" w:rsidP="000401D2">
            <w:pPr>
              <w:rPr>
                <w:bCs/>
              </w:rPr>
            </w:pPr>
            <w:r w:rsidRPr="00AD23E9">
              <w:rPr>
                <w:bCs/>
              </w:rPr>
              <w:t xml:space="preserve">53 </w:t>
            </w:r>
          </w:p>
        </w:tc>
        <w:tc>
          <w:tcPr>
            <w:tcW w:w="1083" w:type="dxa"/>
            <w:shd w:val="clear" w:color="auto" w:fill="auto"/>
            <w:noWrap/>
            <w:hideMark/>
          </w:tcPr>
          <w:p w:rsidR="00A268A4" w:rsidRPr="00AD23E9" w:rsidRDefault="00A268A4" w:rsidP="000401D2">
            <w:pPr>
              <w:rPr>
                <w:bCs/>
              </w:rPr>
            </w:pPr>
            <w:r w:rsidRPr="00AD23E9">
              <w:rPr>
                <w:bCs/>
              </w:rPr>
              <w:t>1</w:t>
            </w:r>
          </w:p>
        </w:tc>
        <w:tc>
          <w:tcPr>
            <w:tcW w:w="1270" w:type="dxa"/>
            <w:shd w:val="clear" w:color="auto" w:fill="auto"/>
            <w:noWrap/>
            <w:hideMark/>
          </w:tcPr>
          <w:p w:rsidR="00A268A4" w:rsidRPr="00AD23E9" w:rsidRDefault="00A268A4" w:rsidP="000401D2">
            <w:pPr>
              <w:rPr>
                <w:bCs/>
              </w:rPr>
            </w:pPr>
            <w:r w:rsidRPr="00AD23E9">
              <w:rPr>
                <w:bCs/>
              </w:rPr>
              <w:t>53</w:t>
            </w:r>
          </w:p>
        </w:tc>
        <w:tc>
          <w:tcPr>
            <w:tcW w:w="1742" w:type="dxa"/>
            <w:shd w:val="clear" w:color="auto" w:fill="auto"/>
            <w:noWrap/>
            <w:hideMark/>
          </w:tcPr>
          <w:p w:rsidR="00A268A4" w:rsidRPr="00AD23E9" w:rsidRDefault="00A268A4" w:rsidP="000401D2">
            <w:pPr>
              <w:rPr>
                <w:bCs/>
              </w:rPr>
            </w:pPr>
            <w:r w:rsidRPr="00AD23E9">
              <w:rPr>
                <w:bCs/>
              </w:rPr>
              <w:t>20</w:t>
            </w:r>
          </w:p>
        </w:tc>
        <w:tc>
          <w:tcPr>
            <w:tcW w:w="1176" w:type="dxa"/>
            <w:shd w:val="clear" w:color="auto" w:fill="auto"/>
            <w:noWrap/>
            <w:hideMark/>
          </w:tcPr>
          <w:p w:rsidR="00A268A4" w:rsidRPr="00AD23E9" w:rsidRDefault="00A268A4" w:rsidP="000401D2">
            <w:pPr>
              <w:rPr>
                <w:bCs/>
              </w:rPr>
            </w:pPr>
            <w:r w:rsidRPr="00AD23E9">
              <w:rPr>
                <w:bCs/>
              </w:rPr>
              <w:t>1060</w:t>
            </w:r>
          </w:p>
        </w:tc>
      </w:tr>
      <w:tr w:rsidR="00A268A4" w:rsidRPr="00AD23E9" w:rsidTr="000401D2">
        <w:trPr>
          <w:trHeight w:val="525"/>
        </w:trPr>
        <w:tc>
          <w:tcPr>
            <w:tcW w:w="1903" w:type="dxa"/>
            <w:shd w:val="clear" w:color="auto" w:fill="auto"/>
            <w:noWrap/>
            <w:hideMark/>
          </w:tcPr>
          <w:p w:rsidR="00A268A4" w:rsidRPr="00AD23E9" w:rsidRDefault="00A268A4" w:rsidP="000401D2">
            <w:pPr>
              <w:rPr>
                <w:b/>
                <w:bCs/>
              </w:rPr>
            </w:pPr>
            <w:r w:rsidRPr="00AD23E9">
              <w:rPr>
                <w:b/>
                <w:bCs/>
              </w:rPr>
              <w:t>273.7(c)(17)(viii)</w:t>
            </w:r>
            <w:r>
              <w:rPr>
                <w:b/>
                <w:bCs/>
              </w:rPr>
              <w:t xml:space="preserve">  Reporting</w:t>
            </w:r>
          </w:p>
        </w:tc>
        <w:tc>
          <w:tcPr>
            <w:tcW w:w="2182" w:type="dxa"/>
            <w:shd w:val="clear" w:color="auto" w:fill="auto"/>
            <w:hideMark/>
          </w:tcPr>
          <w:p w:rsidR="00A268A4" w:rsidRPr="00AD23E9" w:rsidRDefault="00A268A4" w:rsidP="000401D2">
            <w:pPr>
              <w:rPr>
                <w:b/>
                <w:bCs/>
              </w:rPr>
            </w:pPr>
            <w:r w:rsidRPr="00AD23E9">
              <w:t>Information about ABAWDs from State agencies that have committed to offering them participation in a qualifying activity</w:t>
            </w:r>
          </w:p>
        </w:tc>
        <w:tc>
          <w:tcPr>
            <w:tcW w:w="1523" w:type="dxa"/>
            <w:shd w:val="clear" w:color="auto" w:fill="auto"/>
            <w:noWrap/>
            <w:hideMark/>
          </w:tcPr>
          <w:p w:rsidR="00A268A4" w:rsidRPr="00AD23E9" w:rsidRDefault="00A268A4" w:rsidP="000401D2">
            <w:pPr>
              <w:rPr>
                <w:bCs/>
              </w:rPr>
            </w:pPr>
            <w:r w:rsidRPr="00AD23E9">
              <w:rPr>
                <w:bCs/>
              </w:rPr>
              <w:t>10</w:t>
            </w:r>
          </w:p>
        </w:tc>
        <w:tc>
          <w:tcPr>
            <w:tcW w:w="1083" w:type="dxa"/>
            <w:shd w:val="clear" w:color="auto" w:fill="auto"/>
            <w:noWrap/>
            <w:hideMark/>
          </w:tcPr>
          <w:p w:rsidR="00A268A4" w:rsidRPr="00AD23E9" w:rsidRDefault="00A268A4" w:rsidP="000401D2">
            <w:pPr>
              <w:rPr>
                <w:bCs/>
              </w:rPr>
            </w:pPr>
            <w:r w:rsidRPr="00AD23E9">
              <w:rPr>
                <w:bCs/>
              </w:rPr>
              <w:t>1</w:t>
            </w:r>
          </w:p>
        </w:tc>
        <w:tc>
          <w:tcPr>
            <w:tcW w:w="1270" w:type="dxa"/>
            <w:shd w:val="clear" w:color="auto" w:fill="auto"/>
            <w:noWrap/>
            <w:hideMark/>
          </w:tcPr>
          <w:p w:rsidR="00A268A4" w:rsidRPr="00AD23E9" w:rsidRDefault="00A268A4" w:rsidP="000401D2">
            <w:pPr>
              <w:rPr>
                <w:bCs/>
              </w:rPr>
            </w:pPr>
            <w:r w:rsidRPr="00AD23E9">
              <w:rPr>
                <w:bCs/>
              </w:rPr>
              <w:t>10</w:t>
            </w:r>
          </w:p>
        </w:tc>
        <w:tc>
          <w:tcPr>
            <w:tcW w:w="1742" w:type="dxa"/>
            <w:shd w:val="clear" w:color="auto" w:fill="auto"/>
            <w:noWrap/>
            <w:hideMark/>
          </w:tcPr>
          <w:p w:rsidR="00A268A4" w:rsidRPr="00AD23E9" w:rsidRDefault="00A268A4" w:rsidP="000401D2">
            <w:pPr>
              <w:rPr>
                <w:bCs/>
              </w:rPr>
            </w:pPr>
            <w:r w:rsidRPr="00AD23E9">
              <w:rPr>
                <w:bCs/>
              </w:rPr>
              <w:t>1</w:t>
            </w:r>
            <w:r>
              <w:rPr>
                <w:bCs/>
              </w:rPr>
              <w:t>0</w:t>
            </w:r>
          </w:p>
        </w:tc>
        <w:tc>
          <w:tcPr>
            <w:tcW w:w="1176" w:type="dxa"/>
            <w:shd w:val="clear" w:color="auto" w:fill="auto"/>
            <w:noWrap/>
            <w:hideMark/>
          </w:tcPr>
          <w:p w:rsidR="00A268A4" w:rsidRPr="00AD23E9" w:rsidRDefault="00A268A4" w:rsidP="000401D2">
            <w:pPr>
              <w:rPr>
                <w:bCs/>
              </w:rPr>
            </w:pPr>
            <w:r w:rsidRPr="00AD23E9">
              <w:rPr>
                <w:bCs/>
              </w:rPr>
              <w:t>10</w:t>
            </w:r>
            <w:r>
              <w:rPr>
                <w:bCs/>
              </w:rPr>
              <w:t>0</w:t>
            </w:r>
          </w:p>
        </w:tc>
      </w:tr>
      <w:tr w:rsidR="00A268A4" w:rsidRPr="00AD23E9" w:rsidTr="000401D2">
        <w:trPr>
          <w:trHeight w:val="270"/>
        </w:trPr>
        <w:tc>
          <w:tcPr>
            <w:tcW w:w="4085" w:type="dxa"/>
            <w:gridSpan w:val="2"/>
            <w:shd w:val="clear" w:color="000000" w:fill="D9D9D9"/>
            <w:vAlign w:val="bottom"/>
            <w:hideMark/>
          </w:tcPr>
          <w:p w:rsidR="00A268A4" w:rsidRPr="00AD23E9" w:rsidRDefault="00A268A4" w:rsidP="000401D2">
            <w:pPr>
              <w:rPr>
                <w:b/>
                <w:bCs/>
                <w:color w:val="000000"/>
              </w:rPr>
            </w:pPr>
            <w:r>
              <w:rPr>
                <w:b/>
                <w:bCs/>
                <w:color w:val="000000"/>
              </w:rPr>
              <w:t xml:space="preserve">Total </w:t>
            </w:r>
            <w:r w:rsidRPr="00AD23E9">
              <w:rPr>
                <w:b/>
                <w:bCs/>
                <w:color w:val="000000"/>
              </w:rPr>
              <w:t>Reporting</w:t>
            </w:r>
          </w:p>
        </w:tc>
        <w:tc>
          <w:tcPr>
            <w:tcW w:w="1523" w:type="dxa"/>
            <w:shd w:val="clear" w:color="000000" w:fill="D9D9D9"/>
            <w:noWrap/>
            <w:hideMark/>
          </w:tcPr>
          <w:p w:rsidR="00A268A4" w:rsidRPr="00AD23E9" w:rsidRDefault="00A268A4" w:rsidP="000401D2">
            <w:pPr>
              <w:rPr>
                <w:b/>
                <w:bCs/>
                <w:color w:val="000000"/>
              </w:rPr>
            </w:pPr>
            <w:r w:rsidRPr="00AD23E9">
              <w:rPr>
                <w:b/>
              </w:rPr>
              <w:t xml:space="preserve"> 53 </w:t>
            </w:r>
          </w:p>
        </w:tc>
        <w:tc>
          <w:tcPr>
            <w:tcW w:w="1083" w:type="dxa"/>
            <w:shd w:val="clear" w:color="000000" w:fill="D9D9D9"/>
            <w:noWrap/>
            <w:hideMark/>
          </w:tcPr>
          <w:p w:rsidR="00A268A4" w:rsidRPr="00AD23E9" w:rsidRDefault="00A268A4" w:rsidP="000401D2">
            <w:pPr>
              <w:rPr>
                <w:b/>
                <w:bCs/>
                <w:color w:val="000000"/>
              </w:rPr>
            </w:pPr>
            <w:r w:rsidRPr="00AD23E9">
              <w:rPr>
                <w:b/>
              </w:rPr>
              <w:t xml:space="preserve"> </w:t>
            </w:r>
            <w:r>
              <w:rPr>
                <w:b/>
              </w:rPr>
              <w:t>7</w:t>
            </w:r>
          </w:p>
        </w:tc>
        <w:tc>
          <w:tcPr>
            <w:tcW w:w="1270" w:type="dxa"/>
            <w:shd w:val="clear" w:color="000000" w:fill="D9D9D9"/>
            <w:noWrap/>
            <w:hideMark/>
          </w:tcPr>
          <w:p w:rsidR="00A268A4" w:rsidRPr="00AD23E9" w:rsidRDefault="00A268A4" w:rsidP="000401D2">
            <w:pPr>
              <w:rPr>
                <w:b/>
                <w:bCs/>
                <w:color w:val="000000"/>
              </w:rPr>
            </w:pPr>
            <w:r w:rsidRPr="00AD23E9">
              <w:rPr>
                <w:b/>
              </w:rPr>
              <w:t xml:space="preserve"> 320 </w:t>
            </w:r>
          </w:p>
        </w:tc>
        <w:tc>
          <w:tcPr>
            <w:tcW w:w="1742" w:type="dxa"/>
            <w:shd w:val="clear" w:color="000000" w:fill="D9D9D9"/>
            <w:noWrap/>
            <w:hideMark/>
          </w:tcPr>
          <w:p w:rsidR="00A268A4" w:rsidRPr="00AD23E9" w:rsidRDefault="00A268A4" w:rsidP="000401D2">
            <w:pPr>
              <w:rPr>
                <w:b/>
                <w:bCs/>
                <w:color w:val="000000"/>
              </w:rPr>
            </w:pPr>
            <w:r>
              <w:rPr>
                <w:b/>
              </w:rPr>
              <w:t>38</w:t>
            </w:r>
          </w:p>
        </w:tc>
        <w:tc>
          <w:tcPr>
            <w:tcW w:w="1176" w:type="dxa"/>
            <w:shd w:val="clear" w:color="000000" w:fill="D9D9D9"/>
            <w:noWrap/>
            <w:hideMark/>
          </w:tcPr>
          <w:p w:rsidR="00A268A4" w:rsidRPr="00AD23E9" w:rsidRDefault="00A268A4" w:rsidP="000401D2">
            <w:pPr>
              <w:rPr>
                <w:b/>
                <w:bCs/>
                <w:color w:val="000000"/>
              </w:rPr>
            </w:pPr>
            <w:r>
              <w:rPr>
                <w:b/>
              </w:rPr>
              <w:t>12,180</w:t>
            </w:r>
          </w:p>
        </w:tc>
      </w:tr>
      <w:tr w:rsidR="00A268A4" w:rsidRPr="00AD23E9" w:rsidTr="000401D2">
        <w:trPr>
          <w:trHeight w:val="270"/>
        </w:trPr>
        <w:tc>
          <w:tcPr>
            <w:tcW w:w="4085" w:type="dxa"/>
            <w:gridSpan w:val="2"/>
            <w:shd w:val="clear" w:color="000000" w:fill="D9D9D9"/>
            <w:noWrap/>
            <w:vAlign w:val="bottom"/>
            <w:hideMark/>
          </w:tcPr>
          <w:p w:rsidR="00A268A4" w:rsidRPr="00AD23E9" w:rsidRDefault="00A268A4" w:rsidP="000401D2">
            <w:pPr>
              <w:rPr>
                <w:b/>
                <w:bCs/>
                <w:color w:val="000000"/>
              </w:rPr>
            </w:pPr>
            <w:r>
              <w:rPr>
                <w:b/>
                <w:bCs/>
                <w:color w:val="000000"/>
              </w:rPr>
              <w:t xml:space="preserve">Total </w:t>
            </w:r>
            <w:r w:rsidRPr="00AD23E9">
              <w:rPr>
                <w:b/>
                <w:bCs/>
                <w:color w:val="000000"/>
              </w:rPr>
              <w:t xml:space="preserve">Recordkeeping </w:t>
            </w:r>
          </w:p>
        </w:tc>
        <w:tc>
          <w:tcPr>
            <w:tcW w:w="1523" w:type="dxa"/>
            <w:shd w:val="clear" w:color="000000" w:fill="D9D9D9"/>
            <w:noWrap/>
            <w:vAlign w:val="bottom"/>
            <w:hideMark/>
          </w:tcPr>
          <w:p w:rsidR="00A268A4" w:rsidRPr="00AD23E9" w:rsidRDefault="00A268A4" w:rsidP="000401D2">
            <w:pPr>
              <w:rPr>
                <w:b/>
                <w:bCs/>
                <w:color w:val="000000"/>
              </w:rPr>
            </w:pPr>
            <w:r w:rsidRPr="00AD23E9">
              <w:rPr>
                <w:b/>
                <w:bCs/>
                <w:color w:val="000000"/>
              </w:rPr>
              <w:t>53</w:t>
            </w:r>
          </w:p>
        </w:tc>
        <w:tc>
          <w:tcPr>
            <w:tcW w:w="1083" w:type="dxa"/>
            <w:shd w:val="clear" w:color="000000" w:fill="D9D9D9"/>
            <w:noWrap/>
            <w:vAlign w:val="bottom"/>
            <w:hideMark/>
          </w:tcPr>
          <w:p w:rsidR="00A268A4" w:rsidRPr="00AD23E9" w:rsidRDefault="00A268A4" w:rsidP="000401D2">
            <w:pPr>
              <w:rPr>
                <w:b/>
                <w:bCs/>
                <w:color w:val="000000"/>
              </w:rPr>
            </w:pPr>
            <w:r w:rsidRPr="00AD23E9">
              <w:rPr>
                <w:b/>
                <w:bCs/>
                <w:color w:val="000000"/>
              </w:rPr>
              <w:t> 1</w:t>
            </w:r>
          </w:p>
        </w:tc>
        <w:tc>
          <w:tcPr>
            <w:tcW w:w="1270" w:type="dxa"/>
            <w:shd w:val="clear" w:color="000000" w:fill="D9D9D9"/>
            <w:noWrap/>
            <w:vAlign w:val="bottom"/>
            <w:hideMark/>
          </w:tcPr>
          <w:p w:rsidR="00A268A4" w:rsidRPr="00AD23E9" w:rsidRDefault="00A268A4" w:rsidP="000401D2">
            <w:pPr>
              <w:rPr>
                <w:b/>
                <w:bCs/>
                <w:color w:val="000000"/>
              </w:rPr>
            </w:pPr>
            <w:r w:rsidRPr="00AD23E9">
              <w:rPr>
                <w:b/>
                <w:bCs/>
                <w:color w:val="000000"/>
              </w:rPr>
              <w:t>53</w:t>
            </w:r>
          </w:p>
        </w:tc>
        <w:tc>
          <w:tcPr>
            <w:tcW w:w="1742" w:type="dxa"/>
            <w:shd w:val="clear" w:color="000000" w:fill="D9D9D9"/>
            <w:noWrap/>
            <w:vAlign w:val="bottom"/>
            <w:hideMark/>
          </w:tcPr>
          <w:p w:rsidR="00A268A4" w:rsidRPr="00AD23E9" w:rsidRDefault="00A268A4" w:rsidP="000401D2">
            <w:pPr>
              <w:rPr>
                <w:b/>
                <w:bCs/>
                <w:color w:val="000000"/>
              </w:rPr>
            </w:pPr>
            <w:r w:rsidRPr="00AD23E9">
              <w:rPr>
                <w:b/>
                <w:bCs/>
                <w:color w:val="000000"/>
              </w:rPr>
              <w:t> 1</w:t>
            </w:r>
          </w:p>
        </w:tc>
        <w:tc>
          <w:tcPr>
            <w:tcW w:w="1176" w:type="dxa"/>
            <w:shd w:val="clear" w:color="000000" w:fill="D9D9D9"/>
            <w:noWrap/>
            <w:vAlign w:val="bottom"/>
            <w:hideMark/>
          </w:tcPr>
          <w:p w:rsidR="00A268A4" w:rsidRPr="00AD23E9" w:rsidRDefault="00A268A4" w:rsidP="000401D2">
            <w:pPr>
              <w:rPr>
                <w:b/>
                <w:bCs/>
                <w:color w:val="000000"/>
              </w:rPr>
            </w:pPr>
            <w:r w:rsidRPr="00AD23E9">
              <w:rPr>
                <w:b/>
                <w:bCs/>
                <w:color w:val="000000"/>
              </w:rPr>
              <w:t>53</w:t>
            </w:r>
          </w:p>
        </w:tc>
      </w:tr>
      <w:tr w:rsidR="00A268A4" w:rsidRPr="00AD23E9" w:rsidTr="00111D60">
        <w:trPr>
          <w:trHeight w:val="270"/>
        </w:trPr>
        <w:tc>
          <w:tcPr>
            <w:tcW w:w="4085" w:type="dxa"/>
            <w:gridSpan w:val="2"/>
            <w:shd w:val="clear" w:color="000000" w:fill="D9D9D9"/>
            <w:noWrap/>
            <w:vAlign w:val="bottom"/>
          </w:tcPr>
          <w:p w:rsidR="00A268A4" w:rsidRDefault="00A268A4" w:rsidP="000401D2">
            <w:pPr>
              <w:rPr>
                <w:b/>
                <w:bCs/>
                <w:color w:val="000000"/>
              </w:rPr>
            </w:pPr>
            <w:r>
              <w:rPr>
                <w:b/>
                <w:bCs/>
                <w:color w:val="000000"/>
              </w:rPr>
              <w:t>Total</w:t>
            </w:r>
          </w:p>
        </w:tc>
        <w:tc>
          <w:tcPr>
            <w:tcW w:w="1523" w:type="dxa"/>
            <w:shd w:val="clear" w:color="000000" w:fill="D9D9D9"/>
            <w:noWrap/>
            <w:vAlign w:val="center"/>
          </w:tcPr>
          <w:p w:rsidR="00A268A4" w:rsidRPr="00AD23E9" w:rsidRDefault="00A268A4" w:rsidP="000401D2">
            <w:pPr>
              <w:rPr>
                <w:b/>
                <w:bCs/>
                <w:color w:val="000000"/>
              </w:rPr>
            </w:pPr>
            <w:r>
              <w:rPr>
                <w:b/>
                <w:bCs/>
                <w:color w:val="000000"/>
              </w:rPr>
              <w:t>53</w:t>
            </w:r>
          </w:p>
        </w:tc>
        <w:tc>
          <w:tcPr>
            <w:tcW w:w="1083" w:type="dxa"/>
            <w:shd w:val="clear" w:color="000000" w:fill="D9D9D9"/>
            <w:noWrap/>
            <w:vAlign w:val="center"/>
          </w:tcPr>
          <w:p w:rsidR="00A268A4" w:rsidRPr="00AD23E9" w:rsidRDefault="00A268A4" w:rsidP="000401D2">
            <w:pPr>
              <w:rPr>
                <w:b/>
                <w:bCs/>
                <w:color w:val="000000"/>
              </w:rPr>
            </w:pPr>
            <w:r>
              <w:rPr>
                <w:b/>
                <w:bCs/>
                <w:color w:val="000000"/>
              </w:rPr>
              <w:t>7.03774</w:t>
            </w:r>
          </w:p>
        </w:tc>
        <w:tc>
          <w:tcPr>
            <w:tcW w:w="1270" w:type="dxa"/>
            <w:shd w:val="clear" w:color="000000" w:fill="D9D9D9"/>
            <w:noWrap/>
            <w:vAlign w:val="center"/>
          </w:tcPr>
          <w:p w:rsidR="00A268A4" w:rsidRPr="00AD23E9" w:rsidRDefault="00A268A4" w:rsidP="000401D2">
            <w:pPr>
              <w:rPr>
                <w:b/>
                <w:bCs/>
                <w:color w:val="000000"/>
              </w:rPr>
            </w:pPr>
            <w:r>
              <w:rPr>
                <w:b/>
                <w:bCs/>
                <w:color w:val="000000"/>
              </w:rPr>
              <w:t>373</w:t>
            </w:r>
          </w:p>
        </w:tc>
        <w:tc>
          <w:tcPr>
            <w:tcW w:w="1742" w:type="dxa"/>
            <w:shd w:val="clear" w:color="000000" w:fill="D9D9D9"/>
            <w:noWrap/>
            <w:vAlign w:val="center"/>
          </w:tcPr>
          <w:p w:rsidR="00A268A4" w:rsidRPr="00AD23E9" w:rsidRDefault="00A268A4" w:rsidP="000401D2">
            <w:pPr>
              <w:rPr>
                <w:b/>
                <w:bCs/>
                <w:color w:val="000000"/>
              </w:rPr>
            </w:pPr>
            <w:r>
              <w:rPr>
                <w:b/>
                <w:bCs/>
                <w:color w:val="000000"/>
              </w:rPr>
              <w:t>32.7962</w:t>
            </w:r>
          </w:p>
        </w:tc>
        <w:tc>
          <w:tcPr>
            <w:tcW w:w="1176" w:type="dxa"/>
            <w:shd w:val="clear" w:color="000000" w:fill="D9D9D9"/>
            <w:noWrap/>
            <w:vAlign w:val="center"/>
          </w:tcPr>
          <w:p w:rsidR="00A268A4" w:rsidRPr="00AD23E9" w:rsidRDefault="00A268A4" w:rsidP="000401D2">
            <w:pPr>
              <w:rPr>
                <w:b/>
                <w:bCs/>
                <w:color w:val="000000"/>
              </w:rPr>
            </w:pPr>
            <w:r>
              <w:rPr>
                <w:b/>
                <w:bCs/>
                <w:color w:val="000000"/>
              </w:rPr>
              <w:t>12</w:t>
            </w:r>
            <w:r w:rsidR="00EB0028">
              <w:rPr>
                <w:b/>
                <w:bCs/>
                <w:color w:val="000000"/>
              </w:rPr>
              <w:t>,</w:t>
            </w:r>
            <w:r>
              <w:rPr>
                <w:b/>
                <w:bCs/>
                <w:color w:val="000000"/>
              </w:rPr>
              <w:t>233</w:t>
            </w:r>
          </w:p>
        </w:tc>
      </w:tr>
    </w:tbl>
    <w:p w:rsidR="00241B29" w:rsidRDefault="00241B29" w:rsidP="00241B29">
      <w:pPr>
        <w:spacing w:line="480" w:lineRule="auto"/>
      </w:pPr>
    </w:p>
    <w:p w:rsidR="00241B29" w:rsidRDefault="00241B29" w:rsidP="00241B29">
      <w:pPr>
        <w:spacing w:line="276" w:lineRule="auto"/>
        <w:rPr>
          <w:highlight w:val="cyan"/>
        </w:rPr>
      </w:pPr>
    </w:p>
    <w:p w:rsidR="00F259D8" w:rsidRPr="00942B5F" w:rsidRDefault="00EB0028" w:rsidP="00F259D8">
      <w:pPr>
        <w:pStyle w:val="p6"/>
        <w:spacing w:line="480" w:lineRule="auto"/>
        <w:ind w:left="187"/>
        <w:rPr>
          <w:b/>
        </w:rPr>
      </w:pPr>
      <w:r>
        <w:rPr>
          <w:b/>
          <w:bCs/>
        </w:rPr>
        <w:tab/>
      </w:r>
      <w:r w:rsidR="00F259D8">
        <w:rPr>
          <w:b/>
        </w:rPr>
        <w:t xml:space="preserve">Provide </w:t>
      </w:r>
      <w:r w:rsidR="00F259D8" w:rsidRPr="00942B5F">
        <w:rPr>
          <w:b/>
        </w:rPr>
        <w:t>estimates of annualized cost to respondents for the hour burdens for collections of information, identifying and using appropriate wage rate categories.</w:t>
      </w:r>
    </w:p>
    <w:p w:rsidR="00A268A4" w:rsidRDefault="00F259D8" w:rsidP="00F55FC2">
      <w:pPr>
        <w:pStyle w:val="BodyText"/>
        <w:spacing w:line="480" w:lineRule="auto"/>
        <w:rPr>
          <w:b w:val="0"/>
          <w:bCs w:val="0"/>
        </w:rPr>
      </w:pPr>
      <w:r w:rsidRPr="00F259D8">
        <w:rPr>
          <w:b w:val="0"/>
        </w:rPr>
        <w:t>According to the Bureau of Labor Statistics, the average compensation cost per hour for state employees was $43.07 in June 2014.</w:t>
      </w:r>
      <w:r>
        <w:rPr>
          <w:b w:val="0"/>
        </w:rPr>
        <w:t xml:space="preserve">  T</w:t>
      </w:r>
      <w:r w:rsidR="00A268A4" w:rsidRPr="00F259D8">
        <w:rPr>
          <w:b w:val="0"/>
        </w:rPr>
        <w:t>he annual cost to States of the reporting requirements is estimated to be $</w:t>
      </w:r>
      <w:r>
        <w:rPr>
          <w:b w:val="0"/>
        </w:rPr>
        <w:t>526,875</w:t>
      </w:r>
      <w:r w:rsidR="00A268A4" w:rsidRPr="00F259D8">
        <w:rPr>
          <w:b w:val="0"/>
        </w:rPr>
        <w:t xml:space="preserve">. </w:t>
      </w:r>
      <w:r>
        <w:rPr>
          <w:b w:val="0"/>
        </w:rPr>
        <w:t xml:space="preserve"> </w:t>
      </w:r>
    </w:p>
    <w:p w:rsidR="00F55FC2" w:rsidRPr="008D2369" w:rsidRDefault="00F55FC2" w:rsidP="00F259D8">
      <w:pPr>
        <w:pStyle w:val="BodyText"/>
        <w:spacing w:line="480" w:lineRule="auto"/>
        <w:ind w:firstLine="720"/>
        <w:rPr>
          <w:b w:val="0"/>
          <w:color w:val="000000"/>
        </w:rPr>
      </w:pPr>
      <w:r w:rsidRPr="00073779">
        <w:rPr>
          <w:b w:val="0"/>
          <w:bCs w:val="0"/>
        </w:rPr>
        <w:t>The Department funds SNAP E&amp;T programs through $90 million in E&amp;T grants and an additional $20 million in grants for State agencies that pledge to serve all ABAWDs at-risk of losing eligibility due to time-limited participation.  In addition to these grants, the Department reimburses State agencies for 50 percent of approved administrative costs beyond the E&amp;T grant</w:t>
      </w:r>
      <w:proofErr w:type="gramStart"/>
      <w:r>
        <w:rPr>
          <w:b w:val="0"/>
          <w:bCs w:val="0"/>
        </w:rPr>
        <w:t>.</w:t>
      </w:r>
      <w:r w:rsidRPr="00073779">
        <w:rPr>
          <w:b w:val="0"/>
          <w:bCs w:val="0"/>
        </w:rPr>
        <w:t xml:space="preserve"> </w:t>
      </w:r>
      <w:proofErr w:type="gramEnd"/>
      <w:r>
        <w:rPr>
          <w:b w:val="0"/>
          <w:bCs w:val="0"/>
        </w:rPr>
        <w:lastRenderedPageBreak/>
        <w:t xml:space="preserve">Therefore, the cost to States for implementation and ongoing reporting of performance measures may be paid for in their entirety by their Federal grant.  </w:t>
      </w:r>
    </w:p>
    <w:p w:rsidR="00241B29" w:rsidRDefault="00241B29" w:rsidP="00241B29">
      <w:pPr>
        <w:spacing w:line="480" w:lineRule="auto"/>
      </w:pPr>
    </w:p>
    <w:p w:rsidR="009742E9" w:rsidRDefault="009742E9" w:rsidP="00CE4932">
      <w:pPr>
        <w:pStyle w:val="BodyText"/>
        <w:spacing w:line="480" w:lineRule="auto"/>
        <w:rPr>
          <w:color w:val="000000"/>
        </w:rPr>
      </w:pPr>
      <w:r w:rsidRPr="0083611F">
        <w:rPr>
          <w:color w:val="000000"/>
        </w:rPr>
        <w:t>13.</w:t>
      </w:r>
      <w:r w:rsidR="006C76B0" w:rsidRPr="0083611F">
        <w:rPr>
          <w:color w:val="000000"/>
        </w:rPr>
        <w:t xml:space="preserve"> </w:t>
      </w:r>
      <w:r w:rsidRPr="0083611F">
        <w:rPr>
          <w:color w:val="000000"/>
        </w:rPr>
        <w:t xml:space="preserve"> </w:t>
      </w:r>
      <w:r w:rsidR="00FF6850" w:rsidRPr="00596919">
        <w:t>Provide estimates of the total annual cost burden t</w:t>
      </w:r>
      <w:r w:rsidR="00FF6850">
        <w:t>o respondents or record</w:t>
      </w:r>
      <w:r w:rsidR="00FF6850" w:rsidRPr="001A55B6">
        <w:t>keepers resulting from the collection of information, (do not include the cost of any hour</w:t>
      </w:r>
      <w:r w:rsidR="00FF6850">
        <w:t xml:space="preserve"> burden shown in</w:t>
      </w:r>
      <w:r w:rsidR="00FF6850" w:rsidRPr="00FF6850">
        <w:t xml:space="preserve"> </w:t>
      </w:r>
      <w:r w:rsidR="00FF6850" w:rsidRPr="001A55B6">
        <w:t>items 12 and 14).  The cost estimates should be split into two components</w:t>
      </w:r>
      <w:r w:rsidR="00FF6850">
        <w:t xml:space="preserve">: </w:t>
      </w:r>
      <w:r w:rsidR="000000D8">
        <w:t xml:space="preserve">         </w:t>
      </w:r>
      <w:r w:rsidR="00FF6850">
        <w:t xml:space="preserve">(a) a total </w:t>
      </w:r>
      <w:r w:rsidR="00FF6850" w:rsidRPr="001A55B6">
        <w:t>capital and start-up cost component annualized over its expected useful life; an</w:t>
      </w:r>
      <w:r w:rsidR="00FF6850">
        <w:t>d</w:t>
      </w:r>
      <w:r w:rsidR="000000D8">
        <w:t xml:space="preserve"> </w:t>
      </w:r>
      <w:r w:rsidR="000000D8" w:rsidRPr="001A55B6">
        <w:t>(b) a total operation and maintenance and purchase of services component</w:t>
      </w:r>
      <w:r>
        <w:rPr>
          <w:color w:val="000000"/>
        </w:rPr>
        <w:t>.</w:t>
      </w:r>
    </w:p>
    <w:p w:rsidR="00EB0028" w:rsidRDefault="00EB0028" w:rsidP="00933A3C">
      <w:pPr>
        <w:spacing w:line="480" w:lineRule="auto"/>
        <w:rPr>
          <w:b/>
          <w:i/>
        </w:rPr>
      </w:pPr>
    </w:p>
    <w:p w:rsidR="00933A3C" w:rsidRDefault="00933A3C" w:rsidP="00933A3C">
      <w:pPr>
        <w:spacing w:line="480" w:lineRule="auto"/>
      </w:pPr>
      <w:r w:rsidRPr="0044246D">
        <w:rPr>
          <w:b/>
          <w:i/>
        </w:rPr>
        <w:t>State Agency Capital Costs to Implement Interim Rule</w:t>
      </w:r>
      <w:r w:rsidRPr="0044246D">
        <w:t xml:space="preserve">: </w:t>
      </w:r>
      <w:r>
        <w:t xml:space="preserve"> In the first year that the rule is published, State agencies will need to develop new E&amp;T data collection systems, reprogram existing systems, build interfaces between SNAP eligibility and SNAP E&amp;T data collection systems and decide what data will be collected </w:t>
      </w:r>
      <w:r w:rsidRPr="00616F10">
        <w:t>manually</w:t>
      </w:r>
      <w:r>
        <w:t xml:space="preserve">. </w:t>
      </w:r>
      <w:r w:rsidR="00EB0028">
        <w:t xml:space="preserve"> </w:t>
      </w:r>
      <w:r w:rsidRPr="00207152">
        <w:t>Thirty-six State agencies currently</w:t>
      </w:r>
      <w:r>
        <w:t xml:space="preserve"> have reporting measures and</w:t>
      </w:r>
      <w:r w:rsidRPr="00207152">
        <w:t xml:space="preserve"> collect outcome </w:t>
      </w:r>
      <w:r>
        <w:t>data</w:t>
      </w:r>
      <w:r w:rsidRPr="00207152">
        <w:t>.</w:t>
      </w:r>
      <w:r>
        <w:t xml:space="preserve"> </w:t>
      </w:r>
      <w:r w:rsidRPr="00207152">
        <w:t xml:space="preserve"> However,</w:t>
      </w:r>
      <w:r>
        <w:t xml:space="preserve"> </w:t>
      </w:r>
      <w:r w:rsidRPr="00207152">
        <w:t xml:space="preserve">the interim rule requires the addition of several data elements that </w:t>
      </w:r>
      <w:r>
        <w:t xml:space="preserve">none of </w:t>
      </w:r>
      <w:r w:rsidRPr="00207152">
        <w:t>these States are currently collecting</w:t>
      </w:r>
      <w:r>
        <w:t xml:space="preserve">. </w:t>
      </w:r>
      <w:r w:rsidRPr="00207152">
        <w:t xml:space="preserve"> While the Department believes that some of these State</w:t>
      </w:r>
      <w:r>
        <w:t xml:space="preserve"> agencie</w:t>
      </w:r>
      <w:r w:rsidRPr="00207152">
        <w:t xml:space="preserve">s may </w:t>
      </w:r>
      <w:r>
        <w:t>build on</w:t>
      </w:r>
      <w:r w:rsidRPr="00207152">
        <w:t xml:space="preserve"> the systems they already have in place with modifications to meet the provisions of this rule, others</w:t>
      </w:r>
      <w:r>
        <w:t xml:space="preserve"> may decide to implement new systems to meet the increase in data that is required to be collected and reported to FNS.</w:t>
      </w:r>
      <w:r w:rsidRPr="00F97AC0">
        <w:t xml:space="preserve">  </w:t>
      </w:r>
      <w:r w:rsidRPr="00207152">
        <w:t xml:space="preserve">The remaining 17 State agencies that do not have reporting measures in place will </w:t>
      </w:r>
      <w:r>
        <w:t xml:space="preserve">all </w:t>
      </w:r>
      <w:r w:rsidRPr="00207152">
        <w:t xml:space="preserve">need to develop </w:t>
      </w:r>
      <w:r>
        <w:t xml:space="preserve">new </w:t>
      </w:r>
      <w:r w:rsidRPr="00207152">
        <w:t xml:space="preserve">systems to collect the required data.  </w:t>
      </w:r>
      <w:r>
        <w:t xml:space="preserve"> </w:t>
      </w:r>
    </w:p>
    <w:p w:rsidR="00933A3C" w:rsidRDefault="00933A3C" w:rsidP="00F259D8">
      <w:pPr>
        <w:spacing w:line="480" w:lineRule="auto"/>
        <w:ind w:firstLine="720"/>
      </w:pPr>
      <w:r w:rsidRPr="00C3717F">
        <w:t xml:space="preserve">For several of the measures (e.g., obtaining employment, level of pay, characteristics of E&amp;T participants) State agencies’ current SNAP automated eligibility systems could be used to generate the needed data, although the older legacy systems are often less flexible than newer </w:t>
      </w:r>
      <w:r w:rsidRPr="00C3717F">
        <w:lastRenderedPageBreak/>
        <w:t xml:space="preserve">systems.  </w:t>
      </w:r>
      <w:r>
        <w:t>The Department anticipates that some</w:t>
      </w:r>
      <w:r w:rsidRPr="00C3717F">
        <w:t xml:space="preserve"> State agencies will rely on the private vendors or State labor agencies for the required data and will need to renegotiate contracts and agreements</w:t>
      </w:r>
      <w:proofErr w:type="gramStart"/>
      <w:r w:rsidRPr="00C3717F">
        <w:t xml:space="preserve">.  </w:t>
      </w:r>
      <w:r>
        <w:t xml:space="preserve">  </w:t>
      </w:r>
      <w:proofErr w:type="gramEnd"/>
      <w:r w:rsidRPr="00616F10">
        <w:t>The Department is allowing State</w:t>
      </w:r>
      <w:r>
        <w:t xml:space="preserve"> agencie</w:t>
      </w:r>
      <w:r w:rsidRPr="00616F10">
        <w:t xml:space="preserve">s to use </w:t>
      </w:r>
      <w:r>
        <w:t xml:space="preserve">random </w:t>
      </w:r>
      <w:r w:rsidRPr="00616F10">
        <w:t xml:space="preserve">sampling </w:t>
      </w:r>
      <w:r w:rsidR="00923048">
        <w:t xml:space="preserve">as an interim approach </w:t>
      </w:r>
      <w:r w:rsidRPr="00616F10">
        <w:t>to reduce the burden of developing new systems</w:t>
      </w:r>
      <w:r>
        <w:t>,</w:t>
      </w:r>
      <w:r w:rsidRPr="00616F10">
        <w:t xml:space="preserve"> and it is assumed that about half of the States will use </w:t>
      </w:r>
      <w:r>
        <w:t xml:space="preserve">a </w:t>
      </w:r>
      <w:r w:rsidRPr="00616F10">
        <w:t>sampling</w:t>
      </w:r>
      <w:r>
        <w:t xml:space="preserve"> method to gather data for some of </w:t>
      </w:r>
      <w:r w:rsidRPr="00616F10">
        <w:t xml:space="preserve">the reporting measures.  </w:t>
      </w:r>
      <w:bookmarkStart w:id="4" w:name="_GoBack"/>
      <w:r w:rsidR="00923048">
        <w:t>Starting for reports due in January 1, 2019, State agencies will be asked to describe their plans to move towards the use of administrative data, and their efforts to resolve any issues that may prevent them from doing so.</w:t>
      </w:r>
      <w:bookmarkEnd w:id="4"/>
    </w:p>
    <w:p w:rsidR="00933A3C" w:rsidRDefault="00933A3C" w:rsidP="00F259D8">
      <w:pPr>
        <w:spacing w:line="480" w:lineRule="auto"/>
        <w:ind w:firstLine="720"/>
      </w:pPr>
      <w:r w:rsidRPr="00C3717F">
        <w:t>Congress allowed a minimum of 180 days after publication to include measures in States’ E&amp;T plans</w:t>
      </w:r>
      <w:proofErr w:type="gramStart"/>
      <w:r>
        <w:t xml:space="preserve">. </w:t>
      </w:r>
      <w:proofErr w:type="gramEnd"/>
      <w:r w:rsidRPr="00E67D92">
        <w:t>We anticipate that it will take an average of 3 staff months (520 hours) per State to implement this rule.</w:t>
      </w:r>
      <w:r>
        <w:t xml:space="preserve">  According to the Bureau of Labor Statistics, the average compensation cost per hour for state employees was $43.07 in June 2014</w:t>
      </w:r>
      <w:r w:rsidRPr="00C3717F">
        <w:t>.</w:t>
      </w:r>
      <w:r>
        <w:t xml:space="preserve"> </w:t>
      </w:r>
      <w:r w:rsidR="00F259D8">
        <w:t xml:space="preserve"> </w:t>
      </w:r>
      <w:r>
        <w:t>Assuming a 2 percent increase in wages, the cost of implementing this rule is estimated to be approximately $1.2 million.  However, a portion of that cost will be paid for by the federal government through matching funds.  In addition, States may choose to fund these capital costs through their 100% E&amp;T grant, in which case the cost to the State and federal governments is $0</w:t>
      </w:r>
      <w:proofErr w:type="gramStart"/>
      <w:r>
        <w:t>.</w:t>
      </w:r>
      <w:r w:rsidRPr="00933A3C">
        <w:t xml:space="preserve"> </w:t>
      </w:r>
      <w:proofErr w:type="gramEnd"/>
      <w:r>
        <w:t xml:space="preserve">If these should prove insufficient in some cases, the State would be reimbursed at a 50 percent of any additional costs.   </w:t>
      </w:r>
    </w:p>
    <w:tbl>
      <w:tblPr>
        <w:tblpPr w:leftFromText="180" w:rightFromText="180" w:vertAnchor="text" w:horzAnchor="margin" w:tblpXSpec="center" w:tblpY="398"/>
        <w:tblW w:w="10790" w:type="dxa"/>
        <w:tblLook w:val="04A0" w:firstRow="1" w:lastRow="0" w:firstColumn="1" w:lastColumn="0" w:noHBand="0" w:noVBand="1"/>
      </w:tblPr>
      <w:tblGrid>
        <w:gridCol w:w="4085"/>
        <w:gridCol w:w="1523"/>
        <w:gridCol w:w="1270"/>
        <w:gridCol w:w="1742"/>
        <w:gridCol w:w="2170"/>
      </w:tblGrid>
      <w:tr w:rsidR="00A268A4" w:rsidRPr="00AD23E9" w:rsidTr="000401D2">
        <w:trPr>
          <w:trHeight w:val="1035"/>
        </w:trPr>
        <w:tc>
          <w:tcPr>
            <w:tcW w:w="4085" w:type="dxa"/>
            <w:tcBorders>
              <w:top w:val="single" w:sz="4" w:space="0" w:color="auto"/>
              <w:left w:val="single" w:sz="8" w:space="0" w:color="auto"/>
              <w:bottom w:val="single" w:sz="4" w:space="0" w:color="auto"/>
              <w:right w:val="single" w:sz="8" w:space="0" w:color="auto"/>
            </w:tcBorders>
            <w:shd w:val="clear" w:color="auto" w:fill="auto"/>
            <w:hideMark/>
          </w:tcPr>
          <w:p w:rsidR="00A268A4" w:rsidRPr="00AD23E9" w:rsidRDefault="00A268A4" w:rsidP="000401D2">
            <w:pPr>
              <w:rPr>
                <w:b/>
                <w:bCs/>
              </w:rPr>
            </w:pPr>
            <w:r w:rsidRPr="00AD23E9">
              <w:rPr>
                <w:b/>
                <w:bCs/>
              </w:rPr>
              <w:t>Description of Activity</w:t>
            </w:r>
          </w:p>
        </w:tc>
        <w:tc>
          <w:tcPr>
            <w:tcW w:w="1523" w:type="dxa"/>
            <w:tcBorders>
              <w:top w:val="single" w:sz="4" w:space="0" w:color="auto"/>
              <w:left w:val="nil"/>
              <w:bottom w:val="single" w:sz="4" w:space="0" w:color="auto"/>
              <w:right w:val="single" w:sz="4" w:space="0" w:color="auto"/>
            </w:tcBorders>
            <w:shd w:val="clear" w:color="auto" w:fill="auto"/>
            <w:hideMark/>
          </w:tcPr>
          <w:p w:rsidR="00A268A4" w:rsidRPr="00AD23E9" w:rsidRDefault="00A268A4" w:rsidP="000401D2">
            <w:pPr>
              <w:rPr>
                <w:b/>
                <w:bCs/>
              </w:rPr>
            </w:pPr>
            <w:r w:rsidRPr="00AD23E9">
              <w:rPr>
                <w:b/>
                <w:bCs/>
              </w:rPr>
              <w:t xml:space="preserve">Number of Respondents </w:t>
            </w:r>
          </w:p>
        </w:tc>
        <w:tc>
          <w:tcPr>
            <w:tcW w:w="1270" w:type="dxa"/>
            <w:tcBorders>
              <w:top w:val="single" w:sz="4" w:space="0" w:color="auto"/>
              <w:left w:val="single" w:sz="4" w:space="0" w:color="auto"/>
              <w:bottom w:val="single" w:sz="4" w:space="0" w:color="auto"/>
              <w:right w:val="nil"/>
            </w:tcBorders>
            <w:shd w:val="clear" w:color="auto" w:fill="auto"/>
            <w:hideMark/>
          </w:tcPr>
          <w:p w:rsidR="00A268A4" w:rsidRPr="00AD23E9" w:rsidRDefault="00A268A4" w:rsidP="000401D2">
            <w:pPr>
              <w:rPr>
                <w:b/>
                <w:bCs/>
              </w:rPr>
            </w:pPr>
            <w:r w:rsidRPr="00AD23E9">
              <w:rPr>
                <w:b/>
                <w:bCs/>
              </w:rPr>
              <w:t xml:space="preserve">Total Annual Responses </w:t>
            </w:r>
          </w:p>
        </w:tc>
        <w:tc>
          <w:tcPr>
            <w:tcW w:w="1742" w:type="dxa"/>
            <w:tcBorders>
              <w:top w:val="single" w:sz="4" w:space="0" w:color="auto"/>
              <w:left w:val="single" w:sz="8" w:space="0" w:color="auto"/>
              <w:bottom w:val="single" w:sz="4" w:space="0" w:color="auto"/>
              <w:right w:val="nil"/>
            </w:tcBorders>
            <w:shd w:val="clear" w:color="auto" w:fill="auto"/>
            <w:hideMark/>
          </w:tcPr>
          <w:p w:rsidR="00A268A4" w:rsidRPr="00AD23E9" w:rsidRDefault="00A268A4" w:rsidP="000401D2">
            <w:pPr>
              <w:rPr>
                <w:b/>
                <w:bCs/>
              </w:rPr>
            </w:pPr>
            <w:r w:rsidRPr="00AD23E9">
              <w:rPr>
                <w:b/>
                <w:bCs/>
              </w:rPr>
              <w:t xml:space="preserve">Number of Burden Hours Per Response </w:t>
            </w:r>
          </w:p>
        </w:tc>
        <w:tc>
          <w:tcPr>
            <w:tcW w:w="2170" w:type="dxa"/>
            <w:tcBorders>
              <w:top w:val="single" w:sz="4" w:space="0" w:color="auto"/>
              <w:left w:val="single" w:sz="8" w:space="0" w:color="auto"/>
              <w:bottom w:val="single" w:sz="4" w:space="0" w:color="auto"/>
              <w:right w:val="single" w:sz="8" w:space="0" w:color="auto"/>
            </w:tcBorders>
            <w:shd w:val="clear" w:color="auto" w:fill="auto"/>
            <w:hideMark/>
          </w:tcPr>
          <w:p w:rsidR="00A268A4" w:rsidRPr="00AD23E9" w:rsidRDefault="00A268A4" w:rsidP="000401D2">
            <w:pPr>
              <w:rPr>
                <w:b/>
                <w:bCs/>
              </w:rPr>
            </w:pPr>
            <w:r w:rsidRPr="00AD23E9">
              <w:rPr>
                <w:b/>
                <w:bCs/>
              </w:rPr>
              <w:t xml:space="preserve">Total Burden Hours </w:t>
            </w:r>
          </w:p>
        </w:tc>
      </w:tr>
      <w:tr w:rsidR="00A268A4" w:rsidRPr="00AD23E9" w:rsidTr="000401D2">
        <w:trPr>
          <w:trHeight w:val="270"/>
        </w:trPr>
        <w:tc>
          <w:tcPr>
            <w:tcW w:w="4085" w:type="dxa"/>
            <w:tcBorders>
              <w:top w:val="single" w:sz="8" w:space="0" w:color="auto"/>
              <w:left w:val="single" w:sz="8" w:space="0" w:color="auto"/>
              <w:bottom w:val="single" w:sz="8" w:space="0" w:color="auto"/>
              <w:right w:val="single" w:sz="8" w:space="0" w:color="000000"/>
            </w:tcBorders>
            <w:shd w:val="clear" w:color="000000" w:fill="D9D9D9"/>
            <w:vAlign w:val="bottom"/>
            <w:hideMark/>
          </w:tcPr>
          <w:p w:rsidR="00A268A4" w:rsidRPr="00AD23E9" w:rsidRDefault="00A268A4" w:rsidP="000401D2">
            <w:pPr>
              <w:rPr>
                <w:b/>
                <w:bCs/>
                <w:color w:val="000000"/>
              </w:rPr>
            </w:pPr>
            <w:r>
              <w:rPr>
                <w:b/>
                <w:bCs/>
                <w:color w:val="000000"/>
              </w:rPr>
              <w:t>One-time capital start-up and operating and maintenance costs</w:t>
            </w:r>
          </w:p>
        </w:tc>
        <w:tc>
          <w:tcPr>
            <w:tcW w:w="1523" w:type="dxa"/>
            <w:tcBorders>
              <w:top w:val="nil"/>
              <w:left w:val="nil"/>
              <w:bottom w:val="single" w:sz="8" w:space="0" w:color="auto"/>
              <w:right w:val="single" w:sz="8" w:space="0" w:color="auto"/>
            </w:tcBorders>
            <w:shd w:val="clear" w:color="000000" w:fill="D9D9D9"/>
            <w:noWrap/>
            <w:hideMark/>
          </w:tcPr>
          <w:p w:rsidR="00A268A4" w:rsidRPr="00AD23E9" w:rsidRDefault="00A268A4" w:rsidP="000401D2">
            <w:pPr>
              <w:rPr>
                <w:b/>
                <w:bCs/>
                <w:color w:val="000000"/>
              </w:rPr>
            </w:pPr>
            <w:r>
              <w:rPr>
                <w:b/>
              </w:rPr>
              <w:t>53</w:t>
            </w:r>
          </w:p>
        </w:tc>
        <w:tc>
          <w:tcPr>
            <w:tcW w:w="1270" w:type="dxa"/>
            <w:tcBorders>
              <w:top w:val="nil"/>
              <w:left w:val="nil"/>
              <w:bottom w:val="single" w:sz="8" w:space="0" w:color="auto"/>
              <w:right w:val="single" w:sz="8" w:space="0" w:color="auto"/>
            </w:tcBorders>
            <w:shd w:val="clear" w:color="000000" w:fill="D9D9D9"/>
            <w:noWrap/>
            <w:hideMark/>
          </w:tcPr>
          <w:p w:rsidR="00A268A4" w:rsidRPr="00AD23E9" w:rsidRDefault="00A268A4" w:rsidP="000401D2">
            <w:pPr>
              <w:rPr>
                <w:b/>
                <w:bCs/>
                <w:color w:val="000000"/>
              </w:rPr>
            </w:pPr>
            <w:r>
              <w:rPr>
                <w:b/>
              </w:rPr>
              <w:t>53</w:t>
            </w:r>
          </w:p>
        </w:tc>
        <w:tc>
          <w:tcPr>
            <w:tcW w:w="1742" w:type="dxa"/>
            <w:tcBorders>
              <w:top w:val="nil"/>
              <w:left w:val="nil"/>
              <w:bottom w:val="single" w:sz="8" w:space="0" w:color="auto"/>
              <w:right w:val="single" w:sz="8" w:space="0" w:color="auto"/>
            </w:tcBorders>
            <w:shd w:val="clear" w:color="000000" w:fill="D9D9D9"/>
            <w:noWrap/>
            <w:hideMark/>
          </w:tcPr>
          <w:p w:rsidR="00A268A4" w:rsidRPr="00AD23E9" w:rsidRDefault="00A268A4" w:rsidP="000401D2">
            <w:pPr>
              <w:rPr>
                <w:b/>
                <w:bCs/>
                <w:color w:val="000000"/>
              </w:rPr>
            </w:pPr>
            <w:r>
              <w:rPr>
                <w:b/>
              </w:rPr>
              <w:t>520</w:t>
            </w:r>
          </w:p>
        </w:tc>
        <w:tc>
          <w:tcPr>
            <w:tcW w:w="2170" w:type="dxa"/>
            <w:tcBorders>
              <w:top w:val="nil"/>
              <w:left w:val="nil"/>
              <w:bottom w:val="single" w:sz="8" w:space="0" w:color="auto"/>
              <w:right w:val="single" w:sz="4" w:space="0" w:color="auto"/>
            </w:tcBorders>
            <w:shd w:val="clear" w:color="000000" w:fill="D9D9D9"/>
            <w:noWrap/>
            <w:hideMark/>
          </w:tcPr>
          <w:p w:rsidR="00A268A4" w:rsidRPr="00AD23E9" w:rsidRDefault="00A268A4" w:rsidP="000401D2">
            <w:pPr>
              <w:rPr>
                <w:b/>
                <w:bCs/>
                <w:color w:val="000000"/>
              </w:rPr>
            </w:pPr>
            <w:r>
              <w:rPr>
                <w:b/>
              </w:rPr>
              <w:t>27,560</w:t>
            </w:r>
          </w:p>
        </w:tc>
      </w:tr>
    </w:tbl>
    <w:p w:rsidR="00A268A4" w:rsidRDefault="00A268A4" w:rsidP="00933A3C">
      <w:pPr>
        <w:spacing w:line="480" w:lineRule="auto"/>
      </w:pPr>
    </w:p>
    <w:p w:rsidR="00F55FC2" w:rsidRDefault="00F55FC2" w:rsidP="00F55FC2">
      <w:pPr>
        <w:spacing w:line="480" w:lineRule="auto"/>
      </w:pPr>
    </w:p>
    <w:p w:rsidR="009742E9" w:rsidRDefault="009742E9" w:rsidP="00CE4932">
      <w:pPr>
        <w:pStyle w:val="BodyText"/>
        <w:spacing w:line="480" w:lineRule="auto"/>
        <w:rPr>
          <w:color w:val="000000"/>
        </w:rPr>
      </w:pPr>
      <w:r>
        <w:rPr>
          <w:color w:val="000000"/>
        </w:rPr>
        <w:lastRenderedPageBreak/>
        <w:t>14.</w:t>
      </w:r>
      <w:r w:rsidR="006C76B0">
        <w:rPr>
          <w:color w:val="000000"/>
        </w:rPr>
        <w:t xml:space="preserve"> </w:t>
      </w:r>
      <w:r>
        <w:rPr>
          <w:color w:val="000000"/>
        </w:rPr>
        <w:t xml:space="preserve"> </w:t>
      </w:r>
      <w:r w:rsidR="00FF6850" w:rsidRPr="009424D0">
        <w:rPr>
          <w:color w:val="000000"/>
        </w:rPr>
        <w:t xml:space="preserve">Provide estimates of annualized cost to the Federal government.  </w:t>
      </w:r>
      <w:r w:rsidR="00FF6850" w:rsidRPr="009424D0">
        <w:t>Also, provide a description of the method used to estimate cost and any other expense that would not have been incurred without this collection of information</w:t>
      </w:r>
      <w:r w:rsidR="00C70617">
        <w:rPr>
          <w:color w:val="000000"/>
        </w:rPr>
        <w:t>.</w:t>
      </w:r>
    </w:p>
    <w:p w:rsidR="00833F73" w:rsidRDefault="00833F73" w:rsidP="00CE4932">
      <w:pPr>
        <w:spacing w:line="480" w:lineRule="auto"/>
      </w:pPr>
      <w:r w:rsidRPr="00833F73">
        <w:t xml:space="preserve"> </w:t>
      </w:r>
      <w:r w:rsidRPr="00CD36E6">
        <w:t>The Department estimates that the cost to the Federal government for establishing reporting measures is minimal.  The Department will analyze outcome data provided by State agencies but this is part of a program analyst’s normal responsibilities.</w:t>
      </w:r>
      <w:r>
        <w:t xml:space="preserve">  In addition, while the new reporting measures will result in a small increase in State administrative costs, the federal share of these costs is expected to be minimal.  </w:t>
      </w:r>
    </w:p>
    <w:p w:rsidR="00833F73" w:rsidRDefault="00833F73" w:rsidP="00CE4932">
      <w:pPr>
        <w:spacing w:line="480" w:lineRule="auto"/>
      </w:pPr>
    </w:p>
    <w:p w:rsidR="009742E9" w:rsidRDefault="006C76B0" w:rsidP="00CE4932">
      <w:pPr>
        <w:spacing w:line="480" w:lineRule="auto"/>
        <w:rPr>
          <w:b/>
        </w:rPr>
      </w:pPr>
      <w:r>
        <w:rPr>
          <w:b/>
        </w:rPr>
        <w:t xml:space="preserve">15.  </w:t>
      </w:r>
      <w:r w:rsidR="00FF6850" w:rsidRPr="001451F3">
        <w:rPr>
          <w:b/>
          <w:spacing w:val="-3"/>
        </w:rPr>
        <w:t>Explain the reasons for any program changes or adjustments reported in item</w:t>
      </w:r>
      <w:r w:rsidR="00726309">
        <w:rPr>
          <w:b/>
          <w:spacing w:val="-3"/>
        </w:rPr>
        <w:t xml:space="preserve"> </w:t>
      </w:r>
      <w:r w:rsidR="00FF6850" w:rsidRPr="001451F3">
        <w:rPr>
          <w:b/>
          <w:spacing w:val="-3"/>
        </w:rPr>
        <w:t>13 or 14 of</w:t>
      </w:r>
      <w:r w:rsidR="00FF6850">
        <w:rPr>
          <w:b/>
          <w:spacing w:val="-3"/>
        </w:rPr>
        <w:t xml:space="preserve"> the OMB 83-</w:t>
      </w:r>
      <w:r w:rsidR="00C779F9">
        <w:rPr>
          <w:b/>
          <w:spacing w:val="-3"/>
        </w:rPr>
        <w:t>I</w:t>
      </w:r>
      <w:r>
        <w:rPr>
          <w:b/>
        </w:rPr>
        <w:t>.</w:t>
      </w:r>
      <w:r w:rsidR="009742E9" w:rsidRPr="003821CB">
        <w:rPr>
          <w:b/>
        </w:rPr>
        <w:t xml:space="preserve"> </w:t>
      </w:r>
    </w:p>
    <w:p w:rsidR="00C61FA7" w:rsidRDefault="00366E07" w:rsidP="00CE4932">
      <w:pPr>
        <w:pStyle w:val="BodyText"/>
        <w:spacing w:line="480" w:lineRule="auto"/>
        <w:rPr>
          <w:b w:val="0"/>
          <w:spacing w:val="-3"/>
        </w:rPr>
      </w:pPr>
      <w:r>
        <w:rPr>
          <w:b w:val="0"/>
          <w:spacing w:val="-3"/>
        </w:rPr>
        <w:t xml:space="preserve">This is a new collection mandated by </w:t>
      </w:r>
      <w:r w:rsidR="00D1201A" w:rsidRPr="00D1201A">
        <w:rPr>
          <w:b w:val="0"/>
        </w:rPr>
        <w:t>Section 16(h</w:t>
      </w:r>
      <w:proofErr w:type="gramStart"/>
      <w:r w:rsidR="00D1201A" w:rsidRPr="00D1201A">
        <w:rPr>
          <w:b w:val="0"/>
        </w:rPr>
        <w:t>)(</w:t>
      </w:r>
      <w:proofErr w:type="gramEnd"/>
      <w:r w:rsidR="00D1201A" w:rsidRPr="00D1201A">
        <w:rPr>
          <w:b w:val="0"/>
        </w:rPr>
        <w:t xml:space="preserve">5) of the Food and Nutrition  Act.  </w:t>
      </w:r>
      <w:r w:rsidR="00F259D8" w:rsidRPr="00F259D8">
        <w:rPr>
          <w:b w:val="0"/>
        </w:rPr>
        <w:t>As a result of program changes associated with</w:t>
      </w:r>
      <w:r w:rsidR="00F259D8">
        <w:rPr>
          <w:b w:val="0"/>
        </w:rPr>
        <w:t xml:space="preserve"> the interim rulemaking, t</w:t>
      </w:r>
      <w:r w:rsidR="00D1201A" w:rsidRPr="00D1201A">
        <w:rPr>
          <w:b w:val="0"/>
        </w:rPr>
        <w:t xml:space="preserve">his collection will increase the OMB inventory by </w:t>
      </w:r>
      <w:r w:rsidR="00F259D8">
        <w:rPr>
          <w:b w:val="0"/>
        </w:rPr>
        <w:t>12,233</w:t>
      </w:r>
      <w:r w:rsidR="00F259D8" w:rsidRPr="00D1201A">
        <w:rPr>
          <w:b w:val="0"/>
        </w:rPr>
        <w:t xml:space="preserve"> </w:t>
      </w:r>
      <w:r w:rsidR="00D1201A" w:rsidRPr="00D1201A">
        <w:rPr>
          <w:b w:val="0"/>
        </w:rPr>
        <w:t>hours</w:t>
      </w:r>
      <w:r w:rsidR="00F259D8">
        <w:rPr>
          <w:b w:val="0"/>
        </w:rPr>
        <w:t xml:space="preserve"> annually</w:t>
      </w:r>
      <w:r w:rsidR="00D1201A" w:rsidRPr="00D1201A">
        <w:rPr>
          <w:b w:val="0"/>
        </w:rPr>
        <w:t>.</w:t>
      </w:r>
      <w:r w:rsidDel="00366E07">
        <w:rPr>
          <w:b w:val="0"/>
          <w:spacing w:val="-3"/>
        </w:rPr>
        <w:t xml:space="preserve"> </w:t>
      </w:r>
    </w:p>
    <w:p w:rsidR="001E4639" w:rsidRDefault="001E4639" w:rsidP="00CE4932">
      <w:pPr>
        <w:pStyle w:val="BodyText"/>
        <w:spacing w:line="480" w:lineRule="auto"/>
      </w:pPr>
    </w:p>
    <w:p w:rsidR="007D042F" w:rsidRDefault="009742E9" w:rsidP="00CE4932">
      <w:pPr>
        <w:pStyle w:val="BodyText"/>
        <w:spacing w:line="480" w:lineRule="auto"/>
      </w:pPr>
      <w:r>
        <w:t>16.</w:t>
      </w:r>
      <w:r w:rsidR="00917F60">
        <w:t xml:space="preserve"> </w:t>
      </w:r>
      <w:r>
        <w:t xml:space="preserve"> </w:t>
      </w:r>
      <w:r w:rsidR="00FF6850" w:rsidRPr="001451F3">
        <w:t>For collections of information whose results are planned to be published, outline plans for tabulation and publication</w:t>
      </w:r>
      <w:r w:rsidR="006C76B0">
        <w:rPr>
          <w:color w:val="000000"/>
        </w:rPr>
        <w:t>.</w:t>
      </w:r>
    </w:p>
    <w:p w:rsidR="001E4639" w:rsidRDefault="001E4639" w:rsidP="001E4639">
      <w:r>
        <w:t xml:space="preserve">There are no plans for tabulation and publication of this information collection. </w:t>
      </w:r>
    </w:p>
    <w:p w:rsidR="001E4639" w:rsidRDefault="001E4639" w:rsidP="00CE4932">
      <w:pPr>
        <w:pStyle w:val="BodyTextIndent"/>
        <w:tabs>
          <w:tab w:val="left" w:pos="1080"/>
          <w:tab w:val="left" w:pos="1440"/>
          <w:tab w:val="left" w:pos="2880"/>
          <w:tab w:val="left" w:pos="5760"/>
          <w:tab w:val="left" w:pos="6480"/>
        </w:tabs>
        <w:spacing w:after="0" w:line="480" w:lineRule="auto"/>
        <w:ind w:left="0"/>
      </w:pPr>
    </w:p>
    <w:p w:rsidR="007D042F" w:rsidRDefault="009742E9" w:rsidP="00CE4932">
      <w:pPr>
        <w:pStyle w:val="BodyText"/>
        <w:spacing w:line="480" w:lineRule="auto"/>
      </w:pPr>
      <w:r>
        <w:t>17.</w:t>
      </w:r>
      <w:r w:rsidR="00F1190B">
        <w:t xml:space="preserve"> </w:t>
      </w:r>
      <w:r>
        <w:t xml:space="preserve"> </w:t>
      </w:r>
      <w:r w:rsidR="00FF6850" w:rsidRPr="001451F3">
        <w:t>If seeking approval to not display the expiration date for OMB approval of</w:t>
      </w:r>
      <w:r w:rsidR="00FF6850">
        <w:t xml:space="preserve"> the information</w:t>
      </w:r>
      <w:r w:rsidR="00FF6850" w:rsidRPr="00FF6850">
        <w:t xml:space="preserve"> </w:t>
      </w:r>
      <w:r w:rsidR="00FF6850" w:rsidRPr="001451F3">
        <w:t>collection, explain the reasons that display would be inappropriate</w:t>
      </w:r>
      <w:r w:rsidR="006C76B0">
        <w:rPr>
          <w:color w:val="000000"/>
        </w:rPr>
        <w:t>.</w:t>
      </w:r>
    </w:p>
    <w:p w:rsidR="009742E9" w:rsidRDefault="006C76B0" w:rsidP="00CE4932">
      <w:pPr>
        <w:spacing w:line="480" w:lineRule="auto"/>
        <w:rPr>
          <w:color w:val="000000"/>
        </w:rPr>
      </w:pPr>
      <w:r>
        <w:rPr>
          <w:color w:val="000000"/>
        </w:rPr>
        <w:t>We are</w:t>
      </w:r>
      <w:r w:rsidR="009742E9">
        <w:rPr>
          <w:color w:val="000000"/>
        </w:rPr>
        <w:t xml:space="preserve"> not seeking approval </w:t>
      </w:r>
      <w:r>
        <w:rPr>
          <w:color w:val="000000"/>
        </w:rPr>
        <w:t>concerning the display of the expiration date.</w:t>
      </w:r>
    </w:p>
    <w:p w:rsidR="00ED022C" w:rsidRDefault="00ED022C" w:rsidP="00CE4932">
      <w:pPr>
        <w:spacing w:line="480" w:lineRule="auto"/>
        <w:rPr>
          <w:color w:val="000000"/>
        </w:rPr>
      </w:pPr>
    </w:p>
    <w:p w:rsidR="009742E9" w:rsidRDefault="009742E9" w:rsidP="00CE4932">
      <w:pPr>
        <w:pStyle w:val="BodyText"/>
        <w:spacing w:line="480" w:lineRule="auto"/>
        <w:rPr>
          <w:color w:val="000000"/>
        </w:rPr>
      </w:pPr>
      <w:r>
        <w:rPr>
          <w:color w:val="000000"/>
        </w:rPr>
        <w:lastRenderedPageBreak/>
        <w:t>18.</w:t>
      </w:r>
      <w:r w:rsidR="00F1190B">
        <w:rPr>
          <w:color w:val="000000"/>
        </w:rPr>
        <w:t xml:space="preserve"> </w:t>
      </w:r>
      <w:r>
        <w:rPr>
          <w:color w:val="000000"/>
        </w:rPr>
        <w:t xml:space="preserve"> </w:t>
      </w:r>
      <w:r w:rsidR="00FF6850" w:rsidRPr="003E4AF3">
        <w:t>Explain each exception to the certification statement identified in Item 1</w:t>
      </w:r>
      <w:r w:rsidR="00FF6850">
        <w:t xml:space="preserve">9 </w:t>
      </w:r>
      <w:r w:rsidR="00FF6850" w:rsidRPr="003E4AF3">
        <w:t>"Certification for Paperwork Reduction Act."</w:t>
      </w:r>
    </w:p>
    <w:p w:rsidR="000140C1" w:rsidRDefault="009742E9" w:rsidP="00CE4932">
      <w:pPr>
        <w:pStyle w:val="BodyText2"/>
        <w:spacing w:line="480" w:lineRule="auto"/>
        <w:outlineLvl w:val="0"/>
        <w:rPr>
          <w:color w:val="000000"/>
        </w:rPr>
      </w:pPr>
      <w:r>
        <w:rPr>
          <w:color w:val="000000"/>
        </w:rPr>
        <w:t xml:space="preserve">There </w:t>
      </w:r>
      <w:r w:rsidR="008668C2">
        <w:rPr>
          <w:color w:val="000000"/>
        </w:rPr>
        <w:t xml:space="preserve">are </w:t>
      </w:r>
      <w:r>
        <w:rPr>
          <w:color w:val="000000"/>
        </w:rPr>
        <w:t>no exception</w:t>
      </w:r>
      <w:r w:rsidR="008668C2">
        <w:rPr>
          <w:color w:val="000000"/>
        </w:rPr>
        <w:t>s</w:t>
      </w:r>
      <w:r>
        <w:rPr>
          <w:color w:val="000000"/>
        </w:rPr>
        <w:t xml:space="preserve"> to the certification statement.</w:t>
      </w:r>
    </w:p>
    <w:sectPr w:rsidR="000140C1" w:rsidSect="00512A4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EC0" w:rsidRDefault="001C1EC0">
      <w:r>
        <w:separator/>
      </w:r>
    </w:p>
  </w:endnote>
  <w:endnote w:type="continuationSeparator" w:id="0">
    <w:p w:rsidR="001C1EC0" w:rsidRDefault="001C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elior-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EC0" w:rsidRDefault="001C1EC0">
      <w:r>
        <w:separator/>
      </w:r>
    </w:p>
  </w:footnote>
  <w:footnote w:type="continuationSeparator" w:id="0">
    <w:p w:rsidR="001C1EC0" w:rsidRDefault="001C1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D6" w:rsidRPr="00512A40" w:rsidRDefault="00A504D6" w:rsidP="00512A40">
    <w:pPr>
      <w:pStyle w:val="Header"/>
      <w:jc w:val="right"/>
      <w:rPr>
        <w:rFonts w:ascii="Courier New" w:hAnsi="Courier New" w:cs="Courier New"/>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3E00"/>
    <w:multiLevelType w:val="hybridMultilevel"/>
    <w:tmpl w:val="BA5A81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844409"/>
    <w:multiLevelType w:val="hybridMultilevel"/>
    <w:tmpl w:val="87AC6C28"/>
    <w:lvl w:ilvl="0" w:tplc="04090001">
      <w:start w:val="1"/>
      <w:numFmt w:val="bullet"/>
      <w:lvlText w:val=""/>
      <w:lvlJc w:val="left"/>
      <w:pPr>
        <w:ind w:left="474" w:hanging="360"/>
      </w:pPr>
      <w:rPr>
        <w:rFonts w:ascii="Symbol" w:hAnsi="Symbol" w:hint="default"/>
        <w:color w:val="auto"/>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9F37EE5"/>
    <w:multiLevelType w:val="singleLevel"/>
    <w:tmpl w:val="E9367046"/>
    <w:lvl w:ilvl="0">
      <w:start w:val="1"/>
      <w:numFmt w:val="decimal"/>
      <w:lvlText w:val="%1."/>
      <w:legacy w:legacy="1" w:legacySpace="120" w:legacyIndent="360"/>
      <w:lvlJc w:val="left"/>
      <w:pPr>
        <w:ind w:left="720" w:hanging="360"/>
      </w:pPr>
      <w:rPr>
        <w:b/>
      </w:rPr>
    </w:lvl>
  </w:abstractNum>
  <w:abstractNum w:abstractNumId="4">
    <w:nsid w:val="2A7F79F7"/>
    <w:multiLevelType w:val="hybridMultilevel"/>
    <w:tmpl w:val="B532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583CF4"/>
    <w:multiLevelType w:val="hybridMultilevel"/>
    <w:tmpl w:val="3EF22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DE7D08"/>
    <w:multiLevelType w:val="hybridMultilevel"/>
    <w:tmpl w:val="132A9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80F5691"/>
    <w:multiLevelType w:val="hybridMultilevel"/>
    <w:tmpl w:val="B600B1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E9D2087"/>
    <w:multiLevelType w:val="hybridMultilevel"/>
    <w:tmpl w:val="80F4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484DCA"/>
    <w:multiLevelType w:val="hybridMultilevel"/>
    <w:tmpl w:val="04CEB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DF6285"/>
    <w:multiLevelType w:val="hybridMultilevel"/>
    <w:tmpl w:val="84DC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2726309"/>
    <w:multiLevelType w:val="hybridMultilevel"/>
    <w:tmpl w:val="FC1EA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8D2841"/>
    <w:multiLevelType w:val="hybridMultilevel"/>
    <w:tmpl w:val="6ABAB922"/>
    <w:lvl w:ilvl="0" w:tplc="26A6270A">
      <w:start w:val="1"/>
      <w:numFmt w:val="low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
  </w:num>
  <w:num w:numId="3">
    <w:abstractNumId w:val="15"/>
  </w:num>
  <w:num w:numId="4">
    <w:abstractNumId w:val="11"/>
  </w:num>
  <w:num w:numId="5">
    <w:abstractNumId w:val="0"/>
  </w:num>
  <w:num w:numId="6">
    <w:abstractNumId w:val="12"/>
  </w:num>
  <w:num w:numId="7">
    <w:abstractNumId w:val="14"/>
  </w:num>
  <w:num w:numId="8">
    <w:abstractNumId w:val="5"/>
  </w:num>
  <w:num w:numId="9">
    <w:abstractNumId w:val="6"/>
  </w:num>
  <w:num w:numId="10">
    <w:abstractNumId w:val="4"/>
  </w:num>
  <w:num w:numId="11">
    <w:abstractNumId w:val="8"/>
  </w:num>
  <w:num w:numId="12">
    <w:abstractNumId w:val="16"/>
  </w:num>
  <w:num w:numId="13">
    <w:abstractNumId w:val="1"/>
  </w:num>
  <w:num w:numId="14">
    <w:abstractNumId w:val="9"/>
  </w:num>
  <w:num w:numId="15">
    <w:abstractNumId w:val="13"/>
  </w:num>
  <w:num w:numId="16">
    <w:abstractNumId w:val="2"/>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tham, Steph J. EOP/OMB">
    <w15:presenceInfo w15:providerId="AD" w15:userId="S-1-5-21-481821332-259741479-317593308-165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4A"/>
    <w:rsid w:val="000000D8"/>
    <w:rsid w:val="00003C11"/>
    <w:rsid w:val="00004A63"/>
    <w:rsid w:val="00004F39"/>
    <w:rsid w:val="00005E97"/>
    <w:rsid w:val="00006605"/>
    <w:rsid w:val="00007E2F"/>
    <w:rsid w:val="00007F5B"/>
    <w:rsid w:val="000140C1"/>
    <w:rsid w:val="000156E2"/>
    <w:rsid w:val="000219E6"/>
    <w:rsid w:val="0002285B"/>
    <w:rsid w:val="0002376B"/>
    <w:rsid w:val="00026A47"/>
    <w:rsid w:val="000270E5"/>
    <w:rsid w:val="000273E1"/>
    <w:rsid w:val="00027C9A"/>
    <w:rsid w:val="0003232D"/>
    <w:rsid w:val="00034C51"/>
    <w:rsid w:val="0003700E"/>
    <w:rsid w:val="00043CEA"/>
    <w:rsid w:val="00045BEE"/>
    <w:rsid w:val="00045DD7"/>
    <w:rsid w:val="00051BE4"/>
    <w:rsid w:val="00053315"/>
    <w:rsid w:val="0005565C"/>
    <w:rsid w:val="00056B6C"/>
    <w:rsid w:val="0007242F"/>
    <w:rsid w:val="00073779"/>
    <w:rsid w:val="00077059"/>
    <w:rsid w:val="00084297"/>
    <w:rsid w:val="0008759A"/>
    <w:rsid w:val="00090563"/>
    <w:rsid w:val="00090861"/>
    <w:rsid w:val="00093AA7"/>
    <w:rsid w:val="00096D12"/>
    <w:rsid w:val="000B304D"/>
    <w:rsid w:val="000B38E7"/>
    <w:rsid w:val="000B421F"/>
    <w:rsid w:val="000B4BF1"/>
    <w:rsid w:val="000B524B"/>
    <w:rsid w:val="000B5799"/>
    <w:rsid w:val="000C079B"/>
    <w:rsid w:val="000C5F72"/>
    <w:rsid w:val="000C6092"/>
    <w:rsid w:val="000D06BE"/>
    <w:rsid w:val="000D33FA"/>
    <w:rsid w:val="000D3A42"/>
    <w:rsid w:val="000D49F8"/>
    <w:rsid w:val="000D4D89"/>
    <w:rsid w:val="000D633B"/>
    <w:rsid w:val="000F1C92"/>
    <w:rsid w:val="000F2DAF"/>
    <w:rsid w:val="000F3D35"/>
    <w:rsid w:val="000F5EA5"/>
    <w:rsid w:val="00102AE6"/>
    <w:rsid w:val="001033FC"/>
    <w:rsid w:val="00110638"/>
    <w:rsid w:val="00111D60"/>
    <w:rsid w:val="00113AA2"/>
    <w:rsid w:val="0011607B"/>
    <w:rsid w:val="00120191"/>
    <w:rsid w:val="00121805"/>
    <w:rsid w:val="00124AB9"/>
    <w:rsid w:val="0012596D"/>
    <w:rsid w:val="00131E76"/>
    <w:rsid w:val="0013669F"/>
    <w:rsid w:val="00136A26"/>
    <w:rsid w:val="001424CC"/>
    <w:rsid w:val="00143AFD"/>
    <w:rsid w:val="0014635C"/>
    <w:rsid w:val="0014635D"/>
    <w:rsid w:val="001472B4"/>
    <w:rsid w:val="00153507"/>
    <w:rsid w:val="0015662B"/>
    <w:rsid w:val="00157757"/>
    <w:rsid w:val="00157EC4"/>
    <w:rsid w:val="00161B8D"/>
    <w:rsid w:val="00161E5F"/>
    <w:rsid w:val="0016659A"/>
    <w:rsid w:val="00166F8F"/>
    <w:rsid w:val="00167CC6"/>
    <w:rsid w:val="00167ED5"/>
    <w:rsid w:val="00172E09"/>
    <w:rsid w:val="00180629"/>
    <w:rsid w:val="001806D1"/>
    <w:rsid w:val="001823D4"/>
    <w:rsid w:val="00182853"/>
    <w:rsid w:val="00182B77"/>
    <w:rsid w:val="0018729F"/>
    <w:rsid w:val="001877CD"/>
    <w:rsid w:val="00191AE8"/>
    <w:rsid w:val="00193C43"/>
    <w:rsid w:val="00196F69"/>
    <w:rsid w:val="00197351"/>
    <w:rsid w:val="001A5F50"/>
    <w:rsid w:val="001B236D"/>
    <w:rsid w:val="001B2B71"/>
    <w:rsid w:val="001C1EC0"/>
    <w:rsid w:val="001C5015"/>
    <w:rsid w:val="001C539C"/>
    <w:rsid w:val="001C5A47"/>
    <w:rsid w:val="001C5CD8"/>
    <w:rsid w:val="001D0457"/>
    <w:rsid w:val="001D0465"/>
    <w:rsid w:val="001D0639"/>
    <w:rsid w:val="001D4789"/>
    <w:rsid w:val="001D549E"/>
    <w:rsid w:val="001D76A6"/>
    <w:rsid w:val="001D7F53"/>
    <w:rsid w:val="001E16C1"/>
    <w:rsid w:val="001E3268"/>
    <w:rsid w:val="001E4639"/>
    <w:rsid w:val="001E61FC"/>
    <w:rsid w:val="001F310F"/>
    <w:rsid w:val="001F74CD"/>
    <w:rsid w:val="00200306"/>
    <w:rsid w:val="002029CE"/>
    <w:rsid w:val="002055B1"/>
    <w:rsid w:val="002056CC"/>
    <w:rsid w:val="00212609"/>
    <w:rsid w:val="00214A3E"/>
    <w:rsid w:val="0022127F"/>
    <w:rsid w:val="0022490D"/>
    <w:rsid w:val="00226980"/>
    <w:rsid w:val="00234284"/>
    <w:rsid w:val="002358AA"/>
    <w:rsid w:val="00241112"/>
    <w:rsid w:val="00241B29"/>
    <w:rsid w:val="00242CA8"/>
    <w:rsid w:val="002500DB"/>
    <w:rsid w:val="002545C3"/>
    <w:rsid w:val="002547BD"/>
    <w:rsid w:val="00255E15"/>
    <w:rsid w:val="00257D34"/>
    <w:rsid w:val="002624C9"/>
    <w:rsid w:val="00263DEA"/>
    <w:rsid w:val="00274C81"/>
    <w:rsid w:val="0027783C"/>
    <w:rsid w:val="0028439D"/>
    <w:rsid w:val="00285143"/>
    <w:rsid w:val="00285176"/>
    <w:rsid w:val="0028571D"/>
    <w:rsid w:val="00294FDB"/>
    <w:rsid w:val="002979F9"/>
    <w:rsid w:val="002A20A4"/>
    <w:rsid w:val="002A2394"/>
    <w:rsid w:val="002A467D"/>
    <w:rsid w:val="002B7C3A"/>
    <w:rsid w:val="002C01B0"/>
    <w:rsid w:val="002C11E1"/>
    <w:rsid w:val="002C2F6F"/>
    <w:rsid w:val="002C457D"/>
    <w:rsid w:val="002C615A"/>
    <w:rsid w:val="002D1BD5"/>
    <w:rsid w:val="002D6B76"/>
    <w:rsid w:val="002E250E"/>
    <w:rsid w:val="002E2B1A"/>
    <w:rsid w:val="002F0097"/>
    <w:rsid w:val="002F0699"/>
    <w:rsid w:val="002F3C03"/>
    <w:rsid w:val="002F4904"/>
    <w:rsid w:val="00301585"/>
    <w:rsid w:val="00302A96"/>
    <w:rsid w:val="00320C8A"/>
    <w:rsid w:val="0032390D"/>
    <w:rsid w:val="00323BD0"/>
    <w:rsid w:val="003249B5"/>
    <w:rsid w:val="003314C7"/>
    <w:rsid w:val="00333329"/>
    <w:rsid w:val="00334486"/>
    <w:rsid w:val="0033468D"/>
    <w:rsid w:val="00334F7E"/>
    <w:rsid w:val="00335C4F"/>
    <w:rsid w:val="00342CEA"/>
    <w:rsid w:val="00345EB7"/>
    <w:rsid w:val="00351692"/>
    <w:rsid w:val="00351B3C"/>
    <w:rsid w:val="00352D37"/>
    <w:rsid w:val="00355EAC"/>
    <w:rsid w:val="003568A0"/>
    <w:rsid w:val="00356992"/>
    <w:rsid w:val="003608AF"/>
    <w:rsid w:val="00362877"/>
    <w:rsid w:val="00366E07"/>
    <w:rsid w:val="003678DE"/>
    <w:rsid w:val="0037358A"/>
    <w:rsid w:val="00374947"/>
    <w:rsid w:val="00380301"/>
    <w:rsid w:val="0038185D"/>
    <w:rsid w:val="003821CB"/>
    <w:rsid w:val="00384593"/>
    <w:rsid w:val="00384879"/>
    <w:rsid w:val="0038629D"/>
    <w:rsid w:val="00390D49"/>
    <w:rsid w:val="00395F6A"/>
    <w:rsid w:val="0039728A"/>
    <w:rsid w:val="003A16BE"/>
    <w:rsid w:val="003A6B0A"/>
    <w:rsid w:val="003B251C"/>
    <w:rsid w:val="003B5B95"/>
    <w:rsid w:val="003B675A"/>
    <w:rsid w:val="003C2474"/>
    <w:rsid w:val="003C3770"/>
    <w:rsid w:val="003D35E0"/>
    <w:rsid w:val="003D401A"/>
    <w:rsid w:val="003D7D16"/>
    <w:rsid w:val="003E0DB4"/>
    <w:rsid w:val="003E7239"/>
    <w:rsid w:val="0040094C"/>
    <w:rsid w:val="0040340A"/>
    <w:rsid w:val="00403A8C"/>
    <w:rsid w:val="004161F3"/>
    <w:rsid w:val="00416574"/>
    <w:rsid w:val="00423C20"/>
    <w:rsid w:val="004255BF"/>
    <w:rsid w:val="00425685"/>
    <w:rsid w:val="004256C1"/>
    <w:rsid w:val="00426708"/>
    <w:rsid w:val="00427109"/>
    <w:rsid w:val="00427ECC"/>
    <w:rsid w:val="00431C84"/>
    <w:rsid w:val="00446AA5"/>
    <w:rsid w:val="00447B6F"/>
    <w:rsid w:val="004557C6"/>
    <w:rsid w:val="00465848"/>
    <w:rsid w:val="00466A27"/>
    <w:rsid w:val="00471849"/>
    <w:rsid w:val="00473224"/>
    <w:rsid w:val="0047495E"/>
    <w:rsid w:val="0048468C"/>
    <w:rsid w:val="00485CA9"/>
    <w:rsid w:val="0049315A"/>
    <w:rsid w:val="00495152"/>
    <w:rsid w:val="004968B5"/>
    <w:rsid w:val="0049786A"/>
    <w:rsid w:val="004A37A2"/>
    <w:rsid w:val="004A6BF8"/>
    <w:rsid w:val="004A6F0C"/>
    <w:rsid w:val="004A74BC"/>
    <w:rsid w:val="004B1A92"/>
    <w:rsid w:val="004B432C"/>
    <w:rsid w:val="004B4952"/>
    <w:rsid w:val="004C259F"/>
    <w:rsid w:val="004C49A4"/>
    <w:rsid w:val="004C4DF8"/>
    <w:rsid w:val="004C549D"/>
    <w:rsid w:val="004D0E33"/>
    <w:rsid w:val="004E1260"/>
    <w:rsid w:val="004E2068"/>
    <w:rsid w:val="004E24BD"/>
    <w:rsid w:val="004E2CCA"/>
    <w:rsid w:val="004E51AE"/>
    <w:rsid w:val="004F0CC0"/>
    <w:rsid w:val="004F5B02"/>
    <w:rsid w:val="004F627B"/>
    <w:rsid w:val="005100FA"/>
    <w:rsid w:val="00510E46"/>
    <w:rsid w:val="00512971"/>
    <w:rsid w:val="00512A40"/>
    <w:rsid w:val="005160A9"/>
    <w:rsid w:val="00517118"/>
    <w:rsid w:val="005177AD"/>
    <w:rsid w:val="00522D93"/>
    <w:rsid w:val="00524B4D"/>
    <w:rsid w:val="00524D11"/>
    <w:rsid w:val="00530E31"/>
    <w:rsid w:val="00533631"/>
    <w:rsid w:val="0053376D"/>
    <w:rsid w:val="00546D7D"/>
    <w:rsid w:val="005522D0"/>
    <w:rsid w:val="0055452D"/>
    <w:rsid w:val="00554FAE"/>
    <w:rsid w:val="00566301"/>
    <w:rsid w:val="00572257"/>
    <w:rsid w:val="00572B60"/>
    <w:rsid w:val="0057575A"/>
    <w:rsid w:val="0057737D"/>
    <w:rsid w:val="00581867"/>
    <w:rsid w:val="00581FCB"/>
    <w:rsid w:val="0058729D"/>
    <w:rsid w:val="00587D50"/>
    <w:rsid w:val="00592D0F"/>
    <w:rsid w:val="00592FD3"/>
    <w:rsid w:val="00593127"/>
    <w:rsid w:val="005941FF"/>
    <w:rsid w:val="0059684C"/>
    <w:rsid w:val="005A03A7"/>
    <w:rsid w:val="005A1CE4"/>
    <w:rsid w:val="005A2BBF"/>
    <w:rsid w:val="005A68D0"/>
    <w:rsid w:val="005B12FD"/>
    <w:rsid w:val="005B1B66"/>
    <w:rsid w:val="005B2FC0"/>
    <w:rsid w:val="005B3008"/>
    <w:rsid w:val="005B5D57"/>
    <w:rsid w:val="005C0040"/>
    <w:rsid w:val="005C2D04"/>
    <w:rsid w:val="005C3D55"/>
    <w:rsid w:val="005C7089"/>
    <w:rsid w:val="005C747F"/>
    <w:rsid w:val="005D13AD"/>
    <w:rsid w:val="005D1A3B"/>
    <w:rsid w:val="005D7F7B"/>
    <w:rsid w:val="005F3A81"/>
    <w:rsid w:val="00601D03"/>
    <w:rsid w:val="00604D48"/>
    <w:rsid w:val="006050A6"/>
    <w:rsid w:val="006177FA"/>
    <w:rsid w:val="00621B59"/>
    <w:rsid w:val="00623C14"/>
    <w:rsid w:val="00624444"/>
    <w:rsid w:val="00627F57"/>
    <w:rsid w:val="0063089C"/>
    <w:rsid w:val="00635D2C"/>
    <w:rsid w:val="00636CF1"/>
    <w:rsid w:val="00641875"/>
    <w:rsid w:val="00641970"/>
    <w:rsid w:val="00641D9C"/>
    <w:rsid w:val="006439EC"/>
    <w:rsid w:val="00643DF6"/>
    <w:rsid w:val="00647726"/>
    <w:rsid w:val="0065082B"/>
    <w:rsid w:val="00657B81"/>
    <w:rsid w:val="006602D8"/>
    <w:rsid w:val="00663B93"/>
    <w:rsid w:val="006650E4"/>
    <w:rsid w:val="00670C83"/>
    <w:rsid w:val="00675C5D"/>
    <w:rsid w:val="006838EE"/>
    <w:rsid w:val="006868B9"/>
    <w:rsid w:val="00687846"/>
    <w:rsid w:val="00694E05"/>
    <w:rsid w:val="006A187D"/>
    <w:rsid w:val="006A4483"/>
    <w:rsid w:val="006A726D"/>
    <w:rsid w:val="006B1B8D"/>
    <w:rsid w:val="006B21CB"/>
    <w:rsid w:val="006B46A1"/>
    <w:rsid w:val="006B600C"/>
    <w:rsid w:val="006B671F"/>
    <w:rsid w:val="006C0089"/>
    <w:rsid w:val="006C0497"/>
    <w:rsid w:val="006C5857"/>
    <w:rsid w:val="006C76B0"/>
    <w:rsid w:val="006D275A"/>
    <w:rsid w:val="006D3712"/>
    <w:rsid w:val="006D3779"/>
    <w:rsid w:val="006D3E0E"/>
    <w:rsid w:val="006D64C7"/>
    <w:rsid w:val="006D79F5"/>
    <w:rsid w:val="006E3944"/>
    <w:rsid w:val="006E45AC"/>
    <w:rsid w:val="006E5B45"/>
    <w:rsid w:val="006F6815"/>
    <w:rsid w:val="006F7BE1"/>
    <w:rsid w:val="006F7D75"/>
    <w:rsid w:val="007021BA"/>
    <w:rsid w:val="00705CBE"/>
    <w:rsid w:val="00711A76"/>
    <w:rsid w:val="00714EA4"/>
    <w:rsid w:val="0072097A"/>
    <w:rsid w:val="00723AE8"/>
    <w:rsid w:val="007261BB"/>
    <w:rsid w:val="00726309"/>
    <w:rsid w:val="007303F1"/>
    <w:rsid w:val="00730C47"/>
    <w:rsid w:val="00731412"/>
    <w:rsid w:val="00731845"/>
    <w:rsid w:val="00742F75"/>
    <w:rsid w:val="00744C75"/>
    <w:rsid w:val="00744CBF"/>
    <w:rsid w:val="00744F45"/>
    <w:rsid w:val="0075147E"/>
    <w:rsid w:val="007541A5"/>
    <w:rsid w:val="00754E53"/>
    <w:rsid w:val="00761FC3"/>
    <w:rsid w:val="0076351B"/>
    <w:rsid w:val="0076580F"/>
    <w:rsid w:val="007662CF"/>
    <w:rsid w:val="00767A19"/>
    <w:rsid w:val="00770B3D"/>
    <w:rsid w:val="0077371D"/>
    <w:rsid w:val="0077745E"/>
    <w:rsid w:val="00781EF7"/>
    <w:rsid w:val="007853AB"/>
    <w:rsid w:val="007855F2"/>
    <w:rsid w:val="007875F7"/>
    <w:rsid w:val="0078775B"/>
    <w:rsid w:val="00790ED9"/>
    <w:rsid w:val="007978E4"/>
    <w:rsid w:val="007A0EDD"/>
    <w:rsid w:val="007A1AE7"/>
    <w:rsid w:val="007A5112"/>
    <w:rsid w:val="007A710D"/>
    <w:rsid w:val="007B7AA1"/>
    <w:rsid w:val="007C3AB6"/>
    <w:rsid w:val="007C523F"/>
    <w:rsid w:val="007D042F"/>
    <w:rsid w:val="007D45E8"/>
    <w:rsid w:val="007D5ACD"/>
    <w:rsid w:val="007E14A6"/>
    <w:rsid w:val="007E37CB"/>
    <w:rsid w:val="007E3DFC"/>
    <w:rsid w:val="007E6286"/>
    <w:rsid w:val="007E731D"/>
    <w:rsid w:val="007F00EA"/>
    <w:rsid w:val="007F29CC"/>
    <w:rsid w:val="007F3766"/>
    <w:rsid w:val="007F402C"/>
    <w:rsid w:val="007F45D3"/>
    <w:rsid w:val="00801DBC"/>
    <w:rsid w:val="00804C89"/>
    <w:rsid w:val="00805BAE"/>
    <w:rsid w:val="00812D58"/>
    <w:rsid w:val="008137A6"/>
    <w:rsid w:val="008209C9"/>
    <w:rsid w:val="00822E39"/>
    <w:rsid w:val="00827DC4"/>
    <w:rsid w:val="00832B4E"/>
    <w:rsid w:val="00833836"/>
    <w:rsid w:val="00833F73"/>
    <w:rsid w:val="0083611F"/>
    <w:rsid w:val="00836193"/>
    <w:rsid w:val="00837B6D"/>
    <w:rsid w:val="0084346E"/>
    <w:rsid w:val="00844D36"/>
    <w:rsid w:val="008549D4"/>
    <w:rsid w:val="008569E5"/>
    <w:rsid w:val="00863868"/>
    <w:rsid w:val="00866042"/>
    <w:rsid w:val="008668C2"/>
    <w:rsid w:val="00867E5D"/>
    <w:rsid w:val="00870A4A"/>
    <w:rsid w:val="00874A01"/>
    <w:rsid w:val="00877A4E"/>
    <w:rsid w:val="0088035D"/>
    <w:rsid w:val="008824F4"/>
    <w:rsid w:val="00885B75"/>
    <w:rsid w:val="0088615C"/>
    <w:rsid w:val="0088763E"/>
    <w:rsid w:val="00891B53"/>
    <w:rsid w:val="008A0473"/>
    <w:rsid w:val="008A17A0"/>
    <w:rsid w:val="008A26B4"/>
    <w:rsid w:val="008A2BCA"/>
    <w:rsid w:val="008A2DB8"/>
    <w:rsid w:val="008A7619"/>
    <w:rsid w:val="008B02F6"/>
    <w:rsid w:val="008B561B"/>
    <w:rsid w:val="008B564E"/>
    <w:rsid w:val="008B5974"/>
    <w:rsid w:val="008C4E3F"/>
    <w:rsid w:val="008D0E83"/>
    <w:rsid w:val="008D2369"/>
    <w:rsid w:val="008D5B3B"/>
    <w:rsid w:val="008D6093"/>
    <w:rsid w:val="008D77AD"/>
    <w:rsid w:val="008E16A8"/>
    <w:rsid w:val="008E23EE"/>
    <w:rsid w:val="008E2E94"/>
    <w:rsid w:val="008E3441"/>
    <w:rsid w:val="008E781A"/>
    <w:rsid w:val="008F2912"/>
    <w:rsid w:val="008F460C"/>
    <w:rsid w:val="00902772"/>
    <w:rsid w:val="009102E2"/>
    <w:rsid w:val="00912A32"/>
    <w:rsid w:val="00912BC9"/>
    <w:rsid w:val="009141FE"/>
    <w:rsid w:val="00917F60"/>
    <w:rsid w:val="00920B9A"/>
    <w:rsid w:val="00923048"/>
    <w:rsid w:val="00926D62"/>
    <w:rsid w:val="00931C0D"/>
    <w:rsid w:val="00932411"/>
    <w:rsid w:val="00933A3C"/>
    <w:rsid w:val="00936372"/>
    <w:rsid w:val="00940FA8"/>
    <w:rsid w:val="00942A06"/>
    <w:rsid w:val="009435A6"/>
    <w:rsid w:val="00943CF4"/>
    <w:rsid w:val="009451B4"/>
    <w:rsid w:val="009454F6"/>
    <w:rsid w:val="00953D2F"/>
    <w:rsid w:val="00956942"/>
    <w:rsid w:val="00956A3F"/>
    <w:rsid w:val="00957305"/>
    <w:rsid w:val="009577EB"/>
    <w:rsid w:val="0096734A"/>
    <w:rsid w:val="0096783D"/>
    <w:rsid w:val="0097007C"/>
    <w:rsid w:val="00970ACD"/>
    <w:rsid w:val="00972C80"/>
    <w:rsid w:val="00973B87"/>
    <w:rsid w:val="009742E9"/>
    <w:rsid w:val="00975417"/>
    <w:rsid w:val="00976D0B"/>
    <w:rsid w:val="009779F7"/>
    <w:rsid w:val="009925E0"/>
    <w:rsid w:val="00992AE0"/>
    <w:rsid w:val="009971F7"/>
    <w:rsid w:val="009A0134"/>
    <w:rsid w:val="009A1C63"/>
    <w:rsid w:val="009A2742"/>
    <w:rsid w:val="009B5193"/>
    <w:rsid w:val="009C7257"/>
    <w:rsid w:val="009D32DD"/>
    <w:rsid w:val="009D50C0"/>
    <w:rsid w:val="009E1164"/>
    <w:rsid w:val="009E1688"/>
    <w:rsid w:val="009E2964"/>
    <w:rsid w:val="009E78D3"/>
    <w:rsid w:val="009E795B"/>
    <w:rsid w:val="009F3F3C"/>
    <w:rsid w:val="009F619C"/>
    <w:rsid w:val="009F7764"/>
    <w:rsid w:val="00A05A0A"/>
    <w:rsid w:val="00A06138"/>
    <w:rsid w:val="00A070EC"/>
    <w:rsid w:val="00A14B50"/>
    <w:rsid w:val="00A22286"/>
    <w:rsid w:val="00A23F5C"/>
    <w:rsid w:val="00A268A4"/>
    <w:rsid w:val="00A34BE2"/>
    <w:rsid w:val="00A34C5E"/>
    <w:rsid w:val="00A42DAB"/>
    <w:rsid w:val="00A443C3"/>
    <w:rsid w:val="00A504D6"/>
    <w:rsid w:val="00A522C3"/>
    <w:rsid w:val="00A55519"/>
    <w:rsid w:val="00A578F3"/>
    <w:rsid w:val="00A57EDC"/>
    <w:rsid w:val="00A6138C"/>
    <w:rsid w:val="00A64F2D"/>
    <w:rsid w:val="00A70D6A"/>
    <w:rsid w:val="00A764CC"/>
    <w:rsid w:val="00A76A51"/>
    <w:rsid w:val="00A80D6E"/>
    <w:rsid w:val="00A919B3"/>
    <w:rsid w:val="00A93F72"/>
    <w:rsid w:val="00A94C7B"/>
    <w:rsid w:val="00A97EB8"/>
    <w:rsid w:val="00AA1BFB"/>
    <w:rsid w:val="00AA6560"/>
    <w:rsid w:val="00AB4220"/>
    <w:rsid w:val="00AB44A8"/>
    <w:rsid w:val="00AB4566"/>
    <w:rsid w:val="00AB4A4D"/>
    <w:rsid w:val="00AB52C3"/>
    <w:rsid w:val="00AE6B97"/>
    <w:rsid w:val="00AE7064"/>
    <w:rsid w:val="00AF2CA1"/>
    <w:rsid w:val="00B04698"/>
    <w:rsid w:val="00B06153"/>
    <w:rsid w:val="00B06B93"/>
    <w:rsid w:val="00B111E9"/>
    <w:rsid w:val="00B123B8"/>
    <w:rsid w:val="00B13502"/>
    <w:rsid w:val="00B15957"/>
    <w:rsid w:val="00B2574E"/>
    <w:rsid w:val="00B27281"/>
    <w:rsid w:val="00B40E15"/>
    <w:rsid w:val="00B41534"/>
    <w:rsid w:val="00B44132"/>
    <w:rsid w:val="00B4450B"/>
    <w:rsid w:val="00B45C31"/>
    <w:rsid w:val="00B5146C"/>
    <w:rsid w:val="00B51585"/>
    <w:rsid w:val="00B61BBB"/>
    <w:rsid w:val="00B63DBE"/>
    <w:rsid w:val="00B651F1"/>
    <w:rsid w:val="00B65672"/>
    <w:rsid w:val="00B83F7F"/>
    <w:rsid w:val="00B84C3F"/>
    <w:rsid w:val="00B8654C"/>
    <w:rsid w:val="00B86C95"/>
    <w:rsid w:val="00B9076B"/>
    <w:rsid w:val="00B93566"/>
    <w:rsid w:val="00BA1923"/>
    <w:rsid w:val="00BA3C5F"/>
    <w:rsid w:val="00BA589C"/>
    <w:rsid w:val="00BA6772"/>
    <w:rsid w:val="00BA7D24"/>
    <w:rsid w:val="00BA7D39"/>
    <w:rsid w:val="00BB0551"/>
    <w:rsid w:val="00BB3B3C"/>
    <w:rsid w:val="00BC1645"/>
    <w:rsid w:val="00BC1AAA"/>
    <w:rsid w:val="00BC3D35"/>
    <w:rsid w:val="00BC511A"/>
    <w:rsid w:val="00BC6A90"/>
    <w:rsid w:val="00BC6CDE"/>
    <w:rsid w:val="00BC744D"/>
    <w:rsid w:val="00BD4019"/>
    <w:rsid w:val="00BD5C8A"/>
    <w:rsid w:val="00BD7A11"/>
    <w:rsid w:val="00BD7C76"/>
    <w:rsid w:val="00BE7AE1"/>
    <w:rsid w:val="00BF10A0"/>
    <w:rsid w:val="00BF11AD"/>
    <w:rsid w:val="00BF564D"/>
    <w:rsid w:val="00C04622"/>
    <w:rsid w:val="00C148B2"/>
    <w:rsid w:val="00C14A04"/>
    <w:rsid w:val="00C159F1"/>
    <w:rsid w:val="00C17E31"/>
    <w:rsid w:val="00C200D2"/>
    <w:rsid w:val="00C20783"/>
    <w:rsid w:val="00C22E53"/>
    <w:rsid w:val="00C23BC7"/>
    <w:rsid w:val="00C261B6"/>
    <w:rsid w:val="00C27293"/>
    <w:rsid w:val="00C278A9"/>
    <w:rsid w:val="00C312C2"/>
    <w:rsid w:val="00C34300"/>
    <w:rsid w:val="00C37B8D"/>
    <w:rsid w:val="00C5065D"/>
    <w:rsid w:val="00C57576"/>
    <w:rsid w:val="00C61FA7"/>
    <w:rsid w:val="00C65C65"/>
    <w:rsid w:val="00C70306"/>
    <w:rsid w:val="00C70617"/>
    <w:rsid w:val="00C7344F"/>
    <w:rsid w:val="00C749AA"/>
    <w:rsid w:val="00C75DF5"/>
    <w:rsid w:val="00C76010"/>
    <w:rsid w:val="00C779F9"/>
    <w:rsid w:val="00C84829"/>
    <w:rsid w:val="00C861C8"/>
    <w:rsid w:val="00C86358"/>
    <w:rsid w:val="00C86375"/>
    <w:rsid w:val="00C87870"/>
    <w:rsid w:val="00C901E9"/>
    <w:rsid w:val="00C90786"/>
    <w:rsid w:val="00C93B3C"/>
    <w:rsid w:val="00C93D3E"/>
    <w:rsid w:val="00C94BEF"/>
    <w:rsid w:val="00C976FC"/>
    <w:rsid w:val="00C97E89"/>
    <w:rsid w:val="00CA4696"/>
    <w:rsid w:val="00CA5E86"/>
    <w:rsid w:val="00CA6DCC"/>
    <w:rsid w:val="00CB281D"/>
    <w:rsid w:val="00CB61B4"/>
    <w:rsid w:val="00CB67EC"/>
    <w:rsid w:val="00CC0F50"/>
    <w:rsid w:val="00CC4128"/>
    <w:rsid w:val="00CC7212"/>
    <w:rsid w:val="00CD21AA"/>
    <w:rsid w:val="00CD2FEA"/>
    <w:rsid w:val="00CE0812"/>
    <w:rsid w:val="00CE3C6A"/>
    <w:rsid w:val="00CE4932"/>
    <w:rsid w:val="00CF2C55"/>
    <w:rsid w:val="00CF4444"/>
    <w:rsid w:val="00CF46DE"/>
    <w:rsid w:val="00CF50C1"/>
    <w:rsid w:val="00CF5215"/>
    <w:rsid w:val="00CF648B"/>
    <w:rsid w:val="00CF740F"/>
    <w:rsid w:val="00D03159"/>
    <w:rsid w:val="00D045DB"/>
    <w:rsid w:val="00D0709D"/>
    <w:rsid w:val="00D1075E"/>
    <w:rsid w:val="00D1201A"/>
    <w:rsid w:val="00D12079"/>
    <w:rsid w:val="00D12EF2"/>
    <w:rsid w:val="00D154F7"/>
    <w:rsid w:val="00D200B4"/>
    <w:rsid w:val="00D2509B"/>
    <w:rsid w:val="00D257AA"/>
    <w:rsid w:val="00D27983"/>
    <w:rsid w:val="00D326BC"/>
    <w:rsid w:val="00D45B2F"/>
    <w:rsid w:val="00D47760"/>
    <w:rsid w:val="00D5167E"/>
    <w:rsid w:val="00D6159B"/>
    <w:rsid w:val="00D64F14"/>
    <w:rsid w:val="00D65695"/>
    <w:rsid w:val="00D67F0C"/>
    <w:rsid w:val="00D75474"/>
    <w:rsid w:val="00D763E8"/>
    <w:rsid w:val="00D76FC5"/>
    <w:rsid w:val="00D80D13"/>
    <w:rsid w:val="00D81CD7"/>
    <w:rsid w:val="00D820E1"/>
    <w:rsid w:val="00D85F1A"/>
    <w:rsid w:val="00D864A6"/>
    <w:rsid w:val="00D865A3"/>
    <w:rsid w:val="00D90FEF"/>
    <w:rsid w:val="00DA5390"/>
    <w:rsid w:val="00DA70F1"/>
    <w:rsid w:val="00DA77F2"/>
    <w:rsid w:val="00DC2CE1"/>
    <w:rsid w:val="00DD0792"/>
    <w:rsid w:val="00DD29AD"/>
    <w:rsid w:val="00DD4EC8"/>
    <w:rsid w:val="00DD60AA"/>
    <w:rsid w:val="00DE10D0"/>
    <w:rsid w:val="00DE25E2"/>
    <w:rsid w:val="00DF11A6"/>
    <w:rsid w:val="00DF15CA"/>
    <w:rsid w:val="00DF1B6A"/>
    <w:rsid w:val="00DF250F"/>
    <w:rsid w:val="00E0429E"/>
    <w:rsid w:val="00E061F8"/>
    <w:rsid w:val="00E12F2D"/>
    <w:rsid w:val="00E168C1"/>
    <w:rsid w:val="00E22002"/>
    <w:rsid w:val="00E228A5"/>
    <w:rsid w:val="00E24A8D"/>
    <w:rsid w:val="00E33746"/>
    <w:rsid w:val="00E341DF"/>
    <w:rsid w:val="00E45D37"/>
    <w:rsid w:val="00E46278"/>
    <w:rsid w:val="00E47884"/>
    <w:rsid w:val="00E5024A"/>
    <w:rsid w:val="00E50B88"/>
    <w:rsid w:val="00E54788"/>
    <w:rsid w:val="00E55874"/>
    <w:rsid w:val="00E600EC"/>
    <w:rsid w:val="00E60125"/>
    <w:rsid w:val="00E62B75"/>
    <w:rsid w:val="00E70ADB"/>
    <w:rsid w:val="00E764C2"/>
    <w:rsid w:val="00E7714B"/>
    <w:rsid w:val="00E8127B"/>
    <w:rsid w:val="00E841A7"/>
    <w:rsid w:val="00E856B9"/>
    <w:rsid w:val="00E92930"/>
    <w:rsid w:val="00E929FC"/>
    <w:rsid w:val="00E94892"/>
    <w:rsid w:val="00EA2987"/>
    <w:rsid w:val="00EA2BD1"/>
    <w:rsid w:val="00EA4A1C"/>
    <w:rsid w:val="00EB0028"/>
    <w:rsid w:val="00EB357B"/>
    <w:rsid w:val="00EB4D1A"/>
    <w:rsid w:val="00EB5847"/>
    <w:rsid w:val="00EC25C3"/>
    <w:rsid w:val="00EC6D32"/>
    <w:rsid w:val="00ED022C"/>
    <w:rsid w:val="00ED231D"/>
    <w:rsid w:val="00EE1F53"/>
    <w:rsid w:val="00EE61C1"/>
    <w:rsid w:val="00EE71B4"/>
    <w:rsid w:val="00EF0187"/>
    <w:rsid w:val="00EF32CA"/>
    <w:rsid w:val="00EF34E7"/>
    <w:rsid w:val="00EF354A"/>
    <w:rsid w:val="00F00015"/>
    <w:rsid w:val="00F052FF"/>
    <w:rsid w:val="00F07EDF"/>
    <w:rsid w:val="00F1190B"/>
    <w:rsid w:val="00F16F3F"/>
    <w:rsid w:val="00F259D8"/>
    <w:rsid w:val="00F34765"/>
    <w:rsid w:val="00F35F3D"/>
    <w:rsid w:val="00F36970"/>
    <w:rsid w:val="00F40697"/>
    <w:rsid w:val="00F42D78"/>
    <w:rsid w:val="00F43ABB"/>
    <w:rsid w:val="00F44F24"/>
    <w:rsid w:val="00F45292"/>
    <w:rsid w:val="00F47C59"/>
    <w:rsid w:val="00F504EC"/>
    <w:rsid w:val="00F5242A"/>
    <w:rsid w:val="00F5280C"/>
    <w:rsid w:val="00F531B3"/>
    <w:rsid w:val="00F54905"/>
    <w:rsid w:val="00F556A7"/>
    <w:rsid w:val="00F55FC2"/>
    <w:rsid w:val="00F5727A"/>
    <w:rsid w:val="00F572CD"/>
    <w:rsid w:val="00F635A8"/>
    <w:rsid w:val="00F65F07"/>
    <w:rsid w:val="00F74994"/>
    <w:rsid w:val="00F8566A"/>
    <w:rsid w:val="00F86B4C"/>
    <w:rsid w:val="00F92A94"/>
    <w:rsid w:val="00F93336"/>
    <w:rsid w:val="00F93382"/>
    <w:rsid w:val="00F94AEC"/>
    <w:rsid w:val="00F96B83"/>
    <w:rsid w:val="00FA0A5C"/>
    <w:rsid w:val="00FA7F71"/>
    <w:rsid w:val="00FB05C9"/>
    <w:rsid w:val="00FB35BB"/>
    <w:rsid w:val="00FB5249"/>
    <w:rsid w:val="00FB6F5B"/>
    <w:rsid w:val="00FC0D8C"/>
    <w:rsid w:val="00FC1628"/>
    <w:rsid w:val="00FC393A"/>
    <w:rsid w:val="00FC45B6"/>
    <w:rsid w:val="00FD3AC9"/>
    <w:rsid w:val="00FD6D90"/>
    <w:rsid w:val="00FE0638"/>
    <w:rsid w:val="00FE1270"/>
    <w:rsid w:val="00FE18F6"/>
    <w:rsid w:val="00FE39E8"/>
    <w:rsid w:val="00FE5605"/>
    <w:rsid w:val="00FE5E56"/>
    <w:rsid w:val="00FE7227"/>
    <w:rsid w:val="00FF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57B"/>
    <w:rPr>
      <w:sz w:val="24"/>
      <w:szCs w:val="24"/>
    </w:rPr>
  </w:style>
  <w:style w:type="paragraph" w:styleId="Heading1">
    <w:name w:val="heading 1"/>
    <w:basedOn w:val="Normal"/>
    <w:next w:val="Normal"/>
    <w:qFormat/>
    <w:rsid w:val="00EB357B"/>
    <w:pPr>
      <w:keepNext/>
      <w:outlineLvl w:val="0"/>
    </w:pPr>
    <w:rPr>
      <w:b/>
      <w:bCs/>
    </w:rPr>
  </w:style>
  <w:style w:type="paragraph" w:styleId="Heading2">
    <w:name w:val="heading 2"/>
    <w:basedOn w:val="Normal"/>
    <w:next w:val="Normal"/>
    <w:qFormat/>
    <w:rsid w:val="00EB357B"/>
    <w:pPr>
      <w:keepNext/>
      <w:jc w:val="center"/>
      <w:outlineLvl w:val="1"/>
    </w:pPr>
    <w:rPr>
      <w:b/>
      <w:bCs/>
    </w:rPr>
  </w:style>
  <w:style w:type="paragraph" w:styleId="Heading3">
    <w:name w:val="heading 3"/>
    <w:basedOn w:val="Normal"/>
    <w:next w:val="Normal"/>
    <w:qFormat/>
    <w:rsid w:val="00EB357B"/>
    <w:pPr>
      <w:keepNext/>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B357B"/>
    <w:rPr>
      <w:b/>
      <w:bCs/>
    </w:rPr>
  </w:style>
  <w:style w:type="paragraph" w:styleId="HTMLPreformatted">
    <w:name w:val="HTML Preformatted"/>
    <w:basedOn w:val="Normal"/>
    <w:rsid w:val="00EB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rsid w:val="00EB357B"/>
    <w:rPr>
      <w:b/>
      <w:bCs/>
    </w:rPr>
  </w:style>
  <w:style w:type="paragraph" w:styleId="BodyText2">
    <w:name w:val="Body Text 2"/>
    <w:basedOn w:val="Normal"/>
    <w:rsid w:val="00EB357B"/>
    <w:rPr>
      <w:color w:val="FF0000"/>
    </w:rPr>
  </w:style>
  <w:style w:type="paragraph" w:styleId="BodyTextIndent3">
    <w:name w:val="Body Text Indent 3"/>
    <w:basedOn w:val="Normal"/>
    <w:rsid w:val="00F86B4C"/>
    <w:pPr>
      <w:spacing w:after="120"/>
      <w:ind w:left="360"/>
    </w:pPr>
    <w:rPr>
      <w:sz w:val="16"/>
      <w:szCs w:val="16"/>
    </w:rPr>
  </w:style>
  <w:style w:type="paragraph" w:styleId="Footer">
    <w:name w:val="footer"/>
    <w:basedOn w:val="Normal"/>
    <w:rsid w:val="00670C83"/>
    <w:pPr>
      <w:tabs>
        <w:tab w:val="center" w:pos="4320"/>
        <w:tab w:val="right" w:pos="8640"/>
      </w:tabs>
    </w:pPr>
  </w:style>
  <w:style w:type="character" w:styleId="PageNumber">
    <w:name w:val="page number"/>
    <w:basedOn w:val="DefaultParagraphFont"/>
    <w:rsid w:val="00670C83"/>
  </w:style>
  <w:style w:type="paragraph" w:styleId="DocumentMap">
    <w:name w:val="Document Map"/>
    <w:basedOn w:val="Normal"/>
    <w:semiHidden/>
    <w:rsid w:val="004557C6"/>
    <w:pPr>
      <w:shd w:val="clear" w:color="auto" w:fill="000080"/>
    </w:pPr>
    <w:rPr>
      <w:rFonts w:ascii="Tahoma" w:hAnsi="Tahoma" w:cs="Tahoma"/>
      <w:sz w:val="20"/>
      <w:szCs w:val="20"/>
    </w:rPr>
  </w:style>
  <w:style w:type="paragraph" w:styleId="BodyTextIndent">
    <w:name w:val="Body Text Indent"/>
    <w:basedOn w:val="Normal"/>
    <w:rsid w:val="00B04698"/>
    <w:pPr>
      <w:spacing w:after="120"/>
      <w:ind w:left="360"/>
    </w:pPr>
  </w:style>
  <w:style w:type="paragraph" w:styleId="BalloonText">
    <w:name w:val="Balloon Text"/>
    <w:basedOn w:val="Normal"/>
    <w:semiHidden/>
    <w:rsid w:val="00C14A04"/>
    <w:rPr>
      <w:rFonts w:ascii="Tahoma" w:hAnsi="Tahoma" w:cs="Tahoma"/>
      <w:sz w:val="16"/>
      <w:szCs w:val="16"/>
    </w:rPr>
  </w:style>
  <w:style w:type="paragraph" w:styleId="Header">
    <w:name w:val="header"/>
    <w:basedOn w:val="Normal"/>
    <w:rsid w:val="00C14A04"/>
    <w:pPr>
      <w:tabs>
        <w:tab w:val="center" w:pos="4320"/>
        <w:tab w:val="right" w:pos="8640"/>
      </w:tabs>
    </w:pPr>
  </w:style>
  <w:style w:type="table" w:styleId="TableGrid">
    <w:name w:val="Table Grid"/>
    <w:basedOn w:val="TableNormal"/>
    <w:uiPriority w:val="59"/>
    <w:rsid w:val="00BA6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3868"/>
    <w:pPr>
      <w:spacing w:before="100" w:beforeAutospacing="1" w:after="100" w:afterAutospacing="1"/>
    </w:pPr>
    <w:rPr>
      <w:rFonts w:ascii="Verdana" w:hAnsi="Verdana"/>
      <w:color w:val="000000"/>
      <w:sz w:val="17"/>
      <w:szCs w:val="17"/>
    </w:rPr>
  </w:style>
  <w:style w:type="character" w:styleId="CommentReference">
    <w:name w:val="annotation reference"/>
    <w:basedOn w:val="DefaultParagraphFont"/>
    <w:uiPriority w:val="99"/>
    <w:rsid w:val="00F36970"/>
    <w:rPr>
      <w:sz w:val="16"/>
      <w:szCs w:val="16"/>
    </w:rPr>
  </w:style>
  <w:style w:type="paragraph" w:styleId="CommentText">
    <w:name w:val="annotation text"/>
    <w:basedOn w:val="Normal"/>
    <w:link w:val="CommentTextChar"/>
    <w:uiPriority w:val="99"/>
    <w:rsid w:val="00F36970"/>
    <w:rPr>
      <w:sz w:val="20"/>
      <w:szCs w:val="20"/>
    </w:rPr>
  </w:style>
  <w:style w:type="character" w:customStyle="1" w:styleId="CommentTextChar">
    <w:name w:val="Comment Text Char"/>
    <w:basedOn w:val="DefaultParagraphFont"/>
    <w:link w:val="CommentText"/>
    <w:uiPriority w:val="99"/>
    <w:rsid w:val="00F36970"/>
  </w:style>
  <w:style w:type="paragraph" w:styleId="CommentSubject">
    <w:name w:val="annotation subject"/>
    <w:basedOn w:val="CommentText"/>
    <w:next w:val="CommentText"/>
    <w:link w:val="CommentSubjectChar"/>
    <w:rsid w:val="00F36970"/>
    <w:rPr>
      <w:b/>
      <w:bCs/>
    </w:rPr>
  </w:style>
  <w:style w:type="character" w:customStyle="1" w:styleId="CommentSubjectChar">
    <w:name w:val="Comment Subject Char"/>
    <w:basedOn w:val="CommentTextChar"/>
    <w:link w:val="CommentSubject"/>
    <w:rsid w:val="00F36970"/>
    <w:rPr>
      <w:b/>
      <w:bCs/>
    </w:rPr>
  </w:style>
  <w:style w:type="character" w:styleId="Hyperlink">
    <w:name w:val="Hyperlink"/>
    <w:basedOn w:val="DefaultParagraphFont"/>
    <w:rsid w:val="00761FC3"/>
    <w:rPr>
      <w:color w:val="0000FF"/>
      <w:u w:val="single"/>
    </w:rPr>
  </w:style>
  <w:style w:type="character" w:styleId="FollowedHyperlink">
    <w:name w:val="FollowedHyperlink"/>
    <w:basedOn w:val="DefaultParagraphFont"/>
    <w:rsid w:val="00761FC3"/>
    <w:rPr>
      <w:color w:val="800080"/>
      <w:u w:val="single"/>
    </w:rPr>
  </w:style>
  <w:style w:type="paragraph" w:customStyle="1" w:styleId="p5">
    <w:name w:val="p5"/>
    <w:basedOn w:val="Normal"/>
    <w:rsid w:val="005A03A7"/>
    <w:pPr>
      <w:widowControl w:val="0"/>
      <w:tabs>
        <w:tab w:val="left" w:pos="663"/>
      </w:tabs>
      <w:autoSpaceDE w:val="0"/>
      <w:autoSpaceDN w:val="0"/>
      <w:adjustRightInd w:val="0"/>
      <w:ind w:left="777" w:hanging="663"/>
    </w:pPr>
  </w:style>
  <w:style w:type="paragraph" w:styleId="FootnoteText">
    <w:name w:val="footnote text"/>
    <w:basedOn w:val="Normal"/>
    <w:link w:val="FootnoteTextChar"/>
    <w:rsid w:val="007541A5"/>
    <w:pPr>
      <w:widowControl w:val="0"/>
      <w:overflowPunct w:val="0"/>
      <w:autoSpaceDE w:val="0"/>
      <w:autoSpaceDN w:val="0"/>
      <w:adjustRightInd w:val="0"/>
      <w:textAlignment w:val="baseline"/>
    </w:pPr>
    <w:rPr>
      <w:rFonts w:ascii="Courier" w:hAnsi="Courier"/>
      <w:szCs w:val="20"/>
    </w:rPr>
  </w:style>
  <w:style w:type="character" w:customStyle="1" w:styleId="FootnoteTextChar">
    <w:name w:val="Footnote Text Char"/>
    <w:basedOn w:val="DefaultParagraphFont"/>
    <w:link w:val="FootnoteText"/>
    <w:rsid w:val="007541A5"/>
    <w:rPr>
      <w:rFonts w:ascii="Courier" w:hAnsi="Courier"/>
      <w:sz w:val="24"/>
    </w:rPr>
  </w:style>
  <w:style w:type="character" w:customStyle="1" w:styleId="volume">
    <w:name w:val="volume"/>
    <w:basedOn w:val="DefaultParagraphFont"/>
    <w:rsid w:val="003A6B0A"/>
  </w:style>
  <w:style w:type="character" w:customStyle="1" w:styleId="page">
    <w:name w:val="page"/>
    <w:basedOn w:val="DefaultParagraphFont"/>
    <w:rsid w:val="003A6B0A"/>
  </w:style>
  <w:style w:type="paragraph" w:styleId="ListParagraph">
    <w:name w:val="List Paragraph"/>
    <w:basedOn w:val="Normal"/>
    <w:uiPriority w:val="34"/>
    <w:qFormat/>
    <w:rsid w:val="00D865A3"/>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524B4D"/>
    <w:pPr>
      <w:autoSpaceDE w:val="0"/>
      <w:autoSpaceDN w:val="0"/>
      <w:adjustRightInd w:val="0"/>
    </w:pPr>
    <w:rPr>
      <w:rFonts w:eastAsia="Calibri"/>
      <w:color w:val="000000"/>
      <w:sz w:val="24"/>
      <w:szCs w:val="24"/>
    </w:rPr>
  </w:style>
  <w:style w:type="character" w:styleId="FootnoteReference">
    <w:name w:val="footnote reference"/>
    <w:basedOn w:val="DefaultParagraphFont"/>
    <w:rsid w:val="00241B29"/>
    <w:rPr>
      <w:vertAlign w:val="superscript"/>
    </w:rPr>
  </w:style>
  <w:style w:type="paragraph" w:customStyle="1" w:styleId="p6">
    <w:name w:val="p6"/>
    <w:basedOn w:val="Normal"/>
    <w:rsid w:val="00F259D8"/>
    <w:pPr>
      <w:widowControl w:val="0"/>
      <w:autoSpaceDE w:val="0"/>
      <w:autoSpaceDN w:val="0"/>
      <w:adjustRightInd w:val="0"/>
      <w:ind w:left="77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57B"/>
    <w:rPr>
      <w:sz w:val="24"/>
      <w:szCs w:val="24"/>
    </w:rPr>
  </w:style>
  <w:style w:type="paragraph" w:styleId="Heading1">
    <w:name w:val="heading 1"/>
    <w:basedOn w:val="Normal"/>
    <w:next w:val="Normal"/>
    <w:qFormat/>
    <w:rsid w:val="00EB357B"/>
    <w:pPr>
      <w:keepNext/>
      <w:outlineLvl w:val="0"/>
    </w:pPr>
    <w:rPr>
      <w:b/>
      <w:bCs/>
    </w:rPr>
  </w:style>
  <w:style w:type="paragraph" w:styleId="Heading2">
    <w:name w:val="heading 2"/>
    <w:basedOn w:val="Normal"/>
    <w:next w:val="Normal"/>
    <w:qFormat/>
    <w:rsid w:val="00EB357B"/>
    <w:pPr>
      <w:keepNext/>
      <w:jc w:val="center"/>
      <w:outlineLvl w:val="1"/>
    </w:pPr>
    <w:rPr>
      <w:b/>
      <w:bCs/>
    </w:rPr>
  </w:style>
  <w:style w:type="paragraph" w:styleId="Heading3">
    <w:name w:val="heading 3"/>
    <w:basedOn w:val="Normal"/>
    <w:next w:val="Normal"/>
    <w:qFormat/>
    <w:rsid w:val="00EB357B"/>
    <w:pPr>
      <w:keepNext/>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B357B"/>
    <w:rPr>
      <w:b/>
      <w:bCs/>
    </w:rPr>
  </w:style>
  <w:style w:type="paragraph" w:styleId="HTMLPreformatted">
    <w:name w:val="HTML Preformatted"/>
    <w:basedOn w:val="Normal"/>
    <w:rsid w:val="00EB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rsid w:val="00EB357B"/>
    <w:rPr>
      <w:b/>
      <w:bCs/>
    </w:rPr>
  </w:style>
  <w:style w:type="paragraph" w:styleId="BodyText2">
    <w:name w:val="Body Text 2"/>
    <w:basedOn w:val="Normal"/>
    <w:rsid w:val="00EB357B"/>
    <w:rPr>
      <w:color w:val="FF0000"/>
    </w:rPr>
  </w:style>
  <w:style w:type="paragraph" w:styleId="BodyTextIndent3">
    <w:name w:val="Body Text Indent 3"/>
    <w:basedOn w:val="Normal"/>
    <w:rsid w:val="00F86B4C"/>
    <w:pPr>
      <w:spacing w:after="120"/>
      <w:ind w:left="360"/>
    </w:pPr>
    <w:rPr>
      <w:sz w:val="16"/>
      <w:szCs w:val="16"/>
    </w:rPr>
  </w:style>
  <w:style w:type="paragraph" w:styleId="Footer">
    <w:name w:val="footer"/>
    <w:basedOn w:val="Normal"/>
    <w:rsid w:val="00670C83"/>
    <w:pPr>
      <w:tabs>
        <w:tab w:val="center" w:pos="4320"/>
        <w:tab w:val="right" w:pos="8640"/>
      </w:tabs>
    </w:pPr>
  </w:style>
  <w:style w:type="character" w:styleId="PageNumber">
    <w:name w:val="page number"/>
    <w:basedOn w:val="DefaultParagraphFont"/>
    <w:rsid w:val="00670C83"/>
  </w:style>
  <w:style w:type="paragraph" w:styleId="DocumentMap">
    <w:name w:val="Document Map"/>
    <w:basedOn w:val="Normal"/>
    <w:semiHidden/>
    <w:rsid w:val="004557C6"/>
    <w:pPr>
      <w:shd w:val="clear" w:color="auto" w:fill="000080"/>
    </w:pPr>
    <w:rPr>
      <w:rFonts w:ascii="Tahoma" w:hAnsi="Tahoma" w:cs="Tahoma"/>
      <w:sz w:val="20"/>
      <w:szCs w:val="20"/>
    </w:rPr>
  </w:style>
  <w:style w:type="paragraph" w:styleId="BodyTextIndent">
    <w:name w:val="Body Text Indent"/>
    <w:basedOn w:val="Normal"/>
    <w:rsid w:val="00B04698"/>
    <w:pPr>
      <w:spacing w:after="120"/>
      <w:ind w:left="360"/>
    </w:pPr>
  </w:style>
  <w:style w:type="paragraph" w:styleId="BalloonText">
    <w:name w:val="Balloon Text"/>
    <w:basedOn w:val="Normal"/>
    <w:semiHidden/>
    <w:rsid w:val="00C14A04"/>
    <w:rPr>
      <w:rFonts w:ascii="Tahoma" w:hAnsi="Tahoma" w:cs="Tahoma"/>
      <w:sz w:val="16"/>
      <w:szCs w:val="16"/>
    </w:rPr>
  </w:style>
  <w:style w:type="paragraph" w:styleId="Header">
    <w:name w:val="header"/>
    <w:basedOn w:val="Normal"/>
    <w:rsid w:val="00C14A04"/>
    <w:pPr>
      <w:tabs>
        <w:tab w:val="center" w:pos="4320"/>
        <w:tab w:val="right" w:pos="8640"/>
      </w:tabs>
    </w:pPr>
  </w:style>
  <w:style w:type="table" w:styleId="TableGrid">
    <w:name w:val="Table Grid"/>
    <w:basedOn w:val="TableNormal"/>
    <w:uiPriority w:val="59"/>
    <w:rsid w:val="00BA6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3868"/>
    <w:pPr>
      <w:spacing w:before="100" w:beforeAutospacing="1" w:after="100" w:afterAutospacing="1"/>
    </w:pPr>
    <w:rPr>
      <w:rFonts w:ascii="Verdana" w:hAnsi="Verdana"/>
      <w:color w:val="000000"/>
      <w:sz w:val="17"/>
      <w:szCs w:val="17"/>
    </w:rPr>
  </w:style>
  <w:style w:type="character" w:styleId="CommentReference">
    <w:name w:val="annotation reference"/>
    <w:basedOn w:val="DefaultParagraphFont"/>
    <w:uiPriority w:val="99"/>
    <w:rsid w:val="00F36970"/>
    <w:rPr>
      <w:sz w:val="16"/>
      <w:szCs w:val="16"/>
    </w:rPr>
  </w:style>
  <w:style w:type="paragraph" w:styleId="CommentText">
    <w:name w:val="annotation text"/>
    <w:basedOn w:val="Normal"/>
    <w:link w:val="CommentTextChar"/>
    <w:uiPriority w:val="99"/>
    <w:rsid w:val="00F36970"/>
    <w:rPr>
      <w:sz w:val="20"/>
      <w:szCs w:val="20"/>
    </w:rPr>
  </w:style>
  <w:style w:type="character" w:customStyle="1" w:styleId="CommentTextChar">
    <w:name w:val="Comment Text Char"/>
    <w:basedOn w:val="DefaultParagraphFont"/>
    <w:link w:val="CommentText"/>
    <w:uiPriority w:val="99"/>
    <w:rsid w:val="00F36970"/>
  </w:style>
  <w:style w:type="paragraph" w:styleId="CommentSubject">
    <w:name w:val="annotation subject"/>
    <w:basedOn w:val="CommentText"/>
    <w:next w:val="CommentText"/>
    <w:link w:val="CommentSubjectChar"/>
    <w:rsid w:val="00F36970"/>
    <w:rPr>
      <w:b/>
      <w:bCs/>
    </w:rPr>
  </w:style>
  <w:style w:type="character" w:customStyle="1" w:styleId="CommentSubjectChar">
    <w:name w:val="Comment Subject Char"/>
    <w:basedOn w:val="CommentTextChar"/>
    <w:link w:val="CommentSubject"/>
    <w:rsid w:val="00F36970"/>
    <w:rPr>
      <w:b/>
      <w:bCs/>
    </w:rPr>
  </w:style>
  <w:style w:type="character" w:styleId="Hyperlink">
    <w:name w:val="Hyperlink"/>
    <w:basedOn w:val="DefaultParagraphFont"/>
    <w:rsid w:val="00761FC3"/>
    <w:rPr>
      <w:color w:val="0000FF"/>
      <w:u w:val="single"/>
    </w:rPr>
  </w:style>
  <w:style w:type="character" w:styleId="FollowedHyperlink">
    <w:name w:val="FollowedHyperlink"/>
    <w:basedOn w:val="DefaultParagraphFont"/>
    <w:rsid w:val="00761FC3"/>
    <w:rPr>
      <w:color w:val="800080"/>
      <w:u w:val="single"/>
    </w:rPr>
  </w:style>
  <w:style w:type="paragraph" w:customStyle="1" w:styleId="p5">
    <w:name w:val="p5"/>
    <w:basedOn w:val="Normal"/>
    <w:rsid w:val="005A03A7"/>
    <w:pPr>
      <w:widowControl w:val="0"/>
      <w:tabs>
        <w:tab w:val="left" w:pos="663"/>
      </w:tabs>
      <w:autoSpaceDE w:val="0"/>
      <w:autoSpaceDN w:val="0"/>
      <w:adjustRightInd w:val="0"/>
      <w:ind w:left="777" w:hanging="663"/>
    </w:pPr>
  </w:style>
  <w:style w:type="paragraph" w:styleId="FootnoteText">
    <w:name w:val="footnote text"/>
    <w:basedOn w:val="Normal"/>
    <w:link w:val="FootnoteTextChar"/>
    <w:rsid w:val="007541A5"/>
    <w:pPr>
      <w:widowControl w:val="0"/>
      <w:overflowPunct w:val="0"/>
      <w:autoSpaceDE w:val="0"/>
      <w:autoSpaceDN w:val="0"/>
      <w:adjustRightInd w:val="0"/>
      <w:textAlignment w:val="baseline"/>
    </w:pPr>
    <w:rPr>
      <w:rFonts w:ascii="Courier" w:hAnsi="Courier"/>
      <w:szCs w:val="20"/>
    </w:rPr>
  </w:style>
  <w:style w:type="character" w:customStyle="1" w:styleId="FootnoteTextChar">
    <w:name w:val="Footnote Text Char"/>
    <w:basedOn w:val="DefaultParagraphFont"/>
    <w:link w:val="FootnoteText"/>
    <w:rsid w:val="007541A5"/>
    <w:rPr>
      <w:rFonts w:ascii="Courier" w:hAnsi="Courier"/>
      <w:sz w:val="24"/>
    </w:rPr>
  </w:style>
  <w:style w:type="character" w:customStyle="1" w:styleId="volume">
    <w:name w:val="volume"/>
    <w:basedOn w:val="DefaultParagraphFont"/>
    <w:rsid w:val="003A6B0A"/>
  </w:style>
  <w:style w:type="character" w:customStyle="1" w:styleId="page">
    <w:name w:val="page"/>
    <w:basedOn w:val="DefaultParagraphFont"/>
    <w:rsid w:val="003A6B0A"/>
  </w:style>
  <w:style w:type="paragraph" w:styleId="ListParagraph">
    <w:name w:val="List Paragraph"/>
    <w:basedOn w:val="Normal"/>
    <w:uiPriority w:val="34"/>
    <w:qFormat/>
    <w:rsid w:val="00D865A3"/>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524B4D"/>
    <w:pPr>
      <w:autoSpaceDE w:val="0"/>
      <w:autoSpaceDN w:val="0"/>
      <w:adjustRightInd w:val="0"/>
    </w:pPr>
    <w:rPr>
      <w:rFonts w:eastAsia="Calibri"/>
      <w:color w:val="000000"/>
      <w:sz w:val="24"/>
      <w:szCs w:val="24"/>
    </w:rPr>
  </w:style>
  <w:style w:type="character" w:styleId="FootnoteReference">
    <w:name w:val="footnote reference"/>
    <w:basedOn w:val="DefaultParagraphFont"/>
    <w:rsid w:val="00241B29"/>
    <w:rPr>
      <w:vertAlign w:val="superscript"/>
    </w:rPr>
  </w:style>
  <w:style w:type="paragraph" w:customStyle="1" w:styleId="p6">
    <w:name w:val="p6"/>
    <w:basedOn w:val="Normal"/>
    <w:rsid w:val="00F259D8"/>
    <w:pPr>
      <w:widowControl w:val="0"/>
      <w:autoSpaceDE w:val="0"/>
      <w:autoSpaceDN w:val="0"/>
      <w:adjustRightInd w:val="0"/>
      <w:ind w:left="7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4309">
      <w:bodyDiv w:val="1"/>
      <w:marLeft w:val="0"/>
      <w:marRight w:val="0"/>
      <w:marTop w:val="0"/>
      <w:marBottom w:val="0"/>
      <w:divBdr>
        <w:top w:val="none" w:sz="0" w:space="0" w:color="auto"/>
        <w:left w:val="none" w:sz="0" w:space="0" w:color="auto"/>
        <w:bottom w:val="none" w:sz="0" w:space="0" w:color="auto"/>
        <w:right w:val="none" w:sz="0" w:space="0" w:color="auto"/>
      </w:divBdr>
    </w:div>
    <w:div w:id="315258881">
      <w:bodyDiv w:val="1"/>
      <w:marLeft w:val="0"/>
      <w:marRight w:val="0"/>
      <w:marTop w:val="0"/>
      <w:marBottom w:val="0"/>
      <w:divBdr>
        <w:top w:val="none" w:sz="0" w:space="0" w:color="auto"/>
        <w:left w:val="none" w:sz="0" w:space="0" w:color="auto"/>
        <w:bottom w:val="none" w:sz="0" w:space="0" w:color="auto"/>
        <w:right w:val="none" w:sz="0" w:space="0" w:color="auto"/>
      </w:divBdr>
    </w:div>
    <w:div w:id="867916699">
      <w:bodyDiv w:val="1"/>
      <w:marLeft w:val="0"/>
      <w:marRight w:val="0"/>
      <w:marTop w:val="0"/>
      <w:marBottom w:val="0"/>
      <w:divBdr>
        <w:top w:val="none" w:sz="0" w:space="0" w:color="auto"/>
        <w:left w:val="none" w:sz="0" w:space="0" w:color="auto"/>
        <w:bottom w:val="none" w:sz="0" w:space="0" w:color="auto"/>
        <w:right w:val="none" w:sz="0" w:space="0" w:color="auto"/>
      </w:divBdr>
    </w:div>
    <w:div w:id="133988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96815-EC28-4D86-A098-F6A94E7B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USDA/FNS</Company>
  <LinksUpToDate>false</LinksUpToDate>
  <CharactersWithSpaces>19714</CharactersWithSpaces>
  <SharedDoc>false</SharedDoc>
  <HLinks>
    <vt:vector size="12" baseType="variant">
      <vt:variant>
        <vt:i4>6029391</vt:i4>
      </vt:variant>
      <vt:variant>
        <vt:i4>3</vt:i4>
      </vt:variant>
      <vt:variant>
        <vt:i4>0</vt:i4>
      </vt:variant>
      <vt:variant>
        <vt:i4>5</vt:i4>
      </vt:variant>
      <vt:variant>
        <vt:lpwstr>http://www.bls.gov/bls/wages.htm</vt:lpwstr>
      </vt:variant>
      <vt:variant>
        <vt:lpwstr/>
      </vt:variant>
      <vt:variant>
        <vt:i4>4390934</vt:i4>
      </vt:variant>
      <vt:variant>
        <vt:i4>0</vt:i4>
      </vt:variant>
      <vt:variant>
        <vt:i4>0</vt:i4>
      </vt:variant>
      <vt:variant>
        <vt:i4>5</vt:i4>
      </vt:variant>
      <vt:variant>
        <vt:lpwstr>http://www.gpo.gov/fdsys/pkg/PLAW-108publ265/pdf/PLAW-108publ265.pdf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Administrator</dc:creator>
  <cp:lastModifiedBy>Lynnette Thomas</cp:lastModifiedBy>
  <cp:revision>2</cp:revision>
  <cp:lastPrinted>2011-12-06T21:26:00Z</cp:lastPrinted>
  <dcterms:created xsi:type="dcterms:W3CDTF">2016-09-23T13:35:00Z</dcterms:created>
  <dcterms:modified xsi:type="dcterms:W3CDTF">2016-09-23T13:35:00Z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-41764041</vt:i4>
  </property>
  <property fmtid="{D5CDD505-2E9C-101B-9397-08002B2CF9AE}" pid="3" name="_NewReviewCycle">
    <vt:lpwstr/>
  </property>
  <property fmtid="{D5CDD505-2E9C-101B-9397-08002B2CF9AE}" pid="4" name="_EmailEntryID">
    <vt:lpwstr>000000002F7DD34916362A499E46BA6A27DC3AA20700A0C6BDD8BE74A843B128A03B63D5291C00000044E798000072D5A61EFFFBCB4B836B52E77D0BFA420000001D441A0000</vt:lpwstr>
  </property>
  <property fmtid="{D5CDD505-2E9C-101B-9397-08002B2CF9AE}" pid="5" name="_EmailStoreID">
    <vt:lpwstr>0000000038A1BB1005E5101AA1BB08002B2A56C20000454D534D44422E444C4C00000000000000001B55FA20AA6611CD9BC800AA002FC45A0C000000464E5345584348414E47453031002F4F3D555344412F4F553D464E5348515452532F636E3D526563697069656E74732F636E3D52477265656E6500</vt:lpwstr>
  </property>
  <property fmtid="{D5CDD505-2E9C-101B-9397-08002B2CF9AE}" pid="6" name="_EmailStoreID0">
    <vt:lpwstr>0000000038A1BB1005E5101AA1BB08002B2A56C20000454D534D44422E444C4C00000000000000001B55FA20AA6611CD9BC800AA002FC45A0C0000006F75746C6F6F6B2E303031462E6D6764322E6D7366742E6E6574002F6F3D4D4D532F6F753D45786368616E67652041646D696E6973747261746976652047726F7570202</vt:lpwstr>
  </property>
  <property fmtid="{D5CDD505-2E9C-101B-9397-08002B2CF9AE}" pid="7" name="_EmailStoreID1">
    <vt:lpwstr>846594449424F484632335350444C54292F636E3D526563697069656E74732F636E3D4761726369612C204A6F6E64306665626434392D663130322D346466352D613737332D31386532653163623935346600</vt:lpwstr>
  </property>
  <property fmtid="{D5CDD505-2E9C-101B-9397-08002B2CF9AE}" pid="8" name="_EmailStoreID2">
    <vt:lpwstr>0000</vt:lpwstr>
  </property>
</Properties>
</file>