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1B" w:rsidRDefault="008B561B" w:rsidP="006B600C">
      <w:pPr>
        <w:spacing w:line="480" w:lineRule="auto"/>
        <w:jc w:val="center"/>
        <w:outlineLvl w:val="0"/>
        <w:rPr>
          <w:b/>
          <w:bCs/>
        </w:rPr>
      </w:pPr>
      <w:bookmarkStart w:id="0" w:name="OLE_LINK3"/>
      <w:bookmarkStart w:id="1" w:name="OLE_LINK4"/>
    </w:p>
    <w:p w:rsidR="008B561B" w:rsidRDefault="008B561B" w:rsidP="006B600C">
      <w:pPr>
        <w:spacing w:line="480" w:lineRule="auto"/>
        <w:jc w:val="center"/>
        <w:outlineLvl w:val="0"/>
        <w:rPr>
          <w:b/>
          <w:bCs/>
        </w:rPr>
      </w:pPr>
    </w:p>
    <w:p w:rsidR="004E1260" w:rsidRDefault="00572257" w:rsidP="006B600C">
      <w:pPr>
        <w:spacing w:line="480" w:lineRule="auto"/>
        <w:jc w:val="center"/>
        <w:outlineLvl w:val="0"/>
        <w:rPr>
          <w:b/>
          <w:bCs/>
        </w:rPr>
      </w:pPr>
      <w:r>
        <w:rPr>
          <w:b/>
          <w:bCs/>
        </w:rPr>
        <w:t>SUPPLEMENTAL NUTRITION ASSISTANCE PROGRAM</w:t>
      </w:r>
      <w:r w:rsidR="004E1260">
        <w:rPr>
          <w:b/>
          <w:bCs/>
        </w:rPr>
        <w:t xml:space="preserve"> (SNAP)</w:t>
      </w:r>
    </w:p>
    <w:p w:rsidR="006B600C" w:rsidRDefault="00572257" w:rsidP="006B600C">
      <w:pPr>
        <w:spacing w:line="480" w:lineRule="auto"/>
        <w:jc w:val="center"/>
        <w:outlineLvl w:val="0"/>
        <w:rPr>
          <w:b/>
          <w:bCs/>
        </w:rPr>
      </w:pPr>
      <w:r>
        <w:rPr>
          <w:b/>
          <w:bCs/>
        </w:rPr>
        <w:t xml:space="preserve"> </w:t>
      </w:r>
      <w:r w:rsidR="006B600C">
        <w:rPr>
          <w:b/>
          <w:bCs/>
        </w:rPr>
        <w:t xml:space="preserve">OMB CLEARANCE NUMBER </w:t>
      </w:r>
      <w:r w:rsidR="00F259D8">
        <w:rPr>
          <w:b/>
          <w:bCs/>
        </w:rPr>
        <w:t>0584-</w:t>
      </w:r>
      <w:r w:rsidR="006B600C">
        <w:rPr>
          <w:b/>
          <w:bCs/>
        </w:rPr>
        <w:t>N</w:t>
      </w:r>
      <w:r w:rsidR="006B600C" w:rsidRPr="009A4246">
        <w:rPr>
          <w:b/>
          <w:bCs/>
        </w:rPr>
        <w:t>ew</w:t>
      </w:r>
    </w:p>
    <w:p w:rsidR="00572257" w:rsidRDefault="00572257" w:rsidP="00274C81">
      <w:pPr>
        <w:spacing w:line="480" w:lineRule="auto"/>
        <w:jc w:val="center"/>
        <w:rPr>
          <w:b/>
        </w:rPr>
      </w:pPr>
      <w:r w:rsidRPr="00572257">
        <w:rPr>
          <w:b/>
        </w:rPr>
        <w:t xml:space="preserve">Employment and Training Performance </w:t>
      </w:r>
    </w:p>
    <w:p w:rsidR="00274C81" w:rsidRPr="00274C81" w:rsidRDefault="00572257" w:rsidP="00274C81">
      <w:pPr>
        <w:spacing w:line="480" w:lineRule="auto"/>
        <w:jc w:val="center"/>
        <w:rPr>
          <w:b/>
        </w:rPr>
      </w:pPr>
      <w:r w:rsidRPr="00572257">
        <w:rPr>
          <w:b/>
        </w:rPr>
        <w:t>Measurement, Monitoring and Reporting Requirements</w:t>
      </w:r>
      <w:r w:rsidRPr="00C3717F">
        <w:rPr>
          <w:b/>
        </w:rPr>
        <w:t xml:space="preserve"> </w:t>
      </w:r>
    </w:p>
    <w:bookmarkEnd w:id="0"/>
    <w:bookmarkEnd w:id="1"/>
    <w:p w:rsidR="00F54905" w:rsidRDefault="00F54905" w:rsidP="00BF11AD">
      <w:pPr>
        <w:spacing w:line="480" w:lineRule="auto"/>
        <w:jc w:val="center"/>
        <w:rPr>
          <w:b/>
        </w:rPr>
      </w:pPr>
      <w:r w:rsidRPr="00A504D6">
        <w:rPr>
          <w:b/>
        </w:rPr>
        <w:t>RIN</w:t>
      </w:r>
      <w:r w:rsidR="00572257">
        <w:rPr>
          <w:b/>
        </w:rPr>
        <w:t xml:space="preserve"> </w:t>
      </w:r>
      <w:r w:rsidR="00F259D8">
        <w:rPr>
          <w:b/>
        </w:rPr>
        <w:t>0584-AE33</w:t>
      </w:r>
      <w:r w:rsidR="00F259D8" w:rsidRPr="00A504D6">
        <w:rPr>
          <w:b/>
        </w:rPr>
        <w:t xml:space="preserve"> </w:t>
      </w:r>
    </w:p>
    <w:p w:rsidR="00675C5D" w:rsidRPr="00675C5D" w:rsidRDefault="00572257" w:rsidP="00BF11AD">
      <w:pPr>
        <w:spacing w:line="480" w:lineRule="auto"/>
        <w:jc w:val="center"/>
        <w:rPr>
          <w:b/>
        </w:rPr>
      </w:pPr>
      <w:r>
        <w:rPr>
          <w:b/>
        </w:rPr>
        <w:t xml:space="preserve">Moira Johnston, </w:t>
      </w:r>
      <w:r w:rsidR="00B65672">
        <w:rPr>
          <w:b/>
        </w:rPr>
        <w:t xml:space="preserve">Director, </w:t>
      </w:r>
    </w:p>
    <w:p w:rsidR="00572257" w:rsidRDefault="00572257" w:rsidP="00572257">
      <w:pPr>
        <w:spacing w:line="480" w:lineRule="auto"/>
        <w:jc w:val="center"/>
        <w:rPr>
          <w:b/>
        </w:rPr>
      </w:pPr>
      <w:r>
        <w:rPr>
          <w:b/>
        </w:rPr>
        <w:t>Office of Employment and Training</w:t>
      </w:r>
    </w:p>
    <w:p w:rsidR="00572257" w:rsidRPr="00675C5D" w:rsidRDefault="00572257" w:rsidP="00572257">
      <w:pPr>
        <w:spacing w:line="480" w:lineRule="auto"/>
        <w:jc w:val="center"/>
        <w:rPr>
          <w:b/>
        </w:rPr>
      </w:pPr>
      <w:r>
        <w:rPr>
          <w:b/>
          <w:bCs/>
        </w:rPr>
        <w:t>Supplemental Nutrition Assistance Program</w:t>
      </w:r>
      <w:r w:rsidRPr="00675C5D">
        <w:rPr>
          <w:b/>
        </w:rPr>
        <w:t xml:space="preserve"> </w:t>
      </w:r>
    </w:p>
    <w:p w:rsidR="00572257" w:rsidRPr="00675C5D" w:rsidRDefault="00572257" w:rsidP="00572257">
      <w:pPr>
        <w:spacing w:line="480" w:lineRule="auto"/>
        <w:jc w:val="center"/>
        <w:rPr>
          <w:b/>
        </w:rPr>
      </w:pPr>
      <w:r w:rsidRPr="00675C5D">
        <w:rPr>
          <w:b/>
        </w:rPr>
        <w:t>Food and Nutrition Service, USDA</w:t>
      </w:r>
    </w:p>
    <w:p w:rsidR="00675C5D" w:rsidRPr="00675C5D" w:rsidRDefault="00675C5D" w:rsidP="00BF11AD">
      <w:pPr>
        <w:spacing w:line="480" w:lineRule="auto"/>
        <w:jc w:val="center"/>
        <w:rPr>
          <w:b/>
        </w:rPr>
      </w:pPr>
      <w:r w:rsidRPr="00675C5D">
        <w:rPr>
          <w:b/>
        </w:rPr>
        <w:t>3101 Park Center Drive</w:t>
      </w:r>
    </w:p>
    <w:p w:rsidR="00675C5D" w:rsidRPr="00675C5D" w:rsidRDefault="00675C5D" w:rsidP="00BF11AD">
      <w:pPr>
        <w:spacing w:line="480" w:lineRule="auto"/>
        <w:jc w:val="center"/>
        <w:rPr>
          <w:b/>
        </w:rPr>
      </w:pPr>
      <w:r w:rsidRPr="00675C5D">
        <w:rPr>
          <w:b/>
        </w:rPr>
        <w:t>Alexandria, VA  22302</w:t>
      </w:r>
    </w:p>
    <w:p w:rsidR="00675C5D" w:rsidRPr="00524B4D" w:rsidRDefault="00675C5D" w:rsidP="00BF11AD">
      <w:pPr>
        <w:spacing w:line="480" w:lineRule="auto"/>
        <w:jc w:val="center"/>
        <w:rPr>
          <w:b/>
        </w:rPr>
      </w:pPr>
      <w:r w:rsidRPr="00675C5D">
        <w:rPr>
          <w:b/>
        </w:rPr>
        <w:t>PH:</w:t>
      </w:r>
      <w:r w:rsidRPr="00675C5D">
        <w:rPr>
          <w:b/>
        </w:rPr>
        <w:tab/>
      </w:r>
      <w:r w:rsidRPr="00524B4D">
        <w:rPr>
          <w:b/>
        </w:rPr>
        <w:t>703-305-</w:t>
      </w:r>
      <w:r w:rsidR="00524B4D" w:rsidRPr="00524B4D">
        <w:rPr>
          <w:b/>
        </w:rPr>
        <w:t>2</w:t>
      </w:r>
      <w:r w:rsidR="00572257">
        <w:rPr>
          <w:b/>
        </w:rPr>
        <w:t>515</w:t>
      </w:r>
    </w:p>
    <w:p w:rsidR="00675C5D" w:rsidRPr="00675C5D" w:rsidRDefault="00572257" w:rsidP="00BF11AD">
      <w:pPr>
        <w:spacing w:line="480" w:lineRule="auto"/>
        <w:jc w:val="center"/>
        <w:rPr>
          <w:b/>
        </w:rPr>
      </w:pPr>
      <w:r>
        <w:rPr>
          <w:b/>
        </w:rPr>
        <w:t>Moira.Johnston</w:t>
      </w:r>
      <w:r w:rsidR="00675C5D" w:rsidRPr="00524B4D">
        <w:rPr>
          <w:b/>
        </w:rPr>
        <w:t>@fns.usda.gov</w:t>
      </w:r>
    </w:p>
    <w:p w:rsidR="0084346E" w:rsidRDefault="00F1190B" w:rsidP="00BF11AD">
      <w:pPr>
        <w:spacing w:line="480" w:lineRule="auto"/>
        <w:outlineLvl w:val="0"/>
        <w:rPr>
          <w:color w:val="000000"/>
        </w:rPr>
      </w:pPr>
      <w:r>
        <w:rPr>
          <w:color w:val="000000"/>
        </w:rPr>
        <w:br w:type="page"/>
      </w:r>
    </w:p>
    <w:p w:rsidR="0077371D" w:rsidRDefault="0077371D" w:rsidP="00CE4932">
      <w:pPr>
        <w:spacing w:line="480" w:lineRule="auto"/>
        <w:rPr>
          <w:b/>
          <w:bCs/>
          <w:color w:val="000000"/>
        </w:rPr>
      </w:pPr>
      <w:r w:rsidRPr="007021BA">
        <w:rPr>
          <w:b/>
          <w:bCs/>
          <w:color w:val="000000"/>
        </w:rPr>
        <w:lastRenderedPageBreak/>
        <w:t>1</w:t>
      </w:r>
      <w:r w:rsidR="003C3770" w:rsidRPr="007021BA">
        <w:rPr>
          <w:b/>
          <w:bCs/>
          <w:color w:val="000000"/>
        </w:rPr>
        <w:t xml:space="preserve">.  </w:t>
      </w:r>
      <w:r w:rsidR="00744CBF" w:rsidRPr="007021BA">
        <w:rPr>
          <w:b/>
          <w:bCs/>
          <w:color w:val="000000"/>
        </w:rPr>
        <w:t>Explain the circumstances that make the collection of information necessary</w:t>
      </w:r>
      <w:proofErr w:type="gramStart"/>
      <w:r w:rsidR="00744CBF" w:rsidRPr="007021BA">
        <w:rPr>
          <w:b/>
          <w:bCs/>
          <w:color w:val="000000"/>
        </w:rPr>
        <w:t xml:space="preserve">. </w:t>
      </w:r>
      <w:proofErr w:type="gramEnd"/>
      <w:r w:rsidR="00744CBF" w:rsidRPr="007021BA">
        <w:rPr>
          <w:b/>
        </w:rPr>
        <w:t xml:space="preserve">Identify any legal or administrative requirements that necessitate the collection.  </w:t>
      </w:r>
      <w:r w:rsidR="00CD2FEA" w:rsidRPr="007021BA">
        <w:rPr>
          <w:b/>
        </w:rPr>
        <w:t>Attach a copy of the appropriate section of each statute and regulation mandating or authorizing the collection of information</w:t>
      </w:r>
      <w:r w:rsidR="00CD2FEA" w:rsidRPr="007021BA">
        <w:rPr>
          <w:b/>
          <w:bCs/>
          <w:color w:val="000000"/>
        </w:rPr>
        <w:t>).</w:t>
      </w:r>
    </w:p>
    <w:p w:rsidR="008E23EE" w:rsidRPr="00C3717F" w:rsidRDefault="00572257" w:rsidP="008E23EE">
      <w:pPr>
        <w:spacing w:before="100" w:beforeAutospacing="1" w:after="240" w:line="480" w:lineRule="auto"/>
        <w:contextualSpacing/>
      </w:pPr>
      <w:r>
        <w:t xml:space="preserve">This is a new collection.  </w:t>
      </w:r>
      <w:r w:rsidR="008E23EE" w:rsidRPr="00C3717F">
        <w:t xml:space="preserve">The Department is requiring that State agencies report outcome data for SNAP </w:t>
      </w:r>
      <w:r w:rsidR="004E1260">
        <w:t>Employment and Training (</w:t>
      </w:r>
      <w:r w:rsidR="008E23EE" w:rsidRPr="00C3717F">
        <w:t>E&amp;T</w:t>
      </w:r>
      <w:r w:rsidR="004E1260">
        <w:t>)</w:t>
      </w:r>
      <w:r w:rsidR="008E23EE" w:rsidRPr="00C3717F">
        <w:t xml:space="preserve"> programs as mandated by Section 16(h)(5) of the F</w:t>
      </w:r>
      <w:r w:rsidR="00572B60">
        <w:t xml:space="preserve">ood and </w:t>
      </w:r>
      <w:r w:rsidR="008E23EE" w:rsidRPr="00C3717F">
        <w:t>N</w:t>
      </w:r>
      <w:r w:rsidR="00572B60">
        <w:t xml:space="preserve">utrition  </w:t>
      </w:r>
      <w:r w:rsidR="008E23EE" w:rsidRPr="00C3717F">
        <w:t>A</w:t>
      </w:r>
      <w:r w:rsidR="00572B60">
        <w:t xml:space="preserve">ct </w:t>
      </w:r>
      <w:r w:rsidR="00077059">
        <w:t>(FNA)</w:t>
      </w:r>
      <w:r w:rsidR="008E23EE" w:rsidRPr="00C3717F">
        <w:t xml:space="preserve"> as amended by section 4022 of the Agricultural Act of 2014.  The Department </w:t>
      </w:r>
      <w:r>
        <w:t>is establishing</w:t>
      </w:r>
      <w:r w:rsidR="008E23EE" w:rsidRPr="00C3717F">
        <w:t xml:space="preserve"> five separate reporting measures and is requiring State agencies to  report outcome data to monitor the effectiveness of E&amp;T programs: (1) the number of E&amp;T participants who enter unsubsidized employment; (2) the number of E&amp;T participants who retain unsubsidized employment for at least three months after entering employment; (3) the average cumulative earnings per participant over three months of unsubsidized employment, (4) the total number of participants that completed a training, educational, work experience or an on the job training component; and (5) certain unique characteristics of SNAP E&amp;T participants that will provide information on the challenges they face in obtaining employment.  State agencies are also required to identify appropriate reporting measures for each proposed component that serves a threshold number of participants of at least 100 a year</w:t>
      </w:r>
      <w:proofErr w:type="gramStart"/>
      <w:r w:rsidR="008E23EE" w:rsidRPr="00C3717F">
        <w:t xml:space="preserve">. </w:t>
      </w:r>
      <w:proofErr w:type="gramEnd"/>
      <w:r w:rsidR="008E23EE" w:rsidRPr="00C3717F">
        <w:t xml:space="preserve">The reporting measures for these components will be identified in State agencies’ E&amp;T plans and the outcome data will be reported to </w:t>
      </w:r>
      <w:r w:rsidR="004E1260">
        <w:t>the Food and Nutrition Service (</w:t>
      </w:r>
      <w:r w:rsidR="008E23EE" w:rsidRPr="00C3717F">
        <w:t>FNS</w:t>
      </w:r>
      <w:r w:rsidR="004E1260">
        <w:t>)</w:t>
      </w:r>
      <w:r w:rsidR="008E23EE" w:rsidRPr="00C3717F">
        <w:t xml:space="preserve"> in State agencies’ annual reports.  State agencies will be required to report outcome data annually. </w:t>
      </w:r>
    </w:p>
    <w:p w:rsidR="00274C81" w:rsidRDefault="00274C81" w:rsidP="00274C81">
      <w:pPr>
        <w:pStyle w:val="Default"/>
        <w:spacing w:line="480" w:lineRule="auto"/>
        <w:rPr>
          <w:b/>
          <w:bCs/>
        </w:rPr>
      </w:pPr>
    </w:p>
    <w:p w:rsidR="009742E9" w:rsidRDefault="009742E9" w:rsidP="00274C81">
      <w:pPr>
        <w:pStyle w:val="Default"/>
        <w:spacing w:line="480" w:lineRule="auto"/>
        <w:rPr>
          <w:b/>
          <w:bCs/>
        </w:rPr>
      </w:pPr>
      <w:r>
        <w:rPr>
          <w:b/>
          <w:bCs/>
        </w:rPr>
        <w:lastRenderedPageBreak/>
        <w:t>2</w:t>
      </w:r>
      <w:r w:rsidR="003C3770">
        <w:rPr>
          <w:b/>
          <w:bCs/>
        </w:rPr>
        <w:t xml:space="preserve">.  </w:t>
      </w:r>
      <w:r w:rsidR="00744CBF" w:rsidRPr="003E4AF3">
        <w:rPr>
          <w:b/>
        </w:rPr>
        <w:t xml:space="preserve">Indicate how, by whom, and for what purpose the information is to be used. </w:t>
      </w:r>
      <w:r w:rsidR="00744CBF">
        <w:rPr>
          <w:b/>
        </w:rPr>
        <w:t xml:space="preserve"> </w:t>
      </w:r>
      <w:r w:rsidR="00744CBF" w:rsidRPr="003E4AF3">
        <w:rPr>
          <w:b/>
        </w:rPr>
        <w:t>Except for a new collection, indicate the actual use the agency has made of the information received from the current collection</w:t>
      </w:r>
      <w:r w:rsidR="008569E5">
        <w:rPr>
          <w:b/>
          <w:bCs/>
        </w:rPr>
        <w:t>.</w:t>
      </w:r>
    </w:p>
    <w:p w:rsidR="00026A47" w:rsidRPr="00C3717F" w:rsidRDefault="008A2BCA" w:rsidP="00026A47">
      <w:pPr>
        <w:spacing w:line="480" w:lineRule="auto"/>
      </w:pPr>
      <w:r>
        <w:t>Since t</w:t>
      </w:r>
      <w:r w:rsidR="00627F57">
        <w:t xml:space="preserve">his is a new </w:t>
      </w:r>
      <w:r w:rsidR="004B1A92">
        <w:t>collection</w:t>
      </w:r>
      <w:r>
        <w:t>, FNS has not had this information to date</w:t>
      </w:r>
      <w:proofErr w:type="gramStart"/>
      <w:r>
        <w:t>.</w:t>
      </w:r>
      <w:r w:rsidR="00026A47" w:rsidRPr="00C3717F">
        <w:t xml:space="preserve"> </w:t>
      </w:r>
      <w:r>
        <w:t xml:space="preserve">  </w:t>
      </w:r>
      <w:proofErr w:type="gramEnd"/>
      <w:r w:rsidR="002545C3">
        <w:t>While a</w:t>
      </w:r>
      <w:r>
        <w:t xml:space="preserve"> number </w:t>
      </w:r>
      <w:r w:rsidR="009454F6">
        <w:t xml:space="preserve">of </w:t>
      </w:r>
      <w:r w:rsidR="009454F6" w:rsidRPr="00C3717F">
        <w:t>State</w:t>
      </w:r>
      <w:r w:rsidR="00026A47" w:rsidRPr="00C3717F">
        <w:t xml:space="preserve"> agencies</w:t>
      </w:r>
      <w:r>
        <w:t xml:space="preserve"> have collected various pieces of information about the outcome of their E&amp;T efforts, t</w:t>
      </w:r>
      <w:r w:rsidRPr="00C3717F">
        <w:t xml:space="preserve">his rule will require the reporting of </w:t>
      </w:r>
      <w:r>
        <w:t xml:space="preserve">uniform </w:t>
      </w:r>
      <w:r w:rsidRPr="00C3717F">
        <w:t>outcome data</w:t>
      </w:r>
      <w:r w:rsidR="00026A47" w:rsidRPr="00C3717F">
        <w:t xml:space="preserve">.  </w:t>
      </w:r>
      <w:r>
        <w:t>With this information</w:t>
      </w:r>
      <w:r w:rsidR="00F16F3F">
        <w:t>,</w:t>
      </w:r>
      <w:r>
        <w:t xml:space="preserve"> FNS</w:t>
      </w:r>
      <w:r w:rsidR="00026A47" w:rsidRPr="00C3717F">
        <w:t xml:space="preserve"> will </w:t>
      </w:r>
      <w:r>
        <w:t xml:space="preserve">be able to identify more, and less, successful E&amp;T practices and </w:t>
      </w:r>
      <w:r w:rsidR="00026A47" w:rsidRPr="00C3717F">
        <w:t>work with State agencies</w:t>
      </w:r>
      <w:r>
        <w:t xml:space="preserve"> to improve their E&amp;T programs.  This process is critical to </w:t>
      </w:r>
      <w:r w:rsidR="002545C3">
        <w:t>building a more effective E&amp;T operation nationally that will help move more individuals into the workforce more quickly.  Beyond the many benefits that earnings provide to SNAP’s low income population, they also reduce the cost of SNAP.</w:t>
      </w:r>
      <w:r w:rsidR="00026A47" w:rsidRPr="00C3717F">
        <w:t xml:space="preserve"> </w:t>
      </w:r>
    </w:p>
    <w:p w:rsidR="00E45D37" w:rsidRDefault="00E45D37" w:rsidP="00131E76">
      <w:pPr>
        <w:spacing w:line="480" w:lineRule="auto"/>
      </w:pPr>
      <w:bookmarkStart w:id="2" w:name="OLE_LINK1"/>
      <w:bookmarkStart w:id="3" w:name="OLE_LINK2"/>
    </w:p>
    <w:bookmarkEnd w:id="2"/>
    <w:bookmarkEnd w:id="3"/>
    <w:p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rsidR="00AB4A4D" w:rsidRDefault="004E1260" w:rsidP="00CE4932">
      <w:pPr>
        <w:spacing w:line="480" w:lineRule="auto"/>
        <w:rPr>
          <w:color w:val="000000"/>
        </w:rPr>
      </w:pPr>
      <w:r>
        <w:t>SNAP is administered and operated by State and local government agencies and as such it is their decision on how data is collected.  State agencies submit numerous reports to FNS regarding SNAP</w:t>
      </w:r>
      <w:proofErr w:type="gramStart"/>
      <w:r>
        <w:t>,</w:t>
      </w:r>
      <w:proofErr w:type="gramEnd"/>
      <w:r>
        <w:t xml:space="preserve"> the vast majority are generated by automated systems.  The Department supports States automation and modernization efforts and their development is funded with matching funds.  Fo</w:t>
      </w:r>
      <w:r w:rsidR="00572B60">
        <w:t xml:space="preserve">r </w:t>
      </w:r>
      <w:r>
        <w:t xml:space="preserve">this new requirement, States are expected to automate the data collection process as much as possible and the Department will facilitate electronic submission of the </w:t>
      </w:r>
      <w:r>
        <w:lastRenderedPageBreak/>
        <w:t>information collect</w:t>
      </w:r>
      <w:r w:rsidR="00285176">
        <w:t>ion</w:t>
      </w:r>
      <w:r>
        <w:t xml:space="preserve">.  </w:t>
      </w:r>
      <w:r w:rsidR="00026A47" w:rsidRPr="00C3717F">
        <w:t>The Department is</w:t>
      </w:r>
      <w:r w:rsidR="002545C3">
        <w:t xml:space="preserve"> also</w:t>
      </w:r>
      <w:r w:rsidR="00026A47" w:rsidRPr="00C3717F">
        <w:t xml:space="preserve"> committed to complying with the E-Government Act, to promote the use of the Internet and other information technologies to provide increased opportunities for citizen access to Government information and services, and for other purposes.</w:t>
      </w:r>
    </w:p>
    <w:p w:rsidR="00320C8A" w:rsidRDefault="00320C8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4.</w:t>
      </w:r>
      <w:r w:rsidR="00D2509B">
        <w:rPr>
          <w:color w:val="000000"/>
        </w:rPr>
        <w:t xml:space="preserve"> </w:t>
      </w:r>
      <w:r>
        <w:rPr>
          <w:color w:val="000000"/>
        </w:rPr>
        <w:t xml:space="preserve"> </w:t>
      </w:r>
      <w:r w:rsidR="007541A5" w:rsidRPr="00596919">
        <w:rPr>
          <w:color w:val="000000"/>
        </w:rPr>
        <w:t>Describe efforts to identify duplication</w:t>
      </w:r>
      <w:proofErr w:type="gramStart"/>
      <w:r w:rsidR="007541A5" w:rsidRPr="00596919">
        <w:rPr>
          <w:color w:val="000000"/>
        </w:rPr>
        <w:t xml:space="preserve">. </w:t>
      </w:r>
      <w:proofErr w:type="gramEnd"/>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rsidR="0038185D" w:rsidRDefault="007E731D" w:rsidP="00CE4932">
      <w:pPr>
        <w:pStyle w:val="BodyTextIndent3"/>
        <w:spacing w:after="0" w:line="480" w:lineRule="auto"/>
        <w:ind w:left="0"/>
        <w:rPr>
          <w:spacing w:val="-3"/>
          <w:sz w:val="24"/>
          <w:szCs w:val="24"/>
        </w:rPr>
      </w:pPr>
      <w:r>
        <w:rPr>
          <w:spacing w:val="-3"/>
          <w:sz w:val="24"/>
          <w:szCs w:val="24"/>
        </w:rPr>
        <w:t xml:space="preserve">Every effort has been made to avoid duplication.  FNS has reviewed USDA </w:t>
      </w:r>
      <w:r w:rsidR="00131E76">
        <w:rPr>
          <w:spacing w:val="-3"/>
          <w:sz w:val="24"/>
          <w:szCs w:val="24"/>
        </w:rPr>
        <w:t>recordkeeping</w:t>
      </w:r>
      <w:r>
        <w:rPr>
          <w:spacing w:val="-3"/>
          <w:sz w:val="24"/>
          <w:szCs w:val="24"/>
        </w:rPr>
        <w:t xml:space="preserve"> requirements, state administrative agency </w:t>
      </w:r>
      <w:r w:rsidR="00131E76">
        <w:rPr>
          <w:spacing w:val="-3"/>
          <w:sz w:val="24"/>
          <w:szCs w:val="24"/>
        </w:rPr>
        <w:t>recordkeeping</w:t>
      </w:r>
      <w:r>
        <w:rPr>
          <w:spacing w:val="-3"/>
          <w:sz w:val="24"/>
          <w:szCs w:val="24"/>
        </w:rPr>
        <w:t xml:space="preserve"> requirements, and special studies by other government and private agencies.  FNS solely monitors and administers </w:t>
      </w:r>
      <w:r w:rsidR="004E1260">
        <w:rPr>
          <w:spacing w:val="-3"/>
          <w:sz w:val="24"/>
          <w:szCs w:val="24"/>
        </w:rPr>
        <w:t>SNAP.</w:t>
      </w:r>
    </w:p>
    <w:p w:rsidR="001C5015" w:rsidRDefault="001C5015" w:rsidP="00CE4932">
      <w:pPr>
        <w:pStyle w:val="BodyTextIndent3"/>
        <w:spacing w:after="0" w:line="480" w:lineRule="auto"/>
        <w:ind w:left="0"/>
        <w:rPr>
          <w:spacing w:val="-3"/>
          <w:sz w:val="24"/>
          <w:szCs w:val="24"/>
        </w:rPr>
      </w:pPr>
    </w:p>
    <w:p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rsidR="0040094C" w:rsidRDefault="00E92930" w:rsidP="00DA70F1">
      <w:pPr>
        <w:tabs>
          <w:tab w:val="left" w:pos="-720"/>
        </w:tabs>
        <w:suppressAutoHyphens/>
        <w:spacing w:line="480" w:lineRule="auto"/>
        <w:rPr>
          <w:spacing w:val="-3"/>
        </w:rPr>
      </w:pPr>
      <w:r>
        <w:rPr>
          <w:color w:val="000000"/>
        </w:rPr>
        <w:t>Information being requested or required has been held to the minimum required for the in</w:t>
      </w:r>
      <w:r w:rsidR="0028571D">
        <w:rPr>
          <w:color w:val="000000"/>
        </w:rPr>
        <w:t xml:space="preserve">tended use.  </w:t>
      </w:r>
      <w:r w:rsidR="00E45D37" w:rsidRPr="00B31EF6">
        <w:rPr>
          <w:spacing w:val="-3"/>
        </w:rPr>
        <w:t xml:space="preserve">No small entities are impacted by this collection of information.   </w:t>
      </w:r>
      <w:r w:rsidR="00E45D37" w:rsidRPr="00F90EE2">
        <w:rPr>
          <w:spacing w:val="-3"/>
        </w:rPr>
        <w:t xml:space="preserve"> </w:t>
      </w:r>
    </w:p>
    <w:p w:rsidR="00DA70F1" w:rsidRDefault="00DA70F1" w:rsidP="0040094C">
      <w:pPr>
        <w:tabs>
          <w:tab w:val="left" w:pos="-720"/>
        </w:tabs>
        <w:suppressAutoHyphens/>
        <w:spacing w:line="480" w:lineRule="auto"/>
        <w:ind w:left="360"/>
        <w:rPr>
          <w:spacing w:val="-3"/>
        </w:rPr>
      </w:pPr>
    </w:p>
    <w:p w:rsidR="009742E9" w:rsidRDefault="009742E9" w:rsidP="00CE4932">
      <w:pPr>
        <w:pStyle w:val="BodyText"/>
        <w:spacing w:line="480" w:lineRule="auto"/>
        <w:rPr>
          <w:color w:val="000000"/>
        </w:rPr>
      </w:pPr>
      <w:r>
        <w:rPr>
          <w:color w:val="000000"/>
        </w:rPr>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rsidR="00572B60" w:rsidRPr="00077059" w:rsidRDefault="00077059" w:rsidP="00CE4932">
      <w:pPr>
        <w:pStyle w:val="BodyText"/>
        <w:spacing w:line="480" w:lineRule="auto"/>
        <w:rPr>
          <w:b w:val="0"/>
          <w:color w:val="000000"/>
        </w:rPr>
      </w:pPr>
      <w:r w:rsidRPr="00077059">
        <w:rPr>
          <w:b w:val="0"/>
          <w:color w:val="000000"/>
        </w:rPr>
        <w:t xml:space="preserve">Without this data collection, FNS will continue to be severely limited in understanding effective E&amp;T practices and providing assistance to States in improving their operations.  </w:t>
      </w:r>
      <w:r w:rsidR="00572B60" w:rsidRPr="00077059">
        <w:rPr>
          <w:b w:val="0"/>
          <w:color w:val="000000"/>
        </w:rPr>
        <w:t xml:space="preserve">FNS considered more frequent (quarterly) </w:t>
      </w:r>
      <w:r w:rsidRPr="00077059">
        <w:rPr>
          <w:b w:val="0"/>
          <w:color w:val="000000"/>
        </w:rPr>
        <w:t>collection</w:t>
      </w:r>
      <w:r w:rsidR="00572B60" w:rsidRPr="00077059">
        <w:rPr>
          <w:b w:val="0"/>
          <w:color w:val="000000"/>
        </w:rPr>
        <w:t xml:space="preserve"> of the reporting measures, but </w:t>
      </w:r>
      <w:r w:rsidRPr="00077059">
        <w:rPr>
          <w:b w:val="0"/>
          <w:color w:val="000000"/>
        </w:rPr>
        <w:t>determined</w:t>
      </w:r>
      <w:r w:rsidR="00572B60" w:rsidRPr="00077059">
        <w:rPr>
          <w:b w:val="0"/>
          <w:color w:val="000000"/>
        </w:rPr>
        <w:t xml:space="preserve"> that </w:t>
      </w:r>
      <w:r w:rsidRPr="00077059">
        <w:rPr>
          <w:b w:val="0"/>
          <w:color w:val="000000"/>
        </w:rPr>
        <w:t>the data would be incomplete and its usefulness uncertain</w:t>
      </w:r>
      <w:proofErr w:type="gramStart"/>
      <w:r w:rsidRPr="00077059">
        <w:rPr>
          <w:b w:val="0"/>
          <w:color w:val="000000"/>
        </w:rPr>
        <w:t xml:space="preserve">.   </w:t>
      </w:r>
      <w:proofErr w:type="gramEnd"/>
      <w:r w:rsidRPr="00077059">
        <w:rPr>
          <w:b w:val="0"/>
          <w:color w:val="000000"/>
        </w:rPr>
        <w:t xml:space="preserve">Beyond the FNA requirement that measures </w:t>
      </w:r>
      <w:r w:rsidRPr="00077059">
        <w:rPr>
          <w:b w:val="0"/>
          <w:color w:val="000000"/>
        </w:rPr>
        <w:lastRenderedPageBreak/>
        <w:t>be reported annually, less frequent reporting would result in FNS frequently relying on outdated information.</w:t>
      </w:r>
    </w:p>
    <w:p w:rsidR="0040094C" w:rsidRDefault="0040094C" w:rsidP="00CE4932">
      <w:pPr>
        <w:pStyle w:val="BodyText"/>
        <w:spacing w:line="480" w:lineRule="auto"/>
      </w:pPr>
    </w:p>
    <w:p w:rsidR="0057575A" w:rsidRDefault="009742E9" w:rsidP="00CE4932">
      <w:pPr>
        <w:pStyle w:val="BodyText"/>
        <w:spacing w:line="480" w:lineRule="auto"/>
      </w:pPr>
      <w:r>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rsidR="006A187D" w:rsidRPr="00596919" w:rsidRDefault="006A187D" w:rsidP="006A187D">
      <w:pPr>
        <w:numPr>
          <w:ilvl w:val="0"/>
          <w:numId w:val="16"/>
        </w:numPr>
        <w:tabs>
          <w:tab w:val="clear" w:pos="360"/>
        </w:tabs>
        <w:spacing w:after="80" w:line="480" w:lineRule="auto"/>
        <w:ind w:left="1080"/>
        <w:rPr>
          <w:b/>
        </w:rPr>
      </w:pPr>
      <w:r w:rsidRPr="003E4AF3">
        <w:rPr>
          <w:b/>
        </w:rPr>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rsidR="006A187D" w:rsidRDefault="006A187D" w:rsidP="006A187D">
      <w:pPr>
        <w:numPr>
          <w:ilvl w:val="0"/>
          <w:numId w:val="12"/>
        </w:numPr>
        <w:tabs>
          <w:tab w:val="clear" w:pos="360"/>
        </w:tabs>
        <w:spacing w:after="80" w:line="480" w:lineRule="auto"/>
        <w:ind w:left="1080"/>
        <w:rPr>
          <w:b/>
        </w:rPr>
      </w:pPr>
      <w:r w:rsidRPr="003E4AF3">
        <w:rPr>
          <w:b/>
        </w:rPr>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closure and data 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rsidR="006A187D" w:rsidRPr="00596919" w:rsidRDefault="006A187D" w:rsidP="006A187D">
      <w:pPr>
        <w:numPr>
          <w:ilvl w:val="0"/>
          <w:numId w:val="12"/>
        </w:numPr>
        <w:tabs>
          <w:tab w:val="clear" w:pos="360"/>
        </w:tabs>
        <w:spacing w:after="80" w:line="480" w:lineRule="auto"/>
        <w:ind w:left="1080"/>
        <w:rPr>
          <w:b/>
        </w:rPr>
      </w:pPr>
      <w:r w:rsidRPr="003E4AF3">
        <w:rPr>
          <w:b/>
        </w:rPr>
        <w:lastRenderedPageBreak/>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rsidR="00212609" w:rsidRDefault="008F460C" w:rsidP="00CE4932">
      <w:pPr>
        <w:tabs>
          <w:tab w:val="left" w:pos="0"/>
        </w:tabs>
        <w:spacing w:line="480" w:lineRule="auto"/>
      </w:pPr>
      <w:r>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r w:rsidR="00B41534">
        <w:t>.</w:t>
      </w:r>
    </w:p>
    <w:p w:rsidR="00624444" w:rsidRDefault="00624444" w:rsidP="00CE4932">
      <w:pPr>
        <w:tabs>
          <w:tab w:val="left" w:pos="0"/>
        </w:tabs>
        <w:spacing w:line="480" w:lineRule="auto"/>
      </w:pPr>
    </w:p>
    <w:p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rsidR="00EB0028" w:rsidRDefault="00EB0028" w:rsidP="00EB0028">
      <w:pPr>
        <w:spacing w:line="480" w:lineRule="auto"/>
      </w:pPr>
      <w:r w:rsidRPr="006A3647">
        <w:t xml:space="preserve">A </w:t>
      </w:r>
      <w:r>
        <w:t>60 day Federal Register N</w:t>
      </w:r>
      <w:r w:rsidRPr="006A3647">
        <w:t xml:space="preserve">otice </w:t>
      </w:r>
      <w:r>
        <w:t xml:space="preserve">is embedded in the Proposed Rule, </w:t>
      </w:r>
      <w:r w:rsidRPr="00EB0028">
        <w:t>Supplemental Nutrition Assistance Program (SNAP):  Employment and Training Program Monitoring, Oversight and Reporting Measures</w:t>
      </w:r>
      <w:r w:rsidRPr="009F7B50">
        <w:t xml:space="preserve"> </w:t>
      </w:r>
      <w:r w:rsidRPr="006A3647">
        <w:t xml:space="preserve">published in the </w:t>
      </w:r>
      <w:r w:rsidRPr="001D2DD4">
        <w:rPr>
          <w:rFonts w:ascii="Melior-Bold" w:hAnsi="Melior-Bold" w:cs="Melior-Bold"/>
          <w:bCs/>
        </w:rPr>
        <w:t>Federal Register</w:t>
      </w:r>
      <w:r w:rsidRPr="00F372FE">
        <w:t xml:space="preserve">.  Comments will be addressed in the </w:t>
      </w:r>
      <w:r>
        <w:t>final</w:t>
      </w:r>
      <w:r w:rsidRPr="00F372FE">
        <w:t xml:space="preserve"> rule.  </w:t>
      </w:r>
    </w:p>
    <w:p w:rsidR="00EC6D32" w:rsidRDefault="00EC6D32" w:rsidP="00EC6D32">
      <w:pPr>
        <w:pStyle w:val="BodyText"/>
        <w:numPr>
          <w:ilvl w:val="0"/>
          <w:numId w:val="10"/>
        </w:numPr>
        <w:spacing w:line="480" w:lineRule="auto"/>
        <w:ind w:left="1080"/>
        <w:rPr>
          <w:b w:val="0"/>
          <w:color w:val="000000"/>
        </w:rPr>
      </w:pPr>
      <w:r w:rsidRPr="003E4AF3">
        <w:rPr>
          <w:color w:val="000000"/>
        </w:rPr>
        <w:t>Describe efforts to consult with persons outside the agency to obtain their views on the availability of data, frequency of collection</w:t>
      </w:r>
      <w:proofErr w:type="gramStart"/>
      <w:r w:rsidRPr="003E4AF3">
        <w:rPr>
          <w:color w:val="000000"/>
        </w:rPr>
        <w:t xml:space="preserve">, </w:t>
      </w:r>
      <w:r w:rsidRPr="003E4AF3">
        <w:t xml:space="preserve"> the</w:t>
      </w:r>
      <w:proofErr w:type="gramEnd"/>
      <w:r w:rsidRPr="003E4AF3">
        <w:t xml:space="preserve"> clarity of instructions and recordkeeping, disclosure, or reporting form, and on the data elements to be recorded, disclosed, or reported</w:t>
      </w:r>
      <w:r>
        <w:t>.</w:t>
      </w:r>
    </w:p>
    <w:p w:rsidR="00FE0638" w:rsidRDefault="00EB0028" w:rsidP="0013669F">
      <w:pPr>
        <w:pStyle w:val="BodyText"/>
        <w:spacing w:line="480" w:lineRule="auto"/>
        <w:rPr>
          <w:b w:val="0"/>
        </w:rPr>
      </w:pPr>
      <w:r w:rsidRPr="00111D60">
        <w:rPr>
          <w:b w:val="0"/>
        </w:rPr>
        <w:t xml:space="preserve">FNS consults with Regional Offices regarding any proposed changes as the result of legislative, regulatory or administrative changes.  Regional offices are in constant contact with State agencies which provide feedback on FNS processes and procedures that may impact them. </w:t>
      </w:r>
      <w:r>
        <w:rPr>
          <w:b w:val="0"/>
        </w:rPr>
        <w:t xml:space="preserve"> </w:t>
      </w:r>
      <w:r w:rsidRPr="00111D60">
        <w:rPr>
          <w:b w:val="0"/>
        </w:rPr>
        <w:t xml:space="preserve">Additionally, </w:t>
      </w:r>
      <w:r w:rsidR="00D1201A" w:rsidRPr="00D1201A">
        <w:rPr>
          <w:b w:val="0"/>
        </w:rPr>
        <w:t xml:space="preserve">FNS has consulted with staff from the Department of Labor regarding their experience with reporting measures including current and potential changes to measures.   </w:t>
      </w:r>
    </w:p>
    <w:p w:rsidR="00EB0028" w:rsidRPr="00241B29" w:rsidRDefault="00EB0028" w:rsidP="0013669F">
      <w:pPr>
        <w:pStyle w:val="BodyText"/>
        <w:spacing w:line="480" w:lineRule="auto"/>
        <w:rPr>
          <w:b w:val="0"/>
        </w:rPr>
      </w:pPr>
    </w:p>
    <w:p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rsidR="009742E9" w:rsidRDefault="009742E9" w:rsidP="00CE4932">
      <w:pPr>
        <w:spacing w:line="480" w:lineRule="auto"/>
        <w:outlineLvl w:val="0"/>
        <w:rPr>
          <w:color w:val="000000"/>
        </w:rPr>
      </w:pPr>
      <w:r>
        <w:rPr>
          <w:color w:val="000000"/>
        </w:rPr>
        <w:t xml:space="preserve">No payment or gift </w:t>
      </w:r>
      <w:r w:rsidR="006177FA">
        <w:rPr>
          <w:color w:val="000000"/>
        </w:rPr>
        <w:t>w</w:t>
      </w:r>
      <w:r w:rsidR="00790ED9">
        <w:rPr>
          <w:color w:val="000000"/>
        </w:rPr>
        <w:t>ill be</w:t>
      </w:r>
      <w:r w:rsidR="006177FA">
        <w:rPr>
          <w:color w:val="000000"/>
        </w:rPr>
        <w:t xml:space="preserve"> provided</w:t>
      </w:r>
      <w:r>
        <w:rPr>
          <w:color w:val="000000"/>
        </w:rPr>
        <w:t xml:space="preserve"> to respondents.</w:t>
      </w:r>
    </w:p>
    <w:p w:rsidR="00BC3D35" w:rsidRDefault="00BC3D35"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 xml:space="preserve">No confidential information is associated with </w:t>
      </w:r>
      <w:r w:rsidR="0040094C">
        <w:rPr>
          <w:spacing w:val="-3"/>
        </w:rPr>
        <w:t xml:space="preserve">this information collection.  </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the specific uses to be made of the information, the explanation to be given</w:t>
      </w:r>
      <w:r w:rsidR="007E6286">
        <w:t xml:space="preserve"> to </w:t>
      </w:r>
      <w:r w:rsidR="007E6286" w:rsidRPr="00840876">
        <w:t>persons from whom the information is requested, and any steps to be taken to obtain their</w:t>
      </w:r>
      <w:r w:rsidR="007E6286">
        <w:t xml:space="preserve"> consent.</w:t>
      </w:r>
    </w:p>
    <w:p w:rsidR="00CF4444" w:rsidRDefault="006177FA" w:rsidP="00CE4932">
      <w:pPr>
        <w:pStyle w:val="BodyText"/>
        <w:spacing w:line="480" w:lineRule="auto"/>
        <w:rPr>
          <w:b w:val="0"/>
          <w:color w:val="000000"/>
        </w:rPr>
      </w:pPr>
      <w:r>
        <w:rPr>
          <w:b w:val="0"/>
          <w:color w:val="000000"/>
        </w:rPr>
        <w:t>There are no questions of a sensitive nature included in this clearance package</w:t>
      </w:r>
      <w:r w:rsidR="00CF4444">
        <w:rPr>
          <w:b w:val="0"/>
          <w:color w:val="000000"/>
        </w:rPr>
        <w:t>.</w:t>
      </w:r>
    </w:p>
    <w:p w:rsidR="000140C1" w:rsidRPr="00CF4444" w:rsidRDefault="000140C1" w:rsidP="00CE4932">
      <w:pPr>
        <w:pStyle w:val="BodyText"/>
        <w:spacing w:line="480" w:lineRule="auto"/>
        <w:rPr>
          <w:b w:val="0"/>
          <w:color w:val="000000"/>
        </w:rPr>
      </w:pPr>
    </w:p>
    <w:p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rsidR="00F00015" w:rsidRPr="00111D60" w:rsidRDefault="007E6286" w:rsidP="00241B29">
      <w:pPr>
        <w:spacing w:line="480" w:lineRule="auto"/>
        <w:ind w:firstLine="720"/>
        <w:rPr>
          <w:b/>
        </w:rPr>
      </w:pPr>
      <w:r w:rsidRPr="00111D60">
        <w:rPr>
          <w:b/>
        </w:rPr>
        <w:t xml:space="preserve">Indicate the number of respondents, frequency of response, annual hour burden, and an explanation of how the burden was estimated.  If this request for approval covers </w:t>
      </w:r>
      <w:r w:rsidRPr="00111D60">
        <w:rPr>
          <w:b/>
        </w:rPr>
        <w:lastRenderedPageBreak/>
        <w:t>more than one form, provide separate hour burden estimates for each form and aggregate the hour bur</w:t>
      </w:r>
      <w:r w:rsidR="00C779F9" w:rsidRPr="00111D60">
        <w:rPr>
          <w:b/>
        </w:rPr>
        <w:t>dens in Item 13 of OMB Form 83</w:t>
      </w:r>
      <w:r w:rsidR="00931C0D" w:rsidRPr="00111D60">
        <w:rPr>
          <w:b/>
        </w:rPr>
        <w:t>.</w:t>
      </w:r>
    </w:p>
    <w:p w:rsidR="00D1201A" w:rsidRDefault="00F93382">
      <w:pPr>
        <w:spacing w:line="480" w:lineRule="auto"/>
      </w:pPr>
      <w:r>
        <w:t xml:space="preserve">The Department has determined that the effect on State Agencies will be two-fold:  one-time capital costs for developing new or modifying existing data collection systems for E&amp;T programs </w:t>
      </w:r>
      <w:r w:rsidR="00933A3C">
        <w:t xml:space="preserve">(see question 13) </w:t>
      </w:r>
      <w:r>
        <w:t xml:space="preserve">and </w:t>
      </w:r>
      <w:r w:rsidR="00933A3C">
        <w:t xml:space="preserve">ongoing </w:t>
      </w:r>
      <w:r>
        <w:t>reporting burden for collecting and reporting data for the required outcome measures.</w:t>
      </w:r>
    </w:p>
    <w:p w:rsidR="00241B29" w:rsidRDefault="00241B29" w:rsidP="00241B29">
      <w:pPr>
        <w:spacing w:line="480" w:lineRule="auto"/>
      </w:pPr>
    </w:p>
    <w:p w:rsidR="00A268A4" w:rsidRDefault="00F55FC2" w:rsidP="00241B29">
      <w:pPr>
        <w:spacing w:line="480" w:lineRule="auto"/>
      </w:pPr>
      <w:r>
        <w:rPr>
          <w:b/>
          <w:i/>
        </w:rPr>
        <w:t xml:space="preserve">Ongoing </w:t>
      </w:r>
      <w:r w:rsidR="00241B29" w:rsidRPr="0044246D">
        <w:rPr>
          <w:b/>
          <w:i/>
        </w:rPr>
        <w:t>State Agency Reporting Burden</w:t>
      </w:r>
      <w:r w:rsidR="00241B29">
        <w:t>:  States currently monitor E&amp;T activity and report that information quarterly to FNS using the SNAP Employment and Training (E&amp;T) Program Activity Report, also known as the FNS-583 report</w:t>
      </w:r>
      <w:r w:rsidR="00933A3C">
        <w:t xml:space="preserve"> (OMB No. 0584-0594, Expiration date 6/30/17)</w:t>
      </w:r>
      <w:r w:rsidR="00241B29">
        <w:t xml:space="preserve">.  The FNS-583 requires that States report the number of new registrants, </w:t>
      </w:r>
      <w:r w:rsidR="00933A3C">
        <w:t>Able-Bodied Adults Without Dependents (</w:t>
      </w:r>
      <w:r w:rsidR="00241B29">
        <w:t>ABAWD</w:t>
      </w:r>
      <w:r w:rsidR="00933A3C">
        <w:t>)</w:t>
      </w:r>
      <w:r w:rsidR="00241B29">
        <w:t xml:space="preserve"> applicants and recipients participating in qualifying components (i.e.</w:t>
      </w:r>
      <w:r w:rsidR="00933A3C">
        <w:t>,</w:t>
      </w:r>
      <w:r w:rsidR="00241B29">
        <w:t xml:space="preserve"> work slots that satisfy ABAWD work requirements and protect them from the 3-in-36-month time limit), other applicants that participate in qualifying components, and case-month exemptions for ABAWDS that have been exempted under State discretionary exemption policies.  This report carries a burden estimate of 32 hours and accounts for time needed to review instructions, search data sources, compile and maintain the necessary data, and review and finalize the information that has been collected.  The Department anticipates that the additional time burden from these new reporting requirements will be similar to what currently exists as a result of the FNS-583 reporting requirements – with the caveat that some data elements might take slightly more time to collect, while others might take less time. </w:t>
      </w:r>
    </w:p>
    <w:p w:rsidR="00A268A4" w:rsidRPr="00AD23E9" w:rsidRDefault="00241B29" w:rsidP="00111D60">
      <w:pPr>
        <w:spacing w:line="480" w:lineRule="auto"/>
        <w:ind w:firstLine="720"/>
      </w:pPr>
      <w:r>
        <w:t>State agencies will continue to use a combination of methods to collect the outcome data, including existing automated data</w:t>
      </w:r>
      <w:r w:rsidRPr="00536A6F">
        <w:t xml:space="preserve"> </w:t>
      </w:r>
      <w:r>
        <w:t xml:space="preserve">systems, new data collection, sampling methods, and some </w:t>
      </w:r>
      <w:r>
        <w:lastRenderedPageBreak/>
        <w:t xml:space="preserve">direct contact with SNAP E&amp;T participants.  </w:t>
      </w:r>
      <w:r w:rsidR="00A268A4" w:rsidRPr="00AD23E9">
        <w:t xml:space="preserve">FNS estimates that the </w:t>
      </w:r>
      <w:r w:rsidR="00A268A4">
        <w:t xml:space="preserve">ongoing </w:t>
      </w:r>
      <w:r w:rsidR="00A268A4" w:rsidRPr="00AD23E9">
        <w:t xml:space="preserve">additional time burden </w:t>
      </w:r>
      <w:r w:rsidR="00A268A4">
        <w:t xml:space="preserve">will average no more than </w:t>
      </w:r>
      <w:r w:rsidR="00A268A4" w:rsidRPr="00AD23E9">
        <w:t xml:space="preserve">about </w:t>
      </w:r>
      <w:r w:rsidR="00A268A4">
        <w:t xml:space="preserve">231 </w:t>
      </w:r>
      <w:r w:rsidR="00A268A4" w:rsidRPr="00AD23E9">
        <w:t>hours annually per State (</w:t>
      </w:r>
      <w:r w:rsidR="00A268A4">
        <w:t xml:space="preserve">about </w:t>
      </w:r>
      <w:r w:rsidR="00A268A4" w:rsidRPr="00AD23E9">
        <w:t>one</w:t>
      </w:r>
      <w:r w:rsidR="00A268A4">
        <w:t xml:space="preserve"> and a half</w:t>
      </w:r>
      <w:r w:rsidR="00A268A4" w:rsidRPr="00AD23E9">
        <w:t xml:space="preserve"> staff-month</w:t>
      </w:r>
      <w:r w:rsidR="00A268A4">
        <w:t>s</w:t>
      </w:r>
      <w:r w:rsidR="00A268A4" w:rsidRPr="00AD23E9">
        <w:t>) on average (</w:t>
      </w:r>
      <w:r w:rsidR="00A268A4" w:rsidRPr="00ED0802">
        <w:rPr>
          <w:bCs/>
          <w:color w:val="000000"/>
        </w:rPr>
        <w:t>12,233</w:t>
      </w:r>
      <w:r w:rsidR="00A268A4" w:rsidRPr="00356471">
        <w:rPr>
          <w:b/>
          <w:color w:val="000000"/>
        </w:rPr>
        <w:t xml:space="preserve"> </w:t>
      </w:r>
      <w:r w:rsidR="00A268A4" w:rsidRPr="00AD23E9">
        <w:t xml:space="preserve">hours per year for all States), or less than $1 million in total.  </w:t>
      </w:r>
      <w:r w:rsidR="00A268A4">
        <w:t xml:space="preserve">The breakdown of the 231 hours is itemized in the table below.  FNS believes this estimate may be somewhat high since data that can be collected through automated data systems is expected to require less time than data collected through direct contact with SNAP E&amp;T participants.  </w:t>
      </w:r>
    </w:p>
    <w:tbl>
      <w:tblPr>
        <w:tblpPr w:leftFromText="180" w:rightFromText="180" w:vertAnchor="text" w:horzAnchor="margin" w:tblpXSpec="center" w:tblpY="398"/>
        <w:tblW w:w="10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182"/>
        <w:gridCol w:w="1523"/>
        <w:gridCol w:w="1083"/>
        <w:gridCol w:w="1270"/>
        <w:gridCol w:w="1742"/>
        <w:gridCol w:w="1176"/>
      </w:tblGrid>
      <w:tr w:rsidR="00A268A4" w:rsidRPr="00AD23E9" w:rsidTr="000401D2">
        <w:trPr>
          <w:trHeight w:val="620"/>
        </w:trPr>
        <w:tc>
          <w:tcPr>
            <w:tcW w:w="10879" w:type="dxa"/>
            <w:gridSpan w:val="7"/>
            <w:shd w:val="clear" w:color="auto" w:fill="auto"/>
            <w:vAlign w:val="center"/>
            <w:hideMark/>
          </w:tcPr>
          <w:p w:rsidR="00A268A4" w:rsidRPr="00AD23E9" w:rsidRDefault="00A268A4" w:rsidP="000401D2">
            <w:pPr>
              <w:jc w:val="center"/>
              <w:rPr>
                <w:b/>
                <w:bCs/>
              </w:rPr>
            </w:pPr>
            <w:r w:rsidRPr="00AD23E9">
              <w:rPr>
                <w:b/>
                <w:bCs/>
              </w:rPr>
              <w:t xml:space="preserve">Estimated </w:t>
            </w:r>
            <w:r>
              <w:rPr>
                <w:b/>
                <w:bCs/>
              </w:rPr>
              <w:t xml:space="preserve">Ongoing </w:t>
            </w:r>
            <w:r w:rsidRPr="00AD23E9">
              <w:rPr>
                <w:b/>
                <w:bCs/>
              </w:rPr>
              <w:t>Reporting and Recordkeeping Burden Hours</w:t>
            </w:r>
          </w:p>
        </w:tc>
      </w:tr>
      <w:tr w:rsidR="00A268A4" w:rsidRPr="00AD23E9" w:rsidTr="000401D2">
        <w:trPr>
          <w:trHeight w:val="1035"/>
        </w:trPr>
        <w:tc>
          <w:tcPr>
            <w:tcW w:w="1903" w:type="dxa"/>
            <w:shd w:val="clear" w:color="auto" w:fill="auto"/>
            <w:hideMark/>
          </w:tcPr>
          <w:p w:rsidR="00A268A4" w:rsidRPr="00AD23E9" w:rsidRDefault="00A268A4" w:rsidP="000401D2">
            <w:pPr>
              <w:rPr>
                <w:b/>
                <w:bCs/>
              </w:rPr>
            </w:pPr>
            <w:r w:rsidRPr="00AD23E9">
              <w:rPr>
                <w:b/>
                <w:bCs/>
              </w:rPr>
              <w:t>Regulation Section</w:t>
            </w:r>
          </w:p>
        </w:tc>
        <w:tc>
          <w:tcPr>
            <w:tcW w:w="2182" w:type="dxa"/>
            <w:shd w:val="clear" w:color="auto" w:fill="auto"/>
            <w:hideMark/>
          </w:tcPr>
          <w:p w:rsidR="00A268A4" w:rsidRPr="00AD23E9" w:rsidRDefault="00A268A4" w:rsidP="000401D2">
            <w:pPr>
              <w:rPr>
                <w:b/>
                <w:bCs/>
              </w:rPr>
            </w:pPr>
            <w:r w:rsidRPr="00AD23E9">
              <w:rPr>
                <w:b/>
                <w:bCs/>
              </w:rPr>
              <w:t>Description of Activity</w:t>
            </w:r>
          </w:p>
        </w:tc>
        <w:tc>
          <w:tcPr>
            <w:tcW w:w="1523" w:type="dxa"/>
            <w:shd w:val="clear" w:color="auto" w:fill="auto"/>
            <w:hideMark/>
          </w:tcPr>
          <w:p w:rsidR="00A268A4" w:rsidRPr="00AD23E9" w:rsidRDefault="00A268A4" w:rsidP="000401D2">
            <w:pPr>
              <w:rPr>
                <w:b/>
                <w:bCs/>
              </w:rPr>
            </w:pPr>
            <w:r w:rsidRPr="00AD23E9">
              <w:rPr>
                <w:b/>
                <w:bCs/>
              </w:rPr>
              <w:t xml:space="preserve">Number of Respondents </w:t>
            </w:r>
          </w:p>
        </w:tc>
        <w:tc>
          <w:tcPr>
            <w:tcW w:w="1083" w:type="dxa"/>
            <w:shd w:val="clear" w:color="auto" w:fill="auto"/>
            <w:hideMark/>
          </w:tcPr>
          <w:p w:rsidR="00A268A4" w:rsidRPr="00AD23E9" w:rsidRDefault="00A268A4" w:rsidP="000401D2">
            <w:pPr>
              <w:rPr>
                <w:b/>
                <w:bCs/>
              </w:rPr>
            </w:pPr>
            <w:r w:rsidRPr="00AD23E9">
              <w:rPr>
                <w:b/>
                <w:bCs/>
              </w:rPr>
              <w:t>Annual Report/</w:t>
            </w:r>
          </w:p>
          <w:p w:rsidR="00A268A4" w:rsidRPr="00AD23E9" w:rsidRDefault="00A268A4" w:rsidP="000401D2">
            <w:pPr>
              <w:rPr>
                <w:b/>
                <w:bCs/>
              </w:rPr>
            </w:pPr>
            <w:r w:rsidRPr="00AD23E9">
              <w:rPr>
                <w:b/>
                <w:bCs/>
              </w:rPr>
              <w:t xml:space="preserve">Record Filed </w:t>
            </w:r>
          </w:p>
        </w:tc>
        <w:tc>
          <w:tcPr>
            <w:tcW w:w="1270" w:type="dxa"/>
            <w:shd w:val="clear" w:color="auto" w:fill="auto"/>
            <w:hideMark/>
          </w:tcPr>
          <w:p w:rsidR="00A268A4" w:rsidRPr="00AD23E9" w:rsidRDefault="00A268A4" w:rsidP="000401D2">
            <w:pPr>
              <w:rPr>
                <w:b/>
                <w:bCs/>
              </w:rPr>
            </w:pPr>
            <w:r w:rsidRPr="00AD23E9">
              <w:rPr>
                <w:b/>
                <w:bCs/>
              </w:rPr>
              <w:t xml:space="preserve">Total Annual Responses </w:t>
            </w:r>
          </w:p>
        </w:tc>
        <w:tc>
          <w:tcPr>
            <w:tcW w:w="1742" w:type="dxa"/>
            <w:shd w:val="clear" w:color="auto" w:fill="auto"/>
            <w:hideMark/>
          </w:tcPr>
          <w:p w:rsidR="00A268A4" w:rsidRPr="00AD23E9" w:rsidRDefault="00A268A4" w:rsidP="000401D2">
            <w:pPr>
              <w:rPr>
                <w:b/>
                <w:bCs/>
              </w:rPr>
            </w:pPr>
            <w:r>
              <w:rPr>
                <w:b/>
                <w:bCs/>
              </w:rPr>
              <w:t>Average</w:t>
            </w:r>
            <w:r w:rsidRPr="00AD23E9">
              <w:rPr>
                <w:b/>
                <w:bCs/>
              </w:rPr>
              <w:t xml:space="preserve"> Burden Hours Per Response </w:t>
            </w:r>
          </w:p>
        </w:tc>
        <w:tc>
          <w:tcPr>
            <w:tcW w:w="1176" w:type="dxa"/>
            <w:shd w:val="clear" w:color="auto" w:fill="auto"/>
            <w:hideMark/>
          </w:tcPr>
          <w:p w:rsidR="00A268A4" w:rsidRPr="00AD23E9" w:rsidRDefault="00A268A4" w:rsidP="000401D2">
            <w:pPr>
              <w:rPr>
                <w:b/>
                <w:bCs/>
              </w:rPr>
            </w:pPr>
            <w:r w:rsidRPr="00AD23E9">
              <w:rPr>
                <w:b/>
                <w:bCs/>
              </w:rPr>
              <w:t xml:space="preserve">Total Burden Hours </w:t>
            </w:r>
          </w:p>
        </w:tc>
      </w:tr>
      <w:tr w:rsidR="00A268A4" w:rsidRPr="00AD23E9" w:rsidTr="000401D2">
        <w:trPr>
          <w:trHeight w:val="1035"/>
        </w:trPr>
        <w:tc>
          <w:tcPr>
            <w:tcW w:w="1903" w:type="dxa"/>
            <w:shd w:val="clear" w:color="auto" w:fill="auto"/>
          </w:tcPr>
          <w:p w:rsidR="00A268A4" w:rsidRPr="00AD23E9" w:rsidRDefault="00A268A4" w:rsidP="000401D2">
            <w:pPr>
              <w:rPr>
                <w:b/>
                <w:bCs/>
              </w:rPr>
            </w:pPr>
            <w:r w:rsidRPr="00AD23E9">
              <w:rPr>
                <w:b/>
                <w:bCs/>
              </w:rPr>
              <w:t>27</w:t>
            </w:r>
            <w:r>
              <w:rPr>
                <w:b/>
                <w:bCs/>
              </w:rPr>
              <w:t xml:space="preserve">2.1(f) Recordkeeping </w:t>
            </w:r>
          </w:p>
        </w:tc>
        <w:tc>
          <w:tcPr>
            <w:tcW w:w="2182" w:type="dxa"/>
            <w:shd w:val="clear" w:color="auto" w:fill="auto"/>
            <w:vAlign w:val="bottom"/>
          </w:tcPr>
          <w:p w:rsidR="00A268A4" w:rsidRPr="00AD23E9" w:rsidRDefault="00A268A4" w:rsidP="000401D2">
            <w:pPr>
              <w:rPr>
                <w:b/>
                <w:bCs/>
              </w:rPr>
            </w:pPr>
          </w:p>
        </w:tc>
        <w:tc>
          <w:tcPr>
            <w:tcW w:w="1523" w:type="dxa"/>
            <w:shd w:val="clear" w:color="auto" w:fill="auto"/>
          </w:tcPr>
          <w:p w:rsidR="00A268A4" w:rsidRPr="00AD23E9" w:rsidRDefault="00A268A4" w:rsidP="000401D2">
            <w:pPr>
              <w:rPr>
                <w:b/>
                <w:bCs/>
              </w:rPr>
            </w:pPr>
            <w:r w:rsidRPr="00AD23E9">
              <w:rPr>
                <w:color w:val="000000"/>
              </w:rPr>
              <w:t>53</w:t>
            </w:r>
          </w:p>
        </w:tc>
        <w:tc>
          <w:tcPr>
            <w:tcW w:w="1083" w:type="dxa"/>
            <w:shd w:val="clear" w:color="auto" w:fill="auto"/>
          </w:tcPr>
          <w:p w:rsidR="00A268A4" w:rsidRPr="00AD23E9" w:rsidRDefault="00A268A4" w:rsidP="000401D2">
            <w:pPr>
              <w:rPr>
                <w:b/>
                <w:bCs/>
              </w:rPr>
            </w:pPr>
            <w:r w:rsidRPr="00AD23E9">
              <w:rPr>
                <w:color w:val="000000"/>
              </w:rPr>
              <w:t>1</w:t>
            </w:r>
          </w:p>
        </w:tc>
        <w:tc>
          <w:tcPr>
            <w:tcW w:w="1270" w:type="dxa"/>
            <w:shd w:val="clear" w:color="auto" w:fill="auto"/>
          </w:tcPr>
          <w:p w:rsidR="00A268A4" w:rsidRPr="00AD23E9" w:rsidRDefault="00A268A4" w:rsidP="000401D2">
            <w:pPr>
              <w:rPr>
                <w:b/>
                <w:bCs/>
              </w:rPr>
            </w:pPr>
            <w:r w:rsidRPr="00AD23E9">
              <w:rPr>
                <w:color w:val="000000"/>
              </w:rPr>
              <w:t>53</w:t>
            </w:r>
          </w:p>
        </w:tc>
        <w:tc>
          <w:tcPr>
            <w:tcW w:w="1742" w:type="dxa"/>
            <w:shd w:val="clear" w:color="auto" w:fill="auto"/>
          </w:tcPr>
          <w:p w:rsidR="00A268A4" w:rsidRPr="00AD23E9" w:rsidRDefault="00A268A4" w:rsidP="000401D2">
            <w:pPr>
              <w:rPr>
                <w:b/>
                <w:bCs/>
              </w:rPr>
            </w:pPr>
            <w:r>
              <w:rPr>
                <w:color w:val="000000"/>
              </w:rPr>
              <w:t>1</w:t>
            </w:r>
          </w:p>
        </w:tc>
        <w:tc>
          <w:tcPr>
            <w:tcW w:w="1176" w:type="dxa"/>
            <w:shd w:val="clear" w:color="auto" w:fill="auto"/>
          </w:tcPr>
          <w:p w:rsidR="00A268A4" w:rsidRPr="00AD23E9" w:rsidRDefault="00A268A4" w:rsidP="000401D2">
            <w:pPr>
              <w:rPr>
                <w:b/>
                <w:bCs/>
              </w:rPr>
            </w:pPr>
            <w:r>
              <w:rPr>
                <w:color w:val="000000"/>
              </w:rPr>
              <w:t>53</w:t>
            </w:r>
          </w:p>
        </w:tc>
      </w:tr>
      <w:tr w:rsidR="00A268A4" w:rsidRPr="00AD23E9" w:rsidTr="00A268A4">
        <w:trPr>
          <w:trHeight w:val="619"/>
        </w:trPr>
        <w:tc>
          <w:tcPr>
            <w:tcW w:w="1903" w:type="dxa"/>
            <w:shd w:val="clear" w:color="auto" w:fill="auto"/>
            <w:noWrap/>
            <w:hideMark/>
          </w:tcPr>
          <w:p w:rsidR="00A268A4" w:rsidRDefault="00A268A4" w:rsidP="000401D2">
            <w:pPr>
              <w:rPr>
                <w:b/>
                <w:bCs/>
              </w:rPr>
            </w:pPr>
            <w:r w:rsidRPr="00AD23E9">
              <w:rPr>
                <w:b/>
                <w:bCs/>
              </w:rPr>
              <w:t>273.7(c)(17)(</w:t>
            </w:r>
            <w:proofErr w:type="spellStart"/>
            <w:r w:rsidRPr="00AD23E9">
              <w:rPr>
                <w:b/>
                <w:bCs/>
              </w:rPr>
              <w:t>i</w:t>
            </w:r>
            <w:proofErr w:type="spellEnd"/>
            <w:r w:rsidRPr="00AD23E9">
              <w:rPr>
                <w:b/>
                <w:bCs/>
              </w:rPr>
              <w:t>)</w:t>
            </w:r>
          </w:p>
          <w:p w:rsidR="00A268A4" w:rsidRPr="00AD23E9" w:rsidRDefault="00A268A4" w:rsidP="000401D2">
            <w:pPr>
              <w:rPr>
                <w:b/>
                <w:bCs/>
              </w:rPr>
            </w:pPr>
            <w:r>
              <w:rPr>
                <w:b/>
                <w:bCs/>
              </w:rPr>
              <w:t>Reporting</w:t>
            </w:r>
          </w:p>
        </w:tc>
        <w:tc>
          <w:tcPr>
            <w:tcW w:w="2182" w:type="dxa"/>
            <w:shd w:val="clear" w:color="auto" w:fill="auto"/>
            <w:vAlign w:val="bottom"/>
            <w:hideMark/>
          </w:tcPr>
          <w:p w:rsidR="00A268A4" w:rsidRPr="00AD23E9" w:rsidRDefault="00A268A4" w:rsidP="000401D2">
            <w:pPr>
              <w:rPr>
                <w:color w:val="000000"/>
              </w:rPr>
            </w:pPr>
            <w:r w:rsidRPr="00AD23E9">
              <w:t xml:space="preserve">E&amp;T participants who have </w:t>
            </w:r>
            <w:r>
              <w:t>earnings in the second quarter after completion of E&amp;T</w:t>
            </w:r>
            <w:r w:rsidRPr="00AD23E9">
              <w:t xml:space="preserve"> </w:t>
            </w:r>
          </w:p>
        </w:tc>
        <w:tc>
          <w:tcPr>
            <w:tcW w:w="1523" w:type="dxa"/>
            <w:shd w:val="clear" w:color="auto" w:fill="auto"/>
            <w:noWrap/>
            <w:hideMark/>
          </w:tcPr>
          <w:p w:rsidR="00A268A4" w:rsidRPr="00AD23E9" w:rsidRDefault="00A268A4" w:rsidP="000401D2">
            <w:pPr>
              <w:rPr>
                <w:color w:val="000000"/>
              </w:rPr>
            </w:pPr>
            <w:r w:rsidRPr="00AD23E9">
              <w:rPr>
                <w:color w:val="000000"/>
              </w:rPr>
              <w:t>53</w:t>
            </w:r>
          </w:p>
        </w:tc>
        <w:tc>
          <w:tcPr>
            <w:tcW w:w="1083" w:type="dxa"/>
            <w:shd w:val="clear" w:color="auto" w:fill="auto"/>
            <w:noWrap/>
            <w:hideMark/>
          </w:tcPr>
          <w:p w:rsidR="00A268A4" w:rsidRPr="00AD23E9" w:rsidRDefault="00A268A4" w:rsidP="000401D2">
            <w:pPr>
              <w:rPr>
                <w:color w:val="000000"/>
              </w:rPr>
            </w:pPr>
            <w:r w:rsidRPr="00AD23E9">
              <w:rPr>
                <w:color w:val="000000"/>
              </w:rPr>
              <w:t>1</w:t>
            </w:r>
          </w:p>
        </w:tc>
        <w:tc>
          <w:tcPr>
            <w:tcW w:w="1270" w:type="dxa"/>
            <w:shd w:val="clear" w:color="auto" w:fill="auto"/>
            <w:noWrap/>
            <w:hideMark/>
          </w:tcPr>
          <w:p w:rsidR="00A268A4" w:rsidRPr="00AD23E9" w:rsidRDefault="00A268A4" w:rsidP="000401D2">
            <w:pPr>
              <w:rPr>
                <w:color w:val="000000"/>
              </w:rPr>
            </w:pPr>
            <w:r w:rsidRPr="00AD23E9">
              <w:rPr>
                <w:color w:val="000000"/>
              </w:rPr>
              <w:t>53</w:t>
            </w:r>
          </w:p>
        </w:tc>
        <w:tc>
          <w:tcPr>
            <w:tcW w:w="1742" w:type="dxa"/>
            <w:shd w:val="clear" w:color="auto" w:fill="auto"/>
            <w:noWrap/>
            <w:hideMark/>
          </w:tcPr>
          <w:p w:rsidR="00A268A4" w:rsidRPr="00AD23E9" w:rsidRDefault="00A268A4" w:rsidP="000401D2">
            <w:pPr>
              <w:rPr>
                <w:color w:val="000000"/>
              </w:rPr>
            </w:pPr>
            <w:r>
              <w:rPr>
                <w:color w:val="000000"/>
              </w:rPr>
              <w:t>40</w:t>
            </w:r>
          </w:p>
        </w:tc>
        <w:tc>
          <w:tcPr>
            <w:tcW w:w="1176" w:type="dxa"/>
            <w:shd w:val="clear" w:color="auto" w:fill="auto"/>
            <w:noWrap/>
            <w:hideMark/>
          </w:tcPr>
          <w:p w:rsidR="00A268A4" w:rsidRPr="00AD23E9" w:rsidRDefault="00A268A4" w:rsidP="000401D2">
            <w:pPr>
              <w:rPr>
                <w:color w:val="000000"/>
              </w:rPr>
            </w:pPr>
            <w:r>
              <w:rPr>
                <w:color w:val="000000"/>
              </w:rPr>
              <w:t>2120</w:t>
            </w:r>
          </w:p>
        </w:tc>
      </w:tr>
      <w:tr w:rsidR="00A268A4" w:rsidRPr="00AD23E9" w:rsidTr="000401D2">
        <w:trPr>
          <w:trHeight w:val="610"/>
        </w:trPr>
        <w:tc>
          <w:tcPr>
            <w:tcW w:w="1903" w:type="dxa"/>
            <w:shd w:val="clear" w:color="auto" w:fill="auto"/>
            <w:noWrap/>
            <w:hideMark/>
          </w:tcPr>
          <w:p w:rsidR="00A268A4" w:rsidRPr="00AD23E9" w:rsidRDefault="00A268A4" w:rsidP="000401D2">
            <w:pPr>
              <w:rPr>
                <w:b/>
                <w:bCs/>
              </w:rPr>
            </w:pPr>
            <w:r w:rsidRPr="00AD23E9">
              <w:rPr>
                <w:b/>
                <w:bCs/>
              </w:rPr>
              <w:t>273.7(c)(17)(ii)</w:t>
            </w:r>
            <w:r>
              <w:rPr>
                <w:b/>
                <w:bCs/>
              </w:rPr>
              <w:t xml:space="preserve">  Reporting</w:t>
            </w:r>
          </w:p>
        </w:tc>
        <w:tc>
          <w:tcPr>
            <w:tcW w:w="2182" w:type="dxa"/>
            <w:shd w:val="clear" w:color="auto" w:fill="auto"/>
            <w:hideMark/>
          </w:tcPr>
          <w:p w:rsidR="00A268A4" w:rsidRPr="00AD23E9" w:rsidRDefault="00A268A4" w:rsidP="000401D2">
            <w:pPr>
              <w:rPr>
                <w:color w:val="000000"/>
              </w:rPr>
            </w:pPr>
            <w:r w:rsidRPr="00AD23E9">
              <w:t xml:space="preserve">E&amp;T participants who </w:t>
            </w:r>
            <w:r>
              <w:t>have earnings in the fourth quarter after completion of E&amp;T</w:t>
            </w:r>
            <w:r w:rsidRPr="00AD23E9">
              <w:t xml:space="preserve"> </w:t>
            </w:r>
          </w:p>
        </w:tc>
        <w:tc>
          <w:tcPr>
            <w:tcW w:w="1523" w:type="dxa"/>
            <w:shd w:val="clear" w:color="auto" w:fill="auto"/>
            <w:noWrap/>
            <w:hideMark/>
          </w:tcPr>
          <w:p w:rsidR="00A268A4" w:rsidRPr="00AD23E9" w:rsidRDefault="00A268A4" w:rsidP="000401D2">
            <w:pPr>
              <w:rPr>
                <w:color w:val="000000"/>
              </w:rPr>
            </w:pPr>
            <w:r w:rsidRPr="00AD23E9">
              <w:rPr>
                <w:color w:val="000000"/>
              </w:rPr>
              <w:t>53</w:t>
            </w:r>
          </w:p>
        </w:tc>
        <w:tc>
          <w:tcPr>
            <w:tcW w:w="1083" w:type="dxa"/>
            <w:shd w:val="clear" w:color="auto" w:fill="auto"/>
            <w:noWrap/>
            <w:hideMark/>
          </w:tcPr>
          <w:p w:rsidR="00A268A4" w:rsidRPr="00AD23E9" w:rsidRDefault="00A268A4" w:rsidP="000401D2">
            <w:pPr>
              <w:rPr>
                <w:color w:val="000000"/>
              </w:rPr>
            </w:pPr>
            <w:r w:rsidRPr="00AD23E9">
              <w:rPr>
                <w:color w:val="000000"/>
              </w:rPr>
              <w:t>1</w:t>
            </w:r>
          </w:p>
        </w:tc>
        <w:tc>
          <w:tcPr>
            <w:tcW w:w="1270" w:type="dxa"/>
            <w:shd w:val="clear" w:color="auto" w:fill="auto"/>
            <w:noWrap/>
            <w:hideMark/>
          </w:tcPr>
          <w:p w:rsidR="00A268A4" w:rsidRPr="00AD23E9" w:rsidRDefault="00A268A4" w:rsidP="000401D2">
            <w:pPr>
              <w:rPr>
                <w:color w:val="000000"/>
              </w:rPr>
            </w:pPr>
            <w:r w:rsidRPr="00AD23E9">
              <w:rPr>
                <w:color w:val="000000"/>
              </w:rPr>
              <w:t>53</w:t>
            </w:r>
          </w:p>
        </w:tc>
        <w:tc>
          <w:tcPr>
            <w:tcW w:w="1742" w:type="dxa"/>
            <w:shd w:val="clear" w:color="auto" w:fill="auto"/>
            <w:noWrap/>
            <w:hideMark/>
          </w:tcPr>
          <w:p w:rsidR="00A268A4" w:rsidRPr="00AD23E9" w:rsidRDefault="00A268A4" w:rsidP="000401D2">
            <w:pPr>
              <w:rPr>
                <w:color w:val="000000"/>
              </w:rPr>
            </w:pPr>
            <w:r w:rsidRPr="00AD23E9">
              <w:rPr>
                <w:color w:val="000000"/>
              </w:rPr>
              <w:t>40</w:t>
            </w:r>
          </w:p>
        </w:tc>
        <w:tc>
          <w:tcPr>
            <w:tcW w:w="1176" w:type="dxa"/>
            <w:shd w:val="clear" w:color="auto" w:fill="auto"/>
            <w:noWrap/>
            <w:hideMark/>
          </w:tcPr>
          <w:p w:rsidR="00A268A4" w:rsidRPr="00AD23E9" w:rsidRDefault="00A268A4" w:rsidP="000401D2">
            <w:pPr>
              <w:rPr>
                <w:color w:val="000000"/>
              </w:rPr>
            </w:pPr>
            <w:r w:rsidRPr="00AD23E9">
              <w:rPr>
                <w:color w:val="000000"/>
              </w:rPr>
              <w:t>2120</w:t>
            </w:r>
          </w:p>
        </w:tc>
      </w:tr>
      <w:tr w:rsidR="00A268A4" w:rsidRPr="00AD23E9" w:rsidTr="000401D2">
        <w:trPr>
          <w:trHeight w:val="637"/>
        </w:trPr>
        <w:tc>
          <w:tcPr>
            <w:tcW w:w="1903" w:type="dxa"/>
            <w:shd w:val="clear" w:color="auto" w:fill="auto"/>
            <w:noWrap/>
            <w:hideMark/>
          </w:tcPr>
          <w:p w:rsidR="00A268A4" w:rsidRPr="00AD23E9" w:rsidRDefault="00A268A4" w:rsidP="000401D2">
            <w:pPr>
              <w:rPr>
                <w:b/>
                <w:bCs/>
              </w:rPr>
            </w:pPr>
            <w:r w:rsidRPr="00AD23E9">
              <w:rPr>
                <w:b/>
                <w:bCs/>
              </w:rPr>
              <w:t>273.7(c)(17)(iii)</w:t>
            </w:r>
            <w:r>
              <w:rPr>
                <w:b/>
                <w:bCs/>
              </w:rPr>
              <w:t xml:space="preserve">  Reporting</w:t>
            </w:r>
          </w:p>
        </w:tc>
        <w:tc>
          <w:tcPr>
            <w:tcW w:w="2182" w:type="dxa"/>
            <w:shd w:val="clear" w:color="auto" w:fill="auto"/>
            <w:hideMark/>
          </w:tcPr>
          <w:p w:rsidR="00A268A4" w:rsidRPr="00AD23E9" w:rsidRDefault="00A268A4" w:rsidP="000401D2">
            <w:pPr>
              <w:rPr>
                <w:color w:val="000000"/>
              </w:rPr>
            </w:pPr>
            <w:r w:rsidRPr="00AD23E9">
              <w:t>Median</w:t>
            </w:r>
            <w:r>
              <w:t xml:space="preserve"> quarterly</w:t>
            </w:r>
            <w:r w:rsidRPr="00AD23E9">
              <w:t xml:space="preserve"> earnings</w:t>
            </w:r>
          </w:p>
        </w:tc>
        <w:tc>
          <w:tcPr>
            <w:tcW w:w="1523" w:type="dxa"/>
            <w:shd w:val="clear" w:color="auto" w:fill="auto"/>
            <w:noWrap/>
            <w:hideMark/>
          </w:tcPr>
          <w:p w:rsidR="00A268A4" w:rsidRPr="00AD23E9" w:rsidRDefault="00A268A4" w:rsidP="000401D2">
            <w:pPr>
              <w:rPr>
                <w:color w:val="000000"/>
              </w:rPr>
            </w:pPr>
            <w:r w:rsidRPr="00AD23E9">
              <w:rPr>
                <w:color w:val="000000"/>
              </w:rPr>
              <w:t>53</w:t>
            </w:r>
          </w:p>
        </w:tc>
        <w:tc>
          <w:tcPr>
            <w:tcW w:w="1083" w:type="dxa"/>
            <w:shd w:val="clear" w:color="auto" w:fill="auto"/>
            <w:noWrap/>
            <w:hideMark/>
          </w:tcPr>
          <w:p w:rsidR="00A268A4" w:rsidRPr="00AD23E9" w:rsidRDefault="00A268A4" w:rsidP="000401D2">
            <w:pPr>
              <w:rPr>
                <w:color w:val="000000"/>
              </w:rPr>
            </w:pPr>
            <w:r w:rsidRPr="00AD23E9">
              <w:rPr>
                <w:color w:val="000000"/>
              </w:rPr>
              <w:t>1</w:t>
            </w:r>
          </w:p>
        </w:tc>
        <w:tc>
          <w:tcPr>
            <w:tcW w:w="1270" w:type="dxa"/>
            <w:shd w:val="clear" w:color="auto" w:fill="auto"/>
            <w:noWrap/>
            <w:hideMark/>
          </w:tcPr>
          <w:p w:rsidR="00A268A4" w:rsidRPr="00AD23E9" w:rsidRDefault="00A268A4" w:rsidP="000401D2">
            <w:pPr>
              <w:rPr>
                <w:color w:val="000000"/>
              </w:rPr>
            </w:pPr>
            <w:r w:rsidRPr="00AD23E9">
              <w:rPr>
                <w:color w:val="000000"/>
              </w:rPr>
              <w:t>53</w:t>
            </w:r>
          </w:p>
        </w:tc>
        <w:tc>
          <w:tcPr>
            <w:tcW w:w="1742" w:type="dxa"/>
            <w:shd w:val="clear" w:color="auto" w:fill="auto"/>
            <w:noWrap/>
            <w:hideMark/>
          </w:tcPr>
          <w:p w:rsidR="00A268A4" w:rsidRPr="00AD23E9" w:rsidRDefault="00A268A4" w:rsidP="000401D2">
            <w:pPr>
              <w:rPr>
                <w:color w:val="000000"/>
              </w:rPr>
            </w:pPr>
            <w:r w:rsidRPr="00AD23E9">
              <w:rPr>
                <w:color w:val="000000"/>
              </w:rPr>
              <w:t>40</w:t>
            </w:r>
          </w:p>
        </w:tc>
        <w:tc>
          <w:tcPr>
            <w:tcW w:w="1176" w:type="dxa"/>
            <w:shd w:val="clear" w:color="auto" w:fill="auto"/>
            <w:noWrap/>
            <w:hideMark/>
          </w:tcPr>
          <w:p w:rsidR="00A268A4" w:rsidRPr="00AD23E9" w:rsidRDefault="00A268A4" w:rsidP="000401D2">
            <w:pPr>
              <w:rPr>
                <w:color w:val="000000"/>
              </w:rPr>
            </w:pPr>
            <w:r w:rsidRPr="00AD23E9">
              <w:rPr>
                <w:color w:val="000000"/>
              </w:rPr>
              <w:t>2120</w:t>
            </w:r>
          </w:p>
        </w:tc>
      </w:tr>
      <w:tr w:rsidR="00A268A4" w:rsidRPr="00AD23E9" w:rsidTr="000401D2">
        <w:trPr>
          <w:trHeight w:val="780"/>
        </w:trPr>
        <w:tc>
          <w:tcPr>
            <w:tcW w:w="1903" w:type="dxa"/>
            <w:shd w:val="clear" w:color="auto" w:fill="auto"/>
            <w:noWrap/>
            <w:hideMark/>
          </w:tcPr>
          <w:p w:rsidR="00A268A4" w:rsidRPr="00AD23E9" w:rsidRDefault="00A268A4" w:rsidP="000401D2">
            <w:pPr>
              <w:rPr>
                <w:b/>
                <w:bCs/>
              </w:rPr>
            </w:pPr>
            <w:r w:rsidRPr="00AD23E9">
              <w:rPr>
                <w:b/>
                <w:bCs/>
              </w:rPr>
              <w:t>273.7(c)(17)(iv)</w:t>
            </w:r>
            <w:r>
              <w:rPr>
                <w:b/>
                <w:bCs/>
              </w:rPr>
              <w:t xml:space="preserve">  Reporting</w:t>
            </w:r>
          </w:p>
        </w:tc>
        <w:tc>
          <w:tcPr>
            <w:tcW w:w="2182" w:type="dxa"/>
            <w:shd w:val="clear" w:color="auto" w:fill="auto"/>
            <w:hideMark/>
          </w:tcPr>
          <w:p w:rsidR="00A268A4" w:rsidRPr="00AD23E9" w:rsidRDefault="00A268A4" w:rsidP="000401D2">
            <w:pPr>
              <w:rPr>
                <w:color w:val="000000"/>
              </w:rPr>
            </w:pPr>
            <w:r w:rsidRPr="00AD23E9">
              <w:t>E&amp;T participants that completed a training, educational, work experience or an on</w:t>
            </w:r>
            <w:r>
              <w:t>-</w:t>
            </w:r>
            <w:r w:rsidRPr="00AD23E9">
              <w:t>the</w:t>
            </w:r>
            <w:r>
              <w:t>-</w:t>
            </w:r>
            <w:r w:rsidRPr="00AD23E9">
              <w:t>job training component</w:t>
            </w:r>
            <w:r>
              <w:t xml:space="preserve"> within 6 months after completion of participation in </w:t>
            </w:r>
            <w:r>
              <w:lastRenderedPageBreak/>
              <w:t>E&amp;T</w:t>
            </w:r>
            <w:r w:rsidRPr="00AD23E9" w:rsidDel="00455922">
              <w:t xml:space="preserve"> </w:t>
            </w:r>
          </w:p>
        </w:tc>
        <w:tc>
          <w:tcPr>
            <w:tcW w:w="1523" w:type="dxa"/>
            <w:shd w:val="clear" w:color="auto" w:fill="auto"/>
            <w:noWrap/>
            <w:hideMark/>
          </w:tcPr>
          <w:p w:rsidR="00A268A4" w:rsidRPr="00AD23E9" w:rsidRDefault="00A268A4" w:rsidP="000401D2">
            <w:pPr>
              <w:rPr>
                <w:color w:val="000000"/>
              </w:rPr>
            </w:pPr>
            <w:r w:rsidRPr="00AD23E9">
              <w:rPr>
                <w:color w:val="000000"/>
              </w:rPr>
              <w:lastRenderedPageBreak/>
              <w:t xml:space="preserve">45 </w:t>
            </w:r>
          </w:p>
        </w:tc>
        <w:tc>
          <w:tcPr>
            <w:tcW w:w="1083" w:type="dxa"/>
            <w:shd w:val="clear" w:color="auto" w:fill="auto"/>
            <w:noWrap/>
            <w:hideMark/>
          </w:tcPr>
          <w:p w:rsidR="00A268A4" w:rsidRPr="00AD23E9" w:rsidRDefault="00A268A4" w:rsidP="000401D2">
            <w:pPr>
              <w:rPr>
                <w:color w:val="000000"/>
              </w:rPr>
            </w:pPr>
            <w:r w:rsidRPr="00AD23E9">
              <w:rPr>
                <w:color w:val="000000"/>
              </w:rPr>
              <w:t>1</w:t>
            </w:r>
          </w:p>
        </w:tc>
        <w:tc>
          <w:tcPr>
            <w:tcW w:w="1270" w:type="dxa"/>
            <w:shd w:val="clear" w:color="auto" w:fill="auto"/>
            <w:noWrap/>
            <w:hideMark/>
          </w:tcPr>
          <w:p w:rsidR="00A268A4" w:rsidRPr="00AD23E9" w:rsidRDefault="00A268A4" w:rsidP="000401D2">
            <w:pPr>
              <w:rPr>
                <w:color w:val="000000"/>
              </w:rPr>
            </w:pPr>
            <w:r w:rsidRPr="00AD23E9">
              <w:rPr>
                <w:color w:val="000000"/>
              </w:rPr>
              <w:t>45</w:t>
            </w:r>
          </w:p>
        </w:tc>
        <w:tc>
          <w:tcPr>
            <w:tcW w:w="1742" w:type="dxa"/>
            <w:shd w:val="clear" w:color="auto" w:fill="auto"/>
            <w:noWrap/>
            <w:hideMark/>
          </w:tcPr>
          <w:p w:rsidR="00A268A4" w:rsidRPr="00AD23E9" w:rsidRDefault="00A268A4" w:rsidP="000401D2">
            <w:pPr>
              <w:rPr>
                <w:color w:val="000000"/>
              </w:rPr>
            </w:pPr>
            <w:r>
              <w:rPr>
                <w:color w:val="000000"/>
              </w:rPr>
              <w:t>80</w:t>
            </w:r>
          </w:p>
        </w:tc>
        <w:tc>
          <w:tcPr>
            <w:tcW w:w="1176" w:type="dxa"/>
            <w:shd w:val="clear" w:color="auto" w:fill="auto"/>
            <w:noWrap/>
            <w:hideMark/>
          </w:tcPr>
          <w:p w:rsidR="00A268A4" w:rsidRPr="00AD23E9" w:rsidRDefault="00A268A4" w:rsidP="000401D2">
            <w:pPr>
              <w:rPr>
                <w:color w:val="000000"/>
              </w:rPr>
            </w:pPr>
            <w:r>
              <w:rPr>
                <w:color w:val="000000"/>
              </w:rPr>
              <w:t>3600</w:t>
            </w:r>
          </w:p>
        </w:tc>
      </w:tr>
      <w:tr w:rsidR="00A268A4" w:rsidRPr="00AD23E9" w:rsidTr="000401D2">
        <w:trPr>
          <w:trHeight w:val="961"/>
        </w:trPr>
        <w:tc>
          <w:tcPr>
            <w:tcW w:w="1903" w:type="dxa"/>
            <w:shd w:val="clear" w:color="auto" w:fill="auto"/>
            <w:noWrap/>
            <w:hideMark/>
          </w:tcPr>
          <w:p w:rsidR="00A268A4" w:rsidRPr="00AD23E9" w:rsidRDefault="00A268A4" w:rsidP="000401D2">
            <w:pPr>
              <w:rPr>
                <w:b/>
                <w:bCs/>
              </w:rPr>
            </w:pPr>
            <w:r w:rsidRPr="00AD23E9">
              <w:rPr>
                <w:b/>
                <w:bCs/>
              </w:rPr>
              <w:lastRenderedPageBreak/>
              <w:t>273.7(c)(17)(v) &amp; (vi)</w:t>
            </w:r>
            <w:r>
              <w:rPr>
                <w:b/>
                <w:bCs/>
              </w:rPr>
              <w:t xml:space="preserve">  Reporting</w:t>
            </w:r>
          </w:p>
        </w:tc>
        <w:tc>
          <w:tcPr>
            <w:tcW w:w="2182" w:type="dxa"/>
            <w:shd w:val="clear" w:color="auto" w:fill="auto"/>
            <w:hideMark/>
          </w:tcPr>
          <w:p w:rsidR="00A268A4" w:rsidRPr="00AD23E9" w:rsidRDefault="00A268A4" w:rsidP="000401D2">
            <w:pPr>
              <w:rPr>
                <w:color w:val="000000"/>
              </w:rPr>
            </w:pPr>
            <w:r w:rsidRPr="00AD23E9">
              <w:t xml:space="preserve">Characteristics of  E&amp;T participants, some broken </w:t>
            </w:r>
            <w:r>
              <w:t>out</w:t>
            </w:r>
            <w:r w:rsidRPr="00AD23E9">
              <w:t xml:space="preserve"> by 4 above measures</w:t>
            </w:r>
          </w:p>
        </w:tc>
        <w:tc>
          <w:tcPr>
            <w:tcW w:w="1523" w:type="dxa"/>
            <w:shd w:val="clear" w:color="auto" w:fill="auto"/>
            <w:noWrap/>
            <w:hideMark/>
          </w:tcPr>
          <w:p w:rsidR="00A268A4" w:rsidRPr="00AD23E9" w:rsidRDefault="00A268A4" w:rsidP="000401D2">
            <w:pPr>
              <w:rPr>
                <w:color w:val="000000"/>
              </w:rPr>
            </w:pPr>
            <w:r w:rsidRPr="00AD23E9">
              <w:rPr>
                <w:color w:val="000000"/>
              </w:rPr>
              <w:t>53</w:t>
            </w:r>
          </w:p>
        </w:tc>
        <w:tc>
          <w:tcPr>
            <w:tcW w:w="1083" w:type="dxa"/>
            <w:shd w:val="clear" w:color="auto" w:fill="auto"/>
            <w:noWrap/>
            <w:hideMark/>
          </w:tcPr>
          <w:p w:rsidR="00A268A4" w:rsidRPr="00AD23E9" w:rsidRDefault="00A268A4" w:rsidP="000401D2">
            <w:pPr>
              <w:rPr>
                <w:color w:val="000000"/>
              </w:rPr>
            </w:pPr>
            <w:r w:rsidRPr="00AD23E9">
              <w:rPr>
                <w:color w:val="000000"/>
              </w:rPr>
              <w:t>1</w:t>
            </w:r>
          </w:p>
        </w:tc>
        <w:tc>
          <w:tcPr>
            <w:tcW w:w="1270" w:type="dxa"/>
            <w:shd w:val="clear" w:color="auto" w:fill="auto"/>
            <w:noWrap/>
            <w:hideMark/>
          </w:tcPr>
          <w:p w:rsidR="00A268A4" w:rsidRPr="00AD23E9" w:rsidRDefault="00A268A4" w:rsidP="000401D2">
            <w:pPr>
              <w:rPr>
                <w:color w:val="000000"/>
              </w:rPr>
            </w:pPr>
            <w:r w:rsidRPr="00AD23E9">
              <w:rPr>
                <w:color w:val="000000"/>
              </w:rPr>
              <w:t>53</w:t>
            </w:r>
          </w:p>
        </w:tc>
        <w:tc>
          <w:tcPr>
            <w:tcW w:w="1742" w:type="dxa"/>
            <w:shd w:val="clear" w:color="auto" w:fill="auto"/>
            <w:noWrap/>
            <w:hideMark/>
          </w:tcPr>
          <w:p w:rsidR="00A268A4" w:rsidRPr="00AD23E9" w:rsidRDefault="00A268A4" w:rsidP="000401D2">
            <w:pPr>
              <w:rPr>
                <w:color w:val="000000"/>
              </w:rPr>
            </w:pPr>
            <w:r>
              <w:rPr>
                <w:color w:val="000000"/>
              </w:rPr>
              <w:t>20</w:t>
            </w:r>
          </w:p>
        </w:tc>
        <w:tc>
          <w:tcPr>
            <w:tcW w:w="1176" w:type="dxa"/>
            <w:shd w:val="clear" w:color="auto" w:fill="auto"/>
            <w:noWrap/>
            <w:hideMark/>
          </w:tcPr>
          <w:p w:rsidR="00A268A4" w:rsidRPr="00AD23E9" w:rsidRDefault="00A268A4" w:rsidP="000401D2">
            <w:pPr>
              <w:rPr>
                <w:color w:val="000000"/>
              </w:rPr>
            </w:pPr>
            <w:r>
              <w:rPr>
                <w:color w:val="000000"/>
              </w:rPr>
              <w:t>1060</w:t>
            </w:r>
          </w:p>
        </w:tc>
      </w:tr>
      <w:tr w:rsidR="00A268A4" w:rsidRPr="00AD23E9" w:rsidTr="000401D2">
        <w:trPr>
          <w:trHeight w:val="780"/>
        </w:trPr>
        <w:tc>
          <w:tcPr>
            <w:tcW w:w="1903" w:type="dxa"/>
            <w:shd w:val="clear" w:color="auto" w:fill="auto"/>
            <w:noWrap/>
            <w:hideMark/>
          </w:tcPr>
          <w:p w:rsidR="00A268A4" w:rsidRPr="00AD23E9" w:rsidRDefault="00A268A4" w:rsidP="000401D2">
            <w:pPr>
              <w:rPr>
                <w:b/>
                <w:bCs/>
              </w:rPr>
            </w:pPr>
            <w:r w:rsidRPr="00AD23E9">
              <w:rPr>
                <w:b/>
                <w:bCs/>
              </w:rPr>
              <w:t>273.7(c)(17)(vii)</w:t>
            </w:r>
            <w:r>
              <w:rPr>
                <w:b/>
                <w:bCs/>
              </w:rPr>
              <w:t xml:space="preserve">  Reporting</w:t>
            </w:r>
          </w:p>
        </w:tc>
        <w:tc>
          <w:tcPr>
            <w:tcW w:w="2182" w:type="dxa"/>
            <w:shd w:val="clear" w:color="auto" w:fill="auto"/>
            <w:hideMark/>
          </w:tcPr>
          <w:p w:rsidR="00A268A4" w:rsidRPr="00AD23E9" w:rsidRDefault="00A268A4" w:rsidP="000401D2">
            <w:pPr>
              <w:rPr>
                <w:b/>
                <w:bCs/>
              </w:rPr>
            </w:pPr>
            <w:r w:rsidRPr="00AD23E9">
              <w:t>Measures in a State agencies’ E&amp;T  plan for components that are designed to serve at least 100 E&amp;T participants a year</w:t>
            </w:r>
          </w:p>
        </w:tc>
        <w:tc>
          <w:tcPr>
            <w:tcW w:w="1523" w:type="dxa"/>
            <w:shd w:val="clear" w:color="auto" w:fill="auto"/>
            <w:noWrap/>
            <w:hideMark/>
          </w:tcPr>
          <w:p w:rsidR="00A268A4" w:rsidRPr="00AD23E9" w:rsidRDefault="00A268A4" w:rsidP="000401D2">
            <w:pPr>
              <w:rPr>
                <w:bCs/>
              </w:rPr>
            </w:pPr>
            <w:r w:rsidRPr="00AD23E9">
              <w:rPr>
                <w:bCs/>
              </w:rPr>
              <w:t xml:space="preserve">53 </w:t>
            </w:r>
          </w:p>
        </w:tc>
        <w:tc>
          <w:tcPr>
            <w:tcW w:w="1083" w:type="dxa"/>
            <w:shd w:val="clear" w:color="auto" w:fill="auto"/>
            <w:noWrap/>
            <w:hideMark/>
          </w:tcPr>
          <w:p w:rsidR="00A268A4" w:rsidRPr="00AD23E9" w:rsidRDefault="00A268A4" w:rsidP="000401D2">
            <w:pPr>
              <w:rPr>
                <w:bCs/>
              </w:rPr>
            </w:pPr>
            <w:r w:rsidRPr="00AD23E9">
              <w:rPr>
                <w:bCs/>
              </w:rPr>
              <w:t>1</w:t>
            </w:r>
          </w:p>
        </w:tc>
        <w:tc>
          <w:tcPr>
            <w:tcW w:w="1270" w:type="dxa"/>
            <w:shd w:val="clear" w:color="auto" w:fill="auto"/>
            <w:noWrap/>
            <w:hideMark/>
          </w:tcPr>
          <w:p w:rsidR="00A268A4" w:rsidRPr="00AD23E9" w:rsidRDefault="00A268A4" w:rsidP="000401D2">
            <w:pPr>
              <w:rPr>
                <w:bCs/>
              </w:rPr>
            </w:pPr>
            <w:r w:rsidRPr="00AD23E9">
              <w:rPr>
                <w:bCs/>
              </w:rPr>
              <w:t>53</w:t>
            </w:r>
          </w:p>
        </w:tc>
        <w:tc>
          <w:tcPr>
            <w:tcW w:w="1742" w:type="dxa"/>
            <w:shd w:val="clear" w:color="auto" w:fill="auto"/>
            <w:noWrap/>
            <w:hideMark/>
          </w:tcPr>
          <w:p w:rsidR="00A268A4" w:rsidRPr="00AD23E9" w:rsidRDefault="00A268A4" w:rsidP="000401D2">
            <w:pPr>
              <w:rPr>
                <w:bCs/>
              </w:rPr>
            </w:pPr>
            <w:r w:rsidRPr="00AD23E9">
              <w:rPr>
                <w:bCs/>
              </w:rPr>
              <w:t>20</w:t>
            </w:r>
          </w:p>
        </w:tc>
        <w:tc>
          <w:tcPr>
            <w:tcW w:w="1176" w:type="dxa"/>
            <w:shd w:val="clear" w:color="auto" w:fill="auto"/>
            <w:noWrap/>
            <w:hideMark/>
          </w:tcPr>
          <w:p w:rsidR="00A268A4" w:rsidRPr="00AD23E9" w:rsidRDefault="00A268A4" w:rsidP="000401D2">
            <w:pPr>
              <w:rPr>
                <w:bCs/>
              </w:rPr>
            </w:pPr>
            <w:r w:rsidRPr="00AD23E9">
              <w:rPr>
                <w:bCs/>
              </w:rPr>
              <w:t>1060</w:t>
            </w:r>
          </w:p>
        </w:tc>
      </w:tr>
      <w:tr w:rsidR="00A268A4" w:rsidRPr="00AD23E9" w:rsidTr="000401D2">
        <w:trPr>
          <w:trHeight w:val="525"/>
        </w:trPr>
        <w:tc>
          <w:tcPr>
            <w:tcW w:w="1903" w:type="dxa"/>
            <w:shd w:val="clear" w:color="auto" w:fill="auto"/>
            <w:noWrap/>
            <w:hideMark/>
          </w:tcPr>
          <w:p w:rsidR="00A268A4" w:rsidRPr="00AD23E9" w:rsidRDefault="00A268A4" w:rsidP="000401D2">
            <w:pPr>
              <w:rPr>
                <w:b/>
                <w:bCs/>
              </w:rPr>
            </w:pPr>
            <w:r w:rsidRPr="00AD23E9">
              <w:rPr>
                <w:b/>
                <w:bCs/>
              </w:rPr>
              <w:t>273.7(c)(17)(viii)</w:t>
            </w:r>
            <w:r>
              <w:rPr>
                <w:b/>
                <w:bCs/>
              </w:rPr>
              <w:t xml:space="preserve">  Reporting</w:t>
            </w:r>
          </w:p>
        </w:tc>
        <w:tc>
          <w:tcPr>
            <w:tcW w:w="2182" w:type="dxa"/>
            <w:shd w:val="clear" w:color="auto" w:fill="auto"/>
            <w:hideMark/>
          </w:tcPr>
          <w:p w:rsidR="00A268A4" w:rsidRPr="00AD23E9" w:rsidRDefault="00A268A4" w:rsidP="000401D2">
            <w:pPr>
              <w:rPr>
                <w:b/>
                <w:bCs/>
              </w:rPr>
            </w:pPr>
            <w:r w:rsidRPr="00AD23E9">
              <w:t>Information about ABAWDs from State agencies that have committed to offering them participation in a qualifying activity</w:t>
            </w:r>
          </w:p>
        </w:tc>
        <w:tc>
          <w:tcPr>
            <w:tcW w:w="1523" w:type="dxa"/>
            <w:shd w:val="clear" w:color="auto" w:fill="auto"/>
            <w:noWrap/>
            <w:hideMark/>
          </w:tcPr>
          <w:p w:rsidR="00A268A4" w:rsidRPr="00AD23E9" w:rsidRDefault="00A268A4" w:rsidP="000401D2">
            <w:pPr>
              <w:rPr>
                <w:bCs/>
              </w:rPr>
            </w:pPr>
            <w:r w:rsidRPr="00AD23E9">
              <w:rPr>
                <w:bCs/>
              </w:rPr>
              <w:t>10</w:t>
            </w:r>
          </w:p>
        </w:tc>
        <w:tc>
          <w:tcPr>
            <w:tcW w:w="1083" w:type="dxa"/>
            <w:shd w:val="clear" w:color="auto" w:fill="auto"/>
            <w:noWrap/>
            <w:hideMark/>
          </w:tcPr>
          <w:p w:rsidR="00A268A4" w:rsidRPr="00AD23E9" w:rsidRDefault="00A268A4" w:rsidP="000401D2">
            <w:pPr>
              <w:rPr>
                <w:bCs/>
              </w:rPr>
            </w:pPr>
            <w:r w:rsidRPr="00AD23E9">
              <w:rPr>
                <w:bCs/>
              </w:rPr>
              <w:t>1</w:t>
            </w:r>
          </w:p>
        </w:tc>
        <w:tc>
          <w:tcPr>
            <w:tcW w:w="1270" w:type="dxa"/>
            <w:shd w:val="clear" w:color="auto" w:fill="auto"/>
            <w:noWrap/>
            <w:hideMark/>
          </w:tcPr>
          <w:p w:rsidR="00A268A4" w:rsidRPr="00AD23E9" w:rsidRDefault="00A268A4" w:rsidP="000401D2">
            <w:pPr>
              <w:rPr>
                <w:bCs/>
              </w:rPr>
            </w:pPr>
            <w:r w:rsidRPr="00AD23E9">
              <w:rPr>
                <w:bCs/>
              </w:rPr>
              <w:t>10</w:t>
            </w:r>
          </w:p>
        </w:tc>
        <w:tc>
          <w:tcPr>
            <w:tcW w:w="1742" w:type="dxa"/>
            <w:shd w:val="clear" w:color="auto" w:fill="auto"/>
            <w:noWrap/>
            <w:hideMark/>
          </w:tcPr>
          <w:p w:rsidR="00A268A4" w:rsidRPr="00AD23E9" w:rsidRDefault="00A268A4" w:rsidP="000401D2">
            <w:pPr>
              <w:rPr>
                <w:bCs/>
              </w:rPr>
            </w:pPr>
            <w:r w:rsidRPr="00AD23E9">
              <w:rPr>
                <w:bCs/>
              </w:rPr>
              <w:t>1</w:t>
            </w:r>
            <w:r>
              <w:rPr>
                <w:bCs/>
              </w:rPr>
              <w:t>0</w:t>
            </w:r>
          </w:p>
        </w:tc>
        <w:tc>
          <w:tcPr>
            <w:tcW w:w="1176" w:type="dxa"/>
            <w:shd w:val="clear" w:color="auto" w:fill="auto"/>
            <w:noWrap/>
            <w:hideMark/>
          </w:tcPr>
          <w:p w:rsidR="00A268A4" w:rsidRPr="00AD23E9" w:rsidRDefault="00A268A4" w:rsidP="000401D2">
            <w:pPr>
              <w:rPr>
                <w:bCs/>
              </w:rPr>
            </w:pPr>
            <w:r w:rsidRPr="00AD23E9">
              <w:rPr>
                <w:bCs/>
              </w:rPr>
              <w:t>10</w:t>
            </w:r>
            <w:r>
              <w:rPr>
                <w:bCs/>
              </w:rPr>
              <w:t>0</w:t>
            </w:r>
          </w:p>
        </w:tc>
      </w:tr>
      <w:tr w:rsidR="00A268A4" w:rsidRPr="00AD23E9" w:rsidTr="000401D2">
        <w:trPr>
          <w:trHeight w:val="270"/>
        </w:trPr>
        <w:tc>
          <w:tcPr>
            <w:tcW w:w="4085" w:type="dxa"/>
            <w:gridSpan w:val="2"/>
            <w:shd w:val="clear" w:color="000000" w:fill="D9D9D9"/>
            <w:vAlign w:val="bottom"/>
            <w:hideMark/>
          </w:tcPr>
          <w:p w:rsidR="00A268A4" w:rsidRPr="00AD23E9" w:rsidRDefault="00A268A4" w:rsidP="000401D2">
            <w:pPr>
              <w:rPr>
                <w:b/>
                <w:bCs/>
                <w:color w:val="000000"/>
              </w:rPr>
            </w:pPr>
            <w:r>
              <w:rPr>
                <w:b/>
                <w:bCs/>
                <w:color w:val="000000"/>
              </w:rPr>
              <w:t xml:space="preserve">Total </w:t>
            </w:r>
            <w:r w:rsidRPr="00AD23E9">
              <w:rPr>
                <w:b/>
                <w:bCs/>
                <w:color w:val="000000"/>
              </w:rPr>
              <w:t>Reporting</w:t>
            </w:r>
          </w:p>
        </w:tc>
        <w:tc>
          <w:tcPr>
            <w:tcW w:w="1523" w:type="dxa"/>
            <w:shd w:val="clear" w:color="000000" w:fill="D9D9D9"/>
            <w:noWrap/>
            <w:hideMark/>
          </w:tcPr>
          <w:p w:rsidR="00A268A4" w:rsidRPr="00AD23E9" w:rsidRDefault="00A268A4" w:rsidP="000401D2">
            <w:pPr>
              <w:rPr>
                <w:b/>
                <w:bCs/>
                <w:color w:val="000000"/>
              </w:rPr>
            </w:pPr>
            <w:r w:rsidRPr="00AD23E9">
              <w:rPr>
                <w:b/>
              </w:rPr>
              <w:t xml:space="preserve"> 53 </w:t>
            </w:r>
          </w:p>
        </w:tc>
        <w:tc>
          <w:tcPr>
            <w:tcW w:w="1083" w:type="dxa"/>
            <w:shd w:val="clear" w:color="000000" w:fill="D9D9D9"/>
            <w:noWrap/>
            <w:hideMark/>
          </w:tcPr>
          <w:p w:rsidR="00A268A4" w:rsidRPr="00AD23E9" w:rsidRDefault="00A268A4" w:rsidP="000401D2">
            <w:pPr>
              <w:rPr>
                <w:b/>
                <w:bCs/>
                <w:color w:val="000000"/>
              </w:rPr>
            </w:pPr>
            <w:r w:rsidRPr="00AD23E9">
              <w:rPr>
                <w:b/>
              </w:rPr>
              <w:t xml:space="preserve"> </w:t>
            </w:r>
            <w:r>
              <w:rPr>
                <w:b/>
              </w:rPr>
              <w:t>7</w:t>
            </w:r>
          </w:p>
        </w:tc>
        <w:tc>
          <w:tcPr>
            <w:tcW w:w="1270" w:type="dxa"/>
            <w:shd w:val="clear" w:color="000000" w:fill="D9D9D9"/>
            <w:noWrap/>
            <w:hideMark/>
          </w:tcPr>
          <w:p w:rsidR="00A268A4" w:rsidRPr="00AD23E9" w:rsidRDefault="00A268A4" w:rsidP="000401D2">
            <w:pPr>
              <w:rPr>
                <w:b/>
                <w:bCs/>
                <w:color w:val="000000"/>
              </w:rPr>
            </w:pPr>
            <w:r w:rsidRPr="00AD23E9">
              <w:rPr>
                <w:b/>
              </w:rPr>
              <w:t xml:space="preserve"> 320 </w:t>
            </w:r>
          </w:p>
        </w:tc>
        <w:tc>
          <w:tcPr>
            <w:tcW w:w="1742" w:type="dxa"/>
            <w:shd w:val="clear" w:color="000000" w:fill="D9D9D9"/>
            <w:noWrap/>
            <w:hideMark/>
          </w:tcPr>
          <w:p w:rsidR="00A268A4" w:rsidRPr="00AD23E9" w:rsidRDefault="00A268A4" w:rsidP="000401D2">
            <w:pPr>
              <w:rPr>
                <w:b/>
                <w:bCs/>
                <w:color w:val="000000"/>
              </w:rPr>
            </w:pPr>
            <w:r>
              <w:rPr>
                <w:b/>
              </w:rPr>
              <w:t>38</w:t>
            </w:r>
          </w:p>
        </w:tc>
        <w:tc>
          <w:tcPr>
            <w:tcW w:w="1176" w:type="dxa"/>
            <w:shd w:val="clear" w:color="000000" w:fill="D9D9D9"/>
            <w:noWrap/>
            <w:hideMark/>
          </w:tcPr>
          <w:p w:rsidR="00A268A4" w:rsidRPr="00AD23E9" w:rsidRDefault="00A268A4" w:rsidP="000401D2">
            <w:pPr>
              <w:rPr>
                <w:b/>
                <w:bCs/>
                <w:color w:val="000000"/>
              </w:rPr>
            </w:pPr>
            <w:r>
              <w:rPr>
                <w:b/>
              </w:rPr>
              <w:t>12,180</w:t>
            </w:r>
          </w:p>
        </w:tc>
      </w:tr>
      <w:tr w:rsidR="00A268A4" w:rsidRPr="00AD23E9" w:rsidTr="000401D2">
        <w:trPr>
          <w:trHeight w:val="270"/>
        </w:trPr>
        <w:tc>
          <w:tcPr>
            <w:tcW w:w="4085" w:type="dxa"/>
            <w:gridSpan w:val="2"/>
            <w:shd w:val="clear" w:color="000000" w:fill="D9D9D9"/>
            <w:noWrap/>
            <w:vAlign w:val="bottom"/>
            <w:hideMark/>
          </w:tcPr>
          <w:p w:rsidR="00A268A4" w:rsidRPr="00AD23E9" w:rsidRDefault="00A268A4" w:rsidP="000401D2">
            <w:pPr>
              <w:rPr>
                <w:b/>
                <w:bCs/>
                <w:color w:val="000000"/>
              </w:rPr>
            </w:pPr>
            <w:r>
              <w:rPr>
                <w:b/>
                <w:bCs/>
                <w:color w:val="000000"/>
              </w:rPr>
              <w:t xml:space="preserve">Total </w:t>
            </w:r>
            <w:r w:rsidRPr="00AD23E9">
              <w:rPr>
                <w:b/>
                <w:bCs/>
                <w:color w:val="000000"/>
              </w:rPr>
              <w:t xml:space="preserve">Recordkeeping </w:t>
            </w:r>
          </w:p>
        </w:tc>
        <w:tc>
          <w:tcPr>
            <w:tcW w:w="1523" w:type="dxa"/>
            <w:shd w:val="clear" w:color="000000" w:fill="D9D9D9"/>
            <w:noWrap/>
            <w:vAlign w:val="bottom"/>
            <w:hideMark/>
          </w:tcPr>
          <w:p w:rsidR="00A268A4" w:rsidRPr="00AD23E9" w:rsidRDefault="00A268A4" w:rsidP="000401D2">
            <w:pPr>
              <w:rPr>
                <w:b/>
                <w:bCs/>
                <w:color w:val="000000"/>
              </w:rPr>
            </w:pPr>
            <w:r w:rsidRPr="00AD23E9">
              <w:rPr>
                <w:b/>
                <w:bCs/>
                <w:color w:val="000000"/>
              </w:rPr>
              <w:t>53</w:t>
            </w:r>
          </w:p>
        </w:tc>
        <w:tc>
          <w:tcPr>
            <w:tcW w:w="1083" w:type="dxa"/>
            <w:shd w:val="clear" w:color="000000" w:fill="D9D9D9"/>
            <w:noWrap/>
            <w:vAlign w:val="bottom"/>
            <w:hideMark/>
          </w:tcPr>
          <w:p w:rsidR="00A268A4" w:rsidRPr="00AD23E9" w:rsidRDefault="00A268A4" w:rsidP="000401D2">
            <w:pPr>
              <w:rPr>
                <w:b/>
                <w:bCs/>
                <w:color w:val="000000"/>
              </w:rPr>
            </w:pPr>
            <w:r w:rsidRPr="00AD23E9">
              <w:rPr>
                <w:b/>
                <w:bCs/>
                <w:color w:val="000000"/>
              </w:rPr>
              <w:t> 1</w:t>
            </w:r>
          </w:p>
        </w:tc>
        <w:tc>
          <w:tcPr>
            <w:tcW w:w="1270" w:type="dxa"/>
            <w:shd w:val="clear" w:color="000000" w:fill="D9D9D9"/>
            <w:noWrap/>
            <w:vAlign w:val="bottom"/>
            <w:hideMark/>
          </w:tcPr>
          <w:p w:rsidR="00A268A4" w:rsidRPr="00AD23E9" w:rsidRDefault="00A268A4" w:rsidP="000401D2">
            <w:pPr>
              <w:rPr>
                <w:b/>
                <w:bCs/>
                <w:color w:val="000000"/>
              </w:rPr>
            </w:pPr>
            <w:r w:rsidRPr="00AD23E9">
              <w:rPr>
                <w:b/>
                <w:bCs/>
                <w:color w:val="000000"/>
              </w:rPr>
              <w:t>53</w:t>
            </w:r>
          </w:p>
        </w:tc>
        <w:tc>
          <w:tcPr>
            <w:tcW w:w="1742" w:type="dxa"/>
            <w:shd w:val="clear" w:color="000000" w:fill="D9D9D9"/>
            <w:noWrap/>
            <w:vAlign w:val="bottom"/>
            <w:hideMark/>
          </w:tcPr>
          <w:p w:rsidR="00A268A4" w:rsidRPr="00AD23E9" w:rsidRDefault="00A268A4" w:rsidP="000401D2">
            <w:pPr>
              <w:rPr>
                <w:b/>
                <w:bCs/>
                <w:color w:val="000000"/>
              </w:rPr>
            </w:pPr>
            <w:r w:rsidRPr="00AD23E9">
              <w:rPr>
                <w:b/>
                <w:bCs/>
                <w:color w:val="000000"/>
              </w:rPr>
              <w:t> 1</w:t>
            </w:r>
          </w:p>
        </w:tc>
        <w:tc>
          <w:tcPr>
            <w:tcW w:w="1176" w:type="dxa"/>
            <w:shd w:val="clear" w:color="000000" w:fill="D9D9D9"/>
            <w:noWrap/>
            <w:vAlign w:val="bottom"/>
            <w:hideMark/>
          </w:tcPr>
          <w:p w:rsidR="00A268A4" w:rsidRPr="00AD23E9" w:rsidRDefault="00A268A4" w:rsidP="000401D2">
            <w:pPr>
              <w:rPr>
                <w:b/>
                <w:bCs/>
                <w:color w:val="000000"/>
              </w:rPr>
            </w:pPr>
            <w:r w:rsidRPr="00AD23E9">
              <w:rPr>
                <w:b/>
                <w:bCs/>
                <w:color w:val="000000"/>
              </w:rPr>
              <w:t>53</w:t>
            </w:r>
          </w:p>
        </w:tc>
      </w:tr>
      <w:tr w:rsidR="00A268A4" w:rsidRPr="00AD23E9" w:rsidTr="00111D60">
        <w:trPr>
          <w:trHeight w:val="270"/>
        </w:trPr>
        <w:tc>
          <w:tcPr>
            <w:tcW w:w="4085" w:type="dxa"/>
            <w:gridSpan w:val="2"/>
            <w:shd w:val="clear" w:color="000000" w:fill="D9D9D9"/>
            <w:noWrap/>
            <w:vAlign w:val="bottom"/>
          </w:tcPr>
          <w:p w:rsidR="00A268A4" w:rsidRDefault="00A268A4" w:rsidP="000401D2">
            <w:pPr>
              <w:rPr>
                <w:b/>
                <w:bCs/>
                <w:color w:val="000000"/>
              </w:rPr>
            </w:pPr>
            <w:r>
              <w:rPr>
                <w:b/>
                <w:bCs/>
                <w:color w:val="000000"/>
              </w:rPr>
              <w:t>Total</w:t>
            </w:r>
          </w:p>
        </w:tc>
        <w:tc>
          <w:tcPr>
            <w:tcW w:w="1523" w:type="dxa"/>
            <w:shd w:val="clear" w:color="000000" w:fill="D9D9D9"/>
            <w:noWrap/>
            <w:vAlign w:val="center"/>
          </w:tcPr>
          <w:p w:rsidR="00A268A4" w:rsidRPr="00AD23E9" w:rsidRDefault="00A268A4" w:rsidP="000401D2">
            <w:pPr>
              <w:rPr>
                <w:b/>
                <w:bCs/>
                <w:color w:val="000000"/>
              </w:rPr>
            </w:pPr>
            <w:r>
              <w:rPr>
                <w:b/>
                <w:bCs/>
                <w:color w:val="000000"/>
              </w:rPr>
              <w:t>53</w:t>
            </w:r>
          </w:p>
        </w:tc>
        <w:tc>
          <w:tcPr>
            <w:tcW w:w="1083" w:type="dxa"/>
            <w:shd w:val="clear" w:color="000000" w:fill="D9D9D9"/>
            <w:noWrap/>
            <w:vAlign w:val="center"/>
          </w:tcPr>
          <w:p w:rsidR="00A268A4" w:rsidRPr="00AD23E9" w:rsidRDefault="00A268A4" w:rsidP="000401D2">
            <w:pPr>
              <w:rPr>
                <w:b/>
                <w:bCs/>
                <w:color w:val="000000"/>
              </w:rPr>
            </w:pPr>
            <w:r>
              <w:rPr>
                <w:b/>
                <w:bCs/>
                <w:color w:val="000000"/>
              </w:rPr>
              <w:t>7.03774</w:t>
            </w:r>
          </w:p>
        </w:tc>
        <w:tc>
          <w:tcPr>
            <w:tcW w:w="1270" w:type="dxa"/>
            <w:shd w:val="clear" w:color="000000" w:fill="D9D9D9"/>
            <w:noWrap/>
            <w:vAlign w:val="center"/>
          </w:tcPr>
          <w:p w:rsidR="00A268A4" w:rsidRPr="00AD23E9" w:rsidRDefault="00A268A4" w:rsidP="000401D2">
            <w:pPr>
              <w:rPr>
                <w:b/>
                <w:bCs/>
                <w:color w:val="000000"/>
              </w:rPr>
            </w:pPr>
            <w:r>
              <w:rPr>
                <w:b/>
                <w:bCs/>
                <w:color w:val="000000"/>
              </w:rPr>
              <w:t>373</w:t>
            </w:r>
          </w:p>
        </w:tc>
        <w:tc>
          <w:tcPr>
            <w:tcW w:w="1742" w:type="dxa"/>
            <w:shd w:val="clear" w:color="000000" w:fill="D9D9D9"/>
            <w:noWrap/>
            <w:vAlign w:val="center"/>
          </w:tcPr>
          <w:p w:rsidR="00A268A4" w:rsidRPr="00AD23E9" w:rsidRDefault="00A268A4" w:rsidP="000401D2">
            <w:pPr>
              <w:rPr>
                <w:b/>
                <w:bCs/>
                <w:color w:val="000000"/>
              </w:rPr>
            </w:pPr>
            <w:r>
              <w:rPr>
                <w:b/>
                <w:bCs/>
                <w:color w:val="000000"/>
              </w:rPr>
              <w:t>32.7962</w:t>
            </w:r>
          </w:p>
        </w:tc>
        <w:tc>
          <w:tcPr>
            <w:tcW w:w="1176" w:type="dxa"/>
            <w:shd w:val="clear" w:color="000000" w:fill="D9D9D9"/>
            <w:noWrap/>
            <w:vAlign w:val="center"/>
          </w:tcPr>
          <w:p w:rsidR="00A268A4" w:rsidRPr="00AD23E9" w:rsidRDefault="00A268A4" w:rsidP="000401D2">
            <w:pPr>
              <w:rPr>
                <w:b/>
                <w:bCs/>
                <w:color w:val="000000"/>
              </w:rPr>
            </w:pPr>
            <w:r>
              <w:rPr>
                <w:b/>
                <w:bCs/>
                <w:color w:val="000000"/>
              </w:rPr>
              <w:t>12</w:t>
            </w:r>
            <w:r w:rsidR="00EB0028">
              <w:rPr>
                <w:b/>
                <w:bCs/>
                <w:color w:val="000000"/>
              </w:rPr>
              <w:t>,</w:t>
            </w:r>
            <w:r>
              <w:rPr>
                <w:b/>
                <w:bCs/>
                <w:color w:val="000000"/>
              </w:rPr>
              <w:t>233</w:t>
            </w:r>
          </w:p>
        </w:tc>
      </w:tr>
    </w:tbl>
    <w:p w:rsidR="00241B29" w:rsidRDefault="00241B29" w:rsidP="00241B29">
      <w:pPr>
        <w:spacing w:line="480" w:lineRule="auto"/>
      </w:pPr>
    </w:p>
    <w:p w:rsidR="00241B29" w:rsidRDefault="00241B29" w:rsidP="00241B29">
      <w:pPr>
        <w:spacing w:line="276" w:lineRule="auto"/>
        <w:rPr>
          <w:highlight w:val="cyan"/>
        </w:rPr>
      </w:pPr>
    </w:p>
    <w:p w:rsidR="00F259D8" w:rsidRPr="00942B5F" w:rsidRDefault="00EB0028" w:rsidP="00F259D8">
      <w:pPr>
        <w:pStyle w:val="p6"/>
        <w:spacing w:line="480" w:lineRule="auto"/>
        <w:ind w:left="187"/>
        <w:rPr>
          <w:b/>
        </w:rPr>
      </w:pPr>
      <w:r>
        <w:rPr>
          <w:b/>
          <w:bCs/>
        </w:rPr>
        <w:tab/>
      </w:r>
      <w:r w:rsidR="00F259D8">
        <w:rPr>
          <w:b/>
        </w:rPr>
        <w:t xml:space="preserve">Provide </w:t>
      </w:r>
      <w:r w:rsidR="00F259D8" w:rsidRPr="00942B5F">
        <w:rPr>
          <w:b/>
        </w:rPr>
        <w:t>estimates of annualized cost to respondents for the hour burdens for collections of information, identifying and using appropriate wage rate categories.</w:t>
      </w:r>
    </w:p>
    <w:p w:rsidR="00A268A4" w:rsidRDefault="00F259D8" w:rsidP="00F55FC2">
      <w:pPr>
        <w:pStyle w:val="BodyText"/>
        <w:spacing w:line="480" w:lineRule="auto"/>
        <w:rPr>
          <w:b w:val="0"/>
          <w:bCs w:val="0"/>
        </w:rPr>
      </w:pPr>
      <w:r w:rsidRPr="00F259D8">
        <w:rPr>
          <w:b w:val="0"/>
        </w:rPr>
        <w:t>According to the Bureau of Labor Statistics, the average compensation cost per hour for state employees was $43.07 in June 2014.</w:t>
      </w:r>
      <w:r>
        <w:rPr>
          <w:b w:val="0"/>
        </w:rPr>
        <w:t xml:space="preserve">  T</w:t>
      </w:r>
      <w:r w:rsidR="00A268A4" w:rsidRPr="00F259D8">
        <w:rPr>
          <w:b w:val="0"/>
        </w:rPr>
        <w:t>he annual cost to States of the reporting requirements is estimated to be $</w:t>
      </w:r>
      <w:r>
        <w:rPr>
          <w:b w:val="0"/>
        </w:rPr>
        <w:t>526,875</w:t>
      </w:r>
      <w:r w:rsidR="00A268A4" w:rsidRPr="00F259D8">
        <w:rPr>
          <w:b w:val="0"/>
        </w:rPr>
        <w:t xml:space="preserve">. </w:t>
      </w:r>
      <w:r>
        <w:rPr>
          <w:b w:val="0"/>
        </w:rPr>
        <w:t xml:space="preserve"> </w:t>
      </w:r>
    </w:p>
    <w:p w:rsidR="00F55FC2" w:rsidRPr="008D2369" w:rsidRDefault="00F55FC2" w:rsidP="00F259D8">
      <w:pPr>
        <w:pStyle w:val="BodyText"/>
        <w:spacing w:line="480" w:lineRule="auto"/>
        <w:ind w:firstLine="720"/>
        <w:rPr>
          <w:b w:val="0"/>
          <w:color w:val="000000"/>
        </w:rPr>
      </w:pPr>
      <w:r w:rsidRPr="00073779">
        <w:rPr>
          <w:b w:val="0"/>
          <w:bCs w:val="0"/>
        </w:rPr>
        <w:t>The Department funds SNAP E&amp;T programs through $90 million in E&amp;T grants and an additional $20 million in grants for State agencies that pledge to serve all ABAWDs at-risk of losing eligibility due to time-limited participation.  In addition to these grants, the Department reimburses State agencies for 50 percent of approved administrative costs beyond the E&amp;T grant</w:t>
      </w:r>
      <w:proofErr w:type="gramStart"/>
      <w:r>
        <w:rPr>
          <w:b w:val="0"/>
          <w:bCs w:val="0"/>
        </w:rPr>
        <w:t>.</w:t>
      </w:r>
      <w:r w:rsidRPr="00073779">
        <w:rPr>
          <w:b w:val="0"/>
          <w:bCs w:val="0"/>
        </w:rPr>
        <w:t xml:space="preserve"> </w:t>
      </w:r>
      <w:proofErr w:type="gramEnd"/>
      <w:r>
        <w:rPr>
          <w:b w:val="0"/>
          <w:bCs w:val="0"/>
        </w:rPr>
        <w:lastRenderedPageBreak/>
        <w:t xml:space="preserve">Therefore, the cost to States for implementation and ongoing reporting of performance measures may be paid for in their entirety by their Federal grant.  </w:t>
      </w:r>
    </w:p>
    <w:p w:rsidR="00241B29" w:rsidRDefault="00241B29" w:rsidP="00241B29">
      <w:pPr>
        <w:spacing w:line="480" w:lineRule="auto"/>
      </w:pPr>
    </w:p>
    <w:p w:rsidR="009742E9" w:rsidRDefault="009742E9" w:rsidP="00CE4932">
      <w:pPr>
        <w:pStyle w:val="BodyText"/>
        <w:spacing w:line="480" w:lineRule="auto"/>
        <w:rPr>
          <w:color w:val="000000"/>
        </w:rPr>
      </w:pPr>
      <w:r w:rsidRPr="0083611F">
        <w:rPr>
          <w:color w:val="000000"/>
        </w:rPr>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o respondents or record</w:t>
      </w:r>
      <w:r w:rsidR="00FF6850" w:rsidRPr="001A55B6">
        <w:t>keepers resulting from the collection of information, (do not include the cost of any hour</w:t>
      </w:r>
      <w:r w:rsidR="00FF6850">
        <w:t xml:space="preserve"> burden 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rsidR="00EB0028" w:rsidRDefault="00EB0028" w:rsidP="00933A3C">
      <w:pPr>
        <w:spacing w:line="480" w:lineRule="auto"/>
        <w:rPr>
          <w:b/>
          <w:i/>
        </w:rPr>
      </w:pPr>
    </w:p>
    <w:p w:rsidR="00933A3C" w:rsidRDefault="00933A3C" w:rsidP="00933A3C">
      <w:pPr>
        <w:spacing w:line="480" w:lineRule="auto"/>
      </w:pPr>
      <w:r w:rsidRPr="0044246D">
        <w:rPr>
          <w:b/>
          <w:i/>
        </w:rPr>
        <w:t>State Agency Capital Costs to Implement Interim Rule</w:t>
      </w:r>
      <w:r w:rsidRPr="0044246D">
        <w:t xml:space="preserve">: </w:t>
      </w:r>
      <w:r>
        <w:t xml:space="preserve"> In the first year that the rule is published, State agencies will need to develop new E&amp;T data collection systems, reprogram existing systems, build interfaces between SNAP eligibility and SNAP E&amp;T data collection systems and decide what data will be collected </w:t>
      </w:r>
      <w:r w:rsidRPr="00616F10">
        <w:t>manually</w:t>
      </w:r>
      <w:r>
        <w:t xml:space="preserve">. </w:t>
      </w:r>
      <w:r w:rsidR="00EB0028">
        <w:t xml:space="preserve"> </w:t>
      </w:r>
      <w:r w:rsidRPr="00207152">
        <w:t>Thirty-six State agencies currently</w:t>
      </w:r>
      <w:r>
        <w:t xml:space="preserve"> have reporting measures and</w:t>
      </w:r>
      <w:r w:rsidRPr="00207152">
        <w:t xml:space="preserve"> collect outcome </w:t>
      </w:r>
      <w:r>
        <w:t>data</w:t>
      </w:r>
      <w:r w:rsidRPr="00207152">
        <w:t>.</w:t>
      </w:r>
      <w:r>
        <w:t xml:space="preserve"> </w:t>
      </w:r>
      <w:r w:rsidRPr="00207152">
        <w:t xml:space="preserve"> However,</w:t>
      </w:r>
      <w:r>
        <w:t xml:space="preserve"> </w:t>
      </w:r>
      <w:r w:rsidRPr="00207152">
        <w:t xml:space="preserve">the interim rule requires the addition of several data elements that </w:t>
      </w:r>
      <w:r>
        <w:t xml:space="preserve">none of </w:t>
      </w:r>
      <w:r w:rsidRPr="00207152">
        <w:t>these States are currently collecting</w:t>
      </w:r>
      <w:r>
        <w:t xml:space="preserve">. </w:t>
      </w:r>
      <w:r w:rsidRPr="00207152">
        <w:t xml:space="preserve"> While the Department believes that some of these State</w:t>
      </w:r>
      <w:r>
        <w:t xml:space="preserve"> agencie</w:t>
      </w:r>
      <w:r w:rsidRPr="00207152">
        <w:t xml:space="preserve">s may </w:t>
      </w:r>
      <w:r>
        <w:t>build on</w:t>
      </w:r>
      <w:r w:rsidRPr="00207152">
        <w:t xml:space="preserve"> the systems they already have in place with modifications to meet the provisions of this rule, others</w:t>
      </w:r>
      <w:r>
        <w:t xml:space="preserve"> may decide to implement new systems to meet the increase in data that is required to be collected and reported to FNS.</w:t>
      </w:r>
      <w:r w:rsidRPr="00F97AC0">
        <w:t xml:space="preserve">  </w:t>
      </w:r>
      <w:r w:rsidRPr="00207152">
        <w:t xml:space="preserve">The remaining 17 State agencies that do not have reporting measures in place will </w:t>
      </w:r>
      <w:r>
        <w:t xml:space="preserve">all </w:t>
      </w:r>
      <w:r w:rsidRPr="00207152">
        <w:t xml:space="preserve">need to develop </w:t>
      </w:r>
      <w:r>
        <w:t xml:space="preserve">new </w:t>
      </w:r>
      <w:r w:rsidRPr="00207152">
        <w:t xml:space="preserve">systems to collect the required data.  </w:t>
      </w:r>
      <w:r>
        <w:t xml:space="preserve"> </w:t>
      </w:r>
    </w:p>
    <w:p w:rsidR="00933A3C" w:rsidRDefault="00933A3C" w:rsidP="00F259D8">
      <w:pPr>
        <w:spacing w:line="480" w:lineRule="auto"/>
        <w:ind w:firstLine="720"/>
      </w:pPr>
      <w:r w:rsidRPr="00C3717F">
        <w:t xml:space="preserve">For several of the measures (e.g., obtaining employment, level of pay, characteristics of E&amp;T participants) State agencies’ current SNAP automated eligibility systems could be used to generate the needed data, although the older legacy systems are often less flexible than newer </w:t>
      </w:r>
      <w:r w:rsidRPr="00C3717F">
        <w:lastRenderedPageBreak/>
        <w:t xml:space="preserve">systems.  </w:t>
      </w:r>
      <w:r>
        <w:t>The Department anticipates that some</w:t>
      </w:r>
      <w:r w:rsidRPr="00C3717F">
        <w:t xml:space="preserve"> State agencies will rely on the private vendors or State labor agencies for the required data and will need to renegotiate contracts and agreements</w:t>
      </w:r>
      <w:proofErr w:type="gramStart"/>
      <w:r w:rsidRPr="00C3717F">
        <w:t xml:space="preserve">.  </w:t>
      </w:r>
      <w:r>
        <w:t xml:space="preserve">  </w:t>
      </w:r>
      <w:proofErr w:type="gramEnd"/>
      <w:r w:rsidRPr="00616F10">
        <w:t>The Department is allowing State</w:t>
      </w:r>
      <w:r>
        <w:t xml:space="preserve"> agencie</w:t>
      </w:r>
      <w:r w:rsidRPr="00616F10">
        <w:t xml:space="preserve">s to use </w:t>
      </w:r>
      <w:r>
        <w:t xml:space="preserve">random </w:t>
      </w:r>
      <w:r w:rsidRPr="00616F10">
        <w:t xml:space="preserve">sampling </w:t>
      </w:r>
      <w:r w:rsidR="00923048">
        <w:t xml:space="preserve">as an interim approach </w:t>
      </w:r>
      <w:r w:rsidRPr="00616F10">
        <w:t>to reduce the burden of developing new systems</w:t>
      </w:r>
      <w:r>
        <w:t>,</w:t>
      </w:r>
      <w:r w:rsidRPr="00616F10">
        <w:t xml:space="preserve"> and it is assumed that about half of the States will use </w:t>
      </w:r>
      <w:r>
        <w:t xml:space="preserve">a </w:t>
      </w:r>
      <w:r w:rsidRPr="00616F10">
        <w:t>sampling</w:t>
      </w:r>
      <w:r>
        <w:t xml:space="preserve"> method to gather data for some of </w:t>
      </w:r>
      <w:r w:rsidRPr="00616F10">
        <w:t xml:space="preserve">the reporting measures.  </w:t>
      </w:r>
      <w:bookmarkStart w:id="4" w:name="_GoBack"/>
      <w:r w:rsidR="00923048">
        <w:t>Starting for reports due in January 1, 2019, State agencies will be asked to describe their plans to move towards the use of administrative data, and their efforts to resolve any issues that may prevent them from doing so.</w:t>
      </w:r>
      <w:bookmarkEnd w:id="4"/>
    </w:p>
    <w:p w:rsidR="00933A3C" w:rsidRDefault="00933A3C" w:rsidP="00F259D8">
      <w:pPr>
        <w:spacing w:line="480" w:lineRule="auto"/>
        <w:ind w:firstLine="720"/>
      </w:pPr>
      <w:r w:rsidRPr="00C3717F">
        <w:t>Congress allowed a minimum of 180 days after publication to include measures in States’ E&amp;T plans</w:t>
      </w:r>
      <w:proofErr w:type="gramStart"/>
      <w:r>
        <w:t xml:space="preserve">. </w:t>
      </w:r>
      <w:proofErr w:type="gramEnd"/>
      <w:r w:rsidRPr="00E67D92">
        <w:t>We anticipate that it will take an average of 3 staff months (520 hours) per State to implement this rule.</w:t>
      </w:r>
      <w:r>
        <w:t xml:space="preserve">  According to the Bureau of Labor Statistics, the average compensation cost per hour for state employees was $43.07 in June 2014</w:t>
      </w:r>
      <w:r w:rsidRPr="00C3717F">
        <w:t>.</w:t>
      </w:r>
      <w:r>
        <w:t xml:space="preserve"> </w:t>
      </w:r>
      <w:r w:rsidR="00F259D8">
        <w:t xml:space="preserve"> </w:t>
      </w:r>
      <w:r>
        <w:t>Assuming a 2 percent increase in wages, the cost of implementing this rule is estimated to be approximately $1.2 million.  However, a portion of that cost will be paid for by the federal government through matching funds.  In addition, States may choose to fund these capital costs through their 100% E&amp;T grant, in which case the cost to the State and federal governments is $0</w:t>
      </w:r>
      <w:proofErr w:type="gramStart"/>
      <w:r>
        <w:t>.</w:t>
      </w:r>
      <w:r w:rsidRPr="00933A3C">
        <w:t xml:space="preserve"> </w:t>
      </w:r>
      <w:proofErr w:type="gramEnd"/>
      <w:r>
        <w:t xml:space="preserve">If these should prove insufficient in some cases, the State would be reimbursed at a 50 percent of any additional costs.   </w:t>
      </w:r>
    </w:p>
    <w:tbl>
      <w:tblPr>
        <w:tblpPr w:leftFromText="180" w:rightFromText="180" w:vertAnchor="text" w:horzAnchor="margin" w:tblpXSpec="center" w:tblpY="398"/>
        <w:tblW w:w="10790" w:type="dxa"/>
        <w:tblLook w:val="04A0" w:firstRow="1" w:lastRow="0" w:firstColumn="1" w:lastColumn="0" w:noHBand="0" w:noVBand="1"/>
      </w:tblPr>
      <w:tblGrid>
        <w:gridCol w:w="4085"/>
        <w:gridCol w:w="1523"/>
        <w:gridCol w:w="1270"/>
        <w:gridCol w:w="1742"/>
        <w:gridCol w:w="2170"/>
      </w:tblGrid>
      <w:tr w:rsidR="00A268A4" w:rsidRPr="00AD23E9" w:rsidTr="000401D2">
        <w:trPr>
          <w:trHeight w:val="1035"/>
        </w:trPr>
        <w:tc>
          <w:tcPr>
            <w:tcW w:w="4085" w:type="dxa"/>
            <w:tcBorders>
              <w:top w:val="single" w:sz="4" w:space="0" w:color="auto"/>
              <w:left w:val="single" w:sz="8" w:space="0" w:color="auto"/>
              <w:bottom w:val="single" w:sz="4" w:space="0" w:color="auto"/>
              <w:right w:val="single" w:sz="8" w:space="0" w:color="auto"/>
            </w:tcBorders>
            <w:shd w:val="clear" w:color="auto" w:fill="auto"/>
            <w:hideMark/>
          </w:tcPr>
          <w:p w:rsidR="00A268A4" w:rsidRPr="00AD23E9" w:rsidRDefault="00A268A4" w:rsidP="000401D2">
            <w:pPr>
              <w:rPr>
                <w:b/>
                <w:bCs/>
              </w:rPr>
            </w:pPr>
            <w:r w:rsidRPr="00AD23E9">
              <w:rPr>
                <w:b/>
                <w:bCs/>
              </w:rPr>
              <w:t>Description of Activity</w:t>
            </w:r>
          </w:p>
        </w:tc>
        <w:tc>
          <w:tcPr>
            <w:tcW w:w="1523" w:type="dxa"/>
            <w:tcBorders>
              <w:top w:val="single" w:sz="4" w:space="0" w:color="auto"/>
              <w:left w:val="nil"/>
              <w:bottom w:val="single" w:sz="4" w:space="0" w:color="auto"/>
              <w:right w:val="single" w:sz="4" w:space="0" w:color="auto"/>
            </w:tcBorders>
            <w:shd w:val="clear" w:color="auto" w:fill="auto"/>
            <w:hideMark/>
          </w:tcPr>
          <w:p w:rsidR="00A268A4" w:rsidRPr="00AD23E9" w:rsidRDefault="00A268A4" w:rsidP="000401D2">
            <w:pPr>
              <w:rPr>
                <w:b/>
                <w:bCs/>
              </w:rPr>
            </w:pPr>
            <w:r w:rsidRPr="00AD23E9">
              <w:rPr>
                <w:b/>
                <w:bCs/>
              </w:rPr>
              <w:t xml:space="preserve">Number of Respondents </w:t>
            </w:r>
          </w:p>
        </w:tc>
        <w:tc>
          <w:tcPr>
            <w:tcW w:w="1270" w:type="dxa"/>
            <w:tcBorders>
              <w:top w:val="single" w:sz="4" w:space="0" w:color="auto"/>
              <w:left w:val="single" w:sz="4" w:space="0" w:color="auto"/>
              <w:bottom w:val="single" w:sz="4" w:space="0" w:color="auto"/>
              <w:right w:val="nil"/>
            </w:tcBorders>
            <w:shd w:val="clear" w:color="auto" w:fill="auto"/>
            <w:hideMark/>
          </w:tcPr>
          <w:p w:rsidR="00A268A4" w:rsidRPr="00AD23E9" w:rsidRDefault="00A268A4" w:rsidP="000401D2">
            <w:pPr>
              <w:rPr>
                <w:b/>
                <w:bCs/>
              </w:rPr>
            </w:pPr>
            <w:r w:rsidRPr="00AD23E9">
              <w:rPr>
                <w:b/>
                <w:bCs/>
              </w:rPr>
              <w:t xml:space="preserve">Total Annual Responses </w:t>
            </w:r>
          </w:p>
        </w:tc>
        <w:tc>
          <w:tcPr>
            <w:tcW w:w="1742" w:type="dxa"/>
            <w:tcBorders>
              <w:top w:val="single" w:sz="4" w:space="0" w:color="auto"/>
              <w:left w:val="single" w:sz="8" w:space="0" w:color="auto"/>
              <w:bottom w:val="single" w:sz="4" w:space="0" w:color="auto"/>
              <w:right w:val="nil"/>
            </w:tcBorders>
            <w:shd w:val="clear" w:color="auto" w:fill="auto"/>
            <w:hideMark/>
          </w:tcPr>
          <w:p w:rsidR="00A268A4" w:rsidRPr="00AD23E9" w:rsidRDefault="00A268A4" w:rsidP="000401D2">
            <w:pPr>
              <w:rPr>
                <w:b/>
                <w:bCs/>
              </w:rPr>
            </w:pPr>
            <w:r w:rsidRPr="00AD23E9">
              <w:rPr>
                <w:b/>
                <w:bCs/>
              </w:rPr>
              <w:t xml:space="preserve">Number of Burden Hours Per Response </w:t>
            </w:r>
          </w:p>
        </w:tc>
        <w:tc>
          <w:tcPr>
            <w:tcW w:w="2170" w:type="dxa"/>
            <w:tcBorders>
              <w:top w:val="single" w:sz="4" w:space="0" w:color="auto"/>
              <w:left w:val="single" w:sz="8" w:space="0" w:color="auto"/>
              <w:bottom w:val="single" w:sz="4" w:space="0" w:color="auto"/>
              <w:right w:val="single" w:sz="8" w:space="0" w:color="auto"/>
            </w:tcBorders>
            <w:shd w:val="clear" w:color="auto" w:fill="auto"/>
            <w:hideMark/>
          </w:tcPr>
          <w:p w:rsidR="00A268A4" w:rsidRPr="00AD23E9" w:rsidRDefault="00A268A4" w:rsidP="000401D2">
            <w:pPr>
              <w:rPr>
                <w:b/>
                <w:bCs/>
              </w:rPr>
            </w:pPr>
            <w:r w:rsidRPr="00AD23E9">
              <w:rPr>
                <w:b/>
                <w:bCs/>
              </w:rPr>
              <w:t xml:space="preserve">Total Burden Hours </w:t>
            </w:r>
          </w:p>
        </w:tc>
      </w:tr>
      <w:tr w:rsidR="00A268A4" w:rsidRPr="00AD23E9" w:rsidTr="000401D2">
        <w:trPr>
          <w:trHeight w:val="270"/>
        </w:trPr>
        <w:tc>
          <w:tcPr>
            <w:tcW w:w="4085" w:type="dxa"/>
            <w:tcBorders>
              <w:top w:val="single" w:sz="8" w:space="0" w:color="auto"/>
              <w:left w:val="single" w:sz="8" w:space="0" w:color="auto"/>
              <w:bottom w:val="single" w:sz="8" w:space="0" w:color="auto"/>
              <w:right w:val="single" w:sz="8" w:space="0" w:color="000000"/>
            </w:tcBorders>
            <w:shd w:val="clear" w:color="000000" w:fill="D9D9D9"/>
            <w:vAlign w:val="bottom"/>
            <w:hideMark/>
          </w:tcPr>
          <w:p w:rsidR="00A268A4" w:rsidRPr="00AD23E9" w:rsidRDefault="00A268A4" w:rsidP="000401D2">
            <w:pPr>
              <w:rPr>
                <w:b/>
                <w:bCs/>
                <w:color w:val="000000"/>
              </w:rPr>
            </w:pPr>
            <w:r>
              <w:rPr>
                <w:b/>
                <w:bCs/>
                <w:color w:val="000000"/>
              </w:rPr>
              <w:t>One-time capital start-up and operating and maintenance costs</w:t>
            </w:r>
          </w:p>
        </w:tc>
        <w:tc>
          <w:tcPr>
            <w:tcW w:w="1523" w:type="dxa"/>
            <w:tcBorders>
              <w:top w:val="nil"/>
              <w:left w:val="nil"/>
              <w:bottom w:val="single" w:sz="8" w:space="0" w:color="auto"/>
              <w:right w:val="single" w:sz="8" w:space="0" w:color="auto"/>
            </w:tcBorders>
            <w:shd w:val="clear" w:color="000000" w:fill="D9D9D9"/>
            <w:noWrap/>
            <w:hideMark/>
          </w:tcPr>
          <w:p w:rsidR="00A268A4" w:rsidRPr="00AD23E9" w:rsidRDefault="00A268A4" w:rsidP="000401D2">
            <w:pPr>
              <w:rPr>
                <w:b/>
                <w:bCs/>
                <w:color w:val="000000"/>
              </w:rPr>
            </w:pPr>
            <w:r>
              <w:rPr>
                <w:b/>
              </w:rPr>
              <w:t>53</w:t>
            </w:r>
          </w:p>
        </w:tc>
        <w:tc>
          <w:tcPr>
            <w:tcW w:w="1270" w:type="dxa"/>
            <w:tcBorders>
              <w:top w:val="nil"/>
              <w:left w:val="nil"/>
              <w:bottom w:val="single" w:sz="8" w:space="0" w:color="auto"/>
              <w:right w:val="single" w:sz="8" w:space="0" w:color="auto"/>
            </w:tcBorders>
            <w:shd w:val="clear" w:color="000000" w:fill="D9D9D9"/>
            <w:noWrap/>
            <w:hideMark/>
          </w:tcPr>
          <w:p w:rsidR="00A268A4" w:rsidRPr="00AD23E9" w:rsidRDefault="00A268A4" w:rsidP="000401D2">
            <w:pPr>
              <w:rPr>
                <w:b/>
                <w:bCs/>
                <w:color w:val="000000"/>
              </w:rPr>
            </w:pPr>
            <w:r>
              <w:rPr>
                <w:b/>
              </w:rPr>
              <w:t>53</w:t>
            </w:r>
          </w:p>
        </w:tc>
        <w:tc>
          <w:tcPr>
            <w:tcW w:w="1742" w:type="dxa"/>
            <w:tcBorders>
              <w:top w:val="nil"/>
              <w:left w:val="nil"/>
              <w:bottom w:val="single" w:sz="8" w:space="0" w:color="auto"/>
              <w:right w:val="single" w:sz="8" w:space="0" w:color="auto"/>
            </w:tcBorders>
            <w:shd w:val="clear" w:color="000000" w:fill="D9D9D9"/>
            <w:noWrap/>
            <w:hideMark/>
          </w:tcPr>
          <w:p w:rsidR="00A268A4" w:rsidRPr="00AD23E9" w:rsidRDefault="00A268A4" w:rsidP="000401D2">
            <w:pPr>
              <w:rPr>
                <w:b/>
                <w:bCs/>
                <w:color w:val="000000"/>
              </w:rPr>
            </w:pPr>
            <w:r>
              <w:rPr>
                <w:b/>
              </w:rPr>
              <w:t>520</w:t>
            </w:r>
          </w:p>
        </w:tc>
        <w:tc>
          <w:tcPr>
            <w:tcW w:w="2170" w:type="dxa"/>
            <w:tcBorders>
              <w:top w:val="nil"/>
              <w:left w:val="nil"/>
              <w:bottom w:val="single" w:sz="8" w:space="0" w:color="auto"/>
              <w:right w:val="single" w:sz="4" w:space="0" w:color="auto"/>
            </w:tcBorders>
            <w:shd w:val="clear" w:color="000000" w:fill="D9D9D9"/>
            <w:noWrap/>
            <w:hideMark/>
          </w:tcPr>
          <w:p w:rsidR="00A268A4" w:rsidRPr="00AD23E9" w:rsidRDefault="00A268A4" w:rsidP="000401D2">
            <w:pPr>
              <w:rPr>
                <w:b/>
                <w:bCs/>
                <w:color w:val="000000"/>
              </w:rPr>
            </w:pPr>
            <w:r>
              <w:rPr>
                <w:b/>
              </w:rPr>
              <w:t>27,560</w:t>
            </w:r>
          </w:p>
        </w:tc>
      </w:tr>
    </w:tbl>
    <w:p w:rsidR="00A268A4" w:rsidRDefault="00A268A4" w:rsidP="00933A3C">
      <w:pPr>
        <w:spacing w:line="480" w:lineRule="auto"/>
      </w:pPr>
    </w:p>
    <w:p w:rsidR="00F55FC2" w:rsidRDefault="00F55FC2" w:rsidP="00F55FC2">
      <w:pPr>
        <w:spacing w:line="480" w:lineRule="auto"/>
      </w:pPr>
    </w:p>
    <w:p w:rsidR="009742E9" w:rsidRDefault="009742E9" w:rsidP="00CE4932">
      <w:pPr>
        <w:pStyle w:val="BodyText"/>
        <w:spacing w:line="480" w:lineRule="auto"/>
        <w:rPr>
          <w:color w:val="000000"/>
        </w:rPr>
      </w:pPr>
      <w:r>
        <w:rPr>
          <w:color w:val="000000"/>
        </w:rPr>
        <w:lastRenderedPageBreak/>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rsidR="00833F73" w:rsidRDefault="00833F73" w:rsidP="00CE4932">
      <w:pPr>
        <w:spacing w:line="480" w:lineRule="auto"/>
      </w:pPr>
      <w:r w:rsidRPr="00833F73">
        <w:t xml:space="preserve"> </w:t>
      </w:r>
      <w:r w:rsidRPr="00CD36E6">
        <w:t>The Department estimates that the cost to the Federal government for establishing reporting measures is minimal.  The Department will analyze outcome data provided by State agencies but this is part of a program analyst’s normal responsibilities.</w:t>
      </w:r>
      <w:r>
        <w:t xml:space="preserve">  In addition, while the new reporting measures will result in a small increase in State administrative costs, the federal share of these costs is expected to be minimal.  </w:t>
      </w:r>
    </w:p>
    <w:p w:rsidR="00833F73" w:rsidRDefault="00833F73" w:rsidP="00CE4932">
      <w:pPr>
        <w:spacing w:line="480" w:lineRule="auto"/>
      </w:pPr>
    </w:p>
    <w:p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w:t>
      </w:r>
      <w:r w:rsidR="00C779F9">
        <w:rPr>
          <w:b/>
          <w:spacing w:val="-3"/>
        </w:rPr>
        <w:t>I</w:t>
      </w:r>
      <w:r>
        <w:rPr>
          <w:b/>
        </w:rPr>
        <w:t>.</w:t>
      </w:r>
      <w:r w:rsidR="009742E9" w:rsidRPr="003821CB">
        <w:rPr>
          <w:b/>
        </w:rPr>
        <w:t xml:space="preserve"> </w:t>
      </w:r>
    </w:p>
    <w:p w:rsidR="00C61FA7" w:rsidRDefault="00366E07" w:rsidP="00CE4932">
      <w:pPr>
        <w:pStyle w:val="BodyText"/>
        <w:spacing w:line="480" w:lineRule="auto"/>
        <w:rPr>
          <w:b w:val="0"/>
          <w:spacing w:val="-3"/>
        </w:rPr>
      </w:pPr>
      <w:r>
        <w:rPr>
          <w:b w:val="0"/>
          <w:spacing w:val="-3"/>
        </w:rPr>
        <w:t xml:space="preserve">This is a new collection mandated by </w:t>
      </w:r>
      <w:r w:rsidR="00D1201A" w:rsidRPr="00D1201A">
        <w:rPr>
          <w:b w:val="0"/>
        </w:rPr>
        <w:t>Section 16(h</w:t>
      </w:r>
      <w:proofErr w:type="gramStart"/>
      <w:r w:rsidR="00D1201A" w:rsidRPr="00D1201A">
        <w:rPr>
          <w:b w:val="0"/>
        </w:rPr>
        <w:t>)(</w:t>
      </w:r>
      <w:proofErr w:type="gramEnd"/>
      <w:r w:rsidR="00D1201A" w:rsidRPr="00D1201A">
        <w:rPr>
          <w:b w:val="0"/>
        </w:rPr>
        <w:t xml:space="preserve">5) of the Food and Nutrition  Act.  </w:t>
      </w:r>
      <w:r w:rsidR="00F259D8" w:rsidRPr="00F259D8">
        <w:rPr>
          <w:b w:val="0"/>
        </w:rPr>
        <w:t>As a result of program changes associated with</w:t>
      </w:r>
      <w:r w:rsidR="00F259D8">
        <w:rPr>
          <w:b w:val="0"/>
        </w:rPr>
        <w:t xml:space="preserve"> the interim rulemaking, t</w:t>
      </w:r>
      <w:r w:rsidR="00D1201A" w:rsidRPr="00D1201A">
        <w:rPr>
          <w:b w:val="0"/>
        </w:rPr>
        <w:t xml:space="preserve">his collection will increase the OMB inventory by </w:t>
      </w:r>
      <w:r w:rsidR="00F259D8">
        <w:rPr>
          <w:b w:val="0"/>
        </w:rPr>
        <w:t>12,233</w:t>
      </w:r>
      <w:r w:rsidR="00F259D8" w:rsidRPr="00D1201A">
        <w:rPr>
          <w:b w:val="0"/>
        </w:rPr>
        <w:t xml:space="preserve"> </w:t>
      </w:r>
      <w:r w:rsidR="00D1201A" w:rsidRPr="00D1201A">
        <w:rPr>
          <w:b w:val="0"/>
        </w:rPr>
        <w:t>hours</w:t>
      </w:r>
      <w:r w:rsidR="00F259D8">
        <w:rPr>
          <w:b w:val="0"/>
        </w:rPr>
        <w:t xml:space="preserve"> annually</w:t>
      </w:r>
      <w:r w:rsidR="00D1201A" w:rsidRPr="00D1201A">
        <w:rPr>
          <w:b w:val="0"/>
        </w:rPr>
        <w:t>.</w:t>
      </w:r>
      <w:r w:rsidDel="00366E07">
        <w:rPr>
          <w:b w:val="0"/>
          <w:spacing w:val="-3"/>
        </w:rPr>
        <w:t xml:space="preserve"> </w:t>
      </w:r>
    </w:p>
    <w:p w:rsidR="001E4639" w:rsidRDefault="001E4639" w:rsidP="00CE4932">
      <w:pPr>
        <w:pStyle w:val="BodyText"/>
        <w:spacing w:line="480" w:lineRule="auto"/>
      </w:pPr>
    </w:p>
    <w:p w:rsidR="007D042F" w:rsidRDefault="009742E9" w:rsidP="00CE4932">
      <w:pPr>
        <w:pStyle w:val="BodyText"/>
        <w:spacing w:line="480" w:lineRule="auto"/>
      </w:pPr>
      <w:r>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rsidR="001E4639" w:rsidRDefault="001E4639" w:rsidP="001E4639">
      <w:r>
        <w:t xml:space="preserve">There are no plans for tabulation and publication of this information collection. </w:t>
      </w:r>
    </w:p>
    <w:p w:rsidR="001E4639" w:rsidRDefault="001E4639" w:rsidP="00CE4932">
      <w:pPr>
        <w:pStyle w:val="BodyTextIndent"/>
        <w:tabs>
          <w:tab w:val="left" w:pos="1080"/>
          <w:tab w:val="left" w:pos="1440"/>
          <w:tab w:val="left" w:pos="2880"/>
          <w:tab w:val="left" w:pos="5760"/>
          <w:tab w:val="left" w:pos="6480"/>
        </w:tabs>
        <w:spacing w:after="0" w:line="480" w:lineRule="auto"/>
        <w:ind w:left="0"/>
      </w:pPr>
    </w:p>
    <w:p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rsidR="00ED022C" w:rsidRDefault="00ED022C" w:rsidP="00CE4932">
      <w:pPr>
        <w:spacing w:line="480" w:lineRule="auto"/>
        <w:rPr>
          <w:color w:val="000000"/>
        </w:rPr>
      </w:pPr>
    </w:p>
    <w:p w:rsidR="009742E9" w:rsidRDefault="009742E9" w:rsidP="00CE4932">
      <w:pPr>
        <w:pStyle w:val="BodyText"/>
        <w:spacing w:line="480" w:lineRule="auto"/>
        <w:rPr>
          <w:color w:val="000000"/>
        </w:rPr>
      </w:pPr>
      <w:r>
        <w:rPr>
          <w:color w:val="000000"/>
        </w:rPr>
        <w:lastRenderedPageBreak/>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512A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EC0" w:rsidRDefault="001C1EC0">
      <w:r>
        <w:separator/>
      </w:r>
    </w:p>
  </w:endnote>
  <w:endnote w:type="continuationSeparator" w:id="0">
    <w:p w:rsidR="001C1EC0" w:rsidRDefault="001C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EC0" w:rsidRDefault="001C1EC0">
      <w:r>
        <w:separator/>
      </w:r>
    </w:p>
  </w:footnote>
  <w:footnote w:type="continuationSeparator" w:id="0">
    <w:p w:rsidR="001C1EC0" w:rsidRDefault="001C1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D6" w:rsidRPr="00512A40" w:rsidRDefault="00A504D6"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DE7D08"/>
    <w:multiLevelType w:val="hybridMultilevel"/>
    <w:tmpl w:val="132A9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9D2087"/>
    <w:multiLevelType w:val="hybridMultilevel"/>
    <w:tmpl w:val="80F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15"/>
  </w:num>
  <w:num w:numId="4">
    <w:abstractNumId w:val="11"/>
  </w:num>
  <w:num w:numId="5">
    <w:abstractNumId w:val="0"/>
  </w:num>
  <w:num w:numId="6">
    <w:abstractNumId w:val="12"/>
  </w:num>
  <w:num w:numId="7">
    <w:abstractNumId w:val="14"/>
  </w:num>
  <w:num w:numId="8">
    <w:abstractNumId w:val="5"/>
  </w:num>
  <w:num w:numId="9">
    <w:abstractNumId w:val="6"/>
  </w:num>
  <w:num w:numId="10">
    <w:abstractNumId w:val="4"/>
  </w:num>
  <w:num w:numId="11">
    <w:abstractNumId w:val="8"/>
  </w:num>
  <w:num w:numId="12">
    <w:abstractNumId w:val="16"/>
  </w:num>
  <w:num w:numId="13">
    <w:abstractNumId w:val="1"/>
  </w:num>
  <w:num w:numId="14">
    <w:abstractNumId w:val="9"/>
  </w:num>
  <w:num w:numId="15">
    <w:abstractNumId w:val="13"/>
  </w:num>
  <w:num w:numId="16">
    <w:abstractNumId w:val="2"/>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ham, Steph J. EOP/OMB">
    <w15:presenceInfo w15:providerId="AD" w15:userId="S-1-5-21-481821332-259741479-317593308-165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3C11"/>
    <w:rsid w:val="00004A63"/>
    <w:rsid w:val="00004F39"/>
    <w:rsid w:val="00005E97"/>
    <w:rsid w:val="00006605"/>
    <w:rsid w:val="00007E2F"/>
    <w:rsid w:val="00007F5B"/>
    <w:rsid w:val="000140C1"/>
    <w:rsid w:val="000156E2"/>
    <w:rsid w:val="000219E6"/>
    <w:rsid w:val="0002285B"/>
    <w:rsid w:val="0002376B"/>
    <w:rsid w:val="00026A47"/>
    <w:rsid w:val="000270E5"/>
    <w:rsid w:val="000273E1"/>
    <w:rsid w:val="00027C9A"/>
    <w:rsid w:val="0003232D"/>
    <w:rsid w:val="00034C51"/>
    <w:rsid w:val="0003700E"/>
    <w:rsid w:val="00043CEA"/>
    <w:rsid w:val="00045BEE"/>
    <w:rsid w:val="00045DD7"/>
    <w:rsid w:val="00051BE4"/>
    <w:rsid w:val="00053315"/>
    <w:rsid w:val="0005565C"/>
    <w:rsid w:val="00056B6C"/>
    <w:rsid w:val="0007242F"/>
    <w:rsid w:val="00073779"/>
    <w:rsid w:val="00077059"/>
    <w:rsid w:val="00084297"/>
    <w:rsid w:val="0008759A"/>
    <w:rsid w:val="00090563"/>
    <w:rsid w:val="00090861"/>
    <w:rsid w:val="00093AA7"/>
    <w:rsid w:val="00096D12"/>
    <w:rsid w:val="000B304D"/>
    <w:rsid w:val="000B38E7"/>
    <w:rsid w:val="000B421F"/>
    <w:rsid w:val="000B4BF1"/>
    <w:rsid w:val="000B524B"/>
    <w:rsid w:val="000B5799"/>
    <w:rsid w:val="000C079B"/>
    <w:rsid w:val="000C5F72"/>
    <w:rsid w:val="000C6092"/>
    <w:rsid w:val="000D06BE"/>
    <w:rsid w:val="000D33FA"/>
    <w:rsid w:val="000D3A42"/>
    <w:rsid w:val="000D49F8"/>
    <w:rsid w:val="000D4D89"/>
    <w:rsid w:val="000D633B"/>
    <w:rsid w:val="000F1C92"/>
    <w:rsid w:val="000F2DAF"/>
    <w:rsid w:val="000F3D35"/>
    <w:rsid w:val="000F5EA5"/>
    <w:rsid w:val="00102AE6"/>
    <w:rsid w:val="001033FC"/>
    <w:rsid w:val="00110638"/>
    <w:rsid w:val="00111D60"/>
    <w:rsid w:val="00113AA2"/>
    <w:rsid w:val="0011607B"/>
    <w:rsid w:val="00120191"/>
    <w:rsid w:val="00121805"/>
    <w:rsid w:val="00124AB9"/>
    <w:rsid w:val="0012596D"/>
    <w:rsid w:val="00131E76"/>
    <w:rsid w:val="0013669F"/>
    <w:rsid w:val="00136A26"/>
    <w:rsid w:val="001424CC"/>
    <w:rsid w:val="00143AFD"/>
    <w:rsid w:val="0014635C"/>
    <w:rsid w:val="0014635D"/>
    <w:rsid w:val="001472B4"/>
    <w:rsid w:val="00153507"/>
    <w:rsid w:val="0015662B"/>
    <w:rsid w:val="00157757"/>
    <w:rsid w:val="00157EC4"/>
    <w:rsid w:val="00161B8D"/>
    <w:rsid w:val="00161E5F"/>
    <w:rsid w:val="0016659A"/>
    <w:rsid w:val="00166F8F"/>
    <w:rsid w:val="00167CC6"/>
    <w:rsid w:val="00167ED5"/>
    <w:rsid w:val="00172E09"/>
    <w:rsid w:val="00180629"/>
    <w:rsid w:val="001806D1"/>
    <w:rsid w:val="001823D4"/>
    <w:rsid w:val="00182853"/>
    <w:rsid w:val="00182B77"/>
    <w:rsid w:val="0018729F"/>
    <w:rsid w:val="001877CD"/>
    <w:rsid w:val="00191AE8"/>
    <w:rsid w:val="00193C43"/>
    <w:rsid w:val="00196F69"/>
    <w:rsid w:val="00197351"/>
    <w:rsid w:val="001A5F50"/>
    <w:rsid w:val="001B236D"/>
    <w:rsid w:val="001B2B71"/>
    <w:rsid w:val="001C1EC0"/>
    <w:rsid w:val="001C5015"/>
    <w:rsid w:val="001C539C"/>
    <w:rsid w:val="001C5A47"/>
    <w:rsid w:val="001C5CD8"/>
    <w:rsid w:val="001D0457"/>
    <w:rsid w:val="001D0465"/>
    <w:rsid w:val="001D0639"/>
    <w:rsid w:val="001D4789"/>
    <w:rsid w:val="001D549E"/>
    <w:rsid w:val="001D76A6"/>
    <w:rsid w:val="001D7F53"/>
    <w:rsid w:val="001E16C1"/>
    <w:rsid w:val="001E3268"/>
    <w:rsid w:val="001E4639"/>
    <w:rsid w:val="001E61FC"/>
    <w:rsid w:val="001F310F"/>
    <w:rsid w:val="001F74CD"/>
    <w:rsid w:val="00200306"/>
    <w:rsid w:val="002029CE"/>
    <w:rsid w:val="002055B1"/>
    <w:rsid w:val="002056CC"/>
    <w:rsid w:val="00212609"/>
    <w:rsid w:val="00214A3E"/>
    <w:rsid w:val="0022127F"/>
    <w:rsid w:val="0022490D"/>
    <w:rsid w:val="00226980"/>
    <w:rsid w:val="00234284"/>
    <w:rsid w:val="002358AA"/>
    <w:rsid w:val="00241112"/>
    <w:rsid w:val="00241B29"/>
    <w:rsid w:val="00242CA8"/>
    <w:rsid w:val="002500DB"/>
    <w:rsid w:val="002545C3"/>
    <w:rsid w:val="002547BD"/>
    <w:rsid w:val="00255E15"/>
    <w:rsid w:val="00257D34"/>
    <w:rsid w:val="002624C9"/>
    <w:rsid w:val="00263DEA"/>
    <w:rsid w:val="00274C81"/>
    <w:rsid w:val="0027783C"/>
    <w:rsid w:val="0028439D"/>
    <w:rsid w:val="00285143"/>
    <w:rsid w:val="00285176"/>
    <w:rsid w:val="0028571D"/>
    <w:rsid w:val="00294FDB"/>
    <w:rsid w:val="002979F9"/>
    <w:rsid w:val="002A20A4"/>
    <w:rsid w:val="002A2394"/>
    <w:rsid w:val="002A467D"/>
    <w:rsid w:val="002B7C3A"/>
    <w:rsid w:val="002C01B0"/>
    <w:rsid w:val="002C11E1"/>
    <w:rsid w:val="002C2F6F"/>
    <w:rsid w:val="002C457D"/>
    <w:rsid w:val="002C615A"/>
    <w:rsid w:val="002D1BD5"/>
    <w:rsid w:val="002D6B76"/>
    <w:rsid w:val="002E250E"/>
    <w:rsid w:val="002E2B1A"/>
    <w:rsid w:val="002F0097"/>
    <w:rsid w:val="002F0699"/>
    <w:rsid w:val="002F3C03"/>
    <w:rsid w:val="002F4904"/>
    <w:rsid w:val="00301585"/>
    <w:rsid w:val="00302A96"/>
    <w:rsid w:val="00320C8A"/>
    <w:rsid w:val="0032390D"/>
    <w:rsid w:val="00323BD0"/>
    <w:rsid w:val="003249B5"/>
    <w:rsid w:val="003314C7"/>
    <w:rsid w:val="00333329"/>
    <w:rsid w:val="00334486"/>
    <w:rsid w:val="0033468D"/>
    <w:rsid w:val="00334F7E"/>
    <w:rsid w:val="00335C4F"/>
    <w:rsid w:val="00342CEA"/>
    <w:rsid w:val="00345EB7"/>
    <w:rsid w:val="00351692"/>
    <w:rsid w:val="00351B3C"/>
    <w:rsid w:val="00352D37"/>
    <w:rsid w:val="00355EAC"/>
    <w:rsid w:val="003568A0"/>
    <w:rsid w:val="00356992"/>
    <w:rsid w:val="003608AF"/>
    <w:rsid w:val="00362877"/>
    <w:rsid w:val="00366E07"/>
    <w:rsid w:val="003678DE"/>
    <w:rsid w:val="0037358A"/>
    <w:rsid w:val="00374947"/>
    <w:rsid w:val="00380301"/>
    <w:rsid w:val="0038185D"/>
    <w:rsid w:val="003821CB"/>
    <w:rsid w:val="00384593"/>
    <w:rsid w:val="00384879"/>
    <w:rsid w:val="0038629D"/>
    <w:rsid w:val="00390D49"/>
    <w:rsid w:val="00395F6A"/>
    <w:rsid w:val="0039728A"/>
    <w:rsid w:val="003A16BE"/>
    <w:rsid w:val="003A6B0A"/>
    <w:rsid w:val="003B251C"/>
    <w:rsid w:val="003B5B95"/>
    <w:rsid w:val="003B675A"/>
    <w:rsid w:val="003C2474"/>
    <w:rsid w:val="003C3770"/>
    <w:rsid w:val="003D35E0"/>
    <w:rsid w:val="003D401A"/>
    <w:rsid w:val="003D7D16"/>
    <w:rsid w:val="003E0DB4"/>
    <w:rsid w:val="003E7239"/>
    <w:rsid w:val="0040094C"/>
    <w:rsid w:val="0040340A"/>
    <w:rsid w:val="00403A8C"/>
    <w:rsid w:val="004161F3"/>
    <w:rsid w:val="00416574"/>
    <w:rsid w:val="00423C20"/>
    <w:rsid w:val="004255BF"/>
    <w:rsid w:val="00425685"/>
    <w:rsid w:val="004256C1"/>
    <w:rsid w:val="00426708"/>
    <w:rsid w:val="00427109"/>
    <w:rsid w:val="00427ECC"/>
    <w:rsid w:val="00431C84"/>
    <w:rsid w:val="00446AA5"/>
    <w:rsid w:val="00447B6F"/>
    <w:rsid w:val="004557C6"/>
    <w:rsid w:val="00465848"/>
    <w:rsid w:val="00466A27"/>
    <w:rsid w:val="00471849"/>
    <w:rsid w:val="00473224"/>
    <w:rsid w:val="0047495E"/>
    <w:rsid w:val="0048468C"/>
    <w:rsid w:val="00485CA9"/>
    <w:rsid w:val="0049315A"/>
    <w:rsid w:val="00495152"/>
    <w:rsid w:val="004968B5"/>
    <w:rsid w:val="0049786A"/>
    <w:rsid w:val="004A37A2"/>
    <w:rsid w:val="004A6BF8"/>
    <w:rsid w:val="004A6F0C"/>
    <w:rsid w:val="004A74BC"/>
    <w:rsid w:val="004B1A92"/>
    <w:rsid w:val="004B432C"/>
    <w:rsid w:val="004B4952"/>
    <w:rsid w:val="004C259F"/>
    <w:rsid w:val="004C49A4"/>
    <w:rsid w:val="004C4DF8"/>
    <w:rsid w:val="004C549D"/>
    <w:rsid w:val="004D0E33"/>
    <w:rsid w:val="004E1260"/>
    <w:rsid w:val="004E2068"/>
    <w:rsid w:val="004E24BD"/>
    <w:rsid w:val="004E2CCA"/>
    <w:rsid w:val="004E51AE"/>
    <w:rsid w:val="004F0CC0"/>
    <w:rsid w:val="004F5B02"/>
    <w:rsid w:val="004F627B"/>
    <w:rsid w:val="005100FA"/>
    <w:rsid w:val="00510E46"/>
    <w:rsid w:val="00512971"/>
    <w:rsid w:val="00512A40"/>
    <w:rsid w:val="005160A9"/>
    <w:rsid w:val="00517118"/>
    <w:rsid w:val="005177AD"/>
    <w:rsid w:val="00522D93"/>
    <w:rsid w:val="00524B4D"/>
    <w:rsid w:val="00524D11"/>
    <w:rsid w:val="00530E31"/>
    <w:rsid w:val="00533631"/>
    <w:rsid w:val="0053376D"/>
    <w:rsid w:val="00546D7D"/>
    <w:rsid w:val="005522D0"/>
    <w:rsid w:val="0055452D"/>
    <w:rsid w:val="00554FAE"/>
    <w:rsid w:val="00566301"/>
    <w:rsid w:val="00572257"/>
    <w:rsid w:val="00572B60"/>
    <w:rsid w:val="0057575A"/>
    <w:rsid w:val="0057737D"/>
    <w:rsid w:val="00581867"/>
    <w:rsid w:val="00581FCB"/>
    <w:rsid w:val="0058729D"/>
    <w:rsid w:val="00587D50"/>
    <w:rsid w:val="00592D0F"/>
    <w:rsid w:val="00592FD3"/>
    <w:rsid w:val="00593127"/>
    <w:rsid w:val="005941FF"/>
    <w:rsid w:val="0059684C"/>
    <w:rsid w:val="005A03A7"/>
    <w:rsid w:val="005A1CE4"/>
    <w:rsid w:val="005A2BBF"/>
    <w:rsid w:val="005A68D0"/>
    <w:rsid w:val="005B12FD"/>
    <w:rsid w:val="005B1B66"/>
    <w:rsid w:val="005B2FC0"/>
    <w:rsid w:val="005B3008"/>
    <w:rsid w:val="005B5D57"/>
    <w:rsid w:val="005C0040"/>
    <w:rsid w:val="005C2D04"/>
    <w:rsid w:val="005C3D55"/>
    <w:rsid w:val="005C7089"/>
    <w:rsid w:val="005C747F"/>
    <w:rsid w:val="005D13AD"/>
    <w:rsid w:val="005D1A3B"/>
    <w:rsid w:val="005D7F7B"/>
    <w:rsid w:val="005F3A81"/>
    <w:rsid w:val="00601D03"/>
    <w:rsid w:val="00604D48"/>
    <w:rsid w:val="006050A6"/>
    <w:rsid w:val="006177FA"/>
    <w:rsid w:val="00621B59"/>
    <w:rsid w:val="00623C14"/>
    <w:rsid w:val="00624444"/>
    <w:rsid w:val="00627F57"/>
    <w:rsid w:val="0063089C"/>
    <w:rsid w:val="00635D2C"/>
    <w:rsid w:val="00636CF1"/>
    <w:rsid w:val="00641875"/>
    <w:rsid w:val="00641970"/>
    <w:rsid w:val="00641D9C"/>
    <w:rsid w:val="006439EC"/>
    <w:rsid w:val="00643DF6"/>
    <w:rsid w:val="00647726"/>
    <w:rsid w:val="0065082B"/>
    <w:rsid w:val="00657B81"/>
    <w:rsid w:val="006602D8"/>
    <w:rsid w:val="00663B93"/>
    <w:rsid w:val="006650E4"/>
    <w:rsid w:val="00670C83"/>
    <w:rsid w:val="00675C5D"/>
    <w:rsid w:val="006838EE"/>
    <w:rsid w:val="006868B9"/>
    <w:rsid w:val="00687846"/>
    <w:rsid w:val="00694E05"/>
    <w:rsid w:val="006A187D"/>
    <w:rsid w:val="006A4483"/>
    <w:rsid w:val="006A726D"/>
    <w:rsid w:val="006B1B8D"/>
    <w:rsid w:val="006B21CB"/>
    <w:rsid w:val="006B46A1"/>
    <w:rsid w:val="006B600C"/>
    <w:rsid w:val="006B671F"/>
    <w:rsid w:val="006C0089"/>
    <w:rsid w:val="006C0497"/>
    <w:rsid w:val="006C5857"/>
    <w:rsid w:val="006C76B0"/>
    <w:rsid w:val="006D275A"/>
    <w:rsid w:val="006D3712"/>
    <w:rsid w:val="006D3779"/>
    <w:rsid w:val="006D3E0E"/>
    <w:rsid w:val="006D64C7"/>
    <w:rsid w:val="006D79F5"/>
    <w:rsid w:val="006E3944"/>
    <w:rsid w:val="006E45AC"/>
    <w:rsid w:val="006E5B45"/>
    <w:rsid w:val="006F6815"/>
    <w:rsid w:val="006F7BE1"/>
    <w:rsid w:val="006F7D75"/>
    <w:rsid w:val="007021BA"/>
    <w:rsid w:val="00705CBE"/>
    <w:rsid w:val="00711A76"/>
    <w:rsid w:val="00714EA4"/>
    <w:rsid w:val="0072097A"/>
    <w:rsid w:val="00723AE8"/>
    <w:rsid w:val="007261BB"/>
    <w:rsid w:val="00726309"/>
    <w:rsid w:val="007303F1"/>
    <w:rsid w:val="00730C47"/>
    <w:rsid w:val="00731412"/>
    <w:rsid w:val="00731845"/>
    <w:rsid w:val="00742F75"/>
    <w:rsid w:val="00744C75"/>
    <w:rsid w:val="00744CBF"/>
    <w:rsid w:val="00744F45"/>
    <w:rsid w:val="0075147E"/>
    <w:rsid w:val="007541A5"/>
    <w:rsid w:val="00754E53"/>
    <w:rsid w:val="00761FC3"/>
    <w:rsid w:val="0076351B"/>
    <w:rsid w:val="0076580F"/>
    <w:rsid w:val="007662CF"/>
    <w:rsid w:val="00767A19"/>
    <w:rsid w:val="00770B3D"/>
    <w:rsid w:val="0077371D"/>
    <w:rsid w:val="0077745E"/>
    <w:rsid w:val="00781EF7"/>
    <w:rsid w:val="007853AB"/>
    <w:rsid w:val="007855F2"/>
    <w:rsid w:val="007875F7"/>
    <w:rsid w:val="0078775B"/>
    <w:rsid w:val="00790ED9"/>
    <w:rsid w:val="007978E4"/>
    <w:rsid w:val="007A0EDD"/>
    <w:rsid w:val="007A1AE7"/>
    <w:rsid w:val="007A5112"/>
    <w:rsid w:val="007A710D"/>
    <w:rsid w:val="007B7AA1"/>
    <w:rsid w:val="007C3AB6"/>
    <w:rsid w:val="007C523F"/>
    <w:rsid w:val="007D042F"/>
    <w:rsid w:val="007D45E8"/>
    <w:rsid w:val="007D5ACD"/>
    <w:rsid w:val="007E14A6"/>
    <w:rsid w:val="007E37CB"/>
    <w:rsid w:val="007E3DFC"/>
    <w:rsid w:val="007E6286"/>
    <w:rsid w:val="007E731D"/>
    <w:rsid w:val="007F00EA"/>
    <w:rsid w:val="007F29CC"/>
    <w:rsid w:val="007F3766"/>
    <w:rsid w:val="007F402C"/>
    <w:rsid w:val="007F45D3"/>
    <w:rsid w:val="00801DBC"/>
    <w:rsid w:val="00804C89"/>
    <w:rsid w:val="00805BAE"/>
    <w:rsid w:val="00812D58"/>
    <w:rsid w:val="008137A6"/>
    <w:rsid w:val="008209C9"/>
    <w:rsid w:val="00822E39"/>
    <w:rsid w:val="00827DC4"/>
    <w:rsid w:val="00832B4E"/>
    <w:rsid w:val="00833836"/>
    <w:rsid w:val="00833F73"/>
    <w:rsid w:val="0083611F"/>
    <w:rsid w:val="00836193"/>
    <w:rsid w:val="00837B6D"/>
    <w:rsid w:val="0084346E"/>
    <w:rsid w:val="00844D36"/>
    <w:rsid w:val="008549D4"/>
    <w:rsid w:val="008569E5"/>
    <w:rsid w:val="00863868"/>
    <w:rsid w:val="00866042"/>
    <w:rsid w:val="008668C2"/>
    <w:rsid w:val="00867E5D"/>
    <w:rsid w:val="00870A4A"/>
    <w:rsid w:val="00874A01"/>
    <w:rsid w:val="00877A4E"/>
    <w:rsid w:val="0088035D"/>
    <w:rsid w:val="008824F4"/>
    <w:rsid w:val="00885B75"/>
    <w:rsid w:val="0088615C"/>
    <w:rsid w:val="0088763E"/>
    <w:rsid w:val="00891B53"/>
    <w:rsid w:val="008A0473"/>
    <w:rsid w:val="008A17A0"/>
    <w:rsid w:val="008A26B4"/>
    <w:rsid w:val="008A2BCA"/>
    <w:rsid w:val="008A2DB8"/>
    <w:rsid w:val="008A7619"/>
    <w:rsid w:val="008B02F6"/>
    <w:rsid w:val="008B561B"/>
    <w:rsid w:val="008B564E"/>
    <w:rsid w:val="008B5974"/>
    <w:rsid w:val="008C4E3F"/>
    <w:rsid w:val="008D0E83"/>
    <w:rsid w:val="008D2369"/>
    <w:rsid w:val="008D5B3B"/>
    <w:rsid w:val="008D6093"/>
    <w:rsid w:val="008D77AD"/>
    <w:rsid w:val="008E16A8"/>
    <w:rsid w:val="008E23EE"/>
    <w:rsid w:val="008E2E94"/>
    <w:rsid w:val="008E3441"/>
    <w:rsid w:val="008E781A"/>
    <w:rsid w:val="008F2912"/>
    <w:rsid w:val="008F460C"/>
    <w:rsid w:val="00902772"/>
    <w:rsid w:val="009102E2"/>
    <w:rsid w:val="00912A32"/>
    <w:rsid w:val="00912BC9"/>
    <w:rsid w:val="009141FE"/>
    <w:rsid w:val="00917F60"/>
    <w:rsid w:val="00920B9A"/>
    <w:rsid w:val="00923048"/>
    <w:rsid w:val="00926D62"/>
    <w:rsid w:val="00931C0D"/>
    <w:rsid w:val="00932411"/>
    <w:rsid w:val="00933A3C"/>
    <w:rsid w:val="00936372"/>
    <w:rsid w:val="00940FA8"/>
    <w:rsid w:val="00942A06"/>
    <w:rsid w:val="009435A6"/>
    <w:rsid w:val="00943CF4"/>
    <w:rsid w:val="009451B4"/>
    <w:rsid w:val="009454F6"/>
    <w:rsid w:val="00953D2F"/>
    <w:rsid w:val="00956942"/>
    <w:rsid w:val="00956A3F"/>
    <w:rsid w:val="00957305"/>
    <w:rsid w:val="009577EB"/>
    <w:rsid w:val="0096734A"/>
    <w:rsid w:val="0096783D"/>
    <w:rsid w:val="0097007C"/>
    <w:rsid w:val="00970ACD"/>
    <w:rsid w:val="00972C80"/>
    <w:rsid w:val="00973B87"/>
    <w:rsid w:val="009742E9"/>
    <w:rsid w:val="00975417"/>
    <w:rsid w:val="00976D0B"/>
    <w:rsid w:val="009779F7"/>
    <w:rsid w:val="009925E0"/>
    <w:rsid w:val="00992AE0"/>
    <w:rsid w:val="009971F7"/>
    <w:rsid w:val="009A0134"/>
    <w:rsid w:val="009A1C63"/>
    <w:rsid w:val="009A2742"/>
    <w:rsid w:val="009B5193"/>
    <w:rsid w:val="009C7257"/>
    <w:rsid w:val="009D32DD"/>
    <w:rsid w:val="009D50C0"/>
    <w:rsid w:val="009E1164"/>
    <w:rsid w:val="009E1688"/>
    <w:rsid w:val="009E2964"/>
    <w:rsid w:val="009E78D3"/>
    <w:rsid w:val="009E795B"/>
    <w:rsid w:val="009F3F3C"/>
    <w:rsid w:val="009F619C"/>
    <w:rsid w:val="009F7764"/>
    <w:rsid w:val="00A05A0A"/>
    <w:rsid w:val="00A06138"/>
    <w:rsid w:val="00A070EC"/>
    <w:rsid w:val="00A14B50"/>
    <w:rsid w:val="00A22286"/>
    <w:rsid w:val="00A23F5C"/>
    <w:rsid w:val="00A268A4"/>
    <w:rsid w:val="00A34BE2"/>
    <w:rsid w:val="00A34C5E"/>
    <w:rsid w:val="00A42DAB"/>
    <w:rsid w:val="00A443C3"/>
    <w:rsid w:val="00A504D6"/>
    <w:rsid w:val="00A522C3"/>
    <w:rsid w:val="00A55519"/>
    <w:rsid w:val="00A578F3"/>
    <w:rsid w:val="00A57EDC"/>
    <w:rsid w:val="00A6138C"/>
    <w:rsid w:val="00A64F2D"/>
    <w:rsid w:val="00A70D6A"/>
    <w:rsid w:val="00A764CC"/>
    <w:rsid w:val="00A76A51"/>
    <w:rsid w:val="00A80D6E"/>
    <w:rsid w:val="00A919B3"/>
    <w:rsid w:val="00A93F72"/>
    <w:rsid w:val="00A94C7B"/>
    <w:rsid w:val="00A97EB8"/>
    <w:rsid w:val="00AA1BFB"/>
    <w:rsid w:val="00AA6560"/>
    <w:rsid w:val="00AB4220"/>
    <w:rsid w:val="00AB44A8"/>
    <w:rsid w:val="00AB4566"/>
    <w:rsid w:val="00AB4A4D"/>
    <w:rsid w:val="00AB52C3"/>
    <w:rsid w:val="00AE6B97"/>
    <w:rsid w:val="00AE7064"/>
    <w:rsid w:val="00AF2CA1"/>
    <w:rsid w:val="00B04698"/>
    <w:rsid w:val="00B06153"/>
    <w:rsid w:val="00B06B93"/>
    <w:rsid w:val="00B111E9"/>
    <w:rsid w:val="00B123B8"/>
    <w:rsid w:val="00B13502"/>
    <w:rsid w:val="00B15957"/>
    <w:rsid w:val="00B2574E"/>
    <w:rsid w:val="00B27281"/>
    <w:rsid w:val="00B40E15"/>
    <w:rsid w:val="00B41534"/>
    <w:rsid w:val="00B44132"/>
    <w:rsid w:val="00B4450B"/>
    <w:rsid w:val="00B45C31"/>
    <w:rsid w:val="00B5146C"/>
    <w:rsid w:val="00B51585"/>
    <w:rsid w:val="00B61BBB"/>
    <w:rsid w:val="00B63DBE"/>
    <w:rsid w:val="00B651F1"/>
    <w:rsid w:val="00B65672"/>
    <w:rsid w:val="00B83F7F"/>
    <w:rsid w:val="00B84C3F"/>
    <w:rsid w:val="00B8654C"/>
    <w:rsid w:val="00B86C95"/>
    <w:rsid w:val="00B9076B"/>
    <w:rsid w:val="00B93566"/>
    <w:rsid w:val="00BA1923"/>
    <w:rsid w:val="00BA3C5F"/>
    <w:rsid w:val="00BA589C"/>
    <w:rsid w:val="00BA6772"/>
    <w:rsid w:val="00BA7D24"/>
    <w:rsid w:val="00BA7D39"/>
    <w:rsid w:val="00BB0551"/>
    <w:rsid w:val="00BB3B3C"/>
    <w:rsid w:val="00BC1645"/>
    <w:rsid w:val="00BC1AAA"/>
    <w:rsid w:val="00BC3D35"/>
    <w:rsid w:val="00BC511A"/>
    <w:rsid w:val="00BC6A90"/>
    <w:rsid w:val="00BC6CDE"/>
    <w:rsid w:val="00BC744D"/>
    <w:rsid w:val="00BD4019"/>
    <w:rsid w:val="00BD5C8A"/>
    <w:rsid w:val="00BD7A11"/>
    <w:rsid w:val="00BD7C76"/>
    <w:rsid w:val="00BE7AE1"/>
    <w:rsid w:val="00BF10A0"/>
    <w:rsid w:val="00BF11AD"/>
    <w:rsid w:val="00BF564D"/>
    <w:rsid w:val="00C04622"/>
    <w:rsid w:val="00C148B2"/>
    <w:rsid w:val="00C14A04"/>
    <w:rsid w:val="00C159F1"/>
    <w:rsid w:val="00C17E3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44F"/>
    <w:rsid w:val="00C749AA"/>
    <w:rsid w:val="00C75DF5"/>
    <w:rsid w:val="00C76010"/>
    <w:rsid w:val="00C779F9"/>
    <w:rsid w:val="00C84829"/>
    <w:rsid w:val="00C861C8"/>
    <w:rsid w:val="00C86358"/>
    <w:rsid w:val="00C86375"/>
    <w:rsid w:val="00C87870"/>
    <w:rsid w:val="00C901E9"/>
    <w:rsid w:val="00C90786"/>
    <w:rsid w:val="00C93B3C"/>
    <w:rsid w:val="00C93D3E"/>
    <w:rsid w:val="00C94BEF"/>
    <w:rsid w:val="00C976FC"/>
    <w:rsid w:val="00C97E89"/>
    <w:rsid w:val="00CA4696"/>
    <w:rsid w:val="00CA5E86"/>
    <w:rsid w:val="00CA6DCC"/>
    <w:rsid w:val="00CB281D"/>
    <w:rsid w:val="00CB61B4"/>
    <w:rsid w:val="00CB67EC"/>
    <w:rsid w:val="00CC0F50"/>
    <w:rsid w:val="00CC4128"/>
    <w:rsid w:val="00CC7212"/>
    <w:rsid w:val="00CD21AA"/>
    <w:rsid w:val="00CD2FEA"/>
    <w:rsid w:val="00CE0812"/>
    <w:rsid w:val="00CE3C6A"/>
    <w:rsid w:val="00CE4932"/>
    <w:rsid w:val="00CF2C55"/>
    <w:rsid w:val="00CF4444"/>
    <w:rsid w:val="00CF46DE"/>
    <w:rsid w:val="00CF50C1"/>
    <w:rsid w:val="00CF5215"/>
    <w:rsid w:val="00CF648B"/>
    <w:rsid w:val="00CF740F"/>
    <w:rsid w:val="00D03159"/>
    <w:rsid w:val="00D045DB"/>
    <w:rsid w:val="00D0709D"/>
    <w:rsid w:val="00D1075E"/>
    <w:rsid w:val="00D1201A"/>
    <w:rsid w:val="00D12079"/>
    <w:rsid w:val="00D12EF2"/>
    <w:rsid w:val="00D154F7"/>
    <w:rsid w:val="00D200B4"/>
    <w:rsid w:val="00D2509B"/>
    <w:rsid w:val="00D257AA"/>
    <w:rsid w:val="00D27983"/>
    <w:rsid w:val="00D326BC"/>
    <w:rsid w:val="00D45B2F"/>
    <w:rsid w:val="00D47760"/>
    <w:rsid w:val="00D5167E"/>
    <w:rsid w:val="00D6159B"/>
    <w:rsid w:val="00D64F14"/>
    <w:rsid w:val="00D65695"/>
    <w:rsid w:val="00D67F0C"/>
    <w:rsid w:val="00D75474"/>
    <w:rsid w:val="00D763E8"/>
    <w:rsid w:val="00D76FC5"/>
    <w:rsid w:val="00D80D13"/>
    <w:rsid w:val="00D81CD7"/>
    <w:rsid w:val="00D820E1"/>
    <w:rsid w:val="00D85F1A"/>
    <w:rsid w:val="00D864A6"/>
    <w:rsid w:val="00D865A3"/>
    <w:rsid w:val="00D90FEF"/>
    <w:rsid w:val="00DA5390"/>
    <w:rsid w:val="00DA70F1"/>
    <w:rsid w:val="00DA77F2"/>
    <w:rsid w:val="00DC2CE1"/>
    <w:rsid w:val="00DD0792"/>
    <w:rsid w:val="00DD29AD"/>
    <w:rsid w:val="00DD4EC8"/>
    <w:rsid w:val="00DD60AA"/>
    <w:rsid w:val="00DE10D0"/>
    <w:rsid w:val="00DE25E2"/>
    <w:rsid w:val="00DF11A6"/>
    <w:rsid w:val="00DF15CA"/>
    <w:rsid w:val="00DF1B6A"/>
    <w:rsid w:val="00DF250F"/>
    <w:rsid w:val="00E0429E"/>
    <w:rsid w:val="00E061F8"/>
    <w:rsid w:val="00E12F2D"/>
    <w:rsid w:val="00E168C1"/>
    <w:rsid w:val="00E22002"/>
    <w:rsid w:val="00E228A5"/>
    <w:rsid w:val="00E24A8D"/>
    <w:rsid w:val="00E33746"/>
    <w:rsid w:val="00E341DF"/>
    <w:rsid w:val="00E45D37"/>
    <w:rsid w:val="00E46278"/>
    <w:rsid w:val="00E47884"/>
    <w:rsid w:val="00E5024A"/>
    <w:rsid w:val="00E50B88"/>
    <w:rsid w:val="00E54788"/>
    <w:rsid w:val="00E55874"/>
    <w:rsid w:val="00E600EC"/>
    <w:rsid w:val="00E60125"/>
    <w:rsid w:val="00E62B75"/>
    <w:rsid w:val="00E70ADB"/>
    <w:rsid w:val="00E764C2"/>
    <w:rsid w:val="00E7714B"/>
    <w:rsid w:val="00E8127B"/>
    <w:rsid w:val="00E841A7"/>
    <w:rsid w:val="00E856B9"/>
    <w:rsid w:val="00E92930"/>
    <w:rsid w:val="00E929FC"/>
    <w:rsid w:val="00E94892"/>
    <w:rsid w:val="00EA2987"/>
    <w:rsid w:val="00EA2BD1"/>
    <w:rsid w:val="00EA4A1C"/>
    <w:rsid w:val="00EB0028"/>
    <w:rsid w:val="00EB357B"/>
    <w:rsid w:val="00EB4D1A"/>
    <w:rsid w:val="00EB5847"/>
    <w:rsid w:val="00EC25C3"/>
    <w:rsid w:val="00EC6D32"/>
    <w:rsid w:val="00ED022C"/>
    <w:rsid w:val="00ED231D"/>
    <w:rsid w:val="00EE1F53"/>
    <w:rsid w:val="00EE61C1"/>
    <w:rsid w:val="00EE71B4"/>
    <w:rsid w:val="00EF0187"/>
    <w:rsid w:val="00EF32CA"/>
    <w:rsid w:val="00EF34E7"/>
    <w:rsid w:val="00EF354A"/>
    <w:rsid w:val="00F00015"/>
    <w:rsid w:val="00F052FF"/>
    <w:rsid w:val="00F07EDF"/>
    <w:rsid w:val="00F1190B"/>
    <w:rsid w:val="00F16F3F"/>
    <w:rsid w:val="00F259D8"/>
    <w:rsid w:val="00F34765"/>
    <w:rsid w:val="00F35F3D"/>
    <w:rsid w:val="00F36970"/>
    <w:rsid w:val="00F40697"/>
    <w:rsid w:val="00F42D78"/>
    <w:rsid w:val="00F43ABB"/>
    <w:rsid w:val="00F44F24"/>
    <w:rsid w:val="00F45292"/>
    <w:rsid w:val="00F47C59"/>
    <w:rsid w:val="00F504EC"/>
    <w:rsid w:val="00F5242A"/>
    <w:rsid w:val="00F5280C"/>
    <w:rsid w:val="00F531B3"/>
    <w:rsid w:val="00F54905"/>
    <w:rsid w:val="00F556A7"/>
    <w:rsid w:val="00F55FC2"/>
    <w:rsid w:val="00F5727A"/>
    <w:rsid w:val="00F572CD"/>
    <w:rsid w:val="00F635A8"/>
    <w:rsid w:val="00F65F07"/>
    <w:rsid w:val="00F74994"/>
    <w:rsid w:val="00F8566A"/>
    <w:rsid w:val="00F86B4C"/>
    <w:rsid w:val="00F92A94"/>
    <w:rsid w:val="00F93336"/>
    <w:rsid w:val="00F93382"/>
    <w:rsid w:val="00F94AEC"/>
    <w:rsid w:val="00F96B83"/>
    <w:rsid w:val="00FA0A5C"/>
    <w:rsid w:val="00FA7F71"/>
    <w:rsid w:val="00FB05C9"/>
    <w:rsid w:val="00FB35BB"/>
    <w:rsid w:val="00FB5249"/>
    <w:rsid w:val="00FB6F5B"/>
    <w:rsid w:val="00FC0D8C"/>
    <w:rsid w:val="00FC1628"/>
    <w:rsid w:val="00FC393A"/>
    <w:rsid w:val="00FC45B6"/>
    <w:rsid w:val="00FD3AC9"/>
    <w:rsid w:val="00FD6D90"/>
    <w:rsid w:val="00FE0638"/>
    <w:rsid w:val="00FE1270"/>
    <w:rsid w:val="00FE18F6"/>
    <w:rsid w:val="00FE39E8"/>
    <w:rsid w:val="00FE5605"/>
    <w:rsid w:val="00FE5E56"/>
    <w:rsid w:val="00FE7227"/>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uiPriority w:val="99"/>
    <w:rsid w:val="00F36970"/>
    <w:rPr>
      <w:sz w:val="16"/>
      <w:szCs w:val="16"/>
    </w:rPr>
  </w:style>
  <w:style w:type="paragraph" w:styleId="CommentText">
    <w:name w:val="annotation text"/>
    <w:basedOn w:val="Normal"/>
    <w:link w:val="CommentTextChar"/>
    <w:uiPriority w:val="99"/>
    <w:rsid w:val="00F36970"/>
    <w:rPr>
      <w:sz w:val="20"/>
      <w:szCs w:val="20"/>
    </w:rPr>
  </w:style>
  <w:style w:type="character" w:customStyle="1" w:styleId="CommentTextChar">
    <w:name w:val="Comment Text Char"/>
    <w:basedOn w:val="DefaultParagraphFont"/>
    <w:link w:val="CommentText"/>
    <w:uiPriority w:val="99"/>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 w:type="character" w:styleId="FootnoteReference">
    <w:name w:val="footnote reference"/>
    <w:basedOn w:val="DefaultParagraphFont"/>
    <w:rsid w:val="00241B29"/>
    <w:rPr>
      <w:vertAlign w:val="superscript"/>
    </w:rPr>
  </w:style>
  <w:style w:type="paragraph" w:customStyle="1" w:styleId="p6">
    <w:name w:val="p6"/>
    <w:basedOn w:val="Normal"/>
    <w:rsid w:val="00F259D8"/>
    <w:pPr>
      <w:widowControl w:val="0"/>
      <w:autoSpaceDE w:val="0"/>
      <w:autoSpaceDN w:val="0"/>
      <w:adjustRightInd w:val="0"/>
      <w:ind w:left="77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uiPriority w:val="99"/>
    <w:rsid w:val="00F36970"/>
    <w:rPr>
      <w:sz w:val="16"/>
      <w:szCs w:val="16"/>
    </w:rPr>
  </w:style>
  <w:style w:type="paragraph" w:styleId="CommentText">
    <w:name w:val="annotation text"/>
    <w:basedOn w:val="Normal"/>
    <w:link w:val="CommentTextChar"/>
    <w:uiPriority w:val="99"/>
    <w:rsid w:val="00F36970"/>
    <w:rPr>
      <w:sz w:val="20"/>
      <w:szCs w:val="20"/>
    </w:rPr>
  </w:style>
  <w:style w:type="character" w:customStyle="1" w:styleId="CommentTextChar">
    <w:name w:val="Comment Text Char"/>
    <w:basedOn w:val="DefaultParagraphFont"/>
    <w:link w:val="CommentText"/>
    <w:uiPriority w:val="99"/>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 w:type="character" w:styleId="FootnoteReference">
    <w:name w:val="footnote reference"/>
    <w:basedOn w:val="DefaultParagraphFont"/>
    <w:rsid w:val="00241B29"/>
    <w:rPr>
      <w:vertAlign w:val="superscript"/>
    </w:rPr>
  </w:style>
  <w:style w:type="paragraph" w:customStyle="1" w:styleId="p6">
    <w:name w:val="p6"/>
    <w:basedOn w:val="Normal"/>
    <w:rsid w:val="00F259D8"/>
    <w:pPr>
      <w:widowControl w:val="0"/>
      <w:autoSpaceDE w:val="0"/>
      <w:autoSpaceDN w:val="0"/>
      <w:adjustRightInd w:val="0"/>
      <w:ind w:left="7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309">
      <w:bodyDiv w:val="1"/>
      <w:marLeft w:val="0"/>
      <w:marRight w:val="0"/>
      <w:marTop w:val="0"/>
      <w:marBottom w:val="0"/>
      <w:divBdr>
        <w:top w:val="none" w:sz="0" w:space="0" w:color="auto"/>
        <w:left w:val="none" w:sz="0" w:space="0" w:color="auto"/>
        <w:bottom w:val="none" w:sz="0" w:space="0" w:color="auto"/>
        <w:right w:val="none" w:sz="0" w:space="0" w:color="auto"/>
      </w:divBdr>
    </w:div>
    <w:div w:id="315258881">
      <w:bodyDiv w:val="1"/>
      <w:marLeft w:val="0"/>
      <w:marRight w:val="0"/>
      <w:marTop w:val="0"/>
      <w:marBottom w:val="0"/>
      <w:divBdr>
        <w:top w:val="none" w:sz="0" w:space="0" w:color="auto"/>
        <w:left w:val="none" w:sz="0" w:space="0" w:color="auto"/>
        <w:bottom w:val="none" w:sz="0" w:space="0" w:color="auto"/>
        <w:right w:val="none" w:sz="0" w:space="0" w:color="auto"/>
      </w:divBdr>
    </w:div>
    <w:div w:id="867916699">
      <w:bodyDiv w:val="1"/>
      <w:marLeft w:val="0"/>
      <w:marRight w:val="0"/>
      <w:marTop w:val="0"/>
      <w:marBottom w:val="0"/>
      <w:divBdr>
        <w:top w:val="none" w:sz="0" w:space="0" w:color="auto"/>
        <w:left w:val="none" w:sz="0" w:space="0" w:color="auto"/>
        <w:bottom w:val="none" w:sz="0" w:space="0" w:color="auto"/>
        <w:right w:val="none" w:sz="0" w:space="0" w:color="auto"/>
      </w:divBdr>
    </w:div>
    <w:div w:id="13398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6815-EC28-4D86-A098-F6A94E7B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19714</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Lynnette Thomas</cp:lastModifiedBy>
  <cp:revision>2</cp:revision>
  <cp:lastPrinted>2011-12-06T21:26:00Z</cp:lastPrinted>
  <dcterms:created xsi:type="dcterms:W3CDTF">2016-09-23T13:35:00Z</dcterms:created>
  <dcterms:modified xsi:type="dcterms:W3CDTF">2016-09-23T13:35:00Z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