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DFBE1" w14:textId="77777777" w:rsidR="00447C1E" w:rsidRPr="0056552B" w:rsidRDefault="00447C1E" w:rsidP="00447C1E">
      <w:pPr>
        <w:tabs>
          <w:tab w:val="center" w:pos="4680"/>
        </w:tabs>
        <w:suppressAutoHyphens/>
        <w:spacing w:line="480" w:lineRule="auto"/>
        <w:jc w:val="center"/>
        <w:rPr>
          <w:b/>
        </w:rPr>
      </w:pPr>
      <w:bookmarkStart w:id="0" w:name="_GoBack"/>
      <w:bookmarkEnd w:id="0"/>
      <w:r w:rsidRPr="0056552B">
        <w:rPr>
          <w:b/>
        </w:rPr>
        <w:t>SUPPORTING STATEMENT</w:t>
      </w:r>
      <w:r w:rsidR="0062567E" w:rsidRPr="0056552B">
        <w:rPr>
          <w:b/>
        </w:rPr>
        <w:t xml:space="preserve"> for</w:t>
      </w:r>
    </w:p>
    <w:p w14:paraId="741DFBE2" w14:textId="77777777" w:rsidR="00BD1DD0" w:rsidRPr="0056552B" w:rsidRDefault="00AD4629" w:rsidP="00447C1E">
      <w:pPr>
        <w:tabs>
          <w:tab w:val="right" w:pos="9360"/>
        </w:tabs>
        <w:spacing w:line="480" w:lineRule="auto"/>
        <w:jc w:val="center"/>
        <w:rPr>
          <w:b/>
          <w:lang w:val="es-US"/>
        </w:rPr>
      </w:pPr>
      <w:r w:rsidRPr="0056552B">
        <w:rPr>
          <w:b/>
          <w:lang w:val="es-US"/>
        </w:rPr>
        <w:t xml:space="preserve">OMB </w:t>
      </w:r>
      <w:r w:rsidR="009F7E1A" w:rsidRPr="0056552B">
        <w:rPr>
          <w:b/>
          <w:lang w:val="es-US"/>
        </w:rPr>
        <w:t xml:space="preserve">Control </w:t>
      </w:r>
      <w:r w:rsidR="009F7E1A" w:rsidRPr="0056552B">
        <w:rPr>
          <w:b/>
        </w:rPr>
        <w:t>Number</w:t>
      </w:r>
      <w:r w:rsidRPr="0056552B">
        <w:rPr>
          <w:b/>
          <w:lang w:val="es-US"/>
        </w:rPr>
        <w:t xml:space="preserve"> 0584-</w:t>
      </w:r>
      <w:r w:rsidR="009F7E1A" w:rsidRPr="0056552B">
        <w:rPr>
          <w:b/>
          <w:lang w:val="es-US"/>
        </w:rPr>
        <w:t>[</w:t>
      </w:r>
      <w:r w:rsidR="00B815F9" w:rsidRPr="0056552B">
        <w:rPr>
          <w:b/>
          <w:lang w:val="es-US"/>
        </w:rPr>
        <w:t>NEW</w:t>
      </w:r>
      <w:r w:rsidR="009F7E1A" w:rsidRPr="0056552B">
        <w:rPr>
          <w:b/>
          <w:lang w:val="es-US"/>
        </w:rPr>
        <w:t>]</w:t>
      </w:r>
      <w:r w:rsidR="00B335C9" w:rsidRPr="0056552B">
        <w:rPr>
          <w:b/>
          <w:lang w:val="es-US"/>
        </w:rPr>
        <w:t xml:space="preserve">:  </w:t>
      </w:r>
    </w:p>
    <w:p w14:paraId="741DFBE3" w14:textId="77777777" w:rsidR="00447C1E" w:rsidRPr="0056552B" w:rsidRDefault="00B815F9" w:rsidP="00447C1E">
      <w:pPr>
        <w:tabs>
          <w:tab w:val="right" w:pos="9360"/>
        </w:tabs>
        <w:spacing w:line="480" w:lineRule="auto"/>
        <w:jc w:val="center"/>
        <w:rPr>
          <w:b/>
        </w:rPr>
      </w:pPr>
      <w:r w:rsidRPr="0056552B">
        <w:rPr>
          <w:b/>
        </w:rPr>
        <w:t>Supplemental Nutrition Assistance Program (SNAP): Disaster Supplemental Nutrition Assistance Program (D-SNAP) Plans, Procedures, and Reports</w:t>
      </w:r>
    </w:p>
    <w:p w14:paraId="741DFBE4" w14:textId="77777777" w:rsidR="00B335C9" w:rsidRPr="0056552B" w:rsidRDefault="0074205E" w:rsidP="00B335C9">
      <w:pPr>
        <w:tabs>
          <w:tab w:val="center" w:pos="4680"/>
        </w:tabs>
        <w:suppressAutoHyphens/>
        <w:spacing w:line="480" w:lineRule="auto"/>
        <w:jc w:val="center"/>
      </w:pPr>
      <w:r w:rsidRPr="0056552B">
        <w:t>Proposed</w:t>
      </w:r>
      <w:r w:rsidR="00B335C9" w:rsidRPr="0056552B">
        <w:t xml:space="preserve"> Rule:  </w:t>
      </w:r>
      <w:r w:rsidR="00B815F9" w:rsidRPr="0056552B">
        <w:t>Supplemental Nutrition Assistance Program (SNAP): Disaster Supplemental Nutrition Assistance Program (D-SNAP)</w:t>
      </w:r>
      <w:r w:rsidR="00B335C9" w:rsidRPr="0056552B">
        <w:t xml:space="preserve"> (RIN 0584-</w:t>
      </w:r>
      <w:r w:rsidR="00B815F9" w:rsidRPr="0056552B">
        <w:t>AE00</w:t>
      </w:r>
      <w:r w:rsidR="00B335C9" w:rsidRPr="0056552B">
        <w:t>)</w:t>
      </w:r>
    </w:p>
    <w:p w14:paraId="741DFBE5" w14:textId="77777777" w:rsidR="00447C1E" w:rsidRPr="0056552B" w:rsidRDefault="00B815F9" w:rsidP="00447C1E">
      <w:pPr>
        <w:spacing w:line="480" w:lineRule="auto"/>
        <w:jc w:val="center"/>
        <w:rPr>
          <w:lang w:val="es-US"/>
        </w:rPr>
      </w:pPr>
      <w:r w:rsidRPr="0056552B">
        <w:rPr>
          <w:lang w:val="es-US"/>
        </w:rPr>
        <w:t>Eliot Kriviski</w:t>
      </w:r>
    </w:p>
    <w:p w14:paraId="741DFBE6" w14:textId="77777777" w:rsidR="00447C1E" w:rsidRPr="0056552B" w:rsidRDefault="00B815F9" w:rsidP="00447C1E">
      <w:pPr>
        <w:spacing w:line="480" w:lineRule="auto"/>
        <w:jc w:val="center"/>
      </w:pPr>
      <w:r w:rsidRPr="0056552B">
        <w:t>Program Analyst</w:t>
      </w:r>
    </w:p>
    <w:p w14:paraId="741DFBE7" w14:textId="77777777" w:rsidR="00447C1E" w:rsidRPr="0056552B" w:rsidRDefault="00B815F9" w:rsidP="00447C1E">
      <w:pPr>
        <w:tabs>
          <w:tab w:val="left" w:pos="-720"/>
        </w:tabs>
        <w:suppressAutoHyphens/>
        <w:spacing w:line="480" w:lineRule="auto"/>
        <w:jc w:val="center"/>
      </w:pPr>
      <w:r w:rsidRPr="0056552B">
        <w:t>Supplemental Nutrition Assistance Program</w:t>
      </w:r>
    </w:p>
    <w:p w14:paraId="741DFBE8" w14:textId="77777777" w:rsidR="00447C1E" w:rsidRPr="0056552B" w:rsidRDefault="00447C1E" w:rsidP="00447C1E">
      <w:pPr>
        <w:spacing w:line="480" w:lineRule="auto"/>
        <w:jc w:val="center"/>
      </w:pPr>
      <w:r w:rsidRPr="0056552B">
        <w:t xml:space="preserve">7 CFR Parts </w:t>
      </w:r>
      <w:r w:rsidR="00B815F9" w:rsidRPr="0056552B">
        <w:t>272</w:t>
      </w:r>
      <w:r w:rsidR="009F7E1A" w:rsidRPr="0056552B">
        <w:t xml:space="preserve">, </w:t>
      </w:r>
      <w:r w:rsidR="00B815F9" w:rsidRPr="0056552B">
        <w:t>274</w:t>
      </w:r>
      <w:r w:rsidR="009F7E1A" w:rsidRPr="0056552B">
        <w:t xml:space="preserve"> </w:t>
      </w:r>
      <w:r w:rsidR="00B815F9" w:rsidRPr="0056552B">
        <w:t>and 280</w:t>
      </w:r>
    </w:p>
    <w:p w14:paraId="741DFBE9" w14:textId="77777777" w:rsidR="00447C1E" w:rsidRPr="0056552B" w:rsidRDefault="009F7E1A" w:rsidP="00447C1E">
      <w:pPr>
        <w:spacing w:line="480" w:lineRule="auto"/>
        <w:jc w:val="center"/>
      </w:pPr>
      <w:r w:rsidRPr="0056552B">
        <w:t xml:space="preserve">USDA, </w:t>
      </w:r>
      <w:r w:rsidR="00447C1E" w:rsidRPr="0056552B">
        <w:t>Food and Nutrition Service</w:t>
      </w:r>
    </w:p>
    <w:p w14:paraId="741DFBEA" w14:textId="77777777" w:rsidR="00447C1E" w:rsidRPr="0056552B" w:rsidRDefault="009F7E1A" w:rsidP="00447C1E">
      <w:pPr>
        <w:spacing w:line="480" w:lineRule="auto"/>
        <w:jc w:val="center"/>
      </w:pPr>
      <w:r w:rsidRPr="0056552B">
        <w:t>3101 Park Center Drive</w:t>
      </w:r>
    </w:p>
    <w:p w14:paraId="741DFBEB" w14:textId="77777777" w:rsidR="00447C1E" w:rsidRPr="0056552B" w:rsidRDefault="00447C1E" w:rsidP="00447C1E">
      <w:pPr>
        <w:spacing w:line="480" w:lineRule="auto"/>
        <w:jc w:val="center"/>
      </w:pPr>
      <w:r w:rsidRPr="0056552B">
        <w:t>Alexandria, Virginia 22302</w:t>
      </w:r>
    </w:p>
    <w:p w14:paraId="741DFBEC" w14:textId="77777777" w:rsidR="00447C1E" w:rsidRPr="0056552B" w:rsidRDefault="00447C1E" w:rsidP="00447C1E">
      <w:pPr>
        <w:spacing w:line="480" w:lineRule="auto"/>
        <w:jc w:val="center"/>
      </w:pPr>
    </w:p>
    <w:p w14:paraId="741DFBED" w14:textId="77777777" w:rsidR="00905A5F" w:rsidRPr="0056552B" w:rsidRDefault="00905A5F">
      <w:pPr>
        <w:widowControl/>
        <w:overflowPunct/>
        <w:autoSpaceDE/>
        <w:autoSpaceDN/>
        <w:adjustRightInd/>
        <w:textAlignment w:val="auto"/>
      </w:pPr>
      <w:r w:rsidRPr="0056552B">
        <w:br w:type="page"/>
      </w:r>
    </w:p>
    <w:p w14:paraId="741DFBEE" w14:textId="77777777" w:rsidR="00905A5F" w:rsidRPr="0056552B" w:rsidRDefault="00905A5F" w:rsidP="009F7E1A">
      <w:pPr>
        <w:tabs>
          <w:tab w:val="center" w:pos="4680"/>
        </w:tabs>
        <w:rPr>
          <w:b/>
          <w:u w:val="single"/>
        </w:rPr>
      </w:pPr>
      <w:r w:rsidRPr="0056552B">
        <w:rPr>
          <w:b/>
          <w:u w:val="single"/>
        </w:rPr>
        <w:lastRenderedPageBreak/>
        <w:t>Table of Contents</w:t>
      </w:r>
    </w:p>
    <w:p w14:paraId="741DFBEF" w14:textId="77777777" w:rsidR="00BD1DD0" w:rsidRPr="0056552B" w:rsidRDefault="0092068E">
      <w:pPr>
        <w:pStyle w:val="TOC1"/>
        <w:rPr>
          <w:rFonts w:eastAsiaTheme="minorEastAsia"/>
          <w:b w:val="0"/>
          <w:bCs w:val="0"/>
          <w:caps w:val="0"/>
          <w:sz w:val="22"/>
          <w:szCs w:val="22"/>
        </w:rPr>
      </w:pPr>
      <w:r w:rsidRPr="0056552B">
        <w:fldChar w:fldCharType="begin"/>
      </w:r>
      <w:r w:rsidR="00905A5F" w:rsidRPr="0056552B">
        <w:instrText xml:space="preserve"> TOC \o "1-2" \h \z \u </w:instrText>
      </w:r>
      <w:r w:rsidRPr="0056552B">
        <w:fldChar w:fldCharType="separate"/>
      </w:r>
      <w:hyperlink w:anchor="_Toc401832401" w:history="1">
        <w:r w:rsidR="00BD1DD0" w:rsidRPr="0056552B">
          <w:rPr>
            <w:rStyle w:val="Hyperlink"/>
          </w:rPr>
          <w:t>A1. Circumstances that make the collection of information necessary.</w:t>
        </w:r>
        <w:r w:rsidR="00BD1DD0" w:rsidRPr="0056552B">
          <w:rPr>
            <w:webHidden/>
          </w:rPr>
          <w:tab/>
        </w:r>
        <w:r w:rsidRPr="0056552B">
          <w:rPr>
            <w:webHidden/>
          </w:rPr>
          <w:fldChar w:fldCharType="begin"/>
        </w:r>
        <w:r w:rsidR="00BD1DD0" w:rsidRPr="0056552B">
          <w:rPr>
            <w:webHidden/>
          </w:rPr>
          <w:instrText xml:space="preserve"> PAGEREF _Toc401832401 \h </w:instrText>
        </w:r>
        <w:r w:rsidRPr="0056552B">
          <w:rPr>
            <w:webHidden/>
          </w:rPr>
        </w:r>
        <w:r w:rsidRPr="0056552B">
          <w:rPr>
            <w:webHidden/>
          </w:rPr>
          <w:fldChar w:fldCharType="separate"/>
        </w:r>
        <w:r w:rsidR="00A70C28">
          <w:rPr>
            <w:webHidden/>
          </w:rPr>
          <w:t>3</w:t>
        </w:r>
        <w:r w:rsidRPr="0056552B">
          <w:rPr>
            <w:webHidden/>
          </w:rPr>
          <w:fldChar w:fldCharType="end"/>
        </w:r>
      </w:hyperlink>
    </w:p>
    <w:p w14:paraId="741DFBF0" w14:textId="77777777" w:rsidR="00BD1DD0" w:rsidRPr="0056552B" w:rsidRDefault="00E71000">
      <w:pPr>
        <w:pStyle w:val="TOC1"/>
        <w:rPr>
          <w:rFonts w:eastAsiaTheme="minorEastAsia"/>
          <w:b w:val="0"/>
          <w:bCs w:val="0"/>
          <w:caps w:val="0"/>
          <w:sz w:val="22"/>
          <w:szCs w:val="22"/>
        </w:rPr>
      </w:pPr>
      <w:hyperlink w:anchor="_Toc401832402" w:history="1">
        <w:r w:rsidR="00BD1DD0" w:rsidRPr="0056552B">
          <w:rPr>
            <w:rStyle w:val="Hyperlink"/>
          </w:rPr>
          <w:t>A2. Purpose and Use of the Information.</w:t>
        </w:r>
        <w:r w:rsidR="00BD1DD0" w:rsidRPr="0056552B">
          <w:rPr>
            <w:webHidden/>
          </w:rPr>
          <w:tab/>
        </w:r>
        <w:r w:rsidR="0092068E" w:rsidRPr="0056552B">
          <w:rPr>
            <w:webHidden/>
          </w:rPr>
          <w:fldChar w:fldCharType="begin"/>
        </w:r>
        <w:r w:rsidR="00BD1DD0" w:rsidRPr="0056552B">
          <w:rPr>
            <w:webHidden/>
          </w:rPr>
          <w:instrText xml:space="preserve"> PAGEREF _Toc401832402 \h </w:instrText>
        </w:r>
        <w:r w:rsidR="0092068E" w:rsidRPr="0056552B">
          <w:rPr>
            <w:webHidden/>
          </w:rPr>
        </w:r>
        <w:r w:rsidR="0092068E" w:rsidRPr="0056552B">
          <w:rPr>
            <w:webHidden/>
          </w:rPr>
          <w:fldChar w:fldCharType="separate"/>
        </w:r>
        <w:r w:rsidR="00A70C28">
          <w:rPr>
            <w:webHidden/>
          </w:rPr>
          <w:t>3</w:t>
        </w:r>
        <w:r w:rsidR="0092068E" w:rsidRPr="0056552B">
          <w:rPr>
            <w:webHidden/>
          </w:rPr>
          <w:fldChar w:fldCharType="end"/>
        </w:r>
      </w:hyperlink>
    </w:p>
    <w:p w14:paraId="741DFBF1" w14:textId="77777777" w:rsidR="00BD1DD0" w:rsidRPr="0056552B" w:rsidRDefault="00E71000">
      <w:pPr>
        <w:pStyle w:val="TOC1"/>
        <w:rPr>
          <w:rFonts w:eastAsiaTheme="minorEastAsia"/>
          <w:b w:val="0"/>
          <w:bCs w:val="0"/>
          <w:caps w:val="0"/>
          <w:sz w:val="22"/>
          <w:szCs w:val="22"/>
        </w:rPr>
      </w:pPr>
      <w:hyperlink w:anchor="_Toc401832403" w:history="1">
        <w:r w:rsidR="00BD1DD0" w:rsidRPr="0056552B">
          <w:rPr>
            <w:rStyle w:val="Hyperlink"/>
          </w:rPr>
          <w:t>A3.  Use of information technology and burden reduction.</w:t>
        </w:r>
        <w:r w:rsidR="00BD1DD0" w:rsidRPr="0056552B">
          <w:rPr>
            <w:webHidden/>
          </w:rPr>
          <w:tab/>
        </w:r>
        <w:r w:rsidR="0092068E" w:rsidRPr="0056552B">
          <w:rPr>
            <w:webHidden/>
          </w:rPr>
          <w:fldChar w:fldCharType="begin"/>
        </w:r>
        <w:r w:rsidR="00BD1DD0" w:rsidRPr="0056552B">
          <w:rPr>
            <w:webHidden/>
          </w:rPr>
          <w:instrText xml:space="preserve"> PAGEREF _Toc401832403 \h </w:instrText>
        </w:r>
        <w:r w:rsidR="0092068E" w:rsidRPr="0056552B">
          <w:rPr>
            <w:webHidden/>
          </w:rPr>
        </w:r>
        <w:r w:rsidR="0092068E" w:rsidRPr="0056552B">
          <w:rPr>
            <w:webHidden/>
          </w:rPr>
          <w:fldChar w:fldCharType="separate"/>
        </w:r>
        <w:r w:rsidR="00A70C28">
          <w:rPr>
            <w:webHidden/>
          </w:rPr>
          <w:t>4</w:t>
        </w:r>
        <w:r w:rsidR="0092068E" w:rsidRPr="0056552B">
          <w:rPr>
            <w:webHidden/>
          </w:rPr>
          <w:fldChar w:fldCharType="end"/>
        </w:r>
      </w:hyperlink>
    </w:p>
    <w:p w14:paraId="741DFBF2" w14:textId="77777777" w:rsidR="00BD1DD0" w:rsidRPr="0056552B" w:rsidRDefault="00E71000">
      <w:pPr>
        <w:pStyle w:val="TOC1"/>
        <w:rPr>
          <w:rFonts w:eastAsiaTheme="minorEastAsia"/>
          <w:b w:val="0"/>
          <w:bCs w:val="0"/>
          <w:caps w:val="0"/>
          <w:sz w:val="22"/>
          <w:szCs w:val="22"/>
        </w:rPr>
      </w:pPr>
      <w:hyperlink w:anchor="_Toc401832404" w:history="1">
        <w:r w:rsidR="00BD1DD0" w:rsidRPr="0056552B">
          <w:rPr>
            <w:rStyle w:val="Hyperlink"/>
          </w:rPr>
          <w:t>A4.  Efforts to identify duplication.</w:t>
        </w:r>
        <w:r w:rsidR="00BD1DD0" w:rsidRPr="0056552B">
          <w:rPr>
            <w:webHidden/>
          </w:rPr>
          <w:tab/>
        </w:r>
        <w:r w:rsidR="0092068E" w:rsidRPr="0056552B">
          <w:rPr>
            <w:webHidden/>
          </w:rPr>
          <w:fldChar w:fldCharType="begin"/>
        </w:r>
        <w:r w:rsidR="00BD1DD0" w:rsidRPr="0056552B">
          <w:rPr>
            <w:webHidden/>
          </w:rPr>
          <w:instrText xml:space="preserve"> PAGEREF _Toc401832404 \h </w:instrText>
        </w:r>
        <w:r w:rsidR="0092068E" w:rsidRPr="0056552B">
          <w:rPr>
            <w:webHidden/>
          </w:rPr>
        </w:r>
        <w:r w:rsidR="0092068E" w:rsidRPr="0056552B">
          <w:rPr>
            <w:webHidden/>
          </w:rPr>
          <w:fldChar w:fldCharType="separate"/>
        </w:r>
        <w:r w:rsidR="00A70C28">
          <w:rPr>
            <w:webHidden/>
          </w:rPr>
          <w:t>4</w:t>
        </w:r>
        <w:r w:rsidR="0092068E" w:rsidRPr="0056552B">
          <w:rPr>
            <w:webHidden/>
          </w:rPr>
          <w:fldChar w:fldCharType="end"/>
        </w:r>
      </w:hyperlink>
    </w:p>
    <w:p w14:paraId="741DFBF3" w14:textId="77777777" w:rsidR="00BD1DD0" w:rsidRPr="0056552B" w:rsidRDefault="00E71000">
      <w:pPr>
        <w:pStyle w:val="TOC1"/>
        <w:rPr>
          <w:rFonts w:eastAsiaTheme="minorEastAsia"/>
          <w:b w:val="0"/>
          <w:bCs w:val="0"/>
          <w:caps w:val="0"/>
          <w:sz w:val="22"/>
          <w:szCs w:val="22"/>
        </w:rPr>
      </w:pPr>
      <w:hyperlink w:anchor="_Toc401832405" w:history="1">
        <w:r w:rsidR="00BD1DD0" w:rsidRPr="0056552B">
          <w:rPr>
            <w:rStyle w:val="Hyperlink"/>
          </w:rPr>
          <w:t>A5.  Impacts on small businesses or other small entities.</w:t>
        </w:r>
        <w:r w:rsidR="00BD1DD0" w:rsidRPr="0056552B">
          <w:rPr>
            <w:webHidden/>
          </w:rPr>
          <w:tab/>
        </w:r>
        <w:r w:rsidR="0092068E" w:rsidRPr="0056552B">
          <w:rPr>
            <w:webHidden/>
          </w:rPr>
          <w:fldChar w:fldCharType="begin"/>
        </w:r>
        <w:r w:rsidR="00BD1DD0" w:rsidRPr="0056552B">
          <w:rPr>
            <w:webHidden/>
          </w:rPr>
          <w:instrText xml:space="preserve"> PAGEREF _Toc401832405 \h </w:instrText>
        </w:r>
        <w:r w:rsidR="0092068E" w:rsidRPr="0056552B">
          <w:rPr>
            <w:webHidden/>
          </w:rPr>
        </w:r>
        <w:r w:rsidR="0092068E" w:rsidRPr="0056552B">
          <w:rPr>
            <w:webHidden/>
          </w:rPr>
          <w:fldChar w:fldCharType="separate"/>
        </w:r>
        <w:r w:rsidR="00A70C28">
          <w:rPr>
            <w:webHidden/>
          </w:rPr>
          <w:t>4</w:t>
        </w:r>
        <w:r w:rsidR="0092068E" w:rsidRPr="0056552B">
          <w:rPr>
            <w:webHidden/>
          </w:rPr>
          <w:fldChar w:fldCharType="end"/>
        </w:r>
      </w:hyperlink>
    </w:p>
    <w:p w14:paraId="741DFBF4" w14:textId="77777777" w:rsidR="00BD1DD0" w:rsidRPr="0056552B" w:rsidRDefault="00E71000">
      <w:pPr>
        <w:pStyle w:val="TOC1"/>
        <w:rPr>
          <w:rFonts w:eastAsiaTheme="minorEastAsia"/>
          <w:b w:val="0"/>
          <w:bCs w:val="0"/>
          <w:caps w:val="0"/>
          <w:sz w:val="22"/>
          <w:szCs w:val="22"/>
        </w:rPr>
      </w:pPr>
      <w:hyperlink w:anchor="_Toc401832406" w:history="1">
        <w:r w:rsidR="00BD1DD0" w:rsidRPr="0056552B">
          <w:rPr>
            <w:rStyle w:val="Hyperlink"/>
          </w:rPr>
          <w:t>A6.  Consequences of collecting the information less frequently.</w:t>
        </w:r>
        <w:r w:rsidR="00BD1DD0" w:rsidRPr="0056552B">
          <w:rPr>
            <w:webHidden/>
          </w:rPr>
          <w:tab/>
        </w:r>
        <w:r w:rsidR="0092068E" w:rsidRPr="0056552B">
          <w:rPr>
            <w:webHidden/>
          </w:rPr>
          <w:fldChar w:fldCharType="begin"/>
        </w:r>
        <w:r w:rsidR="00BD1DD0" w:rsidRPr="0056552B">
          <w:rPr>
            <w:webHidden/>
          </w:rPr>
          <w:instrText xml:space="preserve"> PAGEREF _Toc401832406 \h </w:instrText>
        </w:r>
        <w:r w:rsidR="0092068E" w:rsidRPr="0056552B">
          <w:rPr>
            <w:webHidden/>
          </w:rPr>
        </w:r>
        <w:r w:rsidR="0092068E" w:rsidRPr="0056552B">
          <w:rPr>
            <w:webHidden/>
          </w:rPr>
          <w:fldChar w:fldCharType="separate"/>
        </w:r>
        <w:r w:rsidR="00A70C28">
          <w:rPr>
            <w:webHidden/>
          </w:rPr>
          <w:t>5</w:t>
        </w:r>
        <w:r w:rsidR="0092068E" w:rsidRPr="0056552B">
          <w:rPr>
            <w:webHidden/>
          </w:rPr>
          <w:fldChar w:fldCharType="end"/>
        </w:r>
      </w:hyperlink>
    </w:p>
    <w:p w14:paraId="741DFBF5" w14:textId="77777777" w:rsidR="00BD1DD0" w:rsidRPr="0056552B" w:rsidRDefault="00E71000">
      <w:pPr>
        <w:pStyle w:val="TOC1"/>
        <w:rPr>
          <w:rFonts w:eastAsiaTheme="minorEastAsia"/>
          <w:b w:val="0"/>
          <w:bCs w:val="0"/>
          <w:caps w:val="0"/>
          <w:sz w:val="22"/>
          <w:szCs w:val="22"/>
        </w:rPr>
      </w:pPr>
      <w:hyperlink w:anchor="_Toc401832407" w:history="1">
        <w:r w:rsidR="00BD1DD0" w:rsidRPr="0056552B">
          <w:rPr>
            <w:rStyle w:val="Hyperlink"/>
          </w:rPr>
          <w:t>A7.  Special circumstances relating to the Guidelines of 5 CFR 1320.5.</w:t>
        </w:r>
        <w:r w:rsidR="00BD1DD0" w:rsidRPr="0056552B">
          <w:rPr>
            <w:webHidden/>
          </w:rPr>
          <w:tab/>
        </w:r>
        <w:r w:rsidR="0092068E" w:rsidRPr="0056552B">
          <w:rPr>
            <w:webHidden/>
          </w:rPr>
          <w:fldChar w:fldCharType="begin"/>
        </w:r>
        <w:r w:rsidR="00BD1DD0" w:rsidRPr="0056552B">
          <w:rPr>
            <w:webHidden/>
          </w:rPr>
          <w:instrText xml:space="preserve"> PAGEREF _Toc401832407 \h </w:instrText>
        </w:r>
        <w:r w:rsidR="0092068E" w:rsidRPr="0056552B">
          <w:rPr>
            <w:webHidden/>
          </w:rPr>
        </w:r>
        <w:r w:rsidR="0092068E" w:rsidRPr="0056552B">
          <w:rPr>
            <w:webHidden/>
          </w:rPr>
          <w:fldChar w:fldCharType="separate"/>
        </w:r>
        <w:r w:rsidR="00A70C28">
          <w:rPr>
            <w:webHidden/>
          </w:rPr>
          <w:t>5</w:t>
        </w:r>
        <w:r w:rsidR="0092068E" w:rsidRPr="0056552B">
          <w:rPr>
            <w:webHidden/>
          </w:rPr>
          <w:fldChar w:fldCharType="end"/>
        </w:r>
      </w:hyperlink>
    </w:p>
    <w:p w14:paraId="741DFBF6" w14:textId="77777777" w:rsidR="00BD1DD0" w:rsidRPr="0056552B" w:rsidRDefault="00E71000">
      <w:pPr>
        <w:pStyle w:val="TOC1"/>
        <w:rPr>
          <w:rFonts w:eastAsiaTheme="minorEastAsia"/>
          <w:b w:val="0"/>
          <w:bCs w:val="0"/>
          <w:caps w:val="0"/>
          <w:sz w:val="22"/>
          <w:szCs w:val="22"/>
        </w:rPr>
      </w:pPr>
      <w:hyperlink w:anchor="_Toc401832408" w:history="1">
        <w:r w:rsidR="00BD1DD0" w:rsidRPr="0056552B">
          <w:rPr>
            <w:rStyle w:val="Hyperlink"/>
          </w:rPr>
          <w:t>A8.  Comments to the Federal Register Notice and efforts for consultation.</w:t>
        </w:r>
        <w:r w:rsidR="00BD1DD0" w:rsidRPr="0056552B">
          <w:rPr>
            <w:webHidden/>
          </w:rPr>
          <w:tab/>
        </w:r>
        <w:r w:rsidR="0092068E" w:rsidRPr="0056552B">
          <w:rPr>
            <w:webHidden/>
          </w:rPr>
          <w:fldChar w:fldCharType="begin"/>
        </w:r>
        <w:r w:rsidR="00BD1DD0" w:rsidRPr="0056552B">
          <w:rPr>
            <w:webHidden/>
          </w:rPr>
          <w:instrText xml:space="preserve"> PAGEREF _Toc401832408 \h </w:instrText>
        </w:r>
        <w:r w:rsidR="0092068E" w:rsidRPr="0056552B">
          <w:rPr>
            <w:webHidden/>
          </w:rPr>
        </w:r>
        <w:r w:rsidR="0092068E" w:rsidRPr="0056552B">
          <w:rPr>
            <w:webHidden/>
          </w:rPr>
          <w:fldChar w:fldCharType="separate"/>
        </w:r>
        <w:r w:rsidR="00A70C28">
          <w:rPr>
            <w:webHidden/>
          </w:rPr>
          <w:t>6</w:t>
        </w:r>
        <w:r w:rsidR="0092068E" w:rsidRPr="0056552B">
          <w:rPr>
            <w:webHidden/>
          </w:rPr>
          <w:fldChar w:fldCharType="end"/>
        </w:r>
      </w:hyperlink>
    </w:p>
    <w:p w14:paraId="741DFBF7" w14:textId="77777777" w:rsidR="00BD1DD0" w:rsidRPr="0056552B" w:rsidRDefault="00E71000">
      <w:pPr>
        <w:pStyle w:val="TOC1"/>
        <w:rPr>
          <w:rFonts w:eastAsiaTheme="minorEastAsia"/>
          <w:b w:val="0"/>
          <w:bCs w:val="0"/>
          <w:caps w:val="0"/>
          <w:sz w:val="22"/>
          <w:szCs w:val="22"/>
        </w:rPr>
      </w:pPr>
      <w:hyperlink w:anchor="_Toc401832409" w:history="1">
        <w:r w:rsidR="00BD1DD0" w:rsidRPr="0056552B">
          <w:rPr>
            <w:rStyle w:val="Hyperlink"/>
          </w:rPr>
          <w:t>A9.  Explain any decisions to provide any payment or gift to respondents.</w:t>
        </w:r>
        <w:r w:rsidR="00BD1DD0" w:rsidRPr="0056552B">
          <w:rPr>
            <w:webHidden/>
          </w:rPr>
          <w:tab/>
        </w:r>
        <w:r w:rsidR="0092068E" w:rsidRPr="0056552B">
          <w:rPr>
            <w:webHidden/>
          </w:rPr>
          <w:fldChar w:fldCharType="begin"/>
        </w:r>
        <w:r w:rsidR="00BD1DD0" w:rsidRPr="0056552B">
          <w:rPr>
            <w:webHidden/>
          </w:rPr>
          <w:instrText xml:space="preserve"> PAGEREF _Toc401832409 \h </w:instrText>
        </w:r>
        <w:r w:rsidR="0092068E" w:rsidRPr="0056552B">
          <w:rPr>
            <w:webHidden/>
          </w:rPr>
        </w:r>
        <w:r w:rsidR="0092068E" w:rsidRPr="0056552B">
          <w:rPr>
            <w:webHidden/>
          </w:rPr>
          <w:fldChar w:fldCharType="separate"/>
        </w:r>
        <w:r w:rsidR="00A70C28">
          <w:rPr>
            <w:webHidden/>
          </w:rPr>
          <w:t>6</w:t>
        </w:r>
        <w:r w:rsidR="0092068E" w:rsidRPr="0056552B">
          <w:rPr>
            <w:webHidden/>
          </w:rPr>
          <w:fldChar w:fldCharType="end"/>
        </w:r>
      </w:hyperlink>
    </w:p>
    <w:p w14:paraId="741DFBF8" w14:textId="77777777" w:rsidR="00BD1DD0" w:rsidRPr="0056552B" w:rsidRDefault="00E71000">
      <w:pPr>
        <w:pStyle w:val="TOC1"/>
        <w:rPr>
          <w:rFonts w:eastAsiaTheme="minorEastAsia"/>
          <w:b w:val="0"/>
          <w:bCs w:val="0"/>
          <w:caps w:val="0"/>
          <w:sz w:val="22"/>
          <w:szCs w:val="22"/>
        </w:rPr>
      </w:pPr>
      <w:hyperlink w:anchor="_Toc401832410" w:history="1">
        <w:r w:rsidR="00BD1DD0" w:rsidRPr="0056552B">
          <w:rPr>
            <w:rStyle w:val="Hyperlink"/>
          </w:rPr>
          <w:t>A10.  Assurances of confidentiality provided to respondents.</w:t>
        </w:r>
        <w:r w:rsidR="00BD1DD0" w:rsidRPr="0056552B">
          <w:rPr>
            <w:webHidden/>
          </w:rPr>
          <w:tab/>
        </w:r>
        <w:r w:rsidR="0092068E" w:rsidRPr="0056552B">
          <w:rPr>
            <w:webHidden/>
          </w:rPr>
          <w:fldChar w:fldCharType="begin"/>
        </w:r>
        <w:r w:rsidR="00BD1DD0" w:rsidRPr="0056552B">
          <w:rPr>
            <w:webHidden/>
          </w:rPr>
          <w:instrText xml:space="preserve"> PAGEREF _Toc401832410 \h </w:instrText>
        </w:r>
        <w:r w:rsidR="0092068E" w:rsidRPr="0056552B">
          <w:rPr>
            <w:webHidden/>
          </w:rPr>
        </w:r>
        <w:r w:rsidR="0092068E" w:rsidRPr="0056552B">
          <w:rPr>
            <w:webHidden/>
          </w:rPr>
          <w:fldChar w:fldCharType="separate"/>
        </w:r>
        <w:r w:rsidR="00A70C28">
          <w:rPr>
            <w:webHidden/>
          </w:rPr>
          <w:t>6</w:t>
        </w:r>
        <w:r w:rsidR="0092068E" w:rsidRPr="0056552B">
          <w:rPr>
            <w:webHidden/>
          </w:rPr>
          <w:fldChar w:fldCharType="end"/>
        </w:r>
      </w:hyperlink>
    </w:p>
    <w:p w14:paraId="741DFBF9" w14:textId="77777777" w:rsidR="00BD1DD0" w:rsidRPr="0056552B" w:rsidRDefault="00E71000">
      <w:pPr>
        <w:pStyle w:val="TOC1"/>
        <w:rPr>
          <w:rFonts w:eastAsiaTheme="minorEastAsia"/>
          <w:b w:val="0"/>
          <w:bCs w:val="0"/>
          <w:caps w:val="0"/>
          <w:sz w:val="22"/>
          <w:szCs w:val="22"/>
        </w:rPr>
      </w:pPr>
      <w:hyperlink w:anchor="_Toc401832411" w:history="1">
        <w:r w:rsidR="00BD1DD0" w:rsidRPr="0056552B">
          <w:rPr>
            <w:rStyle w:val="Hyperlink"/>
          </w:rPr>
          <w:t>A11.  Justification for any questions of a sensitive nature.</w:t>
        </w:r>
        <w:r w:rsidR="00BD1DD0" w:rsidRPr="0056552B">
          <w:rPr>
            <w:webHidden/>
          </w:rPr>
          <w:tab/>
        </w:r>
        <w:r w:rsidR="0092068E" w:rsidRPr="0056552B">
          <w:rPr>
            <w:webHidden/>
          </w:rPr>
          <w:fldChar w:fldCharType="begin"/>
        </w:r>
        <w:r w:rsidR="00BD1DD0" w:rsidRPr="0056552B">
          <w:rPr>
            <w:webHidden/>
          </w:rPr>
          <w:instrText xml:space="preserve"> PAGEREF _Toc401832411 \h </w:instrText>
        </w:r>
        <w:r w:rsidR="0092068E" w:rsidRPr="0056552B">
          <w:rPr>
            <w:webHidden/>
          </w:rPr>
        </w:r>
        <w:r w:rsidR="0092068E" w:rsidRPr="0056552B">
          <w:rPr>
            <w:webHidden/>
          </w:rPr>
          <w:fldChar w:fldCharType="separate"/>
        </w:r>
        <w:r w:rsidR="00A70C28">
          <w:rPr>
            <w:webHidden/>
          </w:rPr>
          <w:t>7</w:t>
        </w:r>
        <w:r w:rsidR="0092068E" w:rsidRPr="0056552B">
          <w:rPr>
            <w:webHidden/>
          </w:rPr>
          <w:fldChar w:fldCharType="end"/>
        </w:r>
      </w:hyperlink>
    </w:p>
    <w:p w14:paraId="741DFBFA" w14:textId="77777777" w:rsidR="00BD1DD0" w:rsidRPr="0056552B" w:rsidRDefault="00E71000">
      <w:pPr>
        <w:pStyle w:val="TOC1"/>
        <w:rPr>
          <w:rFonts w:eastAsiaTheme="minorEastAsia"/>
          <w:b w:val="0"/>
          <w:bCs w:val="0"/>
          <w:caps w:val="0"/>
          <w:sz w:val="22"/>
          <w:szCs w:val="22"/>
        </w:rPr>
      </w:pPr>
      <w:hyperlink w:anchor="_Toc401832412" w:history="1">
        <w:r w:rsidR="00BD1DD0" w:rsidRPr="0056552B">
          <w:rPr>
            <w:rStyle w:val="Hyperlink"/>
          </w:rPr>
          <w:t>A12.  Estimates of the hour burden of the collection of information.</w:t>
        </w:r>
        <w:r w:rsidR="00BD1DD0" w:rsidRPr="0056552B">
          <w:rPr>
            <w:webHidden/>
          </w:rPr>
          <w:tab/>
        </w:r>
        <w:r w:rsidR="0092068E" w:rsidRPr="0056552B">
          <w:rPr>
            <w:webHidden/>
          </w:rPr>
          <w:fldChar w:fldCharType="begin"/>
        </w:r>
        <w:r w:rsidR="00BD1DD0" w:rsidRPr="0056552B">
          <w:rPr>
            <w:webHidden/>
          </w:rPr>
          <w:instrText xml:space="preserve"> PAGEREF _Toc401832412 \h </w:instrText>
        </w:r>
        <w:r w:rsidR="0092068E" w:rsidRPr="0056552B">
          <w:rPr>
            <w:webHidden/>
          </w:rPr>
        </w:r>
        <w:r w:rsidR="0092068E" w:rsidRPr="0056552B">
          <w:rPr>
            <w:webHidden/>
          </w:rPr>
          <w:fldChar w:fldCharType="separate"/>
        </w:r>
        <w:r w:rsidR="00A70C28">
          <w:rPr>
            <w:webHidden/>
          </w:rPr>
          <w:t>7</w:t>
        </w:r>
        <w:r w:rsidR="0092068E" w:rsidRPr="0056552B">
          <w:rPr>
            <w:webHidden/>
          </w:rPr>
          <w:fldChar w:fldCharType="end"/>
        </w:r>
      </w:hyperlink>
    </w:p>
    <w:p w14:paraId="741DFBFB" w14:textId="77777777" w:rsidR="00BD1DD0" w:rsidRPr="0056552B" w:rsidRDefault="00E71000">
      <w:pPr>
        <w:pStyle w:val="TOC1"/>
        <w:rPr>
          <w:rFonts w:eastAsiaTheme="minorEastAsia"/>
          <w:b w:val="0"/>
          <w:bCs w:val="0"/>
          <w:caps w:val="0"/>
          <w:sz w:val="22"/>
          <w:szCs w:val="22"/>
        </w:rPr>
      </w:pPr>
      <w:hyperlink w:anchor="_Toc401832413" w:history="1">
        <w:r w:rsidR="00BD1DD0" w:rsidRPr="0056552B">
          <w:rPr>
            <w:rStyle w:val="Hyperlink"/>
          </w:rPr>
          <w:t>A13.  Estimates of other total annual cost burden.</w:t>
        </w:r>
        <w:r w:rsidR="00BD1DD0" w:rsidRPr="0056552B">
          <w:rPr>
            <w:webHidden/>
          </w:rPr>
          <w:tab/>
        </w:r>
        <w:r w:rsidR="0092068E" w:rsidRPr="0056552B">
          <w:rPr>
            <w:webHidden/>
          </w:rPr>
          <w:fldChar w:fldCharType="begin"/>
        </w:r>
        <w:r w:rsidR="00BD1DD0" w:rsidRPr="0056552B">
          <w:rPr>
            <w:webHidden/>
          </w:rPr>
          <w:instrText xml:space="preserve"> PAGEREF _Toc401832413 \h </w:instrText>
        </w:r>
        <w:r w:rsidR="0092068E" w:rsidRPr="0056552B">
          <w:rPr>
            <w:webHidden/>
          </w:rPr>
        </w:r>
        <w:r w:rsidR="0092068E" w:rsidRPr="0056552B">
          <w:rPr>
            <w:webHidden/>
          </w:rPr>
          <w:fldChar w:fldCharType="separate"/>
        </w:r>
        <w:r w:rsidR="00A70C28">
          <w:rPr>
            <w:webHidden/>
          </w:rPr>
          <w:t>10</w:t>
        </w:r>
        <w:r w:rsidR="0092068E" w:rsidRPr="0056552B">
          <w:rPr>
            <w:webHidden/>
          </w:rPr>
          <w:fldChar w:fldCharType="end"/>
        </w:r>
      </w:hyperlink>
    </w:p>
    <w:p w14:paraId="741DFBFC" w14:textId="77777777" w:rsidR="00BD1DD0" w:rsidRPr="0056552B" w:rsidRDefault="00E71000">
      <w:pPr>
        <w:pStyle w:val="TOC1"/>
        <w:rPr>
          <w:rFonts w:eastAsiaTheme="minorEastAsia"/>
          <w:b w:val="0"/>
          <w:bCs w:val="0"/>
          <w:caps w:val="0"/>
          <w:sz w:val="22"/>
          <w:szCs w:val="22"/>
        </w:rPr>
      </w:pPr>
      <w:hyperlink w:anchor="_Toc401832414" w:history="1">
        <w:r w:rsidR="00BD1DD0" w:rsidRPr="0056552B">
          <w:rPr>
            <w:rStyle w:val="Hyperlink"/>
          </w:rPr>
          <w:t>A14.  Provide estimates of annualized cost to the Federal government.</w:t>
        </w:r>
        <w:r w:rsidR="00BD1DD0" w:rsidRPr="0056552B">
          <w:rPr>
            <w:webHidden/>
          </w:rPr>
          <w:tab/>
        </w:r>
        <w:r w:rsidR="0092068E" w:rsidRPr="0056552B">
          <w:rPr>
            <w:webHidden/>
          </w:rPr>
          <w:fldChar w:fldCharType="begin"/>
        </w:r>
        <w:r w:rsidR="00BD1DD0" w:rsidRPr="0056552B">
          <w:rPr>
            <w:webHidden/>
          </w:rPr>
          <w:instrText xml:space="preserve"> PAGEREF _Toc401832414 \h </w:instrText>
        </w:r>
        <w:r w:rsidR="0092068E" w:rsidRPr="0056552B">
          <w:rPr>
            <w:webHidden/>
          </w:rPr>
        </w:r>
        <w:r w:rsidR="0092068E" w:rsidRPr="0056552B">
          <w:rPr>
            <w:webHidden/>
          </w:rPr>
          <w:fldChar w:fldCharType="separate"/>
        </w:r>
        <w:r w:rsidR="00A70C28">
          <w:rPr>
            <w:webHidden/>
          </w:rPr>
          <w:t>10</w:t>
        </w:r>
        <w:r w:rsidR="0092068E" w:rsidRPr="0056552B">
          <w:rPr>
            <w:webHidden/>
          </w:rPr>
          <w:fldChar w:fldCharType="end"/>
        </w:r>
      </w:hyperlink>
    </w:p>
    <w:p w14:paraId="741DFBFD" w14:textId="77777777" w:rsidR="00BD1DD0" w:rsidRPr="0056552B" w:rsidRDefault="00E71000">
      <w:pPr>
        <w:pStyle w:val="TOC1"/>
        <w:rPr>
          <w:rFonts w:eastAsiaTheme="minorEastAsia"/>
          <w:b w:val="0"/>
          <w:bCs w:val="0"/>
          <w:caps w:val="0"/>
          <w:sz w:val="22"/>
          <w:szCs w:val="22"/>
        </w:rPr>
      </w:pPr>
      <w:hyperlink w:anchor="_Toc401832415" w:history="1">
        <w:r w:rsidR="00BD1DD0" w:rsidRPr="0056552B">
          <w:rPr>
            <w:rStyle w:val="Hyperlink"/>
          </w:rPr>
          <w:t>A15.  Explanation of program changes or adjustments.</w:t>
        </w:r>
        <w:r w:rsidR="00BD1DD0" w:rsidRPr="0056552B">
          <w:rPr>
            <w:webHidden/>
          </w:rPr>
          <w:tab/>
        </w:r>
        <w:r w:rsidR="0092068E" w:rsidRPr="0056552B">
          <w:rPr>
            <w:webHidden/>
          </w:rPr>
          <w:fldChar w:fldCharType="begin"/>
        </w:r>
        <w:r w:rsidR="00BD1DD0" w:rsidRPr="0056552B">
          <w:rPr>
            <w:webHidden/>
          </w:rPr>
          <w:instrText xml:space="preserve"> PAGEREF _Toc401832415 \h </w:instrText>
        </w:r>
        <w:r w:rsidR="0092068E" w:rsidRPr="0056552B">
          <w:rPr>
            <w:webHidden/>
          </w:rPr>
        </w:r>
        <w:r w:rsidR="0092068E" w:rsidRPr="0056552B">
          <w:rPr>
            <w:webHidden/>
          </w:rPr>
          <w:fldChar w:fldCharType="separate"/>
        </w:r>
        <w:r w:rsidR="00A70C28">
          <w:rPr>
            <w:webHidden/>
          </w:rPr>
          <w:t>11</w:t>
        </w:r>
        <w:r w:rsidR="0092068E" w:rsidRPr="0056552B">
          <w:rPr>
            <w:webHidden/>
          </w:rPr>
          <w:fldChar w:fldCharType="end"/>
        </w:r>
      </w:hyperlink>
    </w:p>
    <w:p w14:paraId="741DFBFE" w14:textId="77777777" w:rsidR="00BD1DD0" w:rsidRPr="0056552B" w:rsidRDefault="00E71000">
      <w:pPr>
        <w:pStyle w:val="TOC1"/>
        <w:rPr>
          <w:rFonts w:eastAsiaTheme="minorEastAsia"/>
          <w:b w:val="0"/>
          <w:bCs w:val="0"/>
          <w:caps w:val="0"/>
          <w:sz w:val="22"/>
          <w:szCs w:val="22"/>
        </w:rPr>
      </w:pPr>
      <w:hyperlink w:anchor="_Toc401832416" w:history="1">
        <w:r w:rsidR="00BD1DD0" w:rsidRPr="0056552B">
          <w:rPr>
            <w:rStyle w:val="Hyperlink"/>
          </w:rPr>
          <w:t>A16.  Plans for tabulation, and publication and project time schedule.</w:t>
        </w:r>
        <w:r w:rsidR="00BD1DD0" w:rsidRPr="0056552B">
          <w:rPr>
            <w:webHidden/>
          </w:rPr>
          <w:tab/>
        </w:r>
        <w:r w:rsidR="0092068E" w:rsidRPr="0056552B">
          <w:rPr>
            <w:webHidden/>
          </w:rPr>
          <w:fldChar w:fldCharType="begin"/>
        </w:r>
        <w:r w:rsidR="00BD1DD0" w:rsidRPr="0056552B">
          <w:rPr>
            <w:webHidden/>
          </w:rPr>
          <w:instrText xml:space="preserve"> PAGEREF _Toc401832416 \h </w:instrText>
        </w:r>
        <w:r w:rsidR="0092068E" w:rsidRPr="0056552B">
          <w:rPr>
            <w:webHidden/>
          </w:rPr>
        </w:r>
        <w:r w:rsidR="0092068E" w:rsidRPr="0056552B">
          <w:rPr>
            <w:webHidden/>
          </w:rPr>
          <w:fldChar w:fldCharType="separate"/>
        </w:r>
        <w:r w:rsidR="00A70C28">
          <w:rPr>
            <w:webHidden/>
          </w:rPr>
          <w:t>12</w:t>
        </w:r>
        <w:r w:rsidR="0092068E" w:rsidRPr="0056552B">
          <w:rPr>
            <w:webHidden/>
          </w:rPr>
          <w:fldChar w:fldCharType="end"/>
        </w:r>
      </w:hyperlink>
    </w:p>
    <w:p w14:paraId="741DFBFF" w14:textId="77777777" w:rsidR="00BD1DD0" w:rsidRPr="0056552B" w:rsidRDefault="00E71000">
      <w:pPr>
        <w:pStyle w:val="TOC1"/>
        <w:rPr>
          <w:rFonts w:eastAsiaTheme="minorEastAsia"/>
          <w:b w:val="0"/>
          <w:bCs w:val="0"/>
          <w:caps w:val="0"/>
          <w:sz w:val="22"/>
          <w:szCs w:val="22"/>
        </w:rPr>
      </w:pPr>
      <w:hyperlink w:anchor="_Toc401832417" w:history="1">
        <w:r w:rsidR="00BD1DD0" w:rsidRPr="0056552B">
          <w:rPr>
            <w:rStyle w:val="Hyperlink"/>
          </w:rPr>
          <w:t>A17.  Displaying the OMB Approval Expiration Date.</w:t>
        </w:r>
        <w:r w:rsidR="00BD1DD0" w:rsidRPr="0056552B">
          <w:rPr>
            <w:webHidden/>
          </w:rPr>
          <w:tab/>
        </w:r>
        <w:r w:rsidR="0092068E" w:rsidRPr="0056552B">
          <w:rPr>
            <w:webHidden/>
          </w:rPr>
          <w:fldChar w:fldCharType="begin"/>
        </w:r>
        <w:r w:rsidR="00BD1DD0" w:rsidRPr="0056552B">
          <w:rPr>
            <w:webHidden/>
          </w:rPr>
          <w:instrText xml:space="preserve"> PAGEREF _Toc401832417 \h </w:instrText>
        </w:r>
        <w:r w:rsidR="0092068E" w:rsidRPr="0056552B">
          <w:rPr>
            <w:webHidden/>
          </w:rPr>
        </w:r>
        <w:r w:rsidR="0092068E" w:rsidRPr="0056552B">
          <w:rPr>
            <w:webHidden/>
          </w:rPr>
          <w:fldChar w:fldCharType="separate"/>
        </w:r>
        <w:r w:rsidR="00A70C28">
          <w:rPr>
            <w:webHidden/>
          </w:rPr>
          <w:t>12</w:t>
        </w:r>
        <w:r w:rsidR="0092068E" w:rsidRPr="0056552B">
          <w:rPr>
            <w:webHidden/>
          </w:rPr>
          <w:fldChar w:fldCharType="end"/>
        </w:r>
      </w:hyperlink>
    </w:p>
    <w:p w14:paraId="741DFC00" w14:textId="77777777" w:rsidR="00BD1DD0" w:rsidRPr="0056552B" w:rsidRDefault="00E71000">
      <w:pPr>
        <w:pStyle w:val="TOC1"/>
        <w:rPr>
          <w:rFonts w:eastAsiaTheme="minorEastAsia"/>
          <w:b w:val="0"/>
          <w:bCs w:val="0"/>
          <w:caps w:val="0"/>
          <w:sz w:val="22"/>
          <w:szCs w:val="22"/>
        </w:rPr>
      </w:pPr>
      <w:hyperlink w:anchor="_Toc401832418" w:history="1">
        <w:r w:rsidR="00BD1DD0" w:rsidRPr="0056552B">
          <w:rPr>
            <w:rStyle w:val="Hyperlink"/>
          </w:rPr>
          <w:t>A18.  Exceptions to the certification statement identified in Item 19.</w:t>
        </w:r>
        <w:r w:rsidR="00BD1DD0" w:rsidRPr="0056552B">
          <w:rPr>
            <w:webHidden/>
          </w:rPr>
          <w:tab/>
        </w:r>
        <w:r w:rsidR="0092068E" w:rsidRPr="0056552B">
          <w:rPr>
            <w:webHidden/>
          </w:rPr>
          <w:fldChar w:fldCharType="begin"/>
        </w:r>
        <w:r w:rsidR="00BD1DD0" w:rsidRPr="0056552B">
          <w:rPr>
            <w:webHidden/>
          </w:rPr>
          <w:instrText xml:space="preserve"> PAGEREF _Toc401832418 \h </w:instrText>
        </w:r>
        <w:r w:rsidR="0092068E" w:rsidRPr="0056552B">
          <w:rPr>
            <w:webHidden/>
          </w:rPr>
        </w:r>
        <w:r w:rsidR="0092068E" w:rsidRPr="0056552B">
          <w:rPr>
            <w:webHidden/>
          </w:rPr>
          <w:fldChar w:fldCharType="separate"/>
        </w:r>
        <w:r w:rsidR="00A70C28">
          <w:rPr>
            <w:webHidden/>
          </w:rPr>
          <w:t>12</w:t>
        </w:r>
        <w:r w:rsidR="0092068E" w:rsidRPr="0056552B">
          <w:rPr>
            <w:webHidden/>
          </w:rPr>
          <w:fldChar w:fldCharType="end"/>
        </w:r>
      </w:hyperlink>
    </w:p>
    <w:p w14:paraId="741DFC01" w14:textId="77777777" w:rsidR="00905A5F" w:rsidRPr="0056552B" w:rsidRDefault="0092068E" w:rsidP="009F7E1A">
      <w:pPr>
        <w:tabs>
          <w:tab w:val="center" w:pos="4680"/>
        </w:tabs>
        <w:rPr>
          <w:b/>
          <w:u w:val="single"/>
        </w:rPr>
      </w:pPr>
      <w:r w:rsidRPr="0056552B">
        <w:rPr>
          <w:b/>
          <w:u w:val="single"/>
        </w:rPr>
        <w:fldChar w:fldCharType="end"/>
      </w:r>
    </w:p>
    <w:p w14:paraId="741DFC02" w14:textId="77777777" w:rsidR="00905A5F" w:rsidRPr="0056552B" w:rsidRDefault="00905A5F" w:rsidP="009F7E1A">
      <w:pPr>
        <w:tabs>
          <w:tab w:val="center" w:pos="4680"/>
        </w:tabs>
        <w:rPr>
          <w:b/>
          <w:u w:val="single"/>
        </w:rPr>
      </w:pPr>
    </w:p>
    <w:p w14:paraId="741DFC03" w14:textId="77777777" w:rsidR="00905A5F" w:rsidRPr="0056552B" w:rsidRDefault="00905A5F" w:rsidP="009F7E1A">
      <w:pPr>
        <w:tabs>
          <w:tab w:val="center" w:pos="4680"/>
        </w:tabs>
        <w:rPr>
          <w:b/>
          <w:u w:val="single"/>
        </w:rPr>
      </w:pPr>
    </w:p>
    <w:p w14:paraId="741DFC04" w14:textId="77777777" w:rsidR="002568E6" w:rsidRPr="0056552B" w:rsidRDefault="00905A5F" w:rsidP="009F7E1A">
      <w:pPr>
        <w:tabs>
          <w:tab w:val="center" w:pos="4680"/>
        </w:tabs>
        <w:rPr>
          <w:b/>
          <w:u w:val="single"/>
        </w:rPr>
      </w:pPr>
      <w:r w:rsidRPr="0056552B">
        <w:rPr>
          <w:b/>
          <w:u w:val="single"/>
        </w:rPr>
        <w:t>App</w:t>
      </w:r>
      <w:r w:rsidR="002568E6" w:rsidRPr="0056552B">
        <w:rPr>
          <w:b/>
          <w:u w:val="single"/>
        </w:rPr>
        <w:t>endices</w:t>
      </w:r>
    </w:p>
    <w:p w14:paraId="741DFC05" w14:textId="77777777" w:rsidR="00EA5021" w:rsidRDefault="00EA5021" w:rsidP="00EA5021">
      <w:pPr>
        <w:widowControl/>
        <w:overflowPunct/>
        <w:autoSpaceDE/>
        <w:autoSpaceDN/>
        <w:adjustRightInd/>
        <w:textAlignment w:val="auto"/>
      </w:pPr>
      <w:r w:rsidRPr="005C615F">
        <w:t>Attachment A</w:t>
      </w:r>
      <w:r w:rsidR="00122F6E">
        <w:t>:</w:t>
      </w:r>
      <w:r w:rsidRPr="005C615F">
        <w:t xml:space="preserve"> Section 5(h) of the Food and Nutrition Act of 2008</w:t>
      </w:r>
    </w:p>
    <w:p w14:paraId="741DFC06" w14:textId="77777777" w:rsidR="00EA5021" w:rsidRDefault="00EA5021" w:rsidP="00EA5021">
      <w:pPr>
        <w:widowControl/>
        <w:overflowPunct/>
        <w:autoSpaceDE/>
        <w:autoSpaceDN/>
        <w:adjustRightInd/>
        <w:textAlignment w:val="auto"/>
      </w:pPr>
      <w:r w:rsidRPr="005C615F">
        <w:t>Attachment B</w:t>
      </w:r>
      <w:r w:rsidR="00122F6E">
        <w:t>:</w:t>
      </w:r>
      <w:r w:rsidRPr="005C615F">
        <w:t xml:space="preserve"> (Sec. 412 -Disaster Relief and Emergency Assistance Act as Amended by </w:t>
      </w:r>
    </w:p>
    <w:p w14:paraId="741DFC07" w14:textId="77777777" w:rsidR="00EA5021" w:rsidRDefault="00EA5021" w:rsidP="00EA5021">
      <w:pPr>
        <w:widowControl/>
        <w:overflowPunct/>
        <w:autoSpaceDE/>
        <w:autoSpaceDN/>
        <w:adjustRightInd/>
        <w:textAlignment w:val="auto"/>
      </w:pPr>
      <w:proofErr w:type="gramStart"/>
      <w:r w:rsidRPr="005C615F">
        <w:t>the</w:t>
      </w:r>
      <w:proofErr w:type="gramEnd"/>
      <w:r w:rsidRPr="005C615F">
        <w:t xml:space="preserve"> Stafford Act)</w:t>
      </w:r>
    </w:p>
    <w:p w14:paraId="741DFC08" w14:textId="77777777" w:rsidR="00EA5021" w:rsidRDefault="00EA5021" w:rsidP="00EA5021">
      <w:pPr>
        <w:widowControl/>
        <w:overflowPunct/>
        <w:autoSpaceDE/>
        <w:autoSpaceDN/>
        <w:adjustRightInd/>
        <w:textAlignment w:val="auto"/>
      </w:pPr>
      <w:r w:rsidRPr="005C615F">
        <w:t>Attachment C</w:t>
      </w:r>
      <w:r w:rsidR="00122F6E">
        <w:t>:</w:t>
      </w:r>
      <w:r w:rsidRPr="005C615F">
        <w:t xml:space="preserve"> Executive Order 11795</w:t>
      </w:r>
    </w:p>
    <w:p w14:paraId="741DFC09" w14:textId="77777777" w:rsidR="002568E6" w:rsidRDefault="00EA5021" w:rsidP="009F7E1A">
      <w:pPr>
        <w:tabs>
          <w:tab w:val="center" w:pos="4680"/>
        </w:tabs>
      </w:pPr>
      <w:r>
        <w:t>Attachment D</w:t>
      </w:r>
      <w:r w:rsidR="00122F6E">
        <w:t>:</w:t>
      </w:r>
      <w:r>
        <w:t xml:space="preserve"> Burden </w:t>
      </w:r>
      <w:r w:rsidR="00F01CCA">
        <w:t>Narrative</w:t>
      </w:r>
    </w:p>
    <w:p w14:paraId="741DFC0A" w14:textId="77777777" w:rsidR="00F01CCA" w:rsidRPr="0056552B" w:rsidRDefault="00F01CCA" w:rsidP="009F7E1A">
      <w:pPr>
        <w:tabs>
          <w:tab w:val="center" w:pos="4680"/>
        </w:tabs>
      </w:pPr>
      <w:r>
        <w:t>Attachment E: Burden Table</w:t>
      </w:r>
    </w:p>
    <w:p w14:paraId="741DFC0B" w14:textId="77777777" w:rsidR="002568E6" w:rsidRPr="0056552B" w:rsidRDefault="002568E6">
      <w:pPr>
        <w:widowControl/>
        <w:overflowPunct/>
        <w:autoSpaceDE/>
        <w:autoSpaceDN/>
        <w:adjustRightInd/>
        <w:textAlignment w:val="auto"/>
      </w:pPr>
      <w:r w:rsidRPr="0056552B">
        <w:br w:type="page"/>
      </w:r>
    </w:p>
    <w:p w14:paraId="741DFC0C" w14:textId="77777777" w:rsidR="005A3F80" w:rsidRPr="0056552B" w:rsidRDefault="005A3F80" w:rsidP="0062567E">
      <w:pPr>
        <w:pStyle w:val="Heading1"/>
      </w:pPr>
      <w:bookmarkStart w:id="1" w:name="_Toc401831357"/>
      <w:bookmarkStart w:id="2" w:name="_Toc401832401"/>
      <w:r w:rsidRPr="0056552B">
        <w:t xml:space="preserve">A1. </w:t>
      </w:r>
      <w:proofErr w:type="gramStart"/>
      <w:r w:rsidR="002568E6" w:rsidRPr="0056552B">
        <w:t>C</w:t>
      </w:r>
      <w:r w:rsidRPr="0056552B">
        <w:t>ircumstances that make the collection of information necessary.</w:t>
      </w:r>
      <w:bookmarkEnd w:id="1"/>
      <w:bookmarkEnd w:id="2"/>
      <w:proofErr w:type="gramEnd"/>
    </w:p>
    <w:p w14:paraId="741DFC0D" w14:textId="77777777" w:rsidR="003333DF" w:rsidRPr="0056552B" w:rsidRDefault="003333DF" w:rsidP="003333DF">
      <w:pPr>
        <w:tabs>
          <w:tab w:val="left" w:pos="-720"/>
        </w:tabs>
        <w:suppressAutoHyphens/>
        <w:rPr>
          <w:b/>
        </w:rPr>
      </w:pPr>
    </w:p>
    <w:p w14:paraId="741DFC0E" w14:textId="77777777" w:rsidR="003333DF" w:rsidRPr="0056552B" w:rsidRDefault="003333DF" w:rsidP="003333DF">
      <w:pPr>
        <w:tabs>
          <w:tab w:val="left" w:pos="-720"/>
        </w:tabs>
        <w:suppressAutoHyphens/>
        <w:rPr>
          <w:b/>
        </w:rPr>
      </w:pPr>
      <w:r w:rsidRPr="0056552B">
        <w:rPr>
          <w:b/>
        </w:rPr>
        <w:t>Identify any legal or administrative requirements that necessitate the collection. Attach a copy of the appropriate section of each statute and regulation mandating or authorizing the collection of information.</w:t>
      </w:r>
    </w:p>
    <w:p w14:paraId="741DFC0F" w14:textId="77777777" w:rsidR="00A308DB" w:rsidRPr="0056552B" w:rsidRDefault="00A308DB" w:rsidP="009F7E1A">
      <w:pPr>
        <w:tabs>
          <w:tab w:val="left" w:pos="-720"/>
        </w:tabs>
        <w:suppressAutoHyphens/>
      </w:pPr>
    </w:p>
    <w:p w14:paraId="741DFC10" w14:textId="77777777" w:rsidR="0056552B" w:rsidRDefault="00477384" w:rsidP="00487F87">
      <w:pPr>
        <w:tabs>
          <w:tab w:val="left" w:pos="-720"/>
        </w:tabs>
        <w:suppressAutoHyphens/>
        <w:spacing w:line="360" w:lineRule="auto"/>
      </w:pPr>
      <w:r>
        <w:t xml:space="preserve">This is a new information collection request </w:t>
      </w:r>
      <w:r w:rsidR="002233CF">
        <w:t>that seeks approval for the burden requirements associated with</w:t>
      </w:r>
      <w:r w:rsidR="00075D3E">
        <w:t xml:space="preserve"> the proposed rule titled:  </w:t>
      </w:r>
      <w:r w:rsidR="00075D3E" w:rsidRPr="0056552B">
        <w:t>Proposed Rule:  Supplemental Nutrition Assistance Program (SNAP): Disaster Supplemental Nutrition Assistance Program (D-SNAP)</w:t>
      </w:r>
      <w:r w:rsidR="00075D3E">
        <w:t xml:space="preserve"> </w:t>
      </w:r>
      <w:r w:rsidR="00075D3E" w:rsidRPr="00671221">
        <w:t>(R</w:t>
      </w:r>
      <w:r w:rsidR="00075D3E">
        <w:t>IN</w:t>
      </w:r>
      <w:r w:rsidR="00075D3E" w:rsidRPr="00671221">
        <w:t xml:space="preserve"> 0584-A</w:t>
      </w:r>
      <w:r w:rsidR="00075D3E">
        <w:t>E00</w:t>
      </w:r>
      <w:r w:rsidR="00075D3E" w:rsidRPr="00671221">
        <w:t>)</w:t>
      </w:r>
      <w:r w:rsidR="00075D3E">
        <w:t>.</w:t>
      </w:r>
      <w:r w:rsidR="00BB5B19">
        <w:t xml:space="preserve">  </w:t>
      </w:r>
      <w:r w:rsidR="00075D3E" w:rsidRPr="0056552B">
        <w:t>Th</w:t>
      </w:r>
      <w:r w:rsidR="00075D3E">
        <w:t>e rule</w:t>
      </w:r>
      <w:r w:rsidR="0056552B" w:rsidRPr="0056552B">
        <w:t xml:space="preserve"> implement</w:t>
      </w:r>
      <w:r w:rsidR="00075D3E">
        <w:t>s</w:t>
      </w:r>
      <w:r w:rsidR="0056552B" w:rsidRPr="0056552B">
        <w:t xml:space="preserve"> The Disaster Relief and Emergency Assistance Act (1974), as amended by the Robert T. Stafford Disaster Relief and Assistance Act (1988) (enclosed) and accompanying Executive Order 12673, and Section (5)(h) of the Food and Nutrition Act of 2008 (the Act), which </w:t>
      </w:r>
      <w:r w:rsidR="007532FF">
        <w:t>authorizes the Secretary of the Department of Agriculture and</w:t>
      </w:r>
      <w:r w:rsidR="0056552B" w:rsidRPr="0056552B">
        <w:t xml:space="preserve"> the Food and Nutrition Service (FNS) to determine the need for </w:t>
      </w:r>
      <w:r w:rsidR="00FE54FE">
        <w:t>operating a Disaster Supplemental Nutrition Assistance Program (D-</w:t>
      </w:r>
      <w:r w:rsidR="0056552B" w:rsidRPr="0056552B">
        <w:t>SNAP</w:t>
      </w:r>
      <w:r w:rsidR="00FE54FE">
        <w:t>)</w:t>
      </w:r>
      <w:r w:rsidR="0056552B" w:rsidRPr="0056552B">
        <w:t xml:space="preserve"> during a presidentially-declared disaster and establish temporary emergency standards of eligibility for households </w:t>
      </w:r>
      <w:r w:rsidR="00FE54FE">
        <w:t>affected by</w:t>
      </w:r>
      <w:r w:rsidR="0056552B" w:rsidRPr="0056552B">
        <w:t xml:space="preserve"> a disaster</w:t>
      </w:r>
      <w:r w:rsidR="00FE54FE">
        <w:t xml:space="preserve"> after</w:t>
      </w:r>
      <w:r w:rsidR="0056552B" w:rsidRPr="0056552B">
        <w:t xml:space="preserve"> commercial channels of food distribution have been restored.  </w:t>
      </w:r>
      <w:r w:rsidR="002233CF">
        <w:t xml:space="preserve">The rule also implements </w:t>
      </w:r>
      <w:r w:rsidR="008D353A" w:rsidRPr="00D76228">
        <w:t xml:space="preserve"> Section 11(e)(14) of the Act, </w:t>
      </w:r>
      <w:r w:rsidR="002233CF">
        <w:t xml:space="preserve">which requires, </w:t>
      </w:r>
      <w:r w:rsidR="008D353A" w:rsidRPr="00D76228">
        <w:t>as part of a State agency's overall Plan of Operation, th</w:t>
      </w:r>
      <w:r w:rsidR="002233CF">
        <w:t>at th</w:t>
      </w:r>
      <w:r w:rsidR="008D353A" w:rsidRPr="00D76228">
        <w:t xml:space="preserve">e State agency  specify a plan for </w:t>
      </w:r>
      <w:r w:rsidR="00075D3E">
        <w:t xml:space="preserve">operating a D-SNAP and </w:t>
      </w:r>
      <w:r w:rsidR="008D353A" w:rsidRPr="00D76228">
        <w:t xml:space="preserve">providing </w:t>
      </w:r>
      <w:r w:rsidR="00075D3E">
        <w:t>D-</w:t>
      </w:r>
      <w:r w:rsidR="008D353A" w:rsidRPr="00D76228">
        <w:t xml:space="preserve">SNAP </w:t>
      </w:r>
      <w:r w:rsidR="00075D3E">
        <w:t xml:space="preserve">benefits </w:t>
      </w:r>
      <w:r w:rsidR="008D353A" w:rsidRPr="00D76228">
        <w:t>for households that are victims of a disaster</w:t>
      </w:r>
      <w:r w:rsidR="008D353A">
        <w:t xml:space="preserve"> </w:t>
      </w:r>
      <w:r w:rsidR="008D353A" w:rsidRPr="00D76228">
        <w:t>that  include</w:t>
      </w:r>
      <w:r w:rsidR="002233CF">
        <w:t>s</w:t>
      </w:r>
      <w:r w:rsidR="008D353A" w:rsidRPr="00D76228">
        <w:t xml:space="preserve">, but </w:t>
      </w:r>
      <w:r w:rsidR="002233CF">
        <w:t xml:space="preserve">is </w:t>
      </w:r>
      <w:r w:rsidR="008D353A" w:rsidRPr="00D76228">
        <w:t xml:space="preserve">not  limited to, procedures for informing the public about the </w:t>
      </w:r>
      <w:r w:rsidR="002233CF">
        <w:t>D-SNAP</w:t>
      </w:r>
      <w:r w:rsidR="002233CF" w:rsidRPr="00D76228">
        <w:t xml:space="preserve"> </w:t>
      </w:r>
      <w:r w:rsidR="008D353A" w:rsidRPr="00D76228">
        <w:t>program</w:t>
      </w:r>
      <w:r w:rsidR="002233CF">
        <w:t>,</w:t>
      </w:r>
      <w:r w:rsidR="008D353A" w:rsidRPr="00D76228">
        <w:t xml:space="preserve">  how </w:t>
      </w:r>
      <w:r w:rsidR="002233CF">
        <w:t>households may</w:t>
      </w:r>
      <w:r w:rsidR="008D353A" w:rsidRPr="00D76228">
        <w:t xml:space="preserve"> apply for  benefits</w:t>
      </w:r>
      <w:r w:rsidR="002233CF">
        <w:t xml:space="preserve"> and</w:t>
      </w:r>
      <w:r w:rsidR="008D353A" w:rsidRPr="00D76228">
        <w:t xml:space="preserve">  </w:t>
      </w:r>
      <w:r w:rsidR="002233CF">
        <w:t>strategies</w:t>
      </w:r>
      <w:r w:rsidR="008D353A" w:rsidRPr="00D76228">
        <w:t xml:space="preserve"> to coordinat</w:t>
      </w:r>
      <w:r w:rsidR="002233CF">
        <w:t>e</w:t>
      </w:r>
      <w:r w:rsidR="008D353A" w:rsidRPr="00D76228">
        <w:t xml:space="preserve"> efforts with other Federal and private relief agencies, as well as local government officials.</w:t>
      </w:r>
    </w:p>
    <w:p w14:paraId="741DFC11" w14:textId="77777777" w:rsidR="00B45D3A" w:rsidRDefault="00B45D3A" w:rsidP="00487F87">
      <w:pPr>
        <w:tabs>
          <w:tab w:val="left" w:pos="-720"/>
        </w:tabs>
        <w:suppressAutoHyphens/>
        <w:spacing w:line="360" w:lineRule="auto"/>
      </w:pPr>
    </w:p>
    <w:p w14:paraId="741DFC12" w14:textId="77777777" w:rsidR="00B45D3A" w:rsidRDefault="00B45D3A" w:rsidP="00BB5B19">
      <w:pPr>
        <w:spacing w:line="360" w:lineRule="auto"/>
      </w:pPr>
      <w:r w:rsidRPr="003D5316">
        <w:t>These changes are contingent upon OMB approval under the Paperwork Reduction Act of 1995.  When the information collection requirements have been approved, FNS will publish a separate action in the Federal Register announcing OMB’s approval.</w:t>
      </w:r>
    </w:p>
    <w:p w14:paraId="741DFC13" w14:textId="77777777" w:rsidR="00B45D3A" w:rsidRDefault="00B45D3A" w:rsidP="00487F87">
      <w:pPr>
        <w:tabs>
          <w:tab w:val="left" w:pos="-720"/>
        </w:tabs>
        <w:suppressAutoHyphens/>
        <w:spacing w:line="360" w:lineRule="auto"/>
      </w:pPr>
    </w:p>
    <w:p w14:paraId="741DFC14" w14:textId="77777777" w:rsidR="00A308DB" w:rsidRPr="0056552B" w:rsidRDefault="005A3F80" w:rsidP="0056552B">
      <w:pPr>
        <w:pStyle w:val="Heading1"/>
        <w:spacing w:before="240"/>
      </w:pPr>
      <w:bookmarkStart w:id="3" w:name="_Toc401831358"/>
      <w:bookmarkStart w:id="4" w:name="_Toc401832402"/>
      <w:r w:rsidRPr="0056552B">
        <w:t xml:space="preserve">A2. </w:t>
      </w:r>
      <w:proofErr w:type="gramStart"/>
      <w:r w:rsidR="00447C1E" w:rsidRPr="0056552B">
        <w:t>Purpose and Use of the Information.</w:t>
      </w:r>
      <w:bookmarkEnd w:id="3"/>
      <w:bookmarkEnd w:id="4"/>
      <w:proofErr w:type="gramEnd"/>
    </w:p>
    <w:p w14:paraId="741DFC15" w14:textId="77777777" w:rsidR="0062567E" w:rsidRPr="0056552B" w:rsidRDefault="0062567E">
      <w:pPr>
        <w:tabs>
          <w:tab w:val="left" w:pos="-720"/>
        </w:tabs>
        <w:suppressAutoHyphens/>
        <w:rPr>
          <w:b/>
        </w:rPr>
      </w:pPr>
    </w:p>
    <w:p w14:paraId="741DFC16" w14:textId="77777777" w:rsidR="003333DF" w:rsidRPr="0056552B" w:rsidRDefault="003333DF">
      <w:pPr>
        <w:tabs>
          <w:tab w:val="left" w:pos="-720"/>
        </w:tabs>
        <w:suppressAutoHyphens/>
        <w:rPr>
          <w:b/>
        </w:rPr>
      </w:pPr>
      <w:r w:rsidRPr="0056552B">
        <w:rPr>
          <w:b/>
        </w:rPr>
        <w:t>Indicate</w:t>
      </w:r>
      <w:r w:rsidR="009F0786" w:rsidRPr="0056552B">
        <w:rPr>
          <w:b/>
        </w:rPr>
        <w:t xml:space="preserve"> how, by whom, and for what pur</w:t>
      </w:r>
      <w:r w:rsidRPr="0056552B">
        <w:rPr>
          <w:b/>
        </w:rPr>
        <w:t>pose the information is to be used.</w:t>
      </w:r>
      <w:r w:rsidR="009F0786" w:rsidRPr="0056552B">
        <w:rPr>
          <w:b/>
        </w:rPr>
        <w:t xml:space="preserve">  Except for a new collec</w:t>
      </w:r>
      <w:r w:rsidRPr="0056552B">
        <w:rPr>
          <w:b/>
        </w:rPr>
        <w:t>tion, indicate how the agency has ac</w:t>
      </w:r>
      <w:r w:rsidR="00E27BE9" w:rsidRPr="0056552B">
        <w:rPr>
          <w:b/>
        </w:rPr>
        <w:t>tually used the informa</w:t>
      </w:r>
      <w:r w:rsidRPr="0056552B">
        <w:rPr>
          <w:b/>
        </w:rPr>
        <w:t>tion r</w:t>
      </w:r>
      <w:r w:rsidR="00E27BE9" w:rsidRPr="0056552B">
        <w:rPr>
          <w:b/>
        </w:rPr>
        <w:t>eceived from the current collec</w:t>
      </w:r>
      <w:r w:rsidRPr="0056552B">
        <w:rPr>
          <w:b/>
        </w:rPr>
        <w:t>tion.</w:t>
      </w:r>
    </w:p>
    <w:p w14:paraId="741DFC17" w14:textId="77777777" w:rsidR="009F7E1A" w:rsidRPr="0056552B" w:rsidRDefault="009F7E1A" w:rsidP="009F7E1A">
      <w:pPr>
        <w:tabs>
          <w:tab w:val="left" w:pos="-720"/>
        </w:tabs>
        <w:suppressAutoHyphens/>
      </w:pPr>
    </w:p>
    <w:p w14:paraId="741DFC18" w14:textId="77777777" w:rsidR="009F7E1A" w:rsidRPr="0056552B" w:rsidRDefault="007825ED" w:rsidP="00487F87">
      <w:pPr>
        <w:tabs>
          <w:tab w:val="left" w:pos="-720"/>
        </w:tabs>
        <w:suppressAutoHyphens/>
        <w:spacing w:line="360" w:lineRule="auto"/>
      </w:pPr>
      <w:r w:rsidRPr="007825ED">
        <w:t xml:space="preserve">This information collection accounts for </w:t>
      </w:r>
      <w:r w:rsidR="00063F9A">
        <w:t>activities</w:t>
      </w:r>
      <w:r w:rsidR="00063F9A" w:rsidRPr="007825ED">
        <w:t xml:space="preserve"> </w:t>
      </w:r>
      <w:r w:rsidRPr="007825ED">
        <w:t xml:space="preserve">that State agencies </w:t>
      </w:r>
      <w:r w:rsidR="002233CF">
        <w:t xml:space="preserve">must conduct prior to and during the operation of a D-SNAP approved by FNS, </w:t>
      </w:r>
      <w:r w:rsidR="001B1683">
        <w:t>such as the review of D-SNAP plans annually, the submission of revised D-SNAP plans to FNS, and the submission of D-SNAP requests, daily requests, and post-disasters reports to FNS.  D</w:t>
      </w:r>
      <w:r w:rsidR="001B1683" w:rsidRPr="00BB4695">
        <w:t>ue to the dynamic nature of emergency situations and the need to quickly respond to the State agenc</w:t>
      </w:r>
      <w:r w:rsidR="001B1683">
        <w:t xml:space="preserve">y partners, FNS does not require a </w:t>
      </w:r>
      <w:r w:rsidR="001B1683" w:rsidRPr="00BB4695">
        <w:t xml:space="preserve">standardized form or </w:t>
      </w:r>
      <w:r w:rsidR="001B1683">
        <w:t>specific format for these activities</w:t>
      </w:r>
      <w:r w:rsidR="001B1683" w:rsidRPr="00BB4695">
        <w:t xml:space="preserve"> at this time</w:t>
      </w:r>
      <w:r w:rsidR="001B1683">
        <w:t xml:space="preserve">, and </w:t>
      </w:r>
      <w:r w:rsidR="001B1683" w:rsidRPr="00BC20D1">
        <w:rPr>
          <w:bCs/>
        </w:rPr>
        <w:t xml:space="preserve">encourages its State agency partners to </w:t>
      </w:r>
      <w:r w:rsidR="001B1683" w:rsidRPr="00BB4695">
        <w:t xml:space="preserve">submit </w:t>
      </w:r>
      <w:r w:rsidR="001B1683">
        <w:t xml:space="preserve">information </w:t>
      </w:r>
      <w:r w:rsidR="001B1683" w:rsidRPr="00BB4695">
        <w:t>to FNS via email or fax</w:t>
      </w:r>
      <w:r w:rsidR="001B1683">
        <w:t>.  As t</w:t>
      </w:r>
      <w:r w:rsidR="001B1683" w:rsidRPr="0056552B">
        <w:t xml:space="preserve">his </w:t>
      </w:r>
      <w:r w:rsidR="001B1683">
        <w:t>collection and accompanying proposed rulemaking</w:t>
      </w:r>
      <w:r w:rsidR="001B1683" w:rsidRPr="0056552B">
        <w:t xml:space="preserve"> codif</w:t>
      </w:r>
      <w:r w:rsidR="001B1683">
        <w:t>y</w:t>
      </w:r>
      <w:r w:rsidR="001B1683" w:rsidRPr="0056552B">
        <w:t xml:space="preserve"> practices State agencies already perform, it will have minimal impact on the State agency workloads.</w:t>
      </w:r>
    </w:p>
    <w:p w14:paraId="741DFC19" w14:textId="77777777" w:rsidR="00341DEE" w:rsidRPr="0056552B" w:rsidRDefault="00341DEE" w:rsidP="00E11A38">
      <w:pPr>
        <w:pStyle w:val="Heading2"/>
        <w:jc w:val="left"/>
      </w:pPr>
    </w:p>
    <w:p w14:paraId="741DFC1A" w14:textId="77777777" w:rsidR="00A308DB" w:rsidRPr="0056552B" w:rsidRDefault="005A3F80" w:rsidP="0062567E">
      <w:pPr>
        <w:pStyle w:val="Heading1"/>
      </w:pPr>
      <w:bookmarkStart w:id="5" w:name="_Toc401831359"/>
      <w:bookmarkStart w:id="6" w:name="_Toc401832403"/>
      <w:r w:rsidRPr="0056552B">
        <w:t xml:space="preserve">A3.  </w:t>
      </w:r>
      <w:proofErr w:type="gramStart"/>
      <w:r w:rsidR="00831EA7" w:rsidRPr="0056552B">
        <w:t xml:space="preserve">Use of </w:t>
      </w:r>
      <w:r w:rsidR="00826253" w:rsidRPr="0056552B">
        <w:t>i</w:t>
      </w:r>
      <w:r w:rsidR="00831EA7" w:rsidRPr="0056552B">
        <w:t xml:space="preserve">nformation </w:t>
      </w:r>
      <w:r w:rsidR="00826253" w:rsidRPr="0056552B">
        <w:t>t</w:t>
      </w:r>
      <w:r w:rsidR="00831EA7" w:rsidRPr="0056552B">
        <w:t xml:space="preserve">echnology and </w:t>
      </w:r>
      <w:r w:rsidR="00826253" w:rsidRPr="0056552B">
        <w:t>b</w:t>
      </w:r>
      <w:r w:rsidR="00831EA7" w:rsidRPr="0056552B">
        <w:t xml:space="preserve">urden </w:t>
      </w:r>
      <w:r w:rsidR="00826253" w:rsidRPr="0056552B">
        <w:t>r</w:t>
      </w:r>
      <w:r w:rsidR="00831EA7" w:rsidRPr="0056552B">
        <w:t>eduction</w:t>
      </w:r>
      <w:r w:rsidRPr="0056552B">
        <w:t>.</w:t>
      </w:r>
      <w:bookmarkEnd w:id="5"/>
      <w:bookmarkEnd w:id="6"/>
      <w:proofErr w:type="gramEnd"/>
      <w:r w:rsidRPr="0056552B">
        <w:t xml:space="preserve">  </w:t>
      </w:r>
    </w:p>
    <w:p w14:paraId="741DFC1B" w14:textId="77777777" w:rsidR="003333DF" w:rsidRPr="0056552B" w:rsidRDefault="003333DF">
      <w:pPr>
        <w:tabs>
          <w:tab w:val="left" w:pos="0"/>
        </w:tabs>
        <w:suppressAutoHyphens/>
      </w:pPr>
    </w:p>
    <w:p w14:paraId="741DFC1C" w14:textId="77777777" w:rsidR="003333DF" w:rsidRPr="0056552B" w:rsidRDefault="003333DF" w:rsidP="0062567E">
      <w:pPr>
        <w:rPr>
          <w:b/>
        </w:rPr>
      </w:pPr>
      <w:r w:rsidRPr="0056552B">
        <w:rPr>
          <w:b/>
        </w:rPr>
        <w:t xml:space="preserve">Describe whether, and to what extent, the collection of information involves the use of </w:t>
      </w:r>
      <w:r w:rsidR="00542C4F" w:rsidRPr="0056552B">
        <w:rPr>
          <w:b/>
        </w:rPr>
        <w:t>automated, electronic, mechanical, or other technolog</w:t>
      </w:r>
      <w:r w:rsidRPr="0056552B">
        <w:rPr>
          <w:b/>
        </w:rPr>
        <w:t>ical collection techniques or oth</w:t>
      </w:r>
      <w:r w:rsidR="00542C4F" w:rsidRPr="0056552B">
        <w:rPr>
          <w:b/>
        </w:rPr>
        <w:t>er forms of information technology, e.g., permitting electronic sub</w:t>
      </w:r>
      <w:r w:rsidRPr="0056552B">
        <w:rPr>
          <w:b/>
        </w:rPr>
        <w:t>mission of responses, and the basis for the decision for adopting this means of co</w:t>
      </w:r>
      <w:r w:rsidR="00542C4F" w:rsidRPr="0056552B">
        <w:rPr>
          <w:b/>
        </w:rPr>
        <w:t>llection. Also describe any con</w:t>
      </w:r>
      <w:r w:rsidRPr="0056552B">
        <w:rPr>
          <w:b/>
        </w:rPr>
        <w:t>sideratio</w:t>
      </w:r>
      <w:r w:rsidR="00542C4F" w:rsidRPr="0056552B">
        <w:rPr>
          <w:b/>
        </w:rPr>
        <w:t>n of using information technology to reduce bur</w:t>
      </w:r>
      <w:r w:rsidRPr="0056552B">
        <w:rPr>
          <w:b/>
        </w:rPr>
        <w:t>den.</w:t>
      </w:r>
    </w:p>
    <w:p w14:paraId="741DFC1D" w14:textId="77777777" w:rsidR="00A308DB" w:rsidRPr="0056552B" w:rsidRDefault="00A308DB">
      <w:pPr>
        <w:tabs>
          <w:tab w:val="left" w:pos="0"/>
        </w:tabs>
        <w:suppressAutoHyphens/>
      </w:pPr>
    </w:p>
    <w:p w14:paraId="741DFC1E" w14:textId="77777777" w:rsidR="00BC20D1" w:rsidRDefault="00910113" w:rsidP="00487F87">
      <w:pPr>
        <w:spacing w:line="360" w:lineRule="auto"/>
        <w:rPr>
          <w:bCs/>
        </w:rPr>
      </w:pPr>
      <w:r w:rsidRPr="00EE3D1C">
        <w:t>In compliance with E-Government Act of 2002 (E-</w:t>
      </w:r>
      <w:proofErr w:type="spellStart"/>
      <w:r w:rsidRPr="00EE3D1C">
        <w:t>Gov</w:t>
      </w:r>
      <w:proofErr w:type="spellEnd"/>
      <w:r w:rsidRPr="00EE3D1C">
        <w:t xml:space="preserve">), </w:t>
      </w:r>
      <w:r w:rsidR="00063F9A">
        <w:t xml:space="preserve">all 53 </w:t>
      </w:r>
      <w:r w:rsidRPr="00EE3D1C">
        <w:t xml:space="preserve">State agencies have the authority to use the technology that best suits the needs of their individual or unique systems of operation to comply with the information collection and reporting requirements contained in this submission. </w:t>
      </w:r>
      <w:r w:rsidR="00BC20D1">
        <w:t xml:space="preserve"> </w:t>
      </w:r>
    </w:p>
    <w:p w14:paraId="741DFC1F" w14:textId="77777777" w:rsidR="00BC20D1" w:rsidRDefault="00BC20D1" w:rsidP="00487F87">
      <w:pPr>
        <w:spacing w:line="360" w:lineRule="auto"/>
        <w:rPr>
          <w:bCs/>
        </w:rPr>
      </w:pPr>
      <w:r>
        <w:t>D</w:t>
      </w:r>
      <w:r w:rsidRPr="00BB4695">
        <w:t>ue to the dynamic nature of emergency situations and the need to quickly respond to the State agenc</w:t>
      </w:r>
      <w:r>
        <w:t xml:space="preserve">y partners, FNS does not require a </w:t>
      </w:r>
      <w:r w:rsidR="00910113" w:rsidRPr="00BB4695">
        <w:t xml:space="preserve">standardized form or </w:t>
      </w:r>
      <w:r>
        <w:t xml:space="preserve">specific format for </w:t>
      </w:r>
      <w:r w:rsidR="00910113" w:rsidRPr="00BB4695">
        <w:t xml:space="preserve">D-SNAP </w:t>
      </w:r>
      <w:r>
        <w:t xml:space="preserve">plans, D-SNAP </w:t>
      </w:r>
      <w:r w:rsidR="00910113" w:rsidRPr="00BB4695">
        <w:t>requests</w:t>
      </w:r>
      <w:r>
        <w:t xml:space="preserve"> or Disaster daily reports</w:t>
      </w:r>
      <w:r w:rsidR="00910113" w:rsidRPr="00BB4695">
        <w:t xml:space="preserve"> at this time</w:t>
      </w:r>
      <w:r>
        <w:t xml:space="preserve">, and </w:t>
      </w:r>
      <w:r w:rsidRPr="00BC20D1">
        <w:rPr>
          <w:bCs/>
        </w:rPr>
        <w:t xml:space="preserve">encourages its State agency partners to </w:t>
      </w:r>
      <w:r w:rsidR="00910113" w:rsidRPr="00BB4695">
        <w:t xml:space="preserve">submit </w:t>
      </w:r>
      <w:r>
        <w:t xml:space="preserve">information </w:t>
      </w:r>
      <w:r w:rsidR="00910113" w:rsidRPr="00BB4695">
        <w:t>to FNS via email or fax</w:t>
      </w:r>
      <w:r w:rsidR="00165F70">
        <w:t xml:space="preserve"> for the majority of this information collection request</w:t>
      </w:r>
      <w:r w:rsidRPr="00BC20D1">
        <w:rPr>
          <w:bCs/>
        </w:rPr>
        <w:t xml:space="preserve">. </w:t>
      </w:r>
    </w:p>
    <w:p w14:paraId="741DFC20" w14:textId="77777777" w:rsidR="005A3F80" w:rsidRPr="0056552B" w:rsidRDefault="005A3F80">
      <w:pPr>
        <w:tabs>
          <w:tab w:val="left" w:pos="0"/>
        </w:tabs>
        <w:suppressAutoHyphens/>
      </w:pPr>
    </w:p>
    <w:p w14:paraId="741DFC21" w14:textId="77777777" w:rsidR="00A308DB" w:rsidRPr="0056552B" w:rsidRDefault="005A3F80" w:rsidP="0062567E">
      <w:pPr>
        <w:pStyle w:val="Heading1"/>
      </w:pPr>
      <w:bookmarkStart w:id="7" w:name="_Toc401831360"/>
      <w:bookmarkStart w:id="8" w:name="_Toc401832404"/>
      <w:r w:rsidRPr="0056552B">
        <w:t xml:space="preserve">A4.  </w:t>
      </w:r>
      <w:proofErr w:type="gramStart"/>
      <w:r w:rsidR="002568E6" w:rsidRPr="0056552B">
        <w:t>E</w:t>
      </w:r>
      <w:r w:rsidRPr="0056552B">
        <w:t>fforts to identify duplication.</w:t>
      </w:r>
      <w:bookmarkEnd w:id="7"/>
      <w:bookmarkEnd w:id="8"/>
      <w:proofErr w:type="gramEnd"/>
      <w:r w:rsidRPr="0056552B">
        <w:t xml:space="preserve"> </w:t>
      </w:r>
    </w:p>
    <w:p w14:paraId="741DFC22" w14:textId="77777777" w:rsidR="003333DF" w:rsidRPr="0056552B" w:rsidRDefault="003333DF">
      <w:pPr>
        <w:tabs>
          <w:tab w:val="left" w:pos="0"/>
        </w:tabs>
        <w:suppressAutoHyphens/>
      </w:pPr>
    </w:p>
    <w:p w14:paraId="741DFC23" w14:textId="77777777" w:rsidR="003333DF" w:rsidRPr="0056552B" w:rsidRDefault="003333DF">
      <w:pPr>
        <w:tabs>
          <w:tab w:val="left" w:pos="0"/>
        </w:tabs>
        <w:suppressAutoHyphens/>
      </w:pPr>
      <w:r w:rsidRPr="0056552B">
        <w:rPr>
          <w:b/>
        </w:rPr>
        <w:t>Descr</w:t>
      </w:r>
      <w:r w:rsidR="00751946" w:rsidRPr="0056552B">
        <w:rPr>
          <w:b/>
        </w:rPr>
        <w:t>ibe efforts to identify duplica</w:t>
      </w:r>
      <w:r w:rsidRPr="0056552B">
        <w:rPr>
          <w:b/>
        </w:rPr>
        <w:t>tion.</w:t>
      </w:r>
      <w:r w:rsidR="00751946" w:rsidRPr="0056552B">
        <w:rPr>
          <w:b/>
        </w:rPr>
        <w:t xml:space="preserve">  Show specifically why any similar information already avail</w:t>
      </w:r>
      <w:r w:rsidRPr="0056552B">
        <w:rPr>
          <w:b/>
        </w:rPr>
        <w:t xml:space="preserve">able cannot be used or </w:t>
      </w:r>
      <w:r w:rsidR="00751946" w:rsidRPr="0056552B">
        <w:rPr>
          <w:b/>
        </w:rPr>
        <w:t>modified for use for the purposes descri</w:t>
      </w:r>
      <w:r w:rsidRPr="0056552B">
        <w:rPr>
          <w:b/>
        </w:rPr>
        <w:t>bed in Question 2.</w:t>
      </w:r>
    </w:p>
    <w:p w14:paraId="741DFC24" w14:textId="77777777" w:rsidR="009F7E1A" w:rsidRPr="0056552B" w:rsidRDefault="009F7E1A" w:rsidP="009F7E1A">
      <w:pPr>
        <w:tabs>
          <w:tab w:val="left" w:pos="-720"/>
        </w:tabs>
        <w:suppressAutoHyphens/>
      </w:pPr>
    </w:p>
    <w:p w14:paraId="741DFC25" w14:textId="77777777" w:rsidR="00E11A38" w:rsidRPr="0056552B" w:rsidRDefault="00670CE4" w:rsidP="00487F87">
      <w:pPr>
        <w:spacing w:line="360" w:lineRule="auto"/>
      </w:pPr>
      <w:r w:rsidRPr="003E5642">
        <w:t xml:space="preserve">There is no similar information available.  FNS solely monitors </w:t>
      </w:r>
      <w:r>
        <w:t xml:space="preserve">operations and </w:t>
      </w:r>
      <w:r w:rsidRPr="003E5642">
        <w:t>issuance of D-SNAP benefits</w:t>
      </w:r>
      <w:r w:rsidR="00165F70">
        <w:t xml:space="preserve"> to ensure program integrity</w:t>
      </w:r>
      <w:r w:rsidRPr="003E5642">
        <w:t xml:space="preserve">. The information required for benefits is not currently reported to any other entity outside of FNS. Every effort has been made to avoid duplication. </w:t>
      </w:r>
      <w:r>
        <w:t xml:space="preserve"> </w:t>
      </w:r>
      <w:r w:rsidRPr="003E5642">
        <w:t xml:space="preserve">FNS has reviewed USDA reporting requirements, state administrative agency reporting requirements and special studies by other government and private agencies. </w:t>
      </w:r>
    </w:p>
    <w:p w14:paraId="741DFC26" w14:textId="77777777" w:rsidR="00A308DB" w:rsidRPr="0056552B" w:rsidRDefault="005A3F80" w:rsidP="00670CE4">
      <w:pPr>
        <w:pStyle w:val="Heading1"/>
        <w:spacing w:before="240"/>
      </w:pPr>
      <w:bookmarkStart w:id="9" w:name="_Toc401831361"/>
      <w:bookmarkStart w:id="10" w:name="_Toc401832405"/>
      <w:r w:rsidRPr="0056552B">
        <w:t xml:space="preserve">A5.  </w:t>
      </w:r>
      <w:proofErr w:type="gramStart"/>
      <w:r w:rsidRPr="0056552B">
        <w:t>Impacts on small businesses or other small entities.</w:t>
      </w:r>
      <w:bookmarkEnd w:id="9"/>
      <w:bookmarkEnd w:id="10"/>
      <w:proofErr w:type="gramEnd"/>
      <w:r w:rsidRPr="0056552B">
        <w:t xml:space="preserve">  </w:t>
      </w:r>
    </w:p>
    <w:p w14:paraId="741DFC27" w14:textId="77777777" w:rsidR="003333DF" w:rsidRPr="0056552B" w:rsidRDefault="003333DF">
      <w:pPr>
        <w:tabs>
          <w:tab w:val="left" w:pos="0"/>
        </w:tabs>
        <w:suppressAutoHyphens/>
      </w:pPr>
    </w:p>
    <w:p w14:paraId="741DFC28" w14:textId="77777777" w:rsidR="003333DF" w:rsidRPr="0056552B" w:rsidRDefault="003333DF">
      <w:pPr>
        <w:tabs>
          <w:tab w:val="left" w:pos="0"/>
        </w:tabs>
        <w:suppressAutoHyphens/>
      </w:pPr>
      <w:r w:rsidRPr="0056552B">
        <w:rPr>
          <w:b/>
        </w:rPr>
        <w:t>If t</w:t>
      </w:r>
      <w:r w:rsidR="006E4B7F" w:rsidRPr="0056552B">
        <w:rPr>
          <w:b/>
        </w:rPr>
        <w:t>he collection of information im</w:t>
      </w:r>
      <w:r w:rsidRPr="0056552B">
        <w:rPr>
          <w:b/>
        </w:rPr>
        <w:t>pacts small businesses or other small entities (Item 5 of OMB Form 83-I), de</w:t>
      </w:r>
      <w:r w:rsidR="006E4B7F" w:rsidRPr="0056552B">
        <w:rPr>
          <w:b/>
        </w:rPr>
        <w:t>scribe any methods used to mini</w:t>
      </w:r>
      <w:r w:rsidRPr="0056552B">
        <w:rPr>
          <w:b/>
        </w:rPr>
        <w:t>mize burden.</w:t>
      </w:r>
    </w:p>
    <w:p w14:paraId="741DFC29" w14:textId="77777777" w:rsidR="00A308DB" w:rsidRPr="0056552B" w:rsidRDefault="00A308DB">
      <w:pPr>
        <w:tabs>
          <w:tab w:val="left" w:pos="0"/>
        </w:tabs>
        <w:suppressAutoHyphens/>
      </w:pPr>
    </w:p>
    <w:p w14:paraId="741DFC2A" w14:textId="77777777" w:rsidR="00F178A6" w:rsidRPr="0056552B" w:rsidRDefault="00E244C5" w:rsidP="009F7E1A">
      <w:pPr>
        <w:tabs>
          <w:tab w:val="left" w:pos="-720"/>
        </w:tabs>
        <w:suppressAutoHyphens/>
        <w:spacing w:line="480" w:lineRule="auto"/>
      </w:pPr>
      <w:r>
        <w:t>There will be no small entities involved with this data collection.</w:t>
      </w:r>
    </w:p>
    <w:p w14:paraId="741DFC2B" w14:textId="77777777" w:rsidR="00A308DB" w:rsidRPr="0056552B" w:rsidRDefault="005A3F80" w:rsidP="00E244C5">
      <w:pPr>
        <w:pStyle w:val="Heading1"/>
        <w:spacing w:before="240"/>
      </w:pPr>
      <w:bookmarkStart w:id="11" w:name="_Toc401831362"/>
      <w:bookmarkStart w:id="12" w:name="_Toc401832406"/>
      <w:r w:rsidRPr="0056552B">
        <w:t xml:space="preserve">A6.  </w:t>
      </w:r>
      <w:proofErr w:type="gramStart"/>
      <w:r w:rsidRPr="0056552B">
        <w:t xml:space="preserve">Consequences </w:t>
      </w:r>
      <w:r w:rsidR="00826253" w:rsidRPr="0056552B">
        <w:t xml:space="preserve">of collecting the </w:t>
      </w:r>
      <w:r w:rsidR="00DA0E06" w:rsidRPr="0056552B">
        <w:t>i</w:t>
      </w:r>
      <w:r w:rsidR="00826253" w:rsidRPr="0056552B">
        <w:t xml:space="preserve">nformation </w:t>
      </w:r>
      <w:r w:rsidRPr="0056552B">
        <w:t>less frequently.</w:t>
      </w:r>
      <w:bookmarkEnd w:id="11"/>
      <w:bookmarkEnd w:id="12"/>
      <w:proofErr w:type="gramEnd"/>
      <w:r w:rsidRPr="0056552B">
        <w:t xml:space="preserve">  </w:t>
      </w:r>
    </w:p>
    <w:p w14:paraId="741DFC2C" w14:textId="77777777" w:rsidR="003333DF" w:rsidRPr="0056552B" w:rsidRDefault="003333DF" w:rsidP="005C04BB">
      <w:pPr>
        <w:tabs>
          <w:tab w:val="left" w:pos="0"/>
        </w:tabs>
        <w:suppressAutoHyphens/>
      </w:pPr>
    </w:p>
    <w:p w14:paraId="741DFC2D" w14:textId="77777777" w:rsidR="003333DF" w:rsidRPr="0056552B" w:rsidRDefault="003333DF" w:rsidP="0062567E">
      <w:pPr>
        <w:rPr>
          <w:b/>
        </w:rPr>
      </w:pPr>
      <w:r w:rsidRPr="0056552B">
        <w:rPr>
          <w:b/>
        </w:rPr>
        <w:t>Describe the consequence to Federal program or policy activities if the collect</w:t>
      </w:r>
      <w:r w:rsidR="00E315C8" w:rsidRPr="0056552B">
        <w:rPr>
          <w:b/>
        </w:rPr>
        <w:t>ion is not conducted, or is conducted less frequent</w:t>
      </w:r>
      <w:r w:rsidRPr="0056552B">
        <w:rPr>
          <w:b/>
        </w:rPr>
        <w:t>ly, as well as any technical or legal obstacles to reducing burden.</w:t>
      </w:r>
    </w:p>
    <w:p w14:paraId="741DFC2E" w14:textId="77777777" w:rsidR="00E11A38" w:rsidRPr="0056552B" w:rsidRDefault="00E11A38" w:rsidP="00E11A38">
      <w:pPr>
        <w:tabs>
          <w:tab w:val="left" w:pos="-720"/>
        </w:tabs>
        <w:suppressAutoHyphens/>
      </w:pPr>
    </w:p>
    <w:p w14:paraId="741DFC2F" w14:textId="77777777" w:rsidR="00E11A38" w:rsidRPr="0056552B" w:rsidRDefault="00165F70" w:rsidP="00E244C5">
      <w:pPr>
        <w:spacing w:line="360" w:lineRule="auto"/>
      </w:pPr>
      <w:r>
        <w:t>This is a</w:t>
      </w:r>
      <w:r w:rsidR="00BB5B19">
        <w:t>n</w:t>
      </w:r>
      <w:r>
        <w:t xml:space="preserve"> on-going data collection request.  </w:t>
      </w:r>
      <w:r w:rsidR="00E244C5" w:rsidRPr="00E244C5">
        <w:t xml:space="preserve">D-SNAP is the primary FNS nutrition assistance response to a disaster recovery phase.  If this collection is not conducted, States would not be able to operate a D-SNAP to help meet the nutritional needs of households affected by disasters.  This information is important to preserve program integrity and to ensure that disaster procedures are promptly and effectively implemented.  </w:t>
      </w:r>
      <w:r w:rsidR="00E244C5">
        <w:t>Moreover, much of this</w:t>
      </w:r>
      <w:r w:rsidR="00E244C5" w:rsidRPr="00E244C5">
        <w:t xml:space="preserve"> information </w:t>
      </w:r>
      <w:r w:rsidR="00E244C5">
        <w:t>is</w:t>
      </w:r>
      <w:r w:rsidR="00E244C5" w:rsidRPr="00E244C5">
        <w:t xml:space="preserve"> collected </w:t>
      </w:r>
      <w:r w:rsidR="00E244C5">
        <w:t xml:space="preserve">only when areas within a State are affected by a disaster, </w:t>
      </w:r>
      <w:r w:rsidR="00E244C5" w:rsidRPr="00D76228">
        <w:t>receive a Presidential major disaster declaration for individual assistance (IA) and commercial channels of food distribution are available.</w:t>
      </w:r>
    </w:p>
    <w:p w14:paraId="741DFC30" w14:textId="77777777" w:rsidR="00A308DB" w:rsidRPr="0056552B" w:rsidRDefault="00213436" w:rsidP="00E244C5">
      <w:pPr>
        <w:pStyle w:val="Heading1"/>
        <w:spacing w:before="240"/>
      </w:pPr>
      <w:bookmarkStart w:id="13" w:name="_Toc401831363"/>
      <w:bookmarkStart w:id="14" w:name="_Toc401832407"/>
      <w:r w:rsidRPr="0056552B">
        <w:t xml:space="preserve">A7.  </w:t>
      </w:r>
      <w:proofErr w:type="gramStart"/>
      <w:r w:rsidR="00A37C87" w:rsidRPr="0056552B">
        <w:t>Special c</w:t>
      </w:r>
      <w:r w:rsidRPr="0056552B">
        <w:t xml:space="preserve">ircumstances </w:t>
      </w:r>
      <w:r w:rsidR="00A37C87" w:rsidRPr="0056552B">
        <w:t>relating to the Guidelines of</w:t>
      </w:r>
      <w:r w:rsidRPr="0056552B">
        <w:t xml:space="preserve"> 5 CFR 1320.</w:t>
      </w:r>
      <w:r w:rsidR="003C6BDD" w:rsidRPr="0056552B">
        <w:t>5</w:t>
      </w:r>
      <w:r w:rsidRPr="0056552B">
        <w:t>.</w:t>
      </w:r>
      <w:bookmarkEnd w:id="13"/>
      <w:bookmarkEnd w:id="14"/>
      <w:proofErr w:type="gramEnd"/>
      <w:r w:rsidRPr="0056552B">
        <w:t xml:space="preserve">  </w:t>
      </w:r>
    </w:p>
    <w:p w14:paraId="741DFC31" w14:textId="77777777" w:rsidR="00A308DB" w:rsidRPr="0056552B" w:rsidRDefault="00A308DB" w:rsidP="00213436">
      <w:pPr>
        <w:tabs>
          <w:tab w:val="left" w:pos="0"/>
        </w:tabs>
        <w:suppressAutoHyphens/>
      </w:pPr>
    </w:p>
    <w:p w14:paraId="741DFC32" w14:textId="77777777" w:rsidR="003333DF" w:rsidRPr="0056552B" w:rsidRDefault="003333DF" w:rsidP="0062567E">
      <w:pPr>
        <w:widowControl/>
        <w:rPr>
          <w:b/>
        </w:rPr>
      </w:pPr>
      <w:r w:rsidRPr="0056552B">
        <w:rPr>
          <w:b/>
        </w:rPr>
        <w:t>Explain any special circumstances that woul</w:t>
      </w:r>
      <w:r w:rsidR="00CF7CB1" w:rsidRPr="0056552B">
        <w:rPr>
          <w:b/>
        </w:rPr>
        <w:t>d cause an information collecti</w:t>
      </w:r>
      <w:r w:rsidRPr="0056552B">
        <w:rPr>
          <w:b/>
        </w:rPr>
        <w:t>on to</w:t>
      </w:r>
      <w:r w:rsidR="00CF7CB1" w:rsidRPr="0056552B">
        <w:rPr>
          <w:b/>
        </w:rPr>
        <w:t xml:space="preserve"> be con</w:t>
      </w:r>
      <w:r w:rsidRPr="0056552B">
        <w:rPr>
          <w:b/>
        </w:rPr>
        <w:t xml:space="preserve">ducted in a manner: </w:t>
      </w:r>
    </w:p>
    <w:p w14:paraId="741DFC33" w14:textId="77777777" w:rsidR="003333DF" w:rsidRPr="0056552B" w:rsidRDefault="003333DF" w:rsidP="0062567E">
      <w:pPr>
        <w:widowControl/>
        <w:numPr>
          <w:ilvl w:val="0"/>
          <w:numId w:val="19"/>
        </w:numPr>
        <w:tabs>
          <w:tab w:val="left" w:pos="-720"/>
        </w:tabs>
        <w:suppressAutoHyphens/>
        <w:overflowPunct/>
        <w:autoSpaceDE/>
        <w:autoSpaceDN/>
        <w:adjustRightInd/>
        <w:textAlignment w:val="auto"/>
        <w:rPr>
          <w:b/>
        </w:rPr>
      </w:pPr>
      <w:r w:rsidRPr="0056552B">
        <w:rPr>
          <w:b/>
        </w:rPr>
        <w:t>Requirin</w:t>
      </w:r>
      <w:r w:rsidR="00CF7CB1" w:rsidRPr="0056552B">
        <w:rPr>
          <w:b/>
        </w:rPr>
        <w:t>g respondents to report informa</w:t>
      </w:r>
      <w:r w:rsidRPr="0056552B">
        <w:rPr>
          <w:b/>
        </w:rPr>
        <w:t xml:space="preserve">tion to the agency more often than quarterly; </w:t>
      </w:r>
    </w:p>
    <w:p w14:paraId="741DFC34" w14:textId="77777777" w:rsidR="003333DF" w:rsidRDefault="003333DF" w:rsidP="0062567E">
      <w:pPr>
        <w:widowControl/>
        <w:numPr>
          <w:ilvl w:val="0"/>
          <w:numId w:val="19"/>
        </w:numPr>
        <w:tabs>
          <w:tab w:val="left" w:pos="-720"/>
        </w:tabs>
        <w:suppressAutoHyphens/>
        <w:overflowPunct/>
        <w:autoSpaceDE/>
        <w:autoSpaceDN/>
        <w:adjustRightInd/>
        <w:textAlignment w:val="auto"/>
        <w:rPr>
          <w:b/>
        </w:rPr>
      </w:pPr>
      <w:r w:rsidRPr="0056552B">
        <w:rPr>
          <w:b/>
        </w:rPr>
        <w:t>Requirin</w:t>
      </w:r>
      <w:r w:rsidR="008F3F14" w:rsidRPr="0056552B">
        <w:rPr>
          <w:b/>
        </w:rPr>
        <w:t>g respondents to prepare a writ</w:t>
      </w:r>
      <w:r w:rsidRPr="0056552B">
        <w:rPr>
          <w:b/>
        </w:rPr>
        <w:t>ten re</w:t>
      </w:r>
      <w:r w:rsidR="008F3F14" w:rsidRPr="0056552B">
        <w:rPr>
          <w:b/>
        </w:rPr>
        <w:t>sponse to a collection of informa</w:t>
      </w:r>
      <w:r w:rsidRPr="0056552B">
        <w:rPr>
          <w:b/>
        </w:rPr>
        <w:t xml:space="preserve">tion in fewer than 30 days after receipt of it; </w:t>
      </w:r>
    </w:p>
    <w:p w14:paraId="7FC8362D" w14:textId="3ED354D5" w:rsidR="00A76669" w:rsidRPr="0056552B" w:rsidRDefault="00A76669" w:rsidP="00A76669">
      <w:pPr>
        <w:widowControl/>
        <w:tabs>
          <w:tab w:val="left" w:pos="-720"/>
        </w:tabs>
        <w:suppressAutoHyphens/>
        <w:overflowPunct/>
        <w:autoSpaceDE/>
        <w:autoSpaceDN/>
        <w:adjustRightInd/>
        <w:ind w:left="360"/>
        <w:textAlignment w:val="auto"/>
        <w:rPr>
          <w:b/>
        </w:rPr>
      </w:pPr>
      <w:r>
        <w:t>As detailed in the accompanying Notice of Proposed Rulemaking, State agencies must submit daily D-SNAP reports that contain issuance data to their FNS Regional Office, which in turn shares these reports with the FNS National Office</w:t>
      </w:r>
      <w:r w:rsidRPr="00E244C5">
        <w:t xml:space="preserve">.  </w:t>
      </w:r>
      <w:r>
        <w:t xml:space="preserve">These reports are used to monitor program progress, troubleshoot problem areas, inform FNS policy officials, ensure that adequate funds are available in States’ letters of credit and respond to inquiries from the media and other government agencies.  </w:t>
      </w:r>
    </w:p>
    <w:p w14:paraId="741DFC35" w14:textId="77777777" w:rsidR="003333DF" w:rsidRPr="0056552B" w:rsidRDefault="003333DF" w:rsidP="0062567E">
      <w:pPr>
        <w:widowControl/>
        <w:numPr>
          <w:ilvl w:val="0"/>
          <w:numId w:val="19"/>
        </w:numPr>
        <w:tabs>
          <w:tab w:val="left" w:pos="-720"/>
        </w:tabs>
        <w:suppressAutoHyphens/>
        <w:overflowPunct/>
        <w:autoSpaceDE/>
        <w:autoSpaceDN/>
        <w:adjustRightInd/>
        <w:textAlignment w:val="auto"/>
        <w:rPr>
          <w:b/>
        </w:rPr>
      </w:pPr>
      <w:r w:rsidRPr="0056552B">
        <w:rPr>
          <w:b/>
        </w:rPr>
        <w:t>Requiring respondents to submit more than an orig</w:t>
      </w:r>
      <w:r w:rsidR="008F3F14" w:rsidRPr="0056552B">
        <w:rPr>
          <w:b/>
        </w:rPr>
        <w:t>inal and two copies of any docu</w:t>
      </w:r>
      <w:r w:rsidRPr="0056552B">
        <w:rPr>
          <w:b/>
        </w:rPr>
        <w:t xml:space="preserve">ment; </w:t>
      </w:r>
    </w:p>
    <w:p w14:paraId="741DFC36" w14:textId="77777777" w:rsidR="003333DF" w:rsidRPr="0056552B" w:rsidRDefault="003333DF" w:rsidP="0062567E">
      <w:pPr>
        <w:widowControl/>
        <w:numPr>
          <w:ilvl w:val="0"/>
          <w:numId w:val="19"/>
        </w:numPr>
        <w:tabs>
          <w:tab w:val="left" w:pos="-720"/>
        </w:tabs>
        <w:suppressAutoHyphens/>
        <w:overflowPunct/>
        <w:autoSpaceDE/>
        <w:autoSpaceDN/>
        <w:adjustRightInd/>
        <w:textAlignment w:val="auto"/>
        <w:rPr>
          <w:b/>
        </w:rPr>
      </w:pPr>
      <w:r w:rsidRPr="0056552B">
        <w:rPr>
          <w:b/>
        </w:rPr>
        <w:t>Req</w:t>
      </w:r>
      <w:r w:rsidR="008F3F14" w:rsidRPr="0056552B">
        <w:rPr>
          <w:b/>
        </w:rPr>
        <w:t>uiring respondents to retain re</w:t>
      </w:r>
      <w:r w:rsidRPr="0056552B">
        <w:rPr>
          <w:b/>
        </w:rPr>
        <w:t>cords, othe</w:t>
      </w:r>
      <w:r w:rsidR="008F3F14" w:rsidRPr="0056552B">
        <w:rPr>
          <w:b/>
        </w:rPr>
        <w:t>r than health, medical, governm</w:t>
      </w:r>
      <w:r w:rsidRPr="0056552B">
        <w:rPr>
          <w:b/>
        </w:rPr>
        <w:t>ent contract, grant-in-aid, or tax records for more than three years</w:t>
      </w:r>
      <w:r w:rsidR="008F3F14" w:rsidRPr="0056552B">
        <w:rPr>
          <w:b/>
        </w:rPr>
        <w:t>;</w:t>
      </w:r>
    </w:p>
    <w:p w14:paraId="741DFC37" w14:textId="77777777" w:rsidR="003333DF" w:rsidRPr="0056552B" w:rsidRDefault="008F3F14" w:rsidP="0062567E">
      <w:pPr>
        <w:widowControl/>
        <w:numPr>
          <w:ilvl w:val="0"/>
          <w:numId w:val="19"/>
        </w:numPr>
        <w:tabs>
          <w:tab w:val="left" w:pos="-720"/>
        </w:tabs>
        <w:suppressAutoHyphens/>
        <w:overflowPunct/>
        <w:autoSpaceDE/>
        <w:autoSpaceDN/>
        <w:adjustRightInd/>
        <w:textAlignment w:val="auto"/>
        <w:rPr>
          <w:b/>
        </w:rPr>
      </w:pPr>
      <w:r w:rsidRPr="0056552B">
        <w:rPr>
          <w:b/>
        </w:rPr>
        <w:t>In connection with a statistical survey, that is not de</w:t>
      </w:r>
      <w:r w:rsidR="003333DF" w:rsidRPr="0056552B">
        <w:rPr>
          <w:b/>
        </w:rPr>
        <w:t>s</w:t>
      </w:r>
      <w:r w:rsidRPr="0056552B">
        <w:rPr>
          <w:b/>
        </w:rPr>
        <w:t>igned to produce valid and reli</w:t>
      </w:r>
      <w:r w:rsidR="003333DF" w:rsidRPr="0056552B">
        <w:rPr>
          <w:b/>
        </w:rPr>
        <w:t>a</w:t>
      </w:r>
      <w:r w:rsidRPr="0056552B">
        <w:rPr>
          <w:b/>
        </w:rPr>
        <w:t>ble results that can be generalized to the uni</w:t>
      </w:r>
      <w:r w:rsidR="003333DF" w:rsidRPr="0056552B">
        <w:rPr>
          <w:b/>
        </w:rPr>
        <w:t xml:space="preserve">verse of study; </w:t>
      </w:r>
    </w:p>
    <w:p w14:paraId="741DFC38" w14:textId="77777777" w:rsidR="003333DF" w:rsidRPr="0056552B" w:rsidRDefault="008F3F14" w:rsidP="0062567E">
      <w:pPr>
        <w:widowControl/>
        <w:numPr>
          <w:ilvl w:val="0"/>
          <w:numId w:val="19"/>
        </w:numPr>
        <w:tabs>
          <w:tab w:val="left" w:pos="-720"/>
        </w:tabs>
        <w:suppressAutoHyphens/>
        <w:overflowPunct/>
        <w:autoSpaceDE/>
        <w:autoSpaceDN/>
        <w:adjustRightInd/>
        <w:textAlignment w:val="auto"/>
        <w:rPr>
          <w:b/>
        </w:rPr>
      </w:pPr>
      <w:r w:rsidRPr="0056552B">
        <w:rPr>
          <w:b/>
        </w:rPr>
        <w:t>Requiring the use of a statistical data classi</w:t>
      </w:r>
      <w:r w:rsidR="003333DF" w:rsidRPr="0056552B">
        <w:rPr>
          <w:b/>
        </w:rPr>
        <w:t>fication that has not been</w:t>
      </w:r>
      <w:r w:rsidRPr="0056552B">
        <w:rPr>
          <w:b/>
        </w:rPr>
        <w:t xml:space="preserve"> reviewed and approved by OMB;</w:t>
      </w:r>
    </w:p>
    <w:p w14:paraId="741DFC39" w14:textId="77777777" w:rsidR="003333DF" w:rsidRPr="0056552B" w:rsidRDefault="003333DF" w:rsidP="0062567E">
      <w:pPr>
        <w:widowControl/>
        <w:numPr>
          <w:ilvl w:val="0"/>
          <w:numId w:val="19"/>
        </w:numPr>
        <w:tabs>
          <w:tab w:val="left" w:pos="-720"/>
        </w:tabs>
        <w:suppressAutoHyphens/>
        <w:overflowPunct/>
        <w:autoSpaceDE/>
        <w:autoSpaceDN/>
        <w:adjustRightInd/>
        <w:textAlignment w:val="auto"/>
        <w:rPr>
          <w:b/>
        </w:rPr>
      </w:pPr>
      <w:r w:rsidRPr="0056552B">
        <w:rPr>
          <w:b/>
        </w:rPr>
        <w:t>That includ</w:t>
      </w:r>
      <w:r w:rsidR="00383C0A" w:rsidRPr="0056552B">
        <w:rPr>
          <w:b/>
        </w:rPr>
        <w:t>es a pledge of confidentiality that is not supported by authority established in statute or regulation, that is not supported by dis</w:t>
      </w:r>
      <w:r w:rsidRPr="0056552B">
        <w:rPr>
          <w:b/>
        </w:rPr>
        <w:t>closure and data security policies that are consistent wi</w:t>
      </w:r>
      <w:r w:rsidR="00383C0A" w:rsidRPr="0056552B">
        <w:rPr>
          <w:b/>
        </w:rPr>
        <w:t>th the pledge, or which unnecessarily impedes shar</w:t>
      </w:r>
      <w:r w:rsidRPr="0056552B">
        <w:rPr>
          <w:b/>
        </w:rPr>
        <w:t>ing of d</w:t>
      </w:r>
      <w:r w:rsidR="00383C0A" w:rsidRPr="0056552B">
        <w:rPr>
          <w:b/>
        </w:rPr>
        <w:t>ata with other agencies for com</w:t>
      </w:r>
      <w:r w:rsidR="00D3753F" w:rsidRPr="0056552B">
        <w:rPr>
          <w:b/>
        </w:rPr>
        <w:t>patible confiden</w:t>
      </w:r>
      <w:r w:rsidRPr="0056552B">
        <w:rPr>
          <w:b/>
        </w:rPr>
        <w:t xml:space="preserve">tial use; or </w:t>
      </w:r>
    </w:p>
    <w:p w14:paraId="741DFC3A" w14:textId="77777777" w:rsidR="003333DF" w:rsidRPr="0056552B" w:rsidRDefault="003333DF" w:rsidP="0062567E">
      <w:pPr>
        <w:pStyle w:val="BodyText"/>
        <w:numPr>
          <w:ilvl w:val="0"/>
          <w:numId w:val="19"/>
        </w:numPr>
        <w:rPr>
          <w:b w:val="0"/>
        </w:rPr>
      </w:pPr>
      <w:r w:rsidRPr="0056552B">
        <w:t>Requiri</w:t>
      </w:r>
      <w:r w:rsidR="0032533B" w:rsidRPr="0056552B">
        <w:t>ng respondents to submit propri</w:t>
      </w:r>
      <w:r w:rsidRPr="0056552B">
        <w:t>etary trade secret, or other confidential informat</w:t>
      </w:r>
      <w:r w:rsidR="0032533B" w:rsidRPr="0056552B">
        <w:t>ion unless the agency can demon</w:t>
      </w:r>
      <w:r w:rsidRPr="0056552B">
        <w:t>strate that it has instituted procedures to protect the information's confidentiali</w:t>
      </w:r>
      <w:r w:rsidR="0032533B" w:rsidRPr="0056552B">
        <w:t>ty to the extent permit</w:t>
      </w:r>
      <w:r w:rsidRPr="0056552B">
        <w:t>ted by law.</w:t>
      </w:r>
    </w:p>
    <w:p w14:paraId="741DFC3B" w14:textId="77777777" w:rsidR="003333DF" w:rsidRPr="0056552B" w:rsidRDefault="003333DF" w:rsidP="00213436">
      <w:pPr>
        <w:tabs>
          <w:tab w:val="left" w:pos="0"/>
        </w:tabs>
        <w:suppressAutoHyphens/>
      </w:pPr>
    </w:p>
    <w:p w14:paraId="741DFC3C" w14:textId="39B37C00" w:rsidR="00E11A38" w:rsidRPr="0056552B" w:rsidRDefault="00E244C5" w:rsidP="00E244C5">
      <w:pPr>
        <w:spacing w:line="360" w:lineRule="auto"/>
      </w:pPr>
      <w:r w:rsidRPr="00E244C5">
        <w:t>The</w:t>
      </w:r>
      <w:r w:rsidR="00A76669">
        <w:t>re are no other special circumstances. The</w:t>
      </w:r>
      <w:r w:rsidRPr="00E244C5">
        <w:t xml:space="preserve"> </w:t>
      </w:r>
      <w:r w:rsidR="009C7F66">
        <w:t xml:space="preserve">remaining </w:t>
      </w:r>
      <w:r w:rsidRPr="00E244C5">
        <w:t>collection of information is conducted in a manner consistent with the guidelines in 5 CFR 1320.5.</w:t>
      </w:r>
    </w:p>
    <w:p w14:paraId="741DFC3D" w14:textId="77777777" w:rsidR="00BE0B08" w:rsidRPr="0056552B" w:rsidRDefault="00BE0B08" w:rsidP="00BE0B08">
      <w:pPr>
        <w:tabs>
          <w:tab w:val="left" w:pos="0"/>
        </w:tabs>
        <w:suppressAutoHyphens/>
      </w:pPr>
    </w:p>
    <w:p w14:paraId="741DFC3E" w14:textId="77777777" w:rsidR="00BE0B08" w:rsidRPr="0056552B" w:rsidRDefault="00BE0B08" w:rsidP="00E244C5">
      <w:pPr>
        <w:pStyle w:val="Heading1"/>
        <w:spacing w:before="240"/>
      </w:pPr>
      <w:bookmarkStart w:id="15" w:name="_Toc401831364"/>
      <w:bookmarkStart w:id="16" w:name="_Toc401832408"/>
      <w:r w:rsidRPr="0056552B">
        <w:t xml:space="preserve">A8.  </w:t>
      </w:r>
      <w:proofErr w:type="gramStart"/>
      <w:r w:rsidR="005917B8" w:rsidRPr="0056552B">
        <w:t xml:space="preserve">Comments to the Federal Register Notice and efforts </w:t>
      </w:r>
      <w:r w:rsidR="002568E6" w:rsidRPr="0056552B">
        <w:t xml:space="preserve">for </w:t>
      </w:r>
      <w:r w:rsidR="005917B8" w:rsidRPr="0056552B">
        <w:t>consult</w:t>
      </w:r>
      <w:r w:rsidR="002568E6" w:rsidRPr="0056552B">
        <w:t>ation</w:t>
      </w:r>
      <w:r w:rsidR="005917B8" w:rsidRPr="0056552B">
        <w:t>.</w:t>
      </w:r>
      <w:bookmarkEnd w:id="15"/>
      <w:bookmarkEnd w:id="16"/>
      <w:proofErr w:type="gramEnd"/>
      <w:r w:rsidRPr="0056552B">
        <w:t xml:space="preserve">  </w:t>
      </w:r>
    </w:p>
    <w:p w14:paraId="741DFC3F" w14:textId="77777777" w:rsidR="003333DF" w:rsidRPr="0056552B" w:rsidRDefault="003333DF" w:rsidP="005917B8">
      <w:pPr>
        <w:tabs>
          <w:tab w:val="left" w:pos="450"/>
        </w:tabs>
        <w:suppressAutoHyphens/>
        <w:ind w:left="450" w:hanging="450"/>
      </w:pPr>
    </w:p>
    <w:p w14:paraId="741DFC40" w14:textId="77777777" w:rsidR="003333DF" w:rsidRPr="0056552B" w:rsidRDefault="003333DF" w:rsidP="0062567E">
      <w:pPr>
        <w:rPr>
          <w:b/>
        </w:rPr>
      </w:pPr>
      <w:r w:rsidRPr="0056552B">
        <w:rPr>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56552B">
        <w:rPr>
          <w:b/>
        </w:rPr>
        <w:tab/>
      </w:r>
    </w:p>
    <w:p w14:paraId="741DFC41" w14:textId="77777777" w:rsidR="003333DF" w:rsidRPr="0056552B" w:rsidRDefault="003333DF" w:rsidP="0062567E">
      <w:pPr>
        <w:rPr>
          <w:b/>
        </w:rPr>
      </w:pPr>
    </w:p>
    <w:p w14:paraId="741DFC42" w14:textId="77777777" w:rsidR="003333DF" w:rsidRPr="0056552B" w:rsidRDefault="003333DF" w:rsidP="0062567E">
      <w:pPr>
        <w:rPr>
          <w:b/>
        </w:rPr>
      </w:pPr>
      <w:r w:rsidRPr="0056552B">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741DFC43" w14:textId="77777777" w:rsidR="003333DF" w:rsidRPr="0056552B" w:rsidRDefault="003333DF" w:rsidP="0062567E">
      <w:pPr>
        <w:rPr>
          <w:b/>
        </w:rPr>
      </w:pPr>
    </w:p>
    <w:p w14:paraId="741DFC44" w14:textId="77777777" w:rsidR="003333DF" w:rsidRPr="0056552B" w:rsidRDefault="003333DF" w:rsidP="0062567E">
      <w:pPr>
        <w:rPr>
          <w:b/>
        </w:rPr>
      </w:pPr>
      <w:r w:rsidRPr="0056552B">
        <w:rPr>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14:paraId="741DFC45" w14:textId="77777777" w:rsidR="00ED28F2" w:rsidRPr="0056552B" w:rsidRDefault="00ED28F2" w:rsidP="00ED28F2">
      <w:pPr>
        <w:tabs>
          <w:tab w:val="left" w:pos="-720"/>
        </w:tabs>
        <w:suppressAutoHyphens/>
      </w:pPr>
      <w:bookmarkStart w:id="17" w:name="OLE_LINK1"/>
      <w:bookmarkStart w:id="18" w:name="OLE_LINK2"/>
    </w:p>
    <w:p w14:paraId="741DFC46" w14:textId="77777777" w:rsidR="00165F70" w:rsidRDefault="003F1EBD" w:rsidP="00ED28F2">
      <w:pPr>
        <w:tabs>
          <w:tab w:val="left" w:pos="-720"/>
        </w:tabs>
        <w:suppressAutoHyphens/>
        <w:spacing w:line="480" w:lineRule="auto"/>
      </w:pPr>
      <w:r>
        <w:t xml:space="preserve">Upon publication of the accompanying Notice of Proposed Rulemaking in the Federal Register, FNS will accept comments </w:t>
      </w:r>
      <w:r w:rsidR="00040653">
        <w:t xml:space="preserve">for the information collection </w:t>
      </w:r>
      <w:r>
        <w:t>from the public for a 60-Day period</w:t>
      </w:r>
      <w:r w:rsidR="00165F70">
        <w:t xml:space="preserve"> for the proposed rulemaking</w:t>
      </w:r>
      <w:r>
        <w:t xml:space="preserve">.  </w:t>
      </w:r>
    </w:p>
    <w:p w14:paraId="741DFC47" w14:textId="77777777" w:rsidR="00165F70" w:rsidRDefault="00165F70" w:rsidP="00ED28F2">
      <w:pPr>
        <w:tabs>
          <w:tab w:val="left" w:pos="-720"/>
        </w:tabs>
        <w:suppressAutoHyphens/>
        <w:spacing w:line="480" w:lineRule="auto"/>
      </w:pPr>
    </w:p>
    <w:p w14:paraId="741DFC48" w14:textId="77777777" w:rsidR="00ED28F2" w:rsidRPr="0056552B" w:rsidRDefault="003F1EBD" w:rsidP="00ED28F2">
      <w:pPr>
        <w:tabs>
          <w:tab w:val="left" w:pos="-720"/>
        </w:tabs>
        <w:suppressAutoHyphens/>
        <w:spacing w:line="480" w:lineRule="auto"/>
      </w:pPr>
      <w:r>
        <w:t xml:space="preserve">Further, </w:t>
      </w:r>
      <w:r w:rsidRPr="003E5642">
        <w:t>FNS national and regional offices have worked closely with State agencies in coordinating disaster response efforts and FNS has not received information from affected State agencies that necessitate a change to the data collection instrument</w:t>
      </w:r>
      <w:r w:rsidR="00165F70">
        <w:t xml:space="preserve"> </w:t>
      </w:r>
      <w:r w:rsidRPr="003E5642">
        <w:t xml:space="preserve">or the frequency </w:t>
      </w:r>
      <w:r w:rsidR="003B1ADA">
        <w:t>information collected</w:t>
      </w:r>
      <w:r w:rsidRPr="003E5642">
        <w:t>.</w:t>
      </w:r>
    </w:p>
    <w:p w14:paraId="741DFC49" w14:textId="77777777" w:rsidR="00ED28F2" w:rsidRPr="0056552B" w:rsidRDefault="00ED28F2" w:rsidP="00ED28F2">
      <w:pPr>
        <w:tabs>
          <w:tab w:val="left" w:pos="-720"/>
        </w:tabs>
        <w:suppressAutoHyphens/>
        <w:spacing w:line="480" w:lineRule="auto"/>
      </w:pPr>
    </w:p>
    <w:p w14:paraId="741DFC4A" w14:textId="77777777" w:rsidR="00BE0B08" w:rsidRPr="0056552B" w:rsidRDefault="00BE0B08" w:rsidP="0062567E">
      <w:pPr>
        <w:pStyle w:val="Heading1"/>
      </w:pPr>
      <w:bookmarkStart w:id="19" w:name="_Toc401831365"/>
      <w:bookmarkStart w:id="20" w:name="_Toc401832409"/>
      <w:bookmarkEnd w:id="17"/>
      <w:bookmarkEnd w:id="18"/>
      <w:r w:rsidRPr="0056552B">
        <w:t>A9.  Explain any decisions to provide any payment or gift to respondents.</w:t>
      </w:r>
      <w:bookmarkEnd w:id="19"/>
      <w:bookmarkEnd w:id="20"/>
      <w:r w:rsidRPr="0056552B">
        <w:t xml:space="preserve">  </w:t>
      </w:r>
    </w:p>
    <w:p w14:paraId="741DFC4B" w14:textId="77777777" w:rsidR="003333DF" w:rsidRPr="0056552B" w:rsidRDefault="003333DF" w:rsidP="00BE0B08">
      <w:pPr>
        <w:tabs>
          <w:tab w:val="left" w:pos="0"/>
        </w:tabs>
        <w:suppressAutoHyphens/>
      </w:pPr>
    </w:p>
    <w:p w14:paraId="741DFC4C" w14:textId="77777777" w:rsidR="003333DF" w:rsidRPr="0056552B" w:rsidRDefault="003333DF" w:rsidP="00BE0B08">
      <w:pPr>
        <w:tabs>
          <w:tab w:val="left" w:pos="0"/>
        </w:tabs>
        <w:suppressAutoHyphens/>
        <w:rPr>
          <w:b/>
        </w:rPr>
      </w:pPr>
      <w:r w:rsidRPr="0056552B">
        <w:rPr>
          <w:b/>
        </w:rPr>
        <w:t>Explain any decision to provide any payment or gift to respondents, other than remuneration of contractors or grantees.</w:t>
      </w:r>
    </w:p>
    <w:p w14:paraId="741DFC4D" w14:textId="77777777" w:rsidR="00ED28F2" w:rsidRPr="0056552B" w:rsidRDefault="00ED28F2" w:rsidP="00ED28F2">
      <w:pPr>
        <w:tabs>
          <w:tab w:val="left" w:pos="-720"/>
        </w:tabs>
        <w:suppressAutoHyphens/>
      </w:pPr>
    </w:p>
    <w:p w14:paraId="741DFC4E" w14:textId="77777777" w:rsidR="00ED28F2" w:rsidRPr="0056552B" w:rsidRDefault="00E244C5" w:rsidP="00E244C5">
      <w:pPr>
        <w:spacing w:after="240" w:line="360" w:lineRule="auto"/>
      </w:pPr>
      <w:r>
        <w:t>No payment or gift will be provided to respondents.</w:t>
      </w:r>
    </w:p>
    <w:p w14:paraId="741DFC4F" w14:textId="77777777" w:rsidR="00BE0B08" w:rsidRPr="0056552B" w:rsidRDefault="00BE0B08" w:rsidP="00E244C5">
      <w:pPr>
        <w:pStyle w:val="Heading1"/>
        <w:spacing w:before="240"/>
      </w:pPr>
      <w:bookmarkStart w:id="21" w:name="_Toc401831366"/>
      <w:bookmarkStart w:id="22" w:name="_Toc401832410"/>
      <w:r w:rsidRPr="0056552B">
        <w:t>A10.  Assurances of confidentiality provided to respondents.</w:t>
      </w:r>
      <w:bookmarkEnd w:id="21"/>
      <w:bookmarkEnd w:id="22"/>
      <w:r w:rsidRPr="0056552B">
        <w:t xml:space="preserve">  </w:t>
      </w:r>
    </w:p>
    <w:p w14:paraId="741DFC50" w14:textId="77777777" w:rsidR="003333DF" w:rsidRPr="0056552B" w:rsidRDefault="003333DF" w:rsidP="00BE0B08"/>
    <w:p w14:paraId="741DFC51" w14:textId="77777777" w:rsidR="003333DF" w:rsidRPr="0056552B" w:rsidRDefault="003333DF" w:rsidP="0062567E">
      <w:pPr>
        <w:pStyle w:val="ListParagraph"/>
        <w:spacing w:line="240" w:lineRule="auto"/>
        <w:ind w:left="0"/>
        <w:rPr>
          <w:b/>
        </w:rPr>
      </w:pPr>
      <w:r w:rsidRPr="0056552B">
        <w:rPr>
          <w:b/>
        </w:rPr>
        <w:t>Describe any assurance of confidentiality provided to respondents and the basis for the assurance in statute, regulation, or agency policy.</w:t>
      </w:r>
    </w:p>
    <w:p w14:paraId="741DFC52" w14:textId="77777777" w:rsidR="003333DF" w:rsidRPr="0056552B" w:rsidRDefault="003333DF" w:rsidP="00BE0B08"/>
    <w:p w14:paraId="741DFC53" w14:textId="77777777" w:rsidR="00ED28F2" w:rsidRPr="0056552B" w:rsidRDefault="00E244C5" w:rsidP="00E244C5">
      <w:pPr>
        <w:tabs>
          <w:tab w:val="left" w:pos="-720"/>
        </w:tabs>
        <w:suppressAutoHyphens/>
        <w:spacing w:line="360" w:lineRule="auto"/>
      </w:pPr>
      <w:r w:rsidRPr="00E244C5">
        <w:t>Section 11(e)(8) of the Food and Nutrition Act and section 272.1(c) of the SNAP regulations limit the use or disclosure of information obtained from applicant households or contained in the case files of participating households to persons directly connected with the administration or enforcement of the provisions of the Act or regulations, other Federal or federally assisted means-tested programs; persons directly connected with the administration or enforcement of programs required to participate in the State income and eligibility verification system; persons directly connected with the verification of immigration status of aliens; persons directly connected with the administration of the Child Support Program; employees of the Office of the Comptroller General of the U.S. for audit and examination authorized by other provisions of law; Local, State, or Federal law enforcement officials investigating an alleged violation of the Act or regulations and law enforcement officers if the household member is a fleeing felon or a parole violator.  FNS published the Privacy Act: System of Records Notice (SORN) on March 31, 2000, in the Federal Register (65 FR 17251) entitled “USDA/FNS-10 Entitled Persons Doing Business with the Food and Nutrition Service” to specify the uses of the information that is collected.</w:t>
      </w:r>
    </w:p>
    <w:p w14:paraId="741DFC54" w14:textId="77777777" w:rsidR="00ED28F2" w:rsidRPr="0056552B" w:rsidRDefault="00ED28F2" w:rsidP="00ED28F2">
      <w:pPr>
        <w:tabs>
          <w:tab w:val="left" w:pos="-720"/>
        </w:tabs>
        <w:suppressAutoHyphens/>
        <w:spacing w:line="480" w:lineRule="auto"/>
      </w:pPr>
    </w:p>
    <w:p w14:paraId="741DFC55" w14:textId="77777777" w:rsidR="00A308DB" w:rsidRPr="0056552B" w:rsidRDefault="00BE0B08" w:rsidP="0062567E">
      <w:pPr>
        <w:pStyle w:val="Heading1"/>
      </w:pPr>
      <w:bookmarkStart w:id="23" w:name="_Toc401831367"/>
      <w:bookmarkStart w:id="24" w:name="_Toc401832411"/>
      <w:r w:rsidRPr="0056552B">
        <w:t xml:space="preserve">A11.  </w:t>
      </w:r>
      <w:proofErr w:type="gramStart"/>
      <w:r w:rsidRPr="0056552B">
        <w:t>Justification for any questions of a sensitive nature.</w:t>
      </w:r>
      <w:bookmarkEnd w:id="23"/>
      <w:bookmarkEnd w:id="24"/>
      <w:proofErr w:type="gramEnd"/>
      <w:r w:rsidRPr="0056552B">
        <w:t xml:space="preserve">  </w:t>
      </w:r>
      <w:r w:rsidR="005A3F80" w:rsidRPr="0056552B">
        <w:t xml:space="preserve">  </w:t>
      </w:r>
    </w:p>
    <w:p w14:paraId="741DFC56" w14:textId="77777777" w:rsidR="003333DF" w:rsidRPr="0056552B" w:rsidRDefault="003333DF" w:rsidP="00BE0B08">
      <w:pPr>
        <w:tabs>
          <w:tab w:val="left" w:pos="0"/>
        </w:tabs>
        <w:suppressAutoHyphens/>
      </w:pPr>
    </w:p>
    <w:p w14:paraId="741DFC57" w14:textId="77777777" w:rsidR="003333DF" w:rsidRPr="0056552B" w:rsidRDefault="003333DF" w:rsidP="00BE0B08">
      <w:pPr>
        <w:tabs>
          <w:tab w:val="left" w:pos="0"/>
        </w:tabs>
        <w:suppressAutoHyphens/>
        <w:rPr>
          <w:b/>
        </w:rPr>
      </w:pPr>
      <w:r w:rsidRPr="0056552B">
        <w:rPr>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41DFC58" w14:textId="77777777" w:rsidR="00ED28F2" w:rsidRPr="0056552B" w:rsidRDefault="00ED28F2" w:rsidP="00ED28F2">
      <w:pPr>
        <w:tabs>
          <w:tab w:val="left" w:pos="-720"/>
        </w:tabs>
        <w:suppressAutoHyphens/>
      </w:pPr>
    </w:p>
    <w:p w14:paraId="741DFC59" w14:textId="77777777" w:rsidR="00ED28F2" w:rsidRPr="0056552B" w:rsidRDefault="00E244C5" w:rsidP="00E244C5">
      <w:pPr>
        <w:tabs>
          <w:tab w:val="left" w:pos="-720"/>
        </w:tabs>
        <w:suppressAutoHyphens/>
        <w:spacing w:line="360" w:lineRule="auto"/>
      </w:pPr>
      <w:r w:rsidRPr="00E244C5">
        <w:t>No private or sensitive questions will be asked.</w:t>
      </w:r>
    </w:p>
    <w:p w14:paraId="741DFC5A" w14:textId="77777777" w:rsidR="00ED28F2" w:rsidRPr="0056552B" w:rsidRDefault="00ED28F2" w:rsidP="00ED28F2">
      <w:pPr>
        <w:tabs>
          <w:tab w:val="left" w:pos="-720"/>
        </w:tabs>
        <w:suppressAutoHyphens/>
        <w:spacing w:line="480" w:lineRule="auto"/>
      </w:pPr>
    </w:p>
    <w:p w14:paraId="741DFC5B" w14:textId="77777777" w:rsidR="000438E8" w:rsidRPr="0056552B" w:rsidRDefault="000438E8" w:rsidP="0062567E">
      <w:pPr>
        <w:pStyle w:val="Heading1"/>
      </w:pPr>
      <w:bookmarkStart w:id="25" w:name="_Toc401831368"/>
      <w:bookmarkStart w:id="26" w:name="_Toc401832412"/>
      <w:r w:rsidRPr="0056552B">
        <w:t>A12.  Estimates of the hour burden of the collection of information.</w:t>
      </w:r>
      <w:bookmarkEnd w:id="25"/>
      <w:bookmarkEnd w:id="26"/>
      <w:r w:rsidRPr="0056552B">
        <w:t xml:space="preserve">  </w:t>
      </w:r>
    </w:p>
    <w:p w14:paraId="741DFC5C" w14:textId="77777777" w:rsidR="003333DF" w:rsidRPr="0056552B" w:rsidRDefault="003333DF" w:rsidP="000438E8">
      <w:pPr>
        <w:tabs>
          <w:tab w:val="left" w:pos="0"/>
        </w:tabs>
        <w:suppressAutoHyphens/>
        <w:rPr>
          <w:b/>
        </w:rPr>
      </w:pPr>
    </w:p>
    <w:p w14:paraId="741DFC5D" w14:textId="77777777" w:rsidR="003333DF" w:rsidRPr="0056552B" w:rsidRDefault="003333DF" w:rsidP="000438E8">
      <w:pPr>
        <w:tabs>
          <w:tab w:val="left" w:pos="0"/>
        </w:tabs>
        <w:suppressAutoHyphens/>
        <w:rPr>
          <w:b/>
        </w:rPr>
      </w:pPr>
      <w:r w:rsidRPr="0056552B">
        <w:rPr>
          <w:b/>
        </w:rPr>
        <w:t>Provide estimates of the hour burden of the collection of information.  Indicate the number of respondents, frequency of response, annual hour burden, and an explanation of how the burden was estimated.</w:t>
      </w:r>
    </w:p>
    <w:p w14:paraId="741DFC5E" w14:textId="77777777" w:rsidR="003333DF" w:rsidRPr="0056552B" w:rsidRDefault="003333DF" w:rsidP="000438E8">
      <w:pPr>
        <w:tabs>
          <w:tab w:val="left" w:pos="0"/>
        </w:tabs>
        <w:suppressAutoHyphens/>
        <w:rPr>
          <w:b/>
        </w:rPr>
      </w:pPr>
    </w:p>
    <w:p w14:paraId="741DFC5F" w14:textId="77777777" w:rsidR="003333DF" w:rsidRPr="0056552B" w:rsidRDefault="003333DF" w:rsidP="003333DF">
      <w:pPr>
        <w:tabs>
          <w:tab w:val="left" w:pos="0"/>
        </w:tabs>
        <w:suppressAutoHyphens/>
        <w:rPr>
          <w:b/>
        </w:rPr>
      </w:pPr>
      <w:r w:rsidRPr="0056552B">
        <w:rPr>
          <w:b/>
        </w:rPr>
        <w:t>A.</w:t>
      </w:r>
      <w:r w:rsidRPr="0056552B">
        <w:rPr>
          <w:b/>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741DFC60" w14:textId="77777777" w:rsidR="00ED28F2" w:rsidRPr="0056552B" w:rsidRDefault="00ED28F2" w:rsidP="00ED28F2">
      <w:pPr>
        <w:tabs>
          <w:tab w:val="left" w:pos="-720"/>
        </w:tabs>
        <w:suppressAutoHyphens/>
      </w:pPr>
    </w:p>
    <w:p w14:paraId="741DFC61" w14:textId="77777777" w:rsidR="00761119" w:rsidRPr="0056552B" w:rsidRDefault="006C6C09" w:rsidP="00761119">
      <w:pPr>
        <w:tabs>
          <w:tab w:val="left" w:pos="-720"/>
        </w:tabs>
        <w:suppressAutoHyphens/>
        <w:spacing w:after="240" w:line="360" w:lineRule="auto"/>
      </w:pPr>
      <w:r>
        <w:t>Affected public are SNAP Agencies.</w:t>
      </w:r>
      <w:r w:rsidR="00761119" w:rsidRPr="00D76228">
        <w:t xml:space="preserve"> </w:t>
      </w:r>
      <w:r w:rsidR="00761119">
        <w:t xml:space="preserve"> </w:t>
      </w:r>
      <w:r>
        <w:t>C</w:t>
      </w:r>
      <w:r w:rsidR="00761119" w:rsidRPr="00D76228">
        <w:t xml:space="preserve">hanges are contingent upon OMB approval under the Paperwork Reduction Act of 1995. </w:t>
      </w:r>
      <w:r w:rsidR="00761119">
        <w:t xml:space="preserve"> </w:t>
      </w:r>
      <w:r w:rsidR="00761119" w:rsidRPr="00D76228">
        <w:t>When the information collection requirements have been approved, FNS will publish a separate action in the Federal Register announcing OMB’s approval.</w:t>
      </w:r>
      <w:r w:rsidR="0069768C">
        <w:t xml:space="preserve">  The burden activities are described in the Attachment </w:t>
      </w:r>
      <w:r w:rsidR="00F01CCA">
        <w:t>D:</w:t>
      </w:r>
      <w:r w:rsidR="0069768C">
        <w:t xml:space="preserve"> Burden Narrative submitted with this collection request.</w:t>
      </w:r>
    </w:p>
    <w:p w14:paraId="741DFC62" w14:textId="77777777" w:rsidR="00ED28F2" w:rsidRDefault="00487F87" w:rsidP="00287561">
      <w:pPr>
        <w:tabs>
          <w:tab w:val="left" w:pos="-720"/>
        </w:tabs>
        <w:suppressAutoHyphens/>
        <w:spacing w:after="240" w:line="360" w:lineRule="auto"/>
      </w:pPr>
      <w:r w:rsidRPr="00265B62">
        <w:rPr>
          <w:b/>
        </w:rPr>
        <w:t xml:space="preserve">The </w:t>
      </w:r>
      <w:r w:rsidR="005C3437" w:rsidRPr="00265B62">
        <w:rPr>
          <w:b/>
        </w:rPr>
        <w:t xml:space="preserve">estimated annual </w:t>
      </w:r>
      <w:r w:rsidRPr="00265B62">
        <w:rPr>
          <w:b/>
        </w:rPr>
        <w:t xml:space="preserve">burden per respondent is summarized in the following chart, with an estimated total annual burden of </w:t>
      </w:r>
      <w:r w:rsidR="00330C7A">
        <w:rPr>
          <w:b/>
        </w:rPr>
        <w:t>388</w:t>
      </w:r>
      <w:r w:rsidR="00330C7A" w:rsidRPr="00265B62">
        <w:rPr>
          <w:b/>
        </w:rPr>
        <w:t xml:space="preserve"> </w:t>
      </w:r>
      <w:r w:rsidRPr="00265B62">
        <w:rPr>
          <w:b/>
        </w:rPr>
        <w:t>hours</w:t>
      </w:r>
      <w:r w:rsidRPr="002478F9">
        <w:t xml:space="preserve">.  </w:t>
      </w:r>
    </w:p>
    <w:tbl>
      <w:tblPr>
        <w:tblW w:w="9960" w:type="dxa"/>
        <w:tblCellMar>
          <w:left w:w="0" w:type="dxa"/>
          <w:right w:w="0" w:type="dxa"/>
        </w:tblCellMar>
        <w:tblLook w:val="04A0" w:firstRow="1" w:lastRow="0" w:firstColumn="1" w:lastColumn="0" w:noHBand="0" w:noVBand="1"/>
      </w:tblPr>
      <w:tblGrid>
        <w:gridCol w:w="2526"/>
        <w:gridCol w:w="1460"/>
        <w:gridCol w:w="1506"/>
        <w:gridCol w:w="1261"/>
        <w:gridCol w:w="1432"/>
        <w:gridCol w:w="1775"/>
      </w:tblGrid>
      <w:tr w:rsidR="00F01CCA" w:rsidRPr="005C3437" w14:paraId="741DFC69" w14:textId="77777777" w:rsidTr="004D0866">
        <w:trPr>
          <w:trHeight w:val="720"/>
        </w:trPr>
        <w:tc>
          <w:tcPr>
            <w:tcW w:w="252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72" w:type="dxa"/>
              <w:bottom w:w="72" w:type="dxa"/>
              <w:right w:w="72" w:type="dxa"/>
            </w:tcMar>
            <w:vAlign w:val="bottom"/>
            <w:hideMark/>
          </w:tcPr>
          <w:p w14:paraId="741DFC63"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b/>
                <w:bCs/>
                <w:color w:val="000000" w:themeColor="text1"/>
                <w:kern w:val="24"/>
                <w:sz w:val="20"/>
                <w:szCs w:val="20"/>
              </w:rPr>
              <w:t>Requirement</w:t>
            </w:r>
            <w:r>
              <w:rPr>
                <w:b/>
                <w:bCs/>
                <w:color w:val="000000" w:themeColor="text1"/>
                <w:kern w:val="24"/>
                <w:sz w:val="20"/>
                <w:szCs w:val="20"/>
              </w:rPr>
              <w:t>/Section of Regulations</w:t>
            </w:r>
          </w:p>
        </w:tc>
        <w:tc>
          <w:tcPr>
            <w:tcW w:w="146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72" w:type="dxa"/>
              <w:bottom w:w="72" w:type="dxa"/>
              <w:right w:w="72" w:type="dxa"/>
            </w:tcMar>
            <w:vAlign w:val="bottom"/>
            <w:hideMark/>
          </w:tcPr>
          <w:p w14:paraId="741DFC64"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b/>
                <w:bCs/>
                <w:color w:val="000000" w:themeColor="text1"/>
                <w:kern w:val="24"/>
                <w:sz w:val="20"/>
                <w:szCs w:val="20"/>
              </w:rPr>
              <w:t># Respondents</w:t>
            </w:r>
          </w:p>
        </w:tc>
        <w:tc>
          <w:tcPr>
            <w:tcW w:w="150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72" w:type="dxa"/>
              <w:bottom w:w="72" w:type="dxa"/>
              <w:right w:w="72" w:type="dxa"/>
            </w:tcMar>
            <w:vAlign w:val="bottom"/>
            <w:hideMark/>
          </w:tcPr>
          <w:p w14:paraId="741DFC65"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b/>
                <w:bCs/>
                <w:color w:val="000000" w:themeColor="text1"/>
                <w:kern w:val="24"/>
                <w:sz w:val="20"/>
                <w:szCs w:val="20"/>
              </w:rPr>
              <w:t>Frequency of Response per Respondent</w:t>
            </w:r>
          </w:p>
        </w:tc>
        <w:tc>
          <w:tcPr>
            <w:tcW w:w="126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72" w:type="dxa"/>
              <w:bottom w:w="72" w:type="dxa"/>
              <w:right w:w="72" w:type="dxa"/>
            </w:tcMar>
            <w:vAlign w:val="bottom"/>
            <w:hideMark/>
          </w:tcPr>
          <w:p w14:paraId="741DFC66"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b/>
                <w:bCs/>
                <w:color w:val="000000" w:themeColor="text1"/>
                <w:kern w:val="24"/>
                <w:sz w:val="20"/>
                <w:szCs w:val="20"/>
              </w:rPr>
              <w:t>Total Annual responses</w:t>
            </w:r>
          </w:p>
        </w:tc>
        <w:tc>
          <w:tcPr>
            <w:tcW w:w="1432"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72" w:type="dxa"/>
              <w:bottom w:w="72" w:type="dxa"/>
              <w:right w:w="72" w:type="dxa"/>
            </w:tcMar>
            <w:vAlign w:val="bottom"/>
            <w:hideMark/>
          </w:tcPr>
          <w:p w14:paraId="741DFC67"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b/>
                <w:bCs/>
                <w:color w:val="000000" w:themeColor="text1"/>
                <w:kern w:val="24"/>
                <w:sz w:val="20"/>
                <w:szCs w:val="20"/>
              </w:rPr>
              <w:t>Hours per response</w:t>
            </w:r>
          </w:p>
        </w:tc>
        <w:tc>
          <w:tcPr>
            <w:tcW w:w="177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72" w:type="dxa"/>
              <w:bottom w:w="72" w:type="dxa"/>
              <w:right w:w="72" w:type="dxa"/>
            </w:tcMar>
            <w:vAlign w:val="bottom"/>
            <w:hideMark/>
          </w:tcPr>
          <w:p w14:paraId="741DFC68"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b/>
                <w:bCs/>
                <w:color w:val="000000" w:themeColor="text1"/>
                <w:kern w:val="24"/>
                <w:sz w:val="20"/>
                <w:szCs w:val="20"/>
              </w:rPr>
              <w:t>Total Burden hours</w:t>
            </w:r>
          </w:p>
        </w:tc>
      </w:tr>
      <w:tr w:rsidR="00F01CCA" w:rsidRPr="005C3437" w14:paraId="741DFC71" w14:textId="77777777" w:rsidTr="004D0866">
        <w:trPr>
          <w:trHeight w:val="576"/>
        </w:trPr>
        <w:tc>
          <w:tcPr>
            <w:tcW w:w="2526"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6A"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Annual review of D-SNAP Plan</w:t>
            </w:r>
          </w:p>
          <w:p w14:paraId="741DFC6B"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(7 CFR 280.1)</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6C"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53</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6D"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1</w:t>
            </w:r>
          </w:p>
        </w:tc>
        <w:tc>
          <w:tcPr>
            <w:tcW w:w="1261"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6E"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53</w:t>
            </w:r>
          </w:p>
        </w:tc>
        <w:tc>
          <w:tcPr>
            <w:tcW w:w="1432"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6F"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6.58</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0"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348.74</w:t>
            </w:r>
          </w:p>
        </w:tc>
      </w:tr>
      <w:tr w:rsidR="00F01CCA" w:rsidRPr="005C3437" w14:paraId="741DFC78" w14:textId="77777777" w:rsidTr="004D0866">
        <w:trPr>
          <w:trHeight w:val="576"/>
        </w:trPr>
        <w:tc>
          <w:tcPr>
            <w:tcW w:w="2526"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2"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Revision of D-SNAP plan (7 CFR 280.1)</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3"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5</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4"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1</w:t>
            </w:r>
          </w:p>
        </w:tc>
        <w:tc>
          <w:tcPr>
            <w:tcW w:w="1261"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5"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5</w:t>
            </w:r>
          </w:p>
        </w:tc>
        <w:tc>
          <w:tcPr>
            <w:tcW w:w="1432"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6"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2.5</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7"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12.5</w:t>
            </w:r>
          </w:p>
        </w:tc>
      </w:tr>
      <w:tr w:rsidR="00F01CCA" w:rsidRPr="005C3437" w14:paraId="741DFC80" w14:textId="77777777" w:rsidTr="004D0866">
        <w:trPr>
          <w:trHeight w:val="576"/>
        </w:trPr>
        <w:tc>
          <w:tcPr>
            <w:tcW w:w="2526"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9"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D-SNAP Daily reports</w:t>
            </w:r>
          </w:p>
          <w:p w14:paraId="741DFC7A"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(7 CFR 280.8)</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B"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9</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C" w14:textId="77777777" w:rsidR="00F01CCA" w:rsidRPr="005C3437" w:rsidRDefault="004D4387" w:rsidP="005C3437">
            <w:pPr>
              <w:widowControl/>
              <w:autoSpaceDE/>
              <w:autoSpaceDN/>
              <w:adjustRightInd/>
              <w:contextualSpacing/>
              <w:jc w:val="center"/>
              <w:textAlignment w:val="auto"/>
              <w:rPr>
                <w:rFonts w:ascii="Arial" w:hAnsi="Arial" w:cs="Arial"/>
                <w:sz w:val="20"/>
                <w:szCs w:val="20"/>
              </w:rPr>
            </w:pPr>
            <w:r>
              <w:rPr>
                <w:color w:val="000000" w:themeColor="text1"/>
                <w:kern w:val="24"/>
                <w:sz w:val="20"/>
                <w:szCs w:val="20"/>
              </w:rPr>
              <w:t>5</w:t>
            </w:r>
          </w:p>
        </w:tc>
        <w:tc>
          <w:tcPr>
            <w:tcW w:w="1261"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D" w14:textId="77777777" w:rsidR="00F01CCA" w:rsidRPr="005C3437" w:rsidRDefault="004D4387" w:rsidP="005C3437">
            <w:pPr>
              <w:widowControl/>
              <w:autoSpaceDE/>
              <w:autoSpaceDN/>
              <w:adjustRightInd/>
              <w:contextualSpacing/>
              <w:jc w:val="center"/>
              <w:textAlignment w:val="auto"/>
              <w:rPr>
                <w:rFonts w:ascii="Arial" w:hAnsi="Arial" w:cs="Arial"/>
                <w:sz w:val="20"/>
                <w:szCs w:val="20"/>
              </w:rPr>
            </w:pPr>
            <w:r>
              <w:rPr>
                <w:color w:val="000000" w:themeColor="text1"/>
                <w:kern w:val="24"/>
                <w:sz w:val="20"/>
                <w:szCs w:val="20"/>
              </w:rPr>
              <w:t>45</w:t>
            </w:r>
          </w:p>
        </w:tc>
        <w:tc>
          <w:tcPr>
            <w:tcW w:w="1432"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E"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0.5</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7F"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22.5</w:t>
            </w:r>
          </w:p>
        </w:tc>
      </w:tr>
      <w:tr w:rsidR="00F01CCA" w:rsidRPr="005C3437" w14:paraId="741DFC88" w14:textId="77777777" w:rsidTr="004D0866">
        <w:trPr>
          <w:trHeight w:val="576"/>
        </w:trPr>
        <w:tc>
          <w:tcPr>
            <w:tcW w:w="2526"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81"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D-SNAP Post Disaster Report</w:t>
            </w:r>
          </w:p>
          <w:p w14:paraId="741DFC82"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(7 CFR 280.8)</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83"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9</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84"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1</w:t>
            </w:r>
          </w:p>
        </w:tc>
        <w:tc>
          <w:tcPr>
            <w:tcW w:w="1261"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85"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9</w:t>
            </w:r>
          </w:p>
        </w:tc>
        <w:tc>
          <w:tcPr>
            <w:tcW w:w="1432"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86"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0.5</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87"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color w:val="000000" w:themeColor="text1"/>
                <w:kern w:val="24"/>
                <w:sz w:val="20"/>
                <w:szCs w:val="20"/>
              </w:rPr>
              <w:t>4.5</w:t>
            </w:r>
          </w:p>
        </w:tc>
      </w:tr>
      <w:tr w:rsidR="00F01CCA" w:rsidRPr="005C3437" w14:paraId="741DFC8F" w14:textId="77777777" w:rsidTr="004D0866">
        <w:trPr>
          <w:trHeight w:val="576"/>
        </w:trPr>
        <w:tc>
          <w:tcPr>
            <w:tcW w:w="2526"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89"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sidRPr="005C3437">
              <w:rPr>
                <w:b/>
                <w:bCs/>
                <w:color w:val="000000" w:themeColor="text1"/>
                <w:kern w:val="24"/>
                <w:sz w:val="20"/>
                <w:szCs w:val="20"/>
              </w:rPr>
              <w:t>Totals</w:t>
            </w:r>
          </w:p>
        </w:tc>
        <w:tc>
          <w:tcPr>
            <w:tcW w:w="1460"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8A" w14:textId="77777777" w:rsidR="00F01CCA" w:rsidRPr="005C3437" w:rsidRDefault="00F01CCA" w:rsidP="005C3437">
            <w:pPr>
              <w:widowControl/>
              <w:autoSpaceDE/>
              <w:autoSpaceDN/>
              <w:adjustRightInd/>
              <w:contextualSpacing/>
              <w:jc w:val="center"/>
              <w:textAlignment w:val="auto"/>
              <w:rPr>
                <w:rFonts w:ascii="Arial" w:hAnsi="Arial" w:cs="Arial"/>
                <w:sz w:val="20"/>
                <w:szCs w:val="20"/>
              </w:rPr>
            </w:pPr>
            <w:r>
              <w:rPr>
                <w:b/>
                <w:bCs/>
                <w:color w:val="000000" w:themeColor="text1"/>
                <w:kern w:val="24"/>
                <w:sz w:val="20"/>
                <w:szCs w:val="20"/>
              </w:rPr>
              <w:t>53</w:t>
            </w:r>
          </w:p>
        </w:tc>
        <w:tc>
          <w:tcPr>
            <w:tcW w:w="1506"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8B" w14:textId="77777777" w:rsidR="00F01CCA" w:rsidRPr="005C3437" w:rsidRDefault="004D4387" w:rsidP="008902F1">
            <w:pPr>
              <w:widowControl/>
              <w:autoSpaceDE/>
              <w:autoSpaceDN/>
              <w:adjustRightInd/>
              <w:contextualSpacing/>
              <w:jc w:val="center"/>
              <w:textAlignment w:val="auto"/>
              <w:rPr>
                <w:rFonts w:ascii="Arial" w:hAnsi="Arial" w:cs="Arial"/>
                <w:sz w:val="20"/>
                <w:szCs w:val="20"/>
              </w:rPr>
            </w:pPr>
            <w:r>
              <w:rPr>
                <w:b/>
                <w:bCs/>
                <w:color w:val="000000" w:themeColor="text1"/>
                <w:kern w:val="24"/>
                <w:sz w:val="20"/>
                <w:szCs w:val="20"/>
              </w:rPr>
              <w:t>8</w:t>
            </w:r>
          </w:p>
        </w:tc>
        <w:tc>
          <w:tcPr>
            <w:tcW w:w="1261"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8C" w14:textId="77777777" w:rsidR="00F01CCA" w:rsidRPr="005C3437" w:rsidRDefault="00541322" w:rsidP="005C3437">
            <w:pPr>
              <w:widowControl/>
              <w:autoSpaceDE/>
              <w:autoSpaceDN/>
              <w:adjustRightInd/>
              <w:contextualSpacing/>
              <w:jc w:val="center"/>
              <w:textAlignment w:val="auto"/>
              <w:rPr>
                <w:rFonts w:ascii="Arial" w:hAnsi="Arial" w:cs="Arial"/>
                <w:sz w:val="20"/>
                <w:szCs w:val="20"/>
              </w:rPr>
            </w:pPr>
            <w:r>
              <w:rPr>
                <w:b/>
                <w:bCs/>
                <w:color w:val="000000" w:themeColor="text1"/>
                <w:kern w:val="24"/>
                <w:sz w:val="20"/>
                <w:szCs w:val="20"/>
              </w:rPr>
              <w:t>112</w:t>
            </w:r>
          </w:p>
        </w:tc>
        <w:tc>
          <w:tcPr>
            <w:tcW w:w="1432"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8D" w14:textId="77777777" w:rsidR="00F01CCA" w:rsidRPr="005C3437" w:rsidRDefault="00330C7A" w:rsidP="00287561">
            <w:pPr>
              <w:widowControl/>
              <w:autoSpaceDE/>
              <w:autoSpaceDN/>
              <w:adjustRightInd/>
              <w:contextualSpacing/>
              <w:jc w:val="center"/>
              <w:textAlignment w:val="auto"/>
              <w:rPr>
                <w:rFonts w:ascii="Arial" w:hAnsi="Arial" w:cs="Arial"/>
                <w:sz w:val="20"/>
                <w:szCs w:val="20"/>
              </w:rPr>
            </w:pPr>
            <w:r>
              <w:rPr>
                <w:b/>
                <w:bCs/>
                <w:color w:val="000000" w:themeColor="text1"/>
                <w:kern w:val="24"/>
                <w:sz w:val="20"/>
                <w:szCs w:val="20"/>
              </w:rPr>
              <w:t>3.466</w:t>
            </w:r>
          </w:p>
        </w:tc>
        <w:tc>
          <w:tcPr>
            <w:tcW w:w="1775" w:type="dxa"/>
            <w:tcBorders>
              <w:top w:val="single" w:sz="8" w:space="0" w:color="000000"/>
              <w:left w:val="single" w:sz="8" w:space="0" w:color="000000"/>
              <w:bottom w:val="single" w:sz="8" w:space="0" w:color="000000"/>
              <w:right w:val="single" w:sz="8" w:space="0" w:color="000000"/>
            </w:tcBorders>
            <w:shd w:val="clear" w:color="auto" w:fill="auto"/>
            <w:tcMar>
              <w:top w:w="72" w:type="dxa"/>
              <w:left w:w="72" w:type="dxa"/>
              <w:bottom w:w="72" w:type="dxa"/>
              <w:right w:w="72" w:type="dxa"/>
            </w:tcMar>
            <w:vAlign w:val="center"/>
            <w:hideMark/>
          </w:tcPr>
          <w:p w14:paraId="741DFC8E" w14:textId="77777777" w:rsidR="00F01CCA" w:rsidRPr="005C3437" w:rsidRDefault="00330C7A" w:rsidP="005C3437">
            <w:pPr>
              <w:widowControl/>
              <w:autoSpaceDE/>
              <w:autoSpaceDN/>
              <w:adjustRightInd/>
              <w:contextualSpacing/>
              <w:jc w:val="center"/>
              <w:textAlignment w:val="auto"/>
              <w:rPr>
                <w:rFonts w:ascii="Arial" w:hAnsi="Arial" w:cs="Arial"/>
                <w:sz w:val="20"/>
                <w:szCs w:val="20"/>
              </w:rPr>
            </w:pPr>
            <w:r>
              <w:rPr>
                <w:b/>
                <w:bCs/>
                <w:color w:val="000000" w:themeColor="text1"/>
                <w:kern w:val="24"/>
                <w:sz w:val="20"/>
                <w:szCs w:val="20"/>
              </w:rPr>
              <w:t>388</w:t>
            </w:r>
          </w:p>
        </w:tc>
      </w:tr>
    </w:tbl>
    <w:p w14:paraId="741DFC90" w14:textId="77777777" w:rsidR="0062567E" w:rsidRPr="0056552B" w:rsidRDefault="00FD71D3" w:rsidP="000438E8">
      <w:pPr>
        <w:tabs>
          <w:tab w:val="left" w:pos="0"/>
        </w:tabs>
        <w:suppressAutoHyphens/>
        <w:rPr>
          <w:b/>
        </w:rPr>
      </w:pPr>
      <w:r w:rsidRPr="0056552B">
        <w:rPr>
          <w:b/>
        </w:rPr>
        <w:t>B.</w:t>
      </w:r>
      <w:r w:rsidRPr="0056552B">
        <w:rPr>
          <w:b/>
        </w:rPr>
        <w:tab/>
        <w:t>Provide estimates of annualized cost to respondents for the hour burdens for collections of information, identifying and using appropriate wage rate categories.</w:t>
      </w:r>
    </w:p>
    <w:p w14:paraId="741DFC91" w14:textId="77777777" w:rsidR="00A308DB" w:rsidRPr="0056552B" w:rsidRDefault="00A308DB" w:rsidP="000438E8">
      <w:pPr>
        <w:tabs>
          <w:tab w:val="left" w:pos="0"/>
        </w:tabs>
        <w:suppressAutoHyphens/>
        <w:rPr>
          <w:b/>
        </w:rPr>
      </w:pPr>
    </w:p>
    <w:p w14:paraId="741DFC92" w14:textId="77777777" w:rsidR="00ED28F2" w:rsidRPr="0056552B" w:rsidRDefault="00E244C5" w:rsidP="00E244C5">
      <w:pPr>
        <w:tabs>
          <w:tab w:val="left" w:pos="-720"/>
        </w:tabs>
        <w:suppressAutoHyphens/>
        <w:spacing w:line="360" w:lineRule="auto"/>
      </w:pPr>
      <w:r w:rsidRPr="00E244C5">
        <w:t>SNAP information collection requirements described herein are imposed on State agency officials.  The wage rates used in determining these public burden costs were based on the Bureau of Labor and Statistics (BLS) Occupational Employment Statistics estimates. Respondents involved in this collection will be managers of State Departments of Social Services, which corresponds to Bureau of Labor Statistics Category 11-9151, Social and Community Service Managers.  Based on the most recent Occupational Employment and Wage Estimates from May 2014, this category of workers earns an hourly mean wage of $32.56</w:t>
      </w:r>
      <w:r w:rsidRPr="00E244C5">
        <w:rPr>
          <w:vertAlign w:val="superscript"/>
        </w:rPr>
        <w:footnoteReference w:id="1"/>
      </w:r>
      <w:r w:rsidRPr="00E244C5">
        <w:t>.  However, 50 percent of the administrative costs incurred by State agencies are reimbursed by FNS.  According to the burden hours shown above, FNS estimates that this information collection will result in a total cost across State agencies of</w:t>
      </w:r>
      <w:r w:rsidR="009B07F1">
        <w:t xml:space="preserve"> </w:t>
      </w:r>
      <w:r w:rsidR="00593776">
        <w:t>$</w:t>
      </w:r>
      <w:r w:rsidR="00D3461A">
        <w:t>12,641</w:t>
      </w:r>
      <w:r w:rsidR="007462DD">
        <w:t>; however, final cost</w:t>
      </w:r>
      <w:r w:rsidR="00593776">
        <w:t>s</w:t>
      </w:r>
      <w:r w:rsidR="007462DD">
        <w:t xml:space="preserve"> are estimated at </w:t>
      </w:r>
      <w:r w:rsidR="009B07F1">
        <w:t>$</w:t>
      </w:r>
      <w:r w:rsidR="00D3461A">
        <w:t>6,321</w:t>
      </w:r>
      <w:r w:rsidR="009B07F1">
        <w:t xml:space="preserve"> after </w:t>
      </w:r>
      <w:r w:rsidR="009B07F1" w:rsidRPr="00783543">
        <w:rPr>
          <w:spacing w:val="-3"/>
        </w:rPr>
        <w:t>50 percent of the administrative costs incurred by State agencies are reimbursed by FNS</w:t>
      </w:r>
      <w:r w:rsidR="009B07F1">
        <w:t>.</w:t>
      </w:r>
    </w:p>
    <w:p w14:paraId="741DFC93" w14:textId="77777777" w:rsidR="00ED28F2" w:rsidRPr="0056552B" w:rsidRDefault="00ED28F2" w:rsidP="00ED28F2">
      <w:pPr>
        <w:tabs>
          <w:tab w:val="left" w:pos="-720"/>
        </w:tabs>
        <w:suppressAutoHyphens/>
        <w:spacing w:line="480" w:lineRule="auto"/>
      </w:pPr>
    </w:p>
    <w:p w14:paraId="741DFC94" w14:textId="77777777" w:rsidR="000438E8" w:rsidRPr="0056552B" w:rsidRDefault="00FD71D3" w:rsidP="0062567E">
      <w:pPr>
        <w:pStyle w:val="Heading1"/>
      </w:pPr>
      <w:bookmarkStart w:id="27" w:name="_Toc401831369"/>
      <w:bookmarkStart w:id="28" w:name="_Toc401832413"/>
      <w:r w:rsidRPr="0056552B">
        <w:t xml:space="preserve">A13.  </w:t>
      </w:r>
      <w:proofErr w:type="gramStart"/>
      <w:r w:rsidRPr="0056552B">
        <w:t xml:space="preserve">Estimates of other total annual cost </w:t>
      </w:r>
      <w:r w:rsidR="00ED28F2" w:rsidRPr="0056552B">
        <w:t>burden</w:t>
      </w:r>
      <w:r w:rsidRPr="0056552B">
        <w:t>.</w:t>
      </w:r>
      <w:bookmarkEnd w:id="27"/>
      <w:bookmarkEnd w:id="28"/>
      <w:proofErr w:type="gramEnd"/>
    </w:p>
    <w:p w14:paraId="741DFC95" w14:textId="77777777" w:rsidR="0062567E" w:rsidRPr="0056552B" w:rsidRDefault="0062567E" w:rsidP="000438E8">
      <w:pPr>
        <w:tabs>
          <w:tab w:val="left" w:pos="0"/>
        </w:tabs>
        <w:suppressAutoHyphens/>
        <w:rPr>
          <w:b/>
        </w:rPr>
      </w:pPr>
    </w:p>
    <w:p w14:paraId="741DFC96" w14:textId="77777777" w:rsidR="0062567E" w:rsidRPr="0056552B" w:rsidRDefault="0062567E" w:rsidP="000438E8">
      <w:pPr>
        <w:tabs>
          <w:tab w:val="left" w:pos="0"/>
        </w:tabs>
        <w:suppressAutoHyphens/>
        <w:rPr>
          <w:b/>
        </w:rPr>
      </w:pPr>
      <w:r w:rsidRPr="0056552B">
        <w:rPr>
          <w:b/>
        </w:rPr>
        <w:t xml:space="preserve">Provide estimates of the total annual cost burden to respondents or </w:t>
      </w:r>
      <w:proofErr w:type="spellStart"/>
      <w:r w:rsidRPr="0056552B">
        <w:rPr>
          <w:b/>
        </w:rPr>
        <w:t>recordkeepers</w:t>
      </w:r>
      <w:proofErr w:type="spellEnd"/>
      <w:r w:rsidRPr="0056552B">
        <w:rPr>
          <w:b/>
        </w:rPr>
        <w:t xml:space="preserve">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14:paraId="741DFC97" w14:textId="77777777" w:rsidR="00ED28F2" w:rsidRPr="0056552B" w:rsidRDefault="00ED28F2" w:rsidP="00ED28F2">
      <w:pPr>
        <w:tabs>
          <w:tab w:val="left" w:pos="-720"/>
        </w:tabs>
        <w:suppressAutoHyphens/>
      </w:pPr>
    </w:p>
    <w:p w14:paraId="741DFC98" w14:textId="77777777" w:rsidR="003C089B" w:rsidRPr="003C089B" w:rsidRDefault="003C089B" w:rsidP="003C089B">
      <w:pPr>
        <w:tabs>
          <w:tab w:val="left" w:pos="-720"/>
        </w:tabs>
        <w:suppressAutoHyphens/>
        <w:spacing w:line="360" w:lineRule="auto"/>
      </w:pPr>
      <w:r w:rsidRPr="003C089B">
        <w:t xml:space="preserve">There are no capital/start-up or ongoing operation/maintenance costs associated with this information collection. </w:t>
      </w:r>
      <w:r w:rsidRPr="003C089B">
        <w:tab/>
      </w:r>
    </w:p>
    <w:p w14:paraId="741DFC99" w14:textId="77777777" w:rsidR="00ED28F2" w:rsidRPr="0056552B" w:rsidRDefault="00ED28F2" w:rsidP="00ED28F2">
      <w:pPr>
        <w:tabs>
          <w:tab w:val="left" w:pos="-720"/>
        </w:tabs>
        <w:suppressAutoHyphens/>
        <w:spacing w:line="480" w:lineRule="auto"/>
      </w:pPr>
    </w:p>
    <w:p w14:paraId="741DFC9A" w14:textId="77777777" w:rsidR="00A308DB" w:rsidRPr="0056552B" w:rsidRDefault="000438E8" w:rsidP="0062567E">
      <w:pPr>
        <w:pStyle w:val="Heading1"/>
      </w:pPr>
      <w:bookmarkStart w:id="29" w:name="_Toc401831370"/>
      <w:bookmarkStart w:id="30" w:name="_Toc401832414"/>
      <w:r w:rsidRPr="0056552B">
        <w:t>A14.  Provide estimates of annualized cost to the Federal government.</w:t>
      </w:r>
      <w:bookmarkEnd w:id="29"/>
      <w:bookmarkEnd w:id="30"/>
      <w:r w:rsidR="0088245A" w:rsidRPr="0056552B">
        <w:t xml:space="preserve">  </w:t>
      </w:r>
    </w:p>
    <w:p w14:paraId="741DFC9B" w14:textId="77777777" w:rsidR="0062567E" w:rsidRPr="0056552B" w:rsidRDefault="0062567E" w:rsidP="000438E8">
      <w:pPr>
        <w:tabs>
          <w:tab w:val="left" w:pos="0"/>
        </w:tabs>
        <w:suppressAutoHyphens/>
      </w:pPr>
    </w:p>
    <w:p w14:paraId="741DFC9C" w14:textId="77777777" w:rsidR="0062567E" w:rsidRDefault="0062567E" w:rsidP="0062567E">
      <w:pPr>
        <w:pStyle w:val="ListParagraph"/>
        <w:widowControl/>
        <w:spacing w:line="240" w:lineRule="auto"/>
        <w:ind w:left="0"/>
        <w:rPr>
          <w:b/>
        </w:rPr>
      </w:pPr>
      <w:r w:rsidRPr="0056552B">
        <w:rPr>
          <w:b/>
        </w:rPr>
        <w:t>Provide estimates of annualized cost to the Federal government.  Provide a description of the method used to estimate cost and any other expense that would not have been incurred without this collection of information.</w:t>
      </w:r>
    </w:p>
    <w:p w14:paraId="741DFC9D" w14:textId="77777777" w:rsidR="009B07F1" w:rsidRDefault="009B07F1" w:rsidP="0062567E">
      <w:pPr>
        <w:pStyle w:val="ListParagraph"/>
        <w:widowControl/>
        <w:spacing w:line="240" w:lineRule="auto"/>
        <w:ind w:left="0"/>
        <w:rPr>
          <w:b/>
        </w:rPr>
      </w:pPr>
    </w:p>
    <w:p w14:paraId="741DFC9E" w14:textId="77777777" w:rsidR="00143542" w:rsidRPr="00143542" w:rsidRDefault="00143542" w:rsidP="00143542">
      <w:pPr>
        <w:pStyle w:val="BodyText"/>
        <w:spacing w:line="360" w:lineRule="auto"/>
        <w:rPr>
          <w:b w:val="0"/>
        </w:rPr>
      </w:pPr>
      <w:r w:rsidRPr="00143542">
        <w:rPr>
          <w:b w:val="0"/>
        </w:rPr>
        <w:t xml:space="preserve">This information collection assumes that </w:t>
      </w:r>
      <w:r>
        <w:rPr>
          <w:b w:val="0"/>
        </w:rPr>
        <w:t>the review of an average of 5 updated Disaster plans</w:t>
      </w:r>
      <w:r w:rsidR="00877B3E">
        <w:rPr>
          <w:b w:val="0"/>
        </w:rPr>
        <w:t xml:space="preserve">, 45 daily reports, and 9 D-SNAP Post Disaster Reports </w:t>
      </w:r>
      <w:r>
        <w:rPr>
          <w:b w:val="0"/>
        </w:rPr>
        <w:t xml:space="preserve">submitted by State agencies annually </w:t>
      </w:r>
      <w:r w:rsidRPr="00143542">
        <w:rPr>
          <w:b w:val="0"/>
        </w:rPr>
        <w:t xml:space="preserve">requires a total of 20 hours of Federal employee time: 17 hours for a Program analyst (GS-12), 2 hours for a Branch Chief (GS-14) and 1 hour for a Division Director (GS-15).  The Federal cost also includes the cost associated with the preparation of this information collection package.  </w:t>
      </w:r>
      <w:r>
        <w:rPr>
          <w:b w:val="0"/>
        </w:rPr>
        <w:t xml:space="preserve"> </w:t>
      </w:r>
      <w:r w:rsidRPr="00143542">
        <w:rPr>
          <w:b w:val="0"/>
        </w:rPr>
        <w:t>The calculations for this cost are described in the table below:</w:t>
      </w:r>
    </w:p>
    <w:p w14:paraId="741DFC9F" w14:textId="77777777" w:rsidR="0062567E" w:rsidRPr="0056552B" w:rsidRDefault="0062567E" w:rsidP="000438E8">
      <w:pPr>
        <w:tabs>
          <w:tab w:val="left" w:pos="0"/>
        </w:tabs>
        <w:suppressAutoHyphens/>
      </w:pPr>
    </w:p>
    <w:tbl>
      <w:tblPr>
        <w:tblW w:w="1094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41"/>
        <w:gridCol w:w="2335"/>
        <w:gridCol w:w="1422"/>
        <w:gridCol w:w="1028"/>
        <w:gridCol w:w="1541"/>
        <w:gridCol w:w="1541"/>
        <w:gridCol w:w="1541"/>
      </w:tblGrid>
      <w:tr w:rsidR="009B07F1" w:rsidRPr="008C475E" w14:paraId="741DFCA8" w14:textId="77777777" w:rsidTr="0053059D">
        <w:trPr>
          <w:cantSplit/>
          <w:trHeight w:val="864"/>
          <w:tblHeader/>
          <w:jc w:val="center"/>
        </w:trPr>
        <w:tc>
          <w:tcPr>
            <w:tcW w:w="3876" w:type="dxa"/>
            <w:gridSpan w:val="2"/>
            <w:shd w:val="pct12" w:color="auto" w:fill="auto"/>
            <w:vAlign w:val="center"/>
            <w:hideMark/>
          </w:tcPr>
          <w:p w14:paraId="741DFCA0" w14:textId="77777777" w:rsidR="009B07F1" w:rsidRPr="008C475E" w:rsidRDefault="009B07F1" w:rsidP="0053059D">
            <w:pPr>
              <w:widowControl/>
              <w:ind w:right="-288"/>
              <w:jc w:val="center"/>
              <w:rPr>
                <w:b/>
                <w:bCs/>
                <w:color w:val="000000"/>
                <w:sz w:val="22"/>
                <w:szCs w:val="22"/>
              </w:rPr>
            </w:pPr>
            <w:r w:rsidRPr="008C475E">
              <w:rPr>
                <w:b/>
                <w:bCs/>
                <w:color w:val="000000"/>
                <w:sz w:val="22"/>
                <w:szCs w:val="22"/>
              </w:rPr>
              <w:t xml:space="preserve">Burden – Review of State agency </w:t>
            </w:r>
          </w:p>
          <w:p w14:paraId="741DFCA1" w14:textId="77777777" w:rsidR="009B07F1" w:rsidRPr="008C475E" w:rsidRDefault="009B07F1" w:rsidP="0053059D">
            <w:pPr>
              <w:widowControl/>
              <w:ind w:right="-288"/>
              <w:jc w:val="center"/>
              <w:rPr>
                <w:b/>
                <w:bCs/>
                <w:color w:val="000000"/>
                <w:sz w:val="22"/>
                <w:szCs w:val="22"/>
              </w:rPr>
            </w:pPr>
            <w:r>
              <w:rPr>
                <w:b/>
                <w:bCs/>
                <w:color w:val="000000"/>
                <w:sz w:val="22"/>
                <w:szCs w:val="22"/>
              </w:rPr>
              <w:t>D-SNAP</w:t>
            </w:r>
            <w:r w:rsidRPr="008C475E">
              <w:rPr>
                <w:b/>
                <w:bCs/>
                <w:color w:val="000000"/>
                <w:sz w:val="22"/>
                <w:szCs w:val="22"/>
              </w:rPr>
              <w:t xml:space="preserve"> </w:t>
            </w:r>
            <w:r>
              <w:rPr>
                <w:b/>
                <w:bCs/>
                <w:color w:val="000000"/>
                <w:sz w:val="22"/>
                <w:szCs w:val="22"/>
              </w:rPr>
              <w:t>Plans and Requests</w:t>
            </w:r>
          </w:p>
          <w:p w14:paraId="741DFCA2" w14:textId="77777777" w:rsidR="009B07F1" w:rsidRPr="008C475E" w:rsidRDefault="009B07F1" w:rsidP="0053059D">
            <w:pPr>
              <w:widowControl/>
              <w:ind w:right="-288"/>
              <w:jc w:val="center"/>
              <w:rPr>
                <w:b/>
                <w:bCs/>
                <w:color w:val="000000"/>
                <w:sz w:val="22"/>
                <w:szCs w:val="22"/>
              </w:rPr>
            </w:pPr>
          </w:p>
        </w:tc>
        <w:tc>
          <w:tcPr>
            <w:tcW w:w="1422" w:type="dxa"/>
            <w:shd w:val="pct12" w:color="auto" w:fill="auto"/>
            <w:vAlign w:val="center"/>
          </w:tcPr>
          <w:p w14:paraId="741DFCA3" w14:textId="77777777" w:rsidR="009B07F1" w:rsidRPr="008C475E" w:rsidRDefault="009B07F1" w:rsidP="0053059D">
            <w:pPr>
              <w:widowControl/>
              <w:jc w:val="center"/>
              <w:rPr>
                <w:b/>
                <w:bCs/>
                <w:color w:val="000000"/>
                <w:sz w:val="22"/>
                <w:szCs w:val="22"/>
              </w:rPr>
            </w:pPr>
            <w:r w:rsidRPr="008C475E">
              <w:rPr>
                <w:b/>
                <w:bCs/>
                <w:color w:val="000000"/>
                <w:sz w:val="22"/>
                <w:szCs w:val="22"/>
              </w:rPr>
              <w:t># of Respondents</w:t>
            </w:r>
          </w:p>
        </w:tc>
        <w:tc>
          <w:tcPr>
            <w:tcW w:w="1028" w:type="dxa"/>
            <w:shd w:val="pct12" w:color="auto" w:fill="auto"/>
            <w:vAlign w:val="center"/>
            <w:hideMark/>
          </w:tcPr>
          <w:p w14:paraId="741DFCA4" w14:textId="77777777" w:rsidR="009B07F1" w:rsidRPr="008C475E" w:rsidRDefault="009B07F1" w:rsidP="0053059D">
            <w:pPr>
              <w:widowControl/>
              <w:jc w:val="center"/>
              <w:rPr>
                <w:b/>
                <w:bCs/>
                <w:color w:val="000000"/>
                <w:sz w:val="22"/>
                <w:szCs w:val="22"/>
              </w:rPr>
            </w:pPr>
            <w:r w:rsidRPr="008C475E">
              <w:rPr>
                <w:b/>
                <w:bCs/>
                <w:color w:val="000000"/>
                <w:sz w:val="22"/>
                <w:szCs w:val="22"/>
              </w:rPr>
              <w:t>Hours</w:t>
            </w:r>
          </w:p>
        </w:tc>
        <w:tc>
          <w:tcPr>
            <w:tcW w:w="1541" w:type="dxa"/>
            <w:shd w:val="pct12" w:color="auto" w:fill="auto"/>
            <w:vAlign w:val="center"/>
          </w:tcPr>
          <w:p w14:paraId="741DFCA5" w14:textId="77777777" w:rsidR="009B07F1" w:rsidRPr="008C475E" w:rsidRDefault="009B07F1" w:rsidP="0053059D">
            <w:pPr>
              <w:widowControl/>
              <w:jc w:val="center"/>
              <w:rPr>
                <w:b/>
                <w:bCs/>
                <w:color w:val="000000"/>
                <w:sz w:val="22"/>
                <w:szCs w:val="22"/>
              </w:rPr>
            </w:pPr>
            <w:r w:rsidRPr="008C475E">
              <w:rPr>
                <w:b/>
                <w:bCs/>
                <w:color w:val="000000"/>
                <w:sz w:val="22"/>
                <w:szCs w:val="22"/>
              </w:rPr>
              <w:t>Est. Total Annual Burden Hours</w:t>
            </w:r>
          </w:p>
        </w:tc>
        <w:tc>
          <w:tcPr>
            <w:tcW w:w="1541" w:type="dxa"/>
            <w:shd w:val="pct12" w:color="auto" w:fill="auto"/>
            <w:vAlign w:val="center"/>
          </w:tcPr>
          <w:p w14:paraId="741DFCA6" w14:textId="77777777" w:rsidR="009B07F1" w:rsidRPr="008C475E" w:rsidRDefault="009B07F1" w:rsidP="0053059D">
            <w:pPr>
              <w:widowControl/>
              <w:jc w:val="center"/>
              <w:rPr>
                <w:b/>
                <w:bCs/>
                <w:color w:val="000000"/>
                <w:sz w:val="22"/>
                <w:szCs w:val="22"/>
              </w:rPr>
            </w:pPr>
            <w:r w:rsidRPr="008C475E">
              <w:rPr>
                <w:b/>
                <w:bCs/>
                <w:color w:val="000000"/>
                <w:sz w:val="22"/>
                <w:szCs w:val="22"/>
              </w:rPr>
              <w:t xml:space="preserve">Estimated Hourly Wage Rate* </w:t>
            </w:r>
            <w:r w:rsidRPr="008C475E">
              <w:rPr>
                <w:b/>
                <w:bCs/>
                <w:color w:val="000000"/>
                <w:sz w:val="22"/>
                <w:szCs w:val="22"/>
                <w:vertAlign w:val="superscript"/>
              </w:rPr>
              <w:footnoteReference w:id="2"/>
            </w:r>
          </w:p>
        </w:tc>
        <w:tc>
          <w:tcPr>
            <w:tcW w:w="1541" w:type="dxa"/>
            <w:shd w:val="pct12" w:color="auto" w:fill="auto"/>
            <w:vAlign w:val="center"/>
            <w:hideMark/>
          </w:tcPr>
          <w:p w14:paraId="741DFCA7" w14:textId="77777777" w:rsidR="009B07F1" w:rsidRPr="008C475E" w:rsidRDefault="009B07F1" w:rsidP="0053059D">
            <w:pPr>
              <w:widowControl/>
              <w:jc w:val="center"/>
              <w:rPr>
                <w:b/>
                <w:bCs/>
                <w:color w:val="000000"/>
                <w:sz w:val="22"/>
                <w:szCs w:val="22"/>
              </w:rPr>
            </w:pPr>
            <w:r w:rsidRPr="008C475E">
              <w:rPr>
                <w:b/>
                <w:bCs/>
                <w:color w:val="000000"/>
                <w:sz w:val="22"/>
                <w:szCs w:val="22"/>
              </w:rPr>
              <w:t>Cost (US$) (approx.)</w:t>
            </w:r>
            <w:r>
              <w:rPr>
                <w:b/>
                <w:bCs/>
                <w:color w:val="000000"/>
                <w:sz w:val="22"/>
                <w:szCs w:val="22"/>
              </w:rPr>
              <w:t>*</w:t>
            </w:r>
          </w:p>
        </w:tc>
      </w:tr>
      <w:tr w:rsidR="009B07F1" w:rsidRPr="008C475E" w14:paraId="741DFCAF" w14:textId="77777777" w:rsidTr="0053059D">
        <w:trPr>
          <w:trHeight w:val="460"/>
          <w:jc w:val="center"/>
        </w:trPr>
        <w:tc>
          <w:tcPr>
            <w:tcW w:w="3876" w:type="dxa"/>
            <w:gridSpan w:val="2"/>
            <w:shd w:val="clear" w:color="auto" w:fill="auto"/>
            <w:vAlign w:val="center"/>
            <w:hideMark/>
          </w:tcPr>
          <w:p w14:paraId="741DFCA9" w14:textId="77777777" w:rsidR="009B07F1" w:rsidRPr="008C475E" w:rsidRDefault="009B07F1" w:rsidP="0053059D">
            <w:pPr>
              <w:widowControl/>
              <w:jc w:val="both"/>
              <w:rPr>
                <w:bCs/>
                <w:color w:val="000000"/>
                <w:sz w:val="20"/>
              </w:rPr>
            </w:pPr>
            <w:r w:rsidRPr="008C475E">
              <w:rPr>
                <w:bCs/>
                <w:color w:val="000000"/>
                <w:sz w:val="20"/>
              </w:rPr>
              <w:t>Program Analyst (GS-1</w:t>
            </w:r>
            <w:r>
              <w:rPr>
                <w:bCs/>
                <w:color w:val="000000"/>
                <w:sz w:val="20"/>
              </w:rPr>
              <w:t>2</w:t>
            </w:r>
            <w:r w:rsidRPr="008C475E">
              <w:rPr>
                <w:bCs/>
                <w:color w:val="000000"/>
                <w:sz w:val="20"/>
              </w:rPr>
              <w:t>/1)</w:t>
            </w:r>
          </w:p>
        </w:tc>
        <w:tc>
          <w:tcPr>
            <w:tcW w:w="1422" w:type="dxa"/>
            <w:vAlign w:val="center"/>
          </w:tcPr>
          <w:p w14:paraId="741DFCAA" w14:textId="77777777" w:rsidR="009B07F1" w:rsidRPr="008C475E" w:rsidRDefault="009B07F1" w:rsidP="0053059D">
            <w:pPr>
              <w:widowControl/>
              <w:jc w:val="center"/>
              <w:rPr>
                <w:color w:val="000000"/>
                <w:sz w:val="20"/>
              </w:rPr>
            </w:pPr>
            <w:r>
              <w:rPr>
                <w:color w:val="000000"/>
                <w:sz w:val="20"/>
              </w:rPr>
              <w:t>9</w:t>
            </w:r>
          </w:p>
        </w:tc>
        <w:tc>
          <w:tcPr>
            <w:tcW w:w="1028" w:type="dxa"/>
            <w:shd w:val="clear" w:color="auto" w:fill="auto"/>
            <w:vAlign w:val="center"/>
            <w:hideMark/>
          </w:tcPr>
          <w:p w14:paraId="741DFCAB" w14:textId="77777777" w:rsidR="009B07F1" w:rsidRPr="008C475E" w:rsidRDefault="009B07F1" w:rsidP="0053059D">
            <w:pPr>
              <w:widowControl/>
              <w:jc w:val="center"/>
              <w:rPr>
                <w:color w:val="000000"/>
                <w:sz w:val="20"/>
              </w:rPr>
            </w:pPr>
            <w:r>
              <w:rPr>
                <w:color w:val="000000"/>
                <w:sz w:val="20"/>
              </w:rPr>
              <w:t>17</w:t>
            </w:r>
          </w:p>
        </w:tc>
        <w:tc>
          <w:tcPr>
            <w:tcW w:w="1541" w:type="dxa"/>
            <w:vAlign w:val="center"/>
          </w:tcPr>
          <w:p w14:paraId="741DFCAC" w14:textId="77777777" w:rsidR="009B07F1" w:rsidRPr="008C475E" w:rsidRDefault="009B07F1" w:rsidP="0053059D">
            <w:pPr>
              <w:widowControl/>
              <w:jc w:val="center"/>
              <w:rPr>
                <w:color w:val="000000"/>
                <w:sz w:val="20"/>
              </w:rPr>
            </w:pPr>
            <w:r>
              <w:rPr>
                <w:color w:val="000000"/>
                <w:sz w:val="20"/>
              </w:rPr>
              <w:t>153</w:t>
            </w:r>
          </w:p>
        </w:tc>
        <w:tc>
          <w:tcPr>
            <w:tcW w:w="1541" w:type="dxa"/>
            <w:vAlign w:val="center"/>
          </w:tcPr>
          <w:p w14:paraId="741DFCAD" w14:textId="77777777" w:rsidR="009B07F1" w:rsidRPr="008C475E" w:rsidRDefault="009B07F1" w:rsidP="0053059D">
            <w:pPr>
              <w:widowControl/>
              <w:jc w:val="center"/>
              <w:rPr>
                <w:color w:val="000000"/>
                <w:sz w:val="20"/>
              </w:rPr>
            </w:pPr>
            <w:r w:rsidRPr="008C475E">
              <w:rPr>
                <w:color w:val="000000"/>
                <w:sz w:val="20"/>
              </w:rPr>
              <w:t>$3</w:t>
            </w:r>
            <w:r>
              <w:rPr>
                <w:color w:val="000000"/>
                <w:sz w:val="20"/>
              </w:rPr>
              <w:t>6.60</w:t>
            </w:r>
          </w:p>
        </w:tc>
        <w:tc>
          <w:tcPr>
            <w:tcW w:w="1541" w:type="dxa"/>
            <w:shd w:val="clear" w:color="auto" w:fill="auto"/>
            <w:vAlign w:val="center"/>
            <w:hideMark/>
          </w:tcPr>
          <w:p w14:paraId="741DFCAE" w14:textId="77777777" w:rsidR="009B07F1" w:rsidRPr="008C475E" w:rsidRDefault="009B07F1" w:rsidP="0053059D">
            <w:pPr>
              <w:widowControl/>
              <w:jc w:val="center"/>
              <w:rPr>
                <w:color w:val="000000"/>
                <w:sz w:val="20"/>
              </w:rPr>
            </w:pPr>
            <w:r w:rsidRPr="008C475E">
              <w:rPr>
                <w:color w:val="000000"/>
                <w:sz w:val="20"/>
              </w:rPr>
              <w:t>$</w:t>
            </w:r>
            <w:r>
              <w:rPr>
                <w:color w:val="000000"/>
                <w:sz w:val="20"/>
              </w:rPr>
              <w:t>5</w:t>
            </w:r>
            <w:r w:rsidRPr="008C475E">
              <w:rPr>
                <w:color w:val="000000"/>
                <w:sz w:val="20"/>
              </w:rPr>
              <w:t>,</w:t>
            </w:r>
            <w:r>
              <w:rPr>
                <w:color w:val="000000"/>
                <w:sz w:val="20"/>
              </w:rPr>
              <w:t>600</w:t>
            </w:r>
          </w:p>
        </w:tc>
      </w:tr>
      <w:tr w:rsidR="009B07F1" w:rsidRPr="008C475E" w14:paraId="741DFCB6" w14:textId="77777777" w:rsidTr="0053059D">
        <w:trPr>
          <w:trHeight w:val="460"/>
          <w:jc w:val="center"/>
        </w:trPr>
        <w:tc>
          <w:tcPr>
            <w:tcW w:w="3876" w:type="dxa"/>
            <w:gridSpan w:val="2"/>
            <w:shd w:val="clear" w:color="auto" w:fill="auto"/>
            <w:vAlign w:val="center"/>
            <w:hideMark/>
          </w:tcPr>
          <w:p w14:paraId="741DFCB0" w14:textId="77777777" w:rsidR="009B07F1" w:rsidRPr="008C475E" w:rsidRDefault="009B07F1" w:rsidP="0053059D">
            <w:pPr>
              <w:widowControl/>
              <w:jc w:val="both"/>
              <w:rPr>
                <w:bCs/>
                <w:color w:val="000000"/>
                <w:sz w:val="20"/>
              </w:rPr>
            </w:pPr>
            <w:r>
              <w:rPr>
                <w:bCs/>
                <w:color w:val="000000"/>
                <w:sz w:val="20"/>
              </w:rPr>
              <w:t>Branch Chief</w:t>
            </w:r>
            <w:r w:rsidRPr="008C475E">
              <w:rPr>
                <w:bCs/>
                <w:color w:val="000000"/>
                <w:sz w:val="20"/>
              </w:rPr>
              <w:t xml:space="preserve"> </w:t>
            </w:r>
            <w:r>
              <w:rPr>
                <w:bCs/>
                <w:color w:val="000000"/>
                <w:sz w:val="20"/>
              </w:rPr>
              <w:t xml:space="preserve"> </w:t>
            </w:r>
            <w:r w:rsidRPr="008C475E">
              <w:rPr>
                <w:bCs/>
                <w:color w:val="000000"/>
                <w:sz w:val="20"/>
              </w:rPr>
              <w:t>(GS-1</w:t>
            </w:r>
            <w:r>
              <w:rPr>
                <w:bCs/>
                <w:color w:val="000000"/>
                <w:sz w:val="20"/>
              </w:rPr>
              <w:t>4</w:t>
            </w:r>
            <w:r w:rsidRPr="008C475E">
              <w:rPr>
                <w:bCs/>
                <w:color w:val="000000"/>
                <w:sz w:val="20"/>
              </w:rPr>
              <w:t>/1)</w:t>
            </w:r>
          </w:p>
        </w:tc>
        <w:tc>
          <w:tcPr>
            <w:tcW w:w="1422" w:type="dxa"/>
            <w:vAlign w:val="center"/>
          </w:tcPr>
          <w:p w14:paraId="741DFCB1" w14:textId="77777777" w:rsidR="009B07F1" w:rsidRPr="008C475E" w:rsidRDefault="009B07F1" w:rsidP="0053059D">
            <w:pPr>
              <w:widowControl/>
              <w:jc w:val="center"/>
              <w:rPr>
                <w:color w:val="000000"/>
                <w:sz w:val="20"/>
              </w:rPr>
            </w:pPr>
            <w:r>
              <w:rPr>
                <w:color w:val="000000"/>
                <w:sz w:val="20"/>
              </w:rPr>
              <w:t>9</w:t>
            </w:r>
          </w:p>
        </w:tc>
        <w:tc>
          <w:tcPr>
            <w:tcW w:w="1028" w:type="dxa"/>
            <w:shd w:val="clear" w:color="auto" w:fill="auto"/>
            <w:vAlign w:val="center"/>
            <w:hideMark/>
          </w:tcPr>
          <w:p w14:paraId="741DFCB2" w14:textId="77777777" w:rsidR="009B07F1" w:rsidRPr="008C475E" w:rsidRDefault="009B07F1" w:rsidP="0053059D">
            <w:pPr>
              <w:widowControl/>
              <w:jc w:val="center"/>
              <w:rPr>
                <w:color w:val="000000"/>
                <w:sz w:val="20"/>
              </w:rPr>
            </w:pPr>
            <w:r>
              <w:rPr>
                <w:color w:val="000000"/>
                <w:sz w:val="20"/>
              </w:rPr>
              <w:t>2</w:t>
            </w:r>
          </w:p>
        </w:tc>
        <w:tc>
          <w:tcPr>
            <w:tcW w:w="1541" w:type="dxa"/>
            <w:vAlign w:val="center"/>
          </w:tcPr>
          <w:p w14:paraId="741DFCB3" w14:textId="77777777" w:rsidR="009B07F1" w:rsidRPr="008C475E" w:rsidRDefault="009B07F1" w:rsidP="0053059D">
            <w:pPr>
              <w:widowControl/>
              <w:jc w:val="center"/>
              <w:rPr>
                <w:color w:val="000000"/>
                <w:sz w:val="20"/>
              </w:rPr>
            </w:pPr>
            <w:r>
              <w:rPr>
                <w:color w:val="000000"/>
                <w:sz w:val="20"/>
              </w:rPr>
              <w:t>18</w:t>
            </w:r>
          </w:p>
        </w:tc>
        <w:tc>
          <w:tcPr>
            <w:tcW w:w="1541" w:type="dxa"/>
            <w:vAlign w:val="center"/>
          </w:tcPr>
          <w:p w14:paraId="741DFCB4" w14:textId="77777777" w:rsidR="009B07F1" w:rsidRPr="008C475E" w:rsidRDefault="009B07F1" w:rsidP="0053059D">
            <w:pPr>
              <w:widowControl/>
              <w:jc w:val="center"/>
              <w:rPr>
                <w:color w:val="000000"/>
                <w:sz w:val="20"/>
              </w:rPr>
            </w:pPr>
            <w:r w:rsidRPr="008C475E">
              <w:rPr>
                <w:color w:val="000000"/>
                <w:sz w:val="20"/>
              </w:rPr>
              <w:t>$</w:t>
            </w:r>
            <w:r>
              <w:rPr>
                <w:color w:val="000000"/>
                <w:sz w:val="20"/>
              </w:rPr>
              <w:t>51</w:t>
            </w:r>
            <w:r w:rsidRPr="008C475E">
              <w:rPr>
                <w:color w:val="000000"/>
                <w:sz w:val="20"/>
              </w:rPr>
              <w:t>.</w:t>
            </w:r>
            <w:r>
              <w:rPr>
                <w:color w:val="000000"/>
                <w:sz w:val="20"/>
              </w:rPr>
              <w:t>43</w:t>
            </w:r>
          </w:p>
        </w:tc>
        <w:tc>
          <w:tcPr>
            <w:tcW w:w="1541" w:type="dxa"/>
            <w:shd w:val="clear" w:color="auto" w:fill="auto"/>
            <w:vAlign w:val="center"/>
            <w:hideMark/>
          </w:tcPr>
          <w:p w14:paraId="741DFCB5" w14:textId="77777777" w:rsidR="009B07F1" w:rsidRPr="008C475E" w:rsidRDefault="009B07F1" w:rsidP="0053059D">
            <w:pPr>
              <w:widowControl/>
              <w:jc w:val="center"/>
              <w:rPr>
                <w:color w:val="000000"/>
                <w:sz w:val="20"/>
              </w:rPr>
            </w:pPr>
            <w:r w:rsidRPr="008C475E">
              <w:rPr>
                <w:color w:val="000000"/>
                <w:sz w:val="20"/>
              </w:rPr>
              <w:t>$</w:t>
            </w:r>
            <w:r>
              <w:rPr>
                <w:color w:val="000000"/>
                <w:sz w:val="20"/>
              </w:rPr>
              <w:t>926</w:t>
            </w:r>
          </w:p>
        </w:tc>
      </w:tr>
      <w:tr w:rsidR="009B07F1" w:rsidRPr="008C475E" w14:paraId="741DFCBD" w14:textId="77777777" w:rsidTr="0053059D">
        <w:trPr>
          <w:trHeight w:val="460"/>
          <w:jc w:val="center"/>
        </w:trPr>
        <w:tc>
          <w:tcPr>
            <w:tcW w:w="3876" w:type="dxa"/>
            <w:gridSpan w:val="2"/>
            <w:shd w:val="clear" w:color="auto" w:fill="auto"/>
            <w:vAlign w:val="center"/>
          </w:tcPr>
          <w:p w14:paraId="741DFCB7" w14:textId="77777777" w:rsidR="009B07F1" w:rsidRPr="008C475E" w:rsidRDefault="009B07F1" w:rsidP="0053059D">
            <w:pPr>
              <w:widowControl/>
              <w:jc w:val="both"/>
              <w:rPr>
                <w:bCs/>
                <w:color w:val="000000"/>
                <w:sz w:val="20"/>
              </w:rPr>
            </w:pPr>
            <w:r>
              <w:rPr>
                <w:bCs/>
                <w:color w:val="000000"/>
                <w:sz w:val="20"/>
              </w:rPr>
              <w:t>Division Director (GS-15/1)</w:t>
            </w:r>
          </w:p>
        </w:tc>
        <w:tc>
          <w:tcPr>
            <w:tcW w:w="1422" w:type="dxa"/>
            <w:vAlign w:val="center"/>
          </w:tcPr>
          <w:p w14:paraId="741DFCB8" w14:textId="77777777" w:rsidR="009B07F1" w:rsidRDefault="009B07F1" w:rsidP="0053059D">
            <w:pPr>
              <w:widowControl/>
              <w:jc w:val="center"/>
              <w:rPr>
                <w:color w:val="000000"/>
                <w:sz w:val="20"/>
              </w:rPr>
            </w:pPr>
            <w:r>
              <w:rPr>
                <w:color w:val="000000"/>
                <w:sz w:val="20"/>
              </w:rPr>
              <w:t>9</w:t>
            </w:r>
          </w:p>
        </w:tc>
        <w:tc>
          <w:tcPr>
            <w:tcW w:w="1028" w:type="dxa"/>
            <w:shd w:val="clear" w:color="auto" w:fill="auto"/>
            <w:vAlign w:val="center"/>
          </w:tcPr>
          <w:p w14:paraId="741DFCB9" w14:textId="77777777" w:rsidR="009B07F1" w:rsidRPr="008C475E" w:rsidRDefault="009B07F1" w:rsidP="0053059D">
            <w:pPr>
              <w:widowControl/>
              <w:jc w:val="center"/>
              <w:rPr>
                <w:color w:val="000000"/>
                <w:sz w:val="20"/>
              </w:rPr>
            </w:pPr>
            <w:r>
              <w:rPr>
                <w:color w:val="000000"/>
                <w:sz w:val="20"/>
              </w:rPr>
              <w:t>1</w:t>
            </w:r>
          </w:p>
        </w:tc>
        <w:tc>
          <w:tcPr>
            <w:tcW w:w="1541" w:type="dxa"/>
            <w:vAlign w:val="center"/>
          </w:tcPr>
          <w:p w14:paraId="741DFCBA" w14:textId="77777777" w:rsidR="009B07F1" w:rsidRPr="008C475E" w:rsidRDefault="009B07F1" w:rsidP="0053059D">
            <w:pPr>
              <w:widowControl/>
              <w:jc w:val="center"/>
              <w:rPr>
                <w:color w:val="000000"/>
                <w:sz w:val="20"/>
              </w:rPr>
            </w:pPr>
            <w:r>
              <w:rPr>
                <w:color w:val="000000"/>
                <w:sz w:val="20"/>
              </w:rPr>
              <w:t>9</w:t>
            </w:r>
          </w:p>
        </w:tc>
        <w:tc>
          <w:tcPr>
            <w:tcW w:w="1541" w:type="dxa"/>
            <w:vAlign w:val="center"/>
          </w:tcPr>
          <w:p w14:paraId="741DFCBB" w14:textId="77777777" w:rsidR="009B07F1" w:rsidRPr="008C475E" w:rsidRDefault="009B07F1" w:rsidP="0053059D">
            <w:pPr>
              <w:widowControl/>
              <w:jc w:val="center"/>
              <w:rPr>
                <w:color w:val="000000"/>
                <w:sz w:val="20"/>
              </w:rPr>
            </w:pPr>
            <w:r>
              <w:rPr>
                <w:color w:val="000000"/>
                <w:sz w:val="20"/>
              </w:rPr>
              <w:t>$60.49</w:t>
            </w:r>
          </w:p>
        </w:tc>
        <w:tc>
          <w:tcPr>
            <w:tcW w:w="1541" w:type="dxa"/>
            <w:shd w:val="clear" w:color="auto" w:fill="auto"/>
            <w:vAlign w:val="center"/>
          </w:tcPr>
          <w:p w14:paraId="741DFCBC" w14:textId="77777777" w:rsidR="009B07F1" w:rsidRPr="008C475E" w:rsidRDefault="009B07F1" w:rsidP="0053059D">
            <w:pPr>
              <w:widowControl/>
              <w:jc w:val="center"/>
              <w:rPr>
                <w:color w:val="000000"/>
                <w:sz w:val="20"/>
              </w:rPr>
            </w:pPr>
            <w:r>
              <w:rPr>
                <w:color w:val="000000"/>
                <w:sz w:val="20"/>
              </w:rPr>
              <w:t>$544</w:t>
            </w:r>
          </w:p>
        </w:tc>
      </w:tr>
      <w:tr w:rsidR="009B07F1" w:rsidRPr="008C475E" w14:paraId="741DFCC1" w14:textId="77777777" w:rsidTr="0053059D">
        <w:trPr>
          <w:trHeight w:val="330"/>
          <w:jc w:val="center"/>
        </w:trPr>
        <w:tc>
          <w:tcPr>
            <w:tcW w:w="1541" w:type="dxa"/>
          </w:tcPr>
          <w:p w14:paraId="741DFCBE" w14:textId="77777777" w:rsidR="009B07F1" w:rsidRPr="008C475E" w:rsidRDefault="009B07F1" w:rsidP="0053059D">
            <w:pPr>
              <w:widowControl/>
              <w:rPr>
                <w:b/>
                <w:bCs/>
                <w:color w:val="000000"/>
                <w:sz w:val="20"/>
              </w:rPr>
            </w:pPr>
          </w:p>
        </w:tc>
        <w:tc>
          <w:tcPr>
            <w:tcW w:w="7867" w:type="dxa"/>
            <w:gridSpan w:val="5"/>
            <w:shd w:val="clear" w:color="auto" w:fill="auto"/>
          </w:tcPr>
          <w:p w14:paraId="741DFCBF" w14:textId="77777777" w:rsidR="009B07F1" w:rsidRPr="008C475E" w:rsidRDefault="00143542" w:rsidP="0053059D">
            <w:pPr>
              <w:widowControl/>
              <w:rPr>
                <w:b/>
                <w:color w:val="000000"/>
                <w:sz w:val="20"/>
              </w:rPr>
            </w:pPr>
            <w:r>
              <w:rPr>
                <w:b/>
                <w:bCs/>
                <w:color w:val="000000"/>
                <w:sz w:val="20"/>
              </w:rPr>
              <w:t>Total</w:t>
            </w:r>
          </w:p>
        </w:tc>
        <w:tc>
          <w:tcPr>
            <w:tcW w:w="1541" w:type="dxa"/>
            <w:shd w:val="clear" w:color="auto" w:fill="auto"/>
            <w:vAlign w:val="center"/>
          </w:tcPr>
          <w:p w14:paraId="741DFCC0" w14:textId="77777777" w:rsidR="009B07F1" w:rsidRPr="008C475E" w:rsidRDefault="009B07F1" w:rsidP="0053059D">
            <w:pPr>
              <w:widowControl/>
              <w:jc w:val="center"/>
              <w:rPr>
                <w:b/>
                <w:color w:val="000000"/>
                <w:sz w:val="20"/>
              </w:rPr>
            </w:pPr>
            <w:r w:rsidRPr="008C475E">
              <w:rPr>
                <w:b/>
                <w:color w:val="000000"/>
                <w:sz w:val="20"/>
              </w:rPr>
              <w:t>$</w:t>
            </w:r>
            <w:r>
              <w:rPr>
                <w:b/>
                <w:color w:val="000000"/>
                <w:sz w:val="20"/>
              </w:rPr>
              <w:t>7,070</w:t>
            </w:r>
          </w:p>
        </w:tc>
      </w:tr>
    </w:tbl>
    <w:p w14:paraId="741DFCC2" w14:textId="77777777" w:rsidR="00ED28F2" w:rsidRPr="0056552B" w:rsidRDefault="00ED28F2" w:rsidP="00ED28F2">
      <w:pPr>
        <w:tabs>
          <w:tab w:val="left" w:pos="-720"/>
        </w:tabs>
        <w:suppressAutoHyphens/>
        <w:spacing w:line="480" w:lineRule="auto"/>
      </w:pPr>
    </w:p>
    <w:p w14:paraId="741DFCC3" w14:textId="77777777" w:rsidR="000438E8" w:rsidRPr="0056552B" w:rsidRDefault="000438E8" w:rsidP="0062567E">
      <w:pPr>
        <w:pStyle w:val="Heading1"/>
      </w:pPr>
      <w:bookmarkStart w:id="31" w:name="_Toc401831371"/>
      <w:bookmarkStart w:id="32" w:name="_Toc401832415"/>
      <w:r w:rsidRPr="0056552B">
        <w:t xml:space="preserve">A15.  </w:t>
      </w:r>
      <w:proofErr w:type="gramStart"/>
      <w:r w:rsidR="00C619D0" w:rsidRPr="0056552B">
        <w:t xml:space="preserve">Explanation of </w:t>
      </w:r>
      <w:r w:rsidR="00E0371E" w:rsidRPr="0056552B">
        <w:t xml:space="preserve">program </w:t>
      </w:r>
      <w:r w:rsidR="00C619D0" w:rsidRPr="0056552B">
        <w:t>changes or adjustments</w:t>
      </w:r>
      <w:r w:rsidR="005E0A1A" w:rsidRPr="0056552B">
        <w:t>.</w:t>
      </w:r>
      <w:bookmarkEnd w:id="31"/>
      <w:bookmarkEnd w:id="32"/>
      <w:proofErr w:type="gramEnd"/>
    </w:p>
    <w:p w14:paraId="741DFCC4" w14:textId="77777777" w:rsidR="0062567E" w:rsidRPr="0056552B" w:rsidRDefault="0062567E" w:rsidP="0062567E">
      <w:pPr>
        <w:tabs>
          <w:tab w:val="left" w:pos="0"/>
        </w:tabs>
        <w:suppressAutoHyphens/>
        <w:jc w:val="center"/>
        <w:rPr>
          <w:b/>
        </w:rPr>
      </w:pPr>
    </w:p>
    <w:p w14:paraId="741DFCC5" w14:textId="77777777" w:rsidR="0062567E" w:rsidRPr="0056552B" w:rsidRDefault="0062567E" w:rsidP="0062567E">
      <w:pPr>
        <w:pStyle w:val="ListParagraph"/>
        <w:widowControl/>
        <w:spacing w:line="360" w:lineRule="auto"/>
        <w:ind w:left="0"/>
        <w:rPr>
          <w:b/>
        </w:rPr>
      </w:pPr>
      <w:r w:rsidRPr="0056552B">
        <w:rPr>
          <w:b/>
        </w:rPr>
        <w:t>Explain the reasons for any program changes or adjustments reported in Items 13 or 14 of the OMB Form 83-</w:t>
      </w:r>
      <w:r w:rsidR="00ED28F2" w:rsidRPr="0056552B">
        <w:rPr>
          <w:b/>
        </w:rPr>
        <w:t>I</w:t>
      </w:r>
      <w:r w:rsidRPr="0056552B">
        <w:rPr>
          <w:b/>
        </w:rPr>
        <w:t>.</w:t>
      </w:r>
    </w:p>
    <w:p w14:paraId="741DFCC6" w14:textId="77777777" w:rsidR="00ED28F2" w:rsidRPr="0056552B" w:rsidRDefault="00ED28F2" w:rsidP="00ED28F2">
      <w:pPr>
        <w:tabs>
          <w:tab w:val="left" w:pos="-720"/>
        </w:tabs>
        <w:suppressAutoHyphens/>
      </w:pPr>
    </w:p>
    <w:p w14:paraId="741DFCC7" w14:textId="77777777" w:rsidR="00ED28F2" w:rsidRPr="0056552B" w:rsidRDefault="007462DD" w:rsidP="005D1B93">
      <w:pPr>
        <w:tabs>
          <w:tab w:val="left" w:pos="-720"/>
        </w:tabs>
        <w:suppressAutoHyphens/>
        <w:spacing w:line="360" w:lineRule="auto"/>
      </w:pPr>
      <w:r>
        <w:t xml:space="preserve">This is a new information collection request that will add </w:t>
      </w:r>
      <w:r w:rsidR="00877B3E">
        <w:t xml:space="preserve">388 </w:t>
      </w:r>
      <w:r>
        <w:t xml:space="preserve">burden hours for FNS burden inventory.  </w:t>
      </w:r>
    </w:p>
    <w:p w14:paraId="741DFCC8" w14:textId="77777777" w:rsidR="006B4BFE" w:rsidRPr="0056552B" w:rsidRDefault="006B4BFE" w:rsidP="000438E8">
      <w:pPr>
        <w:tabs>
          <w:tab w:val="left" w:pos="0"/>
        </w:tabs>
        <w:suppressAutoHyphens/>
      </w:pPr>
    </w:p>
    <w:p w14:paraId="741DFCC9" w14:textId="77777777" w:rsidR="00A308DB" w:rsidRPr="0056552B" w:rsidRDefault="000438E8" w:rsidP="0062567E">
      <w:pPr>
        <w:pStyle w:val="Heading1"/>
      </w:pPr>
      <w:bookmarkStart w:id="33" w:name="_Toc401831372"/>
      <w:bookmarkStart w:id="34" w:name="_Toc401832416"/>
      <w:r w:rsidRPr="0056552B">
        <w:t xml:space="preserve">A16.  </w:t>
      </w:r>
      <w:proofErr w:type="gramStart"/>
      <w:r w:rsidR="00842E02" w:rsidRPr="0056552B">
        <w:t>Plans</w:t>
      </w:r>
      <w:r w:rsidRPr="0056552B">
        <w:t xml:space="preserve"> for tabulation, and publication</w:t>
      </w:r>
      <w:r w:rsidR="00842E02" w:rsidRPr="0056552B">
        <w:t xml:space="preserve"> and project time schedule</w:t>
      </w:r>
      <w:r w:rsidRPr="0056552B">
        <w:t>.</w:t>
      </w:r>
      <w:bookmarkEnd w:id="33"/>
      <w:bookmarkEnd w:id="34"/>
      <w:proofErr w:type="gramEnd"/>
      <w:r w:rsidRPr="0056552B">
        <w:t xml:space="preserve"> </w:t>
      </w:r>
    </w:p>
    <w:p w14:paraId="741DFCCA" w14:textId="77777777" w:rsidR="00A308DB" w:rsidRPr="0056552B" w:rsidRDefault="00A308DB" w:rsidP="000438E8">
      <w:pPr>
        <w:tabs>
          <w:tab w:val="left" w:pos="0"/>
        </w:tabs>
        <w:suppressAutoHyphens/>
        <w:rPr>
          <w:b/>
        </w:rPr>
      </w:pPr>
    </w:p>
    <w:p w14:paraId="741DFCCB" w14:textId="77777777" w:rsidR="0062567E" w:rsidRPr="0056552B" w:rsidRDefault="0062567E" w:rsidP="0062567E">
      <w:pPr>
        <w:pStyle w:val="ListParagraph"/>
        <w:widowControl/>
        <w:spacing w:line="360" w:lineRule="auto"/>
        <w:ind w:left="0"/>
        <w:rPr>
          <w:b/>
        </w:rPr>
      </w:pPr>
      <w:r w:rsidRPr="0056552B">
        <w:rPr>
          <w:b/>
        </w:rPr>
        <w:t>For collections of information whose results are planned to be published, outline plans for tabulation and publication.</w:t>
      </w:r>
    </w:p>
    <w:p w14:paraId="741DFCCC" w14:textId="77777777" w:rsidR="00ED28F2" w:rsidRPr="0056552B" w:rsidRDefault="00ED28F2" w:rsidP="00ED28F2">
      <w:pPr>
        <w:tabs>
          <w:tab w:val="left" w:pos="-720"/>
        </w:tabs>
        <w:suppressAutoHyphens/>
      </w:pPr>
    </w:p>
    <w:p w14:paraId="741DFCCD" w14:textId="77777777" w:rsidR="00ED28F2" w:rsidRPr="0056552B" w:rsidRDefault="003C089B" w:rsidP="003C089B">
      <w:pPr>
        <w:spacing w:after="240"/>
      </w:pPr>
      <w:r w:rsidRPr="006F0C50">
        <w:t>There are no plans to publish statistical analyses.</w:t>
      </w:r>
    </w:p>
    <w:p w14:paraId="741DFCCE" w14:textId="77777777" w:rsidR="000438E8" w:rsidRPr="0056552B" w:rsidRDefault="000438E8" w:rsidP="000438E8">
      <w:pPr>
        <w:tabs>
          <w:tab w:val="left" w:pos="0"/>
        </w:tabs>
        <w:suppressAutoHyphens/>
      </w:pPr>
    </w:p>
    <w:p w14:paraId="741DFCCF" w14:textId="77777777" w:rsidR="00A308DB" w:rsidRPr="0056552B" w:rsidRDefault="000438E8" w:rsidP="0062567E">
      <w:pPr>
        <w:pStyle w:val="Heading1"/>
      </w:pPr>
      <w:bookmarkStart w:id="35" w:name="_Toc401831373"/>
      <w:bookmarkStart w:id="36" w:name="_Toc401832417"/>
      <w:r w:rsidRPr="0056552B">
        <w:t xml:space="preserve">A17.  </w:t>
      </w:r>
      <w:proofErr w:type="gramStart"/>
      <w:r w:rsidR="001C6CBE" w:rsidRPr="0056552B">
        <w:t>Displaying the OMB Approval Expiration Date.</w:t>
      </w:r>
      <w:bookmarkEnd w:id="35"/>
      <w:bookmarkEnd w:id="36"/>
      <w:proofErr w:type="gramEnd"/>
    </w:p>
    <w:p w14:paraId="741DFCD0" w14:textId="77777777" w:rsidR="0062567E" w:rsidRPr="0056552B" w:rsidRDefault="0062567E" w:rsidP="0062567E">
      <w:pPr>
        <w:pStyle w:val="ListParagraph"/>
        <w:widowControl/>
        <w:spacing w:line="240" w:lineRule="auto"/>
        <w:ind w:left="0"/>
        <w:rPr>
          <w:b/>
        </w:rPr>
      </w:pPr>
    </w:p>
    <w:p w14:paraId="741DFCD1" w14:textId="77777777" w:rsidR="0062567E" w:rsidRPr="0056552B" w:rsidRDefault="0062567E" w:rsidP="0062567E">
      <w:pPr>
        <w:pStyle w:val="ListParagraph"/>
        <w:widowControl/>
        <w:spacing w:line="240" w:lineRule="auto"/>
        <w:ind w:left="0"/>
        <w:rPr>
          <w:b/>
        </w:rPr>
      </w:pPr>
      <w:r w:rsidRPr="0056552B">
        <w:rPr>
          <w:b/>
        </w:rPr>
        <w:t>If seeking approval to not display the expiration date for OMB approval of the information collection, explain the reasons that display would be inappropriate.</w:t>
      </w:r>
    </w:p>
    <w:p w14:paraId="741DFCD2" w14:textId="77777777" w:rsidR="00ED28F2" w:rsidRPr="0056552B" w:rsidRDefault="00ED28F2" w:rsidP="00ED28F2">
      <w:pPr>
        <w:tabs>
          <w:tab w:val="left" w:pos="-720"/>
        </w:tabs>
        <w:suppressAutoHyphens/>
      </w:pPr>
    </w:p>
    <w:p w14:paraId="741DFCD3" w14:textId="77777777" w:rsidR="003C089B" w:rsidRPr="00A83C02" w:rsidRDefault="003C089B" w:rsidP="003C089B">
      <w:pPr>
        <w:rPr>
          <w:spacing w:val="-3"/>
        </w:rPr>
      </w:pPr>
      <w:r w:rsidRPr="00A83C02">
        <w:rPr>
          <w:spacing w:val="-3"/>
        </w:rPr>
        <w:t>The agency plans to display the expiration date for OMB approval of the information collection on all instruments.</w:t>
      </w:r>
    </w:p>
    <w:p w14:paraId="741DFCD4" w14:textId="77777777" w:rsidR="000438E8" w:rsidRPr="0056552B" w:rsidRDefault="000438E8" w:rsidP="000438E8">
      <w:pPr>
        <w:tabs>
          <w:tab w:val="left" w:pos="0"/>
        </w:tabs>
        <w:suppressAutoHyphens/>
      </w:pPr>
    </w:p>
    <w:p w14:paraId="741DFCD5" w14:textId="77777777" w:rsidR="00A308DB" w:rsidRPr="0056552B" w:rsidRDefault="000438E8" w:rsidP="0062567E">
      <w:pPr>
        <w:pStyle w:val="Heading1"/>
      </w:pPr>
      <w:bookmarkStart w:id="37" w:name="_Toc401831374"/>
      <w:bookmarkStart w:id="38" w:name="_Toc401832418"/>
      <w:r w:rsidRPr="0056552B">
        <w:t xml:space="preserve">A18.  </w:t>
      </w:r>
      <w:proofErr w:type="gramStart"/>
      <w:r w:rsidRPr="0056552B">
        <w:t>Exception</w:t>
      </w:r>
      <w:r w:rsidR="002568E6" w:rsidRPr="0056552B">
        <w:t>s</w:t>
      </w:r>
      <w:r w:rsidRPr="0056552B">
        <w:t xml:space="preserve"> to the certification statement identified in Item 19.</w:t>
      </w:r>
      <w:bookmarkEnd w:id="37"/>
      <w:bookmarkEnd w:id="38"/>
      <w:proofErr w:type="gramEnd"/>
      <w:r w:rsidR="006F346E" w:rsidRPr="0056552B">
        <w:t xml:space="preserve">  </w:t>
      </w:r>
    </w:p>
    <w:p w14:paraId="741DFCD6" w14:textId="77777777" w:rsidR="0062567E" w:rsidRPr="0056552B" w:rsidRDefault="0062567E" w:rsidP="000438E8">
      <w:pPr>
        <w:tabs>
          <w:tab w:val="left" w:pos="0"/>
        </w:tabs>
        <w:suppressAutoHyphens/>
        <w:rPr>
          <w:b/>
        </w:rPr>
      </w:pPr>
    </w:p>
    <w:p w14:paraId="741DFCD7" w14:textId="77777777" w:rsidR="0062567E" w:rsidRPr="0056552B" w:rsidRDefault="0062567E" w:rsidP="000438E8">
      <w:pPr>
        <w:tabs>
          <w:tab w:val="left" w:pos="0"/>
        </w:tabs>
        <w:suppressAutoHyphens/>
        <w:rPr>
          <w:b/>
        </w:rPr>
      </w:pPr>
      <w:r w:rsidRPr="0056552B">
        <w:rPr>
          <w:b/>
        </w:rPr>
        <w:t xml:space="preserve">Explain each exception to the certification statement identified in Item 19 of the </w:t>
      </w:r>
      <w:proofErr w:type="gramStart"/>
      <w:r w:rsidRPr="0056552B">
        <w:rPr>
          <w:b/>
        </w:rPr>
        <w:t>OMB  83</w:t>
      </w:r>
      <w:proofErr w:type="gramEnd"/>
      <w:r w:rsidRPr="0056552B">
        <w:rPr>
          <w:b/>
        </w:rPr>
        <w:t>-I" Certification for Paperwork Reduction Act."</w:t>
      </w:r>
    </w:p>
    <w:p w14:paraId="741DFCD8" w14:textId="77777777" w:rsidR="00ED28F2" w:rsidRPr="0056552B" w:rsidRDefault="00ED28F2" w:rsidP="00ED28F2">
      <w:pPr>
        <w:tabs>
          <w:tab w:val="left" w:pos="-720"/>
        </w:tabs>
        <w:suppressAutoHyphens/>
      </w:pPr>
    </w:p>
    <w:p w14:paraId="741DFCD9" w14:textId="77777777" w:rsidR="00ED28F2" w:rsidRPr="0056552B" w:rsidRDefault="003C089B" w:rsidP="00593776">
      <w:r w:rsidRPr="00A83C02">
        <w:rPr>
          <w:spacing w:val="-3"/>
        </w:rPr>
        <w:t>There are no exceptions to the certification statement.</w:t>
      </w:r>
    </w:p>
    <w:p w14:paraId="741DFCDA" w14:textId="77777777" w:rsidR="006F346E" w:rsidRPr="0056552B" w:rsidRDefault="006F346E" w:rsidP="00ED28F2">
      <w:pPr>
        <w:tabs>
          <w:tab w:val="left" w:pos="0"/>
        </w:tabs>
        <w:suppressAutoHyphens/>
      </w:pPr>
    </w:p>
    <w:sectPr w:rsidR="006F346E" w:rsidRPr="0056552B" w:rsidSect="002568E6">
      <w:footerReference w:type="default" r:id="rId13"/>
      <w:endnotePr>
        <w:numFmt w:val="decimal"/>
      </w:endnotePr>
      <w:pgSz w:w="12240" w:h="15840"/>
      <w:pgMar w:top="1440" w:right="1440" w:bottom="1440" w:left="1440" w:header="1440" w:footer="720" w:gutter="0"/>
      <w:pgNumType w:start="1"/>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EF1104" w15:done="0"/>
  <w15:commentEx w15:paraId="6D63AD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DFCDD" w14:textId="77777777" w:rsidR="009E4B6C" w:rsidRDefault="009E4B6C">
      <w:pPr>
        <w:spacing w:line="20" w:lineRule="exact"/>
      </w:pPr>
    </w:p>
  </w:endnote>
  <w:endnote w:type="continuationSeparator" w:id="0">
    <w:p w14:paraId="741DFCDE" w14:textId="77777777" w:rsidR="009E4B6C" w:rsidRDefault="009E4B6C">
      <w:r>
        <w:t xml:space="preserve"> </w:t>
      </w:r>
    </w:p>
  </w:endnote>
  <w:endnote w:type="continuationNotice" w:id="1">
    <w:p w14:paraId="741DFCDF" w14:textId="77777777" w:rsidR="009E4B6C" w:rsidRDefault="009E4B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noProof/>
      </w:rPr>
    </w:sdtEndPr>
    <w:sdtContent>
      <w:p w14:paraId="741DFCE0" w14:textId="77777777" w:rsidR="009E4B6C" w:rsidRPr="002568E6" w:rsidRDefault="0092068E">
        <w:pPr>
          <w:pStyle w:val="Footer"/>
          <w:jc w:val="center"/>
        </w:pPr>
        <w:r>
          <w:fldChar w:fldCharType="begin"/>
        </w:r>
        <w:r w:rsidR="00103429">
          <w:instrText xml:space="preserve"> PAGE   \* MERGEFORMAT </w:instrText>
        </w:r>
        <w:r>
          <w:fldChar w:fldCharType="separate"/>
        </w:r>
        <w:r w:rsidR="00E71000">
          <w:rPr>
            <w:noProof/>
          </w:rPr>
          <w:t>11</w:t>
        </w:r>
        <w:r>
          <w:rPr>
            <w:noProof/>
          </w:rPr>
          <w:fldChar w:fldCharType="end"/>
        </w:r>
      </w:p>
    </w:sdtContent>
  </w:sdt>
  <w:p w14:paraId="741DFCE1" w14:textId="77777777" w:rsidR="009E4B6C" w:rsidRDefault="009E4B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DFCDB" w14:textId="77777777" w:rsidR="009E4B6C" w:rsidRDefault="009E4B6C">
      <w:r>
        <w:separator/>
      </w:r>
    </w:p>
  </w:footnote>
  <w:footnote w:type="continuationSeparator" w:id="0">
    <w:p w14:paraId="741DFCDC" w14:textId="77777777" w:rsidR="009E4B6C" w:rsidRDefault="009E4B6C">
      <w:r>
        <w:continuationSeparator/>
      </w:r>
    </w:p>
  </w:footnote>
  <w:footnote w:id="1">
    <w:p w14:paraId="741DFCE2" w14:textId="77777777" w:rsidR="009E4B6C" w:rsidRPr="00E378D7" w:rsidRDefault="009E4B6C" w:rsidP="00E244C5">
      <w:pPr>
        <w:pStyle w:val="FootnoteText"/>
        <w:rPr>
          <w:sz w:val="16"/>
          <w:szCs w:val="16"/>
        </w:rPr>
      </w:pPr>
      <w:r w:rsidRPr="00E378D7">
        <w:rPr>
          <w:rStyle w:val="FootnoteReference"/>
          <w:sz w:val="16"/>
          <w:szCs w:val="16"/>
        </w:rPr>
        <w:footnoteRef/>
      </w:r>
      <w:r w:rsidRPr="00E378D7">
        <w:rPr>
          <w:sz w:val="16"/>
          <w:szCs w:val="16"/>
        </w:rPr>
        <w:t xml:space="preserve"> </w:t>
      </w:r>
      <w:hyperlink r:id="rId1" w:history="1">
        <w:r w:rsidRPr="00E378D7">
          <w:rPr>
            <w:rStyle w:val="Hyperlink"/>
            <w:sz w:val="16"/>
            <w:szCs w:val="16"/>
          </w:rPr>
          <w:t>http://www.bls.gov/oes/current/oes119151.htm</w:t>
        </w:r>
      </w:hyperlink>
      <w:r w:rsidRPr="00E378D7">
        <w:rPr>
          <w:sz w:val="16"/>
          <w:szCs w:val="16"/>
        </w:rPr>
        <w:t xml:space="preserve"> </w:t>
      </w:r>
    </w:p>
  </w:footnote>
  <w:footnote w:id="2">
    <w:p w14:paraId="741DFCE3" w14:textId="77777777" w:rsidR="009E4B6C" w:rsidRPr="005719A9" w:rsidRDefault="009E4B6C" w:rsidP="009B07F1">
      <w:pPr>
        <w:pStyle w:val="FootnoteText"/>
      </w:pPr>
      <w:r w:rsidRPr="00E378D7">
        <w:rPr>
          <w:rStyle w:val="FootnoteReference"/>
          <w:sz w:val="16"/>
          <w:szCs w:val="16"/>
        </w:rPr>
        <w:footnoteRef/>
      </w:r>
      <w:r w:rsidRPr="00E378D7">
        <w:rPr>
          <w:sz w:val="16"/>
          <w:szCs w:val="16"/>
        </w:rPr>
        <w:t xml:space="preserve"> Federal General Schedule Salary Table 2015-DCB: </w:t>
      </w:r>
      <w:hyperlink r:id="rId2" w:history="1">
        <w:r w:rsidRPr="00E378D7">
          <w:rPr>
            <w:rStyle w:val="Hyperlink"/>
            <w:sz w:val="16"/>
            <w:szCs w:val="16"/>
          </w:rPr>
          <w:t>http://www.opm.gov/policy-data-oversight/pay-leave/salaries-wages/salary-tables/pdf/2015/DCB_h.pdf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sen, Cory C. EOP/OMB (Intern)">
    <w15:presenceInfo w15:providerId="None" w15:userId="Hansen, Cory C. EOP/OMB (Inter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1E60"/>
    <w:rsid w:val="000145E1"/>
    <w:rsid w:val="00014B4D"/>
    <w:rsid w:val="00015FCF"/>
    <w:rsid w:val="000223C1"/>
    <w:rsid w:val="00022592"/>
    <w:rsid w:val="000234FF"/>
    <w:rsid w:val="00023BFF"/>
    <w:rsid w:val="00027233"/>
    <w:rsid w:val="00032621"/>
    <w:rsid w:val="000329F0"/>
    <w:rsid w:val="000373C7"/>
    <w:rsid w:val="00040653"/>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3F9A"/>
    <w:rsid w:val="0006449A"/>
    <w:rsid w:val="00064754"/>
    <w:rsid w:val="0006609B"/>
    <w:rsid w:val="00070A9C"/>
    <w:rsid w:val="00071ACF"/>
    <w:rsid w:val="00072177"/>
    <w:rsid w:val="00072C97"/>
    <w:rsid w:val="000750F4"/>
    <w:rsid w:val="00075687"/>
    <w:rsid w:val="00075AFC"/>
    <w:rsid w:val="00075D3E"/>
    <w:rsid w:val="00076D3A"/>
    <w:rsid w:val="00080C3F"/>
    <w:rsid w:val="000812F7"/>
    <w:rsid w:val="000814FD"/>
    <w:rsid w:val="00084B36"/>
    <w:rsid w:val="00086831"/>
    <w:rsid w:val="000872E4"/>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279D"/>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3429"/>
    <w:rsid w:val="001052BD"/>
    <w:rsid w:val="0010698D"/>
    <w:rsid w:val="00110773"/>
    <w:rsid w:val="0011581E"/>
    <w:rsid w:val="00115E73"/>
    <w:rsid w:val="001170E4"/>
    <w:rsid w:val="00117A58"/>
    <w:rsid w:val="00120E7F"/>
    <w:rsid w:val="00121633"/>
    <w:rsid w:val="00122007"/>
    <w:rsid w:val="0012249E"/>
    <w:rsid w:val="00122F6E"/>
    <w:rsid w:val="0012531F"/>
    <w:rsid w:val="00127364"/>
    <w:rsid w:val="00130FB4"/>
    <w:rsid w:val="00132EF8"/>
    <w:rsid w:val="00132F0C"/>
    <w:rsid w:val="0013306C"/>
    <w:rsid w:val="001334EF"/>
    <w:rsid w:val="0013469F"/>
    <w:rsid w:val="001363FB"/>
    <w:rsid w:val="00143411"/>
    <w:rsid w:val="00143542"/>
    <w:rsid w:val="0014383A"/>
    <w:rsid w:val="00143852"/>
    <w:rsid w:val="00145FCB"/>
    <w:rsid w:val="0015139F"/>
    <w:rsid w:val="00151DF5"/>
    <w:rsid w:val="00154D85"/>
    <w:rsid w:val="00156839"/>
    <w:rsid w:val="00157282"/>
    <w:rsid w:val="00160DAC"/>
    <w:rsid w:val="001613F6"/>
    <w:rsid w:val="00165F70"/>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24B5"/>
    <w:rsid w:val="001A63AF"/>
    <w:rsid w:val="001B1683"/>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33CF"/>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5B62"/>
    <w:rsid w:val="00267E64"/>
    <w:rsid w:val="00270D71"/>
    <w:rsid w:val="00272DD6"/>
    <w:rsid w:val="002737E9"/>
    <w:rsid w:val="00274F4F"/>
    <w:rsid w:val="00275494"/>
    <w:rsid w:val="0027695F"/>
    <w:rsid w:val="00283364"/>
    <w:rsid w:val="00287561"/>
    <w:rsid w:val="002900F6"/>
    <w:rsid w:val="002954B1"/>
    <w:rsid w:val="002A0AE4"/>
    <w:rsid w:val="002A1B3D"/>
    <w:rsid w:val="002A7390"/>
    <w:rsid w:val="002B0654"/>
    <w:rsid w:val="002B1D93"/>
    <w:rsid w:val="002B46E1"/>
    <w:rsid w:val="002B4F85"/>
    <w:rsid w:val="002B6214"/>
    <w:rsid w:val="002B6598"/>
    <w:rsid w:val="002C05AC"/>
    <w:rsid w:val="002C2401"/>
    <w:rsid w:val="002C4936"/>
    <w:rsid w:val="002C6748"/>
    <w:rsid w:val="002C7B26"/>
    <w:rsid w:val="002D0DED"/>
    <w:rsid w:val="002D1E33"/>
    <w:rsid w:val="002D47CD"/>
    <w:rsid w:val="002D4DD3"/>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0C7A"/>
    <w:rsid w:val="00333190"/>
    <w:rsid w:val="003333DF"/>
    <w:rsid w:val="00334635"/>
    <w:rsid w:val="0033630C"/>
    <w:rsid w:val="0033721D"/>
    <w:rsid w:val="00341DA8"/>
    <w:rsid w:val="00341DEE"/>
    <w:rsid w:val="00342170"/>
    <w:rsid w:val="00343967"/>
    <w:rsid w:val="0034535B"/>
    <w:rsid w:val="0034537B"/>
    <w:rsid w:val="00345D22"/>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3F12"/>
    <w:rsid w:val="003A4F9D"/>
    <w:rsid w:val="003A556E"/>
    <w:rsid w:val="003A7703"/>
    <w:rsid w:val="003B0FD0"/>
    <w:rsid w:val="003B10E4"/>
    <w:rsid w:val="003B1199"/>
    <w:rsid w:val="003B1ADA"/>
    <w:rsid w:val="003B1D07"/>
    <w:rsid w:val="003B28E2"/>
    <w:rsid w:val="003B4C92"/>
    <w:rsid w:val="003C089B"/>
    <w:rsid w:val="003C2346"/>
    <w:rsid w:val="003C3FCC"/>
    <w:rsid w:val="003C41FC"/>
    <w:rsid w:val="003C5E7D"/>
    <w:rsid w:val="003C646A"/>
    <w:rsid w:val="003C6BDD"/>
    <w:rsid w:val="003D2FA4"/>
    <w:rsid w:val="003D3135"/>
    <w:rsid w:val="003D6927"/>
    <w:rsid w:val="003E0D93"/>
    <w:rsid w:val="003E129B"/>
    <w:rsid w:val="003E2F2D"/>
    <w:rsid w:val="003E64F6"/>
    <w:rsid w:val="003F1EBD"/>
    <w:rsid w:val="003F7EFD"/>
    <w:rsid w:val="004000FA"/>
    <w:rsid w:val="00400754"/>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384"/>
    <w:rsid w:val="00477E91"/>
    <w:rsid w:val="00483781"/>
    <w:rsid w:val="00483CCC"/>
    <w:rsid w:val="00483F2C"/>
    <w:rsid w:val="00487F87"/>
    <w:rsid w:val="0049385D"/>
    <w:rsid w:val="00494A82"/>
    <w:rsid w:val="004A2D34"/>
    <w:rsid w:val="004A2F08"/>
    <w:rsid w:val="004A48CA"/>
    <w:rsid w:val="004A4F79"/>
    <w:rsid w:val="004A543C"/>
    <w:rsid w:val="004A6286"/>
    <w:rsid w:val="004A6581"/>
    <w:rsid w:val="004B46EC"/>
    <w:rsid w:val="004B6764"/>
    <w:rsid w:val="004C2E49"/>
    <w:rsid w:val="004C50AE"/>
    <w:rsid w:val="004C615B"/>
    <w:rsid w:val="004C69A7"/>
    <w:rsid w:val="004D04AD"/>
    <w:rsid w:val="004D0866"/>
    <w:rsid w:val="004D1FDB"/>
    <w:rsid w:val="004D3638"/>
    <w:rsid w:val="004D3867"/>
    <w:rsid w:val="004D4387"/>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3FC5"/>
    <w:rsid w:val="00505C81"/>
    <w:rsid w:val="00506D32"/>
    <w:rsid w:val="005072CD"/>
    <w:rsid w:val="00510518"/>
    <w:rsid w:val="0051085D"/>
    <w:rsid w:val="00511375"/>
    <w:rsid w:val="00511668"/>
    <w:rsid w:val="00511934"/>
    <w:rsid w:val="00512C6B"/>
    <w:rsid w:val="00516D26"/>
    <w:rsid w:val="00520A94"/>
    <w:rsid w:val="005234BE"/>
    <w:rsid w:val="005266CA"/>
    <w:rsid w:val="0053059D"/>
    <w:rsid w:val="005358BC"/>
    <w:rsid w:val="005364A3"/>
    <w:rsid w:val="0053713F"/>
    <w:rsid w:val="00540608"/>
    <w:rsid w:val="00541322"/>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52B"/>
    <w:rsid w:val="00565D5B"/>
    <w:rsid w:val="005674F7"/>
    <w:rsid w:val="00567DE7"/>
    <w:rsid w:val="005721E3"/>
    <w:rsid w:val="00580507"/>
    <w:rsid w:val="005806F1"/>
    <w:rsid w:val="00581E48"/>
    <w:rsid w:val="005827E8"/>
    <w:rsid w:val="00586F6C"/>
    <w:rsid w:val="005912FB"/>
    <w:rsid w:val="005917B8"/>
    <w:rsid w:val="00591AD7"/>
    <w:rsid w:val="00593776"/>
    <w:rsid w:val="005940EB"/>
    <w:rsid w:val="0059545A"/>
    <w:rsid w:val="005955C7"/>
    <w:rsid w:val="00596675"/>
    <w:rsid w:val="005967BB"/>
    <w:rsid w:val="005A0C2E"/>
    <w:rsid w:val="005A3AEF"/>
    <w:rsid w:val="005A3F80"/>
    <w:rsid w:val="005A4F79"/>
    <w:rsid w:val="005A598F"/>
    <w:rsid w:val="005B172E"/>
    <w:rsid w:val="005B2A87"/>
    <w:rsid w:val="005C04BB"/>
    <w:rsid w:val="005C286E"/>
    <w:rsid w:val="005C33B4"/>
    <w:rsid w:val="005C3437"/>
    <w:rsid w:val="005C423C"/>
    <w:rsid w:val="005C50FC"/>
    <w:rsid w:val="005C54B0"/>
    <w:rsid w:val="005C6321"/>
    <w:rsid w:val="005D021A"/>
    <w:rsid w:val="005D1B93"/>
    <w:rsid w:val="005D4603"/>
    <w:rsid w:val="005D532E"/>
    <w:rsid w:val="005D7CF3"/>
    <w:rsid w:val="005E0A1A"/>
    <w:rsid w:val="005E22A5"/>
    <w:rsid w:val="005E292E"/>
    <w:rsid w:val="005E5246"/>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4B93"/>
    <w:rsid w:val="0062567E"/>
    <w:rsid w:val="00626691"/>
    <w:rsid w:val="00630C90"/>
    <w:rsid w:val="0063244C"/>
    <w:rsid w:val="00634425"/>
    <w:rsid w:val="00634E66"/>
    <w:rsid w:val="0063688D"/>
    <w:rsid w:val="00636919"/>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0CE4"/>
    <w:rsid w:val="00673E6A"/>
    <w:rsid w:val="00675EDB"/>
    <w:rsid w:val="00676E4D"/>
    <w:rsid w:val="00677034"/>
    <w:rsid w:val="0068067E"/>
    <w:rsid w:val="00682090"/>
    <w:rsid w:val="0068319C"/>
    <w:rsid w:val="006840B7"/>
    <w:rsid w:val="00686481"/>
    <w:rsid w:val="00686BB3"/>
    <w:rsid w:val="00687C66"/>
    <w:rsid w:val="006929FB"/>
    <w:rsid w:val="00694161"/>
    <w:rsid w:val="00694A12"/>
    <w:rsid w:val="00695911"/>
    <w:rsid w:val="00696634"/>
    <w:rsid w:val="0069768C"/>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C09"/>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6646"/>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2DD"/>
    <w:rsid w:val="0074676D"/>
    <w:rsid w:val="00746993"/>
    <w:rsid w:val="00747267"/>
    <w:rsid w:val="007505B0"/>
    <w:rsid w:val="00751946"/>
    <w:rsid w:val="00751F3C"/>
    <w:rsid w:val="007532C9"/>
    <w:rsid w:val="007532FF"/>
    <w:rsid w:val="00754981"/>
    <w:rsid w:val="00756119"/>
    <w:rsid w:val="00760434"/>
    <w:rsid w:val="00761119"/>
    <w:rsid w:val="00761877"/>
    <w:rsid w:val="00763D19"/>
    <w:rsid w:val="00764AB6"/>
    <w:rsid w:val="007704A9"/>
    <w:rsid w:val="00772867"/>
    <w:rsid w:val="00772B26"/>
    <w:rsid w:val="0077330C"/>
    <w:rsid w:val="00776D16"/>
    <w:rsid w:val="007825ED"/>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77B3E"/>
    <w:rsid w:val="0088245A"/>
    <w:rsid w:val="008832DB"/>
    <w:rsid w:val="00884B5C"/>
    <w:rsid w:val="0088500E"/>
    <w:rsid w:val="00886AC1"/>
    <w:rsid w:val="008876AB"/>
    <w:rsid w:val="008902F1"/>
    <w:rsid w:val="008915FB"/>
    <w:rsid w:val="0089577E"/>
    <w:rsid w:val="00895CB0"/>
    <w:rsid w:val="00897DE4"/>
    <w:rsid w:val="008A1A85"/>
    <w:rsid w:val="008A1F39"/>
    <w:rsid w:val="008A2948"/>
    <w:rsid w:val="008A2B17"/>
    <w:rsid w:val="008A6754"/>
    <w:rsid w:val="008A7380"/>
    <w:rsid w:val="008B0F94"/>
    <w:rsid w:val="008B25E6"/>
    <w:rsid w:val="008B3FDA"/>
    <w:rsid w:val="008B4683"/>
    <w:rsid w:val="008B472E"/>
    <w:rsid w:val="008B57A8"/>
    <w:rsid w:val="008C00B4"/>
    <w:rsid w:val="008C04F4"/>
    <w:rsid w:val="008C1668"/>
    <w:rsid w:val="008C2EB3"/>
    <w:rsid w:val="008C3FAF"/>
    <w:rsid w:val="008C62AD"/>
    <w:rsid w:val="008C6BEB"/>
    <w:rsid w:val="008D1717"/>
    <w:rsid w:val="008D174D"/>
    <w:rsid w:val="008D2E1A"/>
    <w:rsid w:val="008D2FF6"/>
    <w:rsid w:val="008D353A"/>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113"/>
    <w:rsid w:val="00910330"/>
    <w:rsid w:val="00910824"/>
    <w:rsid w:val="00910CCC"/>
    <w:rsid w:val="009141DF"/>
    <w:rsid w:val="00917120"/>
    <w:rsid w:val="009171A0"/>
    <w:rsid w:val="0092068E"/>
    <w:rsid w:val="00920B77"/>
    <w:rsid w:val="00921A94"/>
    <w:rsid w:val="0092248C"/>
    <w:rsid w:val="00922DEC"/>
    <w:rsid w:val="00922FC1"/>
    <w:rsid w:val="009232EE"/>
    <w:rsid w:val="00923F25"/>
    <w:rsid w:val="0092466F"/>
    <w:rsid w:val="00925D56"/>
    <w:rsid w:val="0092640D"/>
    <w:rsid w:val="0092668F"/>
    <w:rsid w:val="00930FCC"/>
    <w:rsid w:val="0093253C"/>
    <w:rsid w:val="009361A2"/>
    <w:rsid w:val="00936A07"/>
    <w:rsid w:val="009379DE"/>
    <w:rsid w:val="0094179F"/>
    <w:rsid w:val="0094287D"/>
    <w:rsid w:val="00944853"/>
    <w:rsid w:val="009500BC"/>
    <w:rsid w:val="009536A2"/>
    <w:rsid w:val="00956D8E"/>
    <w:rsid w:val="009575CF"/>
    <w:rsid w:val="009603EA"/>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07F1"/>
    <w:rsid w:val="009B2E15"/>
    <w:rsid w:val="009B4B0D"/>
    <w:rsid w:val="009B6105"/>
    <w:rsid w:val="009C1A67"/>
    <w:rsid w:val="009C32A5"/>
    <w:rsid w:val="009C419C"/>
    <w:rsid w:val="009C5170"/>
    <w:rsid w:val="009C5B28"/>
    <w:rsid w:val="009C7411"/>
    <w:rsid w:val="009C7F66"/>
    <w:rsid w:val="009D2F27"/>
    <w:rsid w:val="009D5A73"/>
    <w:rsid w:val="009D5B4E"/>
    <w:rsid w:val="009D5C70"/>
    <w:rsid w:val="009D7A98"/>
    <w:rsid w:val="009E07EA"/>
    <w:rsid w:val="009E0DFB"/>
    <w:rsid w:val="009E1059"/>
    <w:rsid w:val="009E120D"/>
    <w:rsid w:val="009E1234"/>
    <w:rsid w:val="009E3311"/>
    <w:rsid w:val="009E4B6C"/>
    <w:rsid w:val="009E6159"/>
    <w:rsid w:val="009F0360"/>
    <w:rsid w:val="009F0786"/>
    <w:rsid w:val="009F0EAB"/>
    <w:rsid w:val="009F104D"/>
    <w:rsid w:val="009F146E"/>
    <w:rsid w:val="009F14CE"/>
    <w:rsid w:val="009F228E"/>
    <w:rsid w:val="009F54AE"/>
    <w:rsid w:val="009F67CC"/>
    <w:rsid w:val="009F7643"/>
    <w:rsid w:val="009F7E1A"/>
    <w:rsid w:val="00A021C3"/>
    <w:rsid w:val="00A033EE"/>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C28"/>
    <w:rsid w:val="00A70E02"/>
    <w:rsid w:val="00A7252E"/>
    <w:rsid w:val="00A73197"/>
    <w:rsid w:val="00A73507"/>
    <w:rsid w:val="00A7459E"/>
    <w:rsid w:val="00A75998"/>
    <w:rsid w:val="00A76669"/>
    <w:rsid w:val="00A7688B"/>
    <w:rsid w:val="00A81B52"/>
    <w:rsid w:val="00A82AA1"/>
    <w:rsid w:val="00A82BB4"/>
    <w:rsid w:val="00A83FB0"/>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23A2F"/>
    <w:rsid w:val="00B303B9"/>
    <w:rsid w:val="00B30A20"/>
    <w:rsid w:val="00B335C9"/>
    <w:rsid w:val="00B33FB9"/>
    <w:rsid w:val="00B35F66"/>
    <w:rsid w:val="00B36D92"/>
    <w:rsid w:val="00B40E2C"/>
    <w:rsid w:val="00B410B9"/>
    <w:rsid w:val="00B4117A"/>
    <w:rsid w:val="00B42633"/>
    <w:rsid w:val="00B42A4C"/>
    <w:rsid w:val="00B44520"/>
    <w:rsid w:val="00B45036"/>
    <w:rsid w:val="00B45D3A"/>
    <w:rsid w:val="00B46119"/>
    <w:rsid w:val="00B46CFC"/>
    <w:rsid w:val="00B5016E"/>
    <w:rsid w:val="00B502BF"/>
    <w:rsid w:val="00B52C79"/>
    <w:rsid w:val="00B534DA"/>
    <w:rsid w:val="00B55CA4"/>
    <w:rsid w:val="00B616CD"/>
    <w:rsid w:val="00B62726"/>
    <w:rsid w:val="00B6562C"/>
    <w:rsid w:val="00B677F2"/>
    <w:rsid w:val="00B73492"/>
    <w:rsid w:val="00B77958"/>
    <w:rsid w:val="00B77C3D"/>
    <w:rsid w:val="00B815F9"/>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5B19"/>
    <w:rsid w:val="00BB6B52"/>
    <w:rsid w:val="00BC1F50"/>
    <w:rsid w:val="00BC207F"/>
    <w:rsid w:val="00BC20D1"/>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692E"/>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0EB8"/>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3EE6"/>
    <w:rsid w:val="00CA5F04"/>
    <w:rsid w:val="00CA61A0"/>
    <w:rsid w:val="00CB022F"/>
    <w:rsid w:val="00CB462E"/>
    <w:rsid w:val="00CB4BAA"/>
    <w:rsid w:val="00CC03DA"/>
    <w:rsid w:val="00CC3B51"/>
    <w:rsid w:val="00CC400E"/>
    <w:rsid w:val="00CC5EE3"/>
    <w:rsid w:val="00CC78E0"/>
    <w:rsid w:val="00CC7D21"/>
    <w:rsid w:val="00CD11B6"/>
    <w:rsid w:val="00CD4EFE"/>
    <w:rsid w:val="00CD79C1"/>
    <w:rsid w:val="00CE2F33"/>
    <w:rsid w:val="00CE5DF7"/>
    <w:rsid w:val="00CE695B"/>
    <w:rsid w:val="00CE6A3F"/>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461A"/>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0B2"/>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6B6D"/>
    <w:rsid w:val="00DF70D9"/>
    <w:rsid w:val="00E00927"/>
    <w:rsid w:val="00E0371E"/>
    <w:rsid w:val="00E03B56"/>
    <w:rsid w:val="00E06442"/>
    <w:rsid w:val="00E06672"/>
    <w:rsid w:val="00E1019A"/>
    <w:rsid w:val="00E10AB6"/>
    <w:rsid w:val="00E11A38"/>
    <w:rsid w:val="00E13003"/>
    <w:rsid w:val="00E16AF8"/>
    <w:rsid w:val="00E16D1A"/>
    <w:rsid w:val="00E244C5"/>
    <w:rsid w:val="00E24C4B"/>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1000"/>
    <w:rsid w:val="00E724EC"/>
    <w:rsid w:val="00E730BC"/>
    <w:rsid w:val="00E757B4"/>
    <w:rsid w:val="00E779B7"/>
    <w:rsid w:val="00E77A50"/>
    <w:rsid w:val="00E8084A"/>
    <w:rsid w:val="00E810A3"/>
    <w:rsid w:val="00E812B2"/>
    <w:rsid w:val="00E84E10"/>
    <w:rsid w:val="00E905D4"/>
    <w:rsid w:val="00E91FD4"/>
    <w:rsid w:val="00E940F0"/>
    <w:rsid w:val="00E948E4"/>
    <w:rsid w:val="00E94D94"/>
    <w:rsid w:val="00E96345"/>
    <w:rsid w:val="00E96E76"/>
    <w:rsid w:val="00E973BF"/>
    <w:rsid w:val="00E97E45"/>
    <w:rsid w:val="00EA0C3D"/>
    <w:rsid w:val="00EA2F5B"/>
    <w:rsid w:val="00EA369C"/>
    <w:rsid w:val="00EA3C99"/>
    <w:rsid w:val="00EA5021"/>
    <w:rsid w:val="00EA52B6"/>
    <w:rsid w:val="00EA5B71"/>
    <w:rsid w:val="00EA755E"/>
    <w:rsid w:val="00EB0163"/>
    <w:rsid w:val="00EB2A7D"/>
    <w:rsid w:val="00EB3649"/>
    <w:rsid w:val="00EB3985"/>
    <w:rsid w:val="00EB3CC8"/>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EF7359"/>
    <w:rsid w:val="00F00259"/>
    <w:rsid w:val="00F01CCA"/>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2D95"/>
    <w:rsid w:val="00FA37DD"/>
    <w:rsid w:val="00FA5256"/>
    <w:rsid w:val="00FA7727"/>
    <w:rsid w:val="00FB41E1"/>
    <w:rsid w:val="00FB6150"/>
    <w:rsid w:val="00FB7807"/>
    <w:rsid w:val="00FB7AB0"/>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54FE"/>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41D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487F87"/>
    <w:pPr>
      <w:widowControl/>
      <w:spacing w:after="120" w:line="480" w:lineRule="auto"/>
    </w:pPr>
    <w:rPr>
      <w:sz w:val="20"/>
      <w:szCs w:val="20"/>
    </w:rPr>
  </w:style>
  <w:style w:type="character" w:customStyle="1" w:styleId="BodyText2Char">
    <w:name w:val="Body Text 2 Char"/>
    <w:basedOn w:val="DefaultParagraphFont"/>
    <w:link w:val="BodyText2"/>
    <w:rsid w:val="00487F87"/>
    <w:rPr>
      <w:sz w:val="20"/>
      <w:szCs w:val="20"/>
    </w:rPr>
  </w:style>
  <w:style w:type="paragraph" w:styleId="NormalWeb">
    <w:name w:val="Normal (Web)"/>
    <w:basedOn w:val="Normal"/>
    <w:uiPriority w:val="99"/>
    <w:unhideWhenUsed/>
    <w:rsid w:val="005C3437"/>
    <w:pPr>
      <w:widowControl/>
      <w:overflowPunct/>
      <w:autoSpaceDE/>
      <w:autoSpaceDN/>
      <w:adjustRightInd/>
      <w:spacing w:before="100" w:beforeAutospacing="1" w:after="100" w:afterAutospacing="1"/>
      <w:textAlignment w:val="auto"/>
    </w:pPr>
  </w:style>
  <w:style w:type="character" w:customStyle="1" w:styleId="FootnoteTextChar">
    <w:name w:val="Footnote Text Char"/>
    <w:link w:val="FootnoteText"/>
    <w:uiPriority w:val="99"/>
    <w:semiHidden/>
    <w:rsid w:val="009B07F1"/>
  </w:style>
  <w:style w:type="character" w:customStyle="1" w:styleId="CommentTextChar">
    <w:name w:val="Comment Text Char"/>
    <w:link w:val="CommentText"/>
    <w:locked/>
    <w:rsid w:val="00143542"/>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link w:val="FootnoteTextChar"/>
    <w:uiPriority w:val="99"/>
    <w:semiHidden/>
    <w:rsid w:val="00E973BF"/>
  </w:style>
  <w:style w:type="character" w:styleId="FootnoteReference">
    <w:name w:val="footnote reference"/>
    <w:basedOn w:val="DefaultParagraphFont"/>
    <w:uiPriority w:val="99"/>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2">
    <w:name w:val="Body Text 2"/>
    <w:basedOn w:val="Normal"/>
    <w:link w:val="BodyText2Char"/>
    <w:rsid w:val="00487F87"/>
    <w:pPr>
      <w:widowControl/>
      <w:spacing w:after="120" w:line="480" w:lineRule="auto"/>
    </w:pPr>
    <w:rPr>
      <w:sz w:val="20"/>
      <w:szCs w:val="20"/>
    </w:rPr>
  </w:style>
  <w:style w:type="character" w:customStyle="1" w:styleId="BodyText2Char">
    <w:name w:val="Body Text 2 Char"/>
    <w:basedOn w:val="DefaultParagraphFont"/>
    <w:link w:val="BodyText2"/>
    <w:rsid w:val="00487F87"/>
    <w:rPr>
      <w:sz w:val="20"/>
      <w:szCs w:val="20"/>
    </w:rPr>
  </w:style>
  <w:style w:type="paragraph" w:styleId="NormalWeb">
    <w:name w:val="Normal (Web)"/>
    <w:basedOn w:val="Normal"/>
    <w:uiPriority w:val="99"/>
    <w:unhideWhenUsed/>
    <w:rsid w:val="005C3437"/>
    <w:pPr>
      <w:widowControl/>
      <w:overflowPunct/>
      <w:autoSpaceDE/>
      <w:autoSpaceDN/>
      <w:adjustRightInd/>
      <w:spacing w:before="100" w:beforeAutospacing="1" w:after="100" w:afterAutospacing="1"/>
      <w:textAlignment w:val="auto"/>
    </w:pPr>
  </w:style>
  <w:style w:type="character" w:customStyle="1" w:styleId="FootnoteTextChar">
    <w:name w:val="Footnote Text Char"/>
    <w:link w:val="FootnoteText"/>
    <w:uiPriority w:val="99"/>
    <w:semiHidden/>
    <w:rsid w:val="009B07F1"/>
  </w:style>
  <w:style w:type="character" w:customStyle="1" w:styleId="CommentTextChar">
    <w:name w:val="Comment Text Char"/>
    <w:link w:val="CommentText"/>
    <w:locked/>
    <w:rsid w:val="0014354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0510091">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26664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84957656">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opm.gov/policy-data-oversight/pay-leave/salaries-wages/salary-tables/pdf/2015/DCB_h.pdf" TargetMode="External"/><Relationship Id="rId1" Type="http://schemas.openxmlformats.org/officeDocument/2006/relationships/hyperlink" Target="http://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7420-095D-468C-BC80-9E7A41869B57}">
  <ds:schemaRefs>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9dbcbb5a-2d39-43bd-b6c7-d27f844c7fb7"/>
  </ds:schemaRefs>
</ds:datastoreItem>
</file>

<file path=customXml/itemProps2.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3.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4.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E664A27-07F8-4B46-840C-6696D8627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2967</Words>
  <Characters>17950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20876</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Eliot Kriviski</dc:creator>
  <cp:lastModifiedBy>Ragland-Greene, Rachelle - FNS</cp:lastModifiedBy>
  <cp:revision>2</cp:revision>
  <cp:lastPrinted>2013-08-08T14:23:00Z</cp:lastPrinted>
  <dcterms:created xsi:type="dcterms:W3CDTF">2016-12-09T14:56:00Z</dcterms:created>
  <dcterms:modified xsi:type="dcterms:W3CDTF">2016-12-09T14:56:00Z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