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DEF94" w14:textId="31F7D9D6" w:rsidR="00A5264F" w:rsidRPr="0059364E" w:rsidRDefault="00DE08C8" w:rsidP="00DE08C8">
      <w:pPr>
        <w:tabs>
          <w:tab w:val="center" w:pos="4680"/>
        </w:tabs>
        <w:jc w:val="center"/>
        <w:rPr>
          <w:b/>
          <w:sz w:val="24"/>
        </w:rPr>
      </w:pPr>
      <w:bookmarkStart w:id="0" w:name="_GoBack"/>
      <w:bookmarkEnd w:id="0"/>
      <w:r w:rsidRPr="0059364E">
        <w:rPr>
          <w:b/>
          <w:sz w:val="24"/>
        </w:rPr>
        <w:t>201</w:t>
      </w:r>
      <w:r w:rsidR="002E5178" w:rsidRPr="0059364E">
        <w:rPr>
          <w:b/>
          <w:sz w:val="24"/>
        </w:rPr>
        <w:t>6</w:t>
      </w:r>
      <w:r w:rsidRPr="0059364E">
        <w:rPr>
          <w:b/>
          <w:sz w:val="24"/>
        </w:rPr>
        <w:t xml:space="preserve"> </w:t>
      </w:r>
      <w:r w:rsidR="00BF5EB7" w:rsidRPr="0059364E">
        <w:rPr>
          <w:b/>
          <w:sz w:val="24"/>
        </w:rPr>
        <w:t>National Survey of Children's Health</w:t>
      </w:r>
      <w:r w:rsidRPr="0059364E">
        <w:rPr>
          <w:b/>
          <w:sz w:val="24"/>
        </w:rPr>
        <w:t xml:space="preserve">: </w:t>
      </w:r>
    </w:p>
    <w:p w14:paraId="091DEF95" w14:textId="77777777" w:rsidR="00073EE0" w:rsidRPr="0059364E" w:rsidRDefault="00073EE0" w:rsidP="00DE08C8">
      <w:pPr>
        <w:tabs>
          <w:tab w:val="center" w:pos="4680"/>
        </w:tabs>
        <w:jc w:val="center"/>
        <w:rPr>
          <w:b/>
          <w:sz w:val="24"/>
        </w:rPr>
      </w:pPr>
      <w:r w:rsidRPr="0059364E">
        <w:rPr>
          <w:b/>
          <w:sz w:val="24"/>
        </w:rPr>
        <w:t>Request for OMB Review</w:t>
      </w:r>
    </w:p>
    <w:p w14:paraId="091DEF97" w14:textId="77777777" w:rsidR="00073EE0" w:rsidRPr="0059364E" w:rsidRDefault="00073EE0" w:rsidP="0059364E">
      <w:pPr>
        <w:tabs>
          <w:tab w:val="center" w:pos="4680"/>
        </w:tabs>
        <w:jc w:val="center"/>
        <w:rPr>
          <w:b/>
          <w:sz w:val="24"/>
        </w:rPr>
      </w:pPr>
      <w:r w:rsidRPr="0059364E">
        <w:rPr>
          <w:b/>
          <w:sz w:val="24"/>
        </w:rPr>
        <w:t>Supporting Statement A</w:t>
      </w:r>
    </w:p>
    <w:p w14:paraId="091DEF9C" w14:textId="77777777" w:rsidR="00BA1A0C" w:rsidRPr="0059364E" w:rsidRDefault="00BA1A0C" w:rsidP="0059364E">
      <w:pPr>
        <w:tabs>
          <w:tab w:val="center" w:pos="4680"/>
        </w:tabs>
        <w:jc w:val="center"/>
        <w:rPr>
          <w:b/>
          <w:sz w:val="24"/>
        </w:rPr>
      </w:pPr>
      <w:r w:rsidRPr="0059364E">
        <w:rPr>
          <w:b/>
          <w:sz w:val="24"/>
        </w:rPr>
        <w:t xml:space="preserve">OMB Control No. </w:t>
      </w:r>
      <w:r w:rsidR="00DE08C8" w:rsidRPr="0059364E">
        <w:rPr>
          <w:b/>
          <w:sz w:val="24"/>
        </w:rPr>
        <w:t>0607-XXXX</w:t>
      </w:r>
    </w:p>
    <w:p w14:paraId="091DEF9E" w14:textId="77777777" w:rsidR="009B3794" w:rsidRPr="00BA1A0C" w:rsidRDefault="009B3794" w:rsidP="00CE5AA9">
      <w:pPr>
        <w:tabs>
          <w:tab w:val="center" w:pos="4680"/>
        </w:tabs>
        <w:spacing w:before="120"/>
        <w:jc w:val="center"/>
        <w:rPr>
          <w:b/>
          <w:bCs/>
          <w:sz w:val="32"/>
          <w:szCs w:val="32"/>
        </w:rPr>
      </w:pPr>
    </w:p>
    <w:p w14:paraId="091DEF9F" w14:textId="77777777" w:rsidR="009B3794" w:rsidRDefault="00DE3A45" w:rsidP="00CE5AA9">
      <w:pPr>
        <w:spacing w:before="120"/>
        <w:rPr>
          <w:b/>
          <w:sz w:val="24"/>
        </w:rPr>
      </w:pPr>
      <w:r>
        <w:rPr>
          <w:b/>
          <w:sz w:val="24"/>
        </w:rPr>
        <w:t>Terms of Clearance</w:t>
      </w:r>
      <w:r w:rsidR="00BA1A0C" w:rsidRPr="00BA1A0C">
        <w:rPr>
          <w:b/>
          <w:sz w:val="24"/>
        </w:rPr>
        <w:t>:</w:t>
      </w:r>
      <w:r w:rsidR="00BA1A0C">
        <w:rPr>
          <w:sz w:val="24"/>
        </w:rPr>
        <w:t xml:space="preserve">  </w:t>
      </w:r>
      <w:r w:rsidRPr="00CE5AA9">
        <w:rPr>
          <w:b/>
          <w:sz w:val="24"/>
        </w:rPr>
        <w:t>None</w:t>
      </w:r>
      <w:r w:rsidR="00BA1A0C" w:rsidRPr="00CE5AA9">
        <w:rPr>
          <w:b/>
          <w:sz w:val="24"/>
        </w:rPr>
        <w:t xml:space="preserve"> </w:t>
      </w:r>
    </w:p>
    <w:p w14:paraId="091DEFA0" w14:textId="77777777" w:rsidR="009B3794" w:rsidRPr="00306436" w:rsidRDefault="009B3794" w:rsidP="00306436">
      <w:pPr>
        <w:pStyle w:val="ListParagraph"/>
        <w:numPr>
          <w:ilvl w:val="0"/>
          <w:numId w:val="6"/>
        </w:numPr>
        <w:spacing w:before="120"/>
        <w:ind w:left="360"/>
        <w:rPr>
          <w:b/>
          <w:bCs/>
          <w:sz w:val="24"/>
        </w:rPr>
      </w:pPr>
      <w:r w:rsidRPr="00306436">
        <w:rPr>
          <w:b/>
          <w:bCs/>
          <w:sz w:val="24"/>
        </w:rPr>
        <w:t>Justification</w:t>
      </w:r>
    </w:p>
    <w:p w14:paraId="091DEFA1" w14:textId="77777777" w:rsidR="00286CD0" w:rsidRPr="004F0887" w:rsidRDefault="009B3794" w:rsidP="00726ABF">
      <w:pPr>
        <w:numPr>
          <w:ilvl w:val="0"/>
          <w:numId w:val="1"/>
        </w:numPr>
        <w:tabs>
          <w:tab w:val="clear" w:pos="1080"/>
          <w:tab w:val="num" w:pos="360"/>
        </w:tabs>
        <w:spacing w:before="240"/>
        <w:ind w:left="360"/>
        <w:rPr>
          <w:b/>
          <w:sz w:val="24"/>
        </w:rPr>
      </w:pPr>
      <w:r w:rsidRPr="004F0887">
        <w:rPr>
          <w:b/>
          <w:sz w:val="24"/>
        </w:rPr>
        <w:t>Circumstances Making the Collection of Information Necessary</w:t>
      </w:r>
    </w:p>
    <w:p w14:paraId="651061A4" w14:textId="0A58E71E" w:rsidR="008D6C07" w:rsidRDefault="0051063C" w:rsidP="00F51B2D">
      <w:pPr>
        <w:spacing w:before="240"/>
        <w:rPr>
          <w:sz w:val="24"/>
        </w:rPr>
      </w:pPr>
      <w:r w:rsidRPr="0051063C">
        <w:rPr>
          <w:sz w:val="24"/>
        </w:rPr>
        <w:t xml:space="preserve">Sponsored by the U.S. Department of Health and Human Services’ (HHS’) Health Resources </w:t>
      </w:r>
      <w:r w:rsidR="00FC0E4B">
        <w:rPr>
          <w:sz w:val="24"/>
        </w:rPr>
        <w:t xml:space="preserve">and </w:t>
      </w:r>
      <w:r w:rsidRPr="0051063C">
        <w:rPr>
          <w:sz w:val="24"/>
        </w:rPr>
        <w:t xml:space="preserve">Services Administration’s Maternal and Child Health Bureau (HRSA MCHB), the National Survey of Children’s Health (NSCH) is designed to produce data on the physical and emotional health of American children under 18 years of age. The NSCH collects information on factors related to the well-being of children, including access to </w:t>
      </w:r>
      <w:r w:rsidR="00FC0E4B">
        <w:rPr>
          <w:sz w:val="24"/>
        </w:rPr>
        <w:t xml:space="preserve">and quality of </w:t>
      </w:r>
      <w:r w:rsidRPr="0051063C">
        <w:rPr>
          <w:sz w:val="24"/>
        </w:rPr>
        <w:t xml:space="preserve">health care, family interactions, parental health, school and after-school experiences, and neighborhood characteristics. </w:t>
      </w:r>
    </w:p>
    <w:p w14:paraId="091DEFA3" w14:textId="155C287F" w:rsidR="00E62916" w:rsidRDefault="00286CD0" w:rsidP="00F51B2D">
      <w:pPr>
        <w:spacing w:before="240"/>
        <w:rPr>
          <w:sz w:val="24"/>
        </w:rPr>
      </w:pPr>
      <w:r w:rsidRPr="004D492E">
        <w:rPr>
          <w:sz w:val="24"/>
        </w:rPr>
        <w:t>The</w:t>
      </w:r>
      <w:r w:rsidR="002E5178">
        <w:rPr>
          <w:sz w:val="24"/>
        </w:rPr>
        <w:t xml:space="preserve"> </w:t>
      </w:r>
      <w:r w:rsidR="002E5178" w:rsidRPr="0051063C">
        <w:rPr>
          <w:sz w:val="24"/>
        </w:rPr>
        <w:t xml:space="preserve">Health Resources </w:t>
      </w:r>
      <w:r w:rsidR="00FC0E4B">
        <w:rPr>
          <w:sz w:val="24"/>
        </w:rPr>
        <w:t xml:space="preserve">and </w:t>
      </w:r>
      <w:r w:rsidR="002E5178" w:rsidRPr="0051063C">
        <w:rPr>
          <w:sz w:val="24"/>
        </w:rPr>
        <w:t>Services Administration’s</w:t>
      </w:r>
      <w:r w:rsidR="002E5178">
        <w:rPr>
          <w:sz w:val="24"/>
        </w:rPr>
        <w:t xml:space="preserve"> and</w:t>
      </w:r>
      <w:r w:rsidRPr="004D492E">
        <w:rPr>
          <w:sz w:val="24"/>
        </w:rPr>
        <w:t xml:space="preserve"> Maternal and Child Health Bureau (</w:t>
      </w:r>
      <w:r w:rsidR="002E5178">
        <w:rPr>
          <w:sz w:val="24"/>
        </w:rPr>
        <w:t xml:space="preserve">HRSA </w:t>
      </w:r>
      <w:r w:rsidRPr="004D492E">
        <w:rPr>
          <w:sz w:val="24"/>
        </w:rPr>
        <w:t>MCHB) is redesign</w:t>
      </w:r>
      <w:r w:rsidR="00045B26" w:rsidRPr="004D492E">
        <w:rPr>
          <w:sz w:val="24"/>
        </w:rPr>
        <w:t>ing</w:t>
      </w:r>
      <w:r w:rsidRPr="004D492E">
        <w:rPr>
          <w:sz w:val="24"/>
        </w:rPr>
        <w:t xml:space="preserve"> the NSCH</w:t>
      </w:r>
      <w:r w:rsidR="006A6D61">
        <w:rPr>
          <w:sz w:val="24"/>
        </w:rPr>
        <w:t xml:space="preserve"> (</w:t>
      </w:r>
      <w:r w:rsidR="006A6D61" w:rsidRPr="006A6D61">
        <w:rPr>
          <w:sz w:val="24"/>
        </w:rPr>
        <w:t>Blumberg</w:t>
      </w:r>
      <w:r w:rsidR="006A6D61">
        <w:rPr>
          <w:sz w:val="24"/>
        </w:rPr>
        <w:t>,</w:t>
      </w:r>
      <w:r w:rsidR="006A6D61" w:rsidRPr="006A6D61">
        <w:rPr>
          <w:sz w:val="24"/>
        </w:rPr>
        <w:t xml:space="preserve"> Foster</w:t>
      </w:r>
      <w:r w:rsidR="006A6D61">
        <w:rPr>
          <w:sz w:val="24"/>
        </w:rPr>
        <w:t>,</w:t>
      </w:r>
      <w:r w:rsidR="006A6D61" w:rsidRPr="006A6D61">
        <w:rPr>
          <w:sz w:val="24"/>
        </w:rPr>
        <w:t xml:space="preserve"> Frasier, et al.</w:t>
      </w:r>
      <w:r w:rsidR="006A6D61">
        <w:rPr>
          <w:sz w:val="24"/>
        </w:rPr>
        <w:t>, 2012)</w:t>
      </w:r>
      <w:r w:rsidR="006A6D61" w:rsidRPr="006A6D61">
        <w:rPr>
          <w:rStyle w:val="FootnoteReference"/>
          <w:sz w:val="24"/>
          <w:vertAlign w:val="superscript"/>
        </w:rPr>
        <w:footnoteReference w:id="1"/>
      </w:r>
      <w:r w:rsidRPr="004D492E">
        <w:rPr>
          <w:sz w:val="24"/>
        </w:rPr>
        <w:t xml:space="preserve"> and </w:t>
      </w:r>
      <w:r w:rsidR="00A35B1E">
        <w:rPr>
          <w:sz w:val="24"/>
        </w:rPr>
        <w:t xml:space="preserve">its companion survey, the </w:t>
      </w:r>
      <w:r w:rsidRPr="004D492E">
        <w:rPr>
          <w:sz w:val="24"/>
        </w:rPr>
        <w:t>National Survey of Children with Special Health Care Needs (</w:t>
      </w:r>
      <w:r w:rsidR="00DE44A8">
        <w:rPr>
          <w:sz w:val="24"/>
        </w:rPr>
        <w:t>(</w:t>
      </w:r>
      <w:r w:rsidRPr="004D492E">
        <w:rPr>
          <w:sz w:val="24"/>
        </w:rPr>
        <w:t>NS-CSHCN</w:t>
      </w:r>
      <w:r w:rsidR="00DE44A8">
        <w:rPr>
          <w:sz w:val="24"/>
        </w:rPr>
        <w:t>)</w:t>
      </w:r>
      <w:r w:rsidR="002E5178">
        <w:rPr>
          <w:sz w:val="24"/>
        </w:rPr>
        <w:t xml:space="preserve"> </w:t>
      </w:r>
      <w:r w:rsidR="00DE44A8">
        <w:rPr>
          <w:sz w:val="24"/>
        </w:rPr>
        <w:t>Bramlett, Blumberg,</w:t>
      </w:r>
      <w:r w:rsidR="00344C2C">
        <w:rPr>
          <w:sz w:val="24"/>
        </w:rPr>
        <w:t xml:space="preserve"> </w:t>
      </w:r>
      <w:r w:rsidR="00DE44A8">
        <w:rPr>
          <w:sz w:val="24"/>
        </w:rPr>
        <w:t>Ormson, et al.</w:t>
      </w:r>
      <w:r w:rsidR="00344C2C">
        <w:rPr>
          <w:sz w:val="24"/>
        </w:rPr>
        <w:t>,</w:t>
      </w:r>
      <w:r w:rsidR="00DE44A8">
        <w:rPr>
          <w:sz w:val="24"/>
        </w:rPr>
        <w:t xml:space="preserve"> 2014</w:t>
      </w:r>
      <w:r w:rsidRPr="004D492E">
        <w:rPr>
          <w:sz w:val="24"/>
        </w:rPr>
        <w:t>)</w:t>
      </w:r>
      <w:r w:rsidR="00DE44A8" w:rsidRPr="00DE44A8">
        <w:rPr>
          <w:rStyle w:val="FootnoteReference"/>
          <w:sz w:val="24"/>
          <w:vertAlign w:val="superscript"/>
        </w:rPr>
        <w:footnoteReference w:id="2"/>
      </w:r>
      <w:r w:rsidRPr="00DE44A8">
        <w:rPr>
          <w:sz w:val="24"/>
          <w:vertAlign w:val="superscript"/>
        </w:rPr>
        <w:t xml:space="preserve"> </w:t>
      </w:r>
      <w:r w:rsidRPr="004D492E">
        <w:rPr>
          <w:sz w:val="24"/>
        </w:rPr>
        <w:t>into a single combined survey</w:t>
      </w:r>
      <w:r w:rsidR="004D492E">
        <w:rPr>
          <w:sz w:val="24"/>
        </w:rPr>
        <w:t xml:space="preserve"> that will utilize </w:t>
      </w:r>
      <w:r w:rsidR="00306436">
        <w:rPr>
          <w:sz w:val="24"/>
        </w:rPr>
        <w:t>an Address-</w:t>
      </w:r>
      <w:r w:rsidR="004D492E" w:rsidRPr="004D492E">
        <w:rPr>
          <w:sz w:val="24"/>
        </w:rPr>
        <w:t>Based Sampling (ABS) frame</w:t>
      </w:r>
      <w:r w:rsidR="004D492E">
        <w:rPr>
          <w:sz w:val="24"/>
        </w:rPr>
        <w:t xml:space="preserve">. </w:t>
      </w:r>
      <w:r w:rsidR="00E62916">
        <w:rPr>
          <w:sz w:val="24"/>
        </w:rPr>
        <w:t>This new</w:t>
      </w:r>
      <w:r w:rsidR="00B322BE">
        <w:rPr>
          <w:sz w:val="24"/>
        </w:rPr>
        <w:t>ly consolidated</w:t>
      </w:r>
      <w:r w:rsidR="00E62916">
        <w:rPr>
          <w:sz w:val="24"/>
        </w:rPr>
        <w:t xml:space="preserve"> survey, which will incorporate questions from both </w:t>
      </w:r>
      <w:r w:rsidR="00A35B1E">
        <w:rPr>
          <w:sz w:val="24"/>
        </w:rPr>
        <w:t>of these surveys</w:t>
      </w:r>
      <w:r w:rsidR="00E62916">
        <w:rPr>
          <w:sz w:val="24"/>
        </w:rPr>
        <w:t xml:space="preserve">, will </w:t>
      </w:r>
      <w:r w:rsidR="00812817">
        <w:rPr>
          <w:sz w:val="24"/>
        </w:rPr>
        <w:t xml:space="preserve">retain the name </w:t>
      </w:r>
      <w:r w:rsidR="00E62916">
        <w:rPr>
          <w:sz w:val="24"/>
        </w:rPr>
        <w:t>National Survey of Children’</w:t>
      </w:r>
      <w:r w:rsidR="0051063C">
        <w:rPr>
          <w:sz w:val="24"/>
        </w:rPr>
        <w:t>s Health.</w:t>
      </w:r>
      <w:r w:rsidR="00E62916">
        <w:rPr>
          <w:sz w:val="24"/>
        </w:rPr>
        <w:t xml:space="preserve">  </w:t>
      </w:r>
    </w:p>
    <w:p w14:paraId="091DEFA4" w14:textId="1B32E98D" w:rsidR="00045B26" w:rsidRPr="004D492E" w:rsidRDefault="00B322BE" w:rsidP="00F51B2D">
      <w:pPr>
        <w:spacing w:before="240"/>
        <w:rPr>
          <w:sz w:val="24"/>
        </w:rPr>
      </w:pPr>
      <w:r>
        <w:rPr>
          <w:sz w:val="24"/>
        </w:rPr>
        <w:t>T</w:t>
      </w:r>
      <w:r w:rsidR="00124C02">
        <w:rPr>
          <w:sz w:val="24"/>
        </w:rPr>
        <w:t>he</w:t>
      </w:r>
      <w:r w:rsidR="00E62916">
        <w:rPr>
          <w:sz w:val="24"/>
        </w:rPr>
        <w:t xml:space="preserve"> </w:t>
      </w:r>
      <w:r>
        <w:rPr>
          <w:sz w:val="24"/>
        </w:rPr>
        <w:t xml:space="preserve">former </w:t>
      </w:r>
      <w:r w:rsidR="00E62916">
        <w:rPr>
          <w:sz w:val="24"/>
        </w:rPr>
        <w:t>NSCH</w:t>
      </w:r>
      <w:r w:rsidR="003F6A74">
        <w:rPr>
          <w:sz w:val="24"/>
        </w:rPr>
        <w:t xml:space="preserve"> (OMB 0920-0406)</w:t>
      </w:r>
      <w:r w:rsidR="00E62916">
        <w:rPr>
          <w:sz w:val="24"/>
        </w:rPr>
        <w:t xml:space="preserve"> and the NS-CSHCN </w:t>
      </w:r>
      <w:r w:rsidR="006A6585">
        <w:rPr>
          <w:sz w:val="24"/>
        </w:rPr>
        <w:t xml:space="preserve">(OMB 0920-0406) </w:t>
      </w:r>
      <w:r w:rsidR="004D492E">
        <w:rPr>
          <w:sz w:val="24"/>
        </w:rPr>
        <w:t>utilized</w:t>
      </w:r>
      <w:r w:rsidR="00045B26" w:rsidRPr="004D492E">
        <w:rPr>
          <w:sz w:val="24"/>
        </w:rPr>
        <w:t xml:space="preserve"> the State and Local Area Integrated Telephone Survey (SLAITS)</w:t>
      </w:r>
      <w:r w:rsidR="00E62916">
        <w:rPr>
          <w:sz w:val="24"/>
        </w:rPr>
        <w:t xml:space="preserve"> </w:t>
      </w:r>
      <w:r w:rsidR="00045B26" w:rsidRPr="004D492E">
        <w:rPr>
          <w:sz w:val="24"/>
        </w:rPr>
        <w:t>mechanism</w:t>
      </w:r>
      <w:r w:rsidR="00E62916">
        <w:rPr>
          <w:sz w:val="24"/>
        </w:rPr>
        <w:t>. M</w:t>
      </w:r>
      <w:r w:rsidR="002E06A7">
        <w:rPr>
          <w:sz w:val="24"/>
        </w:rPr>
        <w:t>anaged by the National Center for Health Statistics</w:t>
      </w:r>
      <w:r>
        <w:rPr>
          <w:sz w:val="24"/>
        </w:rPr>
        <w:t xml:space="preserve"> (NCHS)</w:t>
      </w:r>
      <w:r w:rsidR="00E62916">
        <w:rPr>
          <w:sz w:val="24"/>
        </w:rPr>
        <w:t xml:space="preserve">, SLAITS </w:t>
      </w:r>
      <w:r w:rsidR="00045B26" w:rsidRPr="004D492E">
        <w:rPr>
          <w:sz w:val="24"/>
        </w:rPr>
        <w:t>conduct</w:t>
      </w:r>
      <w:r w:rsidR="006447AD">
        <w:rPr>
          <w:sz w:val="24"/>
        </w:rPr>
        <w:t>s</w:t>
      </w:r>
      <w:r w:rsidR="00045B26" w:rsidRPr="004D492E">
        <w:rPr>
          <w:sz w:val="24"/>
        </w:rPr>
        <w:t xml:space="preserve"> surveys </w:t>
      </w:r>
      <w:r w:rsidR="00E62916">
        <w:rPr>
          <w:sz w:val="24"/>
        </w:rPr>
        <w:t xml:space="preserve">using </w:t>
      </w:r>
      <w:r w:rsidR="00045B26" w:rsidRPr="004D492E">
        <w:rPr>
          <w:sz w:val="24"/>
        </w:rPr>
        <w:t>the same sampling frame as the National Immunization Survey</w:t>
      </w:r>
      <w:r w:rsidR="002E06A7">
        <w:rPr>
          <w:sz w:val="24"/>
        </w:rPr>
        <w:t xml:space="preserve"> (NIS)</w:t>
      </w:r>
      <w:r w:rsidR="00045B26" w:rsidRPr="004D492E">
        <w:rPr>
          <w:sz w:val="24"/>
        </w:rPr>
        <w:t xml:space="preserve">.  This </w:t>
      </w:r>
      <w:r w:rsidR="002E06A7">
        <w:rPr>
          <w:sz w:val="24"/>
        </w:rPr>
        <w:t xml:space="preserve">sampling </w:t>
      </w:r>
      <w:r w:rsidR="00045B26" w:rsidRPr="004D492E">
        <w:rPr>
          <w:sz w:val="24"/>
        </w:rPr>
        <w:t>frame consist</w:t>
      </w:r>
      <w:r w:rsidR="002E06A7">
        <w:rPr>
          <w:sz w:val="24"/>
        </w:rPr>
        <w:t>s</w:t>
      </w:r>
      <w:r w:rsidR="00045B26" w:rsidRPr="004D492E">
        <w:rPr>
          <w:sz w:val="24"/>
        </w:rPr>
        <w:t xml:space="preserve"> primarily of telephone landline numbers, with some cell telephone supplementation, and utilize</w:t>
      </w:r>
      <w:r w:rsidR="002E06A7">
        <w:rPr>
          <w:sz w:val="24"/>
        </w:rPr>
        <w:t>s</w:t>
      </w:r>
      <w:r w:rsidR="00045B26" w:rsidRPr="004D492E">
        <w:rPr>
          <w:sz w:val="24"/>
        </w:rPr>
        <w:t xml:space="preserve"> Random Digit Dialing (RDD) sampling techniques. </w:t>
      </w:r>
      <w:r w:rsidR="006447AD">
        <w:rPr>
          <w:sz w:val="24"/>
        </w:rPr>
        <w:t xml:space="preserve">SLAITS surveys are </w:t>
      </w:r>
      <w:r w:rsidR="00045B26" w:rsidRPr="004D492E">
        <w:rPr>
          <w:sz w:val="24"/>
        </w:rPr>
        <w:t xml:space="preserve">conducted </w:t>
      </w:r>
      <w:r>
        <w:rPr>
          <w:sz w:val="24"/>
        </w:rPr>
        <w:t>subsequent to</w:t>
      </w:r>
      <w:r w:rsidR="002E06A7">
        <w:rPr>
          <w:sz w:val="24"/>
        </w:rPr>
        <w:t xml:space="preserve"> the NIS</w:t>
      </w:r>
      <w:r>
        <w:rPr>
          <w:sz w:val="24"/>
        </w:rPr>
        <w:t xml:space="preserve"> interview</w:t>
      </w:r>
      <w:r w:rsidR="006447AD">
        <w:rPr>
          <w:sz w:val="24"/>
        </w:rPr>
        <w:t xml:space="preserve">, </w:t>
      </w:r>
      <w:r w:rsidR="00306436">
        <w:rPr>
          <w:sz w:val="24"/>
        </w:rPr>
        <w:t>using Computer-</w:t>
      </w:r>
      <w:r w:rsidR="00045B26" w:rsidRPr="004D492E">
        <w:rPr>
          <w:sz w:val="24"/>
        </w:rPr>
        <w:t>Assisted Telephone Interview (CATI) software to collect data from households</w:t>
      </w:r>
      <w:r>
        <w:rPr>
          <w:sz w:val="24"/>
        </w:rPr>
        <w:t xml:space="preserve">: once households complete </w:t>
      </w:r>
      <w:r w:rsidR="002E06A7">
        <w:rPr>
          <w:sz w:val="24"/>
        </w:rPr>
        <w:t xml:space="preserve">the NIS interview, they </w:t>
      </w:r>
      <w:r>
        <w:rPr>
          <w:sz w:val="24"/>
        </w:rPr>
        <w:t xml:space="preserve">are </w:t>
      </w:r>
      <w:r w:rsidR="002E06A7">
        <w:rPr>
          <w:sz w:val="24"/>
        </w:rPr>
        <w:t>screened to determine eligibility for the SLAITS surveys.</w:t>
      </w:r>
      <w:r>
        <w:rPr>
          <w:sz w:val="24"/>
        </w:rPr>
        <w:t xml:space="preserve"> Interviews are administered for eligible households.</w:t>
      </w:r>
      <w:r w:rsidR="002E06A7">
        <w:rPr>
          <w:sz w:val="24"/>
        </w:rPr>
        <w:t xml:space="preserve">  </w:t>
      </w:r>
    </w:p>
    <w:p w14:paraId="091DEFA5" w14:textId="77777777" w:rsidR="00045B26" w:rsidRPr="004D492E" w:rsidRDefault="00045B26" w:rsidP="004D492E">
      <w:pPr>
        <w:rPr>
          <w:sz w:val="24"/>
        </w:rPr>
      </w:pPr>
    </w:p>
    <w:p w14:paraId="091DEFA6" w14:textId="51AFB6F3" w:rsidR="00045B26" w:rsidRPr="004D492E" w:rsidRDefault="00045B26" w:rsidP="004D492E">
      <w:pPr>
        <w:rPr>
          <w:sz w:val="24"/>
        </w:rPr>
      </w:pPr>
      <w:r w:rsidRPr="004D492E">
        <w:rPr>
          <w:sz w:val="24"/>
        </w:rPr>
        <w:t xml:space="preserve">The telephone interview </w:t>
      </w:r>
      <w:r w:rsidR="00E62916">
        <w:rPr>
          <w:sz w:val="24"/>
        </w:rPr>
        <w:t>methodology</w:t>
      </w:r>
      <w:r w:rsidR="00E62916" w:rsidRPr="004D492E">
        <w:rPr>
          <w:sz w:val="24"/>
        </w:rPr>
        <w:t xml:space="preserve"> </w:t>
      </w:r>
      <w:r w:rsidRPr="004D492E">
        <w:rPr>
          <w:sz w:val="24"/>
        </w:rPr>
        <w:t xml:space="preserve">utilized for these surveys allowed for a complex questionnaire as it ensured that skip patterns were properly followed. Furthermore, it protected against data entry error through preprogrammed range and logic checks on responses.  </w:t>
      </w:r>
      <w:r w:rsidRPr="004D492E">
        <w:rPr>
          <w:sz w:val="24"/>
        </w:rPr>
        <w:lastRenderedPageBreak/>
        <w:t xml:space="preserve">Interviewers were able to address respondent questions and concerns as they arose, helping reduce response error.  </w:t>
      </w:r>
      <w:r w:rsidR="002E06A7">
        <w:rPr>
          <w:sz w:val="24"/>
        </w:rPr>
        <w:t>However, i</w:t>
      </w:r>
      <w:r w:rsidRPr="004D492E">
        <w:rPr>
          <w:sz w:val="24"/>
        </w:rPr>
        <w:t xml:space="preserve">n recent years declining willingness of the public to participate in surveys and changes in household telephone use has resulted in </w:t>
      </w:r>
      <w:r w:rsidR="004577FF">
        <w:rPr>
          <w:sz w:val="24"/>
        </w:rPr>
        <w:t>lower</w:t>
      </w:r>
      <w:r w:rsidR="00084ACE">
        <w:rPr>
          <w:sz w:val="24"/>
        </w:rPr>
        <w:t xml:space="preserve"> </w:t>
      </w:r>
      <w:r w:rsidRPr="004D492E">
        <w:rPr>
          <w:sz w:val="24"/>
        </w:rPr>
        <w:t xml:space="preserve">response rates </w:t>
      </w:r>
      <w:r w:rsidR="00E62916">
        <w:rPr>
          <w:sz w:val="24"/>
        </w:rPr>
        <w:t xml:space="preserve">for CATI </w:t>
      </w:r>
      <w:r w:rsidRPr="004D492E">
        <w:rPr>
          <w:sz w:val="24"/>
        </w:rPr>
        <w:t xml:space="preserve">surveys.  Of particular concern is the increasing prevalence of households that have substituted wireless service </w:t>
      </w:r>
      <w:r w:rsidR="00306436">
        <w:rPr>
          <w:sz w:val="24"/>
        </w:rPr>
        <w:t xml:space="preserve">for their landline </w:t>
      </w:r>
      <w:r w:rsidR="00226A1C">
        <w:rPr>
          <w:sz w:val="24"/>
        </w:rPr>
        <w:t>telephone</w:t>
      </w:r>
      <w:r w:rsidR="00406B59">
        <w:rPr>
          <w:sz w:val="24"/>
        </w:rPr>
        <w:t xml:space="preserve"> (Bl</w:t>
      </w:r>
      <w:r w:rsidR="00812817">
        <w:rPr>
          <w:sz w:val="24"/>
        </w:rPr>
        <w:t>umberg</w:t>
      </w:r>
      <w:r w:rsidR="00F0485C">
        <w:rPr>
          <w:sz w:val="24"/>
        </w:rPr>
        <w:t xml:space="preserve"> &amp;</w:t>
      </w:r>
      <w:r w:rsidR="00812817">
        <w:rPr>
          <w:sz w:val="24"/>
        </w:rPr>
        <w:t xml:space="preserve"> Luke, 2015</w:t>
      </w:r>
      <w:r w:rsidR="00406B59">
        <w:rPr>
          <w:sz w:val="24"/>
        </w:rPr>
        <w:t>)</w:t>
      </w:r>
      <w:r w:rsidR="00406B59" w:rsidRPr="00DE44A8">
        <w:rPr>
          <w:rStyle w:val="FootnoteReference"/>
          <w:sz w:val="24"/>
          <w:vertAlign w:val="superscript"/>
        </w:rPr>
        <w:footnoteReference w:id="3"/>
      </w:r>
      <w:r w:rsidR="00226A1C" w:rsidRPr="004D492E">
        <w:rPr>
          <w:sz w:val="24"/>
        </w:rPr>
        <w:t>. Efforts</w:t>
      </w:r>
      <w:r w:rsidRPr="004D492E">
        <w:rPr>
          <w:sz w:val="24"/>
        </w:rPr>
        <w:t xml:space="preserve"> to include these non-landline households within the telephone sampling frames for the </w:t>
      </w:r>
      <w:r w:rsidR="0056188F">
        <w:rPr>
          <w:sz w:val="24"/>
        </w:rPr>
        <w:t xml:space="preserve">former </w:t>
      </w:r>
      <w:r w:rsidRPr="004D492E">
        <w:rPr>
          <w:sz w:val="24"/>
        </w:rPr>
        <w:t xml:space="preserve">NSCH and NS-CSHCN have resulted in both an increase in costs and a substantial decline in response rates. </w:t>
      </w:r>
      <w:r w:rsidR="006447AD">
        <w:rPr>
          <w:sz w:val="24"/>
        </w:rPr>
        <w:t xml:space="preserve">Furthermore, because </w:t>
      </w:r>
      <w:r w:rsidR="0056188F">
        <w:rPr>
          <w:sz w:val="24"/>
        </w:rPr>
        <w:t xml:space="preserve">the former </w:t>
      </w:r>
      <w:r w:rsidR="006447AD">
        <w:rPr>
          <w:sz w:val="24"/>
        </w:rPr>
        <w:t>NSCH and NS-CSHCN were administered using the NIS sampling frame and f</w:t>
      </w:r>
      <w:r w:rsidR="0056188F">
        <w:rPr>
          <w:sz w:val="24"/>
        </w:rPr>
        <w:t>ollowed behind the NIS interview</w:t>
      </w:r>
      <w:r w:rsidR="006447AD">
        <w:rPr>
          <w:sz w:val="24"/>
        </w:rPr>
        <w:t xml:space="preserve">, they </w:t>
      </w:r>
      <w:r w:rsidR="00AB23BB">
        <w:rPr>
          <w:sz w:val="24"/>
        </w:rPr>
        <w:t>experienced additional impacts in response rates</w:t>
      </w:r>
      <w:r w:rsidR="0056188F">
        <w:rPr>
          <w:sz w:val="24"/>
        </w:rPr>
        <w:t xml:space="preserve"> when cases failed to move through the NIS itself.</w:t>
      </w:r>
    </w:p>
    <w:p w14:paraId="091DEFA7" w14:textId="77777777" w:rsidR="00045B26" w:rsidRPr="004D492E" w:rsidRDefault="00045B26" w:rsidP="004D492E">
      <w:pPr>
        <w:rPr>
          <w:sz w:val="24"/>
        </w:rPr>
      </w:pPr>
    </w:p>
    <w:p w14:paraId="1F2E3239" w14:textId="77777777" w:rsidR="006A6D61" w:rsidRDefault="0056188F" w:rsidP="0077283F">
      <w:pPr>
        <w:rPr>
          <w:sz w:val="24"/>
        </w:rPr>
      </w:pPr>
      <w:r>
        <w:rPr>
          <w:sz w:val="24"/>
        </w:rPr>
        <w:t xml:space="preserve">This </w:t>
      </w:r>
      <w:r w:rsidR="00045B26" w:rsidRPr="004D492E">
        <w:rPr>
          <w:sz w:val="24"/>
        </w:rPr>
        <w:t>decline in response rates and the increase in costs are no longer sustainable. Considerable work has been done to determine how to address these concerns, and a decision has been reached to utilize a two-phase multimode data collection design for</w:t>
      </w:r>
      <w:r w:rsidR="004D492E">
        <w:rPr>
          <w:sz w:val="24"/>
        </w:rPr>
        <w:t xml:space="preserve"> a</w:t>
      </w:r>
      <w:r w:rsidR="00045B26" w:rsidRPr="004D492E">
        <w:rPr>
          <w:sz w:val="24"/>
        </w:rPr>
        <w:t xml:space="preserve"> combined </w:t>
      </w:r>
      <w:r>
        <w:rPr>
          <w:sz w:val="24"/>
        </w:rPr>
        <w:t xml:space="preserve">NSCH/NS-CSHCN </w:t>
      </w:r>
      <w:r w:rsidR="00045B26" w:rsidRPr="004D492E">
        <w:rPr>
          <w:sz w:val="24"/>
        </w:rPr>
        <w:t xml:space="preserve">survey, henceforth known as the NSCH. The NSCH will consist of two questionnaires: </w:t>
      </w:r>
      <w:r w:rsidR="00306436">
        <w:rPr>
          <w:sz w:val="24"/>
        </w:rPr>
        <w:t>(</w:t>
      </w:r>
      <w:r w:rsidR="00045B26" w:rsidRPr="004D492E">
        <w:rPr>
          <w:sz w:val="24"/>
        </w:rPr>
        <w:t xml:space="preserve">1) an initial household screener to assess the presence of children in the home and facilitate the selection of a target child </w:t>
      </w:r>
      <w:r w:rsidR="0015297A">
        <w:rPr>
          <w:sz w:val="24"/>
        </w:rPr>
        <w:t>within</w:t>
      </w:r>
      <w:r w:rsidR="00045B26" w:rsidRPr="004D492E">
        <w:rPr>
          <w:sz w:val="24"/>
        </w:rPr>
        <w:t xml:space="preserve"> the household (with oversampling of children with special health care needs), and </w:t>
      </w:r>
      <w:r w:rsidR="00306436">
        <w:rPr>
          <w:sz w:val="24"/>
        </w:rPr>
        <w:t>(</w:t>
      </w:r>
      <w:r w:rsidR="00045B26" w:rsidRPr="004D492E">
        <w:rPr>
          <w:sz w:val="24"/>
        </w:rPr>
        <w:t xml:space="preserve">2) a substantive topical questionnaire that combines selected content from the </w:t>
      </w:r>
      <w:r>
        <w:rPr>
          <w:sz w:val="24"/>
        </w:rPr>
        <w:t xml:space="preserve">former </w:t>
      </w:r>
      <w:r w:rsidR="00045B26" w:rsidRPr="004D492E">
        <w:rPr>
          <w:sz w:val="24"/>
        </w:rPr>
        <w:t>NSCH and NS-CSHCN questionnaires along with some newly relevant content.</w:t>
      </w:r>
    </w:p>
    <w:p w14:paraId="0B5365F6" w14:textId="77777777" w:rsidR="005A50A8" w:rsidRDefault="005A50A8" w:rsidP="0077283F">
      <w:pPr>
        <w:rPr>
          <w:sz w:val="24"/>
        </w:rPr>
      </w:pPr>
    </w:p>
    <w:p w14:paraId="7DC4F970" w14:textId="7268AA4F" w:rsidR="001053CE" w:rsidRDefault="006A6D61" w:rsidP="001053CE">
      <w:pPr>
        <w:rPr>
          <w:sz w:val="24"/>
        </w:rPr>
      </w:pPr>
      <w:r>
        <w:rPr>
          <w:sz w:val="24"/>
        </w:rPr>
        <w:t>In 2015, a revised NSCH</w:t>
      </w:r>
      <w:r w:rsidR="005A50A8">
        <w:rPr>
          <w:sz w:val="24"/>
        </w:rPr>
        <w:t xml:space="preserve"> </w:t>
      </w:r>
      <w:r w:rsidR="006434B6">
        <w:rPr>
          <w:sz w:val="24"/>
        </w:rPr>
        <w:t>was pre</w:t>
      </w:r>
      <w:r w:rsidR="005A50A8">
        <w:rPr>
          <w:sz w:val="24"/>
        </w:rPr>
        <w:t xml:space="preserve">tested </w:t>
      </w:r>
      <w:r w:rsidR="006434B6" w:rsidRPr="006434B6">
        <w:rPr>
          <w:sz w:val="24"/>
        </w:rPr>
        <w:t>(administered from June – December 2015</w:t>
      </w:r>
      <w:r w:rsidR="00D44985">
        <w:rPr>
          <w:sz w:val="24"/>
        </w:rPr>
        <w:t>, OMB 0607-0984</w:t>
      </w:r>
      <w:r w:rsidR="006434B6" w:rsidRPr="006434B6">
        <w:rPr>
          <w:sz w:val="24"/>
        </w:rPr>
        <w:t xml:space="preserve">) </w:t>
      </w:r>
      <w:r w:rsidR="006434B6">
        <w:rPr>
          <w:sz w:val="24"/>
        </w:rPr>
        <w:t xml:space="preserve">using separate procedures for an internet based web mode and mailed paper instrument collection </w:t>
      </w:r>
      <w:r w:rsidR="005A50A8">
        <w:rPr>
          <w:sz w:val="24"/>
        </w:rPr>
        <w:t>mode</w:t>
      </w:r>
      <w:r w:rsidR="006434B6">
        <w:rPr>
          <w:sz w:val="24"/>
        </w:rPr>
        <w:t>s</w:t>
      </w:r>
      <w:r w:rsidR="005A50A8">
        <w:rPr>
          <w:sz w:val="24"/>
        </w:rPr>
        <w:t>.</w:t>
      </w:r>
      <w:r w:rsidR="006434B6">
        <w:rPr>
          <w:sz w:val="24"/>
        </w:rPr>
        <w:t xml:space="preserve"> In t</w:t>
      </w:r>
      <w:r w:rsidR="006434B6" w:rsidRPr="006434B6">
        <w:rPr>
          <w:sz w:val="24"/>
        </w:rPr>
        <w:t xml:space="preserve">he pretest </w:t>
      </w:r>
      <w:r w:rsidR="00C7280A">
        <w:rPr>
          <w:sz w:val="24"/>
        </w:rPr>
        <w:t>‘</w:t>
      </w:r>
      <w:r w:rsidR="006434B6" w:rsidRPr="006434B6">
        <w:rPr>
          <w:sz w:val="24"/>
        </w:rPr>
        <w:t>ma</w:t>
      </w:r>
      <w:r w:rsidR="00C7280A">
        <w:rPr>
          <w:sz w:val="24"/>
        </w:rPr>
        <w:t xml:space="preserve">il only’ mode of data collection, </w:t>
      </w:r>
      <w:r w:rsidR="00035CBC">
        <w:rPr>
          <w:sz w:val="24"/>
        </w:rPr>
        <w:t>sample households</w:t>
      </w:r>
      <w:r w:rsidR="006434B6" w:rsidRPr="006434B6">
        <w:rPr>
          <w:sz w:val="24"/>
        </w:rPr>
        <w:t xml:space="preserve"> were mailed an advance letter, then a paper questionnaire to screen households with children into the survey</w:t>
      </w:r>
      <w:r w:rsidR="00C7280A">
        <w:rPr>
          <w:sz w:val="24"/>
        </w:rPr>
        <w:t>,</w:t>
      </w:r>
      <w:r w:rsidR="006434B6" w:rsidRPr="006434B6">
        <w:rPr>
          <w:sz w:val="24"/>
        </w:rPr>
        <w:t xml:space="preserve"> and </w:t>
      </w:r>
      <w:r w:rsidR="00C7280A">
        <w:rPr>
          <w:sz w:val="24"/>
        </w:rPr>
        <w:t>finally</w:t>
      </w:r>
      <w:r w:rsidR="006434B6" w:rsidRPr="006434B6">
        <w:rPr>
          <w:sz w:val="24"/>
        </w:rPr>
        <w:t xml:space="preserve"> a follow-up topical paper questionnaire to collect detailed information for only one of the children in the household. The second mode tested in the pretest was a self-administered internet/web instrument. In this mode of data collection, the </w:t>
      </w:r>
      <w:r w:rsidR="00035CBC">
        <w:rPr>
          <w:sz w:val="24"/>
        </w:rPr>
        <w:t>sample households</w:t>
      </w:r>
      <w:r w:rsidR="006434B6" w:rsidRPr="006434B6">
        <w:rPr>
          <w:sz w:val="24"/>
        </w:rPr>
        <w:t xml:space="preserve"> w</w:t>
      </w:r>
      <w:r w:rsidR="00035CBC">
        <w:rPr>
          <w:sz w:val="24"/>
        </w:rPr>
        <w:t>ere</w:t>
      </w:r>
      <w:r w:rsidR="006434B6" w:rsidRPr="006434B6">
        <w:rPr>
          <w:sz w:val="24"/>
        </w:rPr>
        <w:t xml:space="preserve"> mailed an advance letter and then a letter inviting them to go to the internet data collection portal for the Census Bureau and complete both the screener and topical sections through a single web instrument. In the pretest, we observed a</w:t>
      </w:r>
      <w:r w:rsidR="00C7280A">
        <w:rPr>
          <w:sz w:val="24"/>
        </w:rPr>
        <w:t xml:space="preserve"> </w:t>
      </w:r>
      <w:r w:rsidR="006434B6" w:rsidRPr="006434B6">
        <w:rPr>
          <w:sz w:val="24"/>
        </w:rPr>
        <w:t xml:space="preserve">web response rate of over </w:t>
      </w:r>
      <w:r w:rsidR="004577FF">
        <w:rPr>
          <w:sz w:val="24"/>
        </w:rPr>
        <w:t>54</w:t>
      </w:r>
      <w:r w:rsidR="006434B6" w:rsidRPr="006434B6">
        <w:rPr>
          <w:sz w:val="24"/>
        </w:rPr>
        <w:t>%</w:t>
      </w:r>
      <w:r w:rsidR="008474EE">
        <w:rPr>
          <w:sz w:val="24"/>
        </w:rPr>
        <w:t xml:space="preserve"> (19% of </w:t>
      </w:r>
      <w:r w:rsidR="00862EB4">
        <w:rPr>
          <w:sz w:val="24"/>
        </w:rPr>
        <w:t xml:space="preserve">the </w:t>
      </w:r>
      <w:r w:rsidR="008474EE">
        <w:rPr>
          <w:sz w:val="24"/>
        </w:rPr>
        <w:t xml:space="preserve">web push group </w:t>
      </w:r>
      <w:r w:rsidR="00862EB4">
        <w:rPr>
          <w:sz w:val="24"/>
        </w:rPr>
        <w:t xml:space="preserve">eventually </w:t>
      </w:r>
      <w:r w:rsidR="008474EE">
        <w:rPr>
          <w:sz w:val="24"/>
        </w:rPr>
        <w:t>responded by paper)</w:t>
      </w:r>
      <w:r w:rsidR="006434B6" w:rsidRPr="006434B6">
        <w:rPr>
          <w:sz w:val="24"/>
        </w:rPr>
        <w:t xml:space="preserve">. </w:t>
      </w:r>
      <w:r w:rsidR="00C7280A">
        <w:rPr>
          <w:sz w:val="24"/>
        </w:rPr>
        <w:t xml:space="preserve">While there are some characteristics of the </w:t>
      </w:r>
      <w:r w:rsidR="00035CBC">
        <w:rPr>
          <w:sz w:val="24"/>
        </w:rPr>
        <w:t>sample used in the pretest</w:t>
      </w:r>
      <w:r w:rsidR="0051063C">
        <w:rPr>
          <w:sz w:val="24"/>
        </w:rPr>
        <w:t xml:space="preserve"> that</w:t>
      </w:r>
      <w:r w:rsidR="00C7280A">
        <w:rPr>
          <w:sz w:val="24"/>
        </w:rPr>
        <w:t xml:space="preserve"> may have </w:t>
      </w:r>
      <w:r w:rsidR="008D6C07">
        <w:rPr>
          <w:sz w:val="24"/>
        </w:rPr>
        <w:t>improved</w:t>
      </w:r>
      <w:r w:rsidR="001053CE">
        <w:rPr>
          <w:sz w:val="24"/>
        </w:rPr>
        <w:t xml:space="preserve"> the response rate, even a conservative interpretation of the results and methodological success strongly suggested pursuing a web first data collection</w:t>
      </w:r>
      <w:r w:rsidR="00C7280A">
        <w:rPr>
          <w:sz w:val="24"/>
        </w:rPr>
        <w:t xml:space="preserve"> </w:t>
      </w:r>
      <w:r w:rsidR="001053CE">
        <w:rPr>
          <w:sz w:val="24"/>
        </w:rPr>
        <w:t>methodology</w:t>
      </w:r>
      <w:r w:rsidR="008D6C07" w:rsidRPr="0089338E">
        <w:rPr>
          <w:rStyle w:val="FootnoteReference"/>
          <w:sz w:val="24"/>
          <w:vertAlign w:val="superscript"/>
        </w:rPr>
        <w:footnoteReference w:id="4"/>
      </w:r>
      <w:r w:rsidR="001053CE">
        <w:rPr>
          <w:sz w:val="24"/>
        </w:rPr>
        <w:t xml:space="preserve">. </w:t>
      </w:r>
      <w:r w:rsidR="006434B6" w:rsidRPr="006434B6">
        <w:rPr>
          <w:sz w:val="24"/>
        </w:rPr>
        <w:t xml:space="preserve">There are significant cost savings for web data collection over paper data collection, and based on the pretest results, the decision was made to move to a data collection plan where web is the primary data collection mode (Web push), and is followed by a </w:t>
      </w:r>
      <w:r w:rsidR="006434B6" w:rsidRPr="006434B6">
        <w:rPr>
          <w:sz w:val="24"/>
        </w:rPr>
        <w:lastRenderedPageBreak/>
        <w:t xml:space="preserve">mailing of paper screener and topical </w:t>
      </w:r>
      <w:r w:rsidR="00FC0E4B">
        <w:rPr>
          <w:sz w:val="24"/>
        </w:rPr>
        <w:t>surveys</w:t>
      </w:r>
      <w:r w:rsidR="00FC0E4B" w:rsidRPr="006434B6">
        <w:rPr>
          <w:sz w:val="24"/>
        </w:rPr>
        <w:t xml:space="preserve"> </w:t>
      </w:r>
      <w:r w:rsidR="006434B6" w:rsidRPr="006434B6">
        <w:rPr>
          <w:sz w:val="24"/>
        </w:rPr>
        <w:t>(mail) for non-responding households. This “Web push + mail” data collection plan will be applied to the full sample</w:t>
      </w:r>
      <w:r w:rsidR="001053CE">
        <w:rPr>
          <w:sz w:val="24"/>
        </w:rPr>
        <w:t xml:space="preserve">. </w:t>
      </w:r>
      <w:r w:rsidR="001053CE" w:rsidRPr="006434B6">
        <w:rPr>
          <w:sz w:val="24"/>
        </w:rPr>
        <w:t xml:space="preserve">The Web push + mail treatment is structured so that all households will first have the chance to complete the NSCH online, and only non-respondents or those who call in to request a </w:t>
      </w:r>
      <w:r w:rsidR="00812817">
        <w:rPr>
          <w:sz w:val="24"/>
        </w:rPr>
        <w:t xml:space="preserve">questionnaire </w:t>
      </w:r>
      <w:r w:rsidR="001053CE" w:rsidRPr="006434B6">
        <w:rPr>
          <w:sz w:val="24"/>
        </w:rPr>
        <w:t xml:space="preserve">will be mailed </w:t>
      </w:r>
      <w:r w:rsidR="00812817">
        <w:rPr>
          <w:sz w:val="24"/>
        </w:rPr>
        <w:t>one</w:t>
      </w:r>
      <w:r w:rsidR="001053CE" w:rsidRPr="006434B6">
        <w:rPr>
          <w:sz w:val="24"/>
        </w:rPr>
        <w:t>. Initially, all sampled households will receive a letter inviting them to complete the Web-based survey instrument.</w:t>
      </w:r>
    </w:p>
    <w:p w14:paraId="4526AB13" w14:textId="6D7DC27B" w:rsidR="006A08F8" w:rsidRDefault="00B40B27" w:rsidP="00F51B2D">
      <w:pPr>
        <w:spacing w:before="240"/>
        <w:rPr>
          <w:bCs/>
          <w:sz w:val="24"/>
        </w:rPr>
      </w:pPr>
      <w:r w:rsidRPr="001E1D43">
        <w:rPr>
          <w:bCs/>
          <w:sz w:val="24"/>
        </w:rPr>
        <w:t xml:space="preserve">The U.S. Census Bureau is conducting the </w:t>
      </w:r>
      <w:r w:rsidR="00FC0E4B">
        <w:rPr>
          <w:bCs/>
          <w:sz w:val="24"/>
        </w:rPr>
        <w:t>NSCH</w:t>
      </w:r>
      <w:r w:rsidRPr="001E1D43">
        <w:rPr>
          <w:bCs/>
          <w:sz w:val="24"/>
        </w:rPr>
        <w:t xml:space="preserve"> on the behalf of the HHS under Title 13, United States Code, Section 8(b), which allows the Census Bureau to conduct surveys on behalf of other agencies</w:t>
      </w:r>
      <w:r w:rsidR="00B53D75" w:rsidRPr="001E1D43">
        <w:rPr>
          <w:bCs/>
          <w:sz w:val="24"/>
        </w:rPr>
        <w:t xml:space="preserve">.  </w:t>
      </w:r>
      <w:r w:rsidR="005C68BA">
        <w:rPr>
          <w:bCs/>
          <w:sz w:val="24"/>
        </w:rPr>
        <w:t xml:space="preserve">Title </w:t>
      </w:r>
      <w:r w:rsidR="004E6B07">
        <w:rPr>
          <w:bCs/>
          <w:sz w:val="24"/>
        </w:rPr>
        <w:t>42 U.S.C. Section 701(a)(2)</w:t>
      </w:r>
      <w:r w:rsidR="005C68BA">
        <w:rPr>
          <w:bCs/>
          <w:sz w:val="24"/>
        </w:rPr>
        <w:t xml:space="preserve"> </w:t>
      </w:r>
      <w:r w:rsidR="00C73D99">
        <w:rPr>
          <w:bCs/>
          <w:sz w:val="24"/>
        </w:rPr>
        <w:t>allows HHS</w:t>
      </w:r>
      <w:r w:rsidR="00C73D99" w:rsidRPr="008055B6">
        <w:rPr>
          <w:bCs/>
          <w:sz w:val="24"/>
        </w:rPr>
        <w:t xml:space="preserve"> </w:t>
      </w:r>
      <w:r w:rsidRPr="001E1D43">
        <w:rPr>
          <w:bCs/>
          <w:sz w:val="24"/>
        </w:rPr>
        <w:t>to collect information for the purpose of understanding the health and well-being of children in the United States.</w:t>
      </w:r>
      <w:r w:rsidR="006A08F8">
        <w:rPr>
          <w:bCs/>
          <w:sz w:val="24"/>
        </w:rPr>
        <w:t xml:space="preserve"> </w:t>
      </w:r>
      <w:r w:rsidR="006A08F8" w:rsidRPr="006A08F8">
        <w:rPr>
          <w:bCs/>
          <w:sz w:val="24"/>
        </w:rPr>
        <w:t xml:space="preserve">The data collected under this agreement are confidential under 13 U.S.C. Section 9. All access to Title 13 data from this survey is restricted to </w:t>
      </w:r>
      <w:r w:rsidR="006F423D">
        <w:rPr>
          <w:bCs/>
          <w:sz w:val="24"/>
        </w:rPr>
        <w:t xml:space="preserve">Census Bureau employees and </w:t>
      </w:r>
      <w:r w:rsidR="006A08F8" w:rsidRPr="006A08F8">
        <w:rPr>
          <w:bCs/>
          <w:sz w:val="24"/>
        </w:rPr>
        <w:t>those holding Census Bureau Special Sworn Status pursuant to 13 U.S.C. Section 23(c).</w:t>
      </w:r>
    </w:p>
    <w:p w14:paraId="091DEFB3" w14:textId="77777777" w:rsidR="009B3794" w:rsidRPr="004F0887" w:rsidRDefault="009B3794" w:rsidP="00726ABF">
      <w:pPr>
        <w:numPr>
          <w:ilvl w:val="0"/>
          <w:numId w:val="1"/>
        </w:numPr>
        <w:tabs>
          <w:tab w:val="clear" w:pos="1080"/>
          <w:tab w:val="num" w:pos="360"/>
        </w:tabs>
        <w:spacing w:before="240"/>
        <w:ind w:left="360"/>
        <w:rPr>
          <w:b/>
          <w:sz w:val="24"/>
        </w:rPr>
      </w:pPr>
      <w:r w:rsidRPr="004F0887">
        <w:rPr>
          <w:b/>
          <w:sz w:val="24"/>
        </w:rPr>
        <w:t>Purpose and Use of Information Collection</w:t>
      </w:r>
    </w:p>
    <w:p w14:paraId="091DEFB4" w14:textId="29D48D07" w:rsidR="00F51B2D" w:rsidRDefault="00A11CBE" w:rsidP="00F51B2D">
      <w:pPr>
        <w:spacing w:before="240"/>
        <w:rPr>
          <w:sz w:val="24"/>
        </w:rPr>
      </w:pPr>
      <w:r>
        <w:rPr>
          <w:sz w:val="24"/>
        </w:rPr>
        <w:t>Data from the NSCH are used to measure progress on national performance and</w:t>
      </w:r>
      <w:r w:rsidR="009A1CB6">
        <w:rPr>
          <w:sz w:val="24"/>
        </w:rPr>
        <w:t xml:space="preserve"> outcome measures under </w:t>
      </w:r>
      <w:r w:rsidR="009A1CB6" w:rsidRPr="003C767D">
        <w:rPr>
          <w:sz w:val="24"/>
        </w:rPr>
        <w:t>Title V M</w:t>
      </w:r>
      <w:r w:rsidR="00306436">
        <w:rPr>
          <w:sz w:val="24"/>
        </w:rPr>
        <w:t xml:space="preserve">aternal and </w:t>
      </w:r>
      <w:r w:rsidR="009A1CB6" w:rsidRPr="003C767D">
        <w:rPr>
          <w:sz w:val="24"/>
        </w:rPr>
        <w:t>C</w:t>
      </w:r>
      <w:r w:rsidR="00306436">
        <w:rPr>
          <w:sz w:val="24"/>
        </w:rPr>
        <w:t xml:space="preserve">hild </w:t>
      </w:r>
      <w:r w:rsidR="009A1CB6" w:rsidRPr="003C767D">
        <w:rPr>
          <w:sz w:val="24"/>
        </w:rPr>
        <w:t>H</w:t>
      </w:r>
      <w:r w:rsidR="00306436">
        <w:rPr>
          <w:sz w:val="24"/>
        </w:rPr>
        <w:t>ealth</w:t>
      </w:r>
      <w:r w:rsidR="009A1CB6" w:rsidRPr="003C767D">
        <w:rPr>
          <w:sz w:val="24"/>
        </w:rPr>
        <w:t xml:space="preserve"> Services Block Grant</w:t>
      </w:r>
      <w:r w:rsidR="009A1CB6">
        <w:rPr>
          <w:sz w:val="24"/>
        </w:rPr>
        <w:t xml:space="preserve">. It is therefore critical that </w:t>
      </w:r>
      <w:r w:rsidR="00C06081">
        <w:rPr>
          <w:sz w:val="24"/>
        </w:rPr>
        <w:t xml:space="preserve">the </w:t>
      </w:r>
      <w:r w:rsidR="00213AD3">
        <w:rPr>
          <w:sz w:val="24"/>
        </w:rPr>
        <w:t>U.S.</w:t>
      </w:r>
      <w:r w:rsidR="00C06081">
        <w:rPr>
          <w:sz w:val="24"/>
        </w:rPr>
        <w:t xml:space="preserve"> </w:t>
      </w:r>
      <w:r w:rsidR="00B06D26">
        <w:rPr>
          <w:sz w:val="24"/>
        </w:rPr>
        <w:t>Census</w:t>
      </w:r>
      <w:r w:rsidR="00C06081">
        <w:rPr>
          <w:sz w:val="24"/>
        </w:rPr>
        <w:t xml:space="preserve"> Bureau</w:t>
      </w:r>
      <w:r w:rsidR="009A1CB6">
        <w:rPr>
          <w:sz w:val="24"/>
        </w:rPr>
        <w:t xml:space="preserve"> </w:t>
      </w:r>
      <w:r w:rsidR="00F44A87">
        <w:rPr>
          <w:sz w:val="24"/>
        </w:rPr>
        <w:t xml:space="preserve">conducts </w:t>
      </w:r>
      <w:r w:rsidR="00600BAC">
        <w:rPr>
          <w:sz w:val="24"/>
        </w:rPr>
        <w:t xml:space="preserve">this survey to </w:t>
      </w:r>
      <w:r w:rsidR="00600BAC" w:rsidRPr="0051063C">
        <w:rPr>
          <w:sz w:val="24"/>
        </w:rPr>
        <w:t xml:space="preserve">collect information on factors related to the well-being of children, including access to </w:t>
      </w:r>
      <w:r w:rsidR="00F44A87">
        <w:rPr>
          <w:sz w:val="24"/>
        </w:rPr>
        <w:t xml:space="preserve">and quality of </w:t>
      </w:r>
      <w:r w:rsidR="00600BAC" w:rsidRPr="0051063C">
        <w:rPr>
          <w:sz w:val="24"/>
        </w:rPr>
        <w:t xml:space="preserve">health care, family interactions, parental health, school and after-school experiences, and neighborhood characteristics. </w:t>
      </w:r>
    </w:p>
    <w:p w14:paraId="091DEFB5" w14:textId="77777777" w:rsidR="003077C1" w:rsidRDefault="003077C1" w:rsidP="00F51B2D">
      <w:pPr>
        <w:spacing w:before="240"/>
        <w:rPr>
          <w:sz w:val="24"/>
        </w:rPr>
      </w:pPr>
      <w:r>
        <w:rPr>
          <w:sz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14:paraId="091DEFB6" w14:textId="77777777" w:rsidR="00A5146C" w:rsidRPr="004F0887" w:rsidRDefault="009B3794" w:rsidP="00726ABF">
      <w:pPr>
        <w:numPr>
          <w:ilvl w:val="0"/>
          <w:numId w:val="1"/>
        </w:numPr>
        <w:tabs>
          <w:tab w:val="clear" w:pos="1080"/>
          <w:tab w:val="num" w:pos="360"/>
        </w:tabs>
        <w:spacing w:before="240"/>
        <w:ind w:left="360"/>
        <w:rPr>
          <w:sz w:val="24"/>
        </w:rPr>
      </w:pPr>
      <w:r w:rsidRPr="004F0887">
        <w:rPr>
          <w:b/>
          <w:sz w:val="24"/>
        </w:rPr>
        <w:t>Use of Improved Information Technology and Burden Reduction</w:t>
      </w:r>
    </w:p>
    <w:p w14:paraId="091DEFB7" w14:textId="20CFD292" w:rsidR="00A5146C" w:rsidRDefault="00892B9F" w:rsidP="00C13221">
      <w:pPr>
        <w:pStyle w:val="P1-StandPara"/>
        <w:spacing w:before="240" w:line="240" w:lineRule="auto"/>
        <w:ind w:firstLine="0"/>
        <w:jc w:val="left"/>
        <w:rPr>
          <w:sz w:val="24"/>
        </w:rPr>
      </w:pPr>
      <w:r>
        <w:rPr>
          <w:sz w:val="24"/>
        </w:rPr>
        <w:t xml:space="preserve">The 2016 NSCH </w:t>
      </w:r>
      <w:r w:rsidRPr="00A5146C">
        <w:rPr>
          <w:sz w:val="24"/>
        </w:rPr>
        <w:t xml:space="preserve">will be conducted for </w:t>
      </w:r>
      <w:r>
        <w:rPr>
          <w:sz w:val="24"/>
        </w:rPr>
        <w:t>HRSA MCHB</w:t>
      </w:r>
      <w:r w:rsidRPr="00A5146C">
        <w:rPr>
          <w:sz w:val="24"/>
        </w:rPr>
        <w:t xml:space="preserve"> by the </w:t>
      </w:r>
      <w:r>
        <w:rPr>
          <w:sz w:val="24"/>
        </w:rPr>
        <w:t>Census Bureau in Web Push + Mail multi-mode format. The primary mode</w:t>
      </w:r>
      <w:r w:rsidR="00595FF2">
        <w:rPr>
          <w:sz w:val="24"/>
        </w:rPr>
        <w:t xml:space="preserve">, </w:t>
      </w:r>
      <w:r w:rsidR="00BA6FF8">
        <w:rPr>
          <w:sz w:val="24"/>
        </w:rPr>
        <w:t>a Centurion Web instrument</w:t>
      </w:r>
      <w:r>
        <w:rPr>
          <w:sz w:val="24"/>
        </w:rPr>
        <w:t>,</w:t>
      </w:r>
      <w:r w:rsidR="00BA6FF8">
        <w:rPr>
          <w:sz w:val="24"/>
        </w:rPr>
        <w:t xml:space="preserve"> allowing online reporting </w:t>
      </w:r>
      <w:r w:rsidR="00BA6FF8" w:rsidRPr="00A5146C">
        <w:rPr>
          <w:sz w:val="24"/>
        </w:rPr>
        <w:t>will improve the efficiency and accuracy of the data collection process</w:t>
      </w:r>
      <w:r w:rsidR="00BA6FF8">
        <w:rPr>
          <w:sz w:val="24"/>
        </w:rPr>
        <w:t xml:space="preserve"> by </w:t>
      </w:r>
      <w:r>
        <w:rPr>
          <w:sz w:val="24"/>
        </w:rPr>
        <w:t>providing</w:t>
      </w:r>
      <w:r w:rsidR="00BA6FF8">
        <w:rPr>
          <w:sz w:val="24"/>
        </w:rPr>
        <w:t xml:space="preserve"> respondents </w:t>
      </w:r>
      <w:r>
        <w:rPr>
          <w:sz w:val="24"/>
        </w:rPr>
        <w:t xml:space="preserve">the opportunity </w:t>
      </w:r>
      <w:r w:rsidR="00BA6FF8">
        <w:rPr>
          <w:sz w:val="24"/>
        </w:rPr>
        <w:t>to complete both the screener and topical survey instruments at one time, and minimize burden and material costs.  Following the initial opportunities to respond electronically, data collection will augment online data collection with a p</w:t>
      </w:r>
      <w:r w:rsidR="00812817">
        <w:rPr>
          <w:sz w:val="24"/>
        </w:rPr>
        <w:t>aper data collection mode.  The paper data collection</w:t>
      </w:r>
      <w:r w:rsidR="00BA6FF8">
        <w:rPr>
          <w:sz w:val="24"/>
        </w:rPr>
        <w:t xml:space="preserve"> will rely on </w:t>
      </w:r>
      <w:r w:rsidR="00516D71">
        <w:rPr>
          <w:sz w:val="24"/>
        </w:rPr>
        <w:t xml:space="preserve">three </w:t>
      </w:r>
      <w:r w:rsidR="00BA6FF8">
        <w:rPr>
          <w:sz w:val="24"/>
        </w:rPr>
        <w:t xml:space="preserve">complementary survey systems to efficiently administer this </w:t>
      </w:r>
      <w:r w:rsidR="00812817">
        <w:rPr>
          <w:sz w:val="24"/>
        </w:rPr>
        <w:t>mode</w:t>
      </w:r>
      <w:r w:rsidR="00BA6FF8">
        <w:rPr>
          <w:sz w:val="24"/>
        </w:rPr>
        <w:t xml:space="preserve"> of data collection: </w:t>
      </w:r>
      <w:r w:rsidR="00A5146C" w:rsidRPr="00A5146C">
        <w:rPr>
          <w:sz w:val="24"/>
        </w:rPr>
        <w:t>(1) Amgraf One Form Plus, (2) Docuprint</w:t>
      </w:r>
      <w:r w:rsidR="00516D71">
        <w:rPr>
          <w:sz w:val="24"/>
        </w:rPr>
        <w:t>, and (3) integrated Computer-</w:t>
      </w:r>
      <w:r w:rsidR="00A5146C" w:rsidRPr="00A5146C">
        <w:rPr>
          <w:sz w:val="24"/>
        </w:rPr>
        <w:t>Assisted Data Entry (iCADE).</w:t>
      </w:r>
      <w:r w:rsidR="00A55BCB">
        <w:rPr>
          <w:sz w:val="24"/>
        </w:rPr>
        <w:t xml:space="preserve"> </w:t>
      </w:r>
    </w:p>
    <w:p w14:paraId="091DEFB8" w14:textId="77777777" w:rsidR="00A55BCB" w:rsidRPr="00A5146C" w:rsidRDefault="00A55BCB" w:rsidP="00C13221">
      <w:pPr>
        <w:pStyle w:val="P1-StandPara"/>
        <w:spacing w:line="240" w:lineRule="auto"/>
        <w:ind w:firstLine="0"/>
        <w:jc w:val="left"/>
        <w:rPr>
          <w:sz w:val="24"/>
        </w:rPr>
      </w:pPr>
    </w:p>
    <w:p w14:paraId="77FCC904" w14:textId="08B80055" w:rsidR="00595FF2" w:rsidRPr="00A772C9" w:rsidRDefault="00595FF2" w:rsidP="00595FF2">
      <w:pPr>
        <w:pStyle w:val="N2-2ndBullet"/>
        <w:numPr>
          <w:ilvl w:val="0"/>
          <w:numId w:val="4"/>
        </w:numPr>
        <w:spacing w:after="0" w:line="240" w:lineRule="auto"/>
        <w:jc w:val="left"/>
        <w:rPr>
          <w:sz w:val="24"/>
        </w:rPr>
      </w:pPr>
      <w:r>
        <w:rPr>
          <w:b/>
          <w:sz w:val="24"/>
        </w:rPr>
        <w:t>O</w:t>
      </w:r>
      <w:r w:rsidRPr="00CE44A5">
        <w:rPr>
          <w:b/>
          <w:sz w:val="24"/>
        </w:rPr>
        <w:t xml:space="preserve">nline Reporting. </w:t>
      </w:r>
      <w:r w:rsidRPr="00CE44A5">
        <w:rPr>
          <w:sz w:val="24"/>
        </w:rPr>
        <w:t>Th</w:t>
      </w:r>
      <w:r>
        <w:rPr>
          <w:sz w:val="24"/>
        </w:rPr>
        <w:t xml:space="preserve">e </w:t>
      </w:r>
      <w:r w:rsidR="00787A42">
        <w:rPr>
          <w:sz w:val="24"/>
        </w:rPr>
        <w:t xml:space="preserve">2016 </w:t>
      </w:r>
      <w:r>
        <w:rPr>
          <w:sz w:val="24"/>
        </w:rPr>
        <w:t xml:space="preserve">NSCH </w:t>
      </w:r>
      <w:r w:rsidRPr="00CE44A5">
        <w:rPr>
          <w:sz w:val="24"/>
        </w:rPr>
        <w:t xml:space="preserve">will </w:t>
      </w:r>
      <w:r w:rsidR="00787A42">
        <w:rPr>
          <w:sz w:val="24"/>
        </w:rPr>
        <w:t xml:space="preserve">utilize online data collection with follow-up paper data collection as the primary collection modes.  The online </w:t>
      </w:r>
      <w:r w:rsidRPr="00CE44A5">
        <w:rPr>
          <w:sz w:val="24"/>
        </w:rPr>
        <w:t>data collection mode allows for features that reduce respondent burden</w:t>
      </w:r>
      <w:r>
        <w:rPr>
          <w:sz w:val="24"/>
        </w:rPr>
        <w:t xml:space="preserve"> as well as</w:t>
      </w:r>
      <w:r w:rsidRPr="00CE44A5">
        <w:rPr>
          <w:sz w:val="24"/>
        </w:rPr>
        <w:t xml:space="preserve"> report results more</w:t>
      </w:r>
      <w:r>
        <w:rPr>
          <w:sz w:val="24"/>
        </w:rPr>
        <w:t xml:space="preserve"> </w:t>
      </w:r>
      <w:r w:rsidRPr="00CE44A5">
        <w:rPr>
          <w:sz w:val="24"/>
        </w:rPr>
        <w:t xml:space="preserve">quickly and at considerably less cost.  In general, respondents find it less taxing to provide sensitive information about their children in self-administered surveys; however, </w:t>
      </w:r>
      <w:r w:rsidRPr="00CE44A5">
        <w:rPr>
          <w:sz w:val="24"/>
        </w:rPr>
        <w:lastRenderedPageBreak/>
        <w:t>because of the significant number of filter questions, paper</w:t>
      </w:r>
      <w:r>
        <w:rPr>
          <w:sz w:val="24"/>
        </w:rPr>
        <w:t>-</w:t>
      </w:r>
      <w:r w:rsidRPr="00CE44A5">
        <w:rPr>
          <w:sz w:val="24"/>
        </w:rPr>
        <w:t>and</w:t>
      </w:r>
      <w:r>
        <w:rPr>
          <w:sz w:val="24"/>
        </w:rPr>
        <w:t>-</w:t>
      </w:r>
      <w:r w:rsidRPr="00CE44A5">
        <w:rPr>
          <w:sz w:val="24"/>
        </w:rPr>
        <w:t>pencil versions of the sur</w:t>
      </w:r>
      <w:r>
        <w:rPr>
          <w:sz w:val="24"/>
        </w:rPr>
        <w:t>vey appear quite lengthy.  The W</w:t>
      </w:r>
      <w:r w:rsidRPr="00CE44A5">
        <w:rPr>
          <w:sz w:val="24"/>
        </w:rPr>
        <w:t>eb-based survey allows for the programming of skip patterns similar to the original telephone interview ver</w:t>
      </w:r>
      <w:r>
        <w:rPr>
          <w:sz w:val="24"/>
        </w:rPr>
        <w:t>sion of the survey.  Thus, the W</w:t>
      </w:r>
      <w:r w:rsidRPr="00CE44A5">
        <w:rPr>
          <w:sz w:val="24"/>
        </w:rPr>
        <w:t xml:space="preserve">eb-based format allows for the comfort of self-administration with the ease of seeing and subsequently answering only questions relevant to a particular respondent.  </w:t>
      </w:r>
    </w:p>
    <w:p w14:paraId="2BD24ECF" w14:textId="77777777" w:rsidR="00595FF2" w:rsidRPr="00595FF2" w:rsidRDefault="00595FF2" w:rsidP="00595FF2">
      <w:pPr>
        <w:pStyle w:val="P1-StandPara"/>
        <w:spacing w:line="240" w:lineRule="auto"/>
        <w:ind w:left="825" w:firstLine="0"/>
        <w:jc w:val="left"/>
        <w:rPr>
          <w:sz w:val="24"/>
        </w:rPr>
      </w:pPr>
    </w:p>
    <w:p w14:paraId="091DEFBC" w14:textId="1992DAA2" w:rsidR="0006040C" w:rsidRDefault="00A5146C" w:rsidP="00892B9F">
      <w:pPr>
        <w:pStyle w:val="P1-StandPara"/>
        <w:numPr>
          <w:ilvl w:val="0"/>
          <w:numId w:val="4"/>
        </w:numPr>
        <w:spacing w:line="240" w:lineRule="auto"/>
        <w:jc w:val="left"/>
        <w:rPr>
          <w:sz w:val="24"/>
        </w:rPr>
      </w:pPr>
      <w:r w:rsidRPr="00A5146C">
        <w:rPr>
          <w:b/>
          <w:sz w:val="24"/>
        </w:rPr>
        <w:t>Forms Design.</w:t>
      </w:r>
      <w:r w:rsidRPr="00A5146C">
        <w:rPr>
          <w:sz w:val="24"/>
        </w:rPr>
        <w:t xml:space="preserve"> </w:t>
      </w:r>
      <w:r w:rsidR="00892B9F" w:rsidRPr="00C51518">
        <w:rPr>
          <w:sz w:val="24"/>
        </w:rPr>
        <w:t>Questionnaires will be created using Amgraf One Form Plus.   Completed hardcopy forms can be processed by iCADE to capture responses through optical mark recognition (OMR) and keying from image (KFI). Questionnaires will be printed, trimmed, and stitched through an in-house print on-demand process using a Docuprint system which allows personalization and the ability to tailor items to each specific respondent.</w:t>
      </w:r>
      <w:r w:rsidR="00892B9F">
        <w:rPr>
          <w:sz w:val="24"/>
        </w:rPr>
        <w:t xml:space="preserve"> </w:t>
      </w:r>
      <w:r w:rsidR="00892B9F" w:rsidRPr="00C51518">
        <w:rPr>
          <w:sz w:val="24"/>
        </w:rPr>
        <w:t>The data from the questionnaires will be captured by the iCADE technology/software, which automatically extracts all check box entries (OMR), captures, and displays an image of all other entries to an operator for KFI.</w:t>
      </w:r>
    </w:p>
    <w:p w14:paraId="489F126E" w14:textId="77777777" w:rsidR="00892B9F" w:rsidRPr="00A5146C" w:rsidRDefault="00892B9F" w:rsidP="00892B9F">
      <w:pPr>
        <w:pStyle w:val="P1-StandPara"/>
        <w:spacing w:line="240" w:lineRule="auto"/>
        <w:ind w:firstLine="0"/>
        <w:jc w:val="left"/>
        <w:rPr>
          <w:sz w:val="24"/>
        </w:rPr>
      </w:pPr>
    </w:p>
    <w:p w14:paraId="091DEFBD" w14:textId="3DCCA652" w:rsidR="00A5146C" w:rsidRDefault="00A5146C" w:rsidP="00726ABF">
      <w:pPr>
        <w:pStyle w:val="P1-StandPara"/>
        <w:numPr>
          <w:ilvl w:val="0"/>
          <w:numId w:val="4"/>
        </w:numPr>
        <w:spacing w:line="240" w:lineRule="auto"/>
        <w:jc w:val="left"/>
        <w:rPr>
          <w:sz w:val="24"/>
        </w:rPr>
      </w:pPr>
      <w:r w:rsidRPr="00A5146C">
        <w:rPr>
          <w:b/>
          <w:sz w:val="24"/>
        </w:rPr>
        <w:t>Image Preprocessing.</w:t>
      </w:r>
      <w:r w:rsidRPr="00A5146C">
        <w:rPr>
          <w:sz w:val="24"/>
        </w:rPr>
        <w:t xml:space="preserve"> </w:t>
      </w:r>
      <w:r w:rsidR="00892B9F" w:rsidRPr="003B6A86">
        <w:rPr>
          <w:sz w:val="24"/>
        </w:rPr>
        <w:t>The iCADE software performs a registration process for each individual questionnaire page to match to the appropriate page template.  This also allows for corrections due to any skewing during scanning.</w:t>
      </w:r>
    </w:p>
    <w:p w14:paraId="091DEFBE" w14:textId="77777777" w:rsidR="0006040C" w:rsidRPr="00A5146C" w:rsidRDefault="0006040C" w:rsidP="00C13221">
      <w:pPr>
        <w:pStyle w:val="P1-StandPara"/>
        <w:spacing w:line="240" w:lineRule="auto"/>
        <w:ind w:left="825" w:firstLine="0"/>
        <w:jc w:val="left"/>
        <w:rPr>
          <w:sz w:val="24"/>
        </w:rPr>
      </w:pPr>
    </w:p>
    <w:p w14:paraId="091DEFBF" w14:textId="77777777" w:rsidR="00A5146C" w:rsidRDefault="00A5146C" w:rsidP="00726ABF">
      <w:pPr>
        <w:pStyle w:val="P1-StandPara"/>
        <w:numPr>
          <w:ilvl w:val="0"/>
          <w:numId w:val="4"/>
        </w:numPr>
        <w:spacing w:line="240" w:lineRule="auto"/>
        <w:jc w:val="left"/>
        <w:rPr>
          <w:sz w:val="24"/>
        </w:rPr>
      </w:pPr>
      <w:r w:rsidRPr="00A5146C">
        <w:rPr>
          <w:b/>
          <w:sz w:val="24"/>
        </w:rPr>
        <w:t>Data Capture.</w:t>
      </w:r>
      <w:r w:rsidRPr="00A5146C">
        <w:rPr>
          <w:sz w:val="24"/>
        </w:rPr>
        <w:t xml:space="preserve"> iCADE reads the form image files, checks the presence of data, processes all check box fields through OMR and presents an image of the handwritten fields to an operator for KFI. </w:t>
      </w:r>
    </w:p>
    <w:p w14:paraId="091DEFC0" w14:textId="77777777" w:rsidR="0006040C" w:rsidRPr="00A5146C" w:rsidRDefault="0006040C" w:rsidP="00C13221">
      <w:pPr>
        <w:pStyle w:val="P1-StandPara"/>
        <w:spacing w:line="240" w:lineRule="auto"/>
        <w:ind w:firstLine="0"/>
        <w:jc w:val="left"/>
        <w:rPr>
          <w:sz w:val="24"/>
        </w:rPr>
      </w:pPr>
    </w:p>
    <w:p w14:paraId="091DEFC1" w14:textId="77777777" w:rsidR="00A5146C" w:rsidRDefault="00A5146C" w:rsidP="00726ABF">
      <w:pPr>
        <w:pStyle w:val="P1-StandPara"/>
        <w:numPr>
          <w:ilvl w:val="0"/>
          <w:numId w:val="4"/>
        </w:numPr>
        <w:spacing w:line="240" w:lineRule="auto"/>
        <w:jc w:val="left"/>
        <w:rPr>
          <w:sz w:val="24"/>
        </w:rPr>
      </w:pPr>
      <w:r w:rsidRPr="00A5146C">
        <w:rPr>
          <w:b/>
          <w:sz w:val="24"/>
        </w:rPr>
        <w:t>Verification.</w:t>
      </w:r>
      <w:r w:rsidRPr="00A5146C">
        <w:rPr>
          <w:sz w:val="24"/>
        </w:rPr>
        <w:t xml:space="preserve"> Extracted KFI data are subject to 100% field validation according to project specifications. If a data value violates validation rules, the data is flagged for review by verifiers who interactively review the images and the corresponding extracted data, and resolve validation errors. </w:t>
      </w:r>
    </w:p>
    <w:p w14:paraId="091DEFC2" w14:textId="77777777" w:rsidR="00516D71" w:rsidRPr="00A5146C" w:rsidRDefault="00516D71" w:rsidP="00516D71">
      <w:pPr>
        <w:pStyle w:val="P1-StandPara"/>
        <w:spacing w:line="240" w:lineRule="auto"/>
        <w:ind w:firstLine="0"/>
        <w:jc w:val="left"/>
        <w:rPr>
          <w:sz w:val="24"/>
        </w:rPr>
      </w:pPr>
    </w:p>
    <w:p w14:paraId="091DEFC3" w14:textId="77777777" w:rsidR="00A5146C" w:rsidRDefault="00A5146C" w:rsidP="00726ABF">
      <w:pPr>
        <w:pStyle w:val="N2-2ndBullet"/>
        <w:numPr>
          <w:ilvl w:val="0"/>
          <w:numId w:val="4"/>
        </w:numPr>
        <w:tabs>
          <w:tab w:val="clear" w:pos="1728"/>
        </w:tabs>
        <w:spacing w:after="0" w:line="240" w:lineRule="auto"/>
        <w:jc w:val="left"/>
        <w:rPr>
          <w:sz w:val="24"/>
        </w:rPr>
      </w:pPr>
      <w:r w:rsidRPr="00A5146C">
        <w:rPr>
          <w:b/>
          <w:sz w:val="24"/>
        </w:rPr>
        <w:t>Archiving.</w:t>
      </w:r>
      <w:r w:rsidRPr="00A5146C">
        <w:rPr>
          <w:sz w:val="24"/>
        </w:rPr>
        <w:t xml:space="preserve"> Images will be scanned and archived to magnetic storage located on a secured server in case they are needed later. This eliminates the need to save paper copies of the completed questionnaires. </w:t>
      </w:r>
    </w:p>
    <w:p w14:paraId="091DEFC4" w14:textId="77777777" w:rsidR="00A90F7E" w:rsidRDefault="00A90F7E" w:rsidP="00C13221">
      <w:pPr>
        <w:pStyle w:val="N2-2ndBullet"/>
        <w:numPr>
          <w:ilvl w:val="0"/>
          <w:numId w:val="0"/>
        </w:numPr>
        <w:tabs>
          <w:tab w:val="clear" w:pos="1728"/>
        </w:tabs>
        <w:spacing w:after="0" w:line="240" w:lineRule="auto"/>
        <w:ind w:left="825"/>
        <w:jc w:val="left"/>
        <w:rPr>
          <w:sz w:val="24"/>
        </w:rPr>
      </w:pPr>
    </w:p>
    <w:p w14:paraId="091DEFC6" w14:textId="77777777" w:rsidR="00DF21E0" w:rsidRPr="004F0887" w:rsidRDefault="009B3794" w:rsidP="00726ABF">
      <w:pPr>
        <w:numPr>
          <w:ilvl w:val="0"/>
          <w:numId w:val="1"/>
        </w:numPr>
        <w:tabs>
          <w:tab w:val="clear" w:pos="1080"/>
          <w:tab w:val="num" w:pos="360"/>
        </w:tabs>
        <w:spacing w:before="240"/>
        <w:ind w:left="360"/>
        <w:rPr>
          <w:b/>
          <w:sz w:val="24"/>
        </w:rPr>
      </w:pPr>
      <w:r w:rsidRPr="004F0887">
        <w:rPr>
          <w:b/>
          <w:sz w:val="24"/>
        </w:rPr>
        <w:t>Efforts to  Identify Duplication and Use of Similar Information</w:t>
      </w:r>
    </w:p>
    <w:p w14:paraId="091DEFC7" w14:textId="5ACDE096" w:rsidR="00770656" w:rsidRDefault="00E20105" w:rsidP="00C13221">
      <w:pPr>
        <w:spacing w:before="240"/>
        <w:rPr>
          <w:sz w:val="24"/>
        </w:rPr>
      </w:pPr>
      <w:r>
        <w:rPr>
          <w:sz w:val="24"/>
        </w:rPr>
        <w:t xml:space="preserve">The </w:t>
      </w:r>
      <w:r w:rsidR="00FE0224">
        <w:rPr>
          <w:sz w:val="24"/>
        </w:rPr>
        <w:t xml:space="preserve">NSCH </w:t>
      </w:r>
      <w:r>
        <w:rPr>
          <w:sz w:val="24"/>
        </w:rPr>
        <w:t>has been conducted since 2003 under the auspices of the National Center for Health Statistics</w:t>
      </w:r>
      <w:r w:rsidR="00FE0224">
        <w:rPr>
          <w:sz w:val="24"/>
        </w:rPr>
        <w:t xml:space="preserve"> on behalf of the Maternal and Child Health Bureau</w:t>
      </w:r>
      <w:r>
        <w:rPr>
          <w:sz w:val="24"/>
        </w:rPr>
        <w:t xml:space="preserve">. In companion with the National Survey of Children with Special Health Care Needs, the NSCH is considered the </w:t>
      </w:r>
      <w:r w:rsidR="00FE0224">
        <w:rPr>
          <w:sz w:val="24"/>
        </w:rPr>
        <w:t xml:space="preserve">most robust </w:t>
      </w:r>
      <w:r>
        <w:rPr>
          <w:sz w:val="24"/>
        </w:rPr>
        <w:t xml:space="preserve">data source </w:t>
      </w:r>
      <w:r w:rsidR="00FE0224">
        <w:rPr>
          <w:sz w:val="24"/>
        </w:rPr>
        <w:t>available</w:t>
      </w:r>
      <w:r w:rsidR="00FF1EA8">
        <w:rPr>
          <w:sz w:val="24"/>
        </w:rPr>
        <w:t xml:space="preserve"> at national and state levels</w:t>
      </w:r>
      <w:r w:rsidR="00FE0224">
        <w:rPr>
          <w:sz w:val="24"/>
        </w:rPr>
        <w:t xml:space="preserve"> </w:t>
      </w:r>
      <w:r>
        <w:rPr>
          <w:sz w:val="24"/>
        </w:rPr>
        <w:t>on children’s health and well-being</w:t>
      </w:r>
      <w:r w:rsidR="00FF1EA8">
        <w:rPr>
          <w:sz w:val="24"/>
        </w:rPr>
        <w:t xml:space="preserve">. These data are </w:t>
      </w:r>
      <w:r w:rsidR="00FE0224">
        <w:rPr>
          <w:sz w:val="24"/>
        </w:rPr>
        <w:t xml:space="preserve">cited broadly in </w:t>
      </w:r>
      <w:r w:rsidR="00A118AA">
        <w:rPr>
          <w:sz w:val="24"/>
        </w:rPr>
        <w:t xml:space="preserve">research </w:t>
      </w:r>
      <w:r w:rsidR="00FE0224">
        <w:rPr>
          <w:sz w:val="24"/>
        </w:rPr>
        <w:t>literature (</w:t>
      </w:r>
      <w:hyperlink r:id="rId12" w:history="1">
        <w:r w:rsidR="00FF1EA8" w:rsidRPr="006C3424">
          <w:rPr>
            <w:rStyle w:val="Hyperlink"/>
            <w:sz w:val="24"/>
          </w:rPr>
          <w:t>http://www.cdc.gov/nchs/slaits/slaits_products.htm</w:t>
        </w:r>
      </w:hyperlink>
      <w:r w:rsidR="00FE0224">
        <w:rPr>
          <w:sz w:val="24"/>
        </w:rPr>
        <w:t>)</w:t>
      </w:r>
      <w:r w:rsidR="00A118AA">
        <w:rPr>
          <w:sz w:val="24"/>
        </w:rPr>
        <w:t>.</w:t>
      </w:r>
      <w:r w:rsidR="00770656">
        <w:rPr>
          <w:sz w:val="24"/>
        </w:rPr>
        <w:t xml:space="preserve">   </w:t>
      </w:r>
      <w:r w:rsidR="00FF1EA8">
        <w:rPr>
          <w:sz w:val="24"/>
        </w:rPr>
        <w:t xml:space="preserve">    </w:t>
      </w:r>
      <w:r>
        <w:rPr>
          <w:sz w:val="24"/>
        </w:rPr>
        <w:t xml:space="preserve"> </w:t>
      </w:r>
      <w:r w:rsidR="00FE0224">
        <w:rPr>
          <w:sz w:val="24"/>
        </w:rPr>
        <w:t xml:space="preserve"> </w:t>
      </w:r>
    </w:p>
    <w:p w14:paraId="7FE6D2D7" w14:textId="77777777" w:rsidR="005734E4" w:rsidRDefault="005734E4" w:rsidP="005734E4">
      <w:pPr>
        <w:spacing w:before="240"/>
        <w:rPr>
          <w:sz w:val="24"/>
        </w:rPr>
      </w:pPr>
      <w:r>
        <w:rPr>
          <w:sz w:val="24"/>
        </w:rPr>
        <w:t xml:space="preserve">Perhaps the most significant source of duplication was between the NSCH and the NS-CSHCN.  A key objective in developing this “new” NSCH instrument is to consolidate the “old” NSCH and the NS-CSHCN into one survey, reducing redundancy in the collection of data and the burden on households that accompanied the administration of two separate surveys.  The NSCH 2015 pretest demonstrated the feasibility of conducting the new condensed NSCH using web and mail as new modes of administration.  </w:t>
      </w:r>
    </w:p>
    <w:p w14:paraId="091DEFC9" w14:textId="5A33218E" w:rsidR="00892D61" w:rsidRPr="00E027E1" w:rsidRDefault="00892D61" w:rsidP="00E027E1">
      <w:pPr>
        <w:spacing w:before="240"/>
        <w:rPr>
          <w:sz w:val="24"/>
        </w:rPr>
      </w:pPr>
      <w:r w:rsidRPr="00E027E1">
        <w:rPr>
          <w:sz w:val="24"/>
        </w:rPr>
        <w:t xml:space="preserve">In the process of redesigning these two surveys into one survey </w:t>
      </w:r>
      <w:r w:rsidR="00B667D0">
        <w:rPr>
          <w:sz w:val="24"/>
        </w:rPr>
        <w:t>and eliminating</w:t>
      </w:r>
      <w:r w:rsidR="007A7CF0">
        <w:rPr>
          <w:sz w:val="24"/>
        </w:rPr>
        <w:t xml:space="preserve"> redundancies in questionnaire items</w:t>
      </w:r>
      <w:r w:rsidRPr="00E027E1">
        <w:rPr>
          <w:sz w:val="24"/>
        </w:rPr>
        <w:t xml:space="preserve">, the new NSCH will </w:t>
      </w:r>
      <w:r w:rsidR="00F44A87">
        <w:rPr>
          <w:sz w:val="24"/>
        </w:rPr>
        <w:t xml:space="preserve">also </w:t>
      </w:r>
      <w:r w:rsidR="00862EB4">
        <w:rPr>
          <w:sz w:val="24"/>
        </w:rPr>
        <w:t>include</w:t>
      </w:r>
      <w:r w:rsidRPr="00E027E1">
        <w:rPr>
          <w:sz w:val="24"/>
        </w:rPr>
        <w:t xml:space="preserve"> new content </w:t>
      </w:r>
      <w:r w:rsidR="00601857">
        <w:rPr>
          <w:sz w:val="24"/>
        </w:rPr>
        <w:t xml:space="preserve">(see Apppendix D, List of new survey items) </w:t>
      </w:r>
      <w:r w:rsidRPr="00E027E1">
        <w:rPr>
          <w:sz w:val="24"/>
        </w:rPr>
        <w:t>on the following topics</w:t>
      </w:r>
      <w:r w:rsidR="007A7CF0">
        <w:rPr>
          <w:sz w:val="24"/>
        </w:rPr>
        <w:t xml:space="preserve"> </w:t>
      </w:r>
      <w:r w:rsidR="00862EB4">
        <w:rPr>
          <w:sz w:val="24"/>
        </w:rPr>
        <w:t xml:space="preserve">based on pretest results, to </w:t>
      </w:r>
      <w:r w:rsidR="007A7CF0">
        <w:rPr>
          <w:sz w:val="24"/>
        </w:rPr>
        <w:t>support programs and policies related to children’s health and children with special health care needs</w:t>
      </w:r>
      <w:r w:rsidRPr="00E027E1">
        <w:rPr>
          <w:sz w:val="24"/>
        </w:rPr>
        <w:t xml:space="preserve">:  </w:t>
      </w:r>
    </w:p>
    <w:p w14:paraId="5E86D0EF" w14:textId="1E1187AA" w:rsidR="00CE01E8" w:rsidRDefault="009458EB" w:rsidP="007A7CF0">
      <w:pPr>
        <w:pStyle w:val="ListParagraph"/>
        <w:numPr>
          <w:ilvl w:val="0"/>
          <w:numId w:val="7"/>
        </w:numPr>
        <w:spacing w:before="240"/>
        <w:rPr>
          <w:sz w:val="24"/>
        </w:rPr>
      </w:pPr>
      <w:r>
        <w:rPr>
          <w:sz w:val="24"/>
        </w:rPr>
        <w:t>One item on child care or p</w:t>
      </w:r>
      <w:r w:rsidR="00FF69BA">
        <w:rPr>
          <w:sz w:val="24"/>
        </w:rPr>
        <w:t>reschool</w:t>
      </w:r>
      <w:r w:rsidR="009E25D0">
        <w:rPr>
          <w:sz w:val="24"/>
        </w:rPr>
        <w:t xml:space="preserve"> expulsion</w:t>
      </w:r>
      <w:r>
        <w:rPr>
          <w:sz w:val="24"/>
        </w:rPr>
        <w:t xml:space="preserve"> inquiring if a child has been kept home due to behavior (hitting, kicking, biting, tantrums or disobeying)</w:t>
      </w:r>
    </w:p>
    <w:p w14:paraId="41B02894" w14:textId="53CC5B63" w:rsidR="009458EB" w:rsidRPr="007A7CF0" w:rsidRDefault="009458EB" w:rsidP="007A7CF0">
      <w:pPr>
        <w:pStyle w:val="ListParagraph"/>
        <w:numPr>
          <w:ilvl w:val="0"/>
          <w:numId w:val="7"/>
        </w:numPr>
        <w:spacing w:before="240"/>
        <w:rPr>
          <w:sz w:val="24"/>
        </w:rPr>
      </w:pPr>
      <w:r>
        <w:rPr>
          <w:sz w:val="24"/>
        </w:rPr>
        <w:t xml:space="preserve">Four items in the school readiness section related </w:t>
      </w:r>
      <w:r w:rsidR="008B4052">
        <w:rPr>
          <w:sz w:val="24"/>
        </w:rPr>
        <w:t>to social/emotional development.</w:t>
      </w:r>
      <w:r>
        <w:rPr>
          <w:sz w:val="24"/>
        </w:rPr>
        <w:t xml:space="preserve"> </w:t>
      </w:r>
    </w:p>
    <w:p w14:paraId="091DEFCF" w14:textId="77777777" w:rsidR="009B3794" w:rsidRPr="004F0887" w:rsidRDefault="009B3794" w:rsidP="00726ABF">
      <w:pPr>
        <w:numPr>
          <w:ilvl w:val="0"/>
          <w:numId w:val="1"/>
        </w:numPr>
        <w:tabs>
          <w:tab w:val="clear" w:pos="1080"/>
          <w:tab w:val="num" w:pos="360"/>
        </w:tabs>
        <w:spacing w:before="240"/>
        <w:ind w:left="360"/>
        <w:rPr>
          <w:color w:val="000000"/>
          <w:sz w:val="24"/>
        </w:rPr>
      </w:pPr>
      <w:r w:rsidRPr="004F0887">
        <w:rPr>
          <w:b/>
          <w:sz w:val="24"/>
        </w:rPr>
        <w:t>Impact on Small Businesses or Other Small Entities</w:t>
      </w:r>
    </w:p>
    <w:p w14:paraId="091DEFD0" w14:textId="77777777" w:rsidR="00295D80" w:rsidRPr="00A772C9" w:rsidRDefault="00295D80" w:rsidP="00295D80">
      <w:pPr>
        <w:spacing w:before="240"/>
        <w:rPr>
          <w:sz w:val="24"/>
        </w:rPr>
      </w:pPr>
      <w:r>
        <w:rPr>
          <w:sz w:val="24"/>
        </w:rPr>
        <w:t>Not applicable.</w:t>
      </w:r>
    </w:p>
    <w:p w14:paraId="091DEFD1" w14:textId="77777777" w:rsidR="00C13221" w:rsidRPr="004F0887" w:rsidRDefault="009B3794" w:rsidP="00726ABF">
      <w:pPr>
        <w:numPr>
          <w:ilvl w:val="0"/>
          <w:numId w:val="1"/>
        </w:numPr>
        <w:tabs>
          <w:tab w:val="clear" w:pos="1080"/>
          <w:tab w:val="num" w:pos="360"/>
        </w:tabs>
        <w:spacing w:before="240"/>
        <w:ind w:left="360"/>
        <w:rPr>
          <w:b/>
          <w:sz w:val="24"/>
        </w:rPr>
      </w:pPr>
      <w:r w:rsidRPr="004F0887">
        <w:rPr>
          <w:b/>
          <w:sz w:val="24"/>
        </w:rPr>
        <w:t>Consequences of Collecting the Information Less Frequent</w:t>
      </w:r>
      <w:r w:rsidR="001325B2" w:rsidRPr="004F0887">
        <w:rPr>
          <w:b/>
          <w:sz w:val="24"/>
        </w:rPr>
        <w:t>ly</w:t>
      </w:r>
    </w:p>
    <w:p w14:paraId="08D2DDA7" w14:textId="383B89A6" w:rsidR="00F1694F" w:rsidRDefault="00295D80" w:rsidP="00A772C9">
      <w:pPr>
        <w:widowControl/>
        <w:spacing w:before="240" w:after="120"/>
        <w:rPr>
          <w:sz w:val="24"/>
        </w:rPr>
      </w:pPr>
      <w:r>
        <w:rPr>
          <w:sz w:val="24"/>
        </w:rPr>
        <w:t xml:space="preserve">The </w:t>
      </w:r>
      <w:r w:rsidR="00F1694F">
        <w:rPr>
          <w:sz w:val="24"/>
        </w:rPr>
        <w:t xml:space="preserve">2016 </w:t>
      </w:r>
      <w:r>
        <w:rPr>
          <w:sz w:val="24"/>
        </w:rPr>
        <w:t xml:space="preserve">NSCH </w:t>
      </w:r>
      <w:r w:rsidR="00210418">
        <w:rPr>
          <w:sz w:val="24"/>
        </w:rPr>
        <w:t>is</w:t>
      </w:r>
      <w:r w:rsidR="00F1694F">
        <w:rPr>
          <w:sz w:val="24"/>
        </w:rPr>
        <w:t xml:space="preserve"> an initial production </w:t>
      </w:r>
      <w:r w:rsidR="00F44A87">
        <w:rPr>
          <w:sz w:val="24"/>
        </w:rPr>
        <w:t xml:space="preserve">survey </w:t>
      </w:r>
      <w:r w:rsidR="00F1694F">
        <w:rPr>
          <w:sz w:val="24"/>
        </w:rPr>
        <w:t>in what is expected to become an annual or biennial data collection system to</w:t>
      </w:r>
      <w:r w:rsidR="00F1694F" w:rsidRPr="0051063C">
        <w:rPr>
          <w:sz w:val="24"/>
        </w:rPr>
        <w:t xml:space="preserve"> produce data on the physical and emotional health of American children under 18 years of age. The NSCH collects information on factors related to the well-being of children, including access to</w:t>
      </w:r>
      <w:r w:rsidR="00F44A87">
        <w:rPr>
          <w:sz w:val="24"/>
        </w:rPr>
        <w:t xml:space="preserve"> and quality of </w:t>
      </w:r>
      <w:r w:rsidR="00F1694F" w:rsidRPr="0051063C">
        <w:rPr>
          <w:sz w:val="24"/>
        </w:rPr>
        <w:t xml:space="preserve"> health care, family interactions, parental health, school and after-school experiences, and neighborhood characteristics.</w:t>
      </w:r>
      <w:r w:rsidR="00601857">
        <w:rPr>
          <w:sz w:val="24"/>
        </w:rPr>
        <w:t xml:space="preserve"> </w:t>
      </w:r>
      <w:r w:rsidR="00601857" w:rsidRPr="00601857">
        <w:rPr>
          <w:sz w:val="24"/>
        </w:rPr>
        <w:t>NSCH data are used to measure progress on national performance and outcome measures under the Title 5 Maternal and Child Health Services Block Grant Program in HHS.</w:t>
      </w:r>
    </w:p>
    <w:p w14:paraId="091DEFD3" w14:textId="77777777" w:rsidR="00416E98" w:rsidRPr="004F0887" w:rsidRDefault="00416E98" w:rsidP="00726ABF">
      <w:pPr>
        <w:numPr>
          <w:ilvl w:val="0"/>
          <w:numId w:val="1"/>
        </w:numPr>
        <w:tabs>
          <w:tab w:val="clear" w:pos="1080"/>
          <w:tab w:val="num" w:pos="360"/>
        </w:tabs>
        <w:spacing w:before="240"/>
        <w:ind w:left="360"/>
        <w:rPr>
          <w:b/>
          <w:sz w:val="24"/>
        </w:rPr>
      </w:pPr>
      <w:r w:rsidRPr="004F0887">
        <w:rPr>
          <w:b/>
          <w:sz w:val="24"/>
        </w:rPr>
        <w:t>Special Circumstances Relating to the Guidelines of 5 CFR 1320.5</w:t>
      </w:r>
    </w:p>
    <w:p w14:paraId="091DEFD4" w14:textId="77777777" w:rsidR="00C04B5D" w:rsidRDefault="00C04B5D" w:rsidP="00C04B5D">
      <w:pPr>
        <w:rPr>
          <w:sz w:val="24"/>
        </w:rPr>
      </w:pPr>
    </w:p>
    <w:p w14:paraId="091DEFD5" w14:textId="77777777" w:rsidR="00C04B5D" w:rsidRDefault="00416E98" w:rsidP="00C04B5D">
      <w:pPr>
        <w:rPr>
          <w:sz w:val="24"/>
        </w:rPr>
      </w:pPr>
      <w:r>
        <w:rPr>
          <w:sz w:val="24"/>
        </w:rPr>
        <w:t>This data collection</w:t>
      </w:r>
      <w:r w:rsidRPr="00416E98">
        <w:rPr>
          <w:sz w:val="24"/>
        </w:rPr>
        <w:t xml:space="preserve"> will be consistent with the general information collection guidelines of </w:t>
      </w:r>
    </w:p>
    <w:p w14:paraId="091DEFD6" w14:textId="77777777" w:rsidR="00277DBC" w:rsidRPr="00480B55" w:rsidRDefault="00C04B5D" w:rsidP="00480B55">
      <w:pPr>
        <w:rPr>
          <w:sz w:val="24"/>
        </w:rPr>
      </w:pPr>
      <w:r>
        <w:rPr>
          <w:sz w:val="24"/>
        </w:rPr>
        <w:t xml:space="preserve">5 </w:t>
      </w:r>
      <w:r w:rsidR="00416E98" w:rsidRPr="00416E98">
        <w:rPr>
          <w:sz w:val="24"/>
        </w:rPr>
        <w:t>CFR 1320.5.  No special circumstances apply.</w:t>
      </w:r>
    </w:p>
    <w:p w14:paraId="091DEFD7" w14:textId="77777777" w:rsidR="009B3794" w:rsidRPr="004F0887" w:rsidRDefault="009B3794" w:rsidP="00726ABF">
      <w:pPr>
        <w:numPr>
          <w:ilvl w:val="0"/>
          <w:numId w:val="1"/>
        </w:numPr>
        <w:tabs>
          <w:tab w:val="clear" w:pos="1080"/>
          <w:tab w:val="num" w:pos="360"/>
        </w:tabs>
        <w:spacing w:before="240"/>
        <w:ind w:left="360"/>
        <w:rPr>
          <w:b/>
          <w:sz w:val="24"/>
        </w:rPr>
      </w:pPr>
      <w:r w:rsidRPr="004F0887">
        <w:rPr>
          <w:b/>
          <w:iCs/>
          <w:sz w:val="24"/>
        </w:rPr>
        <w:t>Comments in Response to the Federal Register</w:t>
      </w:r>
      <w:r w:rsidRPr="004F0887">
        <w:rPr>
          <w:b/>
          <w:sz w:val="24"/>
        </w:rPr>
        <w:t xml:space="preserve"> Notice/Outside Consultation</w:t>
      </w:r>
    </w:p>
    <w:p w14:paraId="091DEFD8" w14:textId="77777777" w:rsidR="00A35B1E" w:rsidRDefault="00A35B1E" w:rsidP="00480B55">
      <w:pPr>
        <w:widowControl/>
        <w:autoSpaceDE/>
        <w:autoSpaceDN/>
        <w:adjustRightInd/>
        <w:rPr>
          <w:sz w:val="24"/>
        </w:rPr>
      </w:pPr>
    </w:p>
    <w:p w14:paraId="091DEFD9" w14:textId="75D64E99" w:rsidR="00997F55" w:rsidRDefault="00F923CA" w:rsidP="00480B55">
      <w:pPr>
        <w:widowControl/>
        <w:autoSpaceDE/>
        <w:autoSpaceDN/>
        <w:adjustRightInd/>
        <w:rPr>
          <w:b/>
          <w:sz w:val="24"/>
          <w:u w:val="single"/>
        </w:rPr>
      </w:pPr>
      <w:r>
        <w:rPr>
          <w:sz w:val="24"/>
        </w:rPr>
        <w:t>The</w:t>
      </w:r>
      <w:r w:rsidR="00C534E6" w:rsidRPr="00C534E6">
        <w:rPr>
          <w:sz w:val="24"/>
        </w:rPr>
        <w:t xml:space="preserve"> 60-day Federal Register Notice was published in the </w:t>
      </w:r>
      <w:r w:rsidR="00C534E6" w:rsidRPr="00C534E6">
        <w:rPr>
          <w:i/>
          <w:iCs/>
          <w:sz w:val="24"/>
        </w:rPr>
        <w:t xml:space="preserve">Federal Register </w:t>
      </w:r>
      <w:r>
        <w:rPr>
          <w:sz w:val="24"/>
        </w:rPr>
        <w:t xml:space="preserve">on </w:t>
      </w:r>
      <w:r w:rsidR="00D07B81">
        <w:rPr>
          <w:sz w:val="24"/>
        </w:rPr>
        <w:t>November 30</w:t>
      </w:r>
      <w:r>
        <w:rPr>
          <w:sz w:val="24"/>
        </w:rPr>
        <w:t>, 2015</w:t>
      </w:r>
      <w:r w:rsidR="00C534E6" w:rsidRPr="00C534E6">
        <w:rPr>
          <w:sz w:val="24"/>
        </w:rPr>
        <w:t xml:space="preserve"> </w:t>
      </w:r>
      <w:r>
        <w:rPr>
          <w:sz w:val="24"/>
        </w:rPr>
        <w:t>(80 FR, N</w:t>
      </w:r>
      <w:r w:rsidR="00C534E6" w:rsidRPr="00C534E6">
        <w:rPr>
          <w:sz w:val="24"/>
        </w:rPr>
        <w:t xml:space="preserve">o. </w:t>
      </w:r>
      <w:r w:rsidR="00D07B81">
        <w:rPr>
          <w:sz w:val="24"/>
        </w:rPr>
        <w:t>229</w:t>
      </w:r>
      <w:r w:rsidR="00997F55">
        <w:rPr>
          <w:sz w:val="24"/>
        </w:rPr>
        <w:t xml:space="preserve">; p. </w:t>
      </w:r>
      <w:r w:rsidR="00D07B81">
        <w:rPr>
          <w:sz w:val="24"/>
        </w:rPr>
        <w:t>74752-74754</w:t>
      </w:r>
      <w:r w:rsidR="00B2596B">
        <w:rPr>
          <w:sz w:val="24"/>
        </w:rPr>
        <w:t>)</w:t>
      </w:r>
      <w:r w:rsidR="00C534E6" w:rsidRPr="00C534E6">
        <w:rPr>
          <w:sz w:val="24"/>
        </w:rPr>
        <w:t>. No substantive comments were received.</w:t>
      </w:r>
    </w:p>
    <w:p w14:paraId="091DEFDA" w14:textId="77777777" w:rsidR="002826DE" w:rsidRDefault="002826DE" w:rsidP="002826DE">
      <w:pPr>
        <w:widowControl/>
        <w:autoSpaceDE/>
        <w:autoSpaceDN/>
        <w:adjustRightInd/>
        <w:rPr>
          <w:b/>
          <w:sz w:val="24"/>
          <w:u w:val="single"/>
        </w:rPr>
      </w:pPr>
    </w:p>
    <w:p w14:paraId="091DEFDB" w14:textId="77777777" w:rsidR="009B3794" w:rsidRPr="004F0887" w:rsidRDefault="009B3794" w:rsidP="00480B55">
      <w:pPr>
        <w:numPr>
          <w:ilvl w:val="0"/>
          <w:numId w:val="1"/>
        </w:numPr>
        <w:tabs>
          <w:tab w:val="clear" w:pos="1080"/>
          <w:tab w:val="num" w:pos="360"/>
        </w:tabs>
        <w:ind w:left="360"/>
        <w:rPr>
          <w:b/>
          <w:sz w:val="24"/>
        </w:rPr>
      </w:pPr>
      <w:r w:rsidRPr="004F0887">
        <w:rPr>
          <w:b/>
          <w:sz w:val="24"/>
        </w:rPr>
        <w:t>Explanation of any Payment/Gift to Respondents</w:t>
      </w:r>
    </w:p>
    <w:p w14:paraId="091DEFDC" w14:textId="77777777" w:rsidR="00FB6A85" w:rsidRDefault="00FB6A85" w:rsidP="00FB6A85"/>
    <w:p w14:paraId="229831B4" w14:textId="710F3F02" w:rsidR="0051063C" w:rsidRDefault="0051063C" w:rsidP="003F0975">
      <w:pPr>
        <w:rPr>
          <w:sz w:val="24"/>
        </w:rPr>
      </w:pPr>
      <w:r>
        <w:rPr>
          <w:sz w:val="24"/>
        </w:rPr>
        <w:t xml:space="preserve">The NSCH Pretest tested the effectiveness of providing an unconditional </w:t>
      </w:r>
      <w:r w:rsidR="00C767B5">
        <w:rPr>
          <w:sz w:val="24"/>
        </w:rPr>
        <w:t>incentive to boost respondent cooperation</w:t>
      </w:r>
      <w:r w:rsidR="00620D32">
        <w:rPr>
          <w:sz w:val="24"/>
        </w:rPr>
        <w:t xml:space="preserve"> and reduce non-response bias</w:t>
      </w:r>
      <w:r w:rsidR="00C767B5">
        <w:rPr>
          <w:sz w:val="24"/>
        </w:rPr>
        <w:t>.  The pretest included both $5 and $10 treatment groups</w:t>
      </w:r>
      <w:r w:rsidR="005E5171" w:rsidRPr="005E5171">
        <w:rPr>
          <w:sz w:val="24"/>
        </w:rPr>
        <w:t xml:space="preserve"> </w:t>
      </w:r>
      <w:r w:rsidR="005E5171" w:rsidRPr="0051063C">
        <w:rPr>
          <w:sz w:val="24"/>
        </w:rPr>
        <w:t>as incentives to complete the survey.</w:t>
      </w:r>
      <w:r w:rsidR="00C767B5">
        <w:rPr>
          <w:sz w:val="24"/>
        </w:rPr>
        <w:t xml:space="preserve"> </w:t>
      </w:r>
      <w:r w:rsidR="00317115" w:rsidRPr="0051063C">
        <w:rPr>
          <w:sz w:val="24"/>
        </w:rPr>
        <w:t>From the NSCH pretest, the results showed that there was no statistically significant difference in the response rates when respondents were provided $5 or $10</w:t>
      </w:r>
      <w:r w:rsidR="007B43C0">
        <w:rPr>
          <w:sz w:val="24"/>
        </w:rPr>
        <w:t xml:space="preserve"> (72.5% vs. 73</w:t>
      </w:r>
      <w:r w:rsidR="007B43C0" w:rsidRPr="007B43C0">
        <w:rPr>
          <w:sz w:val="24"/>
        </w:rPr>
        <w:t>.</w:t>
      </w:r>
      <w:r w:rsidR="007B43C0">
        <w:rPr>
          <w:sz w:val="24"/>
        </w:rPr>
        <w:t>2</w:t>
      </w:r>
      <w:r w:rsidR="007B43C0" w:rsidRPr="007B43C0">
        <w:rPr>
          <w:sz w:val="24"/>
        </w:rPr>
        <w:t>%</w:t>
      </w:r>
      <w:r w:rsidR="0009086D">
        <w:rPr>
          <w:sz w:val="24"/>
        </w:rPr>
        <w:t>, respectively)</w:t>
      </w:r>
      <w:r w:rsidR="005E5171">
        <w:rPr>
          <w:sz w:val="24"/>
        </w:rPr>
        <w:t>.</w:t>
      </w:r>
      <w:r w:rsidR="00317115" w:rsidRPr="0051063C">
        <w:rPr>
          <w:sz w:val="24"/>
        </w:rPr>
        <w:t xml:space="preserve"> </w:t>
      </w:r>
      <w:r w:rsidR="00317115">
        <w:rPr>
          <w:sz w:val="24"/>
        </w:rPr>
        <w:t xml:space="preserve">Without any differential evidence of a </w:t>
      </w:r>
      <w:r w:rsidR="00C767B5">
        <w:rPr>
          <w:sz w:val="24"/>
        </w:rPr>
        <w:t>benefit in response</w:t>
      </w:r>
      <w:r w:rsidR="00317115">
        <w:rPr>
          <w:sz w:val="24"/>
        </w:rPr>
        <w:t xml:space="preserve"> associated with $10, that treatment has been dropped from consideration</w:t>
      </w:r>
      <w:r w:rsidR="00C767B5">
        <w:rPr>
          <w:sz w:val="24"/>
        </w:rPr>
        <w:t xml:space="preserve">.  </w:t>
      </w:r>
    </w:p>
    <w:p w14:paraId="72187C51" w14:textId="77777777" w:rsidR="0051063C" w:rsidRDefault="0051063C" w:rsidP="003F0975">
      <w:pPr>
        <w:rPr>
          <w:sz w:val="24"/>
        </w:rPr>
      </w:pPr>
    </w:p>
    <w:p w14:paraId="09A4F139" w14:textId="687C91CC" w:rsidR="0051063C" w:rsidRDefault="006D305B" w:rsidP="003F0975">
      <w:pPr>
        <w:rPr>
          <w:sz w:val="24"/>
        </w:rPr>
      </w:pPr>
      <w:r w:rsidRPr="0051063C">
        <w:rPr>
          <w:sz w:val="24"/>
        </w:rPr>
        <w:t>With the results from the pretest failing to show a substantial benefit for the larger $10 incentive, smaller amounts will be evaluated during the 2016 NSCH. In the 2016 NSCH, sampled addresses will receive either a $2 or a $5 cash incentive or they will be part of the control group that does not receive a cash incentive.</w:t>
      </w:r>
      <w:r>
        <w:rPr>
          <w:sz w:val="24"/>
        </w:rPr>
        <w:t xml:space="preserve"> </w:t>
      </w:r>
      <w:r w:rsidR="005E5171">
        <w:rPr>
          <w:sz w:val="24"/>
        </w:rPr>
        <w:t xml:space="preserve">Survey methods research strongly support the use of unconditional incentives to </w:t>
      </w:r>
      <w:r w:rsidR="006D0B7D">
        <w:rPr>
          <w:sz w:val="24"/>
        </w:rPr>
        <w:t xml:space="preserve">reduce nonresponse bias </w:t>
      </w:r>
      <w:r w:rsidR="005E5171">
        <w:rPr>
          <w:sz w:val="24"/>
        </w:rPr>
        <w:t>in self-administered survey data collection</w:t>
      </w:r>
      <w:r w:rsidR="001E7090" w:rsidRPr="001E7090">
        <w:rPr>
          <w:rStyle w:val="FootnoteReference"/>
          <w:sz w:val="24"/>
          <w:vertAlign w:val="superscript"/>
        </w:rPr>
        <w:footnoteReference w:id="5"/>
      </w:r>
      <w:r w:rsidR="005E5171">
        <w:rPr>
          <w:sz w:val="24"/>
        </w:rPr>
        <w:t xml:space="preserve">. </w:t>
      </w:r>
      <w:r w:rsidR="0051063C" w:rsidRPr="0051063C">
        <w:rPr>
          <w:sz w:val="24"/>
        </w:rPr>
        <w:t xml:space="preserve">The </w:t>
      </w:r>
      <w:r w:rsidR="00C767B5">
        <w:rPr>
          <w:sz w:val="24"/>
        </w:rPr>
        <w:t xml:space="preserve">2016 </w:t>
      </w:r>
      <w:r w:rsidR="0051063C" w:rsidRPr="0051063C">
        <w:rPr>
          <w:sz w:val="24"/>
        </w:rPr>
        <w:t>NSCH project plan</w:t>
      </w:r>
      <w:r w:rsidR="00C767B5">
        <w:rPr>
          <w:sz w:val="24"/>
        </w:rPr>
        <w:t xml:space="preserve"> addresses two gaps in knowledge related to the payment of unconditional incentives in an address-based administration of the NSCH.</w:t>
      </w:r>
      <w:r w:rsidR="0051063C" w:rsidRPr="0051063C">
        <w:rPr>
          <w:sz w:val="24"/>
        </w:rPr>
        <w:t xml:space="preserve"> </w:t>
      </w:r>
      <w:r w:rsidR="00C767B5">
        <w:rPr>
          <w:sz w:val="24"/>
        </w:rPr>
        <w:t>The first is the</w:t>
      </w:r>
      <w:r w:rsidR="005E5171">
        <w:rPr>
          <w:sz w:val="24"/>
        </w:rPr>
        <w:t xml:space="preserve"> determination of the</w:t>
      </w:r>
      <w:r w:rsidR="00C767B5">
        <w:rPr>
          <w:sz w:val="24"/>
        </w:rPr>
        <w:t xml:space="preserve"> baseline response</w:t>
      </w:r>
      <w:r w:rsidR="00317115">
        <w:rPr>
          <w:sz w:val="24"/>
        </w:rPr>
        <w:t xml:space="preserve"> </w:t>
      </w:r>
      <w:r w:rsidR="005E5171">
        <w:rPr>
          <w:sz w:val="24"/>
        </w:rPr>
        <w:t xml:space="preserve">for </w:t>
      </w:r>
      <w:r w:rsidR="00F44A87">
        <w:rPr>
          <w:sz w:val="24"/>
        </w:rPr>
        <w:t xml:space="preserve">the </w:t>
      </w:r>
      <w:r w:rsidR="005E5171">
        <w:rPr>
          <w:sz w:val="24"/>
        </w:rPr>
        <w:t xml:space="preserve">NSCH </w:t>
      </w:r>
      <w:r w:rsidR="00317115">
        <w:rPr>
          <w:sz w:val="24"/>
        </w:rPr>
        <w:t xml:space="preserve">from a general sample of addresses, and the second is the relative response benefit associated with the </w:t>
      </w:r>
      <w:r w:rsidR="000F72F1">
        <w:rPr>
          <w:sz w:val="24"/>
        </w:rPr>
        <w:t xml:space="preserve">$2 and </w:t>
      </w:r>
      <w:r w:rsidR="00317115">
        <w:rPr>
          <w:sz w:val="24"/>
        </w:rPr>
        <w:t>$5 token of appreciation. In the initial enrollment invitation to resp</w:t>
      </w:r>
      <w:r>
        <w:rPr>
          <w:sz w:val="24"/>
        </w:rPr>
        <w:t xml:space="preserve">ond by internet, the household will be sent one of the three different incentive amounts. The sample will be roughly divided into thirds, with each third randomly assigned to one of the three incentive amount groups. The sample distribution is presented in table </w:t>
      </w:r>
      <w:r w:rsidR="005A1725">
        <w:rPr>
          <w:sz w:val="24"/>
        </w:rPr>
        <w:t>9A</w:t>
      </w:r>
      <w:r>
        <w:rPr>
          <w:sz w:val="24"/>
        </w:rPr>
        <w:t xml:space="preserve"> below</w:t>
      </w:r>
      <w:r w:rsidR="00B667D0">
        <w:rPr>
          <w:sz w:val="24"/>
        </w:rPr>
        <w:t xml:space="preserve"> (the additional experiments listed in the table will be discussed in Part B)</w:t>
      </w:r>
      <w:r>
        <w:rPr>
          <w:sz w:val="24"/>
        </w:rPr>
        <w:t xml:space="preserve">. </w:t>
      </w:r>
      <w:r w:rsidR="0051063C" w:rsidRPr="0051063C">
        <w:rPr>
          <w:sz w:val="24"/>
        </w:rPr>
        <w:t xml:space="preserve">The cost of incentives are balanced against the reduction in follow-up effort and cost required to collect the required data. </w:t>
      </w:r>
    </w:p>
    <w:p w14:paraId="67F0E85A" w14:textId="519F434D" w:rsidR="00B14108" w:rsidRDefault="00B14108">
      <w:pPr>
        <w:widowControl/>
        <w:autoSpaceDE/>
        <w:autoSpaceDN/>
        <w:adjustRightInd/>
        <w:rPr>
          <w:b/>
          <w:sz w:val="24"/>
        </w:rPr>
      </w:pPr>
    </w:p>
    <w:p w14:paraId="091DEFDF" w14:textId="00BCD981" w:rsidR="00F31E3B" w:rsidRDefault="00341388" w:rsidP="003F0975">
      <w:pPr>
        <w:rPr>
          <w:b/>
          <w:sz w:val="24"/>
        </w:rPr>
      </w:pPr>
      <w:r w:rsidRPr="00FD7755">
        <w:rPr>
          <w:b/>
          <w:sz w:val="24"/>
        </w:rPr>
        <w:t xml:space="preserve">Table </w:t>
      </w:r>
      <w:r w:rsidR="005A1725">
        <w:rPr>
          <w:b/>
          <w:sz w:val="24"/>
        </w:rPr>
        <w:t>9A</w:t>
      </w:r>
      <w:r w:rsidRPr="00FD7755">
        <w:rPr>
          <w:b/>
          <w:sz w:val="24"/>
        </w:rPr>
        <w:t xml:space="preserve">. Treatment Group by </w:t>
      </w:r>
      <w:r w:rsidR="00ED1CA9">
        <w:rPr>
          <w:b/>
          <w:sz w:val="24"/>
        </w:rPr>
        <w:t>Enrollment I</w:t>
      </w:r>
      <w:r w:rsidRPr="00FD7755">
        <w:rPr>
          <w:b/>
          <w:sz w:val="24"/>
        </w:rPr>
        <w:t>ncentive Amount</w:t>
      </w:r>
      <w:r w:rsidR="00ED1CA9">
        <w:rPr>
          <w:b/>
          <w:sz w:val="24"/>
        </w:rPr>
        <w:t xml:space="preserve"> and Internet Likelihood</w:t>
      </w:r>
    </w:p>
    <w:tbl>
      <w:tblPr>
        <w:tblStyle w:val="TableGrid1"/>
        <w:tblW w:w="8118" w:type="dxa"/>
        <w:jc w:val="center"/>
        <w:tblLayout w:type="fixed"/>
        <w:tblLook w:val="04A0" w:firstRow="1" w:lastRow="0" w:firstColumn="1" w:lastColumn="0" w:noHBand="0" w:noVBand="1"/>
      </w:tblPr>
      <w:tblGrid>
        <w:gridCol w:w="1278"/>
        <w:gridCol w:w="1080"/>
        <w:gridCol w:w="1440"/>
        <w:gridCol w:w="1440"/>
        <w:gridCol w:w="1440"/>
        <w:gridCol w:w="1440"/>
      </w:tblGrid>
      <w:tr w:rsidR="00B14108" w:rsidRPr="003433FA" w14:paraId="6531C344" w14:textId="77777777" w:rsidTr="00ED1A3E">
        <w:trPr>
          <w:jc w:val="center"/>
        </w:trPr>
        <w:tc>
          <w:tcPr>
            <w:tcW w:w="1278" w:type="dxa"/>
            <w:shd w:val="clear" w:color="auto" w:fill="D9D9D9" w:themeFill="background1" w:themeFillShade="D9"/>
            <w:vAlign w:val="center"/>
          </w:tcPr>
          <w:p w14:paraId="0E485A7A" w14:textId="77777777" w:rsidR="00B14108" w:rsidRDefault="00B14108" w:rsidP="00B14108">
            <w:pPr>
              <w:jc w:val="center"/>
              <w:rPr>
                <w:sz w:val="24"/>
              </w:rPr>
            </w:pPr>
            <w:r>
              <w:rPr>
                <w:sz w:val="24"/>
              </w:rPr>
              <w:t>Incentive</w:t>
            </w:r>
          </w:p>
          <w:p w14:paraId="08C3A3FC" w14:textId="77777777" w:rsidR="00B14108" w:rsidRPr="00517FA0" w:rsidRDefault="00B14108" w:rsidP="00B14108">
            <w:pPr>
              <w:jc w:val="center"/>
              <w:rPr>
                <w:sz w:val="24"/>
              </w:rPr>
            </w:pPr>
            <w:r w:rsidRPr="00517FA0">
              <w:rPr>
                <w:sz w:val="24"/>
              </w:rPr>
              <w:t>Treatment</w:t>
            </w:r>
          </w:p>
          <w:p w14:paraId="5476ADB9" w14:textId="77777777" w:rsidR="00B14108" w:rsidRPr="00517FA0" w:rsidRDefault="00B14108" w:rsidP="00B14108">
            <w:pPr>
              <w:jc w:val="center"/>
              <w:rPr>
                <w:sz w:val="24"/>
              </w:rPr>
            </w:pPr>
            <w:r w:rsidRPr="00517FA0">
              <w:rPr>
                <w:sz w:val="24"/>
              </w:rPr>
              <w:t>Group</w:t>
            </w:r>
          </w:p>
        </w:tc>
        <w:tc>
          <w:tcPr>
            <w:tcW w:w="1080" w:type="dxa"/>
            <w:shd w:val="clear" w:color="auto" w:fill="D9D9D9" w:themeFill="background1" w:themeFillShade="D9"/>
            <w:vAlign w:val="center"/>
          </w:tcPr>
          <w:p w14:paraId="67F36E5E" w14:textId="77777777" w:rsidR="00B14108" w:rsidRPr="00517FA0" w:rsidRDefault="00B14108" w:rsidP="00B14108">
            <w:pPr>
              <w:jc w:val="center"/>
              <w:rPr>
                <w:sz w:val="24"/>
              </w:rPr>
            </w:pPr>
            <w:r w:rsidRPr="00517FA0">
              <w:rPr>
                <w:sz w:val="24"/>
              </w:rPr>
              <w:t>Initial Cases</w:t>
            </w:r>
          </w:p>
        </w:tc>
        <w:tc>
          <w:tcPr>
            <w:tcW w:w="1440" w:type="dxa"/>
            <w:shd w:val="clear" w:color="auto" w:fill="D9D9D9" w:themeFill="background1" w:themeFillShade="D9"/>
            <w:vAlign w:val="center"/>
          </w:tcPr>
          <w:p w14:paraId="00DDF607" w14:textId="77777777" w:rsidR="00B14108" w:rsidRPr="00517FA0" w:rsidRDefault="00B14108" w:rsidP="00B14108">
            <w:pPr>
              <w:jc w:val="center"/>
              <w:rPr>
                <w:sz w:val="24"/>
              </w:rPr>
            </w:pPr>
            <w:r>
              <w:rPr>
                <w:sz w:val="24"/>
              </w:rPr>
              <w:t>Mailing Treatment</w:t>
            </w:r>
          </w:p>
        </w:tc>
        <w:tc>
          <w:tcPr>
            <w:tcW w:w="1440" w:type="dxa"/>
            <w:shd w:val="clear" w:color="auto" w:fill="D9D9D9" w:themeFill="background1" w:themeFillShade="D9"/>
            <w:vAlign w:val="center"/>
          </w:tcPr>
          <w:p w14:paraId="5E3410E8" w14:textId="77777777" w:rsidR="00B14108" w:rsidRDefault="00B14108" w:rsidP="00B14108">
            <w:pPr>
              <w:jc w:val="center"/>
              <w:rPr>
                <w:sz w:val="24"/>
              </w:rPr>
            </w:pPr>
            <w:r>
              <w:rPr>
                <w:sz w:val="24"/>
              </w:rPr>
              <w:t>Maximum</w:t>
            </w:r>
          </w:p>
          <w:p w14:paraId="0E796E20" w14:textId="77777777" w:rsidR="00B14108" w:rsidRDefault="00B14108" w:rsidP="00B14108">
            <w:pPr>
              <w:jc w:val="center"/>
              <w:rPr>
                <w:sz w:val="24"/>
              </w:rPr>
            </w:pPr>
            <w:r>
              <w:rPr>
                <w:sz w:val="24"/>
              </w:rPr>
              <w:t>Cases for</w:t>
            </w:r>
          </w:p>
          <w:p w14:paraId="63827865" w14:textId="77777777" w:rsidR="00B14108" w:rsidRDefault="00B14108" w:rsidP="00B14108">
            <w:pPr>
              <w:jc w:val="center"/>
              <w:rPr>
                <w:sz w:val="24"/>
              </w:rPr>
            </w:pPr>
            <w:r>
              <w:rPr>
                <w:sz w:val="24"/>
              </w:rPr>
              <w:t>Mailing</w:t>
            </w:r>
          </w:p>
          <w:p w14:paraId="1F51B26E" w14:textId="77777777" w:rsidR="00B14108" w:rsidRPr="00517FA0" w:rsidRDefault="00B14108" w:rsidP="00B14108">
            <w:pPr>
              <w:jc w:val="center"/>
              <w:rPr>
                <w:sz w:val="24"/>
              </w:rPr>
            </w:pPr>
            <w:r>
              <w:rPr>
                <w:sz w:val="24"/>
              </w:rPr>
              <w:t>Comparison</w:t>
            </w:r>
          </w:p>
        </w:tc>
        <w:tc>
          <w:tcPr>
            <w:tcW w:w="1440" w:type="dxa"/>
            <w:shd w:val="clear" w:color="auto" w:fill="D9D9D9" w:themeFill="background1" w:themeFillShade="D9"/>
            <w:vAlign w:val="center"/>
          </w:tcPr>
          <w:p w14:paraId="1C36E37B" w14:textId="77777777" w:rsidR="00B14108" w:rsidRDefault="00B14108" w:rsidP="00B14108">
            <w:pPr>
              <w:jc w:val="center"/>
              <w:rPr>
                <w:sz w:val="24"/>
              </w:rPr>
            </w:pPr>
            <w:r>
              <w:rPr>
                <w:sz w:val="24"/>
              </w:rPr>
              <w:t>Low Internet Likelihood</w:t>
            </w:r>
          </w:p>
          <w:p w14:paraId="00C19E09" w14:textId="77777777" w:rsidR="00B14108" w:rsidRPr="00517FA0" w:rsidRDefault="00B14108" w:rsidP="00B14108">
            <w:pPr>
              <w:jc w:val="center"/>
              <w:rPr>
                <w:sz w:val="24"/>
              </w:rPr>
            </w:pPr>
            <w:r>
              <w:rPr>
                <w:sz w:val="24"/>
              </w:rPr>
              <w:t>Treatment</w:t>
            </w:r>
          </w:p>
        </w:tc>
        <w:tc>
          <w:tcPr>
            <w:tcW w:w="1440" w:type="dxa"/>
            <w:shd w:val="clear" w:color="auto" w:fill="D9D9D9" w:themeFill="background1" w:themeFillShade="D9"/>
            <w:vAlign w:val="center"/>
          </w:tcPr>
          <w:p w14:paraId="1ED8632A" w14:textId="77777777" w:rsidR="00B14108" w:rsidRDefault="00B14108" w:rsidP="00B14108">
            <w:pPr>
              <w:jc w:val="center"/>
              <w:rPr>
                <w:sz w:val="24"/>
              </w:rPr>
            </w:pPr>
            <w:r>
              <w:rPr>
                <w:sz w:val="24"/>
              </w:rPr>
              <w:t>Med/High Internet Likelihood</w:t>
            </w:r>
          </w:p>
          <w:p w14:paraId="6E60F5F5" w14:textId="77777777" w:rsidR="00B14108" w:rsidRPr="00517FA0" w:rsidRDefault="00B14108" w:rsidP="00B14108">
            <w:pPr>
              <w:jc w:val="center"/>
              <w:rPr>
                <w:sz w:val="24"/>
              </w:rPr>
            </w:pPr>
            <w:r>
              <w:rPr>
                <w:sz w:val="24"/>
              </w:rPr>
              <w:t>Treatment</w:t>
            </w:r>
          </w:p>
        </w:tc>
      </w:tr>
      <w:tr w:rsidR="00B14108" w:rsidRPr="003433FA" w14:paraId="21003C0B" w14:textId="77777777" w:rsidTr="00A95ECB">
        <w:trPr>
          <w:trHeight w:val="432"/>
          <w:jc w:val="center"/>
        </w:trPr>
        <w:tc>
          <w:tcPr>
            <w:tcW w:w="1278" w:type="dxa"/>
            <w:vMerge w:val="restart"/>
            <w:shd w:val="clear" w:color="auto" w:fill="D9D9D9" w:themeFill="background1" w:themeFillShade="D9"/>
            <w:vAlign w:val="center"/>
          </w:tcPr>
          <w:p w14:paraId="411CE729" w14:textId="77777777" w:rsidR="00B14108" w:rsidRPr="00517FA0" w:rsidRDefault="00B14108" w:rsidP="00B14108">
            <w:pPr>
              <w:jc w:val="center"/>
              <w:rPr>
                <w:sz w:val="24"/>
              </w:rPr>
            </w:pPr>
            <w:r>
              <w:rPr>
                <w:sz w:val="24"/>
              </w:rPr>
              <w:t>Control</w:t>
            </w:r>
          </w:p>
        </w:tc>
        <w:tc>
          <w:tcPr>
            <w:tcW w:w="1080" w:type="dxa"/>
            <w:vMerge w:val="restart"/>
            <w:vAlign w:val="center"/>
          </w:tcPr>
          <w:p w14:paraId="0CDCF979" w14:textId="77777777" w:rsidR="00B14108" w:rsidRPr="00517FA0" w:rsidRDefault="00B14108" w:rsidP="00B14108">
            <w:pPr>
              <w:jc w:val="center"/>
              <w:rPr>
                <w:sz w:val="24"/>
              </w:rPr>
            </w:pPr>
            <w:r>
              <w:rPr>
                <w:sz w:val="24"/>
              </w:rPr>
              <w:t>121,385</w:t>
            </w:r>
          </w:p>
        </w:tc>
        <w:tc>
          <w:tcPr>
            <w:tcW w:w="1440" w:type="dxa"/>
            <w:vAlign w:val="center"/>
          </w:tcPr>
          <w:p w14:paraId="145B47D0" w14:textId="77777777" w:rsidR="00B14108" w:rsidRPr="00517FA0" w:rsidRDefault="00B14108" w:rsidP="00B14108">
            <w:pPr>
              <w:jc w:val="center"/>
              <w:rPr>
                <w:sz w:val="24"/>
              </w:rPr>
            </w:pPr>
            <w:r>
              <w:rPr>
                <w:sz w:val="24"/>
              </w:rPr>
              <w:t>Census</w:t>
            </w:r>
          </w:p>
        </w:tc>
        <w:tc>
          <w:tcPr>
            <w:tcW w:w="1440" w:type="dxa"/>
            <w:vAlign w:val="center"/>
          </w:tcPr>
          <w:p w14:paraId="0CDEBA87" w14:textId="77777777" w:rsidR="00B14108" w:rsidRPr="00517FA0" w:rsidRDefault="00B14108" w:rsidP="00B14108">
            <w:pPr>
              <w:jc w:val="center"/>
              <w:rPr>
                <w:sz w:val="24"/>
              </w:rPr>
            </w:pPr>
            <w:r>
              <w:rPr>
                <w:sz w:val="24"/>
              </w:rPr>
              <w:t>60,693</w:t>
            </w:r>
          </w:p>
        </w:tc>
        <w:tc>
          <w:tcPr>
            <w:tcW w:w="1440" w:type="dxa"/>
            <w:vAlign w:val="center"/>
          </w:tcPr>
          <w:p w14:paraId="57A676DA" w14:textId="77777777" w:rsidR="00B14108" w:rsidRPr="007C1D0A" w:rsidDel="00BB6361" w:rsidRDefault="00B14108" w:rsidP="00B14108">
            <w:pPr>
              <w:jc w:val="center"/>
              <w:rPr>
                <w:sz w:val="24"/>
              </w:rPr>
            </w:pPr>
            <w:r>
              <w:rPr>
                <w:sz w:val="24"/>
              </w:rPr>
              <w:t>18,208</w:t>
            </w:r>
          </w:p>
        </w:tc>
        <w:tc>
          <w:tcPr>
            <w:tcW w:w="1440" w:type="dxa"/>
            <w:vAlign w:val="center"/>
          </w:tcPr>
          <w:p w14:paraId="282A70AC" w14:textId="77777777" w:rsidR="00B14108" w:rsidRPr="00517FA0" w:rsidRDefault="00B14108" w:rsidP="00B14108">
            <w:pPr>
              <w:jc w:val="center"/>
              <w:rPr>
                <w:sz w:val="24"/>
              </w:rPr>
            </w:pPr>
            <w:r>
              <w:rPr>
                <w:sz w:val="24"/>
              </w:rPr>
              <w:t>42,485</w:t>
            </w:r>
          </w:p>
        </w:tc>
      </w:tr>
      <w:tr w:rsidR="00B14108" w:rsidRPr="003433FA" w14:paraId="7E913FF0" w14:textId="77777777" w:rsidTr="00A95ECB">
        <w:trPr>
          <w:trHeight w:val="432"/>
          <w:jc w:val="center"/>
        </w:trPr>
        <w:tc>
          <w:tcPr>
            <w:tcW w:w="1278" w:type="dxa"/>
            <w:vMerge/>
            <w:shd w:val="clear" w:color="auto" w:fill="D9D9D9" w:themeFill="background1" w:themeFillShade="D9"/>
            <w:vAlign w:val="center"/>
          </w:tcPr>
          <w:p w14:paraId="210C37C2" w14:textId="77777777" w:rsidR="00B14108" w:rsidDel="00444F7B" w:rsidRDefault="00B14108" w:rsidP="00B14108">
            <w:pPr>
              <w:jc w:val="center"/>
              <w:rPr>
                <w:sz w:val="24"/>
              </w:rPr>
            </w:pPr>
          </w:p>
        </w:tc>
        <w:tc>
          <w:tcPr>
            <w:tcW w:w="1080" w:type="dxa"/>
            <w:vMerge/>
            <w:vAlign w:val="center"/>
          </w:tcPr>
          <w:p w14:paraId="6CC3C512" w14:textId="77777777" w:rsidR="00B14108" w:rsidRDefault="00B14108" w:rsidP="00B14108">
            <w:pPr>
              <w:jc w:val="center"/>
              <w:rPr>
                <w:sz w:val="24"/>
              </w:rPr>
            </w:pPr>
          </w:p>
        </w:tc>
        <w:tc>
          <w:tcPr>
            <w:tcW w:w="1440" w:type="dxa"/>
            <w:vAlign w:val="center"/>
          </w:tcPr>
          <w:p w14:paraId="2D6C3B33" w14:textId="77777777" w:rsidR="00B14108" w:rsidRPr="007C1D0A" w:rsidDel="00444F7B" w:rsidRDefault="00B14108" w:rsidP="00B14108">
            <w:pPr>
              <w:jc w:val="center"/>
              <w:rPr>
                <w:sz w:val="24"/>
              </w:rPr>
            </w:pPr>
            <w:r>
              <w:rPr>
                <w:sz w:val="24"/>
              </w:rPr>
              <w:t>MCHB-HHS</w:t>
            </w:r>
          </w:p>
        </w:tc>
        <w:tc>
          <w:tcPr>
            <w:tcW w:w="1440" w:type="dxa"/>
            <w:vAlign w:val="center"/>
          </w:tcPr>
          <w:p w14:paraId="2C27F084" w14:textId="77777777" w:rsidR="00B14108" w:rsidRPr="007C1D0A" w:rsidRDefault="00B14108" w:rsidP="00B14108">
            <w:pPr>
              <w:jc w:val="center"/>
              <w:rPr>
                <w:sz w:val="24"/>
              </w:rPr>
            </w:pPr>
            <w:r>
              <w:rPr>
                <w:sz w:val="24"/>
              </w:rPr>
              <w:t>60,692</w:t>
            </w:r>
          </w:p>
        </w:tc>
        <w:tc>
          <w:tcPr>
            <w:tcW w:w="1440" w:type="dxa"/>
            <w:vAlign w:val="center"/>
          </w:tcPr>
          <w:p w14:paraId="1342BB64" w14:textId="77777777" w:rsidR="00B14108" w:rsidRPr="007C1D0A" w:rsidRDefault="00B14108" w:rsidP="00B14108">
            <w:pPr>
              <w:jc w:val="center"/>
              <w:rPr>
                <w:sz w:val="24"/>
              </w:rPr>
            </w:pPr>
            <w:r>
              <w:rPr>
                <w:sz w:val="24"/>
              </w:rPr>
              <w:t>18,208</w:t>
            </w:r>
          </w:p>
        </w:tc>
        <w:tc>
          <w:tcPr>
            <w:tcW w:w="1440" w:type="dxa"/>
            <w:vAlign w:val="center"/>
          </w:tcPr>
          <w:p w14:paraId="021BB117" w14:textId="77777777" w:rsidR="00B14108" w:rsidRPr="007C1D0A" w:rsidRDefault="00B14108" w:rsidP="00B14108">
            <w:pPr>
              <w:jc w:val="center"/>
              <w:rPr>
                <w:sz w:val="24"/>
              </w:rPr>
            </w:pPr>
            <w:r>
              <w:rPr>
                <w:sz w:val="24"/>
              </w:rPr>
              <w:t>42,484</w:t>
            </w:r>
          </w:p>
        </w:tc>
      </w:tr>
      <w:tr w:rsidR="00B14108" w:rsidRPr="003433FA" w14:paraId="59D9CC3E" w14:textId="77777777" w:rsidTr="00A95ECB">
        <w:trPr>
          <w:trHeight w:val="432"/>
          <w:jc w:val="center"/>
        </w:trPr>
        <w:tc>
          <w:tcPr>
            <w:tcW w:w="1278" w:type="dxa"/>
            <w:vMerge w:val="restart"/>
            <w:shd w:val="clear" w:color="auto" w:fill="D9D9D9" w:themeFill="background1" w:themeFillShade="D9"/>
            <w:vAlign w:val="center"/>
          </w:tcPr>
          <w:p w14:paraId="254ECE1B" w14:textId="77777777" w:rsidR="00B14108" w:rsidRPr="00517FA0" w:rsidRDefault="00B14108" w:rsidP="00B14108">
            <w:pPr>
              <w:jc w:val="center"/>
              <w:rPr>
                <w:sz w:val="24"/>
              </w:rPr>
            </w:pPr>
            <w:r>
              <w:rPr>
                <w:sz w:val="24"/>
              </w:rPr>
              <w:t>$2</w:t>
            </w:r>
          </w:p>
        </w:tc>
        <w:tc>
          <w:tcPr>
            <w:tcW w:w="1080" w:type="dxa"/>
            <w:vMerge w:val="restart"/>
            <w:vAlign w:val="center"/>
          </w:tcPr>
          <w:p w14:paraId="5B459548" w14:textId="77777777" w:rsidR="00B14108" w:rsidRPr="00517FA0" w:rsidRDefault="00B14108" w:rsidP="00B14108">
            <w:pPr>
              <w:jc w:val="center"/>
              <w:rPr>
                <w:sz w:val="24"/>
              </w:rPr>
            </w:pPr>
            <w:r>
              <w:rPr>
                <w:sz w:val="24"/>
              </w:rPr>
              <w:t>121,384</w:t>
            </w:r>
          </w:p>
        </w:tc>
        <w:tc>
          <w:tcPr>
            <w:tcW w:w="1440" w:type="dxa"/>
            <w:vAlign w:val="center"/>
          </w:tcPr>
          <w:p w14:paraId="177CE332" w14:textId="77777777" w:rsidR="00B14108" w:rsidRPr="00517FA0" w:rsidRDefault="00B14108" w:rsidP="00B14108">
            <w:pPr>
              <w:jc w:val="center"/>
              <w:rPr>
                <w:sz w:val="24"/>
              </w:rPr>
            </w:pPr>
            <w:r>
              <w:rPr>
                <w:sz w:val="24"/>
              </w:rPr>
              <w:t>Census</w:t>
            </w:r>
          </w:p>
        </w:tc>
        <w:tc>
          <w:tcPr>
            <w:tcW w:w="1440" w:type="dxa"/>
            <w:vAlign w:val="center"/>
          </w:tcPr>
          <w:p w14:paraId="2D24A831" w14:textId="77777777" w:rsidR="00B14108" w:rsidRPr="00517FA0" w:rsidRDefault="00B14108" w:rsidP="00B14108">
            <w:pPr>
              <w:jc w:val="center"/>
              <w:rPr>
                <w:sz w:val="24"/>
              </w:rPr>
            </w:pPr>
            <w:r>
              <w:rPr>
                <w:sz w:val="24"/>
              </w:rPr>
              <w:t>60,692</w:t>
            </w:r>
          </w:p>
        </w:tc>
        <w:tc>
          <w:tcPr>
            <w:tcW w:w="1440" w:type="dxa"/>
            <w:vAlign w:val="center"/>
          </w:tcPr>
          <w:p w14:paraId="72552E06" w14:textId="77777777" w:rsidR="00B14108" w:rsidRPr="007C1D0A" w:rsidDel="00BB6361" w:rsidRDefault="00B14108" w:rsidP="00B14108">
            <w:pPr>
              <w:jc w:val="center"/>
              <w:rPr>
                <w:sz w:val="24"/>
              </w:rPr>
            </w:pPr>
            <w:r>
              <w:rPr>
                <w:sz w:val="24"/>
              </w:rPr>
              <w:t>18,208</w:t>
            </w:r>
          </w:p>
        </w:tc>
        <w:tc>
          <w:tcPr>
            <w:tcW w:w="1440" w:type="dxa"/>
            <w:vAlign w:val="center"/>
          </w:tcPr>
          <w:p w14:paraId="48D38E4C" w14:textId="77777777" w:rsidR="00B14108" w:rsidRPr="007C1D0A" w:rsidDel="00BB6361" w:rsidRDefault="00B14108" w:rsidP="00B14108">
            <w:pPr>
              <w:jc w:val="center"/>
              <w:rPr>
                <w:sz w:val="24"/>
              </w:rPr>
            </w:pPr>
            <w:r>
              <w:rPr>
                <w:sz w:val="24"/>
              </w:rPr>
              <w:t>42,484</w:t>
            </w:r>
          </w:p>
        </w:tc>
      </w:tr>
      <w:tr w:rsidR="00B14108" w:rsidRPr="003433FA" w14:paraId="497C4E3E" w14:textId="77777777" w:rsidTr="00A95ECB">
        <w:trPr>
          <w:trHeight w:val="432"/>
          <w:jc w:val="center"/>
        </w:trPr>
        <w:tc>
          <w:tcPr>
            <w:tcW w:w="1278" w:type="dxa"/>
            <w:vMerge/>
            <w:shd w:val="clear" w:color="auto" w:fill="D9D9D9" w:themeFill="background1" w:themeFillShade="D9"/>
            <w:vAlign w:val="center"/>
          </w:tcPr>
          <w:p w14:paraId="137D5D4A" w14:textId="77777777" w:rsidR="00B14108" w:rsidDel="00444F7B" w:rsidRDefault="00B14108" w:rsidP="00B14108">
            <w:pPr>
              <w:jc w:val="center"/>
              <w:rPr>
                <w:sz w:val="24"/>
              </w:rPr>
            </w:pPr>
          </w:p>
        </w:tc>
        <w:tc>
          <w:tcPr>
            <w:tcW w:w="1080" w:type="dxa"/>
            <w:vMerge/>
            <w:vAlign w:val="center"/>
          </w:tcPr>
          <w:p w14:paraId="4B708F89" w14:textId="77777777" w:rsidR="00B14108" w:rsidRDefault="00B14108" w:rsidP="00B14108">
            <w:pPr>
              <w:jc w:val="center"/>
              <w:rPr>
                <w:sz w:val="24"/>
              </w:rPr>
            </w:pPr>
          </w:p>
        </w:tc>
        <w:tc>
          <w:tcPr>
            <w:tcW w:w="1440" w:type="dxa"/>
            <w:vAlign w:val="center"/>
          </w:tcPr>
          <w:p w14:paraId="383F68B1" w14:textId="77777777" w:rsidR="00B14108" w:rsidRPr="007C1D0A" w:rsidDel="00444F7B" w:rsidRDefault="00B14108" w:rsidP="00B14108">
            <w:pPr>
              <w:jc w:val="center"/>
              <w:rPr>
                <w:sz w:val="24"/>
              </w:rPr>
            </w:pPr>
            <w:r>
              <w:rPr>
                <w:sz w:val="24"/>
              </w:rPr>
              <w:t>MCHB-HHS</w:t>
            </w:r>
          </w:p>
        </w:tc>
        <w:tc>
          <w:tcPr>
            <w:tcW w:w="1440" w:type="dxa"/>
            <w:vAlign w:val="center"/>
          </w:tcPr>
          <w:p w14:paraId="73A013AE" w14:textId="77777777" w:rsidR="00B14108" w:rsidRPr="007C1D0A" w:rsidRDefault="00B14108" w:rsidP="00B14108">
            <w:pPr>
              <w:jc w:val="center"/>
              <w:rPr>
                <w:sz w:val="24"/>
              </w:rPr>
            </w:pPr>
            <w:r>
              <w:rPr>
                <w:sz w:val="24"/>
              </w:rPr>
              <w:t>60,692</w:t>
            </w:r>
          </w:p>
        </w:tc>
        <w:tc>
          <w:tcPr>
            <w:tcW w:w="1440" w:type="dxa"/>
            <w:vAlign w:val="center"/>
          </w:tcPr>
          <w:p w14:paraId="5F20020E" w14:textId="77777777" w:rsidR="00B14108" w:rsidRPr="007C1D0A" w:rsidRDefault="00B14108" w:rsidP="00B14108">
            <w:pPr>
              <w:jc w:val="center"/>
              <w:rPr>
                <w:sz w:val="24"/>
              </w:rPr>
            </w:pPr>
            <w:r>
              <w:rPr>
                <w:sz w:val="24"/>
              </w:rPr>
              <w:t>18,208</w:t>
            </w:r>
          </w:p>
        </w:tc>
        <w:tc>
          <w:tcPr>
            <w:tcW w:w="1440" w:type="dxa"/>
            <w:vAlign w:val="center"/>
          </w:tcPr>
          <w:p w14:paraId="69FBB910" w14:textId="77777777" w:rsidR="00B14108" w:rsidRPr="007C1D0A" w:rsidRDefault="00B14108" w:rsidP="00B14108">
            <w:pPr>
              <w:jc w:val="center"/>
              <w:rPr>
                <w:sz w:val="24"/>
              </w:rPr>
            </w:pPr>
            <w:r>
              <w:rPr>
                <w:sz w:val="24"/>
              </w:rPr>
              <w:t>42,484</w:t>
            </w:r>
          </w:p>
        </w:tc>
      </w:tr>
      <w:tr w:rsidR="00B14108" w:rsidRPr="003433FA" w14:paraId="6B482F09" w14:textId="77777777" w:rsidTr="00A95ECB">
        <w:trPr>
          <w:trHeight w:val="432"/>
          <w:jc w:val="center"/>
        </w:trPr>
        <w:tc>
          <w:tcPr>
            <w:tcW w:w="1278" w:type="dxa"/>
            <w:vMerge w:val="restart"/>
            <w:shd w:val="clear" w:color="auto" w:fill="D9D9D9" w:themeFill="background1" w:themeFillShade="D9"/>
            <w:vAlign w:val="center"/>
          </w:tcPr>
          <w:p w14:paraId="40D28527" w14:textId="77777777" w:rsidR="00B14108" w:rsidRPr="00517FA0" w:rsidRDefault="00B14108" w:rsidP="00B14108">
            <w:pPr>
              <w:jc w:val="center"/>
              <w:rPr>
                <w:sz w:val="24"/>
              </w:rPr>
            </w:pPr>
            <w:r>
              <w:rPr>
                <w:sz w:val="24"/>
              </w:rPr>
              <w:t>$5</w:t>
            </w:r>
          </w:p>
        </w:tc>
        <w:tc>
          <w:tcPr>
            <w:tcW w:w="1080" w:type="dxa"/>
            <w:vMerge w:val="restart"/>
            <w:vAlign w:val="center"/>
          </w:tcPr>
          <w:p w14:paraId="674B00D5" w14:textId="77777777" w:rsidR="00B14108" w:rsidRPr="00517FA0" w:rsidRDefault="00B14108" w:rsidP="00B14108">
            <w:pPr>
              <w:jc w:val="center"/>
              <w:rPr>
                <w:sz w:val="24"/>
              </w:rPr>
            </w:pPr>
            <w:r>
              <w:rPr>
                <w:sz w:val="24"/>
              </w:rPr>
              <w:t>121,384</w:t>
            </w:r>
          </w:p>
        </w:tc>
        <w:tc>
          <w:tcPr>
            <w:tcW w:w="1440" w:type="dxa"/>
            <w:vAlign w:val="center"/>
          </w:tcPr>
          <w:p w14:paraId="436BD926" w14:textId="77777777" w:rsidR="00B14108" w:rsidRPr="00517FA0" w:rsidRDefault="00B14108" w:rsidP="00B14108">
            <w:pPr>
              <w:jc w:val="center"/>
              <w:rPr>
                <w:sz w:val="24"/>
              </w:rPr>
            </w:pPr>
            <w:r>
              <w:rPr>
                <w:sz w:val="24"/>
              </w:rPr>
              <w:t>Census</w:t>
            </w:r>
          </w:p>
        </w:tc>
        <w:tc>
          <w:tcPr>
            <w:tcW w:w="1440" w:type="dxa"/>
            <w:vAlign w:val="center"/>
          </w:tcPr>
          <w:p w14:paraId="1B76649E" w14:textId="77777777" w:rsidR="00B14108" w:rsidRPr="00517FA0" w:rsidRDefault="00B14108" w:rsidP="00B14108">
            <w:pPr>
              <w:jc w:val="center"/>
              <w:rPr>
                <w:sz w:val="24"/>
              </w:rPr>
            </w:pPr>
            <w:r>
              <w:rPr>
                <w:sz w:val="24"/>
              </w:rPr>
              <w:t>60,692</w:t>
            </w:r>
          </w:p>
        </w:tc>
        <w:tc>
          <w:tcPr>
            <w:tcW w:w="1440" w:type="dxa"/>
            <w:vAlign w:val="center"/>
          </w:tcPr>
          <w:p w14:paraId="27FEC4C3" w14:textId="77777777" w:rsidR="00B14108" w:rsidRPr="007C1D0A" w:rsidRDefault="00B14108" w:rsidP="00B14108">
            <w:pPr>
              <w:jc w:val="center"/>
              <w:rPr>
                <w:sz w:val="24"/>
              </w:rPr>
            </w:pPr>
            <w:r>
              <w:rPr>
                <w:sz w:val="24"/>
              </w:rPr>
              <w:t>18,208</w:t>
            </w:r>
          </w:p>
        </w:tc>
        <w:tc>
          <w:tcPr>
            <w:tcW w:w="1440" w:type="dxa"/>
            <w:vAlign w:val="center"/>
          </w:tcPr>
          <w:p w14:paraId="73CF2BA0" w14:textId="77777777" w:rsidR="00B14108" w:rsidRPr="007C1D0A" w:rsidRDefault="00B14108" w:rsidP="00B14108">
            <w:pPr>
              <w:jc w:val="center"/>
              <w:rPr>
                <w:sz w:val="24"/>
              </w:rPr>
            </w:pPr>
            <w:r>
              <w:rPr>
                <w:sz w:val="24"/>
              </w:rPr>
              <w:t>42,484</w:t>
            </w:r>
          </w:p>
        </w:tc>
      </w:tr>
      <w:tr w:rsidR="00B14108" w:rsidRPr="003433FA" w14:paraId="0D2A21BC" w14:textId="77777777" w:rsidTr="00A95ECB">
        <w:trPr>
          <w:trHeight w:val="432"/>
          <w:jc w:val="center"/>
        </w:trPr>
        <w:tc>
          <w:tcPr>
            <w:tcW w:w="1278" w:type="dxa"/>
            <w:vMerge/>
            <w:shd w:val="clear" w:color="auto" w:fill="D9D9D9" w:themeFill="background1" w:themeFillShade="D9"/>
            <w:vAlign w:val="center"/>
          </w:tcPr>
          <w:p w14:paraId="4B4153BF" w14:textId="77777777" w:rsidR="00B14108" w:rsidDel="00444F7B" w:rsidRDefault="00B14108" w:rsidP="00B14108">
            <w:pPr>
              <w:jc w:val="center"/>
              <w:rPr>
                <w:sz w:val="24"/>
              </w:rPr>
            </w:pPr>
          </w:p>
        </w:tc>
        <w:tc>
          <w:tcPr>
            <w:tcW w:w="1080" w:type="dxa"/>
            <w:vMerge/>
            <w:vAlign w:val="center"/>
          </w:tcPr>
          <w:p w14:paraId="24369A62" w14:textId="77777777" w:rsidR="00B14108" w:rsidRDefault="00B14108" w:rsidP="00B14108">
            <w:pPr>
              <w:jc w:val="center"/>
              <w:rPr>
                <w:sz w:val="24"/>
              </w:rPr>
            </w:pPr>
          </w:p>
        </w:tc>
        <w:tc>
          <w:tcPr>
            <w:tcW w:w="1440" w:type="dxa"/>
            <w:vAlign w:val="center"/>
          </w:tcPr>
          <w:p w14:paraId="5DCD6CD4" w14:textId="77777777" w:rsidR="00B14108" w:rsidRPr="007C1D0A" w:rsidDel="00444F7B" w:rsidRDefault="00B14108" w:rsidP="00B14108">
            <w:pPr>
              <w:jc w:val="center"/>
              <w:rPr>
                <w:sz w:val="24"/>
              </w:rPr>
            </w:pPr>
            <w:r>
              <w:rPr>
                <w:sz w:val="24"/>
              </w:rPr>
              <w:t>MCHB-HHS</w:t>
            </w:r>
          </w:p>
        </w:tc>
        <w:tc>
          <w:tcPr>
            <w:tcW w:w="1440" w:type="dxa"/>
            <w:vAlign w:val="center"/>
          </w:tcPr>
          <w:p w14:paraId="2CD4E8F1" w14:textId="77777777" w:rsidR="00B14108" w:rsidRPr="007C1D0A" w:rsidRDefault="00B14108" w:rsidP="00B14108">
            <w:pPr>
              <w:jc w:val="center"/>
              <w:rPr>
                <w:sz w:val="24"/>
              </w:rPr>
            </w:pPr>
            <w:r>
              <w:rPr>
                <w:sz w:val="24"/>
              </w:rPr>
              <w:t>60,692</w:t>
            </w:r>
          </w:p>
        </w:tc>
        <w:tc>
          <w:tcPr>
            <w:tcW w:w="1440" w:type="dxa"/>
            <w:vAlign w:val="center"/>
          </w:tcPr>
          <w:p w14:paraId="7EF93CEA" w14:textId="77777777" w:rsidR="00B14108" w:rsidRPr="007C1D0A" w:rsidRDefault="00B14108" w:rsidP="00B14108">
            <w:pPr>
              <w:jc w:val="center"/>
              <w:rPr>
                <w:sz w:val="24"/>
              </w:rPr>
            </w:pPr>
            <w:r>
              <w:rPr>
                <w:sz w:val="24"/>
              </w:rPr>
              <w:t>18,208</w:t>
            </w:r>
          </w:p>
        </w:tc>
        <w:tc>
          <w:tcPr>
            <w:tcW w:w="1440" w:type="dxa"/>
            <w:vAlign w:val="center"/>
          </w:tcPr>
          <w:p w14:paraId="3AA2D545" w14:textId="77777777" w:rsidR="00B14108" w:rsidRPr="007C1D0A" w:rsidRDefault="00B14108" w:rsidP="00B14108">
            <w:pPr>
              <w:jc w:val="center"/>
              <w:rPr>
                <w:sz w:val="24"/>
              </w:rPr>
            </w:pPr>
            <w:r>
              <w:rPr>
                <w:sz w:val="24"/>
              </w:rPr>
              <w:t>42,484</w:t>
            </w:r>
          </w:p>
        </w:tc>
      </w:tr>
    </w:tbl>
    <w:p w14:paraId="091DEFF5" w14:textId="77777777" w:rsidR="00F31E3B" w:rsidRPr="00341388" w:rsidRDefault="00F31E3B" w:rsidP="00341388">
      <w:pPr>
        <w:rPr>
          <w:sz w:val="24"/>
        </w:rPr>
      </w:pPr>
    </w:p>
    <w:p w14:paraId="091DEFF9" w14:textId="5F1C7E8B" w:rsidR="006F423D" w:rsidRDefault="00D341DC" w:rsidP="004D74D1">
      <w:pPr>
        <w:pStyle w:val="a"/>
        <w:widowControl/>
        <w:tabs>
          <w:tab w:val="left" w:pos="0"/>
        </w:tabs>
        <w:spacing w:before="120" w:after="120"/>
        <w:ind w:left="0" w:firstLine="0"/>
      </w:pPr>
      <w:r>
        <w:rPr>
          <w:rFonts w:ascii="TimesNewRoman" w:hAnsi="TimesNewRoman"/>
        </w:rPr>
        <w:t xml:space="preserve">Incentives are commonly used in other HHS-sponsored surveys including the National Health Interview Survey, the National Survey of Family Growth, the National Health and Nutrition Examination Survey, the National Survey on Drug Use and Health, and the Health Center Patient Survey. </w:t>
      </w:r>
      <w:r w:rsidR="003F0975">
        <w:rPr>
          <w:rFonts w:ascii="TimesNewRoman" w:hAnsi="TimesNewRoman"/>
        </w:rPr>
        <w:t>Recent experimentation within a</w:t>
      </w:r>
      <w:r w:rsidR="003F0975" w:rsidRPr="00D94706">
        <w:rPr>
          <w:rFonts w:ascii="TimesNewRoman" w:hAnsi="TimesNewRoman"/>
        </w:rPr>
        <w:t xml:space="preserve"> ge</w:t>
      </w:r>
      <w:r w:rsidR="00C04B5D">
        <w:rPr>
          <w:rFonts w:ascii="TimesNewRoman" w:hAnsi="TimesNewRoman"/>
        </w:rPr>
        <w:t>neral population mixed mode (Web and Mail) survey</w:t>
      </w:r>
      <w:r w:rsidR="003F0975" w:rsidRPr="00D94706">
        <w:rPr>
          <w:rFonts w:ascii="TimesNewRoman" w:hAnsi="TimesNewRoman"/>
        </w:rPr>
        <w:t xml:space="preserve"> </w:t>
      </w:r>
      <w:r w:rsidR="004D74D1">
        <w:rPr>
          <w:rFonts w:ascii="TimesNewRoman" w:hAnsi="TimesNewRoman"/>
        </w:rPr>
        <w:t xml:space="preserve">found </w:t>
      </w:r>
      <w:r w:rsidR="003F0975">
        <w:rPr>
          <w:rFonts w:ascii="TimesNewRoman" w:hAnsi="TimesNewRoman"/>
        </w:rPr>
        <w:t xml:space="preserve">that the use of a </w:t>
      </w:r>
      <w:r w:rsidR="003F0975" w:rsidRPr="00D94706">
        <w:rPr>
          <w:rFonts w:ascii="TimesNewRoman" w:hAnsi="TimesNewRoman"/>
        </w:rPr>
        <w:t>prepaid incenti</w:t>
      </w:r>
      <w:r w:rsidR="003F0975">
        <w:rPr>
          <w:rFonts w:ascii="TimesNewRoman" w:hAnsi="TimesNewRoman"/>
        </w:rPr>
        <w:t xml:space="preserve">ve </w:t>
      </w:r>
      <w:r w:rsidR="00CF3111">
        <w:rPr>
          <w:rFonts w:ascii="TimesNewRoman" w:hAnsi="TimesNewRoman"/>
        </w:rPr>
        <w:t>more than</w:t>
      </w:r>
      <w:r w:rsidR="003F0975" w:rsidRPr="00D94706">
        <w:rPr>
          <w:rFonts w:ascii="TimesNewRoman" w:hAnsi="TimesNewRoman"/>
        </w:rPr>
        <w:t xml:space="preserve"> doubled the response</w:t>
      </w:r>
      <w:r w:rsidR="003F0975">
        <w:rPr>
          <w:rFonts w:ascii="TimesNewRoman" w:hAnsi="TimesNewRoman"/>
        </w:rPr>
        <w:t xml:space="preserve"> rate within that population</w:t>
      </w:r>
      <w:r w:rsidR="003F0975" w:rsidRPr="00D94706">
        <w:rPr>
          <w:rFonts w:ascii="TimesNewRoman" w:hAnsi="TimesNewRoman"/>
        </w:rPr>
        <w:t xml:space="preserve"> from 25% (no incentive) to 56% (with incentive)</w:t>
      </w:r>
      <w:r w:rsidR="003F0975">
        <w:rPr>
          <w:rFonts w:ascii="TimesNewRoman" w:hAnsi="TimesNewRoman"/>
        </w:rPr>
        <w:t xml:space="preserve"> (Messer </w:t>
      </w:r>
      <w:r w:rsidR="007F7A85">
        <w:rPr>
          <w:rFonts w:ascii="TimesNewRoman" w:hAnsi="TimesNewRoman"/>
        </w:rPr>
        <w:t>&amp;</w:t>
      </w:r>
      <w:r w:rsidR="003F0975">
        <w:rPr>
          <w:rFonts w:ascii="TimesNewRoman" w:hAnsi="TimesNewRoman"/>
        </w:rPr>
        <w:t xml:space="preserve"> Dillman</w:t>
      </w:r>
      <w:r w:rsidR="00974997">
        <w:rPr>
          <w:rFonts w:ascii="TimesNewRoman" w:hAnsi="TimesNewRoman"/>
        </w:rPr>
        <w:t>,</w:t>
      </w:r>
      <w:r w:rsidR="003F0975">
        <w:rPr>
          <w:rFonts w:ascii="TimesNewRoman" w:hAnsi="TimesNewRoman"/>
        </w:rPr>
        <w:t xml:space="preserve"> </w:t>
      </w:r>
      <w:r w:rsidR="003F0975" w:rsidRPr="00D94706">
        <w:rPr>
          <w:rFonts w:ascii="TimesNewRoman" w:hAnsi="TimesNewRoman"/>
        </w:rPr>
        <w:t>2011)</w:t>
      </w:r>
      <w:r w:rsidR="00A95ECB" w:rsidRPr="00F85EE1">
        <w:rPr>
          <w:rStyle w:val="FootnoteReference"/>
          <w:rFonts w:ascii="TimesNewRoman" w:hAnsi="TimesNewRoman"/>
          <w:vertAlign w:val="superscript"/>
        </w:rPr>
        <w:footnoteReference w:id="6"/>
      </w:r>
      <w:r w:rsidR="003F0975">
        <w:rPr>
          <w:rFonts w:ascii="TimesNewRoman" w:hAnsi="TimesNewRoman"/>
        </w:rPr>
        <w:t>.</w:t>
      </w:r>
      <w:r>
        <w:t xml:space="preserve"> </w:t>
      </w:r>
    </w:p>
    <w:p w14:paraId="091DEFFA" w14:textId="77777777" w:rsidR="009B3794" w:rsidRPr="004F0887" w:rsidRDefault="009B3794" w:rsidP="00726ABF">
      <w:pPr>
        <w:numPr>
          <w:ilvl w:val="0"/>
          <w:numId w:val="1"/>
        </w:numPr>
        <w:tabs>
          <w:tab w:val="clear" w:pos="1080"/>
          <w:tab w:val="num" w:pos="360"/>
        </w:tabs>
        <w:spacing w:before="240"/>
        <w:ind w:left="360"/>
        <w:rPr>
          <w:b/>
          <w:sz w:val="24"/>
        </w:rPr>
      </w:pPr>
      <w:r w:rsidRPr="004F0887">
        <w:rPr>
          <w:b/>
          <w:sz w:val="24"/>
        </w:rPr>
        <w:t>Assurance of Confidentiality Provided to Respondents</w:t>
      </w:r>
    </w:p>
    <w:p w14:paraId="091DEFFB" w14:textId="0F75091B" w:rsidR="0095647D" w:rsidRDefault="00544208" w:rsidP="0095647D">
      <w:pPr>
        <w:spacing w:before="240" w:after="120"/>
        <w:rPr>
          <w:iCs/>
          <w:sz w:val="24"/>
          <w:shd w:val="clear" w:color="auto" w:fill="FFFFFF"/>
        </w:rPr>
      </w:pPr>
      <w:r w:rsidRPr="00544208">
        <w:rPr>
          <w:sz w:val="24"/>
        </w:rPr>
        <w:t xml:space="preserve">Data will be kept private </w:t>
      </w:r>
      <w:r w:rsidR="00CF3111">
        <w:rPr>
          <w:sz w:val="24"/>
        </w:rPr>
        <w:t>in accordance with applicable</w:t>
      </w:r>
      <w:r w:rsidRPr="00544208">
        <w:rPr>
          <w:sz w:val="24"/>
        </w:rPr>
        <w:t xml:space="preserve"> law. </w:t>
      </w:r>
      <w:r w:rsidR="003C5041" w:rsidRPr="003C5041">
        <w:rPr>
          <w:sz w:val="24"/>
        </w:rPr>
        <w:t xml:space="preserve">The data collected under this agreement are confidential under 13 U.S.C. Section 9. All access to Title 13 data from this survey is restricted to </w:t>
      </w:r>
      <w:r w:rsidR="006F423D">
        <w:rPr>
          <w:bCs/>
          <w:sz w:val="24"/>
        </w:rPr>
        <w:t xml:space="preserve">Census Bureau employees and </w:t>
      </w:r>
      <w:r w:rsidR="003C5041" w:rsidRPr="003C5041">
        <w:rPr>
          <w:sz w:val="24"/>
        </w:rPr>
        <w:t>those holding Census Bureau Special Sworn Status pursuant to 13 U.S.C. Section 23(c).</w:t>
      </w:r>
    </w:p>
    <w:p w14:paraId="091DEFFE" w14:textId="77777777" w:rsidR="009B3794" w:rsidRPr="004F0887" w:rsidRDefault="009B3794" w:rsidP="00726ABF">
      <w:pPr>
        <w:numPr>
          <w:ilvl w:val="0"/>
          <w:numId w:val="1"/>
        </w:numPr>
        <w:tabs>
          <w:tab w:val="clear" w:pos="1080"/>
          <w:tab w:val="num" w:pos="360"/>
        </w:tabs>
        <w:spacing w:before="240"/>
        <w:ind w:left="360"/>
        <w:rPr>
          <w:b/>
          <w:sz w:val="24"/>
        </w:rPr>
      </w:pPr>
      <w:r w:rsidRPr="004F0887">
        <w:rPr>
          <w:b/>
          <w:sz w:val="24"/>
        </w:rPr>
        <w:t>Justification for Sensitive Questions</w:t>
      </w:r>
    </w:p>
    <w:p w14:paraId="091DEFFF" w14:textId="56215310" w:rsidR="00ED7BB0" w:rsidRPr="00ED7BB0" w:rsidRDefault="00A43802" w:rsidP="0033644C">
      <w:pPr>
        <w:widowControl/>
        <w:tabs>
          <w:tab w:val="num" w:pos="360"/>
        </w:tabs>
        <w:spacing w:before="240"/>
        <w:rPr>
          <w:sz w:val="24"/>
        </w:rPr>
      </w:pPr>
      <w:r w:rsidRPr="00A43802">
        <w:rPr>
          <w:sz w:val="24"/>
        </w:rPr>
        <w:t>Sensitive questions are genera</w:t>
      </w:r>
      <w:r w:rsidR="00FB5CCB">
        <w:rPr>
          <w:sz w:val="24"/>
        </w:rPr>
        <w:t>lly not included on the NSCH</w:t>
      </w:r>
      <w:r w:rsidR="00320663">
        <w:rPr>
          <w:sz w:val="24"/>
        </w:rPr>
        <w:t>. However, it is possible that respondents may find some questions related to their children’s health or disease status to be sensitive in nature.  Respondent</w:t>
      </w:r>
      <w:r w:rsidR="00D74FB4">
        <w:rPr>
          <w:sz w:val="24"/>
        </w:rPr>
        <w:t xml:space="preserve">s are made aware of the </w:t>
      </w:r>
      <w:r w:rsidR="00ED7BB0">
        <w:rPr>
          <w:sz w:val="24"/>
        </w:rPr>
        <w:t>voluntary nature of this survey in the cover letter that accompanies the</w:t>
      </w:r>
      <w:r w:rsidR="008B4BE8">
        <w:rPr>
          <w:sz w:val="24"/>
        </w:rPr>
        <w:t xml:space="preserve"> invitation to complete the</w:t>
      </w:r>
      <w:r w:rsidR="00ED7BB0">
        <w:rPr>
          <w:sz w:val="24"/>
        </w:rPr>
        <w:t xml:space="preserve"> questionnaire</w:t>
      </w:r>
      <w:r w:rsidR="00553AAA">
        <w:rPr>
          <w:sz w:val="24"/>
        </w:rPr>
        <w:t xml:space="preserve"> and on the material </w:t>
      </w:r>
      <w:r w:rsidR="00CD42B5">
        <w:rPr>
          <w:sz w:val="24"/>
        </w:rPr>
        <w:t>distributed with the paper questionnaire.</w:t>
      </w:r>
      <w:r w:rsidR="00320663">
        <w:rPr>
          <w:sz w:val="24"/>
        </w:rPr>
        <w:t xml:space="preserve"> </w:t>
      </w:r>
      <w:r w:rsidR="00CD42B5">
        <w:rPr>
          <w:sz w:val="24"/>
        </w:rPr>
        <w:t>I</w:t>
      </w:r>
      <w:r w:rsidR="00320663">
        <w:rPr>
          <w:sz w:val="24"/>
        </w:rPr>
        <w:t>ndividuals are free to refrain from answering any question that they do not feel comfortable responding to</w:t>
      </w:r>
      <w:r w:rsidR="00FB5CCB">
        <w:rPr>
          <w:sz w:val="24"/>
        </w:rPr>
        <w:t xml:space="preserve">.  </w:t>
      </w:r>
      <w:r w:rsidR="0033644C">
        <w:rPr>
          <w:sz w:val="24"/>
        </w:rPr>
        <w:t>T</w:t>
      </w:r>
      <w:r w:rsidRPr="00A43802">
        <w:rPr>
          <w:sz w:val="24"/>
        </w:rPr>
        <w:t xml:space="preserve">he </w:t>
      </w:r>
      <w:r w:rsidR="00D74FB4">
        <w:rPr>
          <w:sz w:val="24"/>
        </w:rPr>
        <w:t>U.S. Department of He</w:t>
      </w:r>
      <w:r w:rsidR="00ED7BB0">
        <w:rPr>
          <w:sz w:val="24"/>
        </w:rPr>
        <w:t>alth and Human Services</w:t>
      </w:r>
      <w:r w:rsidR="009B3794" w:rsidRPr="00A43802">
        <w:rPr>
          <w:sz w:val="24"/>
        </w:rPr>
        <w:t xml:space="preserve"> requires that race </w:t>
      </w:r>
      <w:r w:rsidR="0033644C" w:rsidRPr="0033644C">
        <w:rPr>
          <w:sz w:val="24"/>
        </w:rPr>
        <w:t>and</w:t>
      </w:r>
      <w:r w:rsidR="005B7225">
        <w:rPr>
          <w:sz w:val="24"/>
        </w:rPr>
        <w:t xml:space="preserve"> ethnicity be asked</w:t>
      </w:r>
      <w:r w:rsidR="009B3794" w:rsidRPr="00A43802">
        <w:rPr>
          <w:sz w:val="24"/>
        </w:rPr>
        <w:t xml:space="preserve"> </w:t>
      </w:r>
      <w:r w:rsidR="00472847" w:rsidRPr="00A43802">
        <w:rPr>
          <w:sz w:val="24"/>
        </w:rPr>
        <w:t xml:space="preserve">on </w:t>
      </w:r>
      <w:r w:rsidR="009B3794" w:rsidRPr="00A43802">
        <w:rPr>
          <w:sz w:val="24"/>
        </w:rPr>
        <w:t>all H</w:t>
      </w:r>
      <w:r w:rsidR="0033644C">
        <w:rPr>
          <w:sz w:val="24"/>
        </w:rPr>
        <w:t>HS data collection instruments and questions on both race and His</w:t>
      </w:r>
      <w:r w:rsidR="000F72F1">
        <w:rPr>
          <w:sz w:val="24"/>
        </w:rPr>
        <w:t>panic origin appear on the NSCH</w:t>
      </w:r>
      <w:r w:rsidR="0033644C">
        <w:rPr>
          <w:sz w:val="24"/>
        </w:rPr>
        <w:t>. There is, however, no requirement that respondents answer these questions.</w:t>
      </w:r>
    </w:p>
    <w:p w14:paraId="091DF000" w14:textId="7B44F9ED" w:rsidR="009B3794" w:rsidRPr="004F0887" w:rsidRDefault="00286D3B" w:rsidP="00726ABF">
      <w:pPr>
        <w:numPr>
          <w:ilvl w:val="0"/>
          <w:numId w:val="1"/>
        </w:numPr>
        <w:tabs>
          <w:tab w:val="clear" w:pos="1080"/>
          <w:tab w:val="num" w:pos="360"/>
        </w:tabs>
        <w:spacing w:before="240"/>
        <w:ind w:left="360"/>
        <w:rPr>
          <w:sz w:val="24"/>
        </w:rPr>
      </w:pPr>
      <w:r>
        <w:rPr>
          <w:b/>
          <w:sz w:val="24"/>
        </w:rPr>
        <w:t>Estimates of Annualized Hour and Cost Burden</w:t>
      </w:r>
    </w:p>
    <w:p w14:paraId="091DF001" w14:textId="77777777" w:rsidR="00663BCE" w:rsidRDefault="00663BCE">
      <w:pPr>
        <w:widowControl/>
        <w:autoSpaceDE/>
        <w:autoSpaceDN/>
        <w:adjustRightInd/>
        <w:rPr>
          <w:i/>
          <w:color w:val="002060"/>
          <w:sz w:val="24"/>
        </w:rPr>
      </w:pPr>
    </w:p>
    <w:p w14:paraId="18B6BBD8" w14:textId="6EF36063" w:rsidR="007A6608" w:rsidRDefault="00FF3DD3" w:rsidP="007A6608">
      <w:pPr>
        <w:rPr>
          <w:sz w:val="24"/>
        </w:rPr>
      </w:pPr>
      <w:r w:rsidRPr="00663BCE">
        <w:rPr>
          <w:sz w:val="24"/>
        </w:rPr>
        <w:t xml:space="preserve">Estimates of annualized hour burden and annualized cost to respondents are </w:t>
      </w:r>
      <w:r>
        <w:rPr>
          <w:sz w:val="24"/>
        </w:rPr>
        <w:t xml:space="preserve">listed </w:t>
      </w:r>
      <w:r w:rsidRPr="00663BCE">
        <w:rPr>
          <w:sz w:val="24"/>
        </w:rPr>
        <w:t xml:space="preserve">in Tables </w:t>
      </w:r>
      <w:r>
        <w:rPr>
          <w:sz w:val="24"/>
        </w:rPr>
        <w:t>12A</w:t>
      </w:r>
      <w:r w:rsidRPr="00663BCE">
        <w:rPr>
          <w:sz w:val="24"/>
        </w:rPr>
        <w:t xml:space="preserve"> and </w:t>
      </w:r>
      <w:r>
        <w:rPr>
          <w:sz w:val="24"/>
        </w:rPr>
        <w:t>12B, respectively.</w:t>
      </w:r>
      <w:r w:rsidRPr="00663BCE">
        <w:rPr>
          <w:sz w:val="24"/>
        </w:rPr>
        <w:t xml:space="preserve"> </w:t>
      </w:r>
      <w:r w:rsidR="007A6608" w:rsidRPr="00663BCE">
        <w:rPr>
          <w:sz w:val="24"/>
        </w:rPr>
        <w:t xml:space="preserve">The total number of estimated respondents is </w:t>
      </w:r>
      <w:r w:rsidR="007A6608">
        <w:rPr>
          <w:sz w:val="24"/>
        </w:rPr>
        <w:t>266,906 annually</w:t>
      </w:r>
      <w:r w:rsidR="007A6608" w:rsidRPr="00663BCE">
        <w:rPr>
          <w:sz w:val="24"/>
        </w:rPr>
        <w:t xml:space="preserve">.  The total number of annual burden hours is </w:t>
      </w:r>
      <w:r w:rsidR="007A6608">
        <w:rPr>
          <w:sz w:val="24"/>
        </w:rPr>
        <w:t>54,117</w:t>
      </w:r>
      <w:r w:rsidR="007A6608" w:rsidRPr="00663BCE">
        <w:rPr>
          <w:sz w:val="24"/>
        </w:rPr>
        <w:t>.</w:t>
      </w:r>
      <w:r w:rsidR="007A6608">
        <w:rPr>
          <w:sz w:val="24"/>
        </w:rPr>
        <w:t xml:space="preserve"> </w:t>
      </w:r>
      <w:r w:rsidRPr="00663BCE">
        <w:rPr>
          <w:sz w:val="24"/>
        </w:rPr>
        <w:t xml:space="preserve">The estimated total annual respondent cost is </w:t>
      </w:r>
      <w:r w:rsidR="008428CE" w:rsidRPr="008428CE">
        <w:rPr>
          <w:sz w:val="24"/>
        </w:rPr>
        <w:t>$1,371,865.95</w:t>
      </w:r>
      <w:r w:rsidRPr="00DE6DD8">
        <w:rPr>
          <w:sz w:val="24"/>
        </w:rPr>
        <w:t>.</w:t>
      </w:r>
      <w:r>
        <w:rPr>
          <w:sz w:val="24"/>
        </w:rPr>
        <w:t xml:space="preserve"> </w:t>
      </w:r>
      <w:r w:rsidR="007A6608">
        <w:rPr>
          <w:sz w:val="24"/>
        </w:rPr>
        <w:t>Please note that the</w:t>
      </w:r>
      <w:r w:rsidR="00553AAA">
        <w:rPr>
          <w:sz w:val="24"/>
        </w:rPr>
        <w:t xml:space="preserve"> estim</w:t>
      </w:r>
      <w:r w:rsidR="00CA76F2">
        <w:rPr>
          <w:sz w:val="24"/>
        </w:rPr>
        <w:t xml:space="preserve">ated number of respondents and </w:t>
      </w:r>
      <w:r w:rsidR="00553AAA">
        <w:rPr>
          <w:sz w:val="24"/>
        </w:rPr>
        <w:t xml:space="preserve">the </w:t>
      </w:r>
      <w:r w:rsidR="00CA76F2">
        <w:rPr>
          <w:sz w:val="24"/>
        </w:rPr>
        <w:t>estimated</w:t>
      </w:r>
      <w:r w:rsidR="00553AAA">
        <w:rPr>
          <w:sz w:val="24"/>
        </w:rPr>
        <w:t xml:space="preserve"> tota</w:t>
      </w:r>
      <w:r w:rsidR="00CA76F2">
        <w:rPr>
          <w:sz w:val="24"/>
        </w:rPr>
        <w:t>l</w:t>
      </w:r>
      <w:r w:rsidR="00553AAA">
        <w:rPr>
          <w:sz w:val="24"/>
        </w:rPr>
        <w:t xml:space="preserve"> annual burden hours are lower</w:t>
      </w:r>
      <w:r w:rsidR="007A6608">
        <w:rPr>
          <w:sz w:val="24"/>
        </w:rPr>
        <w:t xml:space="preserve"> here </w:t>
      </w:r>
      <w:r w:rsidR="00553AAA">
        <w:rPr>
          <w:sz w:val="24"/>
        </w:rPr>
        <w:t>than</w:t>
      </w:r>
      <w:r w:rsidR="007A6608">
        <w:rPr>
          <w:sz w:val="24"/>
        </w:rPr>
        <w:t xml:space="preserve"> those in the Federal Register Prenotice. The figures here are the correct figures</w:t>
      </w:r>
      <w:r w:rsidR="00CA76F2">
        <w:rPr>
          <w:sz w:val="24"/>
        </w:rPr>
        <w:t xml:space="preserve"> and are </w:t>
      </w:r>
      <w:r w:rsidR="007A6608">
        <w:rPr>
          <w:sz w:val="24"/>
        </w:rPr>
        <w:t>the result of improved estimates of (1) the response rates for the screener and topical modules and (2) the average time to complete the survey instruments</w:t>
      </w:r>
      <w:r w:rsidR="00F85EE1" w:rsidRPr="00F85EE1">
        <w:rPr>
          <w:rStyle w:val="FootnoteReference"/>
          <w:sz w:val="24"/>
          <w:vertAlign w:val="superscript"/>
        </w:rPr>
        <w:footnoteReference w:id="7"/>
      </w:r>
      <w:r w:rsidR="007A6608">
        <w:rPr>
          <w:sz w:val="24"/>
        </w:rPr>
        <w:t xml:space="preserve">. </w:t>
      </w:r>
    </w:p>
    <w:p w14:paraId="091DF00A" w14:textId="21A78E95" w:rsidR="002372C1" w:rsidRPr="006A0A3F" w:rsidRDefault="002372C1" w:rsidP="006A0A3F">
      <w:pPr>
        <w:rPr>
          <w:sz w:val="24"/>
        </w:rPr>
      </w:pPr>
    </w:p>
    <w:p w14:paraId="56245109" w14:textId="77777777" w:rsidR="00235C95" w:rsidRDefault="00235C95">
      <w:pPr>
        <w:widowControl/>
        <w:autoSpaceDE/>
        <w:autoSpaceDN/>
        <w:adjustRightInd/>
        <w:rPr>
          <w:b/>
          <w:sz w:val="24"/>
        </w:rPr>
      </w:pPr>
      <w:r>
        <w:rPr>
          <w:b/>
          <w:sz w:val="24"/>
        </w:rPr>
        <w:br w:type="page"/>
      </w:r>
    </w:p>
    <w:p w14:paraId="1B86C9AB" w14:textId="2035055E" w:rsidR="007A6608" w:rsidRPr="007C230C" w:rsidRDefault="001214D3" w:rsidP="00DE6DD8">
      <w:pPr>
        <w:widowControl/>
        <w:tabs>
          <w:tab w:val="num" w:pos="720"/>
        </w:tabs>
        <w:rPr>
          <w:b/>
          <w:sz w:val="24"/>
        </w:rPr>
      </w:pPr>
      <w:r>
        <w:rPr>
          <w:b/>
          <w:sz w:val="24"/>
        </w:rPr>
        <w:t>12</w:t>
      </w:r>
      <w:r w:rsidR="00286D3B">
        <w:rPr>
          <w:b/>
          <w:sz w:val="24"/>
        </w:rPr>
        <w:t>A</w:t>
      </w:r>
      <w:r w:rsidR="008D09D0">
        <w:rPr>
          <w:b/>
          <w:sz w:val="24"/>
        </w:rPr>
        <w:t xml:space="preserve">. </w:t>
      </w:r>
      <w:r w:rsidR="009B3794" w:rsidRPr="000761DE">
        <w:rPr>
          <w:b/>
          <w:sz w:val="24"/>
        </w:rPr>
        <w:t>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1549"/>
        <w:gridCol w:w="1485"/>
        <w:gridCol w:w="1662"/>
        <w:gridCol w:w="1623"/>
        <w:gridCol w:w="990"/>
      </w:tblGrid>
      <w:tr w:rsidR="007A6608" w:rsidRPr="00465A8E" w14:paraId="674588F8" w14:textId="77777777" w:rsidTr="007C230C">
        <w:trPr>
          <w:trHeight w:val="983"/>
        </w:trPr>
        <w:tc>
          <w:tcPr>
            <w:tcW w:w="1532" w:type="dxa"/>
            <w:shd w:val="clear" w:color="auto" w:fill="A6A6A6" w:themeFill="background1" w:themeFillShade="A6"/>
            <w:vAlign w:val="bottom"/>
          </w:tcPr>
          <w:p w14:paraId="6ED1D919" w14:textId="77777777" w:rsidR="007A6608" w:rsidRPr="00465A8E" w:rsidRDefault="007A6608" w:rsidP="00F8361F">
            <w:pPr>
              <w:widowControl/>
              <w:tabs>
                <w:tab w:val="num" w:pos="1080"/>
              </w:tabs>
              <w:jc w:val="center"/>
              <w:rPr>
                <w:b/>
                <w:bCs/>
                <w:sz w:val="22"/>
                <w:szCs w:val="22"/>
              </w:rPr>
            </w:pPr>
            <w:r w:rsidRPr="00465A8E">
              <w:rPr>
                <w:b/>
                <w:bCs/>
                <w:sz w:val="22"/>
                <w:szCs w:val="22"/>
              </w:rPr>
              <w:t>Type of</w:t>
            </w:r>
            <w:r>
              <w:rPr>
                <w:b/>
                <w:bCs/>
                <w:sz w:val="22"/>
                <w:szCs w:val="22"/>
              </w:rPr>
              <w:t xml:space="preserve"> </w:t>
            </w:r>
            <w:r w:rsidRPr="00465A8E">
              <w:rPr>
                <w:b/>
                <w:bCs/>
                <w:sz w:val="22"/>
                <w:szCs w:val="22"/>
              </w:rPr>
              <w:t>Respondent</w:t>
            </w:r>
          </w:p>
        </w:tc>
        <w:tc>
          <w:tcPr>
            <w:tcW w:w="1549" w:type="dxa"/>
            <w:shd w:val="clear" w:color="auto" w:fill="A6A6A6" w:themeFill="background1" w:themeFillShade="A6"/>
            <w:vAlign w:val="bottom"/>
          </w:tcPr>
          <w:p w14:paraId="03828C6C" w14:textId="77777777" w:rsidR="007A6608" w:rsidRPr="00465A8E" w:rsidRDefault="007A6608" w:rsidP="00F8361F">
            <w:pPr>
              <w:widowControl/>
              <w:tabs>
                <w:tab w:val="num" w:pos="1080"/>
              </w:tabs>
              <w:jc w:val="center"/>
              <w:rPr>
                <w:b/>
                <w:bCs/>
                <w:sz w:val="22"/>
                <w:szCs w:val="22"/>
              </w:rPr>
            </w:pPr>
            <w:r>
              <w:rPr>
                <w:b/>
                <w:bCs/>
                <w:sz w:val="22"/>
                <w:szCs w:val="22"/>
              </w:rPr>
              <w:t xml:space="preserve">Questionnaire </w:t>
            </w:r>
            <w:r w:rsidRPr="00465A8E">
              <w:rPr>
                <w:b/>
                <w:bCs/>
                <w:sz w:val="22"/>
                <w:szCs w:val="22"/>
              </w:rPr>
              <w:t>Name</w:t>
            </w:r>
          </w:p>
        </w:tc>
        <w:tc>
          <w:tcPr>
            <w:tcW w:w="1485" w:type="dxa"/>
            <w:shd w:val="clear" w:color="auto" w:fill="A6A6A6" w:themeFill="background1" w:themeFillShade="A6"/>
            <w:vAlign w:val="bottom"/>
          </w:tcPr>
          <w:p w14:paraId="4251B3EC" w14:textId="77777777" w:rsidR="007A6608" w:rsidRPr="00465A8E" w:rsidRDefault="007A6608" w:rsidP="00F8361F">
            <w:pPr>
              <w:widowControl/>
              <w:tabs>
                <w:tab w:val="num" w:pos="1080"/>
              </w:tabs>
              <w:rPr>
                <w:b/>
                <w:bCs/>
                <w:sz w:val="22"/>
                <w:szCs w:val="22"/>
              </w:rPr>
            </w:pPr>
            <w:r>
              <w:rPr>
                <w:b/>
                <w:bCs/>
                <w:sz w:val="22"/>
                <w:szCs w:val="22"/>
              </w:rPr>
              <w:t>Expected Number</w:t>
            </w:r>
            <w:r w:rsidRPr="00465A8E">
              <w:rPr>
                <w:b/>
                <w:bCs/>
                <w:sz w:val="22"/>
                <w:szCs w:val="22"/>
              </w:rPr>
              <w:t xml:space="preserve"> of</w:t>
            </w:r>
            <w:r>
              <w:rPr>
                <w:b/>
                <w:bCs/>
                <w:sz w:val="22"/>
                <w:szCs w:val="22"/>
              </w:rPr>
              <w:t xml:space="preserve"> </w:t>
            </w:r>
            <w:r w:rsidRPr="00465A8E">
              <w:rPr>
                <w:b/>
                <w:bCs/>
                <w:sz w:val="22"/>
                <w:szCs w:val="22"/>
              </w:rPr>
              <w:t>Respondents</w:t>
            </w:r>
            <w:r w:rsidRPr="00DA372A">
              <w:rPr>
                <w:rStyle w:val="FootnoteReference"/>
                <w:rFonts w:ascii="Times New Roman Bold" w:hAnsi="Times New Roman Bold"/>
                <w:b/>
                <w:bCs/>
                <w:sz w:val="22"/>
                <w:szCs w:val="22"/>
                <w:vertAlign w:val="superscript"/>
              </w:rPr>
              <w:footnoteReference w:id="8"/>
            </w:r>
          </w:p>
        </w:tc>
        <w:tc>
          <w:tcPr>
            <w:tcW w:w="1662" w:type="dxa"/>
            <w:shd w:val="clear" w:color="auto" w:fill="A6A6A6" w:themeFill="background1" w:themeFillShade="A6"/>
            <w:vAlign w:val="bottom"/>
          </w:tcPr>
          <w:p w14:paraId="53703069" w14:textId="77777777" w:rsidR="007A6608" w:rsidRPr="00465A8E" w:rsidRDefault="007A6608" w:rsidP="00F8361F">
            <w:pPr>
              <w:widowControl/>
              <w:tabs>
                <w:tab w:val="num" w:pos="1080"/>
              </w:tabs>
              <w:jc w:val="center"/>
              <w:rPr>
                <w:b/>
                <w:bCs/>
                <w:sz w:val="22"/>
                <w:szCs w:val="22"/>
              </w:rPr>
            </w:pPr>
            <w:r w:rsidRPr="00465A8E">
              <w:rPr>
                <w:b/>
                <w:bCs/>
                <w:sz w:val="22"/>
                <w:szCs w:val="22"/>
              </w:rPr>
              <w:t>N</w:t>
            </w:r>
            <w:r>
              <w:rPr>
                <w:b/>
                <w:bCs/>
                <w:sz w:val="22"/>
                <w:szCs w:val="22"/>
              </w:rPr>
              <w:t xml:space="preserve">umber of </w:t>
            </w:r>
            <w:r w:rsidRPr="00465A8E">
              <w:rPr>
                <w:b/>
                <w:bCs/>
                <w:sz w:val="22"/>
                <w:szCs w:val="22"/>
              </w:rPr>
              <w:t>Responses</w:t>
            </w:r>
            <w:r>
              <w:rPr>
                <w:b/>
                <w:bCs/>
                <w:sz w:val="22"/>
                <w:szCs w:val="22"/>
              </w:rPr>
              <w:t xml:space="preserve"> </w:t>
            </w:r>
            <w:r w:rsidRPr="00465A8E">
              <w:rPr>
                <w:b/>
                <w:bCs/>
                <w:sz w:val="22"/>
                <w:szCs w:val="22"/>
              </w:rPr>
              <w:t>per</w:t>
            </w:r>
            <w:r>
              <w:rPr>
                <w:b/>
                <w:bCs/>
                <w:sz w:val="22"/>
                <w:szCs w:val="22"/>
              </w:rPr>
              <w:t xml:space="preserve"> </w:t>
            </w:r>
            <w:r w:rsidRPr="00465A8E">
              <w:rPr>
                <w:b/>
                <w:bCs/>
                <w:sz w:val="22"/>
                <w:szCs w:val="22"/>
              </w:rPr>
              <w:t>Respondent</w:t>
            </w:r>
          </w:p>
        </w:tc>
        <w:tc>
          <w:tcPr>
            <w:tcW w:w="1623" w:type="dxa"/>
            <w:shd w:val="clear" w:color="auto" w:fill="A6A6A6" w:themeFill="background1" w:themeFillShade="A6"/>
            <w:vAlign w:val="bottom"/>
          </w:tcPr>
          <w:p w14:paraId="11FE1785" w14:textId="77777777" w:rsidR="007A6608" w:rsidRDefault="007A6608" w:rsidP="00F8361F">
            <w:pPr>
              <w:widowControl/>
              <w:tabs>
                <w:tab w:val="num" w:pos="1080"/>
              </w:tabs>
              <w:jc w:val="center"/>
              <w:rPr>
                <w:b/>
                <w:bCs/>
                <w:sz w:val="22"/>
                <w:szCs w:val="22"/>
              </w:rPr>
            </w:pPr>
            <w:r w:rsidRPr="00465A8E">
              <w:rPr>
                <w:b/>
                <w:bCs/>
                <w:sz w:val="22"/>
                <w:szCs w:val="22"/>
              </w:rPr>
              <w:t>Average</w:t>
            </w:r>
            <w:r>
              <w:rPr>
                <w:b/>
                <w:bCs/>
                <w:sz w:val="22"/>
                <w:szCs w:val="22"/>
              </w:rPr>
              <w:t xml:space="preserve"> </w:t>
            </w:r>
            <w:r w:rsidRPr="00465A8E">
              <w:rPr>
                <w:b/>
                <w:bCs/>
                <w:sz w:val="22"/>
                <w:szCs w:val="22"/>
              </w:rPr>
              <w:t>Burden per</w:t>
            </w:r>
            <w:r>
              <w:rPr>
                <w:b/>
                <w:bCs/>
                <w:sz w:val="22"/>
                <w:szCs w:val="22"/>
              </w:rPr>
              <w:t xml:space="preserve"> </w:t>
            </w:r>
            <w:r w:rsidRPr="00465A8E">
              <w:rPr>
                <w:b/>
                <w:bCs/>
                <w:sz w:val="22"/>
                <w:szCs w:val="22"/>
              </w:rPr>
              <w:t>Response</w:t>
            </w:r>
          </w:p>
          <w:p w14:paraId="5BD907F5" w14:textId="77777777" w:rsidR="007A6608" w:rsidRPr="00465A8E" w:rsidRDefault="007A6608" w:rsidP="00F8361F">
            <w:pPr>
              <w:widowControl/>
              <w:tabs>
                <w:tab w:val="num" w:pos="1080"/>
              </w:tabs>
              <w:jc w:val="center"/>
              <w:rPr>
                <w:b/>
                <w:bCs/>
                <w:sz w:val="22"/>
                <w:szCs w:val="22"/>
              </w:rPr>
            </w:pPr>
            <w:r w:rsidRPr="00465A8E">
              <w:rPr>
                <w:b/>
                <w:bCs/>
                <w:sz w:val="22"/>
                <w:szCs w:val="22"/>
              </w:rPr>
              <w:t>(in hours)</w:t>
            </w:r>
          </w:p>
        </w:tc>
        <w:tc>
          <w:tcPr>
            <w:tcW w:w="990" w:type="dxa"/>
            <w:shd w:val="clear" w:color="auto" w:fill="A6A6A6" w:themeFill="background1" w:themeFillShade="A6"/>
            <w:vAlign w:val="bottom"/>
          </w:tcPr>
          <w:p w14:paraId="30131626" w14:textId="77777777" w:rsidR="007A6608" w:rsidRPr="00465A8E" w:rsidRDefault="007A6608" w:rsidP="00F8361F">
            <w:pPr>
              <w:widowControl/>
              <w:tabs>
                <w:tab w:val="num" w:pos="1080"/>
              </w:tabs>
              <w:jc w:val="center"/>
              <w:rPr>
                <w:b/>
                <w:bCs/>
                <w:sz w:val="22"/>
                <w:szCs w:val="22"/>
              </w:rPr>
            </w:pPr>
            <w:r w:rsidRPr="00465A8E">
              <w:rPr>
                <w:b/>
                <w:bCs/>
                <w:sz w:val="22"/>
                <w:szCs w:val="22"/>
              </w:rPr>
              <w:t>Total Burden Hours</w:t>
            </w:r>
          </w:p>
        </w:tc>
      </w:tr>
      <w:tr w:rsidR="007A6608" w:rsidRPr="00465A8E" w14:paraId="4CADB768" w14:textId="77777777" w:rsidTr="007C230C">
        <w:trPr>
          <w:trHeight w:val="63"/>
        </w:trPr>
        <w:tc>
          <w:tcPr>
            <w:tcW w:w="8841" w:type="dxa"/>
            <w:gridSpan w:val="6"/>
            <w:shd w:val="clear" w:color="auto" w:fill="000000" w:themeFill="text1"/>
            <w:vAlign w:val="center"/>
          </w:tcPr>
          <w:p w14:paraId="71A471C6" w14:textId="179A1A80" w:rsidR="007A6608" w:rsidRPr="00465A8E" w:rsidRDefault="007A6608" w:rsidP="00DF0402">
            <w:pPr>
              <w:widowControl/>
              <w:tabs>
                <w:tab w:val="num" w:pos="1080"/>
              </w:tabs>
              <w:spacing w:before="120"/>
              <w:rPr>
                <w:b/>
                <w:sz w:val="22"/>
                <w:szCs w:val="22"/>
              </w:rPr>
            </w:pPr>
            <w:r>
              <w:rPr>
                <w:b/>
                <w:sz w:val="22"/>
                <w:szCs w:val="22"/>
              </w:rPr>
              <w:t>NSCH Pr</w:t>
            </w:r>
            <w:r w:rsidR="00DF0402">
              <w:rPr>
                <w:b/>
                <w:sz w:val="22"/>
                <w:szCs w:val="22"/>
              </w:rPr>
              <w:t>oduction</w:t>
            </w:r>
          </w:p>
        </w:tc>
      </w:tr>
      <w:tr w:rsidR="007A6608" w:rsidRPr="00465A8E" w14:paraId="04EC31D7" w14:textId="77777777" w:rsidTr="007C230C">
        <w:trPr>
          <w:trHeight w:val="576"/>
        </w:trPr>
        <w:tc>
          <w:tcPr>
            <w:tcW w:w="1532" w:type="dxa"/>
            <w:vAlign w:val="center"/>
          </w:tcPr>
          <w:p w14:paraId="3F620200" w14:textId="77777777" w:rsidR="007A6608" w:rsidRPr="00465A8E" w:rsidRDefault="007A6608" w:rsidP="00F8361F">
            <w:pPr>
              <w:widowControl/>
              <w:tabs>
                <w:tab w:val="num" w:pos="1080"/>
              </w:tabs>
              <w:spacing w:before="120"/>
              <w:jc w:val="center"/>
              <w:rPr>
                <w:b/>
                <w:bCs/>
                <w:sz w:val="22"/>
                <w:szCs w:val="22"/>
              </w:rPr>
            </w:pPr>
            <w:r>
              <w:rPr>
                <w:b/>
                <w:bCs/>
                <w:sz w:val="22"/>
                <w:szCs w:val="22"/>
              </w:rPr>
              <w:t>Adult Parent or Caregiver</w:t>
            </w:r>
          </w:p>
        </w:tc>
        <w:tc>
          <w:tcPr>
            <w:tcW w:w="1549" w:type="dxa"/>
            <w:vAlign w:val="center"/>
          </w:tcPr>
          <w:p w14:paraId="2DF37F16" w14:textId="77777777" w:rsidR="007A6608" w:rsidRPr="00465A8E" w:rsidRDefault="007A6608" w:rsidP="00F8361F">
            <w:pPr>
              <w:widowControl/>
              <w:tabs>
                <w:tab w:val="num" w:pos="1080"/>
              </w:tabs>
              <w:spacing w:before="120"/>
              <w:jc w:val="center"/>
              <w:rPr>
                <w:b/>
                <w:bCs/>
                <w:sz w:val="22"/>
                <w:szCs w:val="22"/>
              </w:rPr>
            </w:pPr>
            <w:r w:rsidRPr="00465A8E">
              <w:rPr>
                <w:b/>
                <w:bCs/>
                <w:sz w:val="22"/>
                <w:szCs w:val="22"/>
              </w:rPr>
              <w:t>Screener</w:t>
            </w:r>
          </w:p>
        </w:tc>
        <w:tc>
          <w:tcPr>
            <w:tcW w:w="1485" w:type="dxa"/>
            <w:vAlign w:val="center"/>
          </w:tcPr>
          <w:p w14:paraId="715F3499" w14:textId="77777777" w:rsidR="007A6608" w:rsidRPr="00697F5A" w:rsidRDefault="007A6608" w:rsidP="00F8361F">
            <w:pPr>
              <w:jc w:val="center"/>
              <w:rPr>
                <w:sz w:val="22"/>
                <w:szCs w:val="22"/>
              </w:rPr>
            </w:pPr>
            <w:r>
              <w:rPr>
                <w:sz w:val="22"/>
                <w:szCs w:val="22"/>
              </w:rPr>
              <w:t>190,406</w:t>
            </w:r>
          </w:p>
        </w:tc>
        <w:tc>
          <w:tcPr>
            <w:tcW w:w="1662" w:type="dxa"/>
            <w:vAlign w:val="center"/>
          </w:tcPr>
          <w:p w14:paraId="6C71C7F7" w14:textId="77777777" w:rsidR="007A6608" w:rsidRPr="00697F5A" w:rsidRDefault="007A6608" w:rsidP="00F8361F">
            <w:pPr>
              <w:widowControl/>
              <w:tabs>
                <w:tab w:val="num" w:pos="1080"/>
              </w:tabs>
              <w:spacing w:before="120"/>
              <w:jc w:val="center"/>
              <w:rPr>
                <w:sz w:val="22"/>
                <w:szCs w:val="22"/>
              </w:rPr>
            </w:pPr>
            <w:r w:rsidRPr="00697F5A">
              <w:rPr>
                <w:sz w:val="22"/>
                <w:szCs w:val="22"/>
              </w:rPr>
              <w:t>1</w:t>
            </w:r>
          </w:p>
        </w:tc>
        <w:tc>
          <w:tcPr>
            <w:tcW w:w="1623" w:type="dxa"/>
            <w:vAlign w:val="center"/>
          </w:tcPr>
          <w:p w14:paraId="64114EA2" w14:textId="0FB7D4F3" w:rsidR="007A6608" w:rsidRPr="00697F5A" w:rsidRDefault="001214D3" w:rsidP="00F8361F">
            <w:pPr>
              <w:widowControl/>
              <w:tabs>
                <w:tab w:val="num" w:pos="1080"/>
              </w:tabs>
              <w:spacing w:before="120"/>
              <w:jc w:val="center"/>
              <w:rPr>
                <w:sz w:val="22"/>
                <w:szCs w:val="22"/>
              </w:rPr>
            </w:pPr>
            <w:r>
              <w:rPr>
                <w:sz w:val="22"/>
                <w:szCs w:val="22"/>
              </w:rPr>
              <w:t>.083</w:t>
            </w:r>
          </w:p>
        </w:tc>
        <w:tc>
          <w:tcPr>
            <w:tcW w:w="990" w:type="dxa"/>
            <w:vAlign w:val="center"/>
          </w:tcPr>
          <w:p w14:paraId="07027918" w14:textId="77777777" w:rsidR="007A6608" w:rsidRPr="00697F5A" w:rsidRDefault="007A6608" w:rsidP="00F8361F">
            <w:pPr>
              <w:jc w:val="center"/>
              <w:rPr>
                <w:color w:val="000000"/>
                <w:sz w:val="22"/>
                <w:szCs w:val="22"/>
              </w:rPr>
            </w:pPr>
            <w:r>
              <w:rPr>
                <w:color w:val="000000"/>
                <w:sz w:val="22"/>
                <w:szCs w:val="22"/>
              </w:rPr>
              <w:t>15,867</w:t>
            </w:r>
          </w:p>
        </w:tc>
      </w:tr>
      <w:tr w:rsidR="007A6608" w:rsidRPr="00465A8E" w14:paraId="1A753584" w14:textId="77777777" w:rsidTr="007C230C">
        <w:trPr>
          <w:trHeight w:val="576"/>
        </w:trPr>
        <w:tc>
          <w:tcPr>
            <w:tcW w:w="1532" w:type="dxa"/>
            <w:vAlign w:val="center"/>
          </w:tcPr>
          <w:p w14:paraId="7440A758" w14:textId="77777777" w:rsidR="007A6608" w:rsidRDefault="007A6608" w:rsidP="00F8361F">
            <w:pPr>
              <w:jc w:val="center"/>
            </w:pPr>
            <w:r w:rsidRPr="00D6314B">
              <w:rPr>
                <w:b/>
                <w:bCs/>
                <w:sz w:val="22"/>
                <w:szCs w:val="22"/>
              </w:rPr>
              <w:t>Adult Parent or Caregiver</w:t>
            </w:r>
          </w:p>
        </w:tc>
        <w:tc>
          <w:tcPr>
            <w:tcW w:w="1549" w:type="dxa"/>
            <w:vAlign w:val="center"/>
          </w:tcPr>
          <w:p w14:paraId="6F60DB8B" w14:textId="77777777" w:rsidR="007A6608" w:rsidRPr="00465A8E" w:rsidRDefault="007A6608" w:rsidP="00F8361F">
            <w:pPr>
              <w:widowControl/>
              <w:tabs>
                <w:tab w:val="num" w:pos="1080"/>
              </w:tabs>
              <w:spacing w:before="120"/>
              <w:jc w:val="center"/>
              <w:rPr>
                <w:b/>
                <w:bCs/>
                <w:sz w:val="22"/>
                <w:szCs w:val="22"/>
              </w:rPr>
            </w:pPr>
            <w:r w:rsidRPr="00465A8E">
              <w:rPr>
                <w:b/>
                <w:bCs/>
                <w:sz w:val="22"/>
                <w:szCs w:val="22"/>
              </w:rPr>
              <w:t xml:space="preserve">0-5 </w:t>
            </w:r>
            <w:r>
              <w:rPr>
                <w:b/>
                <w:bCs/>
                <w:sz w:val="22"/>
                <w:szCs w:val="22"/>
              </w:rPr>
              <w:t xml:space="preserve">Topical </w:t>
            </w:r>
            <w:r w:rsidRPr="00465A8E">
              <w:rPr>
                <w:b/>
                <w:bCs/>
                <w:sz w:val="22"/>
                <w:szCs w:val="22"/>
              </w:rPr>
              <w:t>Instrument</w:t>
            </w:r>
          </w:p>
        </w:tc>
        <w:tc>
          <w:tcPr>
            <w:tcW w:w="1485" w:type="dxa"/>
            <w:vAlign w:val="center"/>
          </w:tcPr>
          <w:p w14:paraId="71D35802" w14:textId="77777777" w:rsidR="007A6608" w:rsidRPr="00697F5A" w:rsidRDefault="007A6608" w:rsidP="00F8361F">
            <w:pPr>
              <w:jc w:val="center"/>
              <w:rPr>
                <w:sz w:val="22"/>
                <w:szCs w:val="22"/>
              </w:rPr>
            </w:pPr>
            <w:r>
              <w:rPr>
                <w:sz w:val="22"/>
                <w:szCs w:val="22"/>
              </w:rPr>
              <w:t>25,500</w:t>
            </w:r>
          </w:p>
        </w:tc>
        <w:tc>
          <w:tcPr>
            <w:tcW w:w="1662" w:type="dxa"/>
            <w:vAlign w:val="center"/>
          </w:tcPr>
          <w:p w14:paraId="53E42FF3" w14:textId="77777777" w:rsidR="007A6608" w:rsidRPr="00697F5A" w:rsidRDefault="007A6608" w:rsidP="00F8361F">
            <w:pPr>
              <w:widowControl/>
              <w:tabs>
                <w:tab w:val="num" w:pos="1080"/>
              </w:tabs>
              <w:spacing w:before="120"/>
              <w:jc w:val="center"/>
              <w:rPr>
                <w:sz w:val="22"/>
                <w:szCs w:val="22"/>
              </w:rPr>
            </w:pPr>
            <w:r w:rsidRPr="00697F5A">
              <w:rPr>
                <w:sz w:val="22"/>
                <w:szCs w:val="22"/>
              </w:rPr>
              <w:t>1</w:t>
            </w:r>
          </w:p>
        </w:tc>
        <w:tc>
          <w:tcPr>
            <w:tcW w:w="1623" w:type="dxa"/>
            <w:vAlign w:val="center"/>
          </w:tcPr>
          <w:p w14:paraId="7410546B" w14:textId="03E81DF8" w:rsidR="007A6608" w:rsidRPr="00697F5A" w:rsidRDefault="001214D3" w:rsidP="00F8361F">
            <w:pPr>
              <w:widowControl/>
              <w:tabs>
                <w:tab w:val="num" w:pos="1080"/>
              </w:tabs>
              <w:spacing w:before="120"/>
              <w:jc w:val="center"/>
              <w:rPr>
                <w:sz w:val="22"/>
                <w:szCs w:val="22"/>
              </w:rPr>
            </w:pPr>
            <w:r>
              <w:rPr>
                <w:sz w:val="22"/>
                <w:szCs w:val="22"/>
              </w:rPr>
              <w:t>.5</w:t>
            </w:r>
          </w:p>
        </w:tc>
        <w:tc>
          <w:tcPr>
            <w:tcW w:w="990" w:type="dxa"/>
            <w:vAlign w:val="center"/>
          </w:tcPr>
          <w:p w14:paraId="3183703A" w14:textId="77777777" w:rsidR="007A6608" w:rsidRPr="00697F5A" w:rsidRDefault="007A6608" w:rsidP="00F8361F">
            <w:pPr>
              <w:jc w:val="center"/>
              <w:rPr>
                <w:color w:val="000000"/>
                <w:sz w:val="22"/>
                <w:szCs w:val="22"/>
              </w:rPr>
            </w:pPr>
            <w:r>
              <w:rPr>
                <w:color w:val="000000"/>
                <w:sz w:val="22"/>
                <w:szCs w:val="22"/>
              </w:rPr>
              <w:t>12,750</w:t>
            </w:r>
          </w:p>
        </w:tc>
      </w:tr>
      <w:tr w:rsidR="007A6608" w:rsidRPr="00465A8E" w14:paraId="4A19B0F2" w14:textId="77777777" w:rsidTr="007C230C">
        <w:trPr>
          <w:trHeight w:val="576"/>
        </w:trPr>
        <w:tc>
          <w:tcPr>
            <w:tcW w:w="1532" w:type="dxa"/>
            <w:vAlign w:val="center"/>
          </w:tcPr>
          <w:p w14:paraId="1D92D7A1" w14:textId="77777777" w:rsidR="007A6608" w:rsidRDefault="007A6608" w:rsidP="00F8361F">
            <w:pPr>
              <w:jc w:val="center"/>
            </w:pPr>
            <w:r w:rsidRPr="00D6314B">
              <w:rPr>
                <w:b/>
                <w:bCs/>
                <w:sz w:val="22"/>
                <w:szCs w:val="22"/>
              </w:rPr>
              <w:t>Adult Parent or Caregiver</w:t>
            </w:r>
          </w:p>
        </w:tc>
        <w:tc>
          <w:tcPr>
            <w:tcW w:w="1549" w:type="dxa"/>
            <w:vAlign w:val="center"/>
          </w:tcPr>
          <w:p w14:paraId="25670AB0" w14:textId="77777777" w:rsidR="007A6608" w:rsidRPr="00465A8E" w:rsidRDefault="007A6608" w:rsidP="00F8361F">
            <w:pPr>
              <w:widowControl/>
              <w:tabs>
                <w:tab w:val="num" w:pos="1080"/>
              </w:tabs>
              <w:spacing w:before="120"/>
              <w:jc w:val="center"/>
              <w:rPr>
                <w:b/>
                <w:bCs/>
                <w:sz w:val="22"/>
                <w:szCs w:val="22"/>
              </w:rPr>
            </w:pPr>
            <w:r w:rsidRPr="00465A8E">
              <w:rPr>
                <w:b/>
                <w:bCs/>
                <w:sz w:val="22"/>
                <w:szCs w:val="22"/>
              </w:rPr>
              <w:t xml:space="preserve">6-11 </w:t>
            </w:r>
            <w:r>
              <w:rPr>
                <w:b/>
                <w:bCs/>
                <w:sz w:val="22"/>
                <w:szCs w:val="22"/>
              </w:rPr>
              <w:t>Topical</w:t>
            </w:r>
            <w:r w:rsidRPr="00465A8E">
              <w:rPr>
                <w:b/>
                <w:bCs/>
                <w:sz w:val="22"/>
                <w:szCs w:val="22"/>
              </w:rPr>
              <w:t xml:space="preserve"> Instrument</w:t>
            </w:r>
          </w:p>
        </w:tc>
        <w:tc>
          <w:tcPr>
            <w:tcW w:w="1485" w:type="dxa"/>
            <w:vAlign w:val="center"/>
          </w:tcPr>
          <w:p w14:paraId="7D11DB8C" w14:textId="77777777" w:rsidR="007A6608" w:rsidRPr="00697F5A" w:rsidRDefault="007A6608" w:rsidP="00F8361F">
            <w:pPr>
              <w:jc w:val="center"/>
              <w:rPr>
                <w:sz w:val="22"/>
                <w:szCs w:val="22"/>
              </w:rPr>
            </w:pPr>
            <w:r>
              <w:rPr>
                <w:sz w:val="22"/>
                <w:szCs w:val="22"/>
              </w:rPr>
              <w:t>25,500</w:t>
            </w:r>
          </w:p>
        </w:tc>
        <w:tc>
          <w:tcPr>
            <w:tcW w:w="1662" w:type="dxa"/>
            <w:vAlign w:val="center"/>
          </w:tcPr>
          <w:p w14:paraId="3120935B" w14:textId="77777777" w:rsidR="007A6608" w:rsidRPr="00697F5A" w:rsidRDefault="007A6608" w:rsidP="00F8361F">
            <w:pPr>
              <w:widowControl/>
              <w:tabs>
                <w:tab w:val="num" w:pos="1080"/>
              </w:tabs>
              <w:spacing w:before="120"/>
              <w:jc w:val="center"/>
              <w:rPr>
                <w:sz w:val="22"/>
                <w:szCs w:val="22"/>
              </w:rPr>
            </w:pPr>
            <w:r w:rsidRPr="00697F5A">
              <w:rPr>
                <w:sz w:val="22"/>
                <w:szCs w:val="22"/>
              </w:rPr>
              <w:t>1</w:t>
            </w:r>
          </w:p>
        </w:tc>
        <w:tc>
          <w:tcPr>
            <w:tcW w:w="1623" w:type="dxa"/>
            <w:vAlign w:val="center"/>
          </w:tcPr>
          <w:p w14:paraId="49C1C986" w14:textId="5D983F9C" w:rsidR="007A6608" w:rsidRPr="00697F5A" w:rsidRDefault="001214D3" w:rsidP="00F8361F">
            <w:pPr>
              <w:widowControl/>
              <w:tabs>
                <w:tab w:val="num" w:pos="1080"/>
              </w:tabs>
              <w:spacing w:before="120"/>
              <w:jc w:val="center"/>
              <w:rPr>
                <w:sz w:val="22"/>
                <w:szCs w:val="22"/>
              </w:rPr>
            </w:pPr>
            <w:r>
              <w:rPr>
                <w:sz w:val="22"/>
                <w:szCs w:val="22"/>
              </w:rPr>
              <w:t>.5</w:t>
            </w:r>
          </w:p>
        </w:tc>
        <w:tc>
          <w:tcPr>
            <w:tcW w:w="990" w:type="dxa"/>
            <w:vAlign w:val="center"/>
          </w:tcPr>
          <w:p w14:paraId="2A5CEDC0" w14:textId="77777777" w:rsidR="007A6608" w:rsidRPr="00697F5A" w:rsidRDefault="007A6608" w:rsidP="00F8361F">
            <w:pPr>
              <w:jc w:val="center"/>
              <w:rPr>
                <w:color w:val="000000"/>
                <w:sz w:val="22"/>
                <w:szCs w:val="22"/>
              </w:rPr>
            </w:pPr>
            <w:r>
              <w:rPr>
                <w:color w:val="000000"/>
                <w:sz w:val="22"/>
                <w:szCs w:val="22"/>
              </w:rPr>
              <w:t>12,750</w:t>
            </w:r>
          </w:p>
        </w:tc>
      </w:tr>
      <w:tr w:rsidR="007A6608" w:rsidRPr="00465A8E" w14:paraId="704404A2" w14:textId="77777777" w:rsidTr="007C230C">
        <w:trPr>
          <w:trHeight w:val="576"/>
        </w:trPr>
        <w:tc>
          <w:tcPr>
            <w:tcW w:w="1532" w:type="dxa"/>
            <w:vAlign w:val="center"/>
          </w:tcPr>
          <w:p w14:paraId="56A617B8" w14:textId="77777777" w:rsidR="007A6608" w:rsidRDefault="007A6608" w:rsidP="00F8361F">
            <w:pPr>
              <w:jc w:val="center"/>
            </w:pPr>
            <w:r w:rsidRPr="00D6314B">
              <w:rPr>
                <w:b/>
                <w:bCs/>
                <w:sz w:val="22"/>
                <w:szCs w:val="22"/>
              </w:rPr>
              <w:t>Adult Parent or Caregiver</w:t>
            </w:r>
          </w:p>
        </w:tc>
        <w:tc>
          <w:tcPr>
            <w:tcW w:w="1549" w:type="dxa"/>
            <w:vAlign w:val="center"/>
          </w:tcPr>
          <w:p w14:paraId="3CE8C596" w14:textId="77777777" w:rsidR="007A6608" w:rsidRPr="00465A8E" w:rsidRDefault="007A6608" w:rsidP="00F8361F">
            <w:pPr>
              <w:widowControl/>
              <w:tabs>
                <w:tab w:val="num" w:pos="1080"/>
              </w:tabs>
              <w:spacing w:before="120"/>
              <w:jc w:val="center"/>
              <w:rPr>
                <w:b/>
                <w:bCs/>
                <w:sz w:val="22"/>
                <w:szCs w:val="22"/>
              </w:rPr>
            </w:pPr>
            <w:r w:rsidRPr="00465A8E">
              <w:rPr>
                <w:b/>
                <w:bCs/>
                <w:sz w:val="22"/>
                <w:szCs w:val="22"/>
              </w:rPr>
              <w:t xml:space="preserve">12-17 </w:t>
            </w:r>
            <w:r>
              <w:rPr>
                <w:b/>
                <w:bCs/>
                <w:sz w:val="22"/>
                <w:szCs w:val="22"/>
              </w:rPr>
              <w:t>Topical</w:t>
            </w:r>
            <w:r w:rsidRPr="00465A8E">
              <w:rPr>
                <w:b/>
                <w:bCs/>
                <w:sz w:val="22"/>
                <w:szCs w:val="22"/>
              </w:rPr>
              <w:t xml:space="preserve"> Instrument</w:t>
            </w:r>
          </w:p>
        </w:tc>
        <w:tc>
          <w:tcPr>
            <w:tcW w:w="1485" w:type="dxa"/>
            <w:vAlign w:val="center"/>
          </w:tcPr>
          <w:p w14:paraId="48F0D9DE" w14:textId="77777777" w:rsidR="007A6608" w:rsidRPr="00697F5A" w:rsidRDefault="007A6608" w:rsidP="00F8361F">
            <w:pPr>
              <w:jc w:val="center"/>
              <w:rPr>
                <w:sz w:val="22"/>
                <w:szCs w:val="22"/>
              </w:rPr>
            </w:pPr>
            <w:r>
              <w:rPr>
                <w:sz w:val="22"/>
                <w:szCs w:val="22"/>
              </w:rPr>
              <w:t>25,500</w:t>
            </w:r>
          </w:p>
        </w:tc>
        <w:tc>
          <w:tcPr>
            <w:tcW w:w="1662" w:type="dxa"/>
            <w:vAlign w:val="center"/>
          </w:tcPr>
          <w:p w14:paraId="5AE2F356" w14:textId="77777777" w:rsidR="007A6608" w:rsidRPr="00697F5A" w:rsidRDefault="007A6608" w:rsidP="00F8361F">
            <w:pPr>
              <w:widowControl/>
              <w:tabs>
                <w:tab w:val="num" w:pos="1080"/>
              </w:tabs>
              <w:spacing w:before="120"/>
              <w:jc w:val="center"/>
              <w:rPr>
                <w:sz w:val="22"/>
                <w:szCs w:val="22"/>
              </w:rPr>
            </w:pPr>
            <w:r w:rsidRPr="00697F5A">
              <w:rPr>
                <w:sz w:val="22"/>
                <w:szCs w:val="22"/>
              </w:rPr>
              <w:t>1</w:t>
            </w:r>
          </w:p>
        </w:tc>
        <w:tc>
          <w:tcPr>
            <w:tcW w:w="1623" w:type="dxa"/>
            <w:vAlign w:val="center"/>
          </w:tcPr>
          <w:p w14:paraId="4F9E1457" w14:textId="339FDA97" w:rsidR="007A6608" w:rsidRPr="00697F5A" w:rsidRDefault="001214D3" w:rsidP="00F8361F">
            <w:pPr>
              <w:widowControl/>
              <w:tabs>
                <w:tab w:val="num" w:pos="1080"/>
              </w:tabs>
              <w:spacing w:before="120"/>
              <w:jc w:val="center"/>
              <w:rPr>
                <w:sz w:val="22"/>
                <w:szCs w:val="22"/>
              </w:rPr>
            </w:pPr>
            <w:r>
              <w:rPr>
                <w:sz w:val="22"/>
                <w:szCs w:val="22"/>
              </w:rPr>
              <w:t>.5</w:t>
            </w:r>
          </w:p>
        </w:tc>
        <w:tc>
          <w:tcPr>
            <w:tcW w:w="990" w:type="dxa"/>
            <w:vAlign w:val="center"/>
          </w:tcPr>
          <w:p w14:paraId="7E7F2F3C" w14:textId="77777777" w:rsidR="007A6608" w:rsidRPr="00697F5A" w:rsidRDefault="007A6608" w:rsidP="00F8361F">
            <w:pPr>
              <w:jc w:val="center"/>
              <w:rPr>
                <w:color w:val="000000"/>
                <w:sz w:val="22"/>
                <w:szCs w:val="22"/>
              </w:rPr>
            </w:pPr>
            <w:r>
              <w:rPr>
                <w:color w:val="000000"/>
                <w:sz w:val="22"/>
                <w:szCs w:val="22"/>
              </w:rPr>
              <w:t>12,750</w:t>
            </w:r>
          </w:p>
        </w:tc>
      </w:tr>
      <w:tr w:rsidR="007A6608" w:rsidRPr="00465A8E" w14:paraId="516A6C54" w14:textId="77777777" w:rsidTr="007C230C">
        <w:trPr>
          <w:trHeight w:val="576"/>
        </w:trPr>
        <w:tc>
          <w:tcPr>
            <w:tcW w:w="1532" w:type="dxa"/>
            <w:vAlign w:val="center"/>
          </w:tcPr>
          <w:p w14:paraId="7C72B428" w14:textId="77777777" w:rsidR="007A6608" w:rsidRPr="00465A8E" w:rsidRDefault="007A6608" w:rsidP="00F8361F">
            <w:pPr>
              <w:widowControl/>
              <w:tabs>
                <w:tab w:val="num" w:pos="1080"/>
              </w:tabs>
              <w:spacing w:before="120"/>
              <w:jc w:val="center"/>
              <w:rPr>
                <w:b/>
                <w:bCs/>
                <w:sz w:val="22"/>
                <w:szCs w:val="22"/>
              </w:rPr>
            </w:pPr>
            <w:r w:rsidRPr="00465A8E">
              <w:rPr>
                <w:b/>
                <w:bCs/>
                <w:sz w:val="22"/>
                <w:szCs w:val="22"/>
              </w:rPr>
              <w:t>Total</w:t>
            </w:r>
          </w:p>
        </w:tc>
        <w:tc>
          <w:tcPr>
            <w:tcW w:w="1549" w:type="dxa"/>
            <w:vAlign w:val="center"/>
          </w:tcPr>
          <w:p w14:paraId="577665BB" w14:textId="77777777" w:rsidR="007A6608" w:rsidRPr="00465A8E" w:rsidRDefault="007A6608" w:rsidP="00F8361F">
            <w:pPr>
              <w:widowControl/>
              <w:tabs>
                <w:tab w:val="num" w:pos="1080"/>
              </w:tabs>
              <w:spacing w:before="120"/>
              <w:jc w:val="center"/>
              <w:rPr>
                <w:sz w:val="22"/>
                <w:szCs w:val="22"/>
              </w:rPr>
            </w:pPr>
          </w:p>
        </w:tc>
        <w:tc>
          <w:tcPr>
            <w:tcW w:w="1485" w:type="dxa"/>
            <w:vAlign w:val="center"/>
          </w:tcPr>
          <w:p w14:paraId="742992DE" w14:textId="77777777" w:rsidR="007A6608" w:rsidRPr="00465A8E" w:rsidRDefault="007A6608" w:rsidP="00F8361F">
            <w:pPr>
              <w:widowControl/>
              <w:tabs>
                <w:tab w:val="num" w:pos="1080"/>
              </w:tabs>
              <w:spacing w:before="120"/>
              <w:jc w:val="center"/>
              <w:rPr>
                <w:b/>
                <w:sz w:val="22"/>
                <w:szCs w:val="22"/>
              </w:rPr>
            </w:pPr>
            <w:r>
              <w:rPr>
                <w:b/>
                <w:sz w:val="22"/>
                <w:szCs w:val="22"/>
              </w:rPr>
              <w:t>266,906</w:t>
            </w:r>
          </w:p>
        </w:tc>
        <w:tc>
          <w:tcPr>
            <w:tcW w:w="1662" w:type="dxa"/>
            <w:vAlign w:val="center"/>
          </w:tcPr>
          <w:p w14:paraId="79F449FA" w14:textId="77777777" w:rsidR="007A6608" w:rsidRPr="00465A8E" w:rsidRDefault="007A6608" w:rsidP="00F8361F">
            <w:pPr>
              <w:widowControl/>
              <w:tabs>
                <w:tab w:val="num" w:pos="1080"/>
              </w:tabs>
              <w:spacing w:before="120"/>
              <w:jc w:val="center"/>
              <w:rPr>
                <w:sz w:val="22"/>
                <w:szCs w:val="22"/>
              </w:rPr>
            </w:pPr>
          </w:p>
        </w:tc>
        <w:tc>
          <w:tcPr>
            <w:tcW w:w="1623" w:type="dxa"/>
            <w:vAlign w:val="center"/>
          </w:tcPr>
          <w:p w14:paraId="2BC6FB6D" w14:textId="77777777" w:rsidR="007A6608" w:rsidRPr="00465A8E" w:rsidRDefault="007A6608" w:rsidP="00F8361F">
            <w:pPr>
              <w:widowControl/>
              <w:tabs>
                <w:tab w:val="num" w:pos="1080"/>
              </w:tabs>
              <w:spacing w:before="120"/>
              <w:jc w:val="center"/>
              <w:rPr>
                <w:sz w:val="22"/>
                <w:szCs w:val="22"/>
              </w:rPr>
            </w:pPr>
          </w:p>
        </w:tc>
        <w:tc>
          <w:tcPr>
            <w:tcW w:w="990" w:type="dxa"/>
            <w:vAlign w:val="center"/>
          </w:tcPr>
          <w:p w14:paraId="0BA844F7" w14:textId="77777777" w:rsidR="007A6608" w:rsidRPr="00465A8E" w:rsidRDefault="007A6608" w:rsidP="00F8361F">
            <w:pPr>
              <w:widowControl/>
              <w:tabs>
                <w:tab w:val="num" w:pos="1080"/>
              </w:tabs>
              <w:spacing w:before="120"/>
              <w:jc w:val="center"/>
              <w:rPr>
                <w:sz w:val="22"/>
                <w:szCs w:val="22"/>
              </w:rPr>
            </w:pPr>
            <w:r>
              <w:rPr>
                <w:b/>
                <w:bCs/>
                <w:sz w:val="22"/>
                <w:szCs w:val="22"/>
              </w:rPr>
              <w:t>54,117</w:t>
            </w:r>
          </w:p>
        </w:tc>
      </w:tr>
    </w:tbl>
    <w:p w14:paraId="091DF039" w14:textId="72F6A1E9" w:rsidR="00DA372A" w:rsidRDefault="00DA372A" w:rsidP="00BE1812">
      <w:pPr>
        <w:widowControl/>
        <w:spacing w:before="120"/>
        <w:ind w:left="270"/>
        <w:rPr>
          <w:sz w:val="22"/>
        </w:rPr>
      </w:pPr>
      <w:r w:rsidRPr="00BE1812">
        <w:rPr>
          <w:sz w:val="22"/>
        </w:rPr>
        <w:t>Table 12</w:t>
      </w:r>
      <w:r w:rsidR="00773019">
        <w:rPr>
          <w:sz w:val="22"/>
        </w:rPr>
        <w:t>A</w:t>
      </w:r>
      <w:r w:rsidRPr="00BE1812">
        <w:rPr>
          <w:sz w:val="22"/>
        </w:rPr>
        <w:t xml:space="preserve"> NOTE: Details may not sum to totals due to rounding of partial hours.</w:t>
      </w:r>
    </w:p>
    <w:p w14:paraId="036FB2C1" w14:textId="07960437" w:rsidR="00286D3B" w:rsidRDefault="00286D3B" w:rsidP="00BE1812">
      <w:pPr>
        <w:widowControl/>
        <w:spacing w:before="120"/>
        <w:ind w:left="270"/>
        <w:rPr>
          <w:sz w:val="22"/>
        </w:rPr>
      </w:pPr>
    </w:p>
    <w:p w14:paraId="249BC9B6" w14:textId="2EBEEA03" w:rsidR="00286D3B" w:rsidRDefault="00286D3B" w:rsidP="00286D3B">
      <w:pPr>
        <w:widowControl/>
        <w:spacing w:before="120"/>
        <w:rPr>
          <w:b/>
          <w:sz w:val="22"/>
        </w:rPr>
      </w:pPr>
      <w:r w:rsidRPr="00286D3B">
        <w:rPr>
          <w:b/>
          <w:sz w:val="22"/>
        </w:rPr>
        <w:t>12B. Estimated Annualized Burden Costs</w:t>
      </w:r>
    </w:p>
    <w:p w14:paraId="63231E62" w14:textId="77777777" w:rsidR="00B147AF" w:rsidRDefault="00B147AF" w:rsidP="00286D3B">
      <w:pPr>
        <w:widowControl/>
        <w:spacing w:before="120"/>
        <w:rPr>
          <w:b/>
          <w:sz w:val="22"/>
        </w:rPr>
      </w:pPr>
    </w:p>
    <w:tbl>
      <w:tblPr>
        <w:tblW w:w="88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1890"/>
        <w:gridCol w:w="1800"/>
        <w:gridCol w:w="1980"/>
      </w:tblGrid>
      <w:tr w:rsidR="00B147AF" w:rsidRPr="00D27F91" w14:paraId="62E847F6" w14:textId="77777777" w:rsidTr="00632D30">
        <w:trPr>
          <w:trHeight w:val="602"/>
        </w:trPr>
        <w:tc>
          <w:tcPr>
            <w:tcW w:w="3150" w:type="dxa"/>
            <w:shd w:val="clear" w:color="auto" w:fill="A6A6A6" w:themeFill="background1" w:themeFillShade="A6"/>
            <w:vAlign w:val="bottom"/>
          </w:tcPr>
          <w:p w14:paraId="1BD4EF55" w14:textId="77777777" w:rsidR="00B147AF" w:rsidRPr="00D27F91" w:rsidRDefault="00B147AF" w:rsidP="00632D30">
            <w:pPr>
              <w:jc w:val="center"/>
              <w:rPr>
                <w:b/>
                <w:bCs/>
                <w:sz w:val="22"/>
              </w:rPr>
            </w:pPr>
            <w:r w:rsidRPr="00D27F91">
              <w:rPr>
                <w:b/>
                <w:bCs/>
                <w:sz w:val="22"/>
              </w:rPr>
              <w:t>Type of</w:t>
            </w:r>
          </w:p>
          <w:p w14:paraId="52EE4155" w14:textId="77777777" w:rsidR="00B147AF" w:rsidRPr="00D27F91" w:rsidRDefault="00B147AF" w:rsidP="00632D30">
            <w:pPr>
              <w:jc w:val="center"/>
              <w:rPr>
                <w:sz w:val="22"/>
              </w:rPr>
            </w:pPr>
            <w:r w:rsidRPr="00D27F91">
              <w:rPr>
                <w:b/>
                <w:bCs/>
                <w:sz w:val="22"/>
              </w:rPr>
              <w:t>Respondent</w:t>
            </w:r>
          </w:p>
        </w:tc>
        <w:tc>
          <w:tcPr>
            <w:tcW w:w="1890" w:type="dxa"/>
            <w:shd w:val="clear" w:color="auto" w:fill="A6A6A6" w:themeFill="background1" w:themeFillShade="A6"/>
            <w:vAlign w:val="bottom"/>
          </w:tcPr>
          <w:p w14:paraId="194D2F3A" w14:textId="77777777" w:rsidR="00B147AF" w:rsidRPr="00D27F91" w:rsidRDefault="00B147AF" w:rsidP="00632D30">
            <w:pPr>
              <w:jc w:val="center"/>
              <w:rPr>
                <w:b/>
                <w:bCs/>
                <w:sz w:val="22"/>
              </w:rPr>
            </w:pPr>
            <w:r w:rsidRPr="00D27F91">
              <w:rPr>
                <w:b/>
                <w:bCs/>
                <w:sz w:val="22"/>
              </w:rPr>
              <w:t>Total Burden</w:t>
            </w:r>
          </w:p>
          <w:p w14:paraId="41197347" w14:textId="77777777" w:rsidR="00B147AF" w:rsidRPr="00D27F91" w:rsidRDefault="00B147AF" w:rsidP="00632D30">
            <w:pPr>
              <w:jc w:val="center"/>
              <w:rPr>
                <w:sz w:val="22"/>
              </w:rPr>
            </w:pPr>
            <w:r w:rsidRPr="00D27F91">
              <w:rPr>
                <w:b/>
                <w:bCs/>
                <w:sz w:val="22"/>
              </w:rPr>
              <w:t>Hours</w:t>
            </w:r>
          </w:p>
        </w:tc>
        <w:tc>
          <w:tcPr>
            <w:tcW w:w="1800" w:type="dxa"/>
            <w:shd w:val="clear" w:color="auto" w:fill="A6A6A6" w:themeFill="background1" w:themeFillShade="A6"/>
            <w:vAlign w:val="bottom"/>
          </w:tcPr>
          <w:p w14:paraId="08682EE8" w14:textId="77777777" w:rsidR="00B147AF" w:rsidRPr="00D27F91" w:rsidRDefault="00B147AF" w:rsidP="00632D30">
            <w:pPr>
              <w:jc w:val="center"/>
              <w:rPr>
                <w:b/>
                <w:bCs/>
                <w:sz w:val="22"/>
              </w:rPr>
            </w:pPr>
            <w:r w:rsidRPr="00D27F91">
              <w:rPr>
                <w:b/>
                <w:bCs/>
                <w:sz w:val="22"/>
              </w:rPr>
              <w:t>Hourly</w:t>
            </w:r>
          </w:p>
          <w:p w14:paraId="1FDC3208" w14:textId="77777777" w:rsidR="00B147AF" w:rsidRPr="00D27F91" w:rsidRDefault="00B147AF" w:rsidP="00632D30">
            <w:pPr>
              <w:jc w:val="center"/>
              <w:rPr>
                <w:sz w:val="22"/>
              </w:rPr>
            </w:pPr>
            <w:r w:rsidRPr="00D27F91">
              <w:rPr>
                <w:b/>
                <w:bCs/>
                <w:sz w:val="22"/>
              </w:rPr>
              <w:t>Wage Rate</w:t>
            </w:r>
          </w:p>
        </w:tc>
        <w:tc>
          <w:tcPr>
            <w:tcW w:w="1980" w:type="dxa"/>
            <w:shd w:val="clear" w:color="auto" w:fill="A6A6A6" w:themeFill="background1" w:themeFillShade="A6"/>
            <w:vAlign w:val="bottom"/>
          </w:tcPr>
          <w:p w14:paraId="5D7815C6" w14:textId="77777777" w:rsidR="00B147AF" w:rsidRPr="00D27F91" w:rsidRDefault="00B147AF" w:rsidP="00632D30">
            <w:pPr>
              <w:jc w:val="center"/>
              <w:rPr>
                <w:sz w:val="22"/>
              </w:rPr>
            </w:pPr>
            <w:r w:rsidRPr="00D27F91">
              <w:rPr>
                <w:b/>
                <w:bCs/>
                <w:sz w:val="22"/>
              </w:rPr>
              <w:t>Total Respondent Costs</w:t>
            </w:r>
          </w:p>
        </w:tc>
      </w:tr>
      <w:tr w:rsidR="00B147AF" w:rsidRPr="00D27F91" w14:paraId="7C8EAC1C" w14:textId="77777777" w:rsidTr="00632D30">
        <w:trPr>
          <w:trHeight w:val="440"/>
        </w:trPr>
        <w:tc>
          <w:tcPr>
            <w:tcW w:w="8820" w:type="dxa"/>
            <w:gridSpan w:val="4"/>
            <w:shd w:val="clear" w:color="auto" w:fill="000000" w:themeFill="text1"/>
            <w:vAlign w:val="center"/>
          </w:tcPr>
          <w:p w14:paraId="041D8BF3" w14:textId="2D95A0FD" w:rsidR="00B147AF" w:rsidRPr="00D27F91" w:rsidRDefault="00B147AF" w:rsidP="00632D30">
            <w:pPr>
              <w:spacing w:before="100" w:beforeAutospacing="1" w:after="100" w:afterAutospacing="1"/>
            </w:pPr>
            <w:r w:rsidRPr="00D27F91">
              <w:rPr>
                <w:b/>
                <w:sz w:val="22"/>
              </w:rPr>
              <w:t>NSCH Pr</w:t>
            </w:r>
            <w:r w:rsidRPr="00B147AF">
              <w:rPr>
                <w:b/>
                <w:sz w:val="22"/>
              </w:rPr>
              <w:t>oduction</w:t>
            </w:r>
          </w:p>
        </w:tc>
      </w:tr>
      <w:tr w:rsidR="007A50B4" w:rsidRPr="00D27F91" w14:paraId="71E47371" w14:textId="77777777" w:rsidTr="00632D30">
        <w:trPr>
          <w:trHeight w:val="440"/>
        </w:trPr>
        <w:tc>
          <w:tcPr>
            <w:tcW w:w="3150" w:type="dxa"/>
          </w:tcPr>
          <w:p w14:paraId="086DAF47" w14:textId="77777777" w:rsidR="007A50B4" w:rsidRPr="00D27F91" w:rsidRDefault="007A50B4" w:rsidP="00632D30">
            <w:pPr>
              <w:tabs>
                <w:tab w:val="num" w:pos="1080"/>
              </w:tabs>
              <w:spacing w:before="100" w:beforeAutospacing="1" w:after="100" w:afterAutospacing="1"/>
              <w:rPr>
                <w:b/>
                <w:bCs/>
                <w:sz w:val="22"/>
              </w:rPr>
            </w:pPr>
            <w:r w:rsidRPr="00D27F91">
              <w:rPr>
                <w:b/>
                <w:bCs/>
                <w:sz w:val="22"/>
              </w:rPr>
              <w:t>Adult Parent or Caregiver (Screener)</w:t>
            </w:r>
          </w:p>
        </w:tc>
        <w:tc>
          <w:tcPr>
            <w:tcW w:w="1890" w:type="dxa"/>
            <w:vAlign w:val="center"/>
          </w:tcPr>
          <w:p w14:paraId="72E9E911" w14:textId="0AD186ED" w:rsidR="007A50B4" w:rsidRPr="00D27F91" w:rsidRDefault="007A50B4" w:rsidP="00632D30">
            <w:pPr>
              <w:spacing w:before="100" w:beforeAutospacing="1" w:after="100" w:afterAutospacing="1"/>
              <w:rPr>
                <w:color w:val="000000"/>
                <w:sz w:val="22"/>
              </w:rPr>
            </w:pPr>
            <w:r>
              <w:rPr>
                <w:color w:val="000000"/>
                <w:sz w:val="22"/>
              </w:rPr>
              <w:t>15,867</w:t>
            </w:r>
          </w:p>
        </w:tc>
        <w:tc>
          <w:tcPr>
            <w:tcW w:w="1800" w:type="dxa"/>
            <w:vAlign w:val="center"/>
          </w:tcPr>
          <w:p w14:paraId="129F2CD0" w14:textId="4DF3168C" w:rsidR="007A50B4" w:rsidRPr="00D27F91" w:rsidRDefault="007A50B4" w:rsidP="00632D30">
            <w:pPr>
              <w:spacing w:before="100" w:beforeAutospacing="1" w:after="100" w:afterAutospacing="1"/>
              <w:jc w:val="right"/>
              <w:rPr>
                <w:sz w:val="22"/>
              </w:rPr>
            </w:pPr>
            <w:r>
              <w:rPr>
                <w:color w:val="000000"/>
                <w:sz w:val="22"/>
              </w:rPr>
              <w:t xml:space="preserve">$25.35 </w:t>
            </w:r>
          </w:p>
        </w:tc>
        <w:tc>
          <w:tcPr>
            <w:tcW w:w="1980" w:type="dxa"/>
            <w:vAlign w:val="center"/>
          </w:tcPr>
          <w:p w14:paraId="7F86CFF2" w14:textId="0FADDE18" w:rsidR="007A50B4" w:rsidRPr="00D27F91" w:rsidRDefault="007A50B4" w:rsidP="00632D30">
            <w:pPr>
              <w:spacing w:before="100" w:beforeAutospacing="1" w:after="100" w:afterAutospacing="1"/>
              <w:jc w:val="right"/>
              <w:rPr>
                <w:color w:val="000000"/>
                <w:sz w:val="22"/>
              </w:rPr>
            </w:pPr>
            <w:r>
              <w:rPr>
                <w:color w:val="000000"/>
                <w:sz w:val="22"/>
              </w:rPr>
              <w:t xml:space="preserve">$402,228.45 </w:t>
            </w:r>
          </w:p>
        </w:tc>
      </w:tr>
      <w:tr w:rsidR="007A50B4" w:rsidRPr="00D27F91" w14:paraId="3EF59FCA" w14:textId="77777777" w:rsidTr="00632D30">
        <w:trPr>
          <w:trHeight w:val="440"/>
        </w:trPr>
        <w:tc>
          <w:tcPr>
            <w:tcW w:w="3150" w:type="dxa"/>
          </w:tcPr>
          <w:p w14:paraId="642DB20E" w14:textId="77777777" w:rsidR="007A50B4" w:rsidRPr="00D27F91" w:rsidRDefault="007A50B4" w:rsidP="00632D30">
            <w:pPr>
              <w:tabs>
                <w:tab w:val="num" w:pos="1080"/>
              </w:tabs>
              <w:rPr>
                <w:b/>
                <w:bCs/>
                <w:sz w:val="22"/>
              </w:rPr>
            </w:pPr>
            <w:r w:rsidRPr="00D27F91">
              <w:rPr>
                <w:b/>
                <w:bCs/>
                <w:sz w:val="22"/>
              </w:rPr>
              <w:t xml:space="preserve">Adult Parent or Caregiver </w:t>
            </w:r>
          </w:p>
          <w:p w14:paraId="4814B49A" w14:textId="77777777" w:rsidR="007A50B4" w:rsidRPr="00D27F91" w:rsidRDefault="007A50B4" w:rsidP="00632D30">
            <w:pPr>
              <w:tabs>
                <w:tab w:val="num" w:pos="1080"/>
              </w:tabs>
              <w:rPr>
                <w:b/>
                <w:bCs/>
                <w:sz w:val="22"/>
              </w:rPr>
            </w:pPr>
            <w:r w:rsidRPr="00D27F91">
              <w:rPr>
                <w:b/>
                <w:bCs/>
                <w:sz w:val="22"/>
              </w:rPr>
              <w:t>(0-5 Topical Instrument)</w:t>
            </w:r>
          </w:p>
        </w:tc>
        <w:tc>
          <w:tcPr>
            <w:tcW w:w="1890" w:type="dxa"/>
            <w:vAlign w:val="center"/>
          </w:tcPr>
          <w:p w14:paraId="5D6158E7" w14:textId="2860FFF9" w:rsidR="007A50B4" w:rsidRPr="00D27F91" w:rsidRDefault="007A50B4" w:rsidP="00632D30">
            <w:pPr>
              <w:rPr>
                <w:color w:val="000000"/>
                <w:sz w:val="22"/>
              </w:rPr>
            </w:pPr>
            <w:r>
              <w:rPr>
                <w:color w:val="000000"/>
                <w:sz w:val="22"/>
              </w:rPr>
              <w:t>12,750</w:t>
            </w:r>
          </w:p>
        </w:tc>
        <w:tc>
          <w:tcPr>
            <w:tcW w:w="1800" w:type="dxa"/>
            <w:vAlign w:val="center"/>
          </w:tcPr>
          <w:p w14:paraId="7A9C7167" w14:textId="7C105B49" w:rsidR="007A50B4" w:rsidRPr="00D27F91" w:rsidRDefault="007A50B4" w:rsidP="00632D30">
            <w:pPr>
              <w:jc w:val="right"/>
              <w:rPr>
                <w:sz w:val="22"/>
              </w:rPr>
            </w:pPr>
            <w:r>
              <w:rPr>
                <w:color w:val="000000"/>
                <w:sz w:val="22"/>
              </w:rPr>
              <w:t xml:space="preserve">$25.35 </w:t>
            </w:r>
          </w:p>
        </w:tc>
        <w:tc>
          <w:tcPr>
            <w:tcW w:w="1980" w:type="dxa"/>
            <w:vAlign w:val="center"/>
          </w:tcPr>
          <w:p w14:paraId="5EB7744D" w14:textId="5DE39798" w:rsidR="007A50B4" w:rsidRPr="00D27F91" w:rsidRDefault="007A50B4" w:rsidP="00632D30">
            <w:pPr>
              <w:jc w:val="right"/>
              <w:rPr>
                <w:color w:val="000000"/>
                <w:sz w:val="22"/>
              </w:rPr>
            </w:pPr>
            <w:r>
              <w:rPr>
                <w:color w:val="000000"/>
                <w:sz w:val="22"/>
              </w:rPr>
              <w:t xml:space="preserve">$323,212.50 </w:t>
            </w:r>
          </w:p>
        </w:tc>
      </w:tr>
      <w:tr w:rsidR="007A50B4" w:rsidRPr="00D27F91" w14:paraId="7C72CD42" w14:textId="77777777" w:rsidTr="00632D30">
        <w:trPr>
          <w:trHeight w:val="440"/>
        </w:trPr>
        <w:tc>
          <w:tcPr>
            <w:tcW w:w="3150" w:type="dxa"/>
          </w:tcPr>
          <w:p w14:paraId="6FFFDED9" w14:textId="77777777" w:rsidR="007A50B4" w:rsidRPr="00D27F91" w:rsidRDefault="007A50B4" w:rsidP="00632D30">
            <w:pPr>
              <w:tabs>
                <w:tab w:val="num" w:pos="1080"/>
              </w:tabs>
              <w:rPr>
                <w:b/>
                <w:bCs/>
                <w:sz w:val="22"/>
              </w:rPr>
            </w:pPr>
            <w:r w:rsidRPr="00D27F91">
              <w:rPr>
                <w:b/>
                <w:bCs/>
                <w:sz w:val="22"/>
              </w:rPr>
              <w:t xml:space="preserve">Adult Parent or Caregiver </w:t>
            </w:r>
          </w:p>
          <w:p w14:paraId="46151C33" w14:textId="77777777" w:rsidR="007A50B4" w:rsidRPr="00D27F91" w:rsidRDefault="007A50B4" w:rsidP="00632D30">
            <w:pPr>
              <w:tabs>
                <w:tab w:val="num" w:pos="1080"/>
              </w:tabs>
              <w:rPr>
                <w:b/>
                <w:bCs/>
                <w:sz w:val="22"/>
              </w:rPr>
            </w:pPr>
            <w:r w:rsidRPr="00D27F91">
              <w:rPr>
                <w:b/>
                <w:bCs/>
                <w:sz w:val="22"/>
              </w:rPr>
              <w:t>(6-11 Topical Instrument)</w:t>
            </w:r>
          </w:p>
        </w:tc>
        <w:tc>
          <w:tcPr>
            <w:tcW w:w="1890" w:type="dxa"/>
            <w:vAlign w:val="center"/>
          </w:tcPr>
          <w:p w14:paraId="32E7A3A0" w14:textId="2C714AD1" w:rsidR="007A50B4" w:rsidRPr="00D27F91" w:rsidRDefault="007A50B4" w:rsidP="00632D30">
            <w:pPr>
              <w:spacing w:before="100" w:beforeAutospacing="1" w:after="100" w:afterAutospacing="1"/>
              <w:rPr>
                <w:color w:val="000000"/>
                <w:sz w:val="22"/>
              </w:rPr>
            </w:pPr>
            <w:r>
              <w:rPr>
                <w:color w:val="000000"/>
                <w:sz w:val="22"/>
              </w:rPr>
              <w:t>12,750</w:t>
            </w:r>
          </w:p>
        </w:tc>
        <w:tc>
          <w:tcPr>
            <w:tcW w:w="1800" w:type="dxa"/>
            <w:vAlign w:val="center"/>
          </w:tcPr>
          <w:p w14:paraId="7B7CF575" w14:textId="42981EA4" w:rsidR="007A50B4" w:rsidRPr="00D27F91" w:rsidRDefault="007A50B4" w:rsidP="00632D30">
            <w:pPr>
              <w:jc w:val="right"/>
              <w:rPr>
                <w:sz w:val="22"/>
              </w:rPr>
            </w:pPr>
            <w:r>
              <w:rPr>
                <w:color w:val="000000"/>
                <w:sz w:val="22"/>
              </w:rPr>
              <w:t xml:space="preserve">$25.35 </w:t>
            </w:r>
          </w:p>
        </w:tc>
        <w:tc>
          <w:tcPr>
            <w:tcW w:w="1980" w:type="dxa"/>
            <w:vAlign w:val="center"/>
          </w:tcPr>
          <w:p w14:paraId="03E17C86" w14:textId="7E6ACDB2" w:rsidR="007A50B4" w:rsidRPr="00D27F91" w:rsidRDefault="007A50B4" w:rsidP="00632D30">
            <w:pPr>
              <w:spacing w:before="100" w:beforeAutospacing="1" w:after="100" w:afterAutospacing="1"/>
              <w:jc w:val="right"/>
              <w:rPr>
                <w:color w:val="000000"/>
                <w:sz w:val="22"/>
              </w:rPr>
            </w:pPr>
            <w:r>
              <w:rPr>
                <w:color w:val="000000"/>
                <w:sz w:val="22"/>
              </w:rPr>
              <w:t xml:space="preserve">$323,212.50 </w:t>
            </w:r>
          </w:p>
        </w:tc>
      </w:tr>
      <w:tr w:rsidR="007A50B4" w:rsidRPr="00D27F91" w14:paraId="09FEE0AF" w14:textId="77777777" w:rsidTr="00632D30">
        <w:trPr>
          <w:trHeight w:val="440"/>
        </w:trPr>
        <w:tc>
          <w:tcPr>
            <w:tcW w:w="3150" w:type="dxa"/>
          </w:tcPr>
          <w:p w14:paraId="5B39601A" w14:textId="77777777" w:rsidR="007A50B4" w:rsidRPr="00D27F91" w:rsidRDefault="007A50B4" w:rsidP="00632D30">
            <w:pPr>
              <w:rPr>
                <w:b/>
                <w:bCs/>
                <w:sz w:val="22"/>
              </w:rPr>
            </w:pPr>
            <w:r w:rsidRPr="00D27F91">
              <w:rPr>
                <w:b/>
                <w:bCs/>
                <w:sz w:val="22"/>
              </w:rPr>
              <w:t xml:space="preserve">Adult Parent or Caregiver </w:t>
            </w:r>
          </w:p>
          <w:p w14:paraId="43289A7D" w14:textId="77777777" w:rsidR="007A50B4" w:rsidRPr="00D27F91" w:rsidRDefault="007A50B4" w:rsidP="00632D30">
            <w:pPr>
              <w:rPr>
                <w:sz w:val="22"/>
              </w:rPr>
            </w:pPr>
            <w:r w:rsidRPr="00D27F91">
              <w:rPr>
                <w:b/>
                <w:bCs/>
                <w:sz w:val="22"/>
              </w:rPr>
              <w:t>(12-17 Topical Instrument)</w:t>
            </w:r>
          </w:p>
        </w:tc>
        <w:tc>
          <w:tcPr>
            <w:tcW w:w="1890" w:type="dxa"/>
            <w:vAlign w:val="center"/>
          </w:tcPr>
          <w:p w14:paraId="07BB8D79" w14:textId="6AD201B4" w:rsidR="007A50B4" w:rsidRPr="00D27F91" w:rsidRDefault="007A50B4" w:rsidP="00632D30">
            <w:pPr>
              <w:spacing w:before="100" w:beforeAutospacing="1" w:after="100" w:afterAutospacing="1"/>
              <w:rPr>
                <w:color w:val="000000"/>
                <w:sz w:val="22"/>
              </w:rPr>
            </w:pPr>
            <w:r>
              <w:rPr>
                <w:color w:val="000000"/>
                <w:sz w:val="22"/>
              </w:rPr>
              <w:t>12,750</w:t>
            </w:r>
          </w:p>
        </w:tc>
        <w:tc>
          <w:tcPr>
            <w:tcW w:w="1800" w:type="dxa"/>
            <w:vAlign w:val="center"/>
          </w:tcPr>
          <w:p w14:paraId="412F0930" w14:textId="0D0B9BC0" w:rsidR="007A50B4" w:rsidRPr="00D27F91" w:rsidRDefault="007A50B4" w:rsidP="00632D30">
            <w:pPr>
              <w:jc w:val="right"/>
              <w:rPr>
                <w:sz w:val="22"/>
              </w:rPr>
            </w:pPr>
            <w:r>
              <w:rPr>
                <w:color w:val="000000"/>
                <w:sz w:val="22"/>
              </w:rPr>
              <w:t xml:space="preserve">$25.35 </w:t>
            </w:r>
          </w:p>
        </w:tc>
        <w:tc>
          <w:tcPr>
            <w:tcW w:w="1980" w:type="dxa"/>
            <w:vAlign w:val="center"/>
          </w:tcPr>
          <w:p w14:paraId="4480530D" w14:textId="192062C8" w:rsidR="007A50B4" w:rsidRPr="00D27F91" w:rsidRDefault="007A50B4" w:rsidP="00632D30">
            <w:pPr>
              <w:spacing w:before="100" w:beforeAutospacing="1" w:after="100" w:afterAutospacing="1"/>
              <w:jc w:val="right"/>
              <w:rPr>
                <w:color w:val="000000"/>
                <w:sz w:val="22"/>
              </w:rPr>
            </w:pPr>
            <w:r>
              <w:rPr>
                <w:color w:val="000000"/>
                <w:sz w:val="22"/>
              </w:rPr>
              <w:t xml:space="preserve">$323,212.50 </w:t>
            </w:r>
          </w:p>
        </w:tc>
      </w:tr>
      <w:tr w:rsidR="007A50B4" w:rsidRPr="00D27F91" w14:paraId="307754F8" w14:textId="77777777" w:rsidTr="00632D30">
        <w:trPr>
          <w:trHeight w:val="287"/>
        </w:trPr>
        <w:tc>
          <w:tcPr>
            <w:tcW w:w="3150" w:type="dxa"/>
          </w:tcPr>
          <w:p w14:paraId="11FE4D94" w14:textId="77777777" w:rsidR="007A50B4" w:rsidRPr="00D27F91" w:rsidRDefault="007A50B4" w:rsidP="00632D30">
            <w:pPr>
              <w:tabs>
                <w:tab w:val="num" w:pos="1080"/>
              </w:tabs>
              <w:spacing w:before="100" w:beforeAutospacing="1" w:after="100" w:afterAutospacing="1"/>
              <w:rPr>
                <w:b/>
                <w:bCs/>
                <w:sz w:val="22"/>
              </w:rPr>
            </w:pPr>
            <w:r w:rsidRPr="00D27F91">
              <w:rPr>
                <w:b/>
                <w:bCs/>
                <w:sz w:val="22"/>
              </w:rPr>
              <w:t>Total</w:t>
            </w:r>
          </w:p>
        </w:tc>
        <w:tc>
          <w:tcPr>
            <w:tcW w:w="1890" w:type="dxa"/>
            <w:vAlign w:val="center"/>
          </w:tcPr>
          <w:p w14:paraId="63F2DC7D" w14:textId="14734364" w:rsidR="007A50B4" w:rsidRPr="00D27F91" w:rsidRDefault="007A50B4" w:rsidP="00632D30">
            <w:pPr>
              <w:spacing w:before="100" w:beforeAutospacing="1" w:after="100" w:afterAutospacing="1"/>
              <w:rPr>
                <w:b/>
                <w:sz w:val="22"/>
              </w:rPr>
            </w:pPr>
            <w:r>
              <w:rPr>
                <w:b/>
                <w:bCs/>
                <w:color w:val="000000"/>
                <w:sz w:val="22"/>
              </w:rPr>
              <w:t>54,117</w:t>
            </w:r>
          </w:p>
        </w:tc>
        <w:tc>
          <w:tcPr>
            <w:tcW w:w="1800" w:type="dxa"/>
            <w:vAlign w:val="center"/>
          </w:tcPr>
          <w:p w14:paraId="77018A50" w14:textId="24ED1112" w:rsidR="007A50B4" w:rsidRPr="00D27F91" w:rsidRDefault="007A50B4" w:rsidP="00632D30">
            <w:pPr>
              <w:spacing w:before="100" w:beforeAutospacing="1" w:after="100" w:afterAutospacing="1"/>
              <w:jc w:val="right"/>
              <w:rPr>
                <w:b/>
                <w:sz w:val="22"/>
              </w:rPr>
            </w:pPr>
            <w:r>
              <w:rPr>
                <w:b/>
                <w:bCs/>
                <w:color w:val="000000"/>
                <w:sz w:val="22"/>
              </w:rPr>
              <w:t> </w:t>
            </w:r>
          </w:p>
        </w:tc>
        <w:tc>
          <w:tcPr>
            <w:tcW w:w="1980" w:type="dxa"/>
            <w:vAlign w:val="center"/>
          </w:tcPr>
          <w:p w14:paraId="11241647" w14:textId="6F55A5A2" w:rsidR="007A50B4" w:rsidRPr="00D27F91" w:rsidRDefault="007A50B4" w:rsidP="00632D30">
            <w:pPr>
              <w:spacing w:before="100" w:beforeAutospacing="1" w:after="100" w:afterAutospacing="1"/>
              <w:jc w:val="right"/>
              <w:rPr>
                <w:b/>
                <w:color w:val="000000"/>
                <w:sz w:val="22"/>
              </w:rPr>
            </w:pPr>
            <w:r>
              <w:rPr>
                <w:b/>
                <w:bCs/>
                <w:color w:val="000000"/>
                <w:sz w:val="22"/>
              </w:rPr>
              <w:t xml:space="preserve">$1,371,865.95 </w:t>
            </w:r>
          </w:p>
        </w:tc>
      </w:tr>
    </w:tbl>
    <w:p w14:paraId="091DF063" w14:textId="77777777" w:rsidR="009B3794" w:rsidRPr="004F0887" w:rsidRDefault="009B3794" w:rsidP="00726ABF">
      <w:pPr>
        <w:numPr>
          <w:ilvl w:val="0"/>
          <w:numId w:val="1"/>
        </w:numPr>
        <w:tabs>
          <w:tab w:val="clear" w:pos="1080"/>
          <w:tab w:val="num" w:pos="360"/>
        </w:tabs>
        <w:spacing w:before="240"/>
        <w:ind w:left="360"/>
        <w:rPr>
          <w:b/>
          <w:sz w:val="24"/>
        </w:rPr>
      </w:pPr>
      <w:r w:rsidRPr="004F0887">
        <w:rPr>
          <w:b/>
          <w:sz w:val="24"/>
        </w:rPr>
        <w:t xml:space="preserve">Estimates of </w:t>
      </w:r>
      <w:r w:rsidR="00DC7841" w:rsidRPr="004F0887">
        <w:rPr>
          <w:b/>
          <w:sz w:val="24"/>
        </w:rPr>
        <w:t>O</w:t>
      </w:r>
      <w:r w:rsidRPr="004F0887">
        <w:rPr>
          <w:b/>
          <w:sz w:val="24"/>
        </w:rPr>
        <w:t xml:space="preserve">ther Total Annual Cost Burden to Respondents </w:t>
      </w:r>
    </w:p>
    <w:p w14:paraId="091DF064" w14:textId="77777777" w:rsidR="00E57405" w:rsidRPr="00465323" w:rsidRDefault="00E57405" w:rsidP="001214D3">
      <w:pPr>
        <w:pStyle w:val="BodyTextIndent"/>
        <w:spacing w:before="120"/>
        <w:ind w:left="0"/>
        <w:rPr>
          <w:rFonts w:ascii="Times New Roman" w:hAnsi="Times New Roman"/>
        </w:rPr>
      </w:pPr>
      <w:r>
        <w:rPr>
          <w:rFonts w:ascii="Times New Roman" w:hAnsi="Times New Roman"/>
        </w:rPr>
        <w:t xml:space="preserve">There are no direct costs to respondents other than their time to participate in the study. </w:t>
      </w:r>
    </w:p>
    <w:p w14:paraId="091DF065" w14:textId="77777777" w:rsidR="009B3794" w:rsidRPr="004F0887" w:rsidRDefault="009B3794" w:rsidP="00726ABF">
      <w:pPr>
        <w:numPr>
          <w:ilvl w:val="0"/>
          <w:numId w:val="1"/>
        </w:numPr>
        <w:tabs>
          <w:tab w:val="clear" w:pos="1080"/>
          <w:tab w:val="num" w:pos="360"/>
        </w:tabs>
        <w:spacing w:before="240"/>
        <w:ind w:left="360"/>
        <w:rPr>
          <w:b/>
          <w:sz w:val="24"/>
        </w:rPr>
      </w:pPr>
      <w:r w:rsidRPr="004F0887">
        <w:rPr>
          <w:b/>
          <w:sz w:val="24"/>
        </w:rPr>
        <w:t xml:space="preserve">Annualized Cost to </w:t>
      </w:r>
      <w:r w:rsidR="00FB5CCB" w:rsidRPr="004F0887">
        <w:rPr>
          <w:b/>
          <w:sz w:val="24"/>
        </w:rPr>
        <w:t xml:space="preserve">the </w:t>
      </w:r>
      <w:r w:rsidRPr="004F0887">
        <w:rPr>
          <w:b/>
          <w:sz w:val="24"/>
        </w:rPr>
        <w:t>Federal Government</w:t>
      </w:r>
    </w:p>
    <w:p w14:paraId="091DF066" w14:textId="432D30F3" w:rsidR="00827FD3" w:rsidRPr="0083214E" w:rsidRDefault="001214D3" w:rsidP="0083214E">
      <w:pPr>
        <w:spacing w:before="120" w:after="120"/>
        <w:rPr>
          <w:sz w:val="24"/>
        </w:rPr>
      </w:pPr>
      <w:r>
        <w:rPr>
          <w:sz w:val="24"/>
        </w:rPr>
        <w:t xml:space="preserve">Costs for this survey are estimated at </w:t>
      </w:r>
      <w:r w:rsidR="00AD67A8">
        <w:rPr>
          <w:sz w:val="24"/>
        </w:rPr>
        <w:t>$</w:t>
      </w:r>
      <w:r w:rsidR="002961A5">
        <w:rPr>
          <w:sz w:val="24"/>
        </w:rPr>
        <w:t>7,000,000</w:t>
      </w:r>
      <w:r w:rsidR="0079754F">
        <w:rPr>
          <w:sz w:val="24"/>
        </w:rPr>
        <w:t>.</w:t>
      </w:r>
      <w:r w:rsidR="00827FD3">
        <w:rPr>
          <w:sz w:val="24"/>
        </w:rPr>
        <w:t xml:space="preserve"> This includes all direct and indirect costs of the design, data collection, analysis, and reporting phases of the </w:t>
      </w:r>
      <w:r w:rsidR="00DF0402">
        <w:rPr>
          <w:sz w:val="24"/>
        </w:rPr>
        <w:t>survey</w:t>
      </w:r>
      <w:r w:rsidR="00827FD3">
        <w:rPr>
          <w:sz w:val="24"/>
        </w:rPr>
        <w:t xml:space="preserve">, as well as delivery of the data sets to </w:t>
      </w:r>
      <w:r w:rsidR="008D6E6D">
        <w:rPr>
          <w:sz w:val="24"/>
        </w:rPr>
        <w:t xml:space="preserve">HRSA </w:t>
      </w:r>
      <w:r w:rsidR="00827FD3">
        <w:rPr>
          <w:sz w:val="24"/>
        </w:rPr>
        <w:t>MCHB.</w:t>
      </w:r>
    </w:p>
    <w:p w14:paraId="091DF067" w14:textId="77777777" w:rsidR="009B3794" w:rsidRPr="004F0887" w:rsidRDefault="009B3794" w:rsidP="00726ABF">
      <w:pPr>
        <w:numPr>
          <w:ilvl w:val="0"/>
          <w:numId w:val="1"/>
        </w:numPr>
        <w:tabs>
          <w:tab w:val="clear" w:pos="1080"/>
          <w:tab w:val="num" w:pos="360"/>
        </w:tabs>
        <w:spacing w:before="240"/>
        <w:ind w:left="360"/>
        <w:rPr>
          <w:b/>
          <w:sz w:val="24"/>
        </w:rPr>
      </w:pPr>
      <w:r w:rsidRPr="004F0887">
        <w:rPr>
          <w:b/>
          <w:sz w:val="24"/>
        </w:rPr>
        <w:t>Explanation for Program Changes or Adjustments</w:t>
      </w:r>
    </w:p>
    <w:p w14:paraId="091DF068" w14:textId="77777777" w:rsidR="00827FD3" w:rsidRDefault="00E57405" w:rsidP="00A772C9">
      <w:pPr>
        <w:pStyle w:val="BodyTextIndent"/>
        <w:spacing w:before="120"/>
        <w:ind w:left="0"/>
        <w:rPr>
          <w:rFonts w:ascii="Times New Roman" w:hAnsi="Times New Roman"/>
        </w:rPr>
      </w:pPr>
      <w:r>
        <w:rPr>
          <w:rFonts w:ascii="Times New Roman" w:hAnsi="Times New Roman"/>
        </w:rPr>
        <w:t>This is a new information collection.</w:t>
      </w:r>
    </w:p>
    <w:p w14:paraId="091DF069" w14:textId="77777777" w:rsidR="009322F6" w:rsidRPr="004F0887" w:rsidRDefault="009B3794" w:rsidP="00726ABF">
      <w:pPr>
        <w:numPr>
          <w:ilvl w:val="0"/>
          <w:numId w:val="1"/>
        </w:numPr>
        <w:tabs>
          <w:tab w:val="clear" w:pos="1080"/>
          <w:tab w:val="num" w:pos="360"/>
        </w:tabs>
        <w:spacing w:before="240"/>
        <w:ind w:left="360"/>
        <w:rPr>
          <w:b/>
          <w:sz w:val="24"/>
        </w:rPr>
      </w:pPr>
      <w:r w:rsidRPr="004F0887">
        <w:rPr>
          <w:b/>
          <w:sz w:val="24"/>
        </w:rPr>
        <w:t>Plans for Tabulation</w:t>
      </w:r>
      <w:r w:rsidR="002118B4" w:rsidRPr="004F0887">
        <w:rPr>
          <w:b/>
          <w:sz w:val="24"/>
        </w:rPr>
        <w:t xml:space="preserve">, </w:t>
      </w:r>
      <w:r w:rsidRPr="004F0887">
        <w:rPr>
          <w:b/>
          <w:sz w:val="24"/>
        </w:rPr>
        <w:t>Publication</w:t>
      </w:r>
      <w:r w:rsidR="002118B4" w:rsidRPr="004F0887">
        <w:rPr>
          <w:b/>
          <w:sz w:val="24"/>
        </w:rPr>
        <w:t>,</w:t>
      </w:r>
      <w:r w:rsidRPr="004F0887">
        <w:rPr>
          <w:b/>
          <w:sz w:val="24"/>
        </w:rPr>
        <w:t xml:space="preserve"> and Project Time Schedule</w:t>
      </w:r>
    </w:p>
    <w:p w14:paraId="091DF06A" w14:textId="58DF6DE5" w:rsidR="009322F6" w:rsidRPr="009322F6" w:rsidRDefault="003269D3" w:rsidP="00AC5655">
      <w:pPr>
        <w:spacing w:before="240"/>
        <w:rPr>
          <w:sz w:val="24"/>
        </w:rPr>
      </w:pPr>
      <w:r>
        <w:rPr>
          <w:sz w:val="24"/>
        </w:rPr>
        <w:t xml:space="preserve">The NSCH will </w:t>
      </w:r>
      <w:r w:rsidR="00E344B8">
        <w:rPr>
          <w:sz w:val="24"/>
        </w:rPr>
        <w:t xml:space="preserve">generate </w:t>
      </w:r>
      <w:r>
        <w:rPr>
          <w:sz w:val="24"/>
        </w:rPr>
        <w:t xml:space="preserve">datasets, statistics, and reports. </w:t>
      </w:r>
      <w:r w:rsidR="009322F6" w:rsidRPr="009322F6">
        <w:rPr>
          <w:sz w:val="24"/>
        </w:rPr>
        <w:t xml:space="preserve">Below </w:t>
      </w:r>
      <w:r>
        <w:rPr>
          <w:sz w:val="24"/>
        </w:rPr>
        <w:t>are the planned deliverables that</w:t>
      </w:r>
      <w:r w:rsidR="007C1F4A">
        <w:rPr>
          <w:sz w:val="24"/>
        </w:rPr>
        <w:t xml:space="preserve"> </w:t>
      </w:r>
      <w:r w:rsidR="0083214E">
        <w:rPr>
          <w:sz w:val="24"/>
        </w:rPr>
        <w:t xml:space="preserve">the </w:t>
      </w:r>
      <w:r w:rsidR="007C1F4A">
        <w:rPr>
          <w:sz w:val="24"/>
        </w:rPr>
        <w:t xml:space="preserve">Census </w:t>
      </w:r>
      <w:r w:rsidR="0083214E">
        <w:rPr>
          <w:sz w:val="24"/>
        </w:rPr>
        <w:t xml:space="preserve">Bureau </w:t>
      </w:r>
      <w:r w:rsidR="007C1F4A">
        <w:rPr>
          <w:sz w:val="24"/>
        </w:rPr>
        <w:t xml:space="preserve">will provide </w:t>
      </w:r>
      <w:r w:rsidR="008D6E6D">
        <w:rPr>
          <w:sz w:val="24"/>
        </w:rPr>
        <w:t xml:space="preserve">HRSA </w:t>
      </w:r>
      <w:r w:rsidR="007C1F4A">
        <w:rPr>
          <w:sz w:val="24"/>
        </w:rPr>
        <w:t>M</w:t>
      </w:r>
      <w:r>
        <w:rPr>
          <w:sz w:val="24"/>
        </w:rPr>
        <w:t>CHB:</w:t>
      </w:r>
      <w:r w:rsidR="009322F6" w:rsidRPr="009322F6">
        <w:rPr>
          <w:sz w:val="24"/>
        </w:rPr>
        <w:t xml:space="preserve"> </w:t>
      </w:r>
    </w:p>
    <w:p w14:paraId="091DF06B" w14:textId="77777777" w:rsidR="009322F6" w:rsidRPr="009322F6" w:rsidRDefault="003269D3" w:rsidP="009322F6">
      <w:pPr>
        <w:spacing w:before="240"/>
        <w:rPr>
          <w:i/>
          <w:sz w:val="24"/>
        </w:rPr>
      </w:pPr>
      <w:r>
        <w:rPr>
          <w:i/>
          <w:sz w:val="24"/>
        </w:rPr>
        <w:t xml:space="preserve">Datasets, Statistics, and </w:t>
      </w:r>
      <w:r w:rsidR="009322F6" w:rsidRPr="009322F6">
        <w:rPr>
          <w:i/>
          <w:sz w:val="24"/>
        </w:rPr>
        <w:t xml:space="preserve">Reports. </w:t>
      </w:r>
    </w:p>
    <w:p w14:paraId="091DF06C" w14:textId="77777777" w:rsidR="009B3794" w:rsidRPr="0083214E" w:rsidRDefault="003269D3" w:rsidP="00726ABF">
      <w:pPr>
        <w:pStyle w:val="ListParagraph"/>
        <w:numPr>
          <w:ilvl w:val="0"/>
          <w:numId w:val="5"/>
        </w:numPr>
        <w:spacing w:before="240"/>
        <w:rPr>
          <w:sz w:val="24"/>
        </w:rPr>
      </w:pPr>
      <w:r w:rsidRPr="0083214E">
        <w:rPr>
          <w:sz w:val="24"/>
        </w:rPr>
        <w:t>A fully documented public use data set</w:t>
      </w:r>
      <w:r w:rsidR="009171D8" w:rsidRPr="0083214E">
        <w:rPr>
          <w:sz w:val="24"/>
        </w:rPr>
        <w:t xml:space="preserve"> including three different files:</w:t>
      </w:r>
    </w:p>
    <w:p w14:paraId="091DF06D" w14:textId="1CEB721E" w:rsidR="009171D8" w:rsidRPr="0083214E" w:rsidRDefault="009171D8" w:rsidP="00726ABF">
      <w:pPr>
        <w:pStyle w:val="ListParagraph"/>
        <w:numPr>
          <w:ilvl w:val="1"/>
          <w:numId w:val="5"/>
        </w:numPr>
        <w:spacing w:before="240"/>
        <w:rPr>
          <w:sz w:val="24"/>
        </w:rPr>
      </w:pPr>
      <w:r w:rsidRPr="0083214E">
        <w:rPr>
          <w:sz w:val="24"/>
        </w:rPr>
        <w:t xml:space="preserve">Household level file – This file will contain all of the data collected on the screener and any other variables (derived, flag, admin, etc.) requested by </w:t>
      </w:r>
      <w:r w:rsidR="008D6E6D">
        <w:rPr>
          <w:sz w:val="24"/>
        </w:rPr>
        <w:t xml:space="preserve">HRSA </w:t>
      </w:r>
      <w:r w:rsidRPr="0083214E">
        <w:rPr>
          <w:sz w:val="24"/>
        </w:rPr>
        <w:t>MCHB.</w:t>
      </w:r>
    </w:p>
    <w:p w14:paraId="091DF06E" w14:textId="68E910CF" w:rsidR="009171D8" w:rsidRPr="0083214E" w:rsidRDefault="009171D8" w:rsidP="00726ABF">
      <w:pPr>
        <w:pStyle w:val="ListParagraph"/>
        <w:numPr>
          <w:ilvl w:val="1"/>
          <w:numId w:val="5"/>
        </w:numPr>
        <w:spacing w:before="240"/>
        <w:rPr>
          <w:sz w:val="24"/>
        </w:rPr>
      </w:pPr>
      <w:r w:rsidRPr="0083214E">
        <w:rPr>
          <w:sz w:val="24"/>
        </w:rPr>
        <w:t>Child level file – This file will contain all of the child data collected on the topical modules along with any other variables</w:t>
      </w:r>
      <w:r w:rsidR="00AC5655" w:rsidRPr="0083214E">
        <w:rPr>
          <w:sz w:val="24"/>
        </w:rPr>
        <w:t xml:space="preserve"> (derived, flag, admin, etc.) requested by </w:t>
      </w:r>
      <w:r w:rsidR="008D6E6D">
        <w:rPr>
          <w:sz w:val="24"/>
        </w:rPr>
        <w:t xml:space="preserve">HRSA </w:t>
      </w:r>
      <w:r w:rsidR="00AC5655" w:rsidRPr="0083214E">
        <w:rPr>
          <w:sz w:val="24"/>
        </w:rPr>
        <w:t>MCHB.</w:t>
      </w:r>
    </w:p>
    <w:p w14:paraId="091DF06F" w14:textId="77777777" w:rsidR="00AC5655" w:rsidRPr="0083214E" w:rsidRDefault="00AC5655" w:rsidP="00726ABF">
      <w:pPr>
        <w:pStyle w:val="ListParagraph"/>
        <w:numPr>
          <w:ilvl w:val="1"/>
          <w:numId w:val="5"/>
        </w:numPr>
        <w:spacing w:before="240"/>
        <w:rPr>
          <w:sz w:val="24"/>
        </w:rPr>
      </w:pPr>
      <w:r w:rsidRPr="0083214E">
        <w:rPr>
          <w:sz w:val="24"/>
        </w:rPr>
        <w:t>Operational level file – This file will contain all of the operational and administrative variables that indicate the status, resolution, and history of each case.</w:t>
      </w:r>
    </w:p>
    <w:p w14:paraId="091DF070" w14:textId="77777777" w:rsidR="003269D3" w:rsidRPr="0083214E" w:rsidRDefault="009171D8" w:rsidP="00726ABF">
      <w:pPr>
        <w:pStyle w:val="ListParagraph"/>
        <w:numPr>
          <w:ilvl w:val="0"/>
          <w:numId w:val="5"/>
        </w:numPr>
        <w:spacing w:before="240"/>
        <w:rPr>
          <w:sz w:val="24"/>
        </w:rPr>
      </w:pPr>
      <w:r w:rsidRPr="0083214E">
        <w:rPr>
          <w:sz w:val="24"/>
        </w:rPr>
        <w:t>A codebook with weighted and unweighted frequencies of all variables</w:t>
      </w:r>
      <w:r w:rsidR="00C22682" w:rsidRPr="0083214E">
        <w:rPr>
          <w:sz w:val="24"/>
        </w:rPr>
        <w:t xml:space="preserve"> for each of the different files mentioned above</w:t>
      </w:r>
    </w:p>
    <w:p w14:paraId="091DF071" w14:textId="77777777" w:rsidR="00AC5655" w:rsidRPr="0083214E" w:rsidRDefault="009171D8" w:rsidP="0083214E">
      <w:pPr>
        <w:pStyle w:val="ListParagraph"/>
        <w:numPr>
          <w:ilvl w:val="0"/>
          <w:numId w:val="5"/>
        </w:numPr>
        <w:spacing w:before="240"/>
        <w:rPr>
          <w:sz w:val="24"/>
        </w:rPr>
      </w:pPr>
      <w:r w:rsidRPr="0083214E">
        <w:rPr>
          <w:sz w:val="24"/>
        </w:rPr>
        <w:t xml:space="preserve">A </w:t>
      </w:r>
      <w:r w:rsidR="00D53084" w:rsidRPr="0083214E">
        <w:rPr>
          <w:sz w:val="24"/>
        </w:rPr>
        <w:t>user’s manual</w:t>
      </w:r>
      <w:r w:rsidR="00C22682" w:rsidRPr="0083214E">
        <w:rPr>
          <w:sz w:val="24"/>
        </w:rPr>
        <w:t xml:space="preserve"> and </w:t>
      </w:r>
      <w:r w:rsidRPr="0083214E">
        <w:rPr>
          <w:sz w:val="24"/>
        </w:rPr>
        <w:t xml:space="preserve">methodology report </w:t>
      </w:r>
      <w:r w:rsidR="00D564F2" w:rsidRPr="0083214E">
        <w:rPr>
          <w:sz w:val="24"/>
        </w:rPr>
        <w:t>created by the Demographic Statistical Methods Division (DSMD) staff</w:t>
      </w:r>
    </w:p>
    <w:p w14:paraId="091DF072" w14:textId="77777777" w:rsidR="009B3794" w:rsidRPr="004F0887" w:rsidRDefault="009B3794" w:rsidP="00726ABF">
      <w:pPr>
        <w:numPr>
          <w:ilvl w:val="0"/>
          <w:numId w:val="1"/>
        </w:numPr>
        <w:tabs>
          <w:tab w:val="clear" w:pos="1080"/>
          <w:tab w:val="num" w:pos="360"/>
        </w:tabs>
        <w:spacing w:before="240"/>
        <w:ind w:left="360"/>
        <w:rPr>
          <w:b/>
          <w:sz w:val="24"/>
        </w:rPr>
      </w:pPr>
      <w:r w:rsidRPr="004F0887">
        <w:rPr>
          <w:b/>
          <w:sz w:val="24"/>
        </w:rPr>
        <w:t>Reason(s) Display of OMB Expiration Date is Inappropriate</w:t>
      </w:r>
    </w:p>
    <w:p w14:paraId="091DF073" w14:textId="77777777" w:rsidR="00D564F2" w:rsidRPr="0083214E" w:rsidRDefault="00E57405" w:rsidP="00402E7E">
      <w:pPr>
        <w:pStyle w:val="BodyTextIndent"/>
        <w:spacing w:before="120"/>
        <w:ind w:left="0"/>
        <w:rPr>
          <w:rFonts w:ascii="Times New Roman" w:hAnsi="Times New Roman"/>
        </w:rPr>
      </w:pPr>
      <w:r>
        <w:rPr>
          <w:rFonts w:ascii="Times New Roman" w:hAnsi="Times New Roman"/>
        </w:rPr>
        <w:t xml:space="preserve">Not applicable. </w:t>
      </w:r>
      <w:r w:rsidR="00402E7E">
        <w:t>No exception requested</w:t>
      </w:r>
      <w:r w:rsidR="00FD61EC" w:rsidRPr="003B2586">
        <w:t>.</w:t>
      </w:r>
    </w:p>
    <w:p w14:paraId="091DF074" w14:textId="77777777" w:rsidR="009B3794" w:rsidRPr="004F0887" w:rsidRDefault="009B3794" w:rsidP="00726ABF">
      <w:pPr>
        <w:numPr>
          <w:ilvl w:val="0"/>
          <w:numId w:val="1"/>
        </w:numPr>
        <w:tabs>
          <w:tab w:val="clear" w:pos="1080"/>
          <w:tab w:val="num" w:pos="360"/>
        </w:tabs>
        <w:spacing w:before="240"/>
        <w:ind w:left="360"/>
        <w:rPr>
          <w:b/>
          <w:sz w:val="24"/>
        </w:rPr>
      </w:pPr>
      <w:r w:rsidRPr="004F0887">
        <w:rPr>
          <w:b/>
          <w:sz w:val="24"/>
        </w:rPr>
        <w:t>Exceptions to Certification for Paperwork Reduction Act Submissions</w:t>
      </w:r>
    </w:p>
    <w:p w14:paraId="091DF075" w14:textId="77777777" w:rsidR="009B3794" w:rsidRDefault="00E57405" w:rsidP="00402E7E">
      <w:pPr>
        <w:pStyle w:val="BodyTextIndent"/>
        <w:spacing w:before="120"/>
        <w:ind w:left="0"/>
      </w:pPr>
      <w:r>
        <w:rPr>
          <w:rFonts w:ascii="Times New Roman" w:hAnsi="Times New Roman"/>
        </w:rPr>
        <w:t xml:space="preserve">Not applicable. </w:t>
      </w:r>
      <w:r w:rsidR="00FD61EC">
        <w:rPr>
          <w:rFonts w:ascii="Times New Roman" w:hAnsi="Times New Roman"/>
        </w:rPr>
        <w:t xml:space="preserve"> No exception requested. </w:t>
      </w:r>
    </w:p>
    <w:sectPr w:rsidR="009B3794" w:rsidSect="001D4856">
      <w:footerReference w:type="default" r:id="rId13"/>
      <w:endnotePr>
        <w:numFmt w:val="decimal"/>
      </w:endnotePr>
      <w:type w:val="continuous"/>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8E2C75" w15:done="0"/>
  <w15:commentEx w15:paraId="574C5D11" w15:done="0"/>
  <w15:commentEx w15:paraId="279B49D7" w15:done="0"/>
  <w15:commentEx w15:paraId="0B6C8FD4" w15:done="0"/>
  <w15:commentEx w15:paraId="5ED67F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DF078" w14:textId="77777777" w:rsidR="006D0B7D" w:rsidRDefault="006D0B7D">
      <w:r>
        <w:separator/>
      </w:r>
    </w:p>
  </w:endnote>
  <w:endnote w:type="continuationSeparator" w:id="0">
    <w:p w14:paraId="091DF079" w14:textId="77777777" w:rsidR="006D0B7D" w:rsidRDefault="006D0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DC601" w14:textId="77777777" w:rsidR="006D0B7D" w:rsidRDefault="006D0B7D" w:rsidP="002B3C20">
    <w:pPr>
      <w:framePr w:w="9361" w:wrap="notBeside" w:vAnchor="text" w:hAnchor="page" w:x="1426" w:y="82"/>
      <w:jc w:val="center"/>
      <w:rPr>
        <w:sz w:val="24"/>
      </w:rPr>
    </w:pPr>
    <w:r>
      <w:rPr>
        <w:sz w:val="24"/>
      </w:rPr>
      <w:fldChar w:fldCharType="begin"/>
    </w:r>
    <w:r>
      <w:rPr>
        <w:sz w:val="24"/>
      </w:rPr>
      <w:instrText xml:space="preserve">PAGE </w:instrText>
    </w:r>
    <w:r>
      <w:rPr>
        <w:sz w:val="24"/>
      </w:rPr>
      <w:fldChar w:fldCharType="separate"/>
    </w:r>
    <w:r w:rsidR="002870F7">
      <w:rPr>
        <w:noProof/>
        <w:sz w:val="24"/>
      </w:rPr>
      <w:t>1</w:t>
    </w:r>
    <w:r>
      <w:rPr>
        <w:sz w:val="24"/>
      </w:rPr>
      <w:fldChar w:fldCharType="end"/>
    </w:r>
  </w:p>
  <w:p w14:paraId="091DF07C" w14:textId="77777777" w:rsidR="006D0B7D" w:rsidRDefault="006D0B7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DF076" w14:textId="77777777" w:rsidR="006D0B7D" w:rsidRDefault="006D0B7D">
      <w:r>
        <w:separator/>
      </w:r>
    </w:p>
  </w:footnote>
  <w:footnote w:type="continuationSeparator" w:id="0">
    <w:p w14:paraId="091DF077" w14:textId="77777777" w:rsidR="006D0B7D" w:rsidRDefault="006D0B7D">
      <w:r>
        <w:continuationSeparator/>
      </w:r>
    </w:p>
  </w:footnote>
  <w:footnote w:id="1">
    <w:p w14:paraId="077B94C9" w14:textId="4E7C81C6" w:rsidR="006D0B7D" w:rsidRDefault="006D0B7D">
      <w:pPr>
        <w:pStyle w:val="FootnoteText"/>
      </w:pPr>
      <w:r w:rsidRPr="002F0FD4">
        <w:rPr>
          <w:rStyle w:val="FootnoteReference"/>
          <w:vertAlign w:val="superscript"/>
        </w:rPr>
        <w:footnoteRef/>
      </w:r>
      <w:r w:rsidRPr="002F0FD4">
        <w:rPr>
          <w:vertAlign w:val="superscript"/>
        </w:rPr>
        <w:t xml:space="preserve"> </w:t>
      </w:r>
      <w:r w:rsidRPr="006A6D61">
        <w:t>Blumberg</w:t>
      </w:r>
      <w:r>
        <w:t>,</w:t>
      </w:r>
      <w:r w:rsidRPr="006A6D61">
        <w:t xml:space="preserve"> S</w:t>
      </w:r>
      <w:r>
        <w:t>.</w:t>
      </w:r>
      <w:r w:rsidRPr="006A6D61">
        <w:t>J</w:t>
      </w:r>
      <w:r>
        <w:t xml:space="preserve">.; </w:t>
      </w:r>
      <w:r w:rsidRPr="006A6D61">
        <w:t>Foster</w:t>
      </w:r>
      <w:r>
        <w:t>,</w:t>
      </w:r>
      <w:r w:rsidRPr="006A6D61">
        <w:t xml:space="preserve"> E</w:t>
      </w:r>
      <w:r>
        <w:t>.</w:t>
      </w:r>
      <w:r w:rsidRPr="006A6D61">
        <w:t>B</w:t>
      </w:r>
      <w:r>
        <w:t>.;</w:t>
      </w:r>
      <w:r w:rsidRPr="006A6D61">
        <w:t xml:space="preserve"> Frasier</w:t>
      </w:r>
      <w:r>
        <w:t>,</w:t>
      </w:r>
      <w:r w:rsidRPr="006A6D61">
        <w:t xml:space="preserve"> A</w:t>
      </w:r>
      <w:r>
        <w:t>.</w:t>
      </w:r>
      <w:r w:rsidRPr="006A6D61">
        <w:t>M</w:t>
      </w:r>
      <w:r>
        <w:t xml:space="preserve">. </w:t>
      </w:r>
      <w:r w:rsidRPr="006A6D61">
        <w:t xml:space="preserve">et al. </w:t>
      </w:r>
      <w:r>
        <w:t xml:space="preserve">(2012). </w:t>
      </w:r>
      <w:r w:rsidRPr="006A6D61">
        <w:t xml:space="preserve">Design and operation of the National Survey of Children’s Health, 2007. National Center for Health Statistics. </w:t>
      </w:r>
      <w:r w:rsidRPr="002F0FD4">
        <w:rPr>
          <w:i/>
        </w:rPr>
        <w:t>Vital Health Stat 1</w:t>
      </w:r>
      <w:r w:rsidRPr="006A6D61">
        <w:t>(55)</w:t>
      </w:r>
      <w:r>
        <w:t>, 1-159</w:t>
      </w:r>
      <w:r w:rsidRPr="006A6D61">
        <w:t>.</w:t>
      </w:r>
      <w:r>
        <w:t xml:space="preserve"> </w:t>
      </w:r>
      <w:hyperlink r:id="rId1" w:history="1">
        <w:r w:rsidRPr="00F22722">
          <w:rPr>
            <w:rStyle w:val="Hyperlink"/>
          </w:rPr>
          <w:t>http://www.cdc.gov/nchs/data/series/sr_01/sr01_055.pdf</w:t>
        </w:r>
      </w:hyperlink>
    </w:p>
  </w:footnote>
  <w:footnote w:id="2">
    <w:p w14:paraId="5FA3279E" w14:textId="63B09DF9" w:rsidR="006D0B7D" w:rsidRDefault="006D0B7D">
      <w:pPr>
        <w:pStyle w:val="FootnoteText"/>
      </w:pPr>
      <w:r w:rsidRPr="002F0FD4">
        <w:rPr>
          <w:rStyle w:val="FootnoteReference"/>
          <w:vertAlign w:val="superscript"/>
        </w:rPr>
        <w:footnoteRef/>
      </w:r>
      <w:r>
        <w:t xml:space="preserve"> </w:t>
      </w:r>
      <w:r w:rsidRPr="00DE44A8">
        <w:t>Bramlett</w:t>
      </w:r>
      <w:r>
        <w:t xml:space="preserve">, </w:t>
      </w:r>
      <w:r w:rsidRPr="00DE44A8">
        <w:t>M</w:t>
      </w:r>
      <w:r>
        <w:t>.</w:t>
      </w:r>
      <w:r w:rsidRPr="00DE44A8">
        <w:t>D</w:t>
      </w:r>
      <w:r>
        <w:t xml:space="preserve">.; </w:t>
      </w:r>
      <w:r w:rsidRPr="00DE44A8">
        <w:t>Blumberg</w:t>
      </w:r>
      <w:r>
        <w:t>,</w:t>
      </w:r>
      <w:r w:rsidRPr="00DE44A8">
        <w:t xml:space="preserve"> S</w:t>
      </w:r>
      <w:r>
        <w:t>.</w:t>
      </w:r>
      <w:r w:rsidRPr="00DE44A8">
        <w:t>J</w:t>
      </w:r>
      <w:r>
        <w:t>.;</w:t>
      </w:r>
      <w:r w:rsidRPr="00DE44A8">
        <w:t xml:space="preserve"> Ormson</w:t>
      </w:r>
      <w:r>
        <w:t>,</w:t>
      </w:r>
      <w:r w:rsidRPr="00DE44A8">
        <w:t xml:space="preserve"> A</w:t>
      </w:r>
      <w:r>
        <w:t>.</w:t>
      </w:r>
      <w:r w:rsidRPr="00DE44A8">
        <w:t>E</w:t>
      </w:r>
      <w:r>
        <w:t>.</w:t>
      </w:r>
      <w:r w:rsidRPr="00DE44A8">
        <w:t xml:space="preserve"> et al. </w:t>
      </w:r>
      <w:r>
        <w:t xml:space="preserve">(2014). </w:t>
      </w:r>
      <w:r w:rsidRPr="00DE44A8">
        <w:t xml:space="preserve">Design and operation of the National Survey of Children with Special Health Care Needs, 2009–2010. National Center for Health Statistics. </w:t>
      </w:r>
      <w:r w:rsidRPr="002F0FD4">
        <w:rPr>
          <w:i/>
        </w:rPr>
        <w:t>Vital Health Stat 1</w:t>
      </w:r>
      <w:r w:rsidRPr="00DE44A8">
        <w:t>(57)</w:t>
      </w:r>
      <w:r>
        <w:t>, 1-282</w:t>
      </w:r>
      <w:r w:rsidRPr="00DE44A8">
        <w:t>.</w:t>
      </w:r>
      <w:r>
        <w:t xml:space="preserve">  </w:t>
      </w:r>
      <w:hyperlink r:id="rId2" w:history="1">
        <w:r w:rsidRPr="00F22722">
          <w:rPr>
            <w:rStyle w:val="Hyperlink"/>
          </w:rPr>
          <w:t>http://www.cdc.gov/nchs/data/series/sr_01/sr01_057.pdf</w:t>
        </w:r>
      </w:hyperlink>
    </w:p>
  </w:footnote>
  <w:footnote w:id="3">
    <w:p w14:paraId="46FD96EB" w14:textId="7A5533CA" w:rsidR="006D0B7D" w:rsidRDefault="006D0B7D" w:rsidP="00406B59">
      <w:pPr>
        <w:pStyle w:val="FootnoteText"/>
      </w:pPr>
      <w:r w:rsidRPr="002F0FD4">
        <w:rPr>
          <w:rStyle w:val="FootnoteReference"/>
          <w:vertAlign w:val="superscript"/>
        </w:rPr>
        <w:footnoteRef/>
      </w:r>
      <w:r>
        <w:t xml:space="preserve"> Blumberg, S.J. &amp; Luke, J.V. (2015). Wireless substitution: Early release of estimates from the National Health Interview Survey, January–June 2015. National Center for Health Statistics. Available from: </w:t>
      </w:r>
      <w:hyperlink r:id="rId3" w:history="1">
        <w:r w:rsidRPr="00F22722">
          <w:rPr>
            <w:rStyle w:val="Hyperlink"/>
          </w:rPr>
          <w:t>http://www.cdc.gov/nchs/nhis.htm</w:t>
        </w:r>
      </w:hyperlink>
      <w:r>
        <w:t xml:space="preserve">.  </w:t>
      </w:r>
    </w:p>
  </w:footnote>
  <w:footnote w:id="4">
    <w:p w14:paraId="19107316" w14:textId="0040CF58" w:rsidR="006D0B7D" w:rsidRDefault="006D0B7D" w:rsidP="008D6C07">
      <w:pPr>
        <w:pStyle w:val="FootnoteText"/>
      </w:pPr>
      <w:r w:rsidRPr="002F0FD4">
        <w:rPr>
          <w:rStyle w:val="FootnoteReference"/>
          <w:vertAlign w:val="superscript"/>
        </w:rPr>
        <w:footnoteRef/>
      </w:r>
      <w:r>
        <w:t xml:space="preserve"> The 2015 NSCH Pretest acquired a sample</w:t>
      </w:r>
      <w:r w:rsidRPr="00036C5E">
        <w:t xml:space="preserve"> from the Center for Administrative Record Research and Applications</w:t>
      </w:r>
      <w:r>
        <w:t xml:space="preserve"> Division within the Census Bureau containing addresses, phone numbers, and flags indicating the presence of children in the household. The decision to utilize this sample was based on cost efficiencies and testing the utility of child-present flags to reduce screener costs for identifying households with children present. A characteristic of these flags and the data collected from responding households, was that it represented more affluent and more educated households than a general population sample. As a result of the differences in the pretest sample, our expectations for response and cost are being conservatively adjusted</w:t>
      </w:r>
      <w:r w:rsidRPr="0089338E">
        <w:t xml:space="preserve"> </w:t>
      </w:r>
      <w:r>
        <w:t xml:space="preserve">for production. </w:t>
      </w:r>
    </w:p>
  </w:footnote>
  <w:footnote w:id="5">
    <w:p w14:paraId="0F88124C" w14:textId="36D7BCF3" w:rsidR="006D0B7D" w:rsidRDefault="006D0B7D" w:rsidP="00A95ECB">
      <w:pPr>
        <w:spacing w:line="240" w:lineRule="exact"/>
      </w:pPr>
      <w:r w:rsidRPr="001E7090">
        <w:rPr>
          <w:rStyle w:val="FootnoteReference"/>
          <w:vertAlign w:val="superscript"/>
        </w:rPr>
        <w:footnoteRef/>
      </w:r>
      <w:r w:rsidRPr="004E378A">
        <w:t>A</w:t>
      </w:r>
      <w:r>
        <w:t>lexander</w:t>
      </w:r>
      <w:r w:rsidRPr="004E378A">
        <w:t>, G</w:t>
      </w:r>
      <w:r>
        <w:t>.</w:t>
      </w:r>
      <w:r w:rsidRPr="004E378A">
        <w:t>L</w:t>
      </w:r>
      <w:r>
        <w:t>.</w:t>
      </w:r>
      <w:r w:rsidRPr="004E378A">
        <w:t xml:space="preserve"> et al. </w:t>
      </w:r>
      <w:r>
        <w:t xml:space="preserve">(2008). </w:t>
      </w:r>
      <w:r w:rsidRPr="004E378A">
        <w:t xml:space="preserve">Effect of Incentives and Mailing Features on Online Health Program Enrollment. </w:t>
      </w:r>
      <w:r w:rsidRPr="002F0FD4">
        <w:rPr>
          <w:i/>
        </w:rPr>
        <w:t>American Journal of Preventive Medicine, 34</w:t>
      </w:r>
      <w:r>
        <w:t>(</w:t>
      </w:r>
      <w:r w:rsidRPr="004E378A">
        <w:t>5</w:t>
      </w:r>
      <w:r>
        <w:t>)</w:t>
      </w:r>
      <w:r w:rsidRPr="004E378A">
        <w:t>, 382-388</w:t>
      </w:r>
      <w:r>
        <w:t>.</w:t>
      </w:r>
    </w:p>
  </w:footnote>
  <w:footnote w:id="6">
    <w:p w14:paraId="161FA48D" w14:textId="3A682B75" w:rsidR="006D0B7D" w:rsidRPr="00A95ECB" w:rsidRDefault="006D0B7D" w:rsidP="007D3959">
      <w:pPr>
        <w:pStyle w:val="FootnoteText"/>
      </w:pPr>
      <w:r w:rsidRPr="00A95ECB">
        <w:rPr>
          <w:rStyle w:val="FootnoteReference"/>
          <w:vertAlign w:val="superscript"/>
        </w:rPr>
        <w:footnoteRef/>
      </w:r>
      <w:r w:rsidRPr="00A95ECB">
        <w:rPr>
          <w:vertAlign w:val="superscript"/>
        </w:rPr>
        <w:t xml:space="preserve"> </w:t>
      </w:r>
      <w:r>
        <w:t xml:space="preserve">Messer, B.L. &amp; Dillman, D.A. (2011). Surveying the general public over the internet using address-based sampling and mail contact procedures. </w:t>
      </w:r>
      <w:r w:rsidRPr="002F0FD4">
        <w:rPr>
          <w:i/>
        </w:rPr>
        <w:t>Public Opinion Quarterly, 75</w:t>
      </w:r>
      <w:r>
        <w:t>(3):429 -57.</w:t>
      </w:r>
    </w:p>
  </w:footnote>
  <w:footnote w:id="7">
    <w:p w14:paraId="183F1173" w14:textId="78378C62" w:rsidR="006D0B7D" w:rsidRDefault="006D0B7D">
      <w:pPr>
        <w:pStyle w:val="FootnoteText"/>
      </w:pPr>
      <w:r w:rsidRPr="007320F0">
        <w:rPr>
          <w:vertAlign w:val="superscript"/>
        </w:rPr>
        <w:t>7</w:t>
      </w:r>
      <w:r w:rsidRPr="007320F0">
        <w:t xml:space="preserve"> For the NSCH, 190,406 respondents are expected to complete the screener and 76,500 respondents are expected to complete one of the three age-based topical questionnaires. The frequency of response is the same across data collection activities – each instrument requires one response per respondent. The average burden per response was determined by timing instruments administration with 9 or fewer respondents. Estimates of the total annual respondent cost for the collection of information use the appropriate wage rate categories.  For indi</w:t>
      </w:r>
      <w:r>
        <w:t>viduals, the wage rate is $25.35</w:t>
      </w:r>
      <w:r w:rsidRPr="007320F0">
        <w:t xml:space="preserve"> per hour.  This is based on the average hourly earnings for employees as reported by the Bureau of Labor Statistics (</w:t>
      </w:r>
      <w:hyperlink r:id="rId4" w:history="1">
        <w:r w:rsidRPr="007320F0">
          <w:rPr>
            <w:rStyle w:val="Hyperlink"/>
          </w:rPr>
          <w:t>http://www.bls.gov/news.release/realer.t01.htm</w:t>
        </w:r>
      </w:hyperlink>
      <w:r w:rsidRPr="007320F0">
        <w:t xml:space="preserve">). </w:t>
      </w:r>
    </w:p>
  </w:footnote>
  <w:footnote w:id="8">
    <w:p w14:paraId="08A420B1" w14:textId="02114EAD" w:rsidR="006D0B7D" w:rsidRDefault="006D0B7D" w:rsidP="007A6608">
      <w:pPr>
        <w:pStyle w:val="FootnoteText"/>
      </w:pPr>
      <w:r w:rsidRPr="00503D21">
        <w:rPr>
          <w:rStyle w:val="FootnoteReference"/>
          <w:vertAlign w:val="superscript"/>
        </w:rPr>
        <w:footnoteRef/>
      </w:r>
      <w:r w:rsidRPr="00503D21">
        <w:rPr>
          <w:vertAlign w:val="superscript"/>
        </w:rPr>
        <w:t xml:space="preserve"> </w:t>
      </w:r>
      <w:r>
        <w:t xml:space="preserve">The expected number of respondents is an estimate of the expected number of completed screener and topical questionnaires, discussed in section </w:t>
      </w:r>
      <w:r w:rsidRPr="00DC7841">
        <w:t>B.1.</w:t>
      </w:r>
      <w:r>
        <w:t>3. This is different from the number of respondents that were mailed a screener or topical questionnaire.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0592E"/>
    <w:multiLevelType w:val="hybridMultilevel"/>
    <w:tmpl w:val="E86AA6B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
    <w:nsid w:val="444C5B73"/>
    <w:multiLevelType w:val="hybridMultilevel"/>
    <w:tmpl w:val="C2B41F8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3106E67"/>
    <w:multiLevelType w:val="hybridMultilevel"/>
    <w:tmpl w:val="7DD0F1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920408"/>
    <w:multiLevelType w:val="hybridMultilevel"/>
    <w:tmpl w:val="C8DE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DB1E6F"/>
    <w:multiLevelType w:val="hybridMultilevel"/>
    <w:tmpl w:val="A4FCE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6"/>
  </w:num>
  <w:num w:numId="6">
    <w:abstractNumId w:val="4"/>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8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0277F"/>
    <w:rsid w:val="00015505"/>
    <w:rsid w:val="0001701B"/>
    <w:rsid w:val="00035CBC"/>
    <w:rsid w:val="00036479"/>
    <w:rsid w:val="00036C5E"/>
    <w:rsid w:val="000378DB"/>
    <w:rsid w:val="00044AC9"/>
    <w:rsid w:val="00045B26"/>
    <w:rsid w:val="0005045E"/>
    <w:rsid w:val="0005620B"/>
    <w:rsid w:val="0006040C"/>
    <w:rsid w:val="00063E1F"/>
    <w:rsid w:val="00070EC9"/>
    <w:rsid w:val="00073EE0"/>
    <w:rsid w:val="000761DE"/>
    <w:rsid w:val="00084ACE"/>
    <w:rsid w:val="0009086D"/>
    <w:rsid w:val="000A1C5A"/>
    <w:rsid w:val="000A2E6A"/>
    <w:rsid w:val="000A6823"/>
    <w:rsid w:val="000C2026"/>
    <w:rsid w:val="000C65F2"/>
    <w:rsid w:val="000C7904"/>
    <w:rsid w:val="000D0C09"/>
    <w:rsid w:val="000D37CC"/>
    <w:rsid w:val="000E31DE"/>
    <w:rsid w:val="000E3F27"/>
    <w:rsid w:val="000E500F"/>
    <w:rsid w:val="000F72F1"/>
    <w:rsid w:val="00102985"/>
    <w:rsid w:val="001044D5"/>
    <w:rsid w:val="001053CE"/>
    <w:rsid w:val="00105C85"/>
    <w:rsid w:val="001171D5"/>
    <w:rsid w:val="001214D3"/>
    <w:rsid w:val="00124C02"/>
    <w:rsid w:val="001325B2"/>
    <w:rsid w:val="00132870"/>
    <w:rsid w:val="001474DC"/>
    <w:rsid w:val="001526A6"/>
    <w:rsid w:val="0015297A"/>
    <w:rsid w:val="00165B6B"/>
    <w:rsid w:val="001A1799"/>
    <w:rsid w:val="001A3749"/>
    <w:rsid w:val="001B736E"/>
    <w:rsid w:val="001C7349"/>
    <w:rsid w:val="001D41FC"/>
    <w:rsid w:val="001D4856"/>
    <w:rsid w:val="001D4DB6"/>
    <w:rsid w:val="001D7E3D"/>
    <w:rsid w:val="001E1D43"/>
    <w:rsid w:val="001E7090"/>
    <w:rsid w:val="001E75EF"/>
    <w:rsid w:val="001F4A91"/>
    <w:rsid w:val="00201A5B"/>
    <w:rsid w:val="00210418"/>
    <w:rsid w:val="00211286"/>
    <w:rsid w:val="002118B4"/>
    <w:rsid w:val="00213AD3"/>
    <w:rsid w:val="002158C8"/>
    <w:rsid w:val="002229F7"/>
    <w:rsid w:val="00223FFA"/>
    <w:rsid w:val="002268C8"/>
    <w:rsid w:val="00226A1C"/>
    <w:rsid w:val="00226C8C"/>
    <w:rsid w:val="00233288"/>
    <w:rsid w:val="00235C95"/>
    <w:rsid w:val="00236ED2"/>
    <w:rsid w:val="002372C1"/>
    <w:rsid w:val="00242F15"/>
    <w:rsid w:val="0025671B"/>
    <w:rsid w:val="002575ED"/>
    <w:rsid w:val="00257E28"/>
    <w:rsid w:val="002640E7"/>
    <w:rsid w:val="0027782F"/>
    <w:rsid w:val="00277DBC"/>
    <w:rsid w:val="002826DE"/>
    <w:rsid w:val="00285372"/>
    <w:rsid w:val="00286CD0"/>
    <w:rsid w:val="00286D3B"/>
    <w:rsid w:val="002870F7"/>
    <w:rsid w:val="002941ED"/>
    <w:rsid w:val="0029483C"/>
    <w:rsid w:val="00295D80"/>
    <w:rsid w:val="002961A5"/>
    <w:rsid w:val="002A6A5C"/>
    <w:rsid w:val="002B3C20"/>
    <w:rsid w:val="002D2431"/>
    <w:rsid w:val="002D53FB"/>
    <w:rsid w:val="002D6467"/>
    <w:rsid w:val="002E06A7"/>
    <w:rsid w:val="002E5178"/>
    <w:rsid w:val="002F0FD4"/>
    <w:rsid w:val="002F4ECC"/>
    <w:rsid w:val="00306436"/>
    <w:rsid w:val="003077C1"/>
    <w:rsid w:val="0031034A"/>
    <w:rsid w:val="00317115"/>
    <w:rsid w:val="00320663"/>
    <w:rsid w:val="00320C68"/>
    <w:rsid w:val="00321EBF"/>
    <w:rsid w:val="00322313"/>
    <w:rsid w:val="003269D3"/>
    <w:rsid w:val="00330BA1"/>
    <w:rsid w:val="0033644C"/>
    <w:rsid w:val="00341388"/>
    <w:rsid w:val="00344C2C"/>
    <w:rsid w:val="0035365B"/>
    <w:rsid w:val="00370E0B"/>
    <w:rsid w:val="00375869"/>
    <w:rsid w:val="003844EC"/>
    <w:rsid w:val="00391E16"/>
    <w:rsid w:val="0039241B"/>
    <w:rsid w:val="003966BE"/>
    <w:rsid w:val="0039686E"/>
    <w:rsid w:val="003A364F"/>
    <w:rsid w:val="003A4E01"/>
    <w:rsid w:val="003C4DA6"/>
    <w:rsid w:val="003C5041"/>
    <w:rsid w:val="003D0941"/>
    <w:rsid w:val="003D23B1"/>
    <w:rsid w:val="003F0078"/>
    <w:rsid w:val="003F0975"/>
    <w:rsid w:val="003F6A74"/>
    <w:rsid w:val="00402E7E"/>
    <w:rsid w:val="00406B59"/>
    <w:rsid w:val="00416E98"/>
    <w:rsid w:val="004400F3"/>
    <w:rsid w:val="00440217"/>
    <w:rsid w:val="00444010"/>
    <w:rsid w:val="004577FF"/>
    <w:rsid w:val="00465323"/>
    <w:rsid w:val="00465A8E"/>
    <w:rsid w:val="00472847"/>
    <w:rsid w:val="004746CA"/>
    <w:rsid w:val="00480B55"/>
    <w:rsid w:val="004855A0"/>
    <w:rsid w:val="00490720"/>
    <w:rsid w:val="004A6531"/>
    <w:rsid w:val="004B64B3"/>
    <w:rsid w:val="004C54CA"/>
    <w:rsid w:val="004D492E"/>
    <w:rsid w:val="004D4E86"/>
    <w:rsid w:val="004D7233"/>
    <w:rsid w:val="004D74D1"/>
    <w:rsid w:val="004E1708"/>
    <w:rsid w:val="004E378A"/>
    <w:rsid w:val="004E687D"/>
    <w:rsid w:val="004E6B07"/>
    <w:rsid w:val="004F0887"/>
    <w:rsid w:val="00503BAB"/>
    <w:rsid w:val="00503D21"/>
    <w:rsid w:val="0051063C"/>
    <w:rsid w:val="0051618C"/>
    <w:rsid w:val="00516D71"/>
    <w:rsid w:val="00544208"/>
    <w:rsid w:val="00553AAA"/>
    <w:rsid w:val="005566B8"/>
    <w:rsid w:val="0056188F"/>
    <w:rsid w:val="00572135"/>
    <w:rsid w:val="005734E4"/>
    <w:rsid w:val="00575E10"/>
    <w:rsid w:val="0059364E"/>
    <w:rsid w:val="00595FF2"/>
    <w:rsid w:val="005A0957"/>
    <w:rsid w:val="005A1725"/>
    <w:rsid w:val="005A50A8"/>
    <w:rsid w:val="005B7225"/>
    <w:rsid w:val="005B79F4"/>
    <w:rsid w:val="005C1932"/>
    <w:rsid w:val="005C2430"/>
    <w:rsid w:val="005C68BA"/>
    <w:rsid w:val="005D6110"/>
    <w:rsid w:val="005E1765"/>
    <w:rsid w:val="005E5171"/>
    <w:rsid w:val="005E653B"/>
    <w:rsid w:val="00600BAC"/>
    <w:rsid w:val="00601857"/>
    <w:rsid w:val="00620D32"/>
    <w:rsid w:val="00624019"/>
    <w:rsid w:val="00626435"/>
    <w:rsid w:val="00632D30"/>
    <w:rsid w:val="006434B6"/>
    <w:rsid w:val="006447AD"/>
    <w:rsid w:val="00661F5F"/>
    <w:rsid w:val="00663BCE"/>
    <w:rsid w:val="00680D76"/>
    <w:rsid w:val="00681728"/>
    <w:rsid w:val="00697F5A"/>
    <w:rsid w:val="006A08F8"/>
    <w:rsid w:val="006A0A3F"/>
    <w:rsid w:val="006A6585"/>
    <w:rsid w:val="006A6D61"/>
    <w:rsid w:val="006B7361"/>
    <w:rsid w:val="006D0B7D"/>
    <w:rsid w:val="006D1999"/>
    <w:rsid w:val="006D305B"/>
    <w:rsid w:val="006E0A53"/>
    <w:rsid w:val="006E7846"/>
    <w:rsid w:val="006F17B7"/>
    <w:rsid w:val="006F423D"/>
    <w:rsid w:val="006F6F13"/>
    <w:rsid w:val="00702AFE"/>
    <w:rsid w:val="00704A6B"/>
    <w:rsid w:val="0072160C"/>
    <w:rsid w:val="00726ABF"/>
    <w:rsid w:val="00731314"/>
    <w:rsid w:val="007320F0"/>
    <w:rsid w:val="00754DBD"/>
    <w:rsid w:val="00756DA3"/>
    <w:rsid w:val="00766F5D"/>
    <w:rsid w:val="00770656"/>
    <w:rsid w:val="0077283F"/>
    <w:rsid w:val="00773019"/>
    <w:rsid w:val="00787A42"/>
    <w:rsid w:val="0079754F"/>
    <w:rsid w:val="007A50B4"/>
    <w:rsid w:val="007A534C"/>
    <w:rsid w:val="007A58FB"/>
    <w:rsid w:val="007A6608"/>
    <w:rsid w:val="007A7CF0"/>
    <w:rsid w:val="007B16A2"/>
    <w:rsid w:val="007B43C0"/>
    <w:rsid w:val="007C1084"/>
    <w:rsid w:val="007C1F4A"/>
    <w:rsid w:val="007C230C"/>
    <w:rsid w:val="007D3959"/>
    <w:rsid w:val="007E043D"/>
    <w:rsid w:val="007E774F"/>
    <w:rsid w:val="007F047A"/>
    <w:rsid w:val="007F5CEB"/>
    <w:rsid w:val="007F7A85"/>
    <w:rsid w:val="0080299C"/>
    <w:rsid w:val="00812817"/>
    <w:rsid w:val="00827FD3"/>
    <w:rsid w:val="0083214E"/>
    <w:rsid w:val="0084274B"/>
    <w:rsid w:val="008428CE"/>
    <w:rsid w:val="008474EE"/>
    <w:rsid w:val="008537C2"/>
    <w:rsid w:val="008563D3"/>
    <w:rsid w:val="008577C0"/>
    <w:rsid w:val="00862EB4"/>
    <w:rsid w:val="008634E6"/>
    <w:rsid w:val="00892B9F"/>
    <w:rsid w:val="00892D61"/>
    <w:rsid w:val="0089338E"/>
    <w:rsid w:val="008B20D0"/>
    <w:rsid w:val="008B28AF"/>
    <w:rsid w:val="008B383B"/>
    <w:rsid w:val="008B4052"/>
    <w:rsid w:val="008B4BE8"/>
    <w:rsid w:val="008C1D4E"/>
    <w:rsid w:val="008D09D0"/>
    <w:rsid w:val="008D2D67"/>
    <w:rsid w:val="008D6C07"/>
    <w:rsid w:val="008D6E6D"/>
    <w:rsid w:val="008F5B89"/>
    <w:rsid w:val="0091186A"/>
    <w:rsid w:val="009171D8"/>
    <w:rsid w:val="00920872"/>
    <w:rsid w:val="009322F6"/>
    <w:rsid w:val="00943024"/>
    <w:rsid w:val="00944E2E"/>
    <w:rsid w:val="009458EB"/>
    <w:rsid w:val="00946488"/>
    <w:rsid w:val="0095647D"/>
    <w:rsid w:val="00956B30"/>
    <w:rsid w:val="00965C61"/>
    <w:rsid w:val="0096748F"/>
    <w:rsid w:val="00974997"/>
    <w:rsid w:val="009831F0"/>
    <w:rsid w:val="00985244"/>
    <w:rsid w:val="00996D5A"/>
    <w:rsid w:val="0099793A"/>
    <w:rsid w:val="00997F55"/>
    <w:rsid w:val="009A1CB6"/>
    <w:rsid w:val="009B3794"/>
    <w:rsid w:val="009B7E4D"/>
    <w:rsid w:val="009E25D0"/>
    <w:rsid w:val="009F24A6"/>
    <w:rsid w:val="00A118AA"/>
    <w:rsid w:val="00A11CBE"/>
    <w:rsid w:val="00A14339"/>
    <w:rsid w:val="00A14695"/>
    <w:rsid w:val="00A15890"/>
    <w:rsid w:val="00A35B1E"/>
    <w:rsid w:val="00A36730"/>
    <w:rsid w:val="00A43802"/>
    <w:rsid w:val="00A47DA1"/>
    <w:rsid w:val="00A50CB0"/>
    <w:rsid w:val="00A5146C"/>
    <w:rsid w:val="00A5264F"/>
    <w:rsid w:val="00A52C82"/>
    <w:rsid w:val="00A55BCB"/>
    <w:rsid w:val="00A62417"/>
    <w:rsid w:val="00A767A1"/>
    <w:rsid w:val="00A772C9"/>
    <w:rsid w:val="00A90F7E"/>
    <w:rsid w:val="00A92CAB"/>
    <w:rsid w:val="00A95ECB"/>
    <w:rsid w:val="00AB23BB"/>
    <w:rsid w:val="00AC5655"/>
    <w:rsid w:val="00AD141C"/>
    <w:rsid w:val="00AD67A8"/>
    <w:rsid w:val="00AE2ADB"/>
    <w:rsid w:val="00AE7154"/>
    <w:rsid w:val="00AF0576"/>
    <w:rsid w:val="00AF6F27"/>
    <w:rsid w:val="00B02183"/>
    <w:rsid w:val="00B06D26"/>
    <w:rsid w:val="00B14108"/>
    <w:rsid w:val="00B147AF"/>
    <w:rsid w:val="00B17E33"/>
    <w:rsid w:val="00B24AB8"/>
    <w:rsid w:val="00B2596B"/>
    <w:rsid w:val="00B27ABA"/>
    <w:rsid w:val="00B30F78"/>
    <w:rsid w:val="00B322BE"/>
    <w:rsid w:val="00B40B27"/>
    <w:rsid w:val="00B472FB"/>
    <w:rsid w:val="00B50105"/>
    <w:rsid w:val="00B53D75"/>
    <w:rsid w:val="00B655C6"/>
    <w:rsid w:val="00B667D0"/>
    <w:rsid w:val="00B72BC1"/>
    <w:rsid w:val="00B72EF9"/>
    <w:rsid w:val="00B7519A"/>
    <w:rsid w:val="00B82BCD"/>
    <w:rsid w:val="00B84091"/>
    <w:rsid w:val="00B87F16"/>
    <w:rsid w:val="00B91B1C"/>
    <w:rsid w:val="00B920CB"/>
    <w:rsid w:val="00BA15BE"/>
    <w:rsid w:val="00BA1A0C"/>
    <w:rsid w:val="00BA5D00"/>
    <w:rsid w:val="00BA6FF8"/>
    <w:rsid w:val="00BB5875"/>
    <w:rsid w:val="00BC34FE"/>
    <w:rsid w:val="00BC3B9B"/>
    <w:rsid w:val="00BE1812"/>
    <w:rsid w:val="00BE23B2"/>
    <w:rsid w:val="00BE3BB6"/>
    <w:rsid w:val="00BF5EB7"/>
    <w:rsid w:val="00C04B5D"/>
    <w:rsid w:val="00C06081"/>
    <w:rsid w:val="00C13221"/>
    <w:rsid w:val="00C13ADC"/>
    <w:rsid w:val="00C20983"/>
    <w:rsid w:val="00C22682"/>
    <w:rsid w:val="00C23B25"/>
    <w:rsid w:val="00C323A7"/>
    <w:rsid w:val="00C376EC"/>
    <w:rsid w:val="00C411C7"/>
    <w:rsid w:val="00C534E6"/>
    <w:rsid w:val="00C5375B"/>
    <w:rsid w:val="00C6574C"/>
    <w:rsid w:val="00C67D9E"/>
    <w:rsid w:val="00C710D4"/>
    <w:rsid w:val="00C724CC"/>
    <w:rsid w:val="00C7280A"/>
    <w:rsid w:val="00C73D99"/>
    <w:rsid w:val="00C74B86"/>
    <w:rsid w:val="00C767B5"/>
    <w:rsid w:val="00C77293"/>
    <w:rsid w:val="00C85CD4"/>
    <w:rsid w:val="00C95E9D"/>
    <w:rsid w:val="00CA3DA6"/>
    <w:rsid w:val="00CA63A4"/>
    <w:rsid w:val="00CA76F2"/>
    <w:rsid w:val="00CB74C4"/>
    <w:rsid w:val="00CB7A38"/>
    <w:rsid w:val="00CC3EC7"/>
    <w:rsid w:val="00CC6B47"/>
    <w:rsid w:val="00CD2E36"/>
    <w:rsid w:val="00CD36E7"/>
    <w:rsid w:val="00CD42B5"/>
    <w:rsid w:val="00CD546F"/>
    <w:rsid w:val="00CE01E8"/>
    <w:rsid w:val="00CE44A5"/>
    <w:rsid w:val="00CE51C3"/>
    <w:rsid w:val="00CE5AA9"/>
    <w:rsid w:val="00CF3111"/>
    <w:rsid w:val="00D04D54"/>
    <w:rsid w:val="00D07B81"/>
    <w:rsid w:val="00D237D8"/>
    <w:rsid w:val="00D31AB7"/>
    <w:rsid w:val="00D32821"/>
    <w:rsid w:val="00D341DC"/>
    <w:rsid w:val="00D426D5"/>
    <w:rsid w:val="00D44985"/>
    <w:rsid w:val="00D46313"/>
    <w:rsid w:val="00D52863"/>
    <w:rsid w:val="00D52B74"/>
    <w:rsid w:val="00D53084"/>
    <w:rsid w:val="00D564F2"/>
    <w:rsid w:val="00D636D6"/>
    <w:rsid w:val="00D74B86"/>
    <w:rsid w:val="00D74FB4"/>
    <w:rsid w:val="00D840E0"/>
    <w:rsid w:val="00D865E5"/>
    <w:rsid w:val="00D92E1D"/>
    <w:rsid w:val="00D930A6"/>
    <w:rsid w:val="00D94706"/>
    <w:rsid w:val="00DA372A"/>
    <w:rsid w:val="00DA6384"/>
    <w:rsid w:val="00DB0724"/>
    <w:rsid w:val="00DB0CA8"/>
    <w:rsid w:val="00DB7B3E"/>
    <w:rsid w:val="00DC6D0C"/>
    <w:rsid w:val="00DC7841"/>
    <w:rsid w:val="00DD1696"/>
    <w:rsid w:val="00DE08C8"/>
    <w:rsid w:val="00DE3A45"/>
    <w:rsid w:val="00DE44A8"/>
    <w:rsid w:val="00DE6DD8"/>
    <w:rsid w:val="00DE7490"/>
    <w:rsid w:val="00DF0402"/>
    <w:rsid w:val="00DF21E0"/>
    <w:rsid w:val="00E027E1"/>
    <w:rsid w:val="00E12416"/>
    <w:rsid w:val="00E1500B"/>
    <w:rsid w:val="00E17745"/>
    <w:rsid w:val="00E17EA1"/>
    <w:rsid w:val="00E20105"/>
    <w:rsid w:val="00E203FA"/>
    <w:rsid w:val="00E344B8"/>
    <w:rsid w:val="00E34A1F"/>
    <w:rsid w:val="00E3684A"/>
    <w:rsid w:val="00E375F5"/>
    <w:rsid w:val="00E4048C"/>
    <w:rsid w:val="00E416AD"/>
    <w:rsid w:val="00E46837"/>
    <w:rsid w:val="00E56730"/>
    <w:rsid w:val="00E57405"/>
    <w:rsid w:val="00E62916"/>
    <w:rsid w:val="00E76D62"/>
    <w:rsid w:val="00E962DB"/>
    <w:rsid w:val="00EA0EAE"/>
    <w:rsid w:val="00EA4DE7"/>
    <w:rsid w:val="00EC532E"/>
    <w:rsid w:val="00ED18EA"/>
    <w:rsid w:val="00ED1A3E"/>
    <w:rsid w:val="00ED1CA9"/>
    <w:rsid w:val="00ED2307"/>
    <w:rsid w:val="00ED7BB0"/>
    <w:rsid w:val="00EE529C"/>
    <w:rsid w:val="00EF6B51"/>
    <w:rsid w:val="00EF6FA0"/>
    <w:rsid w:val="00F0485C"/>
    <w:rsid w:val="00F1694F"/>
    <w:rsid w:val="00F16D33"/>
    <w:rsid w:val="00F24D37"/>
    <w:rsid w:val="00F31E3B"/>
    <w:rsid w:val="00F4221E"/>
    <w:rsid w:val="00F44A87"/>
    <w:rsid w:val="00F51B2D"/>
    <w:rsid w:val="00F542EC"/>
    <w:rsid w:val="00F714CC"/>
    <w:rsid w:val="00F72F0D"/>
    <w:rsid w:val="00F76BBF"/>
    <w:rsid w:val="00F8361F"/>
    <w:rsid w:val="00F85EE1"/>
    <w:rsid w:val="00F923CA"/>
    <w:rsid w:val="00F939C9"/>
    <w:rsid w:val="00FB5CCB"/>
    <w:rsid w:val="00FB6A85"/>
    <w:rsid w:val="00FC0E4B"/>
    <w:rsid w:val="00FD61EC"/>
    <w:rsid w:val="00FD7755"/>
    <w:rsid w:val="00FE0224"/>
    <w:rsid w:val="00FE1A60"/>
    <w:rsid w:val="00FF1EA8"/>
    <w:rsid w:val="00FF3BC1"/>
    <w:rsid w:val="00FF3DD3"/>
    <w:rsid w:val="00FF6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091D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rsid w:val="00E57405"/>
    <w:rPr>
      <w:sz w:val="16"/>
      <w:szCs w:val="16"/>
    </w:rPr>
  </w:style>
  <w:style w:type="paragraph" w:styleId="CommentText">
    <w:name w:val="annotation text"/>
    <w:basedOn w:val="Normal"/>
    <w:link w:val="CommentTextChar"/>
    <w:rsid w:val="00E57405"/>
    <w:rPr>
      <w:szCs w:val="20"/>
    </w:rPr>
  </w:style>
  <w:style w:type="character" w:customStyle="1" w:styleId="CommentTextChar">
    <w:name w:val="Comment Text Char"/>
    <w:basedOn w:val="DefaultParagraphFont"/>
    <w:link w:val="CommentText"/>
    <w:rsid w:val="00E57405"/>
  </w:style>
  <w:style w:type="paragraph" w:styleId="CommentSubject">
    <w:name w:val="annotation subject"/>
    <w:basedOn w:val="CommentText"/>
    <w:next w:val="CommentText"/>
    <w:link w:val="CommentSubjectChar"/>
    <w:rsid w:val="00E57405"/>
    <w:rPr>
      <w:b/>
      <w:bCs/>
    </w:rPr>
  </w:style>
  <w:style w:type="character" w:customStyle="1" w:styleId="CommentSubjectChar">
    <w:name w:val="Comment Subject Char"/>
    <w:basedOn w:val="CommentTextChar"/>
    <w:link w:val="CommentSubject"/>
    <w:rsid w:val="00E57405"/>
    <w:rPr>
      <w:b/>
      <w:bCs/>
    </w:rPr>
  </w:style>
  <w:style w:type="paragraph" w:customStyle="1" w:styleId="a">
    <w:name w:val="_"/>
    <w:basedOn w:val="Normal"/>
    <w:rsid w:val="00FB6A85"/>
    <w:pPr>
      <w:ind w:left="720" w:hanging="720"/>
    </w:pPr>
    <w:rPr>
      <w:sz w:val="24"/>
    </w:rPr>
  </w:style>
  <w:style w:type="character" w:styleId="PageNumber">
    <w:name w:val="page number"/>
    <w:basedOn w:val="DefaultParagraphFont"/>
    <w:rsid w:val="000D0C09"/>
  </w:style>
  <w:style w:type="paragraph" w:styleId="Footer">
    <w:name w:val="footer"/>
    <w:basedOn w:val="Normal"/>
    <w:link w:val="FooterChar"/>
    <w:rsid w:val="000D0C09"/>
    <w:pPr>
      <w:tabs>
        <w:tab w:val="center" w:pos="4320"/>
        <w:tab w:val="right" w:pos="8640"/>
      </w:tabs>
    </w:pPr>
    <w:rPr>
      <w:szCs w:val="20"/>
    </w:rPr>
  </w:style>
  <w:style w:type="character" w:customStyle="1" w:styleId="FooterChar">
    <w:name w:val="Footer Char"/>
    <w:basedOn w:val="DefaultParagraphFont"/>
    <w:link w:val="Footer"/>
    <w:rsid w:val="000D0C09"/>
  </w:style>
  <w:style w:type="table" w:styleId="Table3Deffects3">
    <w:name w:val="Table 3D effects 3"/>
    <w:basedOn w:val="TableNormal"/>
    <w:rsid w:val="009322F6"/>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semiHidden/>
    <w:unhideWhenUsed/>
    <w:rsid w:val="00DE7490"/>
    <w:rPr>
      <w:szCs w:val="20"/>
    </w:rPr>
  </w:style>
  <w:style w:type="character" w:customStyle="1" w:styleId="FootnoteTextChar">
    <w:name w:val="Footnote Text Char"/>
    <w:basedOn w:val="DefaultParagraphFont"/>
    <w:link w:val="FootnoteText"/>
    <w:semiHidden/>
    <w:rsid w:val="00DE7490"/>
  </w:style>
  <w:style w:type="table" w:styleId="LightList">
    <w:name w:val="Light List"/>
    <w:basedOn w:val="TableNormal"/>
    <w:uiPriority w:val="61"/>
    <w:rsid w:val="0039241B"/>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223FFA"/>
    <w:rPr>
      <w:szCs w:val="24"/>
    </w:rPr>
  </w:style>
  <w:style w:type="paragraph" w:customStyle="1" w:styleId="P1-StandPara">
    <w:name w:val="P1-Stand Para"/>
    <w:uiPriority w:val="99"/>
    <w:rsid w:val="00A5146C"/>
    <w:pPr>
      <w:spacing w:line="360" w:lineRule="atLeast"/>
      <w:ind w:firstLine="1152"/>
      <w:jc w:val="both"/>
    </w:pPr>
    <w:rPr>
      <w:sz w:val="22"/>
    </w:rPr>
  </w:style>
  <w:style w:type="paragraph" w:customStyle="1" w:styleId="N2-2ndBullet">
    <w:name w:val="N2-2nd Bullet"/>
    <w:basedOn w:val="Normal"/>
    <w:uiPriority w:val="99"/>
    <w:rsid w:val="00A5146C"/>
    <w:pPr>
      <w:widowControl/>
      <w:numPr>
        <w:numId w:val="3"/>
      </w:numPr>
      <w:tabs>
        <w:tab w:val="left" w:pos="1728"/>
      </w:tabs>
      <w:autoSpaceDE/>
      <w:autoSpaceDN/>
      <w:adjustRightInd/>
      <w:spacing w:after="240" w:line="240" w:lineRule="atLeast"/>
      <w:jc w:val="both"/>
    </w:pPr>
    <w:rPr>
      <w:sz w:val="22"/>
      <w:szCs w:val="20"/>
    </w:rPr>
  </w:style>
  <w:style w:type="character" w:styleId="FollowedHyperlink">
    <w:name w:val="FollowedHyperlink"/>
    <w:basedOn w:val="DefaultParagraphFont"/>
    <w:semiHidden/>
    <w:unhideWhenUsed/>
    <w:rsid w:val="007E774F"/>
    <w:rPr>
      <w:color w:val="800080" w:themeColor="followedHyperlink"/>
      <w:u w:val="single"/>
    </w:rPr>
  </w:style>
  <w:style w:type="paragraph" w:customStyle="1" w:styleId="xmsonormal">
    <w:name w:val="x_msonormal"/>
    <w:basedOn w:val="Normal"/>
    <w:rsid w:val="00892D61"/>
    <w:pPr>
      <w:widowControl/>
      <w:autoSpaceDE/>
      <w:autoSpaceDN/>
      <w:adjustRightInd/>
      <w:spacing w:before="100" w:beforeAutospacing="1" w:after="100" w:afterAutospacing="1"/>
    </w:pPr>
    <w:rPr>
      <w:sz w:val="24"/>
    </w:rPr>
  </w:style>
  <w:style w:type="paragraph" w:customStyle="1" w:styleId="xmsolistparagraph">
    <w:name w:val="x_msolistparagraph"/>
    <w:basedOn w:val="Normal"/>
    <w:rsid w:val="00892D61"/>
    <w:pPr>
      <w:widowControl/>
      <w:autoSpaceDE/>
      <w:autoSpaceDN/>
      <w:adjustRightInd/>
      <w:spacing w:before="100" w:beforeAutospacing="1" w:after="100" w:afterAutospacing="1"/>
    </w:pPr>
    <w:rPr>
      <w:sz w:val="24"/>
    </w:rPr>
  </w:style>
  <w:style w:type="table" w:customStyle="1" w:styleId="TableGrid1">
    <w:name w:val="Table Grid1"/>
    <w:basedOn w:val="TableNormal"/>
    <w:next w:val="TableGrid"/>
    <w:uiPriority w:val="59"/>
    <w:rsid w:val="00B14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E378A"/>
    <w:pPr>
      <w:tabs>
        <w:tab w:val="center" w:pos="4680"/>
        <w:tab w:val="right" w:pos="9360"/>
      </w:tabs>
    </w:pPr>
  </w:style>
  <w:style w:type="character" w:customStyle="1" w:styleId="HeaderChar">
    <w:name w:val="Header Char"/>
    <w:basedOn w:val="DefaultParagraphFont"/>
    <w:link w:val="Header"/>
    <w:rsid w:val="004E378A"/>
    <w:rPr>
      <w:szCs w:val="24"/>
    </w:rPr>
  </w:style>
  <w:style w:type="paragraph" w:styleId="EndnoteText">
    <w:name w:val="endnote text"/>
    <w:basedOn w:val="Normal"/>
    <w:link w:val="EndnoteTextChar"/>
    <w:semiHidden/>
    <w:unhideWhenUsed/>
    <w:rsid w:val="00A50CB0"/>
    <w:rPr>
      <w:szCs w:val="20"/>
    </w:rPr>
  </w:style>
  <w:style w:type="character" w:customStyle="1" w:styleId="EndnoteTextChar">
    <w:name w:val="Endnote Text Char"/>
    <w:basedOn w:val="DefaultParagraphFont"/>
    <w:link w:val="EndnoteText"/>
    <w:semiHidden/>
    <w:rsid w:val="00A50CB0"/>
  </w:style>
  <w:style w:type="character" w:styleId="EndnoteReference">
    <w:name w:val="endnote reference"/>
    <w:basedOn w:val="DefaultParagraphFont"/>
    <w:semiHidden/>
    <w:unhideWhenUsed/>
    <w:rsid w:val="00A50CB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rsid w:val="00E57405"/>
    <w:rPr>
      <w:sz w:val="16"/>
      <w:szCs w:val="16"/>
    </w:rPr>
  </w:style>
  <w:style w:type="paragraph" w:styleId="CommentText">
    <w:name w:val="annotation text"/>
    <w:basedOn w:val="Normal"/>
    <w:link w:val="CommentTextChar"/>
    <w:rsid w:val="00E57405"/>
    <w:rPr>
      <w:szCs w:val="20"/>
    </w:rPr>
  </w:style>
  <w:style w:type="character" w:customStyle="1" w:styleId="CommentTextChar">
    <w:name w:val="Comment Text Char"/>
    <w:basedOn w:val="DefaultParagraphFont"/>
    <w:link w:val="CommentText"/>
    <w:rsid w:val="00E57405"/>
  </w:style>
  <w:style w:type="paragraph" w:styleId="CommentSubject">
    <w:name w:val="annotation subject"/>
    <w:basedOn w:val="CommentText"/>
    <w:next w:val="CommentText"/>
    <w:link w:val="CommentSubjectChar"/>
    <w:rsid w:val="00E57405"/>
    <w:rPr>
      <w:b/>
      <w:bCs/>
    </w:rPr>
  </w:style>
  <w:style w:type="character" w:customStyle="1" w:styleId="CommentSubjectChar">
    <w:name w:val="Comment Subject Char"/>
    <w:basedOn w:val="CommentTextChar"/>
    <w:link w:val="CommentSubject"/>
    <w:rsid w:val="00E57405"/>
    <w:rPr>
      <w:b/>
      <w:bCs/>
    </w:rPr>
  </w:style>
  <w:style w:type="paragraph" w:customStyle="1" w:styleId="a">
    <w:name w:val="_"/>
    <w:basedOn w:val="Normal"/>
    <w:rsid w:val="00FB6A85"/>
    <w:pPr>
      <w:ind w:left="720" w:hanging="720"/>
    </w:pPr>
    <w:rPr>
      <w:sz w:val="24"/>
    </w:rPr>
  </w:style>
  <w:style w:type="character" w:styleId="PageNumber">
    <w:name w:val="page number"/>
    <w:basedOn w:val="DefaultParagraphFont"/>
    <w:rsid w:val="000D0C09"/>
  </w:style>
  <w:style w:type="paragraph" w:styleId="Footer">
    <w:name w:val="footer"/>
    <w:basedOn w:val="Normal"/>
    <w:link w:val="FooterChar"/>
    <w:rsid w:val="000D0C09"/>
    <w:pPr>
      <w:tabs>
        <w:tab w:val="center" w:pos="4320"/>
        <w:tab w:val="right" w:pos="8640"/>
      </w:tabs>
    </w:pPr>
    <w:rPr>
      <w:szCs w:val="20"/>
    </w:rPr>
  </w:style>
  <w:style w:type="character" w:customStyle="1" w:styleId="FooterChar">
    <w:name w:val="Footer Char"/>
    <w:basedOn w:val="DefaultParagraphFont"/>
    <w:link w:val="Footer"/>
    <w:rsid w:val="000D0C09"/>
  </w:style>
  <w:style w:type="table" w:styleId="Table3Deffects3">
    <w:name w:val="Table 3D effects 3"/>
    <w:basedOn w:val="TableNormal"/>
    <w:rsid w:val="009322F6"/>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semiHidden/>
    <w:unhideWhenUsed/>
    <w:rsid w:val="00DE7490"/>
    <w:rPr>
      <w:szCs w:val="20"/>
    </w:rPr>
  </w:style>
  <w:style w:type="character" w:customStyle="1" w:styleId="FootnoteTextChar">
    <w:name w:val="Footnote Text Char"/>
    <w:basedOn w:val="DefaultParagraphFont"/>
    <w:link w:val="FootnoteText"/>
    <w:semiHidden/>
    <w:rsid w:val="00DE7490"/>
  </w:style>
  <w:style w:type="table" w:styleId="LightList">
    <w:name w:val="Light List"/>
    <w:basedOn w:val="TableNormal"/>
    <w:uiPriority w:val="61"/>
    <w:rsid w:val="0039241B"/>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223FFA"/>
    <w:rPr>
      <w:szCs w:val="24"/>
    </w:rPr>
  </w:style>
  <w:style w:type="paragraph" w:customStyle="1" w:styleId="P1-StandPara">
    <w:name w:val="P1-Stand Para"/>
    <w:uiPriority w:val="99"/>
    <w:rsid w:val="00A5146C"/>
    <w:pPr>
      <w:spacing w:line="360" w:lineRule="atLeast"/>
      <w:ind w:firstLine="1152"/>
      <w:jc w:val="both"/>
    </w:pPr>
    <w:rPr>
      <w:sz w:val="22"/>
    </w:rPr>
  </w:style>
  <w:style w:type="paragraph" w:customStyle="1" w:styleId="N2-2ndBullet">
    <w:name w:val="N2-2nd Bullet"/>
    <w:basedOn w:val="Normal"/>
    <w:uiPriority w:val="99"/>
    <w:rsid w:val="00A5146C"/>
    <w:pPr>
      <w:widowControl/>
      <w:numPr>
        <w:numId w:val="3"/>
      </w:numPr>
      <w:tabs>
        <w:tab w:val="left" w:pos="1728"/>
      </w:tabs>
      <w:autoSpaceDE/>
      <w:autoSpaceDN/>
      <w:adjustRightInd/>
      <w:spacing w:after="240" w:line="240" w:lineRule="atLeast"/>
      <w:jc w:val="both"/>
    </w:pPr>
    <w:rPr>
      <w:sz w:val="22"/>
      <w:szCs w:val="20"/>
    </w:rPr>
  </w:style>
  <w:style w:type="character" w:styleId="FollowedHyperlink">
    <w:name w:val="FollowedHyperlink"/>
    <w:basedOn w:val="DefaultParagraphFont"/>
    <w:semiHidden/>
    <w:unhideWhenUsed/>
    <w:rsid w:val="007E774F"/>
    <w:rPr>
      <w:color w:val="800080" w:themeColor="followedHyperlink"/>
      <w:u w:val="single"/>
    </w:rPr>
  </w:style>
  <w:style w:type="paragraph" w:customStyle="1" w:styleId="xmsonormal">
    <w:name w:val="x_msonormal"/>
    <w:basedOn w:val="Normal"/>
    <w:rsid w:val="00892D61"/>
    <w:pPr>
      <w:widowControl/>
      <w:autoSpaceDE/>
      <w:autoSpaceDN/>
      <w:adjustRightInd/>
      <w:spacing w:before="100" w:beforeAutospacing="1" w:after="100" w:afterAutospacing="1"/>
    </w:pPr>
    <w:rPr>
      <w:sz w:val="24"/>
    </w:rPr>
  </w:style>
  <w:style w:type="paragraph" w:customStyle="1" w:styleId="xmsolistparagraph">
    <w:name w:val="x_msolistparagraph"/>
    <w:basedOn w:val="Normal"/>
    <w:rsid w:val="00892D61"/>
    <w:pPr>
      <w:widowControl/>
      <w:autoSpaceDE/>
      <w:autoSpaceDN/>
      <w:adjustRightInd/>
      <w:spacing w:before="100" w:beforeAutospacing="1" w:after="100" w:afterAutospacing="1"/>
    </w:pPr>
    <w:rPr>
      <w:sz w:val="24"/>
    </w:rPr>
  </w:style>
  <w:style w:type="table" w:customStyle="1" w:styleId="TableGrid1">
    <w:name w:val="Table Grid1"/>
    <w:basedOn w:val="TableNormal"/>
    <w:next w:val="TableGrid"/>
    <w:uiPriority w:val="59"/>
    <w:rsid w:val="00B14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E378A"/>
    <w:pPr>
      <w:tabs>
        <w:tab w:val="center" w:pos="4680"/>
        <w:tab w:val="right" w:pos="9360"/>
      </w:tabs>
    </w:pPr>
  </w:style>
  <w:style w:type="character" w:customStyle="1" w:styleId="HeaderChar">
    <w:name w:val="Header Char"/>
    <w:basedOn w:val="DefaultParagraphFont"/>
    <w:link w:val="Header"/>
    <w:rsid w:val="004E378A"/>
    <w:rPr>
      <w:szCs w:val="24"/>
    </w:rPr>
  </w:style>
  <w:style w:type="paragraph" w:styleId="EndnoteText">
    <w:name w:val="endnote text"/>
    <w:basedOn w:val="Normal"/>
    <w:link w:val="EndnoteTextChar"/>
    <w:semiHidden/>
    <w:unhideWhenUsed/>
    <w:rsid w:val="00A50CB0"/>
    <w:rPr>
      <w:szCs w:val="20"/>
    </w:rPr>
  </w:style>
  <w:style w:type="character" w:customStyle="1" w:styleId="EndnoteTextChar">
    <w:name w:val="Endnote Text Char"/>
    <w:basedOn w:val="DefaultParagraphFont"/>
    <w:link w:val="EndnoteText"/>
    <w:semiHidden/>
    <w:rsid w:val="00A50CB0"/>
  </w:style>
  <w:style w:type="character" w:styleId="EndnoteReference">
    <w:name w:val="endnote reference"/>
    <w:basedOn w:val="DefaultParagraphFont"/>
    <w:semiHidden/>
    <w:unhideWhenUsed/>
    <w:rsid w:val="00A50C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2856">
      <w:bodyDiv w:val="1"/>
      <w:marLeft w:val="0"/>
      <w:marRight w:val="0"/>
      <w:marTop w:val="0"/>
      <w:marBottom w:val="0"/>
      <w:divBdr>
        <w:top w:val="none" w:sz="0" w:space="0" w:color="auto"/>
        <w:left w:val="none" w:sz="0" w:space="0" w:color="auto"/>
        <w:bottom w:val="none" w:sz="0" w:space="0" w:color="auto"/>
        <w:right w:val="none" w:sz="0" w:space="0" w:color="auto"/>
      </w:divBdr>
    </w:div>
    <w:div w:id="121312878">
      <w:bodyDiv w:val="1"/>
      <w:marLeft w:val="0"/>
      <w:marRight w:val="0"/>
      <w:marTop w:val="0"/>
      <w:marBottom w:val="0"/>
      <w:divBdr>
        <w:top w:val="none" w:sz="0" w:space="0" w:color="auto"/>
        <w:left w:val="none" w:sz="0" w:space="0" w:color="auto"/>
        <w:bottom w:val="none" w:sz="0" w:space="0" w:color="auto"/>
        <w:right w:val="none" w:sz="0" w:space="0" w:color="auto"/>
      </w:divBdr>
    </w:div>
    <w:div w:id="353845879">
      <w:bodyDiv w:val="1"/>
      <w:marLeft w:val="0"/>
      <w:marRight w:val="0"/>
      <w:marTop w:val="0"/>
      <w:marBottom w:val="0"/>
      <w:divBdr>
        <w:top w:val="none" w:sz="0" w:space="0" w:color="auto"/>
        <w:left w:val="none" w:sz="0" w:space="0" w:color="auto"/>
        <w:bottom w:val="none" w:sz="0" w:space="0" w:color="auto"/>
        <w:right w:val="none" w:sz="0" w:space="0" w:color="auto"/>
      </w:divBdr>
    </w:div>
    <w:div w:id="393502529">
      <w:bodyDiv w:val="1"/>
      <w:marLeft w:val="0"/>
      <w:marRight w:val="0"/>
      <w:marTop w:val="0"/>
      <w:marBottom w:val="0"/>
      <w:divBdr>
        <w:top w:val="none" w:sz="0" w:space="0" w:color="auto"/>
        <w:left w:val="none" w:sz="0" w:space="0" w:color="auto"/>
        <w:bottom w:val="none" w:sz="0" w:space="0" w:color="auto"/>
        <w:right w:val="none" w:sz="0" w:space="0" w:color="auto"/>
      </w:divBdr>
    </w:div>
    <w:div w:id="404910818">
      <w:bodyDiv w:val="1"/>
      <w:marLeft w:val="0"/>
      <w:marRight w:val="0"/>
      <w:marTop w:val="0"/>
      <w:marBottom w:val="0"/>
      <w:divBdr>
        <w:top w:val="none" w:sz="0" w:space="0" w:color="auto"/>
        <w:left w:val="none" w:sz="0" w:space="0" w:color="auto"/>
        <w:bottom w:val="none" w:sz="0" w:space="0" w:color="auto"/>
        <w:right w:val="none" w:sz="0" w:space="0" w:color="auto"/>
      </w:divBdr>
    </w:div>
    <w:div w:id="663971867">
      <w:bodyDiv w:val="1"/>
      <w:marLeft w:val="0"/>
      <w:marRight w:val="0"/>
      <w:marTop w:val="0"/>
      <w:marBottom w:val="0"/>
      <w:divBdr>
        <w:top w:val="none" w:sz="0" w:space="0" w:color="auto"/>
        <w:left w:val="none" w:sz="0" w:space="0" w:color="auto"/>
        <w:bottom w:val="none" w:sz="0" w:space="0" w:color="auto"/>
        <w:right w:val="none" w:sz="0" w:space="0" w:color="auto"/>
      </w:divBdr>
    </w:div>
    <w:div w:id="788553531">
      <w:bodyDiv w:val="1"/>
      <w:marLeft w:val="0"/>
      <w:marRight w:val="0"/>
      <w:marTop w:val="0"/>
      <w:marBottom w:val="0"/>
      <w:divBdr>
        <w:top w:val="none" w:sz="0" w:space="0" w:color="auto"/>
        <w:left w:val="none" w:sz="0" w:space="0" w:color="auto"/>
        <w:bottom w:val="none" w:sz="0" w:space="0" w:color="auto"/>
        <w:right w:val="none" w:sz="0" w:space="0" w:color="auto"/>
      </w:divBdr>
    </w:div>
    <w:div w:id="870917813">
      <w:bodyDiv w:val="1"/>
      <w:marLeft w:val="0"/>
      <w:marRight w:val="0"/>
      <w:marTop w:val="0"/>
      <w:marBottom w:val="0"/>
      <w:divBdr>
        <w:top w:val="none" w:sz="0" w:space="0" w:color="auto"/>
        <w:left w:val="none" w:sz="0" w:space="0" w:color="auto"/>
        <w:bottom w:val="none" w:sz="0" w:space="0" w:color="auto"/>
        <w:right w:val="none" w:sz="0" w:space="0" w:color="auto"/>
      </w:divBdr>
    </w:div>
    <w:div w:id="893199569">
      <w:bodyDiv w:val="1"/>
      <w:marLeft w:val="0"/>
      <w:marRight w:val="0"/>
      <w:marTop w:val="0"/>
      <w:marBottom w:val="0"/>
      <w:divBdr>
        <w:top w:val="none" w:sz="0" w:space="0" w:color="auto"/>
        <w:left w:val="none" w:sz="0" w:space="0" w:color="auto"/>
        <w:bottom w:val="none" w:sz="0" w:space="0" w:color="auto"/>
        <w:right w:val="none" w:sz="0" w:space="0" w:color="auto"/>
      </w:divBdr>
    </w:div>
    <w:div w:id="935749973">
      <w:bodyDiv w:val="1"/>
      <w:marLeft w:val="0"/>
      <w:marRight w:val="0"/>
      <w:marTop w:val="0"/>
      <w:marBottom w:val="0"/>
      <w:divBdr>
        <w:top w:val="none" w:sz="0" w:space="0" w:color="auto"/>
        <w:left w:val="none" w:sz="0" w:space="0" w:color="auto"/>
        <w:bottom w:val="none" w:sz="0" w:space="0" w:color="auto"/>
        <w:right w:val="none" w:sz="0" w:space="0" w:color="auto"/>
      </w:divBdr>
    </w:div>
    <w:div w:id="1066565470">
      <w:bodyDiv w:val="1"/>
      <w:marLeft w:val="0"/>
      <w:marRight w:val="0"/>
      <w:marTop w:val="0"/>
      <w:marBottom w:val="0"/>
      <w:divBdr>
        <w:top w:val="none" w:sz="0" w:space="0" w:color="auto"/>
        <w:left w:val="none" w:sz="0" w:space="0" w:color="auto"/>
        <w:bottom w:val="none" w:sz="0" w:space="0" w:color="auto"/>
        <w:right w:val="none" w:sz="0" w:space="0" w:color="auto"/>
      </w:divBdr>
    </w:div>
    <w:div w:id="1224292342">
      <w:bodyDiv w:val="1"/>
      <w:marLeft w:val="0"/>
      <w:marRight w:val="0"/>
      <w:marTop w:val="0"/>
      <w:marBottom w:val="0"/>
      <w:divBdr>
        <w:top w:val="none" w:sz="0" w:space="0" w:color="auto"/>
        <w:left w:val="none" w:sz="0" w:space="0" w:color="auto"/>
        <w:bottom w:val="none" w:sz="0" w:space="0" w:color="auto"/>
        <w:right w:val="none" w:sz="0" w:space="0" w:color="auto"/>
      </w:divBdr>
    </w:div>
    <w:div w:id="1244216605">
      <w:bodyDiv w:val="1"/>
      <w:marLeft w:val="0"/>
      <w:marRight w:val="0"/>
      <w:marTop w:val="0"/>
      <w:marBottom w:val="0"/>
      <w:divBdr>
        <w:top w:val="none" w:sz="0" w:space="0" w:color="auto"/>
        <w:left w:val="none" w:sz="0" w:space="0" w:color="auto"/>
        <w:bottom w:val="none" w:sz="0" w:space="0" w:color="auto"/>
        <w:right w:val="none" w:sz="0" w:space="0" w:color="auto"/>
      </w:divBdr>
      <w:divsChild>
        <w:div w:id="1366053766">
          <w:marLeft w:val="0"/>
          <w:marRight w:val="120"/>
          <w:marTop w:val="0"/>
          <w:marBottom w:val="0"/>
          <w:divBdr>
            <w:top w:val="none" w:sz="0" w:space="0" w:color="auto"/>
            <w:left w:val="none" w:sz="0" w:space="0" w:color="auto"/>
            <w:bottom w:val="none" w:sz="0" w:space="0" w:color="auto"/>
            <w:right w:val="none" w:sz="0" w:space="0" w:color="auto"/>
          </w:divBdr>
          <w:divsChild>
            <w:div w:id="1461803406">
              <w:marLeft w:val="0"/>
              <w:marRight w:val="0"/>
              <w:marTop w:val="0"/>
              <w:marBottom w:val="0"/>
              <w:divBdr>
                <w:top w:val="none" w:sz="0" w:space="0" w:color="auto"/>
                <w:left w:val="none" w:sz="0" w:space="0" w:color="auto"/>
                <w:bottom w:val="none" w:sz="0" w:space="0" w:color="auto"/>
                <w:right w:val="none" w:sz="0" w:space="0" w:color="auto"/>
              </w:divBdr>
              <w:divsChild>
                <w:div w:id="1918201956">
                  <w:marLeft w:val="0"/>
                  <w:marRight w:val="0"/>
                  <w:marTop w:val="0"/>
                  <w:marBottom w:val="0"/>
                  <w:divBdr>
                    <w:top w:val="none" w:sz="0" w:space="0" w:color="auto"/>
                    <w:left w:val="none" w:sz="0" w:space="0" w:color="auto"/>
                    <w:bottom w:val="none" w:sz="0" w:space="0" w:color="auto"/>
                    <w:right w:val="none" w:sz="0" w:space="0" w:color="auto"/>
                  </w:divBdr>
                  <w:divsChild>
                    <w:div w:id="2089306117">
                      <w:marLeft w:val="0"/>
                      <w:marRight w:val="0"/>
                      <w:marTop w:val="0"/>
                      <w:marBottom w:val="0"/>
                      <w:divBdr>
                        <w:top w:val="none" w:sz="0" w:space="0" w:color="auto"/>
                        <w:left w:val="none" w:sz="0" w:space="0" w:color="auto"/>
                        <w:bottom w:val="none" w:sz="0" w:space="0" w:color="auto"/>
                        <w:right w:val="none" w:sz="0" w:space="0" w:color="auto"/>
                      </w:divBdr>
                      <w:divsChild>
                        <w:div w:id="973365651">
                          <w:marLeft w:val="0"/>
                          <w:marRight w:val="0"/>
                          <w:marTop w:val="0"/>
                          <w:marBottom w:val="0"/>
                          <w:divBdr>
                            <w:top w:val="none" w:sz="0" w:space="0" w:color="auto"/>
                            <w:left w:val="none" w:sz="0" w:space="0" w:color="auto"/>
                            <w:bottom w:val="none" w:sz="0" w:space="0" w:color="auto"/>
                            <w:right w:val="none" w:sz="0" w:space="0" w:color="auto"/>
                          </w:divBdr>
                          <w:divsChild>
                            <w:div w:id="1789659995">
                              <w:marLeft w:val="0"/>
                              <w:marRight w:val="0"/>
                              <w:marTop w:val="0"/>
                              <w:marBottom w:val="0"/>
                              <w:divBdr>
                                <w:top w:val="none" w:sz="0" w:space="0" w:color="auto"/>
                                <w:left w:val="none" w:sz="0" w:space="0" w:color="auto"/>
                                <w:bottom w:val="none" w:sz="0" w:space="0" w:color="auto"/>
                                <w:right w:val="none" w:sz="0" w:space="0" w:color="auto"/>
                              </w:divBdr>
                              <w:divsChild>
                                <w:div w:id="588268134">
                                  <w:marLeft w:val="0"/>
                                  <w:marRight w:val="0"/>
                                  <w:marTop w:val="0"/>
                                  <w:marBottom w:val="0"/>
                                  <w:divBdr>
                                    <w:top w:val="none" w:sz="0" w:space="0" w:color="auto"/>
                                    <w:left w:val="none" w:sz="0" w:space="0" w:color="auto"/>
                                    <w:bottom w:val="none" w:sz="0" w:space="0" w:color="auto"/>
                                    <w:right w:val="none" w:sz="0" w:space="0" w:color="auto"/>
                                  </w:divBdr>
                                  <w:divsChild>
                                    <w:div w:id="1201283812">
                                      <w:marLeft w:val="0"/>
                                      <w:marRight w:val="0"/>
                                      <w:marTop w:val="0"/>
                                      <w:marBottom w:val="0"/>
                                      <w:divBdr>
                                        <w:top w:val="none" w:sz="0" w:space="0" w:color="auto"/>
                                        <w:left w:val="none" w:sz="0" w:space="0" w:color="auto"/>
                                        <w:bottom w:val="none" w:sz="0" w:space="0" w:color="auto"/>
                                        <w:right w:val="none" w:sz="0" w:space="0" w:color="auto"/>
                                      </w:divBdr>
                                      <w:divsChild>
                                        <w:div w:id="812409634">
                                          <w:marLeft w:val="0"/>
                                          <w:marRight w:val="0"/>
                                          <w:marTop w:val="0"/>
                                          <w:marBottom w:val="0"/>
                                          <w:divBdr>
                                            <w:top w:val="none" w:sz="0" w:space="0" w:color="auto"/>
                                            <w:left w:val="none" w:sz="0" w:space="0" w:color="auto"/>
                                            <w:bottom w:val="none" w:sz="0" w:space="0" w:color="auto"/>
                                            <w:right w:val="none" w:sz="0" w:space="0" w:color="auto"/>
                                          </w:divBdr>
                                          <w:divsChild>
                                            <w:div w:id="555822781">
                                              <w:marLeft w:val="0"/>
                                              <w:marRight w:val="0"/>
                                              <w:marTop w:val="0"/>
                                              <w:marBottom w:val="0"/>
                                              <w:divBdr>
                                                <w:top w:val="none" w:sz="0" w:space="0" w:color="auto"/>
                                                <w:left w:val="none" w:sz="0" w:space="0" w:color="auto"/>
                                                <w:bottom w:val="none" w:sz="0" w:space="0" w:color="auto"/>
                                                <w:right w:val="none" w:sz="0" w:space="0" w:color="auto"/>
                                              </w:divBdr>
                                              <w:divsChild>
                                                <w:div w:id="1372268371">
                                                  <w:marLeft w:val="0"/>
                                                  <w:marRight w:val="0"/>
                                                  <w:marTop w:val="0"/>
                                                  <w:marBottom w:val="0"/>
                                                  <w:divBdr>
                                                    <w:top w:val="none" w:sz="0" w:space="0" w:color="auto"/>
                                                    <w:left w:val="none" w:sz="0" w:space="0" w:color="auto"/>
                                                    <w:bottom w:val="none" w:sz="0" w:space="0" w:color="auto"/>
                                                    <w:right w:val="none" w:sz="0" w:space="0" w:color="auto"/>
                                                  </w:divBdr>
                                                  <w:divsChild>
                                                    <w:div w:id="1055813138">
                                                      <w:marLeft w:val="0"/>
                                                      <w:marRight w:val="0"/>
                                                      <w:marTop w:val="0"/>
                                                      <w:marBottom w:val="0"/>
                                                      <w:divBdr>
                                                        <w:top w:val="none" w:sz="0" w:space="0" w:color="auto"/>
                                                        <w:left w:val="none" w:sz="0" w:space="0" w:color="auto"/>
                                                        <w:bottom w:val="none" w:sz="0" w:space="0" w:color="auto"/>
                                                        <w:right w:val="none" w:sz="0" w:space="0" w:color="auto"/>
                                                      </w:divBdr>
                                                      <w:divsChild>
                                                        <w:div w:id="430053379">
                                                          <w:marLeft w:val="480"/>
                                                          <w:marRight w:val="0"/>
                                                          <w:marTop w:val="0"/>
                                                          <w:marBottom w:val="0"/>
                                                          <w:divBdr>
                                                            <w:top w:val="none" w:sz="0" w:space="0" w:color="auto"/>
                                                            <w:left w:val="none" w:sz="0" w:space="0" w:color="auto"/>
                                                            <w:bottom w:val="none" w:sz="0" w:space="0" w:color="auto"/>
                                                            <w:right w:val="none" w:sz="0" w:space="0" w:color="auto"/>
                                                          </w:divBdr>
                                                          <w:divsChild>
                                                            <w:div w:id="372772956">
                                                              <w:marLeft w:val="0"/>
                                                              <w:marRight w:val="0"/>
                                                              <w:marTop w:val="0"/>
                                                              <w:marBottom w:val="0"/>
                                                              <w:divBdr>
                                                                <w:top w:val="none" w:sz="0" w:space="0" w:color="auto"/>
                                                                <w:left w:val="none" w:sz="0" w:space="0" w:color="auto"/>
                                                                <w:bottom w:val="none" w:sz="0" w:space="0" w:color="auto"/>
                                                                <w:right w:val="none" w:sz="0" w:space="0" w:color="auto"/>
                                                              </w:divBdr>
                                                              <w:divsChild>
                                                                <w:div w:id="840852694">
                                                                  <w:marLeft w:val="0"/>
                                                                  <w:marRight w:val="0"/>
                                                                  <w:marTop w:val="0"/>
                                                                  <w:marBottom w:val="0"/>
                                                                  <w:divBdr>
                                                                    <w:top w:val="none" w:sz="0" w:space="0" w:color="auto"/>
                                                                    <w:left w:val="none" w:sz="0" w:space="0" w:color="auto"/>
                                                                    <w:bottom w:val="none" w:sz="0" w:space="0" w:color="auto"/>
                                                                    <w:right w:val="none" w:sz="0" w:space="0" w:color="auto"/>
                                                                  </w:divBdr>
                                                                  <w:divsChild>
                                                                    <w:div w:id="606813967">
                                                                      <w:marLeft w:val="0"/>
                                                                      <w:marRight w:val="0"/>
                                                                      <w:marTop w:val="240"/>
                                                                      <w:marBottom w:val="0"/>
                                                                      <w:divBdr>
                                                                        <w:top w:val="none" w:sz="0" w:space="0" w:color="auto"/>
                                                                        <w:left w:val="none" w:sz="0" w:space="0" w:color="auto"/>
                                                                        <w:bottom w:val="none" w:sz="0" w:space="0" w:color="auto"/>
                                                                        <w:right w:val="none" w:sz="0" w:space="0" w:color="auto"/>
                                                                      </w:divBdr>
                                                                      <w:divsChild>
                                                                        <w:div w:id="261841274">
                                                                          <w:marLeft w:val="0"/>
                                                                          <w:marRight w:val="0"/>
                                                                          <w:marTop w:val="0"/>
                                                                          <w:marBottom w:val="0"/>
                                                                          <w:divBdr>
                                                                            <w:top w:val="none" w:sz="0" w:space="0" w:color="auto"/>
                                                                            <w:left w:val="none" w:sz="0" w:space="0" w:color="auto"/>
                                                                            <w:bottom w:val="none" w:sz="0" w:space="0" w:color="auto"/>
                                                                            <w:right w:val="none" w:sz="0" w:space="0" w:color="auto"/>
                                                                          </w:divBdr>
                                                                          <w:divsChild>
                                                                            <w:div w:id="1339388036">
                                                                              <w:marLeft w:val="0"/>
                                                                              <w:marRight w:val="0"/>
                                                                              <w:marTop w:val="0"/>
                                                                              <w:marBottom w:val="0"/>
                                                                              <w:divBdr>
                                                                                <w:top w:val="none" w:sz="0" w:space="0" w:color="auto"/>
                                                                                <w:left w:val="none" w:sz="0" w:space="0" w:color="auto"/>
                                                                                <w:bottom w:val="none" w:sz="0" w:space="0" w:color="auto"/>
                                                                                <w:right w:val="none" w:sz="0" w:space="0" w:color="auto"/>
                                                                              </w:divBdr>
                                                                              <w:divsChild>
                                                                                <w:div w:id="457183555">
                                                                                  <w:marLeft w:val="0"/>
                                                                                  <w:marRight w:val="0"/>
                                                                                  <w:marTop w:val="0"/>
                                                                                  <w:marBottom w:val="0"/>
                                                                                  <w:divBdr>
                                                                                    <w:top w:val="none" w:sz="0" w:space="0" w:color="auto"/>
                                                                                    <w:left w:val="none" w:sz="0" w:space="0" w:color="auto"/>
                                                                                    <w:bottom w:val="none" w:sz="0" w:space="0" w:color="auto"/>
                                                                                    <w:right w:val="none" w:sz="0" w:space="0" w:color="auto"/>
                                                                                  </w:divBdr>
                                                                                  <w:divsChild>
                                                                                    <w:div w:id="1494488743">
                                                                                      <w:marLeft w:val="0"/>
                                                                                      <w:marRight w:val="0"/>
                                                                                      <w:marTop w:val="0"/>
                                                                                      <w:marBottom w:val="0"/>
                                                                                      <w:divBdr>
                                                                                        <w:top w:val="none" w:sz="0" w:space="0" w:color="auto"/>
                                                                                        <w:left w:val="none" w:sz="0" w:space="0" w:color="auto"/>
                                                                                        <w:bottom w:val="single" w:sz="6" w:space="23" w:color="auto"/>
                                                                                        <w:right w:val="none" w:sz="0" w:space="0" w:color="auto"/>
                                                                                      </w:divBdr>
                                                                                      <w:divsChild>
                                                                                        <w:div w:id="2070491081">
                                                                                          <w:marLeft w:val="0"/>
                                                                                          <w:marRight w:val="0"/>
                                                                                          <w:marTop w:val="0"/>
                                                                                          <w:marBottom w:val="0"/>
                                                                                          <w:divBdr>
                                                                                            <w:top w:val="none" w:sz="0" w:space="0" w:color="auto"/>
                                                                                            <w:left w:val="none" w:sz="0" w:space="0" w:color="auto"/>
                                                                                            <w:bottom w:val="none" w:sz="0" w:space="0" w:color="auto"/>
                                                                                            <w:right w:val="none" w:sz="0" w:space="0" w:color="auto"/>
                                                                                          </w:divBdr>
                                                                                          <w:divsChild>
                                                                                            <w:div w:id="1016465058">
                                                                                              <w:marLeft w:val="0"/>
                                                                                              <w:marRight w:val="0"/>
                                                                                              <w:marTop w:val="0"/>
                                                                                              <w:marBottom w:val="0"/>
                                                                                              <w:divBdr>
                                                                                                <w:top w:val="none" w:sz="0" w:space="0" w:color="auto"/>
                                                                                                <w:left w:val="none" w:sz="0" w:space="0" w:color="auto"/>
                                                                                                <w:bottom w:val="none" w:sz="0" w:space="0" w:color="auto"/>
                                                                                                <w:right w:val="none" w:sz="0" w:space="0" w:color="auto"/>
                                                                                              </w:divBdr>
                                                                                              <w:divsChild>
                                                                                                <w:div w:id="302005988">
                                                                                                  <w:marLeft w:val="0"/>
                                                                                                  <w:marRight w:val="0"/>
                                                                                                  <w:marTop w:val="0"/>
                                                                                                  <w:marBottom w:val="0"/>
                                                                                                  <w:divBdr>
                                                                                                    <w:top w:val="none" w:sz="0" w:space="0" w:color="auto"/>
                                                                                                    <w:left w:val="none" w:sz="0" w:space="0" w:color="auto"/>
                                                                                                    <w:bottom w:val="none" w:sz="0" w:space="0" w:color="auto"/>
                                                                                                    <w:right w:val="none" w:sz="0" w:space="0" w:color="auto"/>
                                                                                                  </w:divBdr>
                                                                                                  <w:divsChild>
                                                                                                    <w:div w:id="212939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970940">
      <w:bodyDiv w:val="1"/>
      <w:marLeft w:val="0"/>
      <w:marRight w:val="0"/>
      <w:marTop w:val="0"/>
      <w:marBottom w:val="0"/>
      <w:divBdr>
        <w:top w:val="none" w:sz="0" w:space="0" w:color="auto"/>
        <w:left w:val="none" w:sz="0" w:space="0" w:color="auto"/>
        <w:bottom w:val="none" w:sz="0" w:space="0" w:color="auto"/>
        <w:right w:val="none" w:sz="0" w:space="0" w:color="auto"/>
      </w:divBdr>
    </w:div>
    <w:div w:id="1287278445">
      <w:bodyDiv w:val="1"/>
      <w:marLeft w:val="0"/>
      <w:marRight w:val="0"/>
      <w:marTop w:val="0"/>
      <w:marBottom w:val="0"/>
      <w:divBdr>
        <w:top w:val="none" w:sz="0" w:space="0" w:color="auto"/>
        <w:left w:val="none" w:sz="0" w:space="0" w:color="auto"/>
        <w:bottom w:val="none" w:sz="0" w:space="0" w:color="auto"/>
        <w:right w:val="none" w:sz="0" w:space="0" w:color="auto"/>
      </w:divBdr>
    </w:div>
    <w:div w:id="1296986576">
      <w:bodyDiv w:val="1"/>
      <w:marLeft w:val="0"/>
      <w:marRight w:val="0"/>
      <w:marTop w:val="0"/>
      <w:marBottom w:val="0"/>
      <w:divBdr>
        <w:top w:val="none" w:sz="0" w:space="0" w:color="auto"/>
        <w:left w:val="none" w:sz="0" w:space="0" w:color="auto"/>
        <w:bottom w:val="none" w:sz="0" w:space="0" w:color="auto"/>
        <w:right w:val="none" w:sz="0" w:space="0" w:color="auto"/>
      </w:divBdr>
    </w:div>
    <w:div w:id="1396003165">
      <w:bodyDiv w:val="1"/>
      <w:marLeft w:val="0"/>
      <w:marRight w:val="0"/>
      <w:marTop w:val="0"/>
      <w:marBottom w:val="0"/>
      <w:divBdr>
        <w:top w:val="none" w:sz="0" w:space="0" w:color="auto"/>
        <w:left w:val="none" w:sz="0" w:space="0" w:color="auto"/>
        <w:bottom w:val="none" w:sz="0" w:space="0" w:color="auto"/>
        <w:right w:val="none" w:sz="0" w:space="0" w:color="auto"/>
      </w:divBdr>
    </w:div>
    <w:div w:id="1503929643">
      <w:bodyDiv w:val="1"/>
      <w:marLeft w:val="0"/>
      <w:marRight w:val="0"/>
      <w:marTop w:val="0"/>
      <w:marBottom w:val="0"/>
      <w:divBdr>
        <w:top w:val="none" w:sz="0" w:space="0" w:color="auto"/>
        <w:left w:val="none" w:sz="0" w:space="0" w:color="auto"/>
        <w:bottom w:val="none" w:sz="0" w:space="0" w:color="auto"/>
        <w:right w:val="none" w:sz="0" w:space="0" w:color="auto"/>
      </w:divBdr>
    </w:div>
    <w:div w:id="1577739805">
      <w:bodyDiv w:val="1"/>
      <w:marLeft w:val="0"/>
      <w:marRight w:val="0"/>
      <w:marTop w:val="0"/>
      <w:marBottom w:val="0"/>
      <w:divBdr>
        <w:top w:val="none" w:sz="0" w:space="0" w:color="auto"/>
        <w:left w:val="none" w:sz="0" w:space="0" w:color="auto"/>
        <w:bottom w:val="none" w:sz="0" w:space="0" w:color="auto"/>
        <w:right w:val="none" w:sz="0" w:space="0" w:color="auto"/>
      </w:divBdr>
    </w:div>
    <w:div w:id="1642224358">
      <w:bodyDiv w:val="1"/>
      <w:marLeft w:val="0"/>
      <w:marRight w:val="0"/>
      <w:marTop w:val="0"/>
      <w:marBottom w:val="0"/>
      <w:divBdr>
        <w:top w:val="none" w:sz="0" w:space="0" w:color="auto"/>
        <w:left w:val="none" w:sz="0" w:space="0" w:color="auto"/>
        <w:bottom w:val="none" w:sz="0" w:space="0" w:color="auto"/>
        <w:right w:val="none" w:sz="0" w:space="0" w:color="auto"/>
      </w:divBdr>
    </w:div>
    <w:div w:id="1908296350">
      <w:bodyDiv w:val="1"/>
      <w:marLeft w:val="0"/>
      <w:marRight w:val="0"/>
      <w:marTop w:val="0"/>
      <w:marBottom w:val="0"/>
      <w:divBdr>
        <w:top w:val="none" w:sz="0" w:space="0" w:color="auto"/>
        <w:left w:val="none" w:sz="0" w:space="0" w:color="auto"/>
        <w:bottom w:val="none" w:sz="0" w:space="0" w:color="auto"/>
        <w:right w:val="none" w:sz="0" w:space="0" w:color="auto"/>
      </w:divBdr>
    </w:div>
    <w:div w:id="209204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dc.gov/nchs/slaits/slaits_products.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dc.gov/nchs/nhis.htm" TargetMode="External"/><Relationship Id="rId2" Type="http://schemas.openxmlformats.org/officeDocument/2006/relationships/hyperlink" Target="http://www.cdc.gov/nchs/data/series/sr_01/sr01_057.pdf" TargetMode="External"/><Relationship Id="rId1" Type="http://schemas.openxmlformats.org/officeDocument/2006/relationships/hyperlink" Target="http://www.cdc.gov/nchs/data/series/sr_01/sr01_055.pdf" TargetMode="External"/><Relationship Id="rId4" Type="http://schemas.openxmlformats.org/officeDocument/2006/relationships/hyperlink" Target="http://www.bls.gov/news.release/realer.t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3E92E35FF6E54CB12E422F8E95B093" ma:contentTypeVersion="0" ma:contentTypeDescription="Create a new document." ma:contentTypeScope="" ma:versionID="cb67c31659168c44ded859d1d624900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525EF-8AE7-46DD-A8E2-795E2C635834}">
  <ds:schemaRefs>
    <ds:schemaRef ds:uri="http://schemas.microsoft.com/sharepoint/v3/contenttype/forms"/>
  </ds:schemaRefs>
</ds:datastoreItem>
</file>

<file path=customXml/itemProps2.xml><?xml version="1.0" encoding="utf-8"?>
<ds:datastoreItem xmlns:ds="http://schemas.openxmlformats.org/officeDocument/2006/customXml" ds:itemID="{89F5FE33-4129-43B8-B2B0-D07C7E983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A341690-3997-4353-9C10-0BD66643F705}">
  <ds:schemaRefs>
    <ds:schemaRef ds:uri="http://purl.org/dc/terms/"/>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50EE859C-9021-4797-8BAD-6C844502A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7E23FDA5</Template>
  <TotalTime>0</TotalTime>
  <Pages>4</Pages>
  <Words>3203</Words>
  <Characters>18260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21421</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2016-04-27T15:40:00Z</dcterms:created>
  <dcterms:modified xsi:type="dcterms:W3CDTF">2016-04-27T15:40:00Z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0x010100323E92E35FF6E54CB12E422F8E95B093</vt:lpwstr>
  </property>
</Properties>
</file>