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77777777"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77777777"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4E3492">
        <w:rPr>
          <w:rFonts w:ascii="Times New Roman" w:hAnsi="Times New Roman" w:cs="Times New Roman"/>
          <w:b/>
          <w:sz w:val="24"/>
          <w:szCs w:val="24"/>
        </w:rPr>
        <w:t>0711</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13154B63" w:rsidR="000939E0" w:rsidRDefault="009D3859" w:rsidP="0031522F">
      <w:pPr>
        <w:spacing w:after="0" w:line="240" w:lineRule="auto"/>
        <w:rPr>
          <w:rFonts w:ascii="Times New Roman" w:hAnsi="Times New Roman" w:cs="Times New Roman"/>
          <w:sz w:val="24"/>
          <w:szCs w:val="24"/>
        </w:rPr>
      </w:pPr>
      <w:r w:rsidRPr="009D3859">
        <w:rPr>
          <w:rFonts w:ascii="Times New Roman" w:hAnsi="Times New Roman" w:cs="Times New Roman"/>
          <w:sz w:val="24"/>
          <w:szCs w:val="24"/>
        </w:rPr>
        <w:t xml:space="preserve">This </w:t>
      </w:r>
      <w:r w:rsidR="003A6480">
        <w:rPr>
          <w:rFonts w:ascii="Times New Roman" w:hAnsi="Times New Roman" w:cs="Times New Roman"/>
          <w:sz w:val="24"/>
          <w:szCs w:val="24"/>
        </w:rPr>
        <w:t xml:space="preserve">requests revision of this </w:t>
      </w:r>
      <w:r w:rsidR="00475737">
        <w:rPr>
          <w:rFonts w:ascii="Times New Roman" w:hAnsi="Times New Roman" w:cs="Times New Roman"/>
          <w:sz w:val="24"/>
          <w:szCs w:val="24"/>
        </w:rPr>
        <w:t>information collection</w:t>
      </w:r>
      <w:r w:rsidR="0031522F">
        <w:rPr>
          <w:rFonts w:ascii="Times New Roman" w:hAnsi="Times New Roman" w:cs="Times New Roman"/>
          <w:sz w:val="24"/>
          <w:szCs w:val="24"/>
        </w:rPr>
        <w:t xml:space="preserve"> </w:t>
      </w:r>
      <w:r w:rsidR="0031522F" w:rsidRPr="00273179">
        <w:rPr>
          <w:rFonts w:ascii="Times New Roman" w:hAnsi="Times New Roman" w:cs="Times New Roman"/>
          <w:sz w:val="24"/>
          <w:szCs w:val="24"/>
        </w:rPr>
        <w:t xml:space="preserve">due to an associated rule </w:t>
      </w:r>
      <w:r w:rsidR="003A6480">
        <w:rPr>
          <w:rFonts w:ascii="Times New Roman" w:hAnsi="Times New Roman" w:cs="Times New Roman"/>
          <w:sz w:val="24"/>
          <w:szCs w:val="24"/>
        </w:rPr>
        <w:t>[</w:t>
      </w:r>
      <w:r w:rsidR="0031522F" w:rsidRPr="003A6480">
        <w:rPr>
          <w:rFonts w:ascii="Times New Roman" w:hAnsi="Times New Roman" w:cs="Times New Roman"/>
          <w:b/>
          <w:sz w:val="24"/>
          <w:szCs w:val="24"/>
        </w:rPr>
        <w:t>RIN 0648-</w:t>
      </w:r>
      <w:r w:rsidR="008807CB">
        <w:rPr>
          <w:rFonts w:ascii="Times New Roman" w:hAnsi="Times New Roman" w:cs="Times New Roman"/>
          <w:b/>
          <w:sz w:val="24"/>
          <w:szCs w:val="24"/>
        </w:rPr>
        <w:t>BF36</w:t>
      </w:r>
      <w:r w:rsidR="003A6480" w:rsidRPr="003A6480">
        <w:rPr>
          <w:rFonts w:ascii="Times New Roman" w:hAnsi="Times New Roman" w:cs="Times New Roman"/>
          <w:b/>
          <w:sz w:val="24"/>
          <w:szCs w:val="24"/>
        </w:rPr>
        <w:t>]</w:t>
      </w:r>
      <w:r w:rsidR="0031522F" w:rsidRPr="00273179">
        <w:rPr>
          <w:rFonts w:ascii="Times New Roman" w:hAnsi="Times New Roman" w:cs="Times New Roman"/>
          <w:sz w:val="24"/>
          <w:szCs w:val="24"/>
        </w:rPr>
        <w:t>.</w:t>
      </w:r>
      <w:r w:rsidR="00487D5D">
        <w:rPr>
          <w:rFonts w:ascii="Times New Roman" w:hAnsi="Times New Roman" w:cs="Times New Roman"/>
          <w:sz w:val="24"/>
          <w:szCs w:val="24"/>
        </w:rPr>
        <w:t xml:space="preserve">  </w:t>
      </w:r>
    </w:p>
    <w:p w14:paraId="08005B8C" w14:textId="77777777" w:rsidR="000939E0" w:rsidRDefault="000939E0" w:rsidP="0031522F">
      <w:pPr>
        <w:spacing w:after="0" w:line="240" w:lineRule="auto"/>
        <w:rPr>
          <w:rFonts w:ascii="Times New Roman" w:hAnsi="Times New Roman" w:cs="Times New Roman"/>
          <w:sz w:val="24"/>
          <w:szCs w:val="24"/>
        </w:rPr>
      </w:pPr>
    </w:p>
    <w:p w14:paraId="36A4F902" w14:textId="77777777" w:rsidR="007E41E4" w:rsidRDefault="007E41E4" w:rsidP="007E41E4">
      <w:pPr>
        <w:spacing w:after="0" w:line="240" w:lineRule="auto"/>
        <w:rPr>
          <w:rFonts w:ascii="Times New Roman" w:hAnsi="Times New Roman" w:cs="Times New Roman"/>
          <w:sz w:val="24"/>
          <w:szCs w:val="24"/>
        </w:rPr>
      </w:pPr>
      <w:r w:rsidRPr="00973DA5">
        <w:rPr>
          <w:rFonts w:ascii="Times New Roman" w:hAnsi="Times New Roman" w:cs="Times New Roman"/>
          <w:b/>
          <w:sz w:val="24"/>
          <w:szCs w:val="24"/>
        </w:rPr>
        <w:t>BACKGROUND</w:t>
      </w:r>
    </w:p>
    <w:p w14:paraId="71F1A1EF" w14:textId="77777777" w:rsidR="00475737" w:rsidRDefault="00475737" w:rsidP="00273179">
      <w:pPr>
        <w:spacing w:after="0" w:line="240" w:lineRule="auto"/>
        <w:rPr>
          <w:rFonts w:ascii="Times New Roman" w:hAnsi="Times New Roman" w:cs="Times New Roman"/>
          <w:sz w:val="24"/>
          <w:szCs w:val="24"/>
        </w:rPr>
      </w:pPr>
    </w:p>
    <w:p w14:paraId="5DDE305A" w14:textId="60C439A4" w:rsidR="00BB2365" w:rsidRDefault="00973DA5" w:rsidP="00BB2365">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Magnuson-Stevens Fishery Conservation and Management Act 16 U.S.C. 1801 et seq. (Magnuson-Stevens Act), the Secretary of Commerce </w:t>
      </w:r>
      <w:r w:rsidR="001A4B29">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w:t>
      </w:r>
      <w:r w:rsidR="008807CB">
        <w:rPr>
          <w:rFonts w:ascii="Times New Roman" w:hAnsi="Times New Roman" w:cs="Times New Roman"/>
          <w:sz w:val="24"/>
          <w:szCs w:val="24"/>
        </w:rPr>
        <w:t xml:space="preserve"> (U.S.)</w:t>
      </w:r>
      <w:r w:rsidRPr="00973DA5">
        <w:rPr>
          <w:rFonts w:ascii="Times New Roman" w:hAnsi="Times New Roman" w:cs="Times New Roman"/>
          <w:sz w:val="24"/>
          <w:szCs w:val="24"/>
        </w:rPr>
        <w:t xml:space="preserve"> through National Oceanic and Atmospheric Administration</w:t>
      </w:r>
      <w:r w:rsidR="008807CB">
        <w:rPr>
          <w:rFonts w:ascii="Times New Roman" w:hAnsi="Times New Roman" w:cs="Times New Roman"/>
          <w:sz w:val="24"/>
          <w:szCs w:val="24"/>
        </w:rPr>
        <w:t xml:space="preserve"> (NOAA) </w:t>
      </w:r>
      <w:r w:rsidRPr="00973DA5">
        <w:rPr>
          <w:rFonts w:ascii="Times New Roman" w:hAnsi="Times New Roman" w:cs="Times New Roman"/>
          <w:sz w:val="24"/>
          <w:szCs w:val="24"/>
        </w:rPr>
        <w:t>National Marine Fisheries Service</w:t>
      </w:r>
      <w:r w:rsidR="008807CB">
        <w:rPr>
          <w:rFonts w:ascii="Times New Roman" w:hAnsi="Times New Roman" w:cs="Times New Roman"/>
          <w:sz w:val="24"/>
          <w:szCs w:val="24"/>
        </w:rPr>
        <w:t xml:space="preserve"> (NMFS)</w:t>
      </w:r>
      <w:r w:rsidRPr="00973DA5">
        <w:rPr>
          <w:rFonts w:ascii="Times New Roman" w:hAnsi="Times New Roman" w:cs="Times New Roman"/>
          <w:sz w:val="24"/>
          <w:szCs w:val="24"/>
        </w:rPr>
        <w:t>.  NMFS Alaska Region manages the groundfish fisheries in the EEZ</w:t>
      </w:r>
      <w:r w:rsidR="006247FF">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sidR="00BB2365">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sidR="00BB2365">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sidR="006247FF">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sidR="00BB2365">
        <w:rPr>
          <w:rFonts w:ascii="Times New Roman" w:hAnsi="Times New Roman" w:cs="Times New Roman"/>
          <w:sz w:val="24"/>
          <w:szCs w:val="24"/>
        </w:rPr>
        <w:t xml:space="preserve"> (Council)</w:t>
      </w:r>
      <w:r w:rsidRPr="00973DA5">
        <w:rPr>
          <w:rFonts w:ascii="Times New Roman" w:hAnsi="Times New Roman" w:cs="Times New Roman"/>
          <w:sz w:val="24"/>
          <w:szCs w:val="24"/>
        </w:rPr>
        <w:t>.</w:t>
      </w:r>
      <w:r w:rsidR="00BB2365">
        <w:rPr>
          <w:rFonts w:ascii="Times New Roman" w:hAnsi="Times New Roman" w:cs="Times New Roman"/>
          <w:sz w:val="24"/>
          <w:szCs w:val="24"/>
        </w:rPr>
        <w:t xml:space="preserve">  </w:t>
      </w:r>
    </w:p>
    <w:p w14:paraId="2FF1E781" w14:textId="77777777" w:rsidR="00BB2365" w:rsidRDefault="00BB2365" w:rsidP="00273179">
      <w:pPr>
        <w:spacing w:after="0" w:line="240" w:lineRule="auto"/>
        <w:rPr>
          <w:rFonts w:ascii="Times New Roman" w:hAnsi="Times New Roman" w:cs="Times New Roman"/>
          <w:sz w:val="24"/>
          <w:szCs w:val="24"/>
        </w:rPr>
      </w:pPr>
    </w:p>
    <w:p w14:paraId="6315FD91" w14:textId="51B051B3" w:rsidR="00973DA5" w:rsidRDefault="005A4226"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sidR="001A4B29">
        <w:rPr>
          <w:rFonts w:ascii="Times New Roman" w:hAnsi="Times New Roman" w:cs="Times New Roman"/>
          <w:sz w:val="24"/>
          <w:szCs w:val="24"/>
        </w:rPr>
        <w:t xml:space="preserve">ndate the Secretary </w:t>
      </w:r>
      <w:r w:rsidRPr="005A4226">
        <w:rPr>
          <w:rFonts w:ascii="Times New Roman" w:hAnsi="Times New Roman" w:cs="Times New Roman"/>
          <w:sz w:val="24"/>
          <w:szCs w:val="24"/>
        </w:rPr>
        <w:t>to implement the Crab Rationalization Program for the Bering Sea and Aleutian Islands Management Area crab fisheries (CR Program).  The CR Pr</w:t>
      </w:r>
      <w:r w:rsidR="00BB2365">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sidR="001A4B29">
        <w:rPr>
          <w:rFonts w:ascii="Times New Roman" w:hAnsi="Times New Roman" w:cs="Times New Roman"/>
          <w:sz w:val="24"/>
          <w:szCs w:val="24"/>
        </w:rPr>
        <w:t>sh and Game</w:t>
      </w:r>
      <w:r w:rsidRPr="005A4226">
        <w:rPr>
          <w:rFonts w:ascii="Times New Roman" w:hAnsi="Times New Roman" w:cs="Times New Roman"/>
          <w:sz w:val="24"/>
          <w:szCs w:val="24"/>
        </w:rPr>
        <w:t xml:space="preserve">.  </w:t>
      </w:r>
      <w:r w:rsidR="00973DA5" w:rsidRPr="00973DA5">
        <w:rPr>
          <w:rFonts w:ascii="Times New Roman" w:hAnsi="Times New Roman" w:cs="Times New Roman"/>
          <w:sz w:val="24"/>
          <w:szCs w:val="24"/>
        </w:rPr>
        <w:t>Regulations implementing the FMPs appear at 50 CFR part 679</w:t>
      </w:r>
      <w:r w:rsidR="0031522F">
        <w:rPr>
          <w:rFonts w:ascii="Times New Roman" w:hAnsi="Times New Roman" w:cs="Times New Roman"/>
          <w:sz w:val="24"/>
          <w:szCs w:val="24"/>
        </w:rPr>
        <w:t xml:space="preserve"> and</w:t>
      </w:r>
      <w:r w:rsidR="00972980">
        <w:rPr>
          <w:rFonts w:ascii="Times New Roman" w:hAnsi="Times New Roman" w:cs="Times New Roman"/>
          <w:sz w:val="24"/>
          <w:szCs w:val="24"/>
        </w:rPr>
        <w:t xml:space="preserve"> </w:t>
      </w:r>
      <w:r w:rsidR="0031522F">
        <w:rPr>
          <w:rFonts w:ascii="Times New Roman" w:hAnsi="Times New Roman" w:cs="Times New Roman"/>
          <w:sz w:val="24"/>
          <w:szCs w:val="24"/>
        </w:rPr>
        <w:t>part 680</w:t>
      </w:r>
      <w:r w:rsidR="00973DA5" w:rsidRPr="00973DA5">
        <w:rPr>
          <w:rFonts w:ascii="Times New Roman" w:hAnsi="Times New Roman" w:cs="Times New Roman"/>
          <w:sz w:val="24"/>
          <w:szCs w:val="24"/>
        </w:rPr>
        <w:t xml:space="preserve">.  </w:t>
      </w:r>
    </w:p>
    <w:p w14:paraId="5DAD8DC6" w14:textId="77777777" w:rsidR="00973DA5" w:rsidRDefault="00973DA5" w:rsidP="00273179">
      <w:pPr>
        <w:spacing w:after="0" w:line="240" w:lineRule="auto"/>
        <w:rPr>
          <w:rFonts w:ascii="Times New Roman" w:hAnsi="Times New Roman" w:cs="Times New Roman"/>
          <w:sz w:val="24"/>
          <w:szCs w:val="24"/>
        </w:rPr>
      </w:pPr>
    </w:p>
    <w:p w14:paraId="594E7289" w14:textId="33BAA1E3" w:rsidR="009316B6" w:rsidRDefault="00CF0FDC" w:rsidP="00973DA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316B6" w:rsidRPr="009316B6">
        <w:rPr>
          <w:rFonts w:ascii="Times New Roman" w:hAnsi="Times New Roman" w:cs="Times New Roman"/>
          <w:sz w:val="24"/>
          <w:szCs w:val="24"/>
        </w:rPr>
        <w:t>he M</w:t>
      </w:r>
      <w:r w:rsidR="004B7376">
        <w:rPr>
          <w:rFonts w:ascii="Times New Roman" w:hAnsi="Times New Roman" w:cs="Times New Roman"/>
          <w:sz w:val="24"/>
          <w:szCs w:val="24"/>
        </w:rPr>
        <w:t>agnuson-Stevens Act</w:t>
      </w:r>
      <w:r w:rsidR="009316B6" w:rsidRPr="009316B6">
        <w:rPr>
          <w:rFonts w:ascii="Times New Roman" w:hAnsi="Times New Roman" w:cs="Times New Roman"/>
          <w:sz w:val="24"/>
          <w:szCs w:val="24"/>
        </w:rPr>
        <w:t xml:space="preserve"> both authorizes and requires the collection of cost recovery fees for </w:t>
      </w:r>
      <w:r w:rsidR="004B7376">
        <w:rPr>
          <w:rFonts w:ascii="Times New Roman" w:hAnsi="Times New Roman" w:cs="Times New Roman"/>
          <w:sz w:val="24"/>
          <w:szCs w:val="24"/>
        </w:rPr>
        <w:t>Limited Access Privilege (</w:t>
      </w:r>
      <w:r w:rsidR="009316B6" w:rsidRPr="009316B6">
        <w:rPr>
          <w:rFonts w:ascii="Times New Roman" w:hAnsi="Times New Roman" w:cs="Times New Roman"/>
          <w:sz w:val="24"/>
          <w:szCs w:val="24"/>
        </w:rPr>
        <w:t>LAP</w:t>
      </w:r>
      <w:r w:rsidR="004B7376">
        <w:rPr>
          <w:rFonts w:ascii="Times New Roman" w:hAnsi="Times New Roman" w:cs="Times New Roman"/>
          <w:sz w:val="24"/>
          <w:szCs w:val="24"/>
        </w:rPr>
        <w:t>)</w:t>
      </w:r>
      <w:r w:rsidR="009316B6" w:rsidRPr="009316B6">
        <w:rPr>
          <w:rFonts w:ascii="Times New Roman" w:hAnsi="Times New Roman" w:cs="Times New Roman"/>
          <w:sz w:val="24"/>
          <w:szCs w:val="24"/>
        </w:rPr>
        <w:t xml:space="preserve"> programs and </w:t>
      </w:r>
      <w:r w:rsidR="002D1962">
        <w:rPr>
          <w:rFonts w:ascii="Times New Roman" w:hAnsi="Times New Roman" w:cs="Times New Roman"/>
          <w:sz w:val="24"/>
          <w:szCs w:val="24"/>
        </w:rPr>
        <w:t>Western Alaska Community Development Quota (</w:t>
      </w:r>
      <w:r w:rsidR="009316B6" w:rsidRPr="009316B6">
        <w:rPr>
          <w:rFonts w:ascii="Times New Roman" w:hAnsi="Times New Roman" w:cs="Times New Roman"/>
          <w:sz w:val="24"/>
          <w:szCs w:val="24"/>
        </w:rPr>
        <w:t>CDQ</w:t>
      </w:r>
      <w:r w:rsidR="002D1962">
        <w:rPr>
          <w:rFonts w:ascii="Times New Roman" w:hAnsi="Times New Roman" w:cs="Times New Roman"/>
          <w:sz w:val="24"/>
          <w:szCs w:val="24"/>
        </w:rPr>
        <w:t>)</w:t>
      </w:r>
      <w:r w:rsidR="009316B6" w:rsidRPr="009316B6">
        <w:rPr>
          <w:rFonts w:ascii="Times New Roman" w:hAnsi="Times New Roman" w:cs="Times New Roman"/>
          <w:sz w:val="24"/>
          <w:szCs w:val="24"/>
        </w:rPr>
        <w:t xml:space="preserve"> programs. M</w:t>
      </w:r>
      <w:r w:rsidR="004B7376">
        <w:rPr>
          <w:rFonts w:ascii="Times New Roman" w:hAnsi="Times New Roman" w:cs="Times New Roman"/>
          <w:sz w:val="24"/>
          <w:szCs w:val="24"/>
        </w:rPr>
        <w:t>agnuson-Stevens Act</w:t>
      </w:r>
      <w:r w:rsidR="009316B6"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14:paraId="11A52AEA" w14:textId="77777777" w:rsidR="007F68A3" w:rsidRDefault="007F68A3" w:rsidP="00973DA5">
      <w:pPr>
        <w:spacing w:after="0" w:line="240" w:lineRule="auto"/>
        <w:rPr>
          <w:rFonts w:ascii="Times New Roman" w:hAnsi="Times New Roman" w:cs="Times New Roman"/>
          <w:sz w:val="24"/>
          <w:szCs w:val="24"/>
        </w:rPr>
      </w:pPr>
    </w:p>
    <w:p w14:paraId="35389E16" w14:textId="77777777" w:rsidR="007F68A3" w:rsidRDefault="007F68A3" w:rsidP="007F68A3">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to recover cost</w:t>
      </w:r>
      <w:r>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Pr>
          <w:rFonts w:ascii="Times New Roman" w:hAnsi="Times New Roman" w:cs="Times New Roman"/>
          <w:sz w:val="24"/>
          <w:szCs w:val="24"/>
        </w:rPr>
        <w:t>fish.</w:t>
      </w:r>
    </w:p>
    <w:p w14:paraId="086C139A" w14:textId="77777777" w:rsidR="007F68A3" w:rsidRDefault="007F68A3" w:rsidP="00973DA5">
      <w:pPr>
        <w:spacing w:after="0" w:line="240" w:lineRule="auto"/>
        <w:rPr>
          <w:rFonts w:ascii="Times New Roman" w:hAnsi="Times New Roman" w:cs="Times New Roman"/>
          <w:sz w:val="24"/>
          <w:szCs w:val="24"/>
        </w:rPr>
      </w:pPr>
    </w:p>
    <w:p w14:paraId="60AEC963" w14:textId="77777777" w:rsidR="00655987" w:rsidRDefault="00CB2B75" w:rsidP="006559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NMFS collects </w:t>
      </w:r>
      <w:r w:rsidRPr="00CB2B75">
        <w:rPr>
          <w:rFonts w:ascii="Times New Roman" w:hAnsi="Times New Roman" w:cs="Times New Roman"/>
          <w:sz w:val="24"/>
          <w:szCs w:val="24"/>
        </w:rPr>
        <w:t>observer coverage</w:t>
      </w:r>
      <w:r>
        <w:rPr>
          <w:rFonts w:ascii="Times New Roman" w:hAnsi="Times New Roman" w:cs="Times New Roman"/>
          <w:sz w:val="24"/>
          <w:szCs w:val="24"/>
        </w:rPr>
        <w:t>s</w:t>
      </w:r>
      <w:r w:rsidRPr="00CB2B75">
        <w:rPr>
          <w:rFonts w:ascii="Times New Roman" w:hAnsi="Times New Roman" w:cs="Times New Roman"/>
          <w:sz w:val="24"/>
          <w:szCs w:val="24"/>
        </w:rPr>
        <w:t xml:space="preserve"> fee</w:t>
      </w:r>
      <w:r>
        <w:rPr>
          <w:rFonts w:ascii="Times New Roman" w:hAnsi="Times New Roman" w:cs="Times New Roman"/>
          <w:sz w:val="24"/>
          <w:szCs w:val="24"/>
        </w:rPr>
        <w:t xml:space="preserve">s </w:t>
      </w:r>
      <w:r w:rsidRPr="00CB2B75">
        <w:rPr>
          <w:rFonts w:ascii="Times New Roman" w:hAnsi="Times New Roman" w:cs="Times New Roman"/>
          <w:sz w:val="24"/>
          <w:szCs w:val="24"/>
        </w:rPr>
        <w:t>to support the funding and deployment of observers on vessels and in plants in the partial observer coverage category.</w:t>
      </w:r>
      <w:r w:rsidR="00655987">
        <w:rPr>
          <w:rFonts w:ascii="Times New Roman" w:hAnsi="Times New Roman" w:cs="Times New Roman"/>
          <w:sz w:val="24"/>
          <w:szCs w:val="24"/>
        </w:rPr>
        <w:t xml:space="preserve">  </w:t>
      </w:r>
      <w:r w:rsidR="00655987" w:rsidRPr="008F155C">
        <w:rPr>
          <w:rFonts w:ascii="Times New Roman" w:hAnsi="Times New Roman" w:cs="Times New Roman"/>
          <w:sz w:val="24"/>
          <w:szCs w:val="24"/>
        </w:rPr>
        <w:t>Vessels and processing plants in the full coverage category directly pay observer providers for the observer on their vessel or in their plant.</w:t>
      </w:r>
      <w:r w:rsidR="00655987">
        <w:rPr>
          <w:rFonts w:ascii="Times New Roman" w:hAnsi="Times New Roman" w:cs="Times New Roman"/>
          <w:sz w:val="24"/>
          <w:szCs w:val="24"/>
        </w:rPr>
        <w:t xml:space="preserve">  </w:t>
      </w:r>
    </w:p>
    <w:p w14:paraId="037BD338" w14:textId="229C4925" w:rsidR="00CB2B75" w:rsidRDefault="00CB2B75" w:rsidP="00973DA5">
      <w:pPr>
        <w:spacing w:after="0" w:line="240" w:lineRule="auto"/>
        <w:rPr>
          <w:rFonts w:ascii="Times New Roman" w:hAnsi="Times New Roman" w:cs="Times New Roman"/>
          <w:sz w:val="24"/>
          <w:szCs w:val="24"/>
        </w:rPr>
      </w:pPr>
    </w:p>
    <w:p w14:paraId="66E5022F" w14:textId="14497904" w:rsidR="00860F31" w:rsidRDefault="007E145A" w:rsidP="005B2F84">
      <w:pPr>
        <w:tabs>
          <w:tab w:val="left" w:pos="720"/>
          <w:tab w:val="left" w:pos="369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A</w:t>
      </w:r>
      <w:r w:rsidR="008807CB">
        <w:rPr>
          <w:rFonts w:ascii="Times New Roman" w:hAnsi="Times New Roman" w:cs="Times New Roman"/>
          <w:b/>
          <w:bCs/>
          <w:sz w:val="24"/>
          <w:szCs w:val="24"/>
        </w:rPr>
        <w:t>.</w:t>
      </w:r>
      <w:r w:rsidR="00860F31" w:rsidRPr="008F0B47">
        <w:rPr>
          <w:rFonts w:ascii="Times New Roman" w:hAnsi="Times New Roman" w:cs="Times New Roman"/>
          <w:b/>
          <w:bCs/>
          <w:sz w:val="24"/>
          <w:szCs w:val="24"/>
        </w:rPr>
        <w:tab/>
        <w:t>JUSTIFICATION</w:t>
      </w:r>
    </w:p>
    <w:p w14:paraId="7A91BD8E" w14:textId="77777777" w:rsidR="006869C1" w:rsidRDefault="006869C1" w:rsidP="005B2F84">
      <w:pPr>
        <w:tabs>
          <w:tab w:val="left" w:pos="720"/>
          <w:tab w:val="left" w:pos="3690"/>
        </w:tabs>
        <w:spacing w:after="0" w:line="240" w:lineRule="auto"/>
        <w:ind w:left="720" w:hanging="720"/>
        <w:rPr>
          <w:rFonts w:ascii="Times New Roman" w:hAnsi="Times New Roman" w:cs="Times New Roman"/>
          <w:b/>
          <w:bCs/>
          <w:sz w:val="24"/>
          <w:szCs w:val="24"/>
        </w:rPr>
      </w:pPr>
    </w:p>
    <w:p w14:paraId="3E9BECB7" w14:textId="77777777" w:rsidR="005B2F84" w:rsidRPr="005B2F84" w:rsidRDefault="005B2F84" w:rsidP="005B2F84">
      <w:pPr>
        <w:tabs>
          <w:tab w:val="left" w:pos="720"/>
          <w:tab w:val="left" w:pos="3690"/>
        </w:tabs>
        <w:spacing w:after="0" w:line="240" w:lineRule="auto"/>
        <w:ind w:left="720" w:hanging="720"/>
        <w:rPr>
          <w:rFonts w:ascii="Times New Roman" w:hAnsi="Times New Roman" w:cs="Times New Roman"/>
          <w:b/>
          <w:bCs/>
          <w:sz w:val="24"/>
          <w:szCs w:val="24"/>
        </w:rPr>
      </w:pPr>
      <w:r w:rsidRPr="005B2F84">
        <w:rPr>
          <w:rFonts w:ascii="Times New Roman" w:hAnsi="Times New Roman" w:cs="Times New Roman"/>
          <w:b/>
          <w:bCs/>
          <w:sz w:val="24"/>
          <w:szCs w:val="24"/>
        </w:rPr>
        <w:t xml:space="preserve">1.  </w:t>
      </w:r>
      <w:r w:rsidRPr="006A3D8B">
        <w:rPr>
          <w:rFonts w:ascii="Times New Roman" w:hAnsi="Times New Roman" w:cs="Times New Roman"/>
          <w:b/>
          <w:bCs/>
          <w:sz w:val="24"/>
          <w:szCs w:val="24"/>
          <w:u w:val="single"/>
        </w:rPr>
        <w:t>Explain the circumstances that make the collection of information necessary</w:t>
      </w:r>
      <w:r w:rsidRPr="005B2F84">
        <w:rPr>
          <w:rFonts w:ascii="Times New Roman" w:hAnsi="Times New Roman" w:cs="Times New Roman"/>
          <w:b/>
          <w:bCs/>
          <w:sz w:val="24"/>
          <w:szCs w:val="24"/>
        </w:rPr>
        <w:t>.</w:t>
      </w:r>
    </w:p>
    <w:p w14:paraId="415AF87E" w14:textId="77777777" w:rsidR="005B2F84" w:rsidRDefault="005B2F84" w:rsidP="005B2F84">
      <w:pPr>
        <w:tabs>
          <w:tab w:val="left" w:pos="720"/>
          <w:tab w:val="left" w:pos="3690"/>
        </w:tabs>
        <w:spacing w:after="0" w:line="240" w:lineRule="auto"/>
        <w:ind w:left="720" w:hanging="720"/>
        <w:rPr>
          <w:rFonts w:ascii="Times New Roman" w:hAnsi="Times New Roman" w:cs="Times New Roman"/>
          <w:b/>
          <w:bCs/>
          <w:sz w:val="24"/>
          <w:szCs w:val="24"/>
        </w:rPr>
      </w:pPr>
    </w:p>
    <w:p w14:paraId="732FF699" w14:textId="60430004" w:rsidR="00797F5A" w:rsidRDefault="00797F5A" w:rsidP="00551A69">
      <w:pPr>
        <w:tabs>
          <w:tab w:val="left" w:pos="3690"/>
        </w:tabs>
        <w:spacing w:after="0" w:line="240" w:lineRule="auto"/>
        <w:rPr>
          <w:rFonts w:ascii="Times New Roman" w:hAnsi="Times New Roman" w:cs="Times New Roman"/>
          <w:bCs/>
          <w:sz w:val="24"/>
          <w:szCs w:val="24"/>
        </w:rPr>
      </w:pPr>
      <w:r w:rsidRPr="00797F5A">
        <w:rPr>
          <w:rFonts w:ascii="Times New Roman" w:hAnsi="Times New Roman" w:cs="Times New Roman"/>
          <w:bCs/>
          <w:sz w:val="24"/>
          <w:szCs w:val="24"/>
        </w:rPr>
        <w:t xml:space="preserve">This </w:t>
      </w:r>
      <w:r>
        <w:rPr>
          <w:rFonts w:ascii="Times New Roman" w:hAnsi="Times New Roman" w:cs="Times New Roman"/>
          <w:bCs/>
          <w:sz w:val="24"/>
          <w:szCs w:val="24"/>
        </w:rPr>
        <w:t xml:space="preserve">action </w:t>
      </w:r>
      <w:r w:rsidRPr="00797F5A">
        <w:rPr>
          <w:rFonts w:ascii="Times New Roman" w:hAnsi="Times New Roman" w:cs="Times New Roman"/>
          <w:bCs/>
          <w:sz w:val="24"/>
          <w:szCs w:val="24"/>
        </w:rPr>
        <w:t xml:space="preserve">would establish a production threshold for placement in the partial observer coverage category of average weekly groundfish production of 79,000 </w:t>
      </w:r>
      <w:proofErr w:type="spellStart"/>
      <w:r w:rsidRPr="00797F5A">
        <w:rPr>
          <w:rFonts w:ascii="Times New Roman" w:hAnsi="Times New Roman" w:cs="Times New Roman"/>
          <w:bCs/>
          <w:sz w:val="24"/>
          <w:szCs w:val="24"/>
        </w:rPr>
        <w:t>lb</w:t>
      </w:r>
      <w:proofErr w:type="spellEnd"/>
      <w:r w:rsidRPr="00797F5A">
        <w:rPr>
          <w:rFonts w:ascii="Times New Roman" w:hAnsi="Times New Roman" w:cs="Times New Roman"/>
          <w:bCs/>
          <w:sz w:val="24"/>
          <w:szCs w:val="24"/>
        </w:rPr>
        <w:t xml:space="preserve"> (35.8 </w:t>
      </w:r>
      <w:proofErr w:type="spellStart"/>
      <w:r w:rsidRPr="00797F5A">
        <w:rPr>
          <w:rFonts w:ascii="Times New Roman" w:hAnsi="Times New Roman" w:cs="Times New Roman"/>
          <w:bCs/>
          <w:sz w:val="24"/>
          <w:szCs w:val="24"/>
        </w:rPr>
        <w:t>mt</w:t>
      </w:r>
      <w:proofErr w:type="spellEnd"/>
      <w:r w:rsidRPr="00797F5A">
        <w:rPr>
          <w:rFonts w:ascii="Times New Roman" w:hAnsi="Times New Roman" w:cs="Times New Roman"/>
          <w:bCs/>
          <w:sz w:val="24"/>
          <w:szCs w:val="24"/>
        </w:rPr>
        <w:t xml:space="preserve">) or less in a standard basis year or an alternate basis year (as defined below).  </w:t>
      </w:r>
    </w:p>
    <w:p w14:paraId="1214518F" w14:textId="77777777" w:rsidR="00797F5A" w:rsidRDefault="00797F5A" w:rsidP="00551A69">
      <w:pPr>
        <w:tabs>
          <w:tab w:val="left" w:pos="3690"/>
        </w:tabs>
        <w:spacing w:after="0" w:line="240" w:lineRule="auto"/>
        <w:rPr>
          <w:rFonts w:ascii="Times New Roman" w:hAnsi="Times New Roman" w:cs="Times New Roman"/>
          <w:bCs/>
          <w:sz w:val="24"/>
          <w:szCs w:val="24"/>
        </w:rPr>
      </w:pPr>
    </w:p>
    <w:p w14:paraId="734D73E7" w14:textId="6BBE4352" w:rsidR="00551A69" w:rsidRDefault="003A079A"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action would potentially add </w:t>
      </w:r>
      <w:r w:rsidR="007C164D" w:rsidRPr="007C164D">
        <w:rPr>
          <w:rFonts w:ascii="Times New Roman" w:hAnsi="Times New Roman" w:cs="Times New Roman"/>
          <w:bCs/>
          <w:sz w:val="24"/>
          <w:szCs w:val="24"/>
        </w:rPr>
        <w:t>up to 11 vessels in the partial observer coverage category</w:t>
      </w:r>
      <w:r w:rsidR="00460BC8">
        <w:rPr>
          <w:rFonts w:ascii="Times New Roman" w:hAnsi="Times New Roman" w:cs="Times New Roman"/>
          <w:bCs/>
          <w:sz w:val="24"/>
          <w:szCs w:val="24"/>
        </w:rPr>
        <w:t xml:space="preserve">.  </w:t>
      </w:r>
      <w:r w:rsidR="00460BC8" w:rsidRPr="00460BC8">
        <w:rPr>
          <w:rFonts w:ascii="Times New Roman" w:hAnsi="Times New Roman" w:cs="Times New Roman"/>
          <w:bCs/>
          <w:sz w:val="24"/>
          <w:szCs w:val="24"/>
        </w:rPr>
        <w:t xml:space="preserve">The catcher/processors eligible for partial coverage under this </w:t>
      </w:r>
      <w:r w:rsidR="00460BC8">
        <w:rPr>
          <w:rFonts w:ascii="Times New Roman" w:hAnsi="Times New Roman" w:cs="Times New Roman"/>
          <w:bCs/>
          <w:sz w:val="24"/>
          <w:szCs w:val="24"/>
        </w:rPr>
        <w:t xml:space="preserve">action </w:t>
      </w:r>
      <w:r w:rsidR="00460BC8" w:rsidRPr="00460BC8">
        <w:rPr>
          <w:rFonts w:ascii="Times New Roman" w:hAnsi="Times New Roman" w:cs="Times New Roman"/>
          <w:bCs/>
          <w:sz w:val="24"/>
          <w:szCs w:val="24"/>
        </w:rPr>
        <w:t>are engaged primarily in the hook-and-line and Pacific cod and sablefish fisheries</w:t>
      </w:r>
      <w:r w:rsidR="00B825FF">
        <w:rPr>
          <w:rFonts w:ascii="Times New Roman" w:hAnsi="Times New Roman" w:cs="Times New Roman"/>
          <w:bCs/>
          <w:sz w:val="24"/>
          <w:szCs w:val="24"/>
        </w:rPr>
        <w:t xml:space="preserve">; these </w:t>
      </w:r>
      <w:r w:rsidR="00551A69" w:rsidRPr="00551A69">
        <w:rPr>
          <w:rFonts w:ascii="Times New Roman" w:hAnsi="Times New Roman" w:cs="Times New Roman"/>
          <w:bCs/>
          <w:sz w:val="24"/>
          <w:szCs w:val="24"/>
        </w:rPr>
        <w:t>vessels may be sep</w:t>
      </w:r>
      <w:r>
        <w:rPr>
          <w:rFonts w:ascii="Times New Roman" w:hAnsi="Times New Roman" w:cs="Times New Roman"/>
          <w:bCs/>
          <w:sz w:val="24"/>
          <w:szCs w:val="24"/>
        </w:rPr>
        <w:t>arated into four groups</w:t>
      </w:r>
      <w:r w:rsidR="00460BC8">
        <w:rPr>
          <w:rFonts w:ascii="Times New Roman" w:hAnsi="Times New Roman" w:cs="Times New Roman"/>
          <w:bCs/>
          <w:sz w:val="24"/>
          <w:szCs w:val="24"/>
        </w:rPr>
        <w:t>, as listed below</w:t>
      </w:r>
      <w:r w:rsidR="00551A69">
        <w:rPr>
          <w:rFonts w:ascii="Times New Roman" w:hAnsi="Times New Roman" w:cs="Times New Roman"/>
          <w:bCs/>
          <w:sz w:val="24"/>
          <w:szCs w:val="24"/>
        </w:rPr>
        <w:t>.</w:t>
      </w:r>
      <w:r w:rsidR="00460BC8">
        <w:rPr>
          <w:rFonts w:ascii="Times New Roman" w:hAnsi="Times New Roman" w:cs="Times New Roman"/>
          <w:bCs/>
          <w:sz w:val="24"/>
          <w:szCs w:val="24"/>
        </w:rPr>
        <w:t xml:space="preserve"> </w:t>
      </w:r>
    </w:p>
    <w:p w14:paraId="2E0C682F" w14:textId="77777777" w:rsidR="008D590A" w:rsidRDefault="008D590A" w:rsidP="00551A69">
      <w:pPr>
        <w:tabs>
          <w:tab w:val="left" w:pos="3690"/>
        </w:tabs>
        <w:spacing w:after="0" w:line="240" w:lineRule="auto"/>
        <w:rPr>
          <w:rFonts w:ascii="Times New Roman" w:hAnsi="Times New Roman" w:cs="Times New Roman"/>
          <w:bCs/>
          <w:sz w:val="24"/>
          <w:szCs w:val="24"/>
        </w:rPr>
      </w:pPr>
    </w:p>
    <w:tbl>
      <w:tblPr>
        <w:tblStyle w:val="TableGrid"/>
        <w:tblW w:w="0" w:type="auto"/>
        <w:jc w:val="center"/>
        <w:tblInd w:w="113" w:type="dxa"/>
        <w:tblLook w:val="04A0" w:firstRow="1" w:lastRow="0" w:firstColumn="1" w:lastColumn="0" w:noHBand="0" w:noVBand="1"/>
      </w:tblPr>
      <w:tblGrid>
        <w:gridCol w:w="1577"/>
        <w:gridCol w:w="6797"/>
      </w:tblGrid>
      <w:tr w:rsidR="008D590A" w14:paraId="1C6347A6" w14:textId="77777777" w:rsidTr="00797F5A">
        <w:trPr>
          <w:jc w:val="center"/>
        </w:trPr>
        <w:tc>
          <w:tcPr>
            <w:tcW w:w="1577" w:type="dxa"/>
          </w:tcPr>
          <w:p w14:paraId="12DD3B48" w14:textId="64EC505D" w:rsidR="008D590A" w:rsidRDefault="003A079A" w:rsidP="003A079A">
            <w:pPr>
              <w:tabs>
                <w:tab w:val="left" w:pos="3690"/>
              </w:tabs>
              <w:rPr>
                <w:rFonts w:ascii="Times New Roman" w:hAnsi="Times New Roman" w:cs="Times New Roman"/>
                <w:bCs/>
                <w:sz w:val="24"/>
                <w:szCs w:val="24"/>
              </w:rPr>
            </w:pPr>
            <w:r>
              <w:rPr>
                <w:rFonts w:ascii="Times New Roman" w:hAnsi="Times New Roman" w:cs="Times New Roman"/>
                <w:bCs/>
                <w:sz w:val="24"/>
                <w:szCs w:val="24"/>
              </w:rPr>
              <w:t xml:space="preserve">First group </w:t>
            </w:r>
          </w:p>
        </w:tc>
        <w:tc>
          <w:tcPr>
            <w:tcW w:w="6797" w:type="dxa"/>
          </w:tcPr>
          <w:p w14:paraId="4C3806A2" w14:textId="699039A5" w:rsidR="008D590A" w:rsidRDefault="007C164D" w:rsidP="00551A69">
            <w:pPr>
              <w:tabs>
                <w:tab w:val="left" w:pos="3690"/>
              </w:tabs>
              <w:rPr>
                <w:rFonts w:ascii="Times New Roman" w:hAnsi="Times New Roman" w:cs="Times New Roman"/>
                <w:bCs/>
                <w:sz w:val="24"/>
                <w:szCs w:val="24"/>
              </w:rPr>
            </w:pPr>
            <w:proofErr w:type="gramStart"/>
            <w:r w:rsidRPr="007C164D">
              <w:rPr>
                <w:rFonts w:ascii="Times New Roman" w:hAnsi="Times New Roman" w:cs="Times New Roman"/>
                <w:bCs/>
                <w:sz w:val="24"/>
                <w:szCs w:val="24"/>
              </w:rPr>
              <w:t>three</w:t>
            </w:r>
            <w:proofErr w:type="gramEnd"/>
            <w:r w:rsidRPr="007C164D">
              <w:rPr>
                <w:rFonts w:ascii="Times New Roman" w:hAnsi="Times New Roman" w:cs="Times New Roman"/>
                <w:bCs/>
                <w:sz w:val="24"/>
                <w:szCs w:val="24"/>
              </w:rPr>
              <w:t xml:space="preserve"> catcher/processors that currently qualify for placement in the partial observer coverage category under the existing program rules.</w:t>
            </w:r>
          </w:p>
        </w:tc>
      </w:tr>
      <w:tr w:rsidR="008D590A" w14:paraId="6B7599FF" w14:textId="77777777" w:rsidTr="00797F5A">
        <w:trPr>
          <w:jc w:val="center"/>
        </w:trPr>
        <w:tc>
          <w:tcPr>
            <w:tcW w:w="1577" w:type="dxa"/>
          </w:tcPr>
          <w:p w14:paraId="27C07A22" w14:textId="17BAAA99" w:rsidR="008D590A" w:rsidRDefault="003A079A"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S</w:t>
            </w:r>
            <w:r w:rsidR="007C164D" w:rsidRPr="007C164D">
              <w:rPr>
                <w:rFonts w:ascii="Times New Roman" w:hAnsi="Times New Roman" w:cs="Times New Roman"/>
                <w:bCs/>
                <w:sz w:val="24"/>
                <w:szCs w:val="24"/>
              </w:rPr>
              <w:t>econd group</w:t>
            </w:r>
          </w:p>
        </w:tc>
        <w:tc>
          <w:tcPr>
            <w:tcW w:w="6797" w:type="dxa"/>
          </w:tcPr>
          <w:p w14:paraId="1E1A2120" w14:textId="1147E8FE" w:rsidR="008D590A" w:rsidRDefault="007C164D" w:rsidP="00551A69">
            <w:pPr>
              <w:tabs>
                <w:tab w:val="left" w:pos="3690"/>
              </w:tabs>
              <w:rPr>
                <w:rFonts w:ascii="Times New Roman" w:hAnsi="Times New Roman" w:cs="Times New Roman"/>
                <w:bCs/>
                <w:sz w:val="24"/>
                <w:szCs w:val="24"/>
              </w:rPr>
            </w:pPr>
            <w:proofErr w:type="gramStart"/>
            <w:r w:rsidRPr="00551A69">
              <w:rPr>
                <w:rFonts w:ascii="Times New Roman" w:hAnsi="Times New Roman" w:cs="Times New Roman"/>
                <w:bCs/>
                <w:sz w:val="24"/>
                <w:szCs w:val="24"/>
              </w:rPr>
              <w:t>three</w:t>
            </w:r>
            <w:proofErr w:type="gramEnd"/>
            <w:r w:rsidRPr="00551A69">
              <w:rPr>
                <w:rFonts w:ascii="Times New Roman" w:hAnsi="Times New Roman" w:cs="Times New Roman"/>
                <w:bCs/>
                <w:sz w:val="24"/>
                <w:szCs w:val="24"/>
              </w:rPr>
              <w:t xml:space="preserve"> catcher/processors that currently operate as catcher/</w:t>
            </w:r>
            <w:r w:rsidR="003A079A">
              <w:rPr>
                <w:rFonts w:ascii="Times New Roman" w:hAnsi="Times New Roman" w:cs="Times New Roman"/>
                <w:bCs/>
                <w:sz w:val="24"/>
                <w:szCs w:val="24"/>
              </w:rPr>
              <w:t xml:space="preserve"> </w:t>
            </w:r>
            <w:r w:rsidRPr="00551A69">
              <w:rPr>
                <w:rFonts w:ascii="Times New Roman" w:hAnsi="Times New Roman" w:cs="Times New Roman"/>
                <w:bCs/>
                <w:sz w:val="24"/>
                <w:szCs w:val="24"/>
              </w:rPr>
              <w:t xml:space="preserve">processors and are in the full observer coverage category, but that may be eligible to operate in the partial observer coverage category as a result of this </w:t>
            </w:r>
            <w:r>
              <w:rPr>
                <w:rFonts w:ascii="Times New Roman" w:hAnsi="Times New Roman" w:cs="Times New Roman"/>
                <w:bCs/>
                <w:sz w:val="24"/>
                <w:szCs w:val="24"/>
              </w:rPr>
              <w:t>action</w:t>
            </w:r>
            <w:r w:rsidRPr="00551A69">
              <w:rPr>
                <w:rFonts w:ascii="Times New Roman" w:hAnsi="Times New Roman" w:cs="Times New Roman"/>
                <w:bCs/>
                <w:sz w:val="24"/>
                <w:szCs w:val="24"/>
              </w:rPr>
              <w:t xml:space="preserve">.  </w:t>
            </w:r>
          </w:p>
        </w:tc>
      </w:tr>
      <w:tr w:rsidR="008D590A" w14:paraId="5DCED8E2" w14:textId="77777777" w:rsidTr="00797F5A">
        <w:trPr>
          <w:jc w:val="center"/>
        </w:trPr>
        <w:tc>
          <w:tcPr>
            <w:tcW w:w="1577" w:type="dxa"/>
          </w:tcPr>
          <w:p w14:paraId="19A1AF85" w14:textId="10E2A851" w:rsidR="008D590A" w:rsidRDefault="003A079A"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T</w:t>
            </w:r>
            <w:r w:rsidR="00B825FF" w:rsidRPr="00B825FF">
              <w:rPr>
                <w:rFonts w:ascii="Times New Roman" w:hAnsi="Times New Roman" w:cs="Times New Roman"/>
                <w:bCs/>
                <w:sz w:val="24"/>
                <w:szCs w:val="24"/>
              </w:rPr>
              <w:t>hird group</w:t>
            </w:r>
          </w:p>
        </w:tc>
        <w:tc>
          <w:tcPr>
            <w:tcW w:w="6797" w:type="dxa"/>
          </w:tcPr>
          <w:p w14:paraId="6AD739BC" w14:textId="09558968" w:rsidR="008D590A" w:rsidRDefault="00B825FF" w:rsidP="003800A4">
            <w:pPr>
              <w:tabs>
                <w:tab w:val="left" w:pos="3690"/>
              </w:tabs>
              <w:rPr>
                <w:rFonts w:ascii="Times New Roman" w:hAnsi="Times New Roman" w:cs="Times New Roman"/>
                <w:bCs/>
                <w:sz w:val="24"/>
                <w:szCs w:val="24"/>
              </w:rPr>
            </w:pPr>
            <w:proofErr w:type="gramStart"/>
            <w:r w:rsidRPr="00B825FF">
              <w:rPr>
                <w:rFonts w:ascii="Times New Roman" w:hAnsi="Times New Roman" w:cs="Times New Roman"/>
                <w:bCs/>
                <w:sz w:val="24"/>
                <w:szCs w:val="24"/>
              </w:rPr>
              <w:t>catcher</w:t>
            </w:r>
            <w:proofErr w:type="gramEnd"/>
            <w:r w:rsidRPr="00B825FF">
              <w:rPr>
                <w:rFonts w:ascii="Times New Roman" w:hAnsi="Times New Roman" w:cs="Times New Roman"/>
                <w:bCs/>
                <w:sz w:val="24"/>
                <w:szCs w:val="24"/>
              </w:rPr>
              <w:t xml:space="preserve"> vessel that may begin to operate as </w:t>
            </w:r>
            <w:r w:rsidR="003800A4">
              <w:rPr>
                <w:rFonts w:ascii="Times New Roman" w:hAnsi="Times New Roman" w:cs="Times New Roman"/>
                <w:bCs/>
                <w:sz w:val="24"/>
                <w:szCs w:val="24"/>
              </w:rPr>
              <w:t xml:space="preserve">a </w:t>
            </w:r>
            <w:r w:rsidRPr="00B825FF">
              <w:rPr>
                <w:rFonts w:ascii="Times New Roman" w:hAnsi="Times New Roman" w:cs="Times New Roman"/>
                <w:bCs/>
                <w:sz w:val="24"/>
                <w:szCs w:val="24"/>
              </w:rPr>
              <w:t>catcher/processer if this action is taken.</w:t>
            </w:r>
          </w:p>
        </w:tc>
      </w:tr>
      <w:tr w:rsidR="008D590A" w14:paraId="2C9B9BC9" w14:textId="77777777" w:rsidTr="00797F5A">
        <w:trPr>
          <w:jc w:val="center"/>
        </w:trPr>
        <w:tc>
          <w:tcPr>
            <w:tcW w:w="1577" w:type="dxa"/>
          </w:tcPr>
          <w:p w14:paraId="63632C0B" w14:textId="06762080" w:rsidR="008D590A" w:rsidRDefault="003800A4" w:rsidP="003800A4">
            <w:pPr>
              <w:tabs>
                <w:tab w:val="left" w:pos="3690"/>
              </w:tabs>
              <w:rPr>
                <w:rFonts w:ascii="Times New Roman" w:hAnsi="Times New Roman" w:cs="Times New Roman"/>
                <w:bCs/>
                <w:sz w:val="24"/>
                <w:szCs w:val="24"/>
              </w:rPr>
            </w:pPr>
            <w:r>
              <w:rPr>
                <w:rFonts w:ascii="Times New Roman" w:hAnsi="Times New Roman" w:cs="Times New Roman"/>
                <w:bCs/>
                <w:sz w:val="24"/>
                <w:szCs w:val="24"/>
              </w:rPr>
              <w:t>F</w:t>
            </w:r>
            <w:r w:rsidR="00B825FF">
              <w:rPr>
                <w:rFonts w:ascii="Times New Roman" w:hAnsi="Times New Roman" w:cs="Times New Roman"/>
                <w:bCs/>
                <w:sz w:val="24"/>
                <w:szCs w:val="24"/>
              </w:rPr>
              <w:t>ourth group</w:t>
            </w:r>
          </w:p>
        </w:tc>
        <w:tc>
          <w:tcPr>
            <w:tcW w:w="6797" w:type="dxa"/>
          </w:tcPr>
          <w:p w14:paraId="3D6D7CA3" w14:textId="3CFF1710" w:rsidR="003800A4" w:rsidRDefault="00B825FF" w:rsidP="00551A69">
            <w:pPr>
              <w:tabs>
                <w:tab w:val="left" w:pos="3690"/>
              </w:tabs>
              <w:rPr>
                <w:rFonts w:ascii="Times New Roman" w:hAnsi="Times New Roman" w:cs="Times New Roman"/>
                <w:bCs/>
                <w:sz w:val="24"/>
                <w:szCs w:val="24"/>
              </w:rPr>
            </w:pPr>
            <w:proofErr w:type="gramStart"/>
            <w:r w:rsidRPr="00B825FF">
              <w:rPr>
                <w:rFonts w:ascii="Times New Roman" w:hAnsi="Times New Roman" w:cs="Times New Roman"/>
                <w:bCs/>
                <w:sz w:val="24"/>
                <w:szCs w:val="24"/>
              </w:rPr>
              <w:t>at</w:t>
            </w:r>
            <w:proofErr w:type="gramEnd"/>
            <w:r w:rsidRPr="00B825FF">
              <w:rPr>
                <w:rFonts w:ascii="Times New Roman" w:hAnsi="Times New Roman" w:cs="Times New Roman"/>
                <w:bCs/>
                <w:sz w:val="24"/>
                <w:szCs w:val="24"/>
              </w:rPr>
              <w:t xml:space="preserve"> least one jig </w:t>
            </w:r>
            <w:r w:rsidR="003800A4">
              <w:rPr>
                <w:rFonts w:ascii="Times New Roman" w:hAnsi="Times New Roman" w:cs="Times New Roman"/>
                <w:bCs/>
                <w:sz w:val="24"/>
                <w:szCs w:val="24"/>
              </w:rPr>
              <w:t xml:space="preserve">catcher </w:t>
            </w:r>
            <w:r w:rsidRPr="00B825FF">
              <w:rPr>
                <w:rFonts w:ascii="Times New Roman" w:hAnsi="Times New Roman" w:cs="Times New Roman"/>
                <w:bCs/>
                <w:sz w:val="24"/>
                <w:szCs w:val="24"/>
              </w:rPr>
              <w:t xml:space="preserve">vessel may begin catcher/processor operations using jig gear if that vessel </w:t>
            </w:r>
            <w:r w:rsidR="006F444B">
              <w:rPr>
                <w:rFonts w:ascii="Times New Roman" w:hAnsi="Times New Roman" w:cs="Times New Roman"/>
                <w:bCs/>
                <w:sz w:val="24"/>
                <w:szCs w:val="24"/>
              </w:rPr>
              <w:t xml:space="preserve">is </w:t>
            </w:r>
            <w:r w:rsidRPr="00B825FF">
              <w:rPr>
                <w:rFonts w:ascii="Times New Roman" w:hAnsi="Times New Roman" w:cs="Times New Roman"/>
                <w:bCs/>
                <w:sz w:val="24"/>
                <w:szCs w:val="24"/>
              </w:rPr>
              <w:t>eligible for placement in the partial observer coverage category.</w:t>
            </w:r>
            <w:r w:rsidR="00A112B4">
              <w:rPr>
                <w:rFonts w:ascii="Times New Roman" w:hAnsi="Times New Roman" w:cs="Times New Roman"/>
                <w:bCs/>
                <w:sz w:val="24"/>
                <w:szCs w:val="24"/>
              </w:rPr>
              <w:t xml:space="preserve"> </w:t>
            </w:r>
          </w:p>
          <w:p w14:paraId="7487415C" w14:textId="214598F9" w:rsidR="00E21965" w:rsidRDefault="003800A4"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F</w:t>
            </w:r>
            <w:r w:rsidRPr="00A112B4">
              <w:rPr>
                <w:rFonts w:ascii="Times New Roman" w:hAnsi="Times New Roman" w:cs="Times New Roman"/>
                <w:bCs/>
                <w:sz w:val="24"/>
                <w:szCs w:val="24"/>
              </w:rPr>
              <w:t xml:space="preserve">our vessels could operate as catcher/processors for sablefish.  </w:t>
            </w:r>
            <w:r w:rsidR="00A112B4">
              <w:rPr>
                <w:rFonts w:ascii="Times New Roman" w:hAnsi="Times New Roman" w:cs="Times New Roman"/>
                <w:bCs/>
                <w:sz w:val="24"/>
                <w:szCs w:val="24"/>
              </w:rPr>
              <w:t xml:space="preserve"> </w:t>
            </w:r>
          </w:p>
          <w:p w14:paraId="6E9D88F2" w14:textId="11D542B9" w:rsidR="008D590A" w:rsidRDefault="00A112B4" w:rsidP="003800A4">
            <w:pPr>
              <w:tabs>
                <w:tab w:val="left" w:pos="3690"/>
              </w:tabs>
              <w:rPr>
                <w:rFonts w:ascii="Times New Roman" w:hAnsi="Times New Roman" w:cs="Times New Roman"/>
                <w:bCs/>
                <w:sz w:val="24"/>
                <w:szCs w:val="24"/>
              </w:rPr>
            </w:pPr>
            <w:r w:rsidRPr="00A112B4">
              <w:rPr>
                <w:rFonts w:ascii="Times New Roman" w:hAnsi="Times New Roman" w:cs="Times New Roman"/>
                <w:bCs/>
                <w:sz w:val="24"/>
                <w:szCs w:val="24"/>
              </w:rPr>
              <w:t xml:space="preserve">Fishing operations using sablefish “A” quota shares in the Aleutian Islands may begin processing at-sea and operating as catcher/processors in the Aleutian Islands, if those vessels are eligible for placement in the partial observer coverage category </w:t>
            </w:r>
          </w:p>
        </w:tc>
      </w:tr>
    </w:tbl>
    <w:p w14:paraId="0C6ECBB5" w14:textId="77777777" w:rsidR="00551A69" w:rsidRDefault="00551A69" w:rsidP="00551A69">
      <w:pPr>
        <w:tabs>
          <w:tab w:val="left" w:pos="3690"/>
        </w:tabs>
        <w:spacing w:after="0" w:line="240" w:lineRule="auto"/>
        <w:rPr>
          <w:rFonts w:ascii="Times New Roman" w:hAnsi="Times New Roman" w:cs="Times New Roman"/>
          <w:bCs/>
          <w:sz w:val="24"/>
          <w:szCs w:val="24"/>
        </w:rPr>
      </w:pPr>
    </w:p>
    <w:p w14:paraId="10C05341" w14:textId="3CA40D5B" w:rsidR="00460BC8" w:rsidRDefault="00460BC8"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B</w:t>
      </w:r>
      <w:r w:rsidRPr="00460BC8">
        <w:rPr>
          <w:rFonts w:ascii="Times New Roman" w:hAnsi="Times New Roman" w:cs="Times New Roman"/>
          <w:bCs/>
          <w:sz w:val="24"/>
          <w:szCs w:val="24"/>
        </w:rPr>
        <w:t>ecause there is not adequate time to compile and assess all of the</w:t>
      </w:r>
      <w:r w:rsidR="004C4233">
        <w:rPr>
          <w:rFonts w:ascii="Times New Roman" w:hAnsi="Times New Roman" w:cs="Times New Roman"/>
          <w:bCs/>
          <w:sz w:val="24"/>
          <w:szCs w:val="24"/>
        </w:rPr>
        <w:t xml:space="preserve"> production data relative to</w:t>
      </w:r>
      <w:r w:rsidRPr="00460BC8">
        <w:rPr>
          <w:rFonts w:ascii="Times New Roman" w:hAnsi="Times New Roman" w:cs="Times New Roman"/>
          <w:bCs/>
          <w:sz w:val="24"/>
          <w:szCs w:val="24"/>
        </w:rPr>
        <w:t xml:space="preserve"> production thresholds</w:t>
      </w:r>
      <w:r w:rsidR="004C4233">
        <w:rPr>
          <w:rFonts w:ascii="Times New Roman" w:hAnsi="Times New Roman" w:cs="Times New Roman"/>
          <w:bCs/>
          <w:sz w:val="24"/>
          <w:szCs w:val="24"/>
        </w:rPr>
        <w:t xml:space="preserve">, </w:t>
      </w:r>
      <w:r w:rsidRPr="00460BC8">
        <w:rPr>
          <w:rFonts w:ascii="Times New Roman" w:hAnsi="Times New Roman" w:cs="Times New Roman"/>
          <w:bCs/>
          <w:sz w:val="24"/>
          <w:szCs w:val="24"/>
        </w:rPr>
        <w:t xml:space="preserve">the fishing year minus two years </w:t>
      </w:r>
      <w:r w:rsidR="004C4233">
        <w:rPr>
          <w:rFonts w:ascii="Times New Roman" w:hAnsi="Times New Roman" w:cs="Times New Roman"/>
          <w:bCs/>
          <w:sz w:val="24"/>
          <w:szCs w:val="24"/>
        </w:rPr>
        <w:t xml:space="preserve">is assigned </w:t>
      </w:r>
      <w:r w:rsidRPr="00460BC8">
        <w:rPr>
          <w:rFonts w:ascii="Times New Roman" w:hAnsi="Times New Roman" w:cs="Times New Roman"/>
          <w:bCs/>
          <w:sz w:val="24"/>
          <w:szCs w:val="24"/>
        </w:rPr>
        <w:t xml:space="preserve">as the standard basis year for determining whether a catcher/processor </w:t>
      </w:r>
      <w:r w:rsidR="004C4233">
        <w:rPr>
          <w:rFonts w:ascii="Times New Roman" w:hAnsi="Times New Roman" w:cs="Times New Roman"/>
          <w:bCs/>
          <w:sz w:val="24"/>
          <w:szCs w:val="24"/>
        </w:rPr>
        <w:t>i</w:t>
      </w:r>
      <w:r w:rsidRPr="00460BC8">
        <w:rPr>
          <w:rFonts w:ascii="Times New Roman" w:hAnsi="Times New Roman" w:cs="Times New Roman"/>
          <w:bCs/>
          <w:sz w:val="24"/>
          <w:szCs w:val="24"/>
        </w:rPr>
        <w:t xml:space="preserve">s eligible for placement in the partial observer coverage category, as it is the most recent year for which NMFS would have full production data.  </w:t>
      </w:r>
      <w:r w:rsidR="004C4233" w:rsidRPr="004C4233">
        <w:rPr>
          <w:rFonts w:ascii="Times New Roman" w:hAnsi="Times New Roman" w:cs="Times New Roman"/>
          <w:bCs/>
          <w:sz w:val="24"/>
          <w:szCs w:val="24"/>
        </w:rPr>
        <w:t xml:space="preserve">Therefore, </w:t>
      </w:r>
      <w:r w:rsidR="005B29D1">
        <w:rPr>
          <w:rFonts w:ascii="Times New Roman" w:hAnsi="Times New Roman" w:cs="Times New Roman"/>
          <w:bCs/>
          <w:sz w:val="24"/>
          <w:szCs w:val="24"/>
        </w:rPr>
        <w:t xml:space="preserve">NMFS </w:t>
      </w:r>
      <w:r w:rsidR="004C4233" w:rsidRPr="004C4233">
        <w:rPr>
          <w:rFonts w:ascii="Times New Roman" w:hAnsi="Times New Roman" w:cs="Times New Roman"/>
          <w:bCs/>
          <w:sz w:val="24"/>
          <w:szCs w:val="24"/>
        </w:rPr>
        <w:t>w</w:t>
      </w:r>
      <w:r w:rsidR="005B29D1">
        <w:rPr>
          <w:rFonts w:ascii="Times New Roman" w:hAnsi="Times New Roman" w:cs="Times New Roman"/>
          <w:bCs/>
          <w:sz w:val="24"/>
          <w:szCs w:val="24"/>
        </w:rPr>
        <w:t xml:space="preserve">ill </w:t>
      </w:r>
      <w:r w:rsidR="004C4233" w:rsidRPr="004C4233">
        <w:rPr>
          <w:rFonts w:ascii="Times New Roman" w:hAnsi="Times New Roman" w:cs="Times New Roman"/>
          <w:bCs/>
          <w:sz w:val="24"/>
          <w:szCs w:val="24"/>
        </w:rPr>
        <w:t xml:space="preserve">establish the fishing year minus two years as the standard basis year for determining whether a catcher/processor </w:t>
      </w:r>
      <w:r w:rsidR="004C4233">
        <w:rPr>
          <w:rFonts w:ascii="Times New Roman" w:hAnsi="Times New Roman" w:cs="Times New Roman"/>
          <w:bCs/>
          <w:sz w:val="24"/>
          <w:szCs w:val="24"/>
        </w:rPr>
        <w:t>i</w:t>
      </w:r>
      <w:r w:rsidR="004C4233" w:rsidRPr="004C4233">
        <w:rPr>
          <w:rFonts w:ascii="Times New Roman" w:hAnsi="Times New Roman" w:cs="Times New Roman"/>
          <w:bCs/>
          <w:sz w:val="24"/>
          <w:szCs w:val="24"/>
        </w:rPr>
        <w:t xml:space="preserve">s eligible for placement in the partial observer coverage category, as it is the most recent year for which NMFS would have full production data.  </w:t>
      </w:r>
      <w:r w:rsidR="005B29D1">
        <w:rPr>
          <w:rFonts w:ascii="Times New Roman" w:hAnsi="Times New Roman" w:cs="Times New Roman"/>
          <w:bCs/>
          <w:sz w:val="24"/>
          <w:szCs w:val="24"/>
        </w:rPr>
        <w:t xml:space="preserve">NMFS will </w:t>
      </w:r>
      <w:r w:rsidR="005B29D1" w:rsidRPr="005B29D1">
        <w:rPr>
          <w:rFonts w:ascii="Times New Roman" w:hAnsi="Times New Roman" w:cs="Times New Roman"/>
          <w:bCs/>
          <w:sz w:val="24"/>
          <w:szCs w:val="24"/>
        </w:rPr>
        <w:t>not consider production data prior to 2009</w:t>
      </w:r>
      <w:r w:rsidR="00F47B37">
        <w:rPr>
          <w:rFonts w:ascii="Times New Roman" w:hAnsi="Times New Roman" w:cs="Times New Roman"/>
          <w:bCs/>
          <w:sz w:val="24"/>
          <w:szCs w:val="24"/>
        </w:rPr>
        <w:t>,</w:t>
      </w:r>
      <w:r w:rsidR="005B29D1" w:rsidRPr="005B29D1">
        <w:rPr>
          <w:rFonts w:ascii="Times New Roman" w:hAnsi="Times New Roman" w:cs="Times New Roman"/>
          <w:bCs/>
          <w:sz w:val="24"/>
          <w:szCs w:val="24"/>
        </w:rPr>
        <w:t xml:space="preserve"> because that is the first year that NMFS col</w:t>
      </w:r>
      <w:r w:rsidR="005B29D1">
        <w:rPr>
          <w:rFonts w:ascii="Times New Roman" w:hAnsi="Times New Roman" w:cs="Times New Roman"/>
          <w:bCs/>
          <w:sz w:val="24"/>
          <w:szCs w:val="24"/>
        </w:rPr>
        <w:t>lected daily production reports</w:t>
      </w:r>
      <w:r w:rsidR="005B29D1" w:rsidRPr="005B29D1">
        <w:rPr>
          <w:rFonts w:ascii="Times New Roman" w:hAnsi="Times New Roman" w:cs="Times New Roman"/>
          <w:bCs/>
          <w:sz w:val="24"/>
          <w:szCs w:val="24"/>
        </w:rPr>
        <w:t xml:space="preserve">, permitting calculation of average </w:t>
      </w:r>
      <w:r w:rsidR="005B29D1">
        <w:rPr>
          <w:rFonts w:ascii="Times New Roman" w:hAnsi="Times New Roman" w:cs="Times New Roman"/>
          <w:bCs/>
          <w:sz w:val="24"/>
          <w:szCs w:val="24"/>
        </w:rPr>
        <w:t>daily production.</w:t>
      </w:r>
    </w:p>
    <w:p w14:paraId="5641E489" w14:textId="77777777" w:rsidR="0033618A" w:rsidRDefault="0033618A" w:rsidP="00551A69">
      <w:pPr>
        <w:tabs>
          <w:tab w:val="left" w:pos="3690"/>
        </w:tabs>
        <w:spacing w:after="0" w:line="240" w:lineRule="auto"/>
        <w:rPr>
          <w:rFonts w:ascii="Times New Roman" w:hAnsi="Times New Roman" w:cs="Times New Roman"/>
          <w:bCs/>
          <w:sz w:val="24"/>
          <w:szCs w:val="24"/>
        </w:rPr>
      </w:pPr>
    </w:p>
    <w:p w14:paraId="38E941AC" w14:textId="01062336" w:rsidR="0033618A" w:rsidRDefault="00464608"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This action would p</w:t>
      </w:r>
      <w:r w:rsidR="0033618A" w:rsidRPr="0033618A">
        <w:rPr>
          <w:rFonts w:ascii="Times New Roman" w:hAnsi="Times New Roman" w:cs="Times New Roman"/>
          <w:bCs/>
          <w:sz w:val="24"/>
          <w:szCs w:val="24"/>
        </w:rPr>
        <w:t>rovid</w:t>
      </w:r>
      <w:r>
        <w:rPr>
          <w:rFonts w:ascii="Times New Roman" w:hAnsi="Times New Roman" w:cs="Times New Roman"/>
          <w:bCs/>
          <w:sz w:val="24"/>
          <w:szCs w:val="24"/>
        </w:rPr>
        <w:t>e</w:t>
      </w:r>
      <w:r w:rsidR="0033618A" w:rsidRPr="0033618A">
        <w:rPr>
          <w:rFonts w:ascii="Times New Roman" w:hAnsi="Times New Roman" w:cs="Times New Roman"/>
          <w:bCs/>
          <w:sz w:val="24"/>
          <w:szCs w:val="24"/>
        </w:rPr>
        <w:t xml:space="preserve"> the vessel owner </w:t>
      </w:r>
      <w:r>
        <w:rPr>
          <w:rFonts w:ascii="Times New Roman" w:hAnsi="Times New Roman" w:cs="Times New Roman"/>
          <w:bCs/>
          <w:sz w:val="24"/>
          <w:szCs w:val="24"/>
        </w:rPr>
        <w:t xml:space="preserve">of eligible catcher/processors </w:t>
      </w:r>
      <w:r w:rsidR="0033618A" w:rsidRPr="0033618A">
        <w:rPr>
          <w:rFonts w:ascii="Times New Roman" w:hAnsi="Times New Roman" w:cs="Times New Roman"/>
          <w:bCs/>
          <w:sz w:val="24"/>
          <w:szCs w:val="24"/>
        </w:rPr>
        <w:t>with the option to remain in the full observer coverage category</w:t>
      </w:r>
      <w:r>
        <w:rPr>
          <w:rFonts w:ascii="Times New Roman" w:hAnsi="Times New Roman" w:cs="Times New Roman"/>
          <w:bCs/>
          <w:sz w:val="24"/>
          <w:szCs w:val="24"/>
        </w:rPr>
        <w:t xml:space="preserve"> or </w:t>
      </w:r>
      <w:r w:rsidRPr="00464608">
        <w:rPr>
          <w:rFonts w:ascii="Times New Roman" w:hAnsi="Times New Roman" w:cs="Times New Roman"/>
          <w:bCs/>
          <w:sz w:val="24"/>
          <w:szCs w:val="24"/>
        </w:rPr>
        <w:t xml:space="preserve">to be placed in the partial observer coverage category for the upcoming fishing year.  </w:t>
      </w:r>
      <w:r w:rsidR="0033618A" w:rsidRPr="0033618A">
        <w:rPr>
          <w:rFonts w:ascii="Times New Roman" w:hAnsi="Times New Roman" w:cs="Times New Roman"/>
          <w:bCs/>
          <w:sz w:val="24"/>
          <w:szCs w:val="24"/>
        </w:rPr>
        <w:t xml:space="preserve">If the owner of a qualifying vessel does not select to be placed in the partial observer coverage category by the annual deadline, that catcher/processor would be placed in the full observer coverage category for the upcoming fishing year.  </w:t>
      </w:r>
      <w:proofErr w:type="gramStart"/>
      <w:r w:rsidR="00FC48E4">
        <w:rPr>
          <w:rFonts w:ascii="Times New Roman" w:hAnsi="Times New Roman" w:cs="Times New Roman"/>
          <w:bCs/>
          <w:sz w:val="24"/>
          <w:szCs w:val="24"/>
        </w:rPr>
        <w:t>(</w:t>
      </w:r>
      <w:r w:rsidR="00427AEA">
        <w:rPr>
          <w:rFonts w:ascii="Times New Roman" w:hAnsi="Times New Roman" w:cs="Times New Roman"/>
          <w:bCs/>
          <w:sz w:val="24"/>
          <w:szCs w:val="24"/>
        </w:rPr>
        <w:t>See OMB Control Number 0648-0318.)</w:t>
      </w:r>
      <w:proofErr w:type="gramEnd"/>
    </w:p>
    <w:p w14:paraId="07765264" w14:textId="77777777" w:rsidR="00360E83" w:rsidRPr="00910BCC" w:rsidRDefault="00360E83" w:rsidP="005B2F84">
      <w:pPr>
        <w:tabs>
          <w:tab w:val="left" w:pos="3690"/>
        </w:tabs>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lastRenderedPageBreak/>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14:paraId="61438125" w14:textId="77777777" w:rsidR="00360E83" w:rsidRDefault="00360E83" w:rsidP="00360E83">
      <w:pPr>
        <w:spacing w:after="0" w:line="240" w:lineRule="auto"/>
        <w:rPr>
          <w:rFonts w:ascii="Times New Roman" w:hAnsi="Times New Roman" w:cs="Times New Roman"/>
          <w:b/>
          <w:sz w:val="24"/>
          <w:szCs w:val="24"/>
        </w:rPr>
      </w:pPr>
    </w:p>
    <w:p w14:paraId="6A4DE843" w14:textId="42FD2270" w:rsidR="002031E6" w:rsidRDefault="002031E6" w:rsidP="006A5ED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  Cost</w:t>
      </w:r>
      <w:proofErr w:type="gramEnd"/>
      <w:r>
        <w:rPr>
          <w:rFonts w:ascii="Times New Roman" w:hAnsi="Times New Roman" w:cs="Times New Roman"/>
          <w:b/>
          <w:sz w:val="24"/>
          <w:szCs w:val="24"/>
        </w:rPr>
        <w:t xml:space="preserve"> recovery fee or Observer fee</w:t>
      </w:r>
      <w:r w:rsidR="0063496F">
        <w:rPr>
          <w:rFonts w:ascii="Times New Roman" w:hAnsi="Times New Roman" w:cs="Times New Roman"/>
          <w:b/>
          <w:sz w:val="24"/>
          <w:szCs w:val="24"/>
        </w:rPr>
        <w:t xml:space="preserve">  [REVISED]</w:t>
      </w:r>
    </w:p>
    <w:p w14:paraId="49D43CE3" w14:textId="77777777" w:rsidR="002031E6" w:rsidRDefault="002031E6" w:rsidP="006A5EDE">
      <w:pPr>
        <w:spacing w:after="0" w:line="240" w:lineRule="auto"/>
        <w:rPr>
          <w:rFonts w:ascii="Times New Roman" w:hAnsi="Times New Roman" w:cs="Times New Roman"/>
          <w:b/>
          <w:sz w:val="24"/>
          <w:szCs w:val="24"/>
        </w:rPr>
      </w:pPr>
    </w:p>
    <w:p w14:paraId="748B6E23" w14:textId="337804AA" w:rsidR="004C119C" w:rsidRDefault="00AD328B" w:rsidP="004C119C">
      <w:pPr>
        <w:spacing w:after="0" w:line="240" w:lineRule="auto"/>
        <w:rPr>
          <w:rFonts w:ascii="Times New Roman" w:hAnsi="Times New Roman" w:cs="Times New Roman"/>
          <w:sz w:val="24"/>
          <w:szCs w:val="24"/>
        </w:rPr>
      </w:pPr>
      <w:r>
        <w:rPr>
          <w:rFonts w:ascii="Times New Roman" w:hAnsi="Times New Roman" w:cs="Times New Roman"/>
          <w:sz w:val="24"/>
          <w:szCs w:val="24"/>
        </w:rPr>
        <w:t>NMFS established two fees, to be paid by participants:  th</w:t>
      </w:r>
      <w:r w:rsidR="00620082" w:rsidRPr="004F0EB3">
        <w:rPr>
          <w:rFonts w:ascii="Times New Roman" w:hAnsi="Times New Roman" w:cs="Times New Roman"/>
          <w:sz w:val="24"/>
          <w:szCs w:val="24"/>
        </w:rPr>
        <w:t xml:space="preserve">e cost recovery fee </w:t>
      </w:r>
      <w:r w:rsidR="00990FE4">
        <w:rPr>
          <w:rFonts w:ascii="Times New Roman" w:hAnsi="Times New Roman" w:cs="Times New Roman"/>
          <w:sz w:val="24"/>
          <w:szCs w:val="24"/>
        </w:rPr>
        <w:t xml:space="preserve">and </w:t>
      </w:r>
      <w:r w:rsidR="00620082" w:rsidRPr="004F0EB3">
        <w:rPr>
          <w:rFonts w:ascii="Times New Roman" w:hAnsi="Times New Roman" w:cs="Times New Roman"/>
          <w:sz w:val="24"/>
          <w:szCs w:val="24"/>
        </w:rPr>
        <w:t>the observer coverage fee</w:t>
      </w:r>
      <w:r w:rsidR="00CE4DBA">
        <w:rPr>
          <w:rFonts w:ascii="Times New Roman" w:hAnsi="Times New Roman" w:cs="Times New Roman"/>
          <w:sz w:val="24"/>
          <w:szCs w:val="24"/>
        </w:rPr>
        <w:t>.</w:t>
      </w:r>
      <w:r w:rsidR="00183ED5">
        <w:rPr>
          <w:rStyle w:val="Hyperlink"/>
          <w:rFonts w:ascii="Times New Roman" w:hAnsi="Times New Roman" w:cs="Times New Roman"/>
          <w:sz w:val="24"/>
          <w:szCs w:val="24"/>
        </w:rPr>
        <w:t xml:space="preserve"> </w:t>
      </w:r>
      <w:r w:rsidR="004C119C" w:rsidRPr="004C119C">
        <w:rPr>
          <w:rFonts w:ascii="Times New Roman" w:hAnsi="Times New Roman" w:cs="Times New Roman"/>
          <w:sz w:val="24"/>
          <w:szCs w:val="24"/>
        </w:rPr>
        <w:t>The observer fee is assessed on landings by vessels not in the full observer</w:t>
      </w:r>
      <w:r w:rsidR="004C119C">
        <w:rPr>
          <w:rFonts w:ascii="Times New Roman" w:hAnsi="Times New Roman" w:cs="Times New Roman"/>
          <w:sz w:val="24"/>
          <w:szCs w:val="24"/>
        </w:rPr>
        <w:t xml:space="preserve"> coverage category.</w:t>
      </w:r>
    </w:p>
    <w:p w14:paraId="5116BED3" w14:textId="77777777" w:rsidR="00D244C8" w:rsidRDefault="00D244C8" w:rsidP="00620082">
      <w:pPr>
        <w:spacing w:after="0" w:line="240" w:lineRule="auto"/>
        <w:rPr>
          <w:rFonts w:ascii="Times New Roman" w:hAnsi="Times New Roman" w:cs="Times New Roman"/>
          <w:sz w:val="24"/>
          <w:szCs w:val="24"/>
        </w:rPr>
      </w:pPr>
    </w:p>
    <w:p w14:paraId="49E563F6" w14:textId="0038B09C" w:rsidR="0023675A" w:rsidRPr="0023675A" w:rsidRDefault="0023675A" w:rsidP="00620082">
      <w:pPr>
        <w:spacing w:after="0" w:line="240" w:lineRule="auto"/>
        <w:rPr>
          <w:rFonts w:ascii="Times New Roman" w:hAnsi="Times New Roman" w:cs="Times New Roman"/>
          <w:sz w:val="24"/>
          <w:szCs w:val="24"/>
          <w:u w:val="single"/>
        </w:rPr>
      </w:pPr>
      <w:r w:rsidRPr="0023675A">
        <w:rPr>
          <w:rFonts w:ascii="Times New Roman" w:hAnsi="Times New Roman" w:cs="Times New Roman"/>
          <w:sz w:val="24"/>
          <w:szCs w:val="24"/>
          <w:u w:val="single"/>
        </w:rPr>
        <w:t>Observer coverage fee</w:t>
      </w:r>
    </w:p>
    <w:p w14:paraId="30EDDD9B" w14:textId="4143142E" w:rsidR="00655987" w:rsidRDefault="009B5058" w:rsidP="006559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observer coverage fee </w:t>
      </w:r>
      <w:r w:rsidR="0023675A">
        <w:rPr>
          <w:rFonts w:ascii="Times New Roman" w:hAnsi="Times New Roman" w:cs="Times New Roman"/>
          <w:sz w:val="24"/>
          <w:szCs w:val="24"/>
        </w:rPr>
        <w:t xml:space="preserve">must be </w:t>
      </w:r>
      <w:r>
        <w:rPr>
          <w:rFonts w:ascii="Times New Roman" w:hAnsi="Times New Roman" w:cs="Times New Roman"/>
          <w:sz w:val="24"/>
          <w:szCs w:val="24"/>
        </w:rPr>
        <w:t xml:space="preserve">paid </w:t>
      </w:r>
      <w:r w:rsidR="004A2113">
        <w:rPr>
          <w:rFonts w:ascii="Times New Roman" w:hAnsi="Times New Roman" w:cs="Times New Roman"/>
          <w:sz w:val="24"/>
          <w:szCs w:val="24"/>
        </w:rPr>
        <w:t>by permit h</w:t>
      </w:r>
      <w:r w:rsidR="004A2113" w:rsidRPr="00B63F14">
        <w:rPr>
          <w:rFonts w:ascii="Times New Roman" w:hAnsi="Times New Roman" w:cs="Times New Roman"/>
          <w:sz w:val="24"/>
          <w:szCs w:val="24"/>
        </w:rPr>
        <w:t>olders in the partial observer coverage category</w:t>
      </w:r>
      <w:r w:rsidR="004A2113">
        <w:rPr>
          <w:rFonts w:ascii="Times New Roman" w:hAnsi="Times New Roman" w:cs="Times New Roman"/>
          <w:sz w:val="24"/>
          <w:szCs w:val="24"/>
        </w:rPr>
        <w:t xml:space="preserve">, i.e. </w:t>
      </w:r>
      <w:r w:rsidR="004A2113" w:rsidRPr="00B63F14">
        <w:rPr>
          <w:rFonts w:ascii="Times New Roman" w:hAnsi="Times New Roman" w:cs="Times New Roman"/>
          <w:sz w:val="24"/>
          <w:szCs w:val="24"/>
        </w:rPr>
        <w:t>catcher vessels</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shoreside processor</w:t>
      </w:r>
      <w:r w:rsidR="004A2113">
        <w:rPr>
          <w:rFonts w:ascii="Times New Roman" w:hAnsi="Times New Roman" w:cs="Times New Roman"/>
          <w:sz w:val="24"/>
          <w:szCs w:val="24"/>
        </w:rPr>
        <w:t>s</w:t>
      </w:r>
      <w:r w:rsidR="004A2113" w:rsidRPr="002011DD">
        <w:rPr>
          <w:rFonts w:ascii="Times New Roman" w:hAnsi="Times New Roman" w:cs="Times New Roman"/>
          <w:sz w:val="24"/>
          <w:szCs w:val="24"/>
        </w:rPr>
        <w:t xml:space="preserve"> </w:t>
      </w:r>
      <w:r w:rsidR="004A2113">
        <w:rPr>
          <w:rFonts w:ascii="Times New Roman" w:hAnsi="Times New Roman" w:cs="Times New Roman"/>
          <w:sz w:val="24"/>
          <w:szCs w:val="24"/>
        </w:rPr>
        <w:t xml:space="preserve">and </w:t>
      </w:r>
      <w:r w:rsidR="004A2113" w:rsidRPr="002011DD">
        <w:rPr>
          <w:rFonts w:ascii="Times New Roman" w:hAnsi="Times New Roman" w:cs="Times New Roman"/>
          <w:sz w:val="24"/>
          <w:szCs w:val="24"/>
        </w:rPr>
        <w:t>stationary floating processor</w:t>
      </w:r>
      <w:r w:rsidR="004A2113">
        <w:rPr>
          <w:rFonts w:ascii="Times New Roman" w:hAnsi="Times New Roman" w:cs="Times New Roman"/>
          <w:sz w:val="24"/>
          <w:szCs w:val="24"/>
        </w:rPr>
        <w:t>s</w:t>
      </w:r>
      <w:r w:rsidR="004A2113" w:rsidRPr="002011DD">
        <w:rPr>
          <w:rFonts w:ascii="Times New Roman" w:hAnsi="Times New Roman" w:cs="Times New Roman"/>
          <w:sz w:val="24"/>
          <w:szCs w:val="24"/>
        </w:rPr>
        <w:t xml:space="preserve"> named on a</w:t>
      </w:r>
      <w:r w:rsidR="004C119C">
        <w:rPr>
          <w:rFonts w:ascii="Times New Roman" w:hAnsi="Times New Roman" w:cs="Times New Roman"/>
          <w:sz w:val="24"/>
          <w:szCs w:val="24"/>
        </w:rPr>
        <w:t>n</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FPP</w:t>
      </w:r>
      <w:r w:rsidR="00655987">
        <w:rPr>
          <w:rFonts w:ascii="Times New Roman" w:hAnsi="Times New Roman" w:cs="Times New Roman"/>
          <w:sz w:val="24"/>
          <w:szCs w:val="24"/>
        </w:rPr>
        <w:t>,</w:t>
      </w:r>
      <w:r w:rsidR="00CE4DBA">
        <w:rPr>
          <w:rFonts w:ascii="Times New Roman" w:hAnsi="Times New Roman" w:cs="Times New Roman"/>
          <w:sz w:val="24"/>
          <w:szCs w:val="24"/>
        </w:rPr>
        <w:t xml:space="preserve"> or </w:t>
      </w:r>
      <w:r w:rsidR="004A2113" w:rsidRPr="002011DD">
        <w:rPr>
          <w:rFonts w:ascii="Times New Roman" w:hAnsi="Times New Roman" w:cs="Times New Roman"/>
          <w:sz w:val="24"/>
          <w:szCs w:val="24"/>
        </w:rPr>
        <w:t>a person named on a</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Registered Buyer permit</w:t>
      </w:r>
      <w:r w:rsidR="004A2113">
        <w:rPr>
          <w:rFonts w:ascii="Times New Roman" w:hAnsi="Times New Roman" w:cs="Times New Roman"/>
          <w:sz w:val="24"/>
          <w:szCs w:val="24"/>
        </w:rPr>
        <w:t xml:space="preserve">.  </w:t>
      </w:r>
      <w:r w:rsidR="00655987">
        <w:rPr>
          <w:rFonts w:ascii="Times New Roman" w:hAnsi="Times New Roman" w:cs="Times New Roman"/>
          <w:sz w:val="24"/>
          <w:szCs w:val="24"/>
        </w:rPr>
        <w:t>Payment must be made online th</w:t>
      </w:r>
      <w:r w:rsidR="00655987" w:rsidRPr="007958A7">
        <w:rPr>
          <w:rFonts w:ascii="Times New Roman" w:hAnsi="Times New Roman" w:cs="Times New Roman"/>
          <w:sz w:val="24"/>
          <w:szCs w:val="24"/>
        </w:rPr>
        <w:t xml:space="preserve">rough </w:t>
      </w:r>
      <w:r w:rsidR="00655987">
        <w:rPr>
          <w:rFonts w:ascii="Times New Roman" w:hAnsi="Times New Roman" w:cs="Times New Roman"/>
          <w:sz w:val="24"/>
          <w:szCs w:val="24"/>
        </w:rPr>
        <w:t xml:space="preserve">eFISH, at </w:t>
      </w:r>
      <w:hyperlink r:id="rId8" w:history="1">
        <w:r w:rsidR="00655987" w:rsidRPr="006A3085">
          <w:rPr>
            <w:rStyle w:val="Hyperlink"/>
            <w:rFonts w:ascii="Times New Roman" w:hAnsi="Times New Roman" w:cs="Times New Roman"/>
            <w:sz w:val="24"/>
            <w:szCs w:val="24"/>
          </w:rPr>
          <w:t>https://alaskafisheries.noaa.gov/webapps/efish/login</w:t>
        </w:r>
      </w:hyperlink>
      <w:r w:rsidR="00655987" w:rsidRPr="00FC4AB0">
        <w:rPr>
          <w:rFonts w:ascii="Times New Roman" w:hAnsi="Times New Roman" w:cs="Times New Roman"/>
          <w:sz w:val="24"/>
          <w:szCs w:val="24"/>
        </w:rPr>
        <w:t xml:space="preserve">.  </w:t>
      </w:r>
    </w:p>
    <w:p w14:paraId="78218A09" w14:textId="57AB4C79" w:rsidR="00CE4DBA" w:rsidRDefault="00655987" w:rsidP="005858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w:t>
      </w:r>
      <w:r w:rsidR="00844E60" w:rsidRPr="00844E60">
        <w:rPr>
          <w:rFonts w:ascii="Times New Roman" w:hAnsi="Times New Roman" w:cs="Times New Roman"/>
          <w:sz w:val="24"/>
          <w:szCs w:val="24"/>
        </w:rPr>
        <w:t>following the calendar year in which the groundfish or halibut landings subject to the observer fee were made.</w:t>
      </w:r>
    </w:p>
    <w:p w14:paraId="48F24F97" w14:textId="77777777" w:rsidR="00844E60" w:rsidRDefault="00844E60" w:rsidP="00585889">
      <w:pPr>
        <w:spacing w:after="0" w:line="240" w:lineRule="auto"/>
        <w:rPr>
          <w:rFonts w:ascii="Times New Roman" w:hAnsi="Times New Roman" w:cs="Times New Roman"/>
          <w:sz w:val="24"/>
          <w:szCs w:val="24"/>
        </w:rPr>
      </w:pPr>
    </w:p>
    <w:p w14:paraId="5D6AC038" w14:textId="77777777" w:rsidR="00241622" w:rsidRPr="00885341" w:rsidRDefault="00241622" w:rsidP="00241622">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 xml:space="preserve">Cost recovery fee </w:t>
      </w:r>
      <w:r>
        <w:rPr>
          <w:rFonts w:ascii="Times New Roman" w:hAnsi="Times New Roman" w:cs="Times New Roman"/>
          <w:sz w:val="24"/>
          <w:szCs w:val="24"/>
          <w:u w:val="single"/>
        </w:rPr>
        <w:t>f</w:t>
      </w:r>
      <w:r w:rsidRPr="00885341">
        <w:rPr>
          <w:rFonts w:ascii="Times New Roman" w:hAnsi="Times New Roman" w:cs="Times New Roman"/>
          <w:sz w:val="24"/>
          <w:szCs w:val="24"/>
          <w:u w:val="single"/>
        </w:rPr>
        <w:t>or Rockfis</w:t>
      </w:r>
      <w:r>
        <w:rPr>
          <w:rFonts w:ascii="Times New Roman" w:hAnsi="Times New Roman" w:cs="Times New Roman"/>
          <w:sz w:val="24"/>
          <w:szCs w:val="24"/>
          <w:u w:val="single"/>
        </w:rPr>
        <w:t>h Program</w:t>
      </w:r>
    </w:p>
    <w:p w14:paraId="635CFA36"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rockfish cost recovery fee must be paid by a </w:t>
      </w:r>
      <w:r w:rsidRPr="008B4BA9">
        <w:rPr>
          <w:rFonts w:ascii="Times New Roman" w:hAnsi="Times New Roman" w:cs="Times New Roman"/>
          <w:sz w:val="24"/>
          <w:szCs w:val="24"/>
        </w:rPr>
        <w:t xml:space="preserve">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p>
    <w:p w14:paraId="00F7C99B" w14:textId="77777777" w:rsidR="00241622" w:rsidRDefault="00241622" w:rsidP="0024162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which a landing was made.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9"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3CFDE692"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following the calendar year in</w:t>
      </w:r>
      <w:r>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14:paraId="73834FC5" w14:textId="77777777" w:rsidR="00241622" w:rsidRDefault="00241622" w:rsidP="00241622">
      <w:pPr>
        <w:spacing w:after="0" w:line="240" w:lineRule="auto"/>
        <w:rPr>
          <w:rFonts w:ascii="Times New Roman" w:hAnsi="Times New Roman" w:cs="Times New Roman"/>
          <w:sz w:val="24"/>
          <w:szCs w:val="24"/>
        </w:rPr>
      </w:pPr>
    </w:p>
    <w:p w14:paraId="58133B9F" w14:textId="77777777" w:rsidR="00241622" w:rsidRDefault="00241622" w:rsidP="00241622">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Western Alaska Community Development Quota (</w:t>
      </w:r>
      <w:r w:rsidRPr="002031E6">
        <w:rPr>
          <w:rFonts w:ascii="Times New Roman" w:hAnsi="Times New Roman" w:cs="Times New Roman"/>
          <w:sz w:val="24"/>
          <w:szCs w:val="24"/>
          <w:u w:val="single"/>
        </w:rPr>
        <w:t>CDQ</w:t>
      </w:r>
      <w:r>
        <w:rPr>
          <w:rFonts w:ascii="Times New Roman" w:hAnsi="Times New Roman" w:cs="Times New Roman"/>
          <w:sz w:val="24"/>
          <w:szCs w:val="24"/>
          <w:u w:val="single"/>
        </w:rPr>
        <w:t xml:space="preserve">) groundfish and </w:t>
      </w:r>
    </w:p>
    <w:p w14:paraId="74E31ABA" w14:textId="13659E8F" w:rsidR="00241622" w:rsidRPr="002031E6" w:rsidRDefault="00A960BA" w:rsidP="00241622">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proofErr w:type="gramStart"/>
      <w:r>
        <w:rPr>
          <w:rFonts w:ascii="Times New Roman" w:hAnsi="Times New Roman" w:cs="Times New Roman"/>
          <w:sz w:val="24"/>
          <w:szCs w:val="24"/>
          <w:u w:val="single"/>
        </w:rPr>
        <w:t>H</w:t>
      </w:r>
      <w:r w:rsidR="00241622">
        <w:rPr>
          <w:rFonts w:ascii="Times New Roman" w:hAnsi="Times New Roman" w:cs="Times New Roman"/>
          <w:sz w:val="24"/>
          <w:szCs w:val="24"/>
          <w:u w:val="single"/>
        </w:rPr>
        <w:t>alibut</w:t>
      </w:r>
      <w:r>
        <w:rPr>
          <w:rFonts w:ascii="Times New Roman" w:hAnsi="Times New Roman" w:cs="Times New Roman"/>
          <w:sz w:val="24"/>
          <w:szCs w:val="24"/>
          <w:u w:val="single"/>
        </w:rPr>
        <w:t>.</w:t>
      </w:r>
      <w:proofErr w:type="gramEnd"/>
    </w:p>
    <w:p w14:paraId="478534DA"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The CDQ cost recovery fee must be paid by e</w:t>
      </w:r>
      <w:r w:rsidRPr="00144A90">
        <w:rPr>
          <w:rFonts w:ascii="Times New Roman" w:hAnsi="Times New Roman" w:cs="Times New Roman"/>
          <w:sz w:val="24"/>
          <w:szCs w:val="24"/>
        </w:rPr>
        <w:t>ach CDQ group that receives a CDQ allocation of groundfish and halibut</w:t>
      </w:r>
      <w:r>
        <w:rPr>
          <w:rFonts w:ascii="Times New Roman" w:hAnsi="Times New Roman" w:cs="Times New Roman"/>
          <w:sz w:val="24"/>
          <w:szCs w:val="24"/>
        </w:rPr>
        <w:t xml:space="preserve">.  Payment must be </w:t>
      </w:r>
      <w:proofErr w:type="gramStart"/>
      <w:r>
        <w:rPr>
          <w:rFonts w:ascii="Times New Roman" w:hAnsi="Times New Roman" w:cs="Times New Roman"/>
          <w:sz w:val="24"/>
          <w:szCs w:val="24"/>
        </w:rPr>
        <w:t>submitted  online</w:t>
      </w:r>
      <w:proofErr w:type="gramEnd"/>
      <w:r>
        <w:rPr>
          <w:rFonts w:ascii="Times New Roman" w:hAnsi="Times New Roman" w:cs="Times New Roman"/>
          <w:sz w:val="24"/>
          <w:szCs w:val="24"/>
        </w:rPr>
        <w:t xml:space="preserve">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at </w:t>
      </w:r>
      <w:hyperlink r:id="rId10" w:history="1">
        <w:r w:rsidRPr="00CE06F7">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p>
    <w:p w14:paraId="3C80A2ED" w14:textId="77777777" w:rsidR="00A960BA" w:rsidRDefault="00A960BA" w:rsidP="00241622">
      <w:pPr>
        <w:spacing w:after="0" w:line="240" w:lineRule="auto"/>
        <w:rPr>
          <w:rFonts w:ascii="Times New Roman" w:hAnsi="Times New Roman" w:cs="Times New Roman"/>
          <w:b/>
          <w:sz w:val="24"/>
          <w:szCs w:val="24"/>
        </w:rPr>
      </w:pPr>
    </w:p>
    <w:p w14:paraId="5C495C98"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B34938">
        <w:rPr>
          <w:rFonts w:ascii="Times New Roman" w:hAnsi="Times New Roman" w:cs="Times New Roman"/>
          <w:b/>
          <w:sz w:val="24"/>
          <w:szCs w:val="24"/>
        </w:rPr>
        <w:t>Deadline:</w:t>
      </w:r>
      <w:r>
        <w:rPr>
          <w:rFonts w:ascii="Times New Roman" w:hAnsi="Times New Roman" w:cs="Times New Roman"/>
          <w:sz w:val="24"/>
          <w:szCs w:val="24"/>
        </w:rPr>
        <w:t xml:space="preserve"> </w:t>
      </w:r>
      <w:r w:rsidRPr="00B34938">
        <w:rPr>
          <w:rFonts w:ascii="Times New Roman" w:hAnsi="Times New Roman" w:cs="Times New Roman"/>
          <w:sz w:val="24"/>
          <w:szCs w:val="24"/>
        </w:rPr>
        <w:t xml:space="preserve">no later than </w:t>
      </w:r>
      <w:r w:rsidRPr="00D94AD8">
        <w:rPr>
          <w:rFonts w:ascii="Times New Roman" w:hAnsi="Times New Roman" w:cs="Times New Roman"/>
          <w:b/>
          <w:i/>
          <w:sz w:val="24"/>
          <w:szCs w:val="24"/>
        </w:rPr>
        <w:t>December 31</w:t>
      </w:r>
      <w:r w:rsidRPr="00B34938">
        <w:rPr>
          <w:rFonts w:ascii="Times New Roman" w:hAnsi="Times New Roman" w:cs="Times New Roman"/>
          <w:sz w:val="24"/>
          <w:szCs w:val="24"/>
        </w:rPr>
        <w:t xml:space="preserve"> of the calendar year in which the CDQ groundfish and halibut landings were made.</w:t>
      </w:r>
    </w:p>
    <w:p w14:paraId="0572256A" w14:textId="77777777" w:rsidR="00241622" w:rsidRDefault="00241622" w:rsidP="00241622">
      <w:pPr>
        <w:spacing w:after="0" w:line="240" w:lineRule="auto"/>
        <w:rPr>
          <w:rFonts w:ascii="Times New Roman" w:hAnsi="Times New Roman" w:cs="Times New Roman"/>
          <w:sz w:val="24"/>
          <w:szCs w:val="24"/>
        </w:rPr>
      </w:pPr>
    </w:p>
    <w:p w14:paraId="07120018" w14:textId="77777777" w:rsidR="00241622" w:rsidRPr="00B50DFC"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American Fisheries Act (</w:t>
      </w:r>
      <w:r w:rsidRPr="002031E6">
        <w:rPr>
          <w:rFonts w:ascii="Times New Roman" w:hAnsi="Times New Roman" w:cs="Times New Roman"/>
          <w:sz w:val="24"/>
          <w:szCs w:val="24"/>
          <w:u w:val="single"/>
        </w:rPr>
        <w:t>AFA</w:t>
      </w:r>
      <w:r>
        <w:rPr>
          <w:rFonts w:ascii="Times New Roman" w:hAnsi="Times New Roman" w:cs="Times New Roman"/>
          <w:sz w:val="24"/>
          <w:szCs w:val="24"/>
          <w:u w:val="single"/>
        </w:rPr>
        <w:t>) Bering Sea pollock</w:t>
      </w:r>
    </w:p>
    <w:p w14:paraId="589A4F1E"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AFA cost recovery fee must be paid by each designated </w:t>
      </w:r>
      <w:r w:rsidRPr="006554A2">
        <w:rPr>
          <w:rFonts w:ascii="Times New Roman" w:hAnsi="Times New Roman" w:cs="Times New Roman"/>
          <w:sz w:val="24"/>
          <w:szCs w:val="24"/>
        </w:rPr>
        <w:t>representative</w:t>
      </w:r>
      <w:r>
        <w:rPr>
          <w:rFonts w:ascii="Times New Roman" w:hAnsi="Times New Roman" w:cs="Times New Roman"/>
          <w:sz w:val="24"/>
          <w:szCs w:val="24"/>
        </w:rPr>
        <w:t xml:space="preserve">.  Payment must be made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11" w:history="1">
        <w:r w:rsidRPr="006A3085">
          <w:rPr>
            <w:rStyle w:val="Hyperlink"/>
            <w:rFonts w:ascii="Times New Roman" w:hAnsi="Times New Roman" w:cs="Times New Roman"/>
            <w:sz w:val="24"/>
            <w:szCs w:val="24"/>
          </w:rPr>
          <w:t>https://alaskafisheries.noaa.gov/webapps/efish/login</w:t>
        </w:r>
      </w:hyperlink>
    </w:p>
    <w:p w14:paraId="2DF722CF" w14:textId="77777777" w:rsidR="00A960BA" w:rsidRDefault="00A960BA" w:rsidP="00241622">
      <w:pPr>
        <w:spacing w:after="0" w:line="240" w:lineRule="auto"/>
        <w:rPr>
          <w:rFonts w:ascii="Times New Roman" w:hAnsi="Times New Roman" w:cs="Times New Roman"/>
          <w:b/>
          <w:sz w:val="24"/>
          <w:szCs w:val="24"/>
        </w:rPr>
      </w:pPr>
    </w:p>
    <w:p w14:paraId="32DA06CB"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Pr="00FD5A6A">
        <w:rPr>
          <w:rFonts w:ascii="Times New Roman" w:hAnsi="Times New Roman" w:cs="Times New Roman"/>
          <w:b/>
          <w:sz w:val="24"/>
          <w:szCs w:val="24"/>
        </w:rPr>
        <w:t>eadline:</w:t>
      </w:r>
      <w:r>
        <w:rPr>
          <w:rFonts w:ascii="Times New Roman" w:hAnsi="Times New Roman" w:cs="Times New Roman"/>
          <w:sz w:val="24"/>
          <w:szCs w:val="24"/>
        </w:rPr>
        <w:t xml:space="preserve">  no later than </w:t>
      </w:r>
      <w:r w:rsidRPr="00C74843">
        <w:rPr>
          <w:rFonts w:ascii="Times New Roman" w:hAnsi="Times New Roman" w:cs="Times New Roman"/>
          <w:b/>
          <w:i/>
          <w:sz w:val="24"/>
          <w:szCs w:val="24"/>
        </w:rPr>
        <w:t>December 31</w:t>
      </w:r>
      <w:r>
        <w:rPr>
          <w:rFonts w:ascii="Times New Roman" w:hAnsi="Times New Roman" w:cs="Times New Roman"/>
          <w:sz w:val="24"/>
          <w:szCs w:val="24"/>
        </w:rPr>
        <w:t xml:space="preserve"> of the calendar year in which the Bering Sea pollock landings were made.</w:t>
      </w:r>
    </w:p>
    <w:p w14:paraId="71436BDD" w14:textId="77777777" w:rsidR="00241622" w:rsidRDefault="00241622" w:rsidP="00241622">
      <w:pPr>
        <w:spacing w:after="0" w:line="240" w:lineRule="auto"/>
        <w:rPr>
          <w:rFonts w:ascii="Times New Roman" w:hAnsi="Times New Roman" w:cs="Times New Roman"/>
          <w:sz w:val="24"/>
          <w:szCs w:val="24"/>
        </w:rPr>
      </w:pPr>
    </w:p>
    <w:p w14:paraId="428E007C" w14:textId="77777777" w:rsidR="00241622"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Aleutian Islands pollock</w:t>
      </w:r>
      <w:r>
        <w:rPr>
          <w:rFonts w:ascii="Times New Roman" w:hAnsi="Times New Roman" w:cs="Times New Roman"/>
          <w:sz w:val="24"/>
          <w:szCs w:val="24"/>
        </w:rPr>
        <w:t xml:space="preserve"> </w:t>
      </w:r>
    </w:p>
    <w:p w14:paraId="5CB570FC"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The Aleutian Islands cost recovery fee must be paid by t</w:t>
      </w:r>
      <w:r w:rsidRPr="006554A2">
        <w:rPr>
          <w:rFonts w:ascii="Times New Roman" w:hAnsi="Times New Roman" w:cs="Times New Roman"/>
          <w:sz w:val="24"/>
          <w:szCs w:val="24"/>
        </w:rPr>
        <w:t>he authorized representative</w:t>
      </w:r>
      <w:r>
        <w:rPr>
          <w:rFonts w:ascii="Times New Roman" w:hAnsi="Times New Roman" w:cs="Times New Roman"/>
          <w:sz w:val="24"/>
          <w:szCs w:val="24"/>
        </w:rPr>
        <w:t xml:space="preserve"> designated by the Aleut Corporation.  Payment must be submitted online through eFISH </w:t>
      </w:r>
      <w:r w:rsidRPr="00FC4AB0">
        <w:rPr>
          <w:rFonts w:ascii="Times New Roman" w:hAnsi="Times New Roman" w:cs="Times New Roman"/>
          <w:sz w:val="24"/>
          <w:szCs w:val="24"/>
        </w:rPr>
        <w:t xml:space="preserve">at </w:t>
      </w:r>
      <w:hyperlink r:id="rId12"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  </w:t>
      </w:r>
    </w:p>
    <w:p w14:paraId="37BC4884"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Submittal 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3466E3">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Aleutian Islands pollock landings were made.</w:t>
      </w:r>
    </w:p>
    <w:p w14:paraId="7CFF2853" w14:textId="77777777" w:rsidR="00A960BA" w:rsidRDefault="00A960BA" w:rsidP="00241622">
      <w:pPr>
        <w:spacing w:after="0" w:line="240" w:lineRule="auto"/>
        <w:rPr>
          <w:rFonts w:ascii="Times New Roman" w:hAnsi="Times New Roman" w:cs="Times New Roman"/>
          <w:sz w:val="24"/>
          <w:szCs w:val="24"/>
          <w:u w:val="single"/>
        </w:rPr>
      </w:pPr>
    </w:p>
    <w:p w14:paraId="49CB83B6" w14:textId="77777777" w:rsidR="00241622" w:rsidRPr="002011DD"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Amendment 80</w:t>
      </w:r>
      <w:r>
        <w:rPr>
          <w:rFonts w:ascii="Times New Roman" w:hAnsi="Times New Roman" w:cs="Times New Roman"/>
          <w:sz w:val="24"/>
          <w:szCs w:val="24"/>
        </w:rPr>
        <w:t xml:space="preserve">  </w:t>
      </w:r>
    </w:p>
    <w:p w14:paraId="1F88B95B"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80 cost recovery fee must be paid by the authorized representative designated by the </w:t>
      </w:r>
      <w:r w:rsidRPr="00C0017D">
        <w:rPr>
          <w:rFonts w:ascii="Times New Roman" w:hAnsi="Times New Roman" w:cs="Times New Roman"/>
          <w:sz w:val="24"/>
          <w:szCs w:val="24"/>
        </w:rPr>
        <w:t>Amendment 80 cooperative</w:t>
      </w:r>
      <w:r>
        <w:rPr>
          <w:rFonts w:ascii="Times New Roman" w:hAnsi="Times New Roman" w:cs="Times New Roman"/>
          <w:sz w:val="24"/>
          <w:szCs w:val="24"/>
        </w:rPr>
        <w: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 xml:space="preserve">at </w:t>
      </w:r>
      <w:hyperlink r:id="rId13"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  </w:t>
      </w:r>
    </w:p>
    <w:p w14:paraId="63BB0324" w14:textId="77777777" w:rsidR="00A960BA" w:rsidRDefault="00A960BA" w:rsidP="00241622">
      <w:pPr>
        <w:spacing w:after="0" w:line="240" w:lineRule="auto"/>
        <w:rPr>
          <w:rFonts w:ascii="Times New Roman" w:hAnsi="Times New Roman" w:cs="Times New Roman"/>
          <w:b/>
          <w:sz w:val="24"/>
          <w:szCs w:val="24"/>
        </w:rPr>
      </w:pPr>
    </w:p>
    <w:p w14:paraId="5B3BA289"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220770">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w:t>
      </w:r>
      <w:r>
        <w:rPr>
          <w:rFonts w:ascii="Times New Roman" w:hAnsi="Times New Roman" w:cs="Times New Roman"/>
          <w:sz w:val="24"/>
          <w:szCs w:val="24"/>
        </w:rPr>
        <w:t xml:space="preserve">Amendment 80 CQ </w:t>
      </w:r>
      <w:r w:rsidRPr="00A00946">
        <w:rPr>
          <w:rFonts w:ascii="Times New Roman" w:hAnsi="Times New Roman" w:cs="Times New Roman"/>
          <w:sz w:val="24"/>
          <w:szCs w:val="24"/>
        </w:rPr>
        <w:t>landings were made</w:t>
      </w:r>
      <w:r>
        <w:rPr>
          <w:rFonts w:ascii="Times New Roman" w:hAnsi="Times New Roman" w:cs="Times New Roman"/>
          <w:sz w:val="24"/>
          <w:szCs w:val="24"/>
        </w:rPr>
        <w:t>.</w:t>
      </w:r>
    </w:p>
    <w:p w14:paraId="3C104AD2" w14:textId="77777777" w:rsidR="00241622" w:rsidRDefault="00241622" w:rsidP="00241622">
      <w:pPr>
        <w:spacing w:after="0" w:line="240" w:lineRule="auto"/>
        <w:rPr>
          <w:rFonts w:ascii="Times New Roman" w:hAnsi="Times New Roman" w:cs="Times New Roman"/>
          <w:sz w:val="24"/>
          <w:szCs w:val="24"/>
        </w:rPr>
      </w:pPr>
    </w:p>
    <w:p w14:paraId="06AD0DCB" w14:textId="7238E32E" w:rsidR="006B7610" w:rsidRPr="0053795D" w:rsidRDefault="00235494" w:rsidP="006A5EDE">
      <w:pPr>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Cost recove</w:t>
      </w:r>
      <w:r w:rsidR="00685AFB">
        <w:rPr>
          <w:rFonts w:ascii="Times New Roman" w:hAnsi="Times New Roman" w:cs="Times New Roman"/>
          <w:sz w:val="24"/>
          <w:szCs w:val="24"/>
          <w:u w:val="single"/>
        </w:rPr>
        <w:t>ry fee for IFQ Program</w:t>
      </w:r>
    </w:p>
    <w:p w14:paraId="0F439B83" w14:textId="74AA489B" w:rsidR="006A5EDE" w:rsidRPr="006A5EDE" w:rsidRDefault="0053795D" w:rsidP="006A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cost recovery fee must be paid by a person </w:t>
      </w:r>
      <w:r w:rsidR="00D3037F" w:rsidRPr="00D3037F">
        <w:rPr>
          <w:rFonts w:ascii="Times New Roman" w:hAnsi="Times New Roman" w:cs="Times New Roman"/>
          <w:sz w:val="24"/>
          <w:szCs w:val="24"/>
        </w:rPr>
        <w:t>who</w:t>
      </w:r>
      <w:r w:rsidR="00D3037F">
        <w:rPr>
          <w:rFonts w:ascii="Times New Roman" w:hAnsi="Times New Roman" w:cs="Times New Roman"/>
          <w:sz w:val="24"/>
          <w:szCs w:val="24"/>
        </w:rPr>
        <w:t xml:space="preserve"> </w:t>
      </w:r>
      <w:r w:rsidR="00D3037F" w:rsidRPr="00D3037F">
        <w:rPr>
          <w:rFonts w:ascii="Times New Roman" w:hAnsi="Times New Roman" w:cs="Times New Roman"/>
          <w:sz w:val="24"/>
          <w:szCs w:val="24"/>
        </w:rPr>
        <w:t>holds an IFQ permit against which a landing was made</w:t>
      </w:r>
      <w:r w:rsidR="003C7759">
        <w:rPr>
          <w:rFonts w:ascii="Times New Roman" w:hAnsi="Times New Roman" w:cs="Times New Roman"/>
          <w:sz w:val="24"/>
          <w:szCs w:val="24"/>
        </w:rPr>
        <w:t>.  Payment may be submitted in one of several ways:</w:t>
      </w:r>
      <w:r w:rsidR="00D3037F">
        <w:rPr>
          <w:rFonts w:ascii="Times New Roman" w:hAnsi="Times New Roman" w:cs="Times New Roman"/>
          <w:sz w:val="24"/>
          <w:szCs w:val="24"/>
        </w:rPr>
        <w:t xml:space="preserve"> </w:t>
      </w:r>
    </w:p>
    <w:p w14:paraId="2FB19FF2" w14:textId="77777777" w:rsidR="006A5EDE" w:rsidRPr="006A5EDE" w:rsidRDefault="006A5EDE" w:rsidP="006A5EDE">
      <w:pPr>
        <w:spacing w:after="0" w:line="240" w:lineRule="auto"/>
        <w:rPr>
          <w:rFonts w:ascii="Times New Roman" w:hAnsi="Times New Roman" w:cs="Times New Roman"/>
          <w:sz w:val="24"/>
          <w:szCs w:val="24"/>
        </w:rPr>
      </w:pPr>
    </w:p>
    <w:p w14:paraId="4C51D8F6" w14:textId="79DF2A40" w:rsidR="006A5EDE" w:rsidRPr="006A5EDE" w:rsidRDefault="006A5EDE" w:rsidP="00FE285F">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Pr="006A5EDE">
        <w:rPr>
          <w:rFonts w:ascii="Times New Roman" w:hAnsi="Times New Roman" w:cs="Times New Roman"/>
          <w:sz w:val="24"/>
          <w:szCs w:val="24"/>
        </w:rPr>
        <w:tab/>
        <w:t>Pay ONLINE</w:t>
      </w:r>
      <w:r w:rsidR="00C07CFD">
        <w:rPr>
          <w:rFonts w:ascii="Times New Roman" w:hAnsi="Times New Roman" w:cs="Times New Roman"/>
          <w:sz w:val="24"/>
          <w:szCs w:val="24"/>
        </w:rPr>
        <w:t>.</w:t>
      </w:r>
      <w:proofErr w:type="gramEnd"/>
      <w:r w:rsidR="00C07CFD">
        <w:rPr>
          <w:rFonts w:ascii="Times New Roman" w:hAnsi="Times New Roman" w:cs="Times New Roman"/>
          <w:sz w:val="24"/>
          <w:szCs w:val="24"/>
        </w:rPr>
        <w:t xml:space="preserve"> Payments must be paid </w:t>
      </w:r>
      <w:r w:rsidR="000C3870">
        <w:rPr>
          <w:rFonts w:ascii="Times New Roman" w:hAnsi="Times New Roman" w:cs="Times New Roman"/>
          <w:sz w:val="24"/>
          <w:szCs w:val="24"/>
        </w:rPr>
        <w:t>electronic</w:t>
      </w:r>
      <w:r w:rsidR="00BA7B9D">
        <w:rPr>
          <w:rFonts w:ascii="Times New Roman" w:hAnsi="Times New Roman" w:cs="Times New Roman"/>
          <w:sz w:val="24"/>
          <w:szCs w:val="24"/>
        </w:rPr>
        <w:t>ally</w:t>
      </w:r>
      <w:r w:rsidR="000C3870">
        <w:rPr>
          <w:rFonts w:ascii="Times New Roman" w:hAnsi="Times New Roman" w:cs="Times New Roman"/>
          <w:sz w:val="24"/>
          <w:szCs w:val="24"/>
        </w:rPr>
        <w:t xml:space="preserve"> </w:t>
      </w:r>
      <w:r w:rsidR="00C07CFD">
        <w:rPr>
          <w:rFonts w:ascii="Times New Roman" w:hAnsi="Times New Roman" w:cs="Times New Roman"/>
          <w:sz w:val="24"/>
          <w:szCs w:val="24"/>
        </w:rPr>
        <w:t xml:space="preserve">through </w:t>
      </w:r>
      <w:r w:rsidR="00C07CFD" w:rsidRPr="00FC4AB0">
        <w:rPr>
          <w:rFonts w:ascii="Times New Roman" w:hAnsi="Times New Roman" w:cs="Times New Roman"/>
          <w:sz w:val="24"/>
          <w:szCs w:val="24"/>
        </w:rPr>
        <w:t>eFISH</w:t>
      </w:r>
      <w:r w:rsidR="000C3870">
        <w:rPr>
          <w:rFonts w:ascii="Times New Roman" w:hAnsi="Times New Roman" w:cs="Times New Roman"/>
          <w:sz w:val="24"/>
          <w:szCs w:val="24"/>
        </w:rPr>
        <w:t>,</w:t>
      </w:r>
      <w:r w:rsidR="00C07CFD" w:rsidRPr="00FC4AB0">
        <w:rPr>
          <w:rFonts w:ascii="Times New Roman" w:hAnsi="Times New Roman" w:cs="Times New Roman"/>
          <w:sz w:val="24"/>
          <w:szCs w:val="24"/>
        </w:rPr>
        <w:t xml:space="preserve"> at </w:t>
      </w:r>
      <w:hyperlink r:id="rId14"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p>
    <w:p w14:paraId="7AFD2B3B" w14:textId="77777777" w:rsidR="006A5EDE" w:rsidRPr="006A5EDE" w:rsidRDefault="006A5EDE" w:rsidP="006A5EDE">
      <w:pPr>
        <w:tabs>
          <w:tab w:val="left" w:pos="360"/>
          <w:tab w:val="left" w:pos="720"/>
          <w:tab w:val="left" w:pos="1080"/>
        </w:tabs>
        <w:spacing w:after="0" w:line="240" w:lineRule="auto"/>
        <w:rPr>
          <w:rFonts w:ascii="Times New Roman" w:hAnsi="Times New Roman" w:cs="Times New Roman"/>
          <w:sz w:val="24"/>
          <w:szCs w:val="24"/>
        </w:rPr>
      </w:pPr>
    </w:p>
    <w:p w14:paraId="5D707CC7" w14:textId="77777777"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 and mail or courier the form with a check or money order made payable to:</w:t>
      </w:r>
    </w:p>
    <w:p w14:paraId="73594D11" w14:textId="77777777" w:rsidR="008807CB" w:rsidRDefault="008807CB" w:rsidP="006A5EDE">
      <w:pPr>
        <w:spacing w:after="0" w:line="240" w:lineRule="auto"/>
        <w:rPr>
          <w:rFonts w:ascii="Times New Roman" w:hAnsi="Times New Roman" w:cs="Times New Roman"/>
          <w:sz w:val="24"/>
          <w:szCs w:val="24"/>
        </w:rPr>
      </w:pPr>
    </w:p>
    <w:p w14:paraId="3FE5D4C2" w14:textId="0FC1DB8D"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NOAA</w:t>
      </w:r>
      <w:r w:rsidR="00BA7B9D">
        <w:rPr>
          <w:rFonts w:ascii="Times New Roman" w:hAnsi="Times New Roman" w:cs="Times New Roman"/>
          <w:sz w:val="24"/>
          <w:szCs w:val="24"/>
        </w:rPr>
        <w:t>/NMFS</w:t>
      </w:r>
      <w:r w:rsidRPr="006A5EDE">
        <w:rPr>
          <w:rFonts w:ascii="Times New Roman" w:hAnsi="Times New Roman" w:cs="Times New Roman"/>
          <w:sz w:val="24"/>
          <w:szCs w:val="24"/>
        </w:rPr>
        <w:t xml:space="preserve"> - OM</w:t>
      </w:r>
      <w:r w:rsidR="00BA7B9D">
        <w:rPr>
          <w:rFonts w:ascii="Times New Roman" w:hAnsi="Times New Roman" w:cs="Times New Roman"/>
          <w:sz w:val="24"/>
          <w:szCs w:val="24"/>
        </w:rPr>
        <w:t>D</w:t>
      </w:r>
    </w:p>
    <w:p w14:paraId="6F1FFF4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P.O. Box 21668</w:t>
      </w:r>
    </w:p>
    <w:p w14:paraId="39920B3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Juneau, AK 99802-1668 </w:t>
      </w:r>
    </w:p>
    <w:p w14:paraId="32C5C39B" w14:textId="77777777" w:rsidR="006A5EDE" w:rsidRPr="006A5EDE" w:rsidRDefault="006A5EDE" w:rsidP="006A5EDE">
      <w:pPr>
        <w:spacing w:after="0" w:line="240" w:lineRule="auto"/>
        <w:rPr>
          <w:rFonts w:ascii="Times New Roman" w:hAnsi="Times New Roman" w:cs="Times New Roman"/>
          <w:sz w:val="24"/>
          <w:szCs w:val="24"/>
        </w:rPr>
      </w:pPr>
    </w:p>
    <w:p w14:paraId="67EDDDBC"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 xml:space="preserve">Call RAM at: (800) 304-4846 (#5) or (907) 586-7202 (#5).  In cases of credit card payment, the transaction may be done over the telephone and a fee form is not submitted.   </w:t>
      </w:r>
    </w:p>
    <w:p w14:paraId="2B6059A1"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2A5B3148" w14:textId="46E9B442" w:rsidR="006A5EDE" w:rsidRDefault="006A5EDE"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003C7759">
        <w:rPr>
          <w:rFonts w:ascii="Times New Roman" w:hAnsi="Times New Roman" w:cs="Times New Roman"/>
          <w:sz w:val="24"/>
          <w:szCs w:val="24"/>
        </w:rPr>
        <w:tab/>
        <w:t>Prepayment of fees.</w:t>
      </w:r>
      <w:proofErr w:type="gramEnd"/>
      <w:r w:rsidR="003C7759">
        <w:rPr>
          <w:rFonts w:ascii="Times New Roman" w:hAnsi="Times New Roman" w:cs="Times New Roman"/>
          <w:sz w:val="24"/>
          <w:szCs w:val="24"/>
        </w:rPr>
        <w:t xml:space="preserve">  P</w:t>
      </w:r>
      <w:r w:rsidRPr="006A5EDE">
        <w:rPr>
          <w:rFonts w:ascii="Times New Roman" w:hAnsi="Times New Roman" w:cs="Times New Roman"/>
          <w:sz w:val="24"/>
          <w:szCs w:val="24"/>
        </w:rPr>
        <w:t xml:space="preserve">articipants </w:t>
      </w:r>
      <w:r w:rsidR="003C7759">
        <w:rPr>
          <w:rFonts w:ascii="Times New Roman" w:hAnsi="Times New Roman" w:cs="Times New Roman"/>
          <w:sz w:val="24"/>
          <w:szCs w:val="24"/>
        </w:rPr>
        <w:t xml:space="preserve">may </w:t>
      </w:r>
      <w:r w:rsidRPr="006A5EDE">
        <w:rPr>
          <w:rFonts w:ascii="Times New Roman" w:hAnsi="Times New Roman" w:cs="Times New Roman"/>
          <w:sz w:val="24"/>
          <w:szCs w:val="24"/>
        </w:rPr>
        <w:t>pay amounts during the fishing year toward the fee.  The summary which NMFS provides, in this case, also show</w:t>
      </w:r>
      <w:r w:rsidR="00D2031A">
        <w:rPr>
          <w:rFonts w:ascii="Times New Roman" w:hAnsi="Times New Roman" w:cs="Times New Roman"/>
          <w:sz w:val="24"/>
          <w:szCs w:val="24"/>
        </w:rPr>
        <w:t>s</w:t>
      </w:r>
      <w:r w:rsidRPr="006A5EDE">
        <w:rPr>
          <w:rFonts w:ascii="Times New Roman" w:hAnsi="Times New Roman" w:cs="Times New Roman"/>
          <w:sz w:val="24"/>
          <w:szCs w:val="24"/>
        </w:rPr>
        <w:t xml:space="preserve"> the amounts paid and the amount still due, if any.</w:t>
      </w:r>
    </w:p>
    <w:p w14:paraId="0A8BAB46" w14:textId="77777777" w:rsidR="00BA4F2C" w:rsidRDefault="00BA4F2C" w:rsidP="00BA4F2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BA4F2C">
        <w:rPr>
          <w:rFonts w:ascii="Times New Roman" w:hAnsi="Times New Roman" w:cs="Times New Roman"/>
          <w:b/>
          <w:i/>
          <w:sz w:val="24"/>
          <w:szCs w:val="24"/>
        </w:rPr>
        <w:t>Submittal Deadline</w:t>
      </w:r>
      <w:r>
        <w:rPr>
          <w:rFonts w:ascii="Times New Roman" w:hAnsi="Times New Roman" w:cs="Times New Roman"/>
          <w:sz w:val="24"/>
          <w:szCs w:val="24"/>
        </w:rPr>
        <w:t xml:space="preserve">:  </w:t>
      </w:r>
      <w:r w:rsidRPr="00BA4F2C">
        <w:rPr>
          <w:rFonts w:ascii="Times New Roman" w:hAnsi="Times New Roman" w:cs="Times New Roman"/>
          <w:sz w:val="24"/>
          <w:szCs w:val="24"/>
        </w:rPr>
        <w:t xml:space="preserve">no later than </w:t>
      </w:r>
      <w:r w:rsidRPr="00BA4F2C">
        <w:rPr>
          <w:rFonts w:ascii="Times New Roman" w:hAnsi="Times New Roman" w:cs="Times New Roman"/>
          <w:b/>
          <w:i/>
          <w:sz w:val="24"/>
          <w:szCs w:val="24"/>
        </w:rPr>
        <w:t>January 31</w:t>
      </w:r>
      <w:r w:rsidRPr="00BA4F2C">
        <w:rPr>
          <w:rFonts w:ascii="Times New Roman" w:hAnsi="Times New Roman" w:cs="Times New Roman"/>
          <w:sz w:val="24"/>
          <w:szCs w:val="24"/>
        </w:rPr>
        <w:t xml:space="preserve"> following the calendar year in</w:t>
      </w:r>
      <w:r>
        <w:rPr>
          <w:rFonts w:ascii="Times New Roman" w:hAnsi="Times New Roman" w:cs="Times New Roman"/>
          <w:sz w:val="24"/>
          <w:szCs w:val="24"/>
        </w:rPr>
        <w:t xml:space="preserve"> </w:t>
      </w:r>
      <w:r w:rsidRPr="00BA4F2C">
        <w:rPr>
          <w:rFonts w:ascii="Times New Roman" w:hAnsi="Times New Roman" w:cs="Times New Roman"/>
          <w:sz w:val="24"/>
          <w:szCs w:val="24"/>
        </w:rPr>
        <w:t>which any IFQ</w:t>
      </w:r>
    </w:p>
    <w:p w14:paraId="7F5D2265" w14:textId="5F731FA2" w:rsidR="00BA4F2C" w:rsidRDefault="00BA4F2C" w:rsidP="00BA4F2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roofErr w:type="gramStart"/>
      <w:r w:rsidRPr="00BA4F2C">
        <w:rPr>
          <w:rFonts w:ascii="Times New Roman" w:hAnsi="Times New Roman" w:cs="Times New Roman"/>
          <w:sz w:val="24"/>
          <w:szCs w:val="24"/>
        </w:rPr>
        <w:t>landing</w:t>
      </w:r>
      <w:proofErr w:type="gramEnd"/>
      <w:r w:rsidRPr="00BA4F2C">
        <w:rPr>
          <w:rFonts w:ascii="Times New Roman" w:hAnsi="Times New Roman" w:cs="Times New Roman"/>
          <w:sz w:val="24"/>
          <w:szCs w:val="24"/>
        </w:rPr>
        <w:t xml:space="preserve"> was made.</w:t>
      </w:r>
    </w:p>
    <w:p w14:paraId="077E6F0D" w14:textId="77777777" w:rsidR="0028426B" w:rsidRDefault="0028426B" w:rsidP="0028426B">
      <w:pPr>
        <w:spacing w:after="0" w:line="240" w:lineRule="auto"/>
        <w:rPr>
          <w:rFonts w:ascii="Times New Roman" w:hAnsi="Times New Roman" w:cs="Times New Roman"/>
          <w:sz w:val="24"/>
          <w:szCs w:val="24"/>
          <w:u w:val="single"/>
        </w:rPr>
      </w:pPr>
    </w:p>
    <w:p w14:paraId="5A550983" w14:textId="41B5308B" w:rsidR="00DA3A7C" w:rsidRPr="002031E6"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sidR="00CC67E5">
        <w:rPr>
          <w:rFonts w:ascii="Times New Roman" w:hAnsi="Times New Roman" w:cs="Times New Roman"/>
          <w:sz w:val="24"/>
          <w:szCs w:val="24"/>
          <w:u w:val="single"/>
        </w:rPr>
        <w:t>Crab Rationalization (</w:t>
      </w:r>
      <w:r w:rsidRPr="002031E6">
        <w:rPr>
          <w:rFonts w:ascii="Times New Roman" w:hAnsi="Times New Roman" w:cs="Times New Roman"/>
          <w:sz w:val="24"/>
          <w:szCs w:val="24"/>
          <w:u w:val="single"/>
        </w:rPr>
        <w:t>CR</w:t>
      </w:r>
      <w:r w:rsidR="00CC67E5">
        <w:rPr>
          <w:rFonts w:ascii="Times New Roman" w:hAnsi="Times New Roman" w:cs="Times New Roman"/>
          <w:sz w:val="24"/>
          <w:szCs w:val="24"/>
          <w:u w:val="single"/>
        </w:rPr>
        <w:t>) Program</w:t>
      </w:r>
    </w:p>
    <w:p w14:paraId="3583A257" w14:textId="663F24F8" w:rsidR="003C7759" w:rsidRDefault="00486D0E" w:rsidP="003C7759">
      <w:pPr>
        <w:spacing w:after="0" w:line="240" w:lineRule="auto"/>
        <w:rPr>
          <w:rFonts w:ascii="Times New Roman" w:hAnsi="Times New Roman" w:cs="Times New Roman"/>
          <w:sz w:val="24"/>
          <w:szCs w:val="24"/>
        </w:rPr>
      </w:pPr>
      <w:r>
        <w:rPr>
          <w:rFonts w:ascii="Times New Roman" w:hAnsi="Times New Roman" w:cs="Times New Roman"/>
          <w:sz w:val="24"/>
          <w:szCs w:val="24"/>
        </w:rPr>
        <w:t>The CR crab cost recovery fee must be paid by e</w:t>
      </w:r>
      <w:r w:rsidR="004462C2">
        <w:rPr>
          <w:rFonts w:ascii="Times New Roman" w:hAnsi="Times New Roman" w:cs="Times New Roman"/>
          <w:sz w:val="24"/>
          <w:szCs w:val="24"/>
        </w:rPr>
        <w:t>ach Registered Crab Receiver (</w:t>
      </w:r>
      <w:r w:rsidR="004462C2" w:rsidRPr="004462C2">
        <w:rPr>
          <w:rFonts w:ascii="Times New Roman" w:hAnsi="Times New Roman" w:cs="Times New Roman"/>
          <w:sz w:val="24"/>
          <w:szCs w:val="24"/>
        </w:rPr>
        <w:t>RCR</w:t>
      </w:r>
      <w:r w:rsidR="004462C2">
        <w:rPr>
          <w:rFonts w:ascii="Times New Roman" w:hAnsi="Times New Roman" w:cs="Times New Roman"/>
          <w:sz w:val="24"/>
          <w:szCs w:val="24"/>
        </w:rPr>
        <w:t xml:space="preserve">) </w:t>
      </w:r>
      <w:r w:rsidR="004462C2" w:rsidRPr="004462C2">
        <w:rPr>
          <w:rFonts w:ascii="Times New Roman" w:hAnsi="Times New Roman" w:cs="Times New Roman"/>
          <w:sz w:val="24"/>
          <w:szCs w:val="24"/>
        </w:rPr>
        <w:t>who receives any CR crab pursuant to § 680.44</w:t>
      </w:r>
      <w:r>
        <w:rPr>
          <w:rFonts w:ascii="Times New Roman" w:hAnsi="Times New Roman" w:cs="Times New Roman"/>
          <w:sz w:val="24"/>
          <w:szCs w:val="24"/>
        </w:rPr>
        <w:t xml:space="preserve">.  </w:t>
      </w:r>
      <w:r w:rsidR="003C7759">
        <w:rPr>
          <w:rFonts w:ascii="Times New Roman" w:hAnsi="Times New Roman" w:cs="Times New Roman"/>
          <w:sz w:val="24"/>
          <w:szCs w:val="24"/>
        </w:rPr>
        <w:t xml:space="preserve">Payment may be submitted in one of several ways: </w:t>
      </w:r>
    </w:p>
    <w:p w14:paraId="5CC7872A" w14:textId="77777777" w:rsidR="00486D0E" w:rsidRDefault="00486D0E" w:rsidP="003C7759">
      <w:pPr>
        <w:spacing w:after="0" w:line="240" w:lineRule="auto"/>
        <w:rPr>
          <w:rFonts w:ascii="Times New Roman" w:hAnsi="Times New Roman" w:cs="Times New Roman"/>
          <w:sz w:val="24"/>
          <w:szCs w:val="24"/>
        </w:rPr>
      </w:pPr>
    </w:p>
    <w:p w14:paraId="2CA2950B" w14:textId="77777777" w:rsidR="00486D0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6A5EDE">
        <w:rPr>
          <w:rFonts w:ascii="Times New Roman" w:hAnsi="Times New Roman" w:cs="Times New Roman"/>
          <w:sz w:val="24"/>
          <w:szCs w:val="24"/>
        </w:rPr>
        <w:t>Pay ONLINE</w:t>
      </w:r>
      <w:r>
        <w:rPr>
          <w:rFonts w:ascii="Times New Roman" w:hAnsi="Times New Roman" w:cs="Times New Roman"/>
          <w:sz w:val="24"/>
          <w:szCs w:val="24"/>
        </w:rPr>
        <w:t>.</w:t>
      </w:r>
      <w:proofErr w:type="gramEnd"/>
      <w:r>
        <w:rPr>
          <w:rFonts w:ascii="Times New Roman" w:hAnsi="Times New Roman" w:cs="Times New Roman"/>
          <w:sz w:val="24"/>
          <w:szCs w:val="24"/>
        </w:rPr>
        <w:t xml:space="preserve">  Payments must be paid electronically check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w:t>
      </w:r>
      <w:proofErr w:type="gramStart"/>
      <w:r w:rsidRPr="00FC4AB0">
        <w:rPr>
          <w:rFonts w:ascii="Times New Roman" w:hAnsi="Times New Roman" w:cs="Times New Roman"/>
          <w:sz w:val="24"/>
          <w:szCs w:val="24"/>
        </w:rPr>
        <w:t>at</w:t>
      </w:r>
      <w:proofErr w:type="gramEnd"/>
      <w:r w:rsidRPr="00FC4AB0">
        <w:rPr>
          <w:rFonts w:ascii="Times New Roman" w:hAnsi="Times New Roman" w:cs="Times New Roman"/>
          <w:sz w:val="24"/>
          <w:szCs w:val="24"/>
        </w:rPr>
        <w:t xml:space="preserve"> </w:t>
      </w:r>
      <w:hyperlink r:id="rId15"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743C948B" w14:textId="77777777" w:rsidR="00486D0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p>
    <w:p w14:paraId="531B989F" w14:textId="77777777" w:rsidR="00486D0E" w:rsidRPr="00235494"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roofErr w:type="gramEnd"/>
    </w:p>
    <w:p w14:paraId="64BAFCD4" w14:textId="77777777" w:rsidR="00486D0E"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4822E86" w14:textId="77777777" w:rsidR="00486D0E" w:rsidRPr="006A5ED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w:t>
      </w:r>
      <w:r>
        <w:rPr>
          <w:rFonts w:ascii="Times New Roman" w:hAnsi="Times New Roman" w:cs="Times New Roman"/>
          <w:sz w:val="24"/>
          <w:szCs w:val="24"/>
        </w:rPr>
        <w:t>,</w:t>
      </w:r>
      <w:r w:rsidRPr="006A5EDE">
        <w:rPr>
          <w:rFonts w:ascii="Times New Roman" w:hAnsi="Times New Roman" w:cs="Times New Roman"/>
          <w:sz w:val="24"/>
          <w:szCs w:val="24"/>
        </w:rPr>
        <w:t xml:space="preserve"> and mail or courier the form with check or money order made payable </w:t>
      </w:r>
      <w:r>
        <w:rPr>
          <w:rFonts w:ascii="Times New Roman" w:hAnsi="Times New Roman" w:cs="Times New Roman"/>
          <w:sz w:val="24"/>
          <w:szCs w:val="24"/>
        </w:rPr>
        <w:t xml:space="preserve">to </w:t>
      </w:r>
      <w:r w:rsidRPr="006A5EDE">
        <w:rPr>
          <w:rFonts w:ascii="Times New Roman" w:hAnsi="Times New Roman" w:cs="Times New Roman"/>
          <w:sz w:val="24"/>
          <w:szCs w:val="24"/>
        </w:rPr>
        <w:t>NMFS</w:t>
      </w:r>
      <w:r>
        <w:rPr>
          <w:rFonts w:ascii="Times New Roman" w:hAnsi="Times New Roman" w:cs="Times New Roman"/>
          <w:sz w:val="24"/>
          <w:szCs w:val="24"/>
        </w:rPr>
        <w:t xml:space="preserve"> to:</w:t>
      </w:r>
      <w:r w:rsidRPr="006A5EDE">
        <w:rPr>
          <w:rFonts w:ascii="Times New Roman" w:hAnsi="Times New Roman" w:cs="Times New Roman"/>
          <w:sz w:val="24"/>
          <w:szCs w:val="24"/>
        </w:rPr>
        <w:t xml:space="preserve"> </w:t>
      </w:r>
    </w:p>
    <w:p w14:paraId="458B268A" w14:textId="77777777" w:rsidR="00486D0E" w:rsidRPr="00235494"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NOAA</w:t>
      </w:r>
      <w:r>
        <w:rPr>
          <w:rFonts w:ascii="Times New Roman" w:hAnsi="Times New Roman" w:cs="Times New Roman"/>
          <w:sz w:val="24"/>
          <w:szCs w:val="24"/>
        </w:rPr>
        <w:t>/</w:t>
      </w:r>
      <w:r w:rsidRPr="00235494">
        <w:rPr>
          <w:rFonts w:ascii="Times New Roman" w:hAnsi="Times New Roman" w:cs="Times New Roman"/>
          <w:sz w:val="24"/>
          <w:szCs w:val="24"/>
        </w:rPr>
        <w:t>NMFS, OMD</w:t>
      </w:r>
    </w:p>
    <w:p w14:paraId="065263B0" w14:textId="77777777" w:rsidR="00486D0E" w:rsidRPr="00235494"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P.O. Box 21668</w:t>
      </w:r>
    </w:p>
    <w:p w14:paraId="21C70B77" w14:textId="77777777" w:rsidR="00486D0E"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 xml:space="preserve">Juneau, AK 99802-1668 </w:t>
      </w:r>
    </w:p>
    <w:p w14:paraId="18747A2F" w14:textId="77777777" w:rsidR="00A960BA" w:rsidRDefault="00A960BA" w:rsidP="00654E0B">
      <w:pPr>
        <w:spacing w:after="0" w:line="240" w:lineRule="auto"/>
        <w:rPr>
          <w:rFonts w:ascii="Times New Roman" w:hAnsi="Times New Roman" w:cs="Times New Roman"/>
          <w:b/>
          <w:sz w:val="24"/>
          <w:szCs w:val="24"/>
        </w:rPr>
      </w:pPr>
    </w:p>
    <w:p w14:paraId="041EA60E" w14:textId="6C0F945E" w:rsidR="00654E0B" w:rsidRDefault="00486D0E" w:rsidP="00654E0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4462C2" w:rsidRPr="004462C2">
        <w:rPr>
          <w:rFonts w:ascii="Times New Roman" w:hAnsi="Times New Roman" w:cs="Times New Roman"/>
          <w:b/>
          <w:sz w:val="24"/>
          <w:szCs w:val="24"/>
        </w:rPr>
        <w:t>Deadline</w:t>
      </w:r>
      <w:r w:rsidR="004462C2">
        <w:rPr>
          <w:rFonts w:ascii="Times New Roman" w:hAnsi="Times New Roman" w:cs="Times New Roman"/>
          <w:sz w:val="24"/>
          <w:szCs w:val="24"/>
        </w:rPr>
        <w:t>:</w:t>
      </w:r>
      <w:r w:rsidR="009C320E">
        <w:rPr>
          <w:rFonts w:ascii="Times New Roman" w:hAnsi="Times New Roman" w:cs="Times New Roman"/>
          <w:sz w:val="24"/>
          <w:szCs w:val="24"/>
        </w:rPr>
        <w:t xml:space="preserve">  </w:t>
      </w:r>
      <w:r w:rsidR="00BA55C6">
        <w:rPr>
          <w:rFonts w:ascii="Times New Roman" w:hAnsi="Times New Roman" w:cs="Times New Roman"/>
          <w:sz w:val="24"/>
          <w:szCs w:val="24"/>
        </w:rPr>
        <w:t xml:space="preserve">no </w:t>
      </w:r>
      <w:r w:rsidR="00654E0B" w:rsidRPr="00654E0B">
        <w:rPr>
          <w:rFonts w:ascii="Times New Roman" w:hAnsi="Times New Roman" w:cs="Times New Roman"/>
          <w:sz w:val="24"/>
          <w:szCs w:val="24"/>
        </w:rPr>
        <w:t xml:space="preserve">later than </w:t>
      </w:r>
      <w:r w:rsidR="00654E0B" w:rsidRPr="00486D0E">
        <w:rPr>
          <w:rFonts w:ascii="Times New Roman" w:hAnsi="Times New Roman" w:cs="Times New Roman"/>
          <w:b/>
          <w:i/>
          <w:sz w:val="24"/>
          <w:szCs w:val="24"/>
        </w:rPr>
        <w:t>July 31</w:t>
      </w:r>
      <w:r w:rsidR="00654E0B" w:rsidRPr="00654E0B">
        <w:rPr>
          <w:rFonts w:ascii="Times New Roman" w:hAnsi="Times New Roman" w:cs="Times New Roman"/>
          <w:sz w:val="24"/>
          <w:szCs w:val="24"/>
        </w:rPr>
        <w:t xml:space="preserve"> following the crab fishing year in</w:t>
      </w:r>
      <w:r w:rsidR="00BA55C6">
        <w:rPr>
          <w:rFonts w:ascii="Times New Roman" w:hAnsi="Times New Roman" w:cs="Times New Roman"/>
          <w:sz w:val="24"/>
          <w:szCs w:val="24"/>
        </w:rPr>
        <w:t xml:space="preserve"> </w:t>
      </w:r>
      <w:r w:rsidR="00654E0B" w:rsidRPr="00654E0B">
        <w:rPr>
          <w:rFonts w:ascii="Times New Roman" w:hAnsi="Times New Roman" w:cs="Times New Roman"/>
          <w:sz w:val="24"/>
          <w:szCs w:val="24"/>
        </w:rPr>
        <w:t>which the CR crab landings were made.</w:t>
      </w:r>
    </w:p>
    <w:p w14:paraId="2CBBC692" w14:textId="77777777" w:rsidR="00486D0E" w:rsidRDefault="00486D0E" w:rsidP="00654E0B">
      <w:pPr>
        <w:spacing w:after="0" w:line="240" w:lineRule="auto"/>
        <w:rPr>
          <w:rFonts w:ascii="Times New Roman" w:hAnsi="Times New Roman" w:cs="Times New Roman"/>
          <w:sz w:val="24"/>
          <w:szCs w:val="24"/>
        </w:rPr>
      </w:pPr>
    </w:p>
    <w:p w14:paraId="75455C26" w14:textId="0F15811D" w:rsidR="0028556F" w:rsidRDefault="00055DD2">
      <w:pPr>
        <w:rPr>
          <w:rFonts w:ascii="Times New Roman" w:hAnsi="Times New Roman" w:cs="Times New Roman"/>
          <w:sz w:val="24"/>
          <w:szCs w:val="24"/>
        </w:rPr>
      </w:pPr>
      <w:r>
        <w:rPr>
          <w:rFonts w:ascii="Times New Roman" w:hAnsi="Times New Roman" w:cs="Times New Roman"/>
          <w:sz w:val="24"/>
          <w:szCs w:val="24"/>
        </w:rPr>
        <w:t xml:space="preserve">An estimated eleven catcher vessels may be added to this program. </w:t>
      </w: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E07ECC" w:rsidRPr="00E07ECC" w14:paraId="24151F5B" w14:textId="77777777" w:rsidTr="00C43162">
        <w:trPr>
          <w:jc w:val="center"/>
        </w:trPr>
        <w:tc>
          <w:tcPr>
            <w:tcW w:w="5955" w:type="dxa"/>
            <w:gridSpan w:val="2"/>
          </w:tcPr>
          <w:p w14:paraId="00ED20EF" w14:textId="77777777" w:rsidR="00E07ECC" w:rsidRPr="00E07ECC" w:rsidRDefault="00760036" w:rsidP="002031E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2031E6">
              <w:rPr>
                <w:rFonts w:ascii="Times New Roman" w:hAnsi="Times New Roman" w:cs="Times New Roman"/>
                <w:b/>
                <w:bCs/>
                <w:sz w:val="20"/>
                <w:szCs w:val="20"/>
              </w:rPr>
              <w:t>Cost Recovery Fee or Observer Fee</w:t>
            </w:r>
            <w:r w:rsidR="00E07ECC" w:rsidRPr="00E07ECC">
              <w:rPr>
                <w:rFonts w:ascii="Times New Roman" w:hAnsi="Times New Roman" w:cs="Times New Roman"/>
                <w:b/>
                <w:bCs/>
                <w:sz w:val="20"/>
                <w:szCs w:val="20"/>
              </w:rPr>
              <w:t>, respondents</w:t>
            </w:r>
          </w:p>
        </w:tc>
      </w:tr>
      <w:tr w:rsidR="00E07ECC" w:rsidRPr="00E07ECC" w14:paraId="11EE594D" w14:textId="77777777" w:rsidTr="00C43162">
        <w:trPr>
          <w:jc w:val="center"/>
        </w:trPr>
        <w:tc>
          <w:tcPr>
            <w:tcW w:w="4934" w:type="dxa"/>
          </w:tcPr>
          <w:p w14:paraId="5960B82E" w14:textId="77777777" w:rsidR="00E07ECC" w:rsidRPr="00E07ECC"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49BC201F" w14:textId="2F703314" w:rsidR="00055DD2" w:rsidRDefault="00055DD2"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11 new catcher vessels</w:t>
            </w:r>
            <w:r w:rsidR="00F33796">
              <w:rPr>
                <w:rFonts w:ascii="Times New Roman" w:hAnsi="Times New Roman" w:cs="Times New Roman"/>
                <w:sz w:val="20"/>
                <w:szCs w:val="20"/>
              </w:rPr>
              <w:t xml:space="preserve">   </w:t>
            </w:r>
          </w:p>
          <w:p w14:paraId="6E86A50C" w14:textId="7E645563" w:rsidR="00F33796" w:rsidRDefault="00055DD2"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1E9D">
              <w:rPr>
                <w:rFonts w:ascii="Times New Roman" w:hAnsi="Times New Roman" w:cs="Times New Roman"/>
                <w:sz w:val="20"/>
                <w:szCs w:val="20"/>
              </w:rPr>
              <w:t>2,</w:t>
            </w:r>
            <w:r w:rsidR="00D93ED8">
              <w:rPr>
                <w:rFonts w:ascii="Times New Roman" w:hAnsi="Times New Roman" w:cs="Times New Roman"/>
                <w:sz w:val="20"/>
                <w:szCs w:val="20"/>
              </w:rPr>
              <w:t>024</w:t>
            </w:r>
            <w:r w:rsidR="00F33796">
              <w:rPr>
                <w:rFonts w:ascii="Times New Roman" w:hAnsi="Times New Roman" w:cs="Times New Roman"/>
                <w:sz w:val="20"/>
                <w:szCs w:val="20"/>
              </w:rPr>
              <w:t xml:space="preserve">  IFQ sablefish and halibut</w:t>
            </w:r>
          </w:p>
          <w:p w14:paraId="3E76A7E8"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D75FC">
              <w:rPr>
                <w:rFonts w:ascii="Times New Roman" w:hAnsi="Times New Roman" w:cs="Times New Roman"/>
                <w:sz w:val="20"/>
                <w:szCs w:val="20"/>
              </w:rPr>
              <w:t>6</w:t>
            </w:r>
            <w:r>
              <w:rPr>
                <w:rFonts w:ascii="Times New Roman" w:hAnsi="Times New Roman" w:cs="Times New Roman"/>
                <w:sz w:val="20"/>
                <w:szCs w:val="20"/>
              </w:rPr>
              <w:t xml:space="preserve">  CDQ groundfish and halibut</w:t>
            </w:r>
          </w:p>
          <w:p w14:paraId="6914545B" w14:textId="77777777" w:rsidR="00270889" w:rsidRDefault="00270889"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9</w:t>
            </w:r>
            <w:r>
              <w:rPr>
                <w:rFonts w:ascii="Times New Roman" w:hAnsi="Times New Roman" w:cs="Times New Roman"/>
                <w:sz w:val="20"/>
                <w:szCs w:val="20"/>
              </w:rPr>
              <w:t xml:space="preserve"> Rockfish</w:t>
            </w:r>
          </w:p>
          <w:p w14:paraId="4BF52889" w14:textId="77777777" w:rsidR="00FA550D" w:rsidRDefault="00FA550D"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20</w:t>
            </w:r>
            <w:r>
              <w:rPr>
                <w:rFonts w:ascii="Times New Roman" w:hAnsi="Times New Roman" w:cs="Times New Roman"/>
                <w:sz w:val="20"/>
                <w:szCs w:val="20"/>
              </w:rPr>
              <w:t xml:space="preserve">  RCR crab</w:t>
            </w:r>
          </w:p>
          <w:p w14:paraId="1720E4D1"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9</w:t>
            </w:r>
            <w:r>
              <w:rPr>
                <w:rFonts w:ascii="Times New Roman" w:hAnsi="Times New Roman" w:cs="Times New Roman"/>
                <w:sz w:val="20"/>
                <w:szCs w:val="20"/>
              </w:rPr>
              <w:t xml:space="preserve">  AFA pollock</w:t>
            </w:r>
          </w:p>
          <w:p w14:paraId="63F6DF9E"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1</w:t>
            </w:r>
            <w:r>
              <w:rPr>
                <w:rFonts w:ascii="Times New Roman" w:hAnsi="Times New Roman" w:cs="Times New Roman"/>
                <w:sz w:val="20"/>
                <w:szCs w:val="20"/>
              </w:rPr>
              <w:t xml:space="preserve">  Aleutian Islands pollock</w:t>
            </w:r>
          </w:p>
          <w:p w14:paraId="10EDAB5C"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2</w:t>
            </w:r>
            <w:r>
              <w:rPr>
                <w:rFonts w:ascii="Times New Roman" w:hAnsi="Times New Roman" w:cs="Times New Roman"/>
                <w:sz w:val="20"/>
                <w:szCs w:val="20"/>
              </w:rPr>
              <w:t xml:space="preserve">  Amendment 80</w:t>
            </w:r>
            <w:r w:rsidR="005F7E21">
              <w:rPr>
                <w:rFonts w:ascii="Times New Roman" w:hAnsi="Times New Roman" w:cs="Times New Roman"/>
                <w:sz w:val="20"/>
                <w:szCs w:val="20"/>
              </w:rPr>
              <w:t xml:space="preserve"> cooperative</w:t>
            </w:r>
          </w:p>
          <w:p w14:paraId="08D39EAC" w14:textId="77777777" w:rsidR="00E07ECC" w:rsidRPr="00113DBA"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641F5" w:rsidRPr="00113DBA">
              <w:rPr>
                <w:rFonts w:ascii="Times New Roman" w:hAnsi="Times New Roman" w:cs="Times New Roman"/>
                <w:sz w:val="20"/>
                <w:szCs w:val="20"/>
              </w:rPr>
              <w:t>1</w:t>
            </w:r>
            <w:r w:rsidR="00D93ED8" w:rsidRPr="00113DBA">
              <w:rPr>
                <w:rFonts w:ascii="Times New Roman" w:hAnsi="Times New Roman" w:cs="Times New Roman"/>
                <w:sz w:val="20"/>
                <w:szCs w:val="20"/>
              </w:rPr>
              <w:t>0</w:t>
            </w:r>
            <w:r w:rsidR="006641F5" w:rsidRPr="00113DBA">
              <w:rPr>
                <w:rFonts w:ascii="Times New Roman" w:hAnsi="Times New Roman" w:cs="Times New Roman"/>
                <w:sz w:val="20"/>
                <w:szCs w:val="20"/>
              </w:rPr>
              <w:t>0</w:t>
            </w:r>
            <w:r w:rsidR="00113DBA">
              <w:rPr>
                <w:rFonts w:ascii="Times New Roman" w:hAnsi="Times New Roman" w:cs="Times New Roman"/>
                <w:sz w:val="20"/>
                <w:szCs w:val="20"/>
              </w:rPr>
              <w:t xml:space="preserve">  </w:t>
            </w:r>
            <w:r w:rsidR="00113DBA" w:rsidRPr="00113DBA">
              <w:rPr>
                <w:rFonts w:ascii="Times New Roman" w:hAnsi="Times New Roman" w:cs="Times New Roman"/>
                <w:sz w:val="20"/>
                <w:szCs w:val="20"/>
              </w:rPr>
              <w:t xml:space="preserve">partial observer coverage </w:t>
            </w:r>
            <w:r w:rsidRPr="00113DBA">
              <w:rPr>
                <w:rFonts w:ascii="Times New Roman" w:hAnsi="Times New Roman" w:cs="Times New Roman"/>
                <w:sz w:val="20"/>
                <w:szCs w:val="20"/>
              </w:rPr>
              <w:t xml:space="preserve">fee </w:t>
            </w:r>
            <w:r w:rsidR="00E07ECC" w:rsidRPr="00113DBA">
              <w:rPr>
                <w:rFonts w:ascii="Times New Roman" w:hAnsi="Times New Roman" w:cs="Times New Roman"/>
                <w:sz w:val="20"/>
                <w:szCs w:val="20"/>
              </w:rPr>
              <w:t xml:space="preserve">   </w:t>
            </w:r>
          </w:p>
          <w:p w14:paraId="397AF371"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3CDA106A"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14B48E99" w14:textId="0AC164B4"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005F7E21">
              <w:rPr>
                <w:rFonts w:ascii="Times New Roman" w:hAnsi="Times New Roman" w:cs="Times New Roman"/>
                <w:sz w:val="20"/>
                <w:szCs w:val="20"/>
              </w:rPr>
              <w:t xml:space="preserve"> </w:t>
            </w:r>
            <w:r w:rsidR="00164BF9">
              <w:rPr>
                <w:rFonts w:ascii="Times New Roman" w:hAnsi="Times New Roman" w:cs="Times New Roman"/>
                <w:sz w:val="20"/>
                <w:szCs w:val="20"/>
              </w:rPr>
              <w:t>(</w:t>
            </w:r>
            <w:r w:rsidR="00D93ED8">
              <w:rPr>
                <w:rFonts w:ascii="Times New Roman" w:hAnsi="Times New Roman" w:cs="Times New Roman"/>
                <w:sz w:val="20"/>
                <w:szCs w:val="20"/>
              </w:rPr>
              <w:t>36</w:t>
            </w:r>
            <w:r w:rsidR="00164BF9">
              <w:rPr>
                <w:rFonts w:ascii="Times New Roman" w:hAnsi="Times New Roman" w:cs="Times New Roman"/>
                <w:sz w:val="20"/>
                <w:szCs w:val="20"/>
              </w:rPr>
              <w:t>.</w:t>
            </w:r>
            <w:r w:rsidR="00055DD2">
              <w:rPr>
                <w:rFonts w:ascii="Times New Roman" w:hAnsi="Times New Roman" w:cs="Times New Roman"/>
                <w:sz w:val="20"/>
                <w:szCs w:val="20"/>
              </w:rPr>
              <w:t>37</w:t>
            </w:r>
            <w:r w:rsidR="00164BF9">
              <w:rPr>
                <w:rFonts w:ascii="Times New Roman" w:hAnsi="Times New Roman" w:cs="Times New Roman"/>
                <w:sz w:val="20"/>
                <w:szCs w:val="20"/>
              </w:rPr>
              <w:t>)</w:t>
            </w:r>
          </w:p>
          <w:p w14:paraId="6DCF401F"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sidR="009C1DA4">
              <w:rPr>
                <w:rFonts w:ascii="Times New Roman" w:hAnsi="Times New Roman" w:cs="Times New Roman"/>
                <w:sz w:val="20"/>
                <w:szCs w:val="20"/>
              </w:rPr>
              <w:t>= 1 minute</w:t>
            </w:r>
          </w:p>
          <w:p w14:paraId="42DBDC79"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sidR="00D93ED8">
              <w:rPr>
                <w:rFonts w:ascii="Times New Roman" w:hAnsi="Times New Roman" w:cs="Times New Roman"/>
                <w:sz w:val="20"/>
                <w:szCs w:val="20"/>
              </w:rPr>
              <w:t xml:space="preserve"> </w:t>
            </w:r>
            <w:r w:rsidRPr="00E07ECC">
              <w:rPr>
                <w:rFonts w:ascii="Times New Roman" w:hAnsi="Times New Roman" w:cs="Times New Roman"/>
                <w:sz w:val="20"/>
                <w:szCs w:val="20"/>
              </w:rPr>
              <w:t>x</w:t>
            </w:r>
            <w:r w:rsidR="00D93ED8">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14:paraId="07A5E780" w14:textId="73366275" w:rsidR="00E07ECC" w:rsidRPr="00E47116"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4</w:t>
            </w:r>
            <w:r w:rsidR="00822698">
              <w:rPr>
                <w:rFonts w:ascii="Times New Roman" w:hAnsi="Times New Roman" w:cs="Times New Roman"/>
                <w:bCs/>
                <w:sz w:val="20"/>
                <w:szCs w:val="20"/>
              </w:rPr>
              <w:t>14</w:t>
            </w:r>
            <w:r w:rsidR="008378AB">
              <w:rPr>
                <w:rFonts w:ascii="Times New Roman" w:hAnsi="Times New Roman" w:cs="Times New Roman"/>
                <w:bCs/>
                <w:sz w:val="20"/>
                <w:szCs w:val="20"/>
              </w:rPr>
              <w:t>.</w:t>
            </w:r>
            <w:r w:rsidR="00822698">
              <w:rPr>
                <w:rFonts w:ascii="Times New Roman" w:hAnsi="Times New Roman" w:cs="Times New Roman"/>
                <w:bCs/>
                <w:sz w:val="20"/>
                <w:szCs w:val="20"/>
              </w:rPr>
              <w:t>86</w:t>
            </w:r>
            <w:r w:rsidRPr="00E07ECC">
              <w:rPr>
                <w:rFonts w:ascii="Times New Roman" w:hAnsi="Times New Roman" w:cs="Times New Roman"/>
                <w:bCs/>
                <w:sz w:val="20"/>
                <w:szCs w:val="20"/>
              </w:rPr>
              <w:t>)</w:t>
            </w:r>
          </w:p>
          <w:p w14:paraId="02AECF4D" w14:textId="77777777" w:rsidR="00E07ECC" w:rsidRDefault="00E07ECC" w:rsidP="005F7E21">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sidR="00E47116">
              <w:rPr>
                <w:rFonts w:ascii="Times New Roman" w:hAnsi="Times New Roman" w:cs="Times New Roman"/>
                <w:sz w:val="20"/>
                <w:szCs w:val="20"/>
              </w:rPr>
              <w:t xml:space="preserve"> </w:t>
            </w:r>
            <w:r w:rsidR="008378AB">
              <w:rPr>
                <w:rFonts w:ascii="Times New Roman" w:hAnsi="Times New Roman" w:cs="Times New Roman"/>
                <w:sz w:val="20"/>
                <w:szCs w:val="20"/>
              </w:rPr>
              <w:t>133</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59.85</w:t>
            </w:r>
            <w:r w:rsidRPr="00E07ECC">
              <w:rPr>
                <w:rFonts w:ascii="Times New Roman" w:hAnsi="Times New Roman" w:cs="Times New Roman"/>
                <w:sz w:val="20"/>
                <w:szCs w:val="20"/>
              </w:rPr>
              <w:t>)</w:t>
            </w:r>
          </w:p>
          <w:p w14:paraId="0753807D" w14:textId="1792EEFC" w:rsidR="005F7E21" w:rsidRDefault="005F7E21"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 </w:t>
            </w:r>
            <w:r w:rsidR="00E47116">
              <w:rPr>
                <w:rFonts w:ascii="Times New Roman" w:hAnsi="Times New Roman" w:cs="Times New Roman"/>
                <w:sz w:val="20"/>
                <w:szCs w:val="20"/>
              </w:rPr>
              <w:t>x</w:t>
            </w:r>
            <w:r w:rsidR="006A333D">
              <w:rPr>
                <w:rFonts w:ascii="Times New Roman" w:hAnsi="Times New Roman" w:cs="Times New Roman"/>
                <w:sz w:val="20"/>
                <w:szCs w:val="20"/>
              </w:rPr>
              <w:t xml:space="preserve"> </w:t>
            </w:r>
            <w:r w:rsidR="00E47116">
              <w:rPr>
                <w:rFonts w:ascii="Times New Roman" w:hAnsi="Times New Roman" w:cs="Times New Roman"/>
                <w:sz w:val="20"/>
                <w:szCs w:val="20"/>
              </w:rPr>
              <w:t>2</w:t>
            </w:r>
            <w:r w:rsidR="008378AB">
              <w:rPr>
                <w:rFonts w:ascii="Times New Roman" w:hAnsi="Times New Roman" w:cs="Times New Roman"/>
                <w:sz w:val="20"/>
                <w:szCs w:val="20"/>
              </w:rPr>
              <w:t>0</w:t>
            </w:r>
            <w:r w:rsidR="00822698">
              <w:rPr>
                <w:rFonts w:ascii="Times New Roman" w:hAnsi="Times New Roman" w:cs="Times New Roman"/>
                <w:sz w:val="20"/>
                <w:szCs w:val="20"/>
              </w:rPr>
              <w:t>11</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0</w:t>
            </w:r>
            <w:r w:rsidR="003E0482">
              <w:rPr>
                <w:rFonts w:ascii="Times New Roman" w:hAnsi="Times New Roman" w:cs="Times New Roman"/>
                <w:sz w:val="20"/>
                <w:szCs w:val="20"/>
              </w:rPr>
              <w:t>)</w:t>
            </w:r>
          </w:p>
          <w:p w14:paraId="2974E1C7" w14:textId="77777777" w:rsidR="00E47116" w:rsidRDefault="00E47116"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Prepay by mail </w:t>
            </w:r>
            <w:r w:rsidR="003E0482">
              <w:rPr>
                <w:rFonts w:ascii="Times New Roman" w:hAnsi="Times New Roman" w:cs="Times New Roman"/>
                <w:sz w:val="20"/>
                <w:szCs w:val="20"/>
              </w:rPr>
              <w:t>(</w:t>
            </w:r>
            <w:r>
              <w:rPr>
                <w:rFonts w:ascii="Times New Roman" w:hAnsi="Times New Roman" w:cs="Times New Roman"/>
                <w:sz w:val="20"/>
                <w:szCs w:val="20"/>
              </w:rPr>
              <w:t>38 x .90</w:t>
            </w:r>
            <w:r w:rsidR="003E0482">
              <w:rPr>
                <w:rFonts w:ascii="Times New Roman" w:hAnsi="Times New Roman" w:cs="Times New Roman"/>
                <w:sz w:val="20"/>
                <w:szCs w:val="20"/>
              </w:rPr>
              <w:t xml:space="preserve"> x 4 times/</w:t>
            </w:r>
            <w:proofErr w:type="spellStart"/>
            <w:r w:rsidR="003E0482">
              <w:rPr>
                <w:rFonts w:ascii="Times New Roman" w:hAnsi="Times New Roman" w:cs="Times New Roman"/>
                <w:sz w:val="20"/>
                <w:szCs w:val="20"/>
              </w:rPr>
              <w:t>yr</w:t>
            </w:r>
            <w:proofErr w:type="spellEnd"/>
            <w:r w:rsidR="003E0482">
              <w:rPr>
                <w:rFonts w:ascii="Times New Roman" w:hAnsi="Times New Roman" w:cs="Times New Roman"/>
                <w:sz w:val="20"/>
                <w:szCs w:val="20"/>
              </w:rPr>
              <w:t xml:space="preserve"> = 136.80)</w:t>
            </w:r>
          </w:p>
          <w:p w14:paraId="040659C4" w14:textId="7C820ABF" w:rsidR="00E47116" w:rsidRPr="00E07ECC" w:rsidRDefault="00E47116" w:rsidP="008226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w:t>
            </w:r>
            <w:r w:rsidR="008378AB">
              <w:rPr>
                <w:rFonts w:ascii="Times New Roman" w:hAnsi="Times New Roman" w:cs="Times New Roman"/>
                <w:sz w:val="20"/>
                <w:szCs w:val="20"/>
              </w:rPr>
              <w:t>2171</w:t>
            </w:r>
            <w:r>
              <w:rPr>
                <w:rFonts w:ascii="Times New Roman" w:hAnsi="Times New Roman" w:cs="Times New Roman"/>
                <w:sz w:val="20"/>
                <w:szCs w:val="20"/>
              </w:rPr>
              <w:t xml:space="preserve"> =</w:t>
            </w:r>
            <w:r w:rsidR="00822698">
              <w:rPr>
                <w:rFonts w:ascii="Times New Roman" w:hAnsi="Times New Roman" w:cs="Times New Roman"/>
                <w:sz w:val="20"/>
                <w:szCs w:val="20"/>
              </w:rPr>
              <w:t>218</w:t>
            </w:r>
            <w:r>
              <w:rPr>
                <w:rFonts w:ascii="Times New Roman" w:hAnsi="Times New Roman" w:cs="Times New Roman"/>
                <w:sz w:val="20"/>
                <w:szCs w:val="20"/>
              </w:rPr>
              <w:t>.</w:t>
            </w:r>
            <w:r w:rsidR="00822698">
              <w:rPr>
                <w:rFonts w:ascii="Times New Roman" w:hAnsi="Times New Roman" w:cs="Times New Roman"/>
                <w:sz w:val="20"/>
                <w:szCs w:val="20"/>
              </w:rPr>
              <w:t>2</w:t>
            </w:r>
            <w:r>
              <w:rPr>
                <w:rFonts w:ascii="Times New Roman" w:hAnsi="Times New Roman" w:cs="Times New Roman"/>
                <w:sz w:val="20"/>
                <w:szCs w:val="20"/>
              </w:rPr>
              <w:t>0</w:t>
            </w:r>
          </w:p>
        </w:tc>
        <w:tc>
          <w:tcPr>
            <w:tcW w:w="1021" w:type="dxa"/>
          </w:tcPr>
          <w:p w14:paraId="02AE6D91" w14:textId="063FBDDE" w:rsidR="00E07ECC" w:rsidRDefault="00055DD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78ADF5BA" w14:textId="77777777" w:rsidR="00164BF9" w:rsidRDefault="00164BF9" w:rsidP="00E07ECC">
            <w:pPr>
              <w:spacing w:after="0" w:line="240" w:lineRule="auto"/>
              <w:jc w:val="right"/>
              <w:rPr>
                <w:rFonts w:ascii="Times New Roman" w:hAnsi="Times New Roman" w:cs="Times New Roman"/>
                <w:b/>
                <w:sz w:val="20"/>
                <w:szCs w:val="20"/>
              </w:rPr>
            </w:pPr>
          </w:p>
          <w:p w14:paraId="44B8E2E9" w14:textId="77777777" w:rsidR="00164BF9" w:rsidRDefault="00164BF9" w:rsidP="00E07ECC">
            <w:pPr>
              <w:spacing w:after="0" w:line="240" w:lineRule="auto"/>
              <w:jc w:val="right"/>
              <w:rPr>
                <w:rFonts w:ascii="Times New Roman" w:hAnsi="Times New Roman" w:cs="Times New Roman"/>
                <w:b/>
                <w:sz w:val="20"/>
                <w:szCs w:val="20"/>
              </w:rPr>
            </w:pPr>
          </w:p>
          <w:p w14:paraId="03E5E0E3" w14:textId="77777777" w:rsidR="00164BF9" w:rsidRDefault="00164BF9" w:rsidP="00E07ECC">
            <w:pPr>
              <w:spacing w:after="0" w:line="240" w:lineRule="auto"/>
              <w:jc w:val="right"/>
              <w:rPr>
                <w:rFonts w:ascii="Times New Roman" w:hAnsi="Times New Roman" w:cs="Times New Roman"/>
                <w:b/>
                <w:sz w:val="20"/>
                <w:szCs w:val="20"/>
              </w:rPr>
            </w:pPr>
          </w:p>
          <w:p w14:paraId="24F10895" w14:textId="77777777" w:rsidR="00164BF9" w:rsidRDefault="00164BF9" w:rsidP="00E07ECC">
            <w:pPr>
              <w:spacing w:after="0" w:line="240" w:lineRule="auto"/>
              <w:jc w:val="right"/>
              <w:rPr>
                <w:rFonts w:ascii="Times New Roman" w:hAnsi="Times New Roman" w:cs="Times New Roman"/>
                <w:b/>
                <w:sz w:val="20"/>
                <w:szCs w:val="20"/>
              </w:rPr>
            </w:pPr>
          </w:p>
          <w:p w14:paraId="4DE304BC" w14:textId="77777777" w:rsidR="00164BF9" w:rsidRDefault="00164BF9" w:rsidP="00E07ECC">
            <w:pPr>
              <w:spacing w:after="0" w:line="240" w:lineRule="auto"/>
              <w:jc w:val="right"/>
              <w:rPr>
                <w:rFonts w:ascii="Times New Roman" w:hAnsi="Times New Roman" w:cs="Times New Roman"/>
                <w:b/>
                <w:sz w:val="20"/>
                <w:szCs w:val="20"/>
              </w:rPr>
            </w:pPr>
          </w:p>
          <w:p w14:paraId="19397A83" w14:textId="77777777" w:rsidR="00164BF9" w:rsidRDefault="00164BF9" w:rsidP="00E07ECC">
            <w:pPr>
              <w:spacing w:after="0" w:line="240" w:lineRule="auto"/>
              <w:jc w:val="right"/>
              <w:rPr>
                <w:rFonts w:ascii="Times New Roman" w:hAnsi="Times New Roman" w:cs="Times New Roman"/>
                <w:b/>
                <w:sz w:val="20"/>
                <w:szCs w:val="20"/>
              </w:rPr>
            </w:pPr>
          </w:p>
          <w:p w14:paraId="4D1DC1BD" w14:textId="77777777" w:rsidR="00164BF9" w:rsidRDefault="00164BF9" w:rsidP="00E07ECC">
            <w:pPr>
              <w:spacing w:after="0" w:line="240" w:lineRule="auto"/>
              <w:jc w:val="right"/>
              <w:rPr>
                <w:rFonts w:ascii="Times New Roman" w:hAnsi="Times New Roman" w:cs="Times New Roman"/>
                <w:b/>
                <w:sz w:val="20"/>
                <w:szCs w:val="20"/>
              </w:rPr>
            </w:pPr>
          </w:p>
          <w:p w14:paraId="099E5AD0" w14:textId="77777777" w:rsidR="00164BF9" w:rsidRDefault="00164BF9" w:rsidP="00E07ECC">
            <w:pPr>
              <w:spacing w:after="0" w:line="240" w:lineRule="auto"/>
              <w:jc w:val="right"/>
              <w:rPr>
                <w:rFonts w:ascii="Times New Roman" w:hAnsi="Times New Roman" w:cs="Times New Roman"/>
                <w:b/>
                <w:sz w:val="20"/>
                <w:szCs w:val="20"/>
              </w:rPr>
            </w:pPr>
          </w:p>
          <w:p w14:paraId="052970C5" w14:textId="77777777" w:rsidR="00822698" w:rsidRDefault="00822698" w:rsidP="00E07ECC">
            <w:pPr>
              <w:spacing w:after="0" w:line="240" w:lineRule="auto"/>
              <w:jc w:val="right"/>
              <w:rPr>
                <w:rFonts w:ascii="Times New Roman" w:hAnsi="Times New Roman" w:cs="Times New Roman"/>
                <w:b/>
                <w:sz w:val="20"/>
                <w:szCs w:val="20"/>
              </w:rPr>
            </w:pPr>
          </w:p>
          <w:p w14:paraId="1B0E874D" w14:textId="6CF90F85"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w:t>
            </w:r>
            <w:r w:rsidR="00055DD2">
              <w:rPr>
                <w:rFonts w:ascii="Times New Roman" w:hAnsi="Times New Roman" w:cs="Times New Roman"/>
                <w:b/>
                <w:sz w:val="20"/>
                <w:szCs w:val="20"/>
              </w:rPr>
              <w:t>82</w:t>
            </w:r>
          </w:p>
          <w:p w14:paraId="17694F1F" w14:textId="77777777" w:rsidR="00164BF9" w:rsidRDefault="00164BF9" w:rsidP="00E07ECC">
            <w:pPr>
              <w:spacing w:after="0" w:line="240" w:lineRule="auto"/>
              <w:jc w:val="right"/>
              <w:rPr>
                <w:rFonts w:ascii="Times New Roman" w:hAnsi="Times New Roman" w:cs="Times New Roman"/>
                <w:b/>
                <w:sz w:val="20"/>
                <w:szCs w:val="20"/>
              </w:rPr>
            </w:pPr>
          </w:p>
          <w:p w14:paraId="3E0D09F1" w14:textId="77777777"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164BF9">
              <w:rPr>
                <w:rFonts w:ascii="Times New Roman" w:hAnsi="Times New Roman" w:cs="Times New Roman"/>
                <w:b/>
                <w:sz w:val="20"/>
                <w:szCs w:val="20"/>
              </w:rPr>
              <w:t xml:space="preserve"> hr</w:t>
            </w:r>
          </w:p>
          <w:p w14:paraId="086C2376" w14:textId="77777777" w:rsidR="00822698" w:rsidRDefault="00822698" w:rsidP="00E07ECC">
            <w:pPr>
              <w:spacing w:after="0" w:line="240" w:lineRule="auto"/>
              <w:jc w:val="right"/>
              <w:rPr>
                <w:rFonts w:ascii="Times New Roman" w:hAnsi="Times New Roman" w:cs="Times New Roman"/>
                <w:b/>
                <w:sz w:val="20"/>
                <w:szCs w:val="20"/>
              </w:rPr>
            </w:pPr>
          </w:p>
          <w:p w14:paraId="4C265FE4" w14:textId="77777777" w:rsidR="00164BF9" w:rsidRDefault="00164BF9"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D93ED8">
              <w:rPr>
                <w:rFonts w:ascii="Times New Roman" w:hAnsi="Times New Roman" w:cs="Times New Roman"/>
                <w:b/>
                <w:sz w:val="20"/>
                <w:szCs w:val="20"/>
              </w:rPr>
              <w:t>,332</w:t>
            </w:r>
          </w:p>
          <w:p w14:paraId="7739996C" w14:textId="77777777" w:rsidR="003E0482" w:rsidRDefault="003E048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4</w:t>
            </w:r>
            <w:r w:rsidR="00655EBE">
              <w:rPr>
                <w:rFonts w:ascii="Times New Roman" w:hAnsi="Times New Roman" w:cs="Times New Roman"/>
                <w:b/>
                <w:sz w:val="20"/>
                <w:szCs w:val="20"/>
              </w:rPr>
              <w:t>14</w:t>
            </w:r>
          </w:p>
          <w:p w14:paraId="77BFBE24" w14:textId="77777777" w:rsidR="00164BF9" w:rsidRPr="00164BF9" w:rsidRDefault="00164BF9" w:rsidP="00E07ECC">
            <w:pPr>
              <w:spacing w:after="0" w:line="240" w:lineRule="auto"/>
              <w:jc w:val="right"/>
              <w:rPr>
                <w:rFonts w:ascii="Times New Roman" w:hAnsi="Times New Roman" w:cs="Times New Roman"/>
                <w:b/>
                <w:sz w:val="20"/>
                <w:szCs w:val="20"/>
              </w:rPr>
            </w:pPr>
          </w:p>
        </w:tc>
      </w:tr>
    </w:tbl>
    <w:p w14:paraId="7FE499F0" w14:textId="77777777" w:rsidR="00E07ECC" w:rsidRDefault="00E07ECC" w:rsidP="00E07ECC">
      <w:pPr>
        <w:spacing w:after="0" w:line="240" w:lineRule="auto"/>
        <w:rPr>
          <w:rFonts w:ascii="Times New Roman" w:hAnsi="Times New Roman" w:cs="Times New Roman"/>
          <w:b/>
          <w:bCs/>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70FCD" w:rsidRPr="00E07ECC" w14:paraId="03AC5843" w14:textId="77777777" w:rsidTr="00736469">
        <w:trPr>
          <w:jc w:val="center"/>
        </w:trPr>
        <w:tc>
          <w:tcPr>
            <w:tcW w:w="5955" w:type="dxa"/>
            <w:gridSpan w:val="2"/>
          </w:tcPr>
          <w:p w14:paraId="0BA63E2F" w14:textId="4A3F336A" w:rsidR="00F70FCD" w:rsidRPr="00E07ECC" w:rsidRDefault="00F70FCD" w:rsidP="00F70FCD">
            <w:pPr>
              <w:spacing w:after="0" w:line="240" w:lineRule="auto"/>
              <w:rPr>
                <w:rFonts w:ascii="Times New Roman" w:hAnsi="Times New Roman" w:cs="Times New Roman"/>
                <w:b/>
                <w:bCs/>
                <w:sz w:val="20"/>
                <w:szCs w:val="20"/>
              </w:rPr>
            </w:pPr>
            <w:r>
              <w:rPr>
                <w:rFonts w:ascii="Times New Roman" w:hAnsi="Times New Roman"/>
              </w:rPr>
              <w:br w:type="page"/>
            </w: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xml:space="preserve">, </w:t>
            </w:r>
            <w:r>
              <w:rPr>
                <w:rFonts w:ascii="Times New Roman" w:hAnsi="Times New Roman" w:cs="Times New Roman"/>
                <w:b/>
                <w:bCs/>
                <w:sz w:val="20"/>
                <w:szCs w:val="20"/>
              </w:rPr>
              <w:t>Federal Government</w:t>
            </w:r>
          </w:p>
        </w:tc>
      </w:tr>
      <w:tr w:rsidR="00F70FCD" w:rsidRPr="00E07ECC" w14:paraId="2D675E05" w14:textId="77777777" w:rsidTr="00736469">
        <w:trPr>
          <w:jc w:val="center"/>
        </w:trPr>
        <w:tc>
          <w:tcPr>
            <w:tcW w:w="4934" w:type="dxa"/>
          </w:tcPr>
          <w:p w14:paraId="59191B39" w14:textId="5CABEA0F"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3725BDD" w14:textId="39FF0D57"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153B13CA" w14:textId="2A39F65A"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217F38D2" w14:textId="6CB108F1" w:rsidR="00F70FCD" w:rsidRPr="00F70FCD" w:rsidRDefault="00F70FCD" w:rsidP="00F70FCD">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08AF9551" w14:textId="77777777" w:rsidR="00F70FCD" w:rsidRDefault="0019453A"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2FFF56E" w14:textId="77777777" w:rsidR="004A22A3"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C1915DB" w14:textId="77777777" w:rsidR="004A22A3"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EC818AD" w14:textId="1DAFE01D" w:rsidR="004A22A3" w:rsidRPr="00164BF9"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29F84F5F" w14:textId="77777777" w:rsidR="008560B9" w:rsidRPr="00AA0227" w:rsidRDefault="008560B9" w:rsidP="008807CB">
      <w:pPr>
        <w:spacing w:after="0" w:line="240" w:lineRule="auto"/>
        <w:outlineLvl w:val="0"/>
        <w:rPr>
          <w:rFonts w:ascii="Times New Roman" w:hAnsi="Times New Roman"/>
        </w:rPr>
      </w:pPr>
    </w:p>
    <w:p w14:paraId="30DE9258" w14:textId="7ABD7DA4" w:rsidR="00FB6990" w:rsidRDefault="00FB6990" w:rsidP="00FB6990">
      <w:pPr>
        <w:spacing w:after="0" w:line="240" w:lineRule="auto"/>
        <w:rPr>
          <w:rFonts w:ascii="Times New Roman" w:hAnsi="Times New Roman" w:cs="Times New Roman"/>
          <w:b/>
          <w:sz w:val="24"/>
          <w:szCs w:val="24"/>
        </w:rPr>
      </w:pPr>
      <w:r w:rsidRPr="00FB6990">
        <w:rPr>
          <w:rFonts w:ascii="Times New Roman" w:hAnsi="Times New Roman" w:cs="Times New Roman"/>
          <w:b/>
          <w:sz w:val="24"/>
          <w:szCs w:val="24"/>
        </w:rPr>
        <w:t>b. Value &amp; Volume Report</w:t>
      </w:r>
      <w:r w:rsidR="00183ED5">
        <w:rPr>
          <w:rFonts w:ascii="Times New Roman" w:hAnsi="Times New Roman" w:cs="Times New Roman"/>
          <w:b/>
          <w:sz w:val="24"/>
          <w:szCs w:val="24"/>
        </w:rPr>
        <w:t xml:space="preserve"> </w:t>
      </w:r>
      <w:r w:rsidR="006F444B">
        <w:rPr>
          <w:rFonts w:ascii="Times New Roman" w:hAnsi="Times New Roman" w:cs="Times New Roman"/>
          <w:b/>
          <w:sz w:val="24"/>
          <w:szCs w:val="24"/>
        </w:rPr>
        <w:t>[UNCHANGED]</w:t>
      </w:r>
    </w:p>
    <w:p w14:paraId="65A10C50" w14:textId="77777777" w:rsidR="00FB6990" w:rsidRDefault="00FB6990" w:rsidP="00FB6990">
      <w:pPr>
        <w:spacing w:after="0" w:line="240" w:lineRule="auto"/>
        <w:rPr>
          <w:rFonts w:ascii="Times New Roman" w:hAnsi="Times New Roman" w:cs="Times New Roman"/>
          <w:b/>
          <w:sz w:val="24"/>
          <w:szCs w:val="24"/>
        </w:rPr>
      </w:pPr>
    </w:p>
    <w:p w14:paraId="6E624ACD" w14:textId="0235E180" w:rsidR="00FB6990" w:rsidRPr="00FB6990" w:rsidRDefault="00FB6990" w:rsidP="00FB6990">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sidR="001B0DE1">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sidR="003C31E6">
        <w:rPr>
          <w:rFonts w:ascii="Times New Roman" w:hAnsi="Times New Roman" w:cs="Times New Roman"/>
          <w:sz w:val="24"/>
          <w:szCs w:val="24"/>
          <w:u w:val="single"/>
        </w:rPr>
        <w:t xml:space="preserve"> (IFQ Buyer Report)</w:t>
      </w:r>
    </w:p>
    <w:p w14:paraId="0315ECBB" w14:textId="6B6A31EB" w:rsidR="009F3312" w:rsidRDefault="003C31E6" w:rsidP="001B0DE1">
      <w:pPr>
        <w:spacing w:after="0" w:line="240" w:lineRule="auto"/>
        <w:rPr>
          <w:rFonts w:ascii="Times New Roman" w:hAnsi="Times New Roman" w:cs="Times New Roman"/>
          <w:sz w:val="24"/>
          <w:szCs w:val="24"/>
        </w:rPr>
      </w:pPr>
      <w:r>
        <w:rPr>
          <w:rFonts w:ascii="Times New Roman" w:hAnsi="Times New Roman" w:cs="Times New Roman"/>
          <w:sz w:val="24"/>
          <w:szCs w:val="24"/>
        </w:rPr>
        <w:t>The IFQ Buyer Report must be submitted annually by a</w:t>
      </w:r>
      <w:r w:rsidR="001B0DE1">
        <w:rPr>
          <w:rFonts w:ascii="Times New Roman" w:hAnsi="Times New Roman" w:cs="Times New Roman"/>
          <w:sz w:val="24"/>
          <w:szCs w:val="24"/>
        </w:rPr>
        <w:t xml:space="preserve">n </w:t>
      </w:r>
      <w:r w:rsidR="001B0DE1" w:rsidRPr="001B0DE1">
        <w:rPr>
          <w:rFonts w:ascii="Times New Roman" w:hAnsi="Times New Roman" w:cs="Times New Roman"/>
          <w:sz w:val="24"/>
          <w:szCs w:val="24"/>
        </w:rPr>
        <w:t>IFQ Registered Buyer that</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operates as a shoreside processor and receives and</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purchases IFQ landings of sablefish or halibut or CDQ</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landings of halibut</w:t>
      </w:r>
      <w:r w:rsidR="001B0DE1">
        <w:rPr>
          <w:rFonts w:ascii="Times New Roman" w:hAnsi="Times New Roman" w:cs="Times New Roman"/>
          <w:sz w:val="24"/>
          <w:szCs w:val="24"/>
        </w:rPr>
        <w:t xml:space="preserve">.  </w:t>
      </w:r>
    </w:p>
    <w:p w14:paraId="47802B73" w14:textId="77777777" w:rsidR="00A960BA" w:rsidRDefault="00A960BA" w:rsidP="00DE4239">
      <w:pPr>
        <w:spacing w:after="0" w:line="240" w:lineRule="auto"/>
        <w:rPr>
          <w:rFonts w:ascii="Times New Roman" w:hAnsi="Times New Roman" w:cs="Times New Roman"/>
          <w:b/>
          <w:sz w:val="24"/>
          <w:szCs w:val="24"/>
        </w:rPr>
      </w:pPr>
    </w:p>
    <w:p w14:paraId="10692241" w14:textId="7FEFB399" w:rsidR="00DE4239" w:rsidRDefault="003C31E6" w:rsidP="00DE423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1B0DE1" w:rsidRPr="00756B15">
        <w:rPr>
          <w:rFonts w:ascii="Times New Roman" w:hAnsi="Times New Roman" w:cs="Times New Roman"/>
          <w:b/>
          <w:sz w:val="24"/>
          <w:szCs w:val="24"/>
        </w:rPr>
        <w:t>Deadline</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no late</w:t>
      </w:r>
      <w:r w:rsidR="001B0DE1">
        <w:rPr>
          <w:rFonts w:ascii="Times New Roman" w:hAnsi="Times New Roman" w:cs="Times New Roman"/>
          <w:sz w:val="24"/>
          <w:szCs w:val="24"/>
        </w:rPr>
        <w:t xml:space="preserve">r than </w:t>
      </w:r>
      <w:r w:rsidR="001B0DE1" w:rsidRPr="00E006D3">
        <w:rPr>
          <w:rFonts w:ascii="Times New Roman" w:hAnsi="Times New Roman" w:cs="Times New Roman"/>
          <w:b/>
          <w:i/>
          <w:sz w:val="24"/>
          <w:szCs w:val="24"/>
        </w:rPr>
        <w:t>October 15</w:t>
      </w:r>
      <w:r w:rsidR="001B0DE1">
        <w:rPr>
          <w:rFonts w:ascii="Times New Roman" w:hAnsi="Times New Roman" w:cs="Times New Roman"/>
          <w:sz w:val="24"/>
          <w:szCs w:val="24"/>
        </w:rPr>
        <w:t xml:space="preserve"> following the </w:t>
      </w:r>
      <w:r w:rsidR="001B0DE1" w:rsidRPr="001B0DE1">
        <w:rPr>
          <w:rFonts w:ascii="Times New Roman" w:hAnsi="Times New Roman" w:cs="Times New Roman"/>
          <w:sz w:val="24"/>
          <w:szCs w:val="24"/>
        </w:rPr>
        <w:t>reporting period in which the IFQ Registered Buyer</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receives the IFQ fish or CDQ halibu</w:t>
      </w:r>
      <w:r w:rsidR="001B0DE1">
        <w:rPr>
          <w:rFonts w:ascii="Times New Roman" w:hAnsi="Times New Roman" w:cs="Times New Roman"/>
          <w:sz w:val="24"/>
          <w:szCs w:val="24"/>
        </w:rPr>
        <w:t>t</w:t>
      </w:r>
      <w:r w:rsidR="003D19E0">
        <w:rPr>
          <w:rFonts w:ascii="Times New Roman" w:hAnsi="Times New Roman" w:cs="Times New Roman"/>
          <w:sz w:val="24"/>
          <w:szCs w:val="24"/>
        </w:rPr>
        <w:t>.</w:t>
      </w:r>
      <w:r w:rsidR="00E006D3">
        <w:rPr>
          <w:rFonts w:ascii="Times New Roman" w:hAnsi="Times New Roman" w:cs="Times New Roman"/>
          <w:sz w:val="24"/>
          <w:szCs w:val="24"/>
        </w:rPr>
        <w:t xml:space="preserve">  P</w:t>
      </w:r>
      <w:r w:rsidR="00E006D3" w:rsidRPr="00C0017D">
        <w:rPr>
          <w:rFonts w:ascii="Times New Roman" w:hAnsi="Times New Roman" w:cs="Times New Roman"/>
          <w:sz w:val="24"/>
          <w:szCs w:val="24"/>
        </w:rPr>
        <w:t xml:space="preserve">ayment </w:t>
      </w:r>
      <w:r w:rsidR="00E006D3">
        <w:rPr>
          <w:rFonts w:ascii="Times New Roman" w:hAnsi="Times New Roman" w:cs="Times New Roman"/>
          <w:sz w:val="24"/>
          <w:szCs w:val="24"/>
        </w:rPr>
        <w:t xml:space="preserve">may be submitted online through eFISH </w:t>
      </w:r>
      <w:r w:rsidR="00E006D3" w:rsidRPr="00FC4AB0">
        <w:rPr>
          <w:rFonts w:ascii="Times New Roman" w:hAnsi="Times New Roman" w:cs="Times New Roman"/>
          <w:sz w:val="24"/>
          <w:szCs w:val="24"/>
        </w:rPr>
        <w:t xml:space="preserve">at </w:t>
      </w:r>
      <w:hyperlink r:id="rId16" w:history="1">
        <w:r w:rsidR="00E006D3" w:rsidRPr="006A3085">
          <w:rPr>
            <w:rStyle w:val="Hyperlink"/>
            <w:rFonts w:ascii="Times New Roman" w:hAnsi="Times New Roman" w:cs="Times New Roman"/>
            <w:sz w:val="24"/>
            <w:szCs w:val="24"/>
          </w:rPr>
          <w:t>https://alaskafisheries.noaa.gov/webapps/efish/login</w:t>
        </w:r>
      </w:hyperlink>
      <w:r w:rsidR="00E006D3">
        <w:rPr>
          <w:rFonts w:ascii="Times New Roman" w:hAnsi="Times New Roman" w:cs="Times New Roman"/>
          <w:sz w:val="24"/>
          <w:szCs w:val="24"/>
        </w:rPr>
        <w:t xml:space="preserve">.  </w:t>
      </w:r>
      <w:r w:rsidR="00DE4239">
        <w:rPr>
          <w:rFonts w:ascii="Times New Roman" w:hAnsi="Times New Roman" w:cs="Times New Roman"/>
          <w:sz w:val="24"/>
          <w:szCs w:val="24"/>
        </w:rPr>
        <w:t>Report a</w:t>
      </w:r>
      <w:r w:rsidR="00E006D3">
        <w:rPr>
          <w:rFonts w:ascii="Times New Roman" w:hAnsi="Times New Roman" w:cs="Times New Roman"/>
          <w:sz w:val="24"/>
          <w:szCs w:val="24"/>
        </w:rPr>
        <w:t>lso may be submitted by</w:t>
      </w:r>
      <w:r w:rsidR="00DE4239">
        <w:rPr>
          <w:rFonts w:ascii="Times New Roman" w:hAnsi="Times New Roman" w:cs="Times New Roman"/>
          <w:sz w:val="24"/>
          <w:szCs w:val="24"/>
        </w:rPr>
        <w:t>:</w:t>
      </w:r>
    </w:p>
    <w:p w14:paraId="5A37FFBC" w14:textId="2C53CEFD" w:rsidR="00DE4239" w:rsidRPr="00DE4239" w:rsidRDefault="00DE4239" w:rsidP="00DE4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15AA28B" w14:textId="60057F3F" w:rsidR="00DE4239" w:rsidRPr="00DE4239" w:rsidRDefault="00DE4239" w:rsidP="00DE4239">
      <w:pPr>
        <w:tabs>
          <w:tab w:val="left" w:pos="360"/>
          <w:tab w:val="left" w:pos="720"/>
          <w:tab w:val="left" w:pos="108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w:t>
      </w:r>
      <w:proofErr w:type="gramStart"/>
      <w:r w:rsidRPr="00DE4239">
        <w:rPr>
          <w:rFonts w:ascii="Times New Roman" w:hAnsi="Times New Roman" w:cs="Times New Roman"/>
          <w:sz w:val="24"/>
          <w:szCs w:val="24"/>
        </w:rPr>
        <w:t>By</w:t>
      </w:r>
      <w:proofErr w:type="gramEnd"/>
      <w:r w:rsidRPr="00DE4239">
        <w:rPr>
          <w:rFonts w:ascii="Times New Roman" w:hAnsi="Times New Roman" w:cs="Times New Roman"/>
          <w:sz w:val="24"/>
          <w:szCs w:val="24"/>
        </w:rPr>
        <w:t xml:space="preserve"> mail to: </w:t>
      </w:r>
      <w:r>
        <w:rPr>
          <w:rFonts w:ascii="Times New Roman" w:hAnsi="Times New Roman" w:cs="Times New Roman"/>
          <w:sz w:val="24"/>
          <w:szCs w:val="24"/>
        </w:rPr>
        <w:tab/>
      </w:r>
      <w:r w:rsidRPr="00DE4239">
        <w:rPr>
          <w:rFonts w:ascii="Times New Roman" w:hAnsi="Times New Roman" w:cs="Times New Roman"/>
          <w:sz w:val="24"/>
          <w:szCs w:val="24"/>
        </w:rPr>
        <w:t>NMFS Alaska Region</w:t>
      </w:r>
    </w:p>
    <w:p w14:paraId="7D1A80C4" w14:textId="58F69360"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Attn: RAM Program</w:t>
      </w:r>
    </w:p>
    <w:p w14:paraId="7CCAC9F9" w14:textId="0F93778D"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P.O. Box 21668</w:t>
      </w:r>
    </w:p>
    <w:p w14:paraId="0AB34F85" w14:textId="5ED8E33E" w:rsid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Juneau AK 99802-1668</w:t>
      </w:r>
    </w:p>
    <w:p w14:paraId="4192BC8F" w14:textId="77777777" w:rsid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p>
    <w:p w14:paraId="1BFE50C0" w14:textId="317A951D"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w:t>
      </w:r>
      <w:proofErr w:type="gramStart"/>
      <w:r w:rsidRPr="00DE4239">
        <w:rPr>
          <w:rFonts w:ascii="Times New Roman" w:hAnsi="Times New Roman" w:cs="Times New Roman"/>
          <w:sz w:val="24"/>
          <w:szCs w:val="24"/>
        </w:rPr>
        <w:t>By</w:t>
      </w:r>
      <w:proofErr w:type="gramEnd"/>
      <w:r w:rsidRPr="00DE4239">
        <w:rPr>
          <w:rFonts w:ascii="Times New Roman" w:hAnsi="Times New Roman" w:cs="Times New Roman"/>
          <w:sz w:val="24"/>
          <w:szCs w:val="24"/>
        </w:rPr>
        <w:t xml:space="preserve"> fax to: </w:t>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907-586-7354</w:t>
      </w:r>
    </w:p>
    <w:p w14:paraId="26626838" w14:textId="6A5DCF8E" w:rsidR="00D71AE4" w:rsidRDefault="00D71AE4" w:rsidP="001B0DE1">
      <w:pPr>
        <w:spacing w:after="0" w:line="240" w:lineRule="auto"/>
        <w:rPr>
          <w:rFonts w:ascii="Times New Roman" w:hAnsi="Times New Roman" w:cs="Times New Roman"/>
          <w:sz w:val="24"/>
          <w:szCs w:val="24"/>
        </w:rPr>
      </w:pPr>
    </w:p>
    <w:p w14:paraId="792260BA" w14:textId="55A4375B" w:rsidR="00C43162" w:rsidRPr="00C43162" w:rsidRDefault="00C43162" w:rsidP="00C43162">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t>Rockfish Ex-</w:t>
      </w:r>
      <w:r w:rsidR="00DE4239">
        <w:rPr>
          <w:rFonts w:ascii="Times New Roman" w:hAnsi="Times New Roman" w:cs="Times New Roman"/>
          <w:sz w:val="24"/>
          <w:szCs w:val="24"/>
          <w:u w:val="single"/>
        </w:rPr>
        <w:t>vessel Volume and Value Report</w:t>
      </w:r>
    </w:p>
    <w:p w14:paraId="66F4B6E4" w14:textId="319DE8DC" w:rsidR="00BB4600" w:rsidRDefault="00DE4239" w:rsidP="00C4316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Rockfish Ex-vessel Volume and Value Report must be submitted annually by a </w:t>
      </w:r>
      <w:r w:rsidR="00C43162" w:rsidRPr="00C43162">
        <w:rPr>
          <w:rFonts w:ascii="Times New Roman" w:hAnsi="Times New Roman" w:cs="Times New Roman"/>
          <w:sz w:val="24"/>
          <w:szCs w:val="24"/>
        </w:rPr>
        <w:t>rockfish processor that</w:t>
      </w:r>
      <w:r w:rsidR="00C43162">
        <w:rPr>
          <w:rFonts w:ascii="Times New Roman" w:hAnsi="Times New Roman" w:cs="Times New Roman"/>
          <w:sz w:val="24"/>
          <w:szCs w:val="24"/>
        </w:rPr>
        <w:t xml:space="preserve"> </w:t>
      </w:r>
      <w:r w:rsidR="00C43162" w:rsidRPr="00C43162">
        <w:rPr>
          <w:rFonts w:ascii="Times New Roman" w:hAnsi="Times New Roman" w:cs="Times New Roman"/>
          <w:sz w:val="24"/>
          <w:szCs w:val="24"/>
        </w:rPr>
        <w:t>receives and purchases landings of rockfish CQ</w:t>
      </w:r>
      <w:r w:rsidR="00C43162">
        <w:rPr>
          <w:rFonts w:ascii="Times New Roman" w:hAnsi="Times New Roman" w:cs="Times New Roman"/>
          <w:sz w:val="24"/>
          <w:szCs w:val="24"/>
        </w:rPr>
        <w:t xml:space="preserve"> </w:t>
      </w:r>
      <w:r w:rsidR="00C43162" w:rsidRPr="00C43162">
        <w:rPr>
          <w:rFonts w:ascii="Times New Roman" w:hAnsi="Times New Roman" w:cs="Times New Roman"/>
          <w:sz w:val="24"/>
          <w:szCs w:val="24"/>
        </w:rPr>
        <w:t>groundfish</w:t>
      </w:r>
      <w:r w:rsidR="003A28B7">
        <w:rPr>
          <w:rFonts w:ascii="Times New Roman" w:hAnsi="Times New Roman" w:cs="Times New Roman"/>
          <w:sz w:val="24"/>
          <w:szCs w:val="24"/>
        </w:rPr>
        <w:t>.</w:t>
      </w:r>
      <w:r w:rsidR="00C43162" w:rsidRPr="00C43162">
        <w:rPr>
          <w:rFonts w:ascii="Times New Roman" w:hAnsi="Times New Roman" w:cs="Times New Roman"/>
          <w:sz w:val="24"/>
          <w:szCs w:val="24"/>
        </w:rPr>
        <w:t xml:space="preserve"> </w:t>
      </w:r>
      <w:r w:rsidR="00743984">
        <w:rPr>
          <w:rFonts w:ascii="Times New Roman" w:hAnsi="Times New Roman" w:cs="Times New Roman"/>
          <w:sz w:val="24"/>
          <w:szCs w:val="24"/>
        </w:rPr>
        <w:t>P</w:t>
      </w:r>
      <w:r w:rsidR="00743984" w:rsidRPr="00C0017D">
        <w:rPr>
          <w:rFonts w:ascii="Times New Roman" w:hAnsi="Times New Roman" w:cs="Times New Roman"/>
          <w:sz w:val="24"/>
          <w:szCs w:val="24"/>
        </w:rPr>
        <w:t xml:space="preserve">ayment </w:t>
      </w:r>
      <w:r w:rsidR="00743984">
        <w:rPr>
          <w:rFonts w:ascii="Times New Roman" w:hAnsi="Times New Roman" w:cs="Times New Roman"/>
          <w:sz w:val="24"/>
          <w:szCs w:val="24"/>
        </w:rPr>
        <w:t xml:space="preserve">must be submitted online through eFISH </w:t>
      </w:r>
      <w:r w:rsidR="00743984" w:rsidRPr="00FC4AB0">
        <w:rPr>
          <w:rFonts w:ascii="Times New Roman" w:hAnsi="Times New Roman" w:cs="Times New Roman"/>
          <w:sz w:val="24"/>
          <w:szCs w:val="24"/>
        </w:rPr>
        <w:t>at</w:t>
      </w:r>
      <w:r w:rsidR="00743984">
        <w:rPr>
          <w:rFonts w:ascii="Times New Roman" w:hAnsi="Times New Roman" w:cs="Times New Roman"/>
          <w:sz w:val="24"/>
          <w:szCs w:val="24"/>
        </w:rPr>
        <w:t xml:space="preserve"> </w:t>
      </w:r>
      <w:hyperlink r:id="rId17" w:history="1">
        <w:r w:rsidR="00743984" w:rsidRPr="006A3085">
          <w:rPr>
            <w:rStyle w:val="Hyperlink"/>
            <w:rFonts w:ascii="Times New Roman" w:hAnsi="Times New Roman" w:cs="Times New Roman"/>
            <w:sz w:val="24"/>
            <w:szCs w:val="24"/>
          </w:rPr>
          <w:t>https://alaskafisheries.noaa.gov/webapps/efish/login</w:t>
        </w:r>
      </w:hyperlink>
    </w:p>
    <w:p w14:paraId="1B0FB478" w14:textId="77777777" w:rsidR="00A960BA" w:rsidRDefault="00A960BA" w:rsidP="00C43162">
      <w:pPr>
        <w:spacing w:after="0" w:line="240" w:lineRule="auto"/>
        <w:rPr>
          <w:rFonts w:ascii="Times New Roman" w:hAnsi="Times New Roman" w:cs="Times New Roman"/>
          <w:b/>
          <w:sz w:val="24"/>
          <w:szCs w:val="24"/>
        </w:rPr>
      </w:pPr>
    </w:p>
    <w:p w14:paraId="24BF1F36" w14:textId="07EC502E" w:rsidR="00C43162" w:rsidRDefault="003A28B7" w:rsidP="00C4316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756B15" w:rsidRPr="00756B15">
        <w:rPr>
          <w:rFonts w:ascii="Times New Roman" w:hAnsi="Times New Roman" w:cs="Times New Roman"/>
          <w:b/>
          <w:sz w:val="24"/>
          <w:szCs w:val="24"/>
        </w:rPr>
        <w:t>Deadline</w:t>
      </w:r>
      <w:r w:rsidR="00756B15">
        <w:rPr>
          <w:rFonts w:ascii="Times New Roman" w:hAnsi="Times New Roman" w:cs="Times New Roman"/>
          <w:sz w:val="24"/>
          <w:szCs w:val="24"/>
        </w:rPr>
        <w:t>:</w:t>
      </w:r>
      <w:r w:rsidR="009F3312">
        <w:rPr>
          <w:rFonts w:ascii="Times New Roman" w:hAnsi="Times New Roman" w:cs="Times New Roman"/>
          <w:sz w:val="24"/>
          <w:szCs w:val="24"/>
        </w:rPr>
        <w:t xml:space="preserve">  </w:t>
      </w:r>
      <w:r w:rsidR="00C43162" w:rsidRPr="00C43162">
        <w:rPr>
          <w:rFonts w:ascii="Times New Roman" w:hAnsi="Times New Roman" w:cs="Times New Roman"/>
          <w:sz w:val="24"/>
          <w:szCs w:val="24"/>
        </w:rPr>
        <w:t xml:space="preserve">no later than </w:t>
      </w:r>
      <w:r w:rsidR="00C43162" w:rsidRPr="003A28B7">
        <w:rPr>
          <w:rFonts w:ascii="Times New Roman" w:hAnsi="Times New Roman" w:cs="Times New Roman"/>
          <w:b/>
          <w:i/>
          <w:sz w:val="24"/>
          <w:szCs w:val="24"/>
        </w:rPr>
        <w:t>December 1</w:t>
      </w:r>
      <w:r w:rsidR="00C43162" w:rsidRPr="00C43162">
        <w:rPr>
          <w:rFonts w:ascii="Times New Roman" w:hAnsi="Times New Roman" w:cs="Times New Roman"/>
          <w:sz w:val="24"/>
          <w:szCs w:val="24"/>
        </w:rPr>
        <w:t xml:space="preserve"> of</w:t>
      </w:r>
      <w:r w:rsidR="00756B15">
        <w:rPr>
          <w:rFonts w:ascii="Times New Roman" w:hAnsi="Times New Roman" w:cs="Times New Roman"/>
          <w:sz w:val="24"/>
          <w:szCs w:val="24"/>
        </w:rPr>
        <w:t xml:space="preserve"> </w:t>
      </w:r>
      <w:r w:rsidR="00C43162" w:rsidRPr="00C43162">
        <w:rPr>
          <w:rFonts w:ascii="Times New Roman" w:hAnsi="Times New Roman" w:cs="Times New Roman"/>
          <w:sz w:val="24"/>
          <w:szCs w:val="24"/>
        </w:rPr>
        <w:t>the year in which the rockfish processor received the</w:t>
      </w:r>
      <w:r w:rsidR="00756B15">
        <w:rPr>
          <w:rFonts w:ascii="Times New Roman" w:hAnsi="Times New Roman" w:cs="Times New Roman"/>
          <w:sz w:val="24"/>
          <w:szCs w:val="24"/>
        </w:rPr>
        <w:t xml:space="preserve"> </w:t>
      </w:r>
      <w:r w:rsidR="00C43162" w:rsidRPr="00C43162">
        <w:rPr>
          <w:rFonts w:ascii="Times New Roman" w:hAnsi="Times New Roman" w:cs="Times New Roman"/>
          <w:sz w:val="24"/>
          <w:szCs w:val="24"/>
        </w:rPr>
        <w:t>rockfish CQ groundfish.</w:t>
      </w:r>
    </w:p>
    <w:p w14:paraId="531D2E50" w14:textId="77777777" w:rsidR="0023355E" w:rsidRDefault="0023355E" w:rsidP="00C43162">
      <w:pPr>
        <w:spacing w:after="0" w:line="240" w:lineRule="auto"/>
        <w:rPr>
          <w:rFonts w:ascii="Times New Roman" w:hAnsi="Times New Roman" w:cs="Times New Roman"/>
          <w:sz w:val="24"/>
          <w:szCs w:val="24"/>
        </w:rPr>
      </w:pPr>
    </w:p>
    <w:p w14:paraId="218688C8" w14:textId="422183FE" w:rsidR="0023355E" w:rsidRPr="0023355E" w:rsidRDefault="0023355E" w:rsidP="0023355E">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w:t>
      </w:r>
      <w:r w:rsidR="003A28B7">
        <w:rPr>
          <w:rFonts w:ascii="Times New Roman" w:hAnsi="Times New Roman" w:cs="Times New Roman"/>
          <w:sz w:val="24"/>
          <w:szCs w:val="24"/>
          <w:u w:val="single"/>
        </w:rPr>
        <w:t>vessel Volume and Value Report</w:t>
      </w:r>
    </w:p>
    <w:p w14:paraId="16D4DC1E" w14:textId="3D733295" w:rsidR="009F3312" w:rsidRDefault="003A28B7" w:rsidP="00515CDD">
      <w:pPr>
        <w:spacing w:after="0" w:line="240" w:lineRule="auto"/>
        <w:rPr>
          <w:rFonts w:ascii="Times New Roman" w:hAnsi="Times New Roman" w:cs="Times New Roman"/>
          <w:sz w:val="24"/>
          <w:szCs w:val="24"/>
        </w:rPr>
      </w:pPr>
      <w:r>
        <w:rPr>
          <w:rFonts w:ascii="Times New Roman" w:hAnsi="Times New Roman" w:cs="Times New Roman"/>
          <w:sz w:val="24"/>
          <w:szCs w:val="24"/>
        </w:rPr>
        <w:t>The CR RCR Ex-vessel Volume and Value Report must be submitted annually by a</w:t>
      </w:r>
      <w:r w:rsidR="0023355E" w:rsidRPr="0023355E">
        <w:rPr>
          <w:rFonts w:ascii="Times New Roman" w:hAnsi="Times New Roman" w:cs="Times New Roman"/>
          <w:sz w:val="24"/>
          <w:szCs w:val="24"/>
        </w:rPr>
        <w:t>n RCR that operates as a shoreside</w:t>
      </w:r>
      <w:r w:rsidR="0023355E">
        <w:rPr>
          <w:rFonts w:ascii="Times New Roman" w:hAnsi="Times New Roman" w:cs="Times New Roman"/>
          <w:sz w:val="24"/>
          <w:szCs w:val="24"/>
        </w:rPr>
        <w:t xml:space="preserve"> </w:t>
      </w:r>
      <w:r w:rsidR="0023355E" w:rsidRPr="0023355E">
        <w:rPr>
          <w:rFonts w:ascii="Times New Roman" w:hAnsi="Times New Roman" w:cs="Times New Roman"/>
          <w:sz w:val="24"/>
          <w:szCs w:val="24"/>
        </w:rPr>
        <w:t>processor or stationary floating crab processor and</w:t>
      </w:r>
      <w:r>
        <w:rPr>
          <w:rFonts w:ascii="Times New Roman" w:hAnsi="Times New Roman" w:cs="Times New Roman"/>
          <w:sz w:val="24"/>
          <w:szCs w:val="24"/>
        </w:rPr>
        <w:t xml:space="preserve"> </w:t>
      </w:r>
      <w:r w:rsidR="0023355E" w:rsidRPr="0023355E">
        <w:rPr>
          <w:rFonts w:ascii="Times New Roman" w:hAnsi="Times New Roman" w:cs="Times New Roman"/>
          <w:sz w:val="24"/>
          <w:szCs w:val="24"/>
        </w:rPr>
        <w:t>receives and purchases landings of CR crab</w:t>
      </w:r>
      <w:r w:rsidR="00515CDD">
        <w:rPr>
          <w:rFonts w:ascii="Times New Roman" w:hAnsi="Times New Roman" w:cs="Times New Roman"/>
          <w:sz w:val="24"/>
          <w:szCs w:val="24"/>
        </w:rPr>
        <w:t xml:space="preserve"> </w:t>
      </w:r>
      <w:r w:rsidR="0023355E" w:rsidRPr="0023355E">
        <w:rPr>
          <w:rFonts w:ascii="Times New Roman" w:hAnsi="Times New Roman" w:cs="Times New Roman"/>
          <w:sz w:val="24"/>
          <w:szCs w:val="24"/>
        </w:rPr>
        <w:t>for each reporting period in which the</w:t>
      </w:r>
      <w:r w:rsidR="00C223B1">
        <w:rPr>
          <w:rFonts w:ascii="Times New Roman" w:hAnsi="Times New Roman" w:cs="Times New Roman"/>
          <w:sz w:val="24"/>
          <w:szCs w:val="24"/>
        </w:rPr>
        <w:t xml:space="preserve"> </w:t>
      </w:r>
      <w:r w:rsidR="0023355E" w:rsidRPr="0023355E">
        <w:rPr>
          <w:rFonts w:ascii="Times New Roman" w:hAnsi="Times New Roman" w:cs="Times New Roman"/>
          <w:sz w:val="24"/>
          <w:szCs w:val="24"/>
        </w:rPr>
        <w:t>RCR receives CR crab.</w:t>
      </w:r>
      <w:r w:rsidR="0023355E">
        <w:rPr>
          <w:rFonts w:ascii="Times New Roman" w:hAnsi="Times New Roman" w:cs="Times New Roman"/>
          <w:sz w:val="24"/>
          <w:szCs w:val="24"/>
        </w:rPr>
        <w:t xml:space="preserve">  </w:t>
      </w:r>
      <w:r w:rsidR="00FB1EB4">
        <w:rPr>
          <w:rFonts w:ascii="Times New Roman" w:hAnsi="Times New Roman" w:cs="Times New Roman"/>
          <w:sz w:val="24"/>
          <w:szCs w:val="24"/>
        </w:rPr>
        <w:t>P</w:t>
      </w:r>
      <w:r w:rsidR="00FB1EB4" w:rsidRPr="00C0017D">
        <w:rPr>
          <w:rFonts w:ascii="Times New Roman" w:hAnsi="Times New Roman" w:cs="Times New Roman"/>
          <w:sz w:val="24"/>
          <w:szCs w:val="24"/>
        </w:rPr>
        <w:t xml:space="preserve">ayment </w:t>
      </w:r>
      <w:r w:rsidR="00FB1EB4">
        <w:rPr>
          <w:rFonts w:ascii="Times New Roman" w:hAnsi="Times New Roman" w:cs="Times New Roman"/>
          <w:sz w:val="24"/>
          <w:szCs w:val="24"/>
        </w:rPr>
        <w:t xml:space="preserve">must be submitted online through eFISH </w:t>
      </w:r>
      <w:r w:rsidR="00FB1EB4" w:rsidRPr="00FC4AB0">
        <w:rPr>
          <w:rFonts w:ascii="Times New Roman" w:hAnsi="Times New Roman" w:cs="Times New Roman"/>
          <w:sz w:val="24"/>
          <w:szCs w:val="24"/>
        </w:rPr>
        <w:t>at</w:t>
      </w:r>
      <w:r w:rsidR="00FB1EB4">
        <w:rPr>
          <w:rFonts w:ascii="Times New Roman" w:hAnsi="Times New Roman" w:cs="Times New Roman"/>
          <w:sz w:val="24"/>
          <w:szCs w:val="24"/>
        </w:rPr>
        <w:t xml:space="preserve"> </w:t>
      </w:r>
      <w:hyperlink r:id="rId18" w:history="1">
        <w:r w:rsidR="00FB1EB4" w:rsidRPr="006A3085">
          <w:rPr>
            <w:rStyle w:val="Hyperlink"/>
            <w:rFonts w:ascii="Times New Roman" w:hAnsi="Times New Roman" w:cs="Times New Roman"/>
            <w:sz w:val="24"/>
            <w:szCs w:val="24"/>
          </w:rPr>
          <w:t>https://alaskafisheries.noaa.gov/webapps/efish/login</w:t>
        </w:r>
      </w:hyperlink>
    </w:p>
    <w:p w14:paraId="448B2354" w14:textId="77777777" w:rsidR="00A960BA" w:rsidRDefault="00A960BA" w:rsidP="002D5061">
      <w:pPr>
        <w:spacing w:after="0" w:line="240" w:lineRule="auto"/>
        <w:rPr>
          <w:rFonts w:ascii="Times New Roman" w:hAnsi="Times New Roman" w:cs="Times New Roman"/>
          <w:b/>
          <w:sz w:val="24"/>
          <w:szCs w:val="24"/>
        </w:rPr>
      </w:pPr>
    </w:p>
    <w:p w14:paraId="5CE238F5" w14:textId="347FF797" w:rsidR="0023355E" w:rsidRDefault="00515CDD" w:rsidP="002D5061">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0023355E" w:rsidRPr="00C223B1">
        <w:rPr>
          <w:rFonts w:ascii="Times New Roman" w:hAnsi="Times New Roman" w:cs="Times New Roman"/>
          <w:b/>
          <w:sz w:val="24"/>
          <w:szCs w:val="24"/>
        </w:rPr>
        <w:t>eadline</w:t>
      </w:r>
      <w:r w:rsidR="0023355E">
        <w:rPr>
          <w:rFonts w:ascii="Times New Roman" w:hAnsi="Times New Roman" w:cs="Times New Roman"/>
          <w:sz w:val="24"/>
          <w:szCs w:val="24"/>
        </w:rPr>
        <w:t xml:space="preserve">:  </w:t>
      </w:r>
      <w:r w:rsidR="0023355E" w:rsidRPr="0023355E">
        <w:rPr>
          <w:rFonts w:ascii="Times New Roman" w:hAnsi="Times New Roman" w:cs="Times New Roman"/>
          <w:sz w:val="24"/>
          <w:szCs w:val="24"/>
        </w:rPr>
        <w:t xml:space="preserve">no later than </w:t>
      </w:r>
      <w:r w:rsidR="0023355E" w:rsidRPr="00515CDD">
        <w:rPr>
          <w:rFonts w:ascii="Times New Roman" w:hAnsi="Times New Roman" w:cs="Times New Roman"/>
          <w:b/>
          <w:i/>
          <w:sz w:val="24"/>
          <w:szCs w:val="24"/>
        </w:rPr>
        <w:t>May 15</w:t>
      </w:r>
      <w:r w:rsidR="0023355E" w:rsidRPr="0023355E">
        <w:rPr>
          <w:rFonts w:ascii="Times New Roman" w:hAnsi="Times New Roman" w:cs="Times New Roman"/>
          <w:sz w:val="24"/>
          <w:szCs w:val="24"/>
        </w:rPr>
        <w:t xml:space="preserve"> of the reporting period in which</w:t>
      </w:r>
      <w:r w:rsidR="00C223B1">
        <w:rPr>
          <w:rFonts w:ascii="Times New Roman" w:hAnsi="Times New Roman" w:cs="Times New Roman"/>
          <w:sz w:val="24"/>
          <w:szCs w:val="24"/>
        </w:rPr>
        <w:t xml:space="preserve"> </w:t>
      </w:r>
      <w:r w:rsidR="0023355E" w:rsidRPr="0023355E">
        <w:rPr>
          <w:rFonts w:ascii="Times New Roman" w:hAnsi="Times New Roman" w:cs="Times New Roman"/>
          <w:sz w:val="24"/>
          <w:szCs w:val="24"/>
        </w:rPr>
        <w:t>the RCR received the CR crab.</w:t>
      </w:r>
    </w:p>
    <w:p w14:paraId="6DB00311" w14:textId="3F2E5835" w:rsidR="002D5061" w:rsidRDefault="002D5061" w:rsidP="002D5061">
      <w:pPr>
        <w:spacing w:after="0" w:line="240" w:lineRule="auto"/>
        <w:rPr>
          <w:rFonts w:ascii="Times New Roman" w:hAnsi="Times New Roman" w:cs="Times New Roman"/>
          <w:sz w:val="24"/>
          <w:szCs w:val="24"/>
        </w:rPr>
      </w:pPr>
    </w:p>
    <w:p w14:paraId="14728AE1" w14:textId="14527562" w:rsidR="00E4592D" w:rsidRPr="00E4592D" w:rsidRDefault="00E4592D" w:rsidP="002D5061">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w:t>
      </w:r>
    </w:p>
    <w:p w14:paraId="5FDF7D21" w14:textId="22B7B4A7" w:rsidR="00515CDD" w:rsidRDefault="00515CDD" w:rsidP="0081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Pacific Cod Ex-vessel Volume and Value Report must be submitted annually by </w:t>
      </w:r>
      <w:proofErr w:type="gramStart"/>
      <w:r>
        <w:rPr>
          <w:rFonts w:ascii="Times New Roman" w:hAnsi="Times New Roman" w:cs="Times New Roman"/>
          <w:sz w:val="24"/>
          <w:szCs w:val="24"/>
        </w:rPr>
        <w:t xml:space="preserve">a </w:t>
      </w:r>
      <w:r w:rsidR="00FB6674">
        <w:rPr>
          <w:rFonts w:ascii="Times New Roman" w:hAnsi="Times New Roman" w:cs="Times New Roman"/>
          <w:sz w:val="24"/>
          <w:szCs w:val="24"/>
        </w:rPr>
        <w:t xml:space="preserve"> </w:t>
      </w:r>
      <w:r w:rsidR="00E4592D">
        <w:rPr>
          <w:rFonts w:ascii="Times New Roman" w:hAnsi="Times New Roman" w:cs="Times New Roman"/>
          <w:sz w:val="24"/>
          <w:szCs w:val="24"/>
        </w:rPr>
        <w:t>S</w:t>
      </w:r>
      <w:r w:rsidR="00E4592D" w:rsidRPr="00E4592D">
        <w:rPr>
          <w:rFonts w:ascii="Times New Roman" w:hAnsi="Times New Roman" w:cs="Times New Roman"/>
          <w:sz w:val="24"/>
          <w:szCs w:val="24"/>
        </w:rPr>
        <w:t>horeside</w:t>
      </w:r>
      <w:proofErr w:type="gramEnd"/>
      <w:r w:rsidR="00E4592D" w:rsidRPr="00E4592D">
        <w:rPr>
          <w:rFonts w:ascii="Times New Roman" w:hAnsi="Times New Roman" w:cs="Times New Roman"/>
          <w:sz w:val="24"/>
          <w:szCs w:val="24"/>
        </w:rPr>
        <w:t xml:space="preserve"> processor</w:t>
      </w:r>
      <w:r w:rsidR="00FB6674">
        <w:rPr>
          <w:rFonts w:ascii="Times New Roman" w:hAnsi="Times New Roman" w:cs="Times New Roman"/>
          <w:sz w:val="24"/>
          <w:szCs w:val="24"/>
        </w:rPr>
        <w:t xml:space="preserve"> designated on a</w:t>
      </w:r>
      <w:r w:rsidR="009C67D9">
        <w:rPr>
          <w:rFonts w:ascii="Times New Roman" w:hAnsi="Times New Roman" w:cs="Times New Roman"/>
          <w:sz w:val="24"/>
          <w:szCs w:val="24"/>
        </w:rPr>
        <w:t>n FPP</w:t>
      </w:r>
      <w:r w:rsidR="00E4592D">
        <w:rPr>
          <w:rFonts w:ascii="Times New Roman" w:hAnsi="Times New Roman" w:cs="Times New Roman"/>
          <w:sz w:val="24"/>
          <w:szCs w:val="24"/>
        </w:rPr>
        <w:t xml:space="preserve"> or </w:t>
      </w:r>
      <w:r w:rsidR="00FB6674" w:rsidRPr="00E4592D">
        <w:rPr>
          <w:rFonts w:ascii="Times New Roman" w:hAnsi="Times New Roman" w:cs="Times New Roman"/>
          <w:sz w:val="24"/>
          <w:szCs w:val="24"/>
        </w:rPr>
        <w:t>a</w:t>
      </w:r>
      <w:r w:rsidR="00FB6674">
        <w:rPr>
          <w:rFonts w:ascii="Times New Roman" w:hAnsi="Times New Roman" w:cs="Times New Roman"/>
          <w:sz w:val="24"/>
          <w:szCs w:val="24"/>
        </w:rPr>
        <w:t xml:space="preserve"> mothership</w:t>
      </w:r>
      <w:r w:rsidR="00FB6674" w:rsidRPr="00E4592D">
        <w:rPr>
          <w:rFonts w:ascii="Times New Roman" w:hAnsi="Times New Roman" w:cs="Times New Roman"/>
          <w:sz w:val="24"/>
          <w:szCs w:val="24"/>
        </w:rPr>
        <w:t xml:space="preserve"> that hold</w:t>
      </w:r>
      <w:r w:rsidR="00FB6674">
        <w:rPr>
          <w:rFonts w:ascii="Times New Roman" w:hAnsi="Times New Roman" w:cs="Times New Roman"/>
          <w:sz w:val="24"/>
          <w:szCs w:val="24"/>
        </w:rPr>
        <w:t>s a</w:t>
      </w:r>
      <w:r w:rsidR="009F3312">
        <w:rPr>
          <w:rFonts w:ascii="Times New Roman" w:hAnsi="Times New Roman" w:cs="Times New Roman"/>
          <w:sz w:val="24"/>
          <w:szCs w:val="24"/>
        </w:rPr>
        <w:t xml:space="preserve">n </w:t>
      </w:r>
      <w:r w:rsidR="00E4592D">
        <w:rPr>
          <w:rFonts w:ascii="Times New Roman" w:hAnsi="Times New Roman" w:cs="Times New Roman"/>
          <w:sz w:val="24"/>
          <w:szCs w:val="24"/>
        </w:rPr>
        <w:t>FFP</w:t>
      </w:r>
      <w:r w:rsidR="00E4592D" w:rsidRPr="00E4592D">
        <w:rPr>
          <w:rFonts w:ascii="Times New Roman" w:hAnsi="Times New Roman" w:cs="Times New Roman"/>
          <w:sz w:val="24"/>
          <w:szCs w:val="24"/>
        </w:rPr>
        <w:t xml:space="preserve"> and that process landings of either CDQ Pacific cod or BSAI Pacific cod harvested by a vessel using trawl gear</w:t>
      </w:r>
      <w:r w:rsidR="00DC5EB2">
        <w:rPr>
          <w:rFonts w:ascii="Times New Roman" w:hAnsi="Times New Roman" w:cs="Times New Roman"/>
          <w:sz w:val="24"/>
          <w:szCs w:val="24"/>
        </w:rPr>
        <w:t xml:space="preserve"> for each reporting period for which received Pacific cod</w:t>
      </w:r>
      <w:r>
        <w:rPr>
          <w:rFonts w:ascii="Times New Roman" w:hAnsi="Times New Roman" w:cs="Times New Roman"/>
          <w:sz w:val="24"/>
          <w:szCs w:val="24"/>
        </w:rPr>
        <w:t>.</w:t>
      </w:r>
      <w:r w:rsidR="00AD0253">
        <w:rPr>
          <w:rFonts w:ascii="Times New Roman" w:hAnsi="Times New Roman" w:cs="Times New Roman"/>
          <w:sz w:val="24"/>
          <w:szCs w:val="24"/>
        </w:rPr>
        <w:t xml:space="preserve"> P</w:t>
      </w:r>
      <w:r w:rsidR="00AD0253" w:rsidRPr="00C0017D">
        <w:rPr>
          <w:rFonts w:ascii="Times New Roman" w:hAnsi="Times New Roman" w:cs="Times New Roman"/>
          <w:sz w:val="24"/>
          <w:szCs w:val="24"/>
        </w:rPr>
        <w:t xml:space="preserve">ayment </w:t>
      </w:r>
      <w:r w:rsidR="00AD0253">
        <w:rPr>
          <w:rFonts w:ascii="Times New Roman" w:hAnsi="Times New Roman" w:cs="Times New Roman"/>
          <w:sz w:val="24"/>
          <w:szCs w:val="24"/>
        </w:rPr>
        <w:t xml:space="preserve">must be submitted online through eFISH </w:t>
      </w:r>
      <w:r w:rsidR="00AD0253" w:rsidRPr="00FC4AB0">
        <w:rPr>
          <w:rFonts w:ascii="Times New Roman" w:hAnsi="Times New Roman" w:cs="Times New Roman"/>
          <w:sz w:val="24"/>
          <w:szCs w:val="24"/>
        </w:rPr>
        <w:t>at</w:t>
      </w:r>
      <w:r w:rsidR="00AD0253">
        <w:rPr>
          <w:rFonts w:ascii="Times New Roman" w:hAnsi="Times New Roman" w:cs="Times New Roman"/>
          <w:sz w:val="24"/>
          <w:szCs w:val="24"/>
        </w:rPr>
        <w:t xml:space="preserve"> </w:t>
      </w:r>
      <w:hyperlink r:id="rId19" w:history="1">
        <w:r w:rsidR="00AD0253" w:rsidRPr="006A3085">
          <w:rPr>
            <w:rStyle w:val="Hyperlink"/>
            <w:rFonts w:ascii="Times New Roman" w:hAnsi="Times New Roman" w:cs="Times New Roman"/>
            <w:sz w:val="24"/>
            <w:szCs w:val="24"/>
          </w:rPr>
          <w:t>https://alaskafisheries.noaa.gov/webapps/efish/login</w:t>
        </w:r>
      </w:hyperlink>
      <w:r w:rsidR="00AD0253">
        <w:rPr>
          <w:rFonts w:ascii="Times New Roman" w:hAnsi="Times New Roman" w:cs="Times New Roman"/>
          <w:sz w:val="24"/>
          <w:szCs w:val="24"/>
        </w:rPr>
        <w:t>.</w:t>
      </w:r>
    </w:p>
    <w:p w14:paraId="28D72F26" w14:textId="77777777" w:rsidR="00A960BA" w:rsidRDefault="00A960BA" w:rsidP="00AD0253">
      <w:pPr>
        <w:spacing w:after="0" w:line="240" w:lineRule="auto"/>
        <w:rPr>
          <w:rFonts w:ascii="Times New Roman" w:hAnsi="Times New Roman" w:cs="Times New Roman"/>
          <w:b/>
          <w:sz w:val="24"/>
          <w:szCs w:val="24"/>
        </w:rPr>
      </w:pPr>
    </w:p>
    <w:p w14:paraId="5CBACB0C" w14:textId="5D77E1B3" w:rsidR="00AD0253" w:rsidRDefault="00515CDD" w:rsidP="00AD025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 xml:space="preserve">no later than </w:t>
      </w:r>
      <w:r w:rsidRPr="00515CDD">
        <w:rPr>
          <w:rFonts w:ascii="Times New Roman" w:hAnsi="Times New Roman" w:cs="Times New Roman"/>
          <w:b/>
          <w:i/>
          <w:sz w:val="24"/>
          <w:szCs w:val="24"/>
        </w:rPr>
        <w:t>November 10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r w:rsidR="00AD0253">
        <w:rPr>
          <w:rFonts w:ascii="Times New Roman" w:hAnsi="Times New Roman" w:cs="Times New Roman"/>
          <w:sz w:val="24"/>
          <w:szCs w:val="24"/>
        </w:rPr>
        <w:t xml:space="preserve"> </w:t>
      </w:r>
    </w:p>
    <w:p w14:paraId="33B94FE4" w14:textId="1E45598D" w:rsidR="00515CDD" w:rsidRDefault="00515CDD" w:rsidP="00515CDD">
      <w:pPr>
        <w:spacing w:after="0" w:line="240" w:lineRule="auto"/>
        <w:rPr>
          <w:rFonts w:ascii="Times New Roman" w:hAnsi="Times New Roman" w:cs="Times New Roman"/>
          <w:sz w:val="24"/>
          <w:szCs w:val="24"/>
        </w:rPr>
      </w:pPr>
    </w:p>
    <w:p w14:paraId="77ADABE7" w14:textId="3922CAF4" w:rsidR="00A41564" w:rsidRPr="00AA0227" w:rsidRDefault="00FB6674" w:rsidP="00A41564">
      <w:pPr>
        <w:spacing w:after="0" w:line="240" w:lineRule="auto"/>
        <w:rPr>
          <w:rFonts w:ascii="Times New Roman" w:hAnsi="Times New Roman"/>
          <w:sz w:val="24"/>
          <w:u w:val="single"/>
        </w:rPr>
      </w:pPr>
      <w:r w:rsidRPr="00FB6674">
        <w:rPr>
          <w:rFonts w:ascii="Times New Roman" w:hAnsi="Times New Roman" w:cs="Times New Roman"/>
          <w:sz w:val="24"/>
          <w:szCs w:val="24"/>
          <w:u w:val="single"/>
        </w:rPr>
        <w:t xml:space="preserve">First Wholesale Volume and Value </w:t>
      </w:r>
      <w:r w:rsidR="00EF5DAA">
        <w:rPr>
          <w:rFonts w:ascii="Times New Roman" w:hAnsi="Times New Roman" w:cs="Times New Roman"/>
          <w:sz w:val="24"/>
          <w:szCs w:val="24"/>
          <w:u w:val="single"/>
        </w:rPr>
        <w:t>Report</w:t>
      </w:r>
    </w:p>
    <w:p w14:paraId="1A80A6A4" w14:textId="77777777" w:rsidR="00A544E6" w:rsidRDefault="00EF5DAA" w:rsidP="00A544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Wholesale Volume and Value Report must be submitted annually by an </w:t>
      </w:r>
      <w:r w:rsidR="00A41564" w:rsidRPr="00A13691">
        <w:rPr>
          <w:rFonts w:ascii="Times New Roman" w:hAnsi="Times New Roman" w:cs="Times New Roman"/>
          <w:sz w:val="24"/>
          <w:szCs w:val="24"/>
        </w:rPr>
        <w:t>Amendment 80 vessel owner that</w:t>
      </w:r>
      <w:r w:rsidR="00A41564" w:rsidRPr="00236B9D">
        <w:rPr>
          <w:rFonts w:ascii="Times New Roman" w:hAnsi="Times New Roman" w:cs="Times New Roman"/>
          <w:sz w:val="24"/>
          <w:szCs w:val="24"/>
        </w:rPr>
        <w:t xml:space="preserve"> harvests</w:t>
      </w:r>
      <w:r w:rsidR="00A41564" w:rsidRPr="00D543AB">
        <w:rPr>
          <w:rFonts w:ascii="Times New Roman" w:hAnsi="Times New Roman" w:cs="Times New Roman"/>
          <w:sz w:val="24"/>
          <w:szCs w:val="24"/>
        </w:rPr>
        <w:t xml:space="preserve"> Amendment 80 </w:t>
      </w:r>
      <w:r w:rsidR="00A41564">
        <w:rPr>
          <w:rFonts w:ascii="Times New Roman" w:hAnsi="Times New Roman" w:cs="Times New Roman"/>
          <w:sz w:val="24"/>
          <w:szCs w:val="24"/>
        </w:rPr>
        <w:t xml:space="preserve">species, </w:t>
      </w:r>
      <w:r w:rsidR="00A41564" w:rsidRPr="0075415B">
        <w:rPr>
          <w:rFonts w:ascii="Times New Roman" w:hAnsi="Times New Roman" w:cs="Times New Roman"/>
          <w:sz w:val="24"/>
          <w:szCs w:val="24"/>
        </w:rPr>
        <w:t>other than Pacific cod</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w:t>
      </w:r>
      <w:r w:rsidR="00A544E6">
        <w:rPr>
          <w:rFonts w:ascii="Times New Roman" w:hAnsi="Times New Roman" w:cs="Times New Roman"/>
          <w:sz w:val="24"/>
          <w:szCs w:val="24"/>
        </w:rPr>
        <w:t xml:space="preserve">  P</w:t>
      </w:r>
      <w:r w:rsidR="00A544E6" w:rsidRPr="00C0017D">
        <w:rPr>
          <w:rFonts w:ascii="Times New Roman" w:hAnsi="Times New Roman" w:cs="Times New Roman"/>
          <w:sz w:val="24"/>
          <w:szCs w:val="24"/>
        </w:rPr>
        <w:t xml:space="preserve">ayment </w:t>
      </w:r>
      <w:r w:rsidR="00A544E6">
        <w:rPr>
          <w:rFonts w:ascii="Times New Roman" w:hAnsi="Times New Roman" w:cs="Times New Roman"/>
          <w:sz w:val="24"/>
          <w:szCs w:val="24"/>
        </w:rPr>
        <w:t xml:space="preserve">must be submitted online through eFISH </w:t>
      </w:r>
      <w:r w:rsidR="00A544E6" w:rsidRPr="00FC4AB0">
        <w:rPr>
          <w:rFonts w:ascii="Times New Roman" w:hAnsi="Times New Roman" w:cs="Times New Roman"/>
          <w:sz w:val="24"/>
          <w:szCs w:val="24"/>
        </w:rPr>
        <w:t>at</w:t>
      </w:r>
      <w:r w:rsidR="00A544E6">
        <w:rPr>
          <w:rFonts w:ascii="Times New Roman" w:hAnsi="Times New Roman" w:cs="Times New Roman"/>
          <w:sz w:val="24"/>
          <w:szCs w:val="24"/>
        </w:rPr>
        <w:t xml:space="preserve"> </w:t>
      </w:r>
      <w:hyperlink r:id="rId20" w:history="1">
        <w:r w:rsidR="00A544E6" w:rsidRPr="006A3085">
          <w:rPr>
            <w:rStyle w:val="Hyperlink"/>
            <w:rFonts w:ascii="Times New Roman" w:hAnsi="Times New Roman" w:cs="Times New Roman"/>
            <w:sz w:val="24"/>
            <w:szCs w:val="24"/>
          </w:rPr>
          <w:t>https://alaskafisheries.noaa.gov/webapps/efish/login</w:t>
        </w:r>
      </w:hyperlink>
      <w:r w:rsidR="00A544E6">
        <w:rPr>
          <w:rFonts w:ascii="Times New Roman" w:hAnsi="Times New Roman" w:cs="Times New Roman"/>
          <w:sz w:val="24"/>
          <w:szCs w:val="24"/>
        </w:rPr>
        <w:t>.</w:t>
      </w:r>
    </w:p>
    <w:p w14:paraId="62389247" w14:textId="77777777" w:rsidR="00A960BA" w:rsidRDefault="00A960BA" w:rsidP="009C4D44">
      <w:pPr>
        <w:spacing w:after="0" w:line="240" w:lineRule="auto"/>
        <w:rPr>
          <w:rFonts w:ascii="Times New Roman" w:hAnsi="Times New Roman" w:cs="Times New Roman"/>
          <w:b/>
          <w:sz w:val="24"/>
          <w:szCs w:val="24"/>
        </w:rPr>
      </w:pPr>
    </w:p>
    <w:p w14:paraId="54767A02" w14:textId="5CF78EAF" w:rsidR="00026B37" w:rsidRDefault="00281A29" w:rsidP="009C4D4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EF79CC" w:rsidRPr="00EF79CC">
        <w:rPr>
          <w:rFonts w:ascii="Times New Roman" w:hAnsi="Times New Roman" w:cs="Times New Roman"/>
          <w:b/>
          <w:sz w:val="24"/>
          <w:szCs w:val="24"/>
        </w:rPr>
        <w:t>Deadline</w:t>
      </w:r>
      <w:r w:rsidR="00EF79CC">
        <w:rPr>
          <w:rFonts w:ascii="Times New Roman" w:hAnsi="Times New Roman" w:cs="Times New Roman"/>
          <w:sz w:val="24"/>
          <w:szCs w:val="24"/>
        </w:rPr>
        <w:t xml:space="preserve">:  </w:t>
      </w:r>
      <w:r w:rsidR="00EF79CC" w:rsidRPr="001C7BE3">
        <w:rPr>
          <w:rFonts w:ascii="Times New Roman" w:hAnsi="Times New Roman" w:cs="Times New Roman"/>
          <w:sz w:val="24"/>
          <w:szCs w:val="24"/>
        </w:rPr>
        <w:t xml:space="preserve">no later than </w:t>
      </w:r>
      <w:r w:rsidR="00EF79CC" w:rsidRPr="00281A29">
        <w:rPr>
          <w:rFonts w:ascii="Times New Roman" w:hAnsi="Times New Roman" w:cs="Times New Roman"/>
          <w:b/>
          <w:i/>
          <w:sz w:val="24"/>
          <w:szCs w:val="24"/>
        </w:rPr>
        <w:t>November 10</w:t>
      </w:r>
      <w:r w:rsidR="00EF79CC" w:rsidRPr="00326014">
        <w:rPr>
          <w:rFonts w:ascii="Times New Roman" w:hAnsi="Times New Roman" w:cs="Times New Roman"/>
          <w:sz w:val="24"/>
          <w:szCs w:val="24"/>
        </w:rPr>
        <w:t xml:space="preserve"> of the year in which the Amendment 80 </w:t>
      </w:r>
      <w:r w:rsidR="00EF79CC" w:rsidRPr="00E415F3">
        <w:rPr>
          <w:rFonts w:ascii="Times New Roman" w:hAnsi="Times New Roman" w:cs="Times New Roman"/>
          <w:sz w:val="24"/>
          <w:szCs w:val="24"/>
        </w:rPr>
        <w:t>vessel</w:t>
      </w:r>
      <w:r w:rsidR="00EF79CC" w:rsidRPr="006D68BB">
        <w:rPr>
          <w:rFonts w:ascii="Times New Roman" w:hAnsi="Times New Roman" w:cs="Times New Roman"/>
          <w:sz w:val="24"/>
          <w:szCs w:val="24"/>
        </w:rPr>
        <w:t xml:space="preserve"> received the Amendment 80 species, other than Pacific cod</w:t>
      </w:r>
      <w:r w:rsidR="00EF79CC" w:rsidRPr="00BE0B2B">
        <w:rPr>
          <w:rFonts w:ascii="Times New Roman" w:hAnsi="Times New Roman" w:cs="Times New Roman"/>
          <w:sz w:val="24"/>
          <w:szCs w:val="24"/>
        </w:rPr>
        <w:t>.</w:t>
      </w:r>
    </w:p>
    <w:p w14:paraId="2029AD3D" w14:textId="77777777" w:rsidR="00026B37" w:rsidRDefault="00026B37">
      <w:pPr>
        <w:rPr>
          <w:rFonts w:ascii="Times New Roman" w:hAnsi="Times New Roman" w:cs="Times New Roman"/>
          <w:sz w:val="24"/>
          <w:szCs w:val="24"/>
        </w:rPr>
      </w:pPr>
      <w:r>
        <w:rPr>
          <w:rFonts w:ascii="Times New Roman" w:hAnsi="Times New Roman" w:cs="Times New Roman"/>
          <w:sz w:val="24"/>
          <w:szCs w:val="24"/>
        </w:rPr>
        <w:br w:type="page"/>
      </w:r>
    </w:p>
    <w:p w14:paraId="3F0308A6" w14:textId="77777777" w:rsidR="00026B37" w:rsidRDefault="00026B37" w:rsidP="009C4D44">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14:paraId="7D5189F1" w14:textId="77777777" w:rsidTr="00C43162">
        <w:trPr>
          <w:jc w:val="center"/>
        </w:trPr>
        <w:tc>
          <w:tcPr>
            <w:tcW w:w="5955" w:type="dxa"/>
            <w:gridSpan w:val="2"/>
          </w:tcPr>
          <w:p w14:paraId="334BC857" w14:textId="0A88D93F" w:rsidR="00FB6990" w:rsidRPr="00E07ECC" w:rsidRDefault="00844CE5" w:rsidP="000F4BE3">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0F4BE3">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sidR="000F4BE3">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14:paraId="18EBCD0D" w14:textId="77777777" w:rsidTr="00C43162">
        <w:trPr>
          <w:jc w:val="center"/>
        </w:trPr>
        <w:tc>
          <w:tcPr>
            <w:tcW w:w="4934" w:type="dxa"/>
          </w:tcPr>
          <w:p w14:paraId="3C25E8AC" w14:textId="77777777"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55BED92" w14:textId="77777777"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14:paraId="02B5C0C7" w14:textId="77777777"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14:paraId="11B13164"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14:paraId="55C08B6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14:paraId="56B15A4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w:t>
            </w:r>
            <w:proofErr w:type="spellStart"/>
            <w:r w:rsidR="00935A82">
              <w:rPr>
                <w:rFonts w:ascii="Times New Roman" w:hAnsi="Times New Roman" w:cs="Times New Roman"/>
                <w:sz w:val="20"/>
                <w:szCs w:val="20"/>
              </w:rPr>
              <w:t>Pcod</w:t>
            </w:r>
            <w:proofErr w:type="spellEnd"/>
            <w:r w:rsidR="00935A82">
              <w:rPr>
                <w:rFonts w:ascii="Times New Roman" w:hAnsi="Times New Roman" w:cs="Times New Roman"/>
                <w:sz w:val="20"/>
                <w:szCs w:val="20"/>
              </w:rPr>
              <w:t xml:space="preserve"> report</w:t>
            </w:r>
            <w:r w:rsidR="00B223FE">
              <w:rPr>
                <w:rFonts w:ascii="Times New Roman" w:hAnsi="Times New Roman" w:cs="Times New Roman"/>
                <w:sz w:val="20"/>
                <w:szCs w:val="20"/>
              </w:rPr>
              <w:t xml:space="preserve"> for </w:t>
            </w:r>
            <w:proofErr w:type="spellStart"/>
            <w:r w:rsidR="00B223FE">
              <w:rPr>
                <w:rFonts w:ascii="Times New Roman" w:hAnsi="Times New Roman" w:cs="Times New Roman"/>
                <w:sz w:val="20"/>
                <w:szCs w:val="20"/>
              </w:rPr>
              <w:t>Pcod</w:t>
            </w:r>
            <w:proofErr w:type="spellEnd"/>
          </w:p>
          <w:p w14:paraId="6CE1C197" w14:textId="77777777"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14:paraId="2BCCAF99" w14:textId="77777777"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14:paraId="66795014" w14:textId="77777777"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14:paraId="570204C1" w14:textId="77777777"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proofErr w:type="spellStart"/>
            <w:r w:rsidR="009C4D44">
              <w:rPr>
                <w:rFonts w:ascii="Times New Roman" w:hAnsi="Times New Roman" w:cs="Times New Roman"/>
                <w:sz w:val="20"/>
                <w:szCs w:val="20"/>
              </w:rPr>
              <w:t>eLandings</w:t>
            </w:r>
            <w:proofErr w:type="spellEnd"/>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037D32C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751123B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2D947BF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14:paraId="3463E9F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7813E758" w14:textId="4CD3EFFC"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14:paraId="0E5C9716" w14:textId="345F7EE8" w:rsidR="001A4A4F" w:rsidRPr="00026B37" w:rsidRDefault="00FB6990" w:rsidP="00026B37">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111CE38A" w14:textId="77777777"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14:paraId="1C51CF9F" w14:textId="77777777" w:rsidR="009C4D44" w:rsidRDefault="009C4D44" w:rsidP="00C43162">
            <w:pPr>
              <w:spacing w:after="0" w:line="240" w:lineRule="auto"/>
              <w:jc w:val="right"/>
              <w:rPr>
                <w:rFonts w:ascii="Times New Roman" w:hAnsi="Times New Roman" w:cs="Times New Roman"/>
                <w:b/>
                <w:sz w:val="20"/>
                <w:szCs w:val="20"/>
              </w:rPr>
            </w:pPr>
          </w:p>
          <w:p w14:paraId="0996B9DE" w14:textId="77777777" w:rsidR="009C4D44" w:rsidRDefault="009C4D44" w:rsidP="00C43162">
            <w:pPr>
              <w:spacing w:after="0" w:line="240" w:lineRule="auto"/>
              <w:jc w:val="right"/>
              <w:rPr>
                <w:rFonts w:ascii="Times New Roman" w:hAnsi="Times New Roman" w:cs="Times New Roman"/>
                <w:b/>
                <w:sz w:val="20"/>
                <w:szCs w:val="20"/>
              </w:rPr>
            </w:pPr>
          </w:p>
          <w:p w14:paraId="7665287A" w14:textId="77777777" w:rsidR="009C4D44" w:rsidRDefault="009C4D44" w:rsidP="00C43162">
            <w:pPr>
              <w:spacing w:after="0" w:line="240" w:lineRule="auto"/>
              <w:jc w:val="right"/>
              <w:rPr>
                <w:rFonts w:ascii="Times New Roman" w:hAnsi="Times New Roman" w:cs="Times New Roman"/>
                <w:b/>
                <w:sz w:val="20"/>
                <w:szCs w:val="20"/>
              </w:rPr>
            </w:pPr>
          </w:p>
          <w:p w14:paraId="21CEBE51" w14:textId="77777777" w:rsidR="009C4D44" w:rsidRDefault="009C4D44" w:rsidP="00C43162">
            <w:pPr>
              <w:spacing w:after="0" w:line="240" w:lineRule="auto"/>
              <w:jc w:val="right"/>
              <w:rPr>
                <w:rFonts w:ascii="Times New Roman" w:hAnsi="Times New Roman" w:cs="Times New Roman"/>
                <w:b/>
                <w:sz w:val="20"/>
                <w:szCs w:val="20"/>
              </w:rPr>
            </w:pPr>
          </w:p>
          <w:p w14:paraId="1367F5C8" w14:textId="77777777" w:rsidR="009C4D44" w:rsidRDefault="009C4D44" w:rsidP="00C43162">
            <w:pPr>
              <w:spacing w:after="0" w:line="240" w:lineRule="auto"/>
              <w:jc w:val="right"/>
              <w:rPr>
                <w:rFonts w:ascii="Times New Roman" w:hAnsi="Times New Roman" w:cs="Times New Roman"/>
                <w:b/>
                <w:sz w:val="20"/>
                <w:szCs w:val="20"/>
              </w:rPr>
            </w:pPr>
          </w:p>
          <w:p w14:paraId="164CB0A8" w14:textId="77777777" w:rsidR="009C4D44" w:rsidRDefault="009C4D44" w:rsidP="00C43162">
            <w:pPr>
              <w:spacing w:after="0" w:line="240" w:lineRule="auto"/>
              <w:jc w:val="right"/>
              <w:rPr>
                <w:rFonts w:ascii="Times New Roman" w:hAnsi="Times New Roman" w:cs="Times New Roman"/>
                <w:b/>
                <w:sz w:val="20"/>
                <w:szCs w:val="20"/>
              </w:rPr>
            </w:pPr>
          </w:p>
          <w:p w14:paraId="1721DCF3" w14:textId="77777777" w:rsidR="009C4D44" w:rsidRDefault="009C4D44" w:rsidP="00C43162">
            <w:pPr>
              <w:spacing w:after="0" w:line="240" w:lineRule="auto"/>
              <w:jc w:val="right"/>
              <w:rPr>
                <w:rFonts w:ascii="Times New Roman" w:hAnsi="Times New Roman" w:cs="Times New Roman"/>
                <w:b/>
                <w:sz w:val="20"/>
                <w:szCs w:val="20"/>
              </w:rPr>
            </w:pPr>
          </w:p>
          <w:p w14:paraId="0926076F" w14:textId="77777777" w:rsidR="009C4D44" w:rsidRDefault="009C4D44" w:rsidP="00C43162">
            <w:pPr>
              <w:spacing w:after="0" w:line="240" w:lineRule="auto"/>
              <w:jc w:val="right"/>
              <w:rPr>
                <w:rFonts w:ascii="Times New Roman" w:hAnsi="Times New Roman" w:cs="Times New Roman"/>
                <w:b/>
                <w:sz w:val="20"/>
                <w:szCs w:val="20"/>
              </w:rPr>
            </w:pPr>
          </w:p>
          <w:p w14:paraId="12F7E6CC" w14:textId="77777777" w:rsidR="009C4D44" w:rsidRDefault="009C4D44" w:rsidP="00C43162">
            <w:pPr>
              <w:spacing w:after="0" w:line="240" w:lineRule="auto"/>
              <w:jc w:val="right"/>
              <w:rPr>
                <w:rFonts w:ascii="Times New Roman" w:hAnsi="Times New Roman" w:cs="Times New Roman"/>
                <w:b/>
                <w:sz w:val="20"/>
                <w:szCs w:val="20"/>
              </w:rPr>
            </w:pPr>
          </w:p>
          <w:p w14:paraId="4B5DDFCC" w14:textId="77777777"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14:paraId="6B5F7E15" w14:textId="77777777" w:rsidR="001A4A4F" w:rsidRDefault="001A4A4F" w:rsidP="00C43162">
            <w:pPr>
              <w:spacing w:after="0" w:line="240" w:lineRule="auto"/>
              <w:jc w:val="right"/>
              <w:rPr>
                <w:rFonts w:ascii="Times New Roman" w:hAnsi="Times New Roman" w:cs="Times New Roman"/>
                <w:b/>
                <w:sz w:val="20"/>
                <w:szCs w:val="20"/>
              </w:rPr>
            </w:pPr>
          </w:p>
          <w:p w14:paraId="4974D7D3" w14:textId="77777777"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14:paraId="22889E95" w14:textId="77777777" w:rsidR="001A4A4F" w:rsidRDefault="001A4A4F" w:rsidP="00C43162">
            <w:pPr>
              <w:spacing w:after="0" w:line="240" w:lineRule="auto"/>
              <w:jc w:val="right"/>
              <w:rPr>
                <w:rFonts w:ascii="Times New Roman" w:hAnsi="Times New Roman" w:cs="Times New Roman"/>
                <w:b/>
                <w:sz w:val="20"/>
                <w:szCs w:val="20"/>
              </w:rPr>
            </w:pPr>
          </w:p>
          <w:p w14:paraId="6E38874D" w14:textId="77777777"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14:paraId="170AEB26" w14:textId="75D022CC" w:rsidR="009C4D44" w:rsidRPr="009C4D44" w:rsidRDefault="00026B37" w:rsidP="00026B3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292620B3" w14:textId="77777777" w:rsidR="002D5061" w:rsidRDefault="002D5061"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FB6990" w:rsidRPr="00E07ECC" w14:paraId="494AF3A7" w14:textId="77777777" w:rsidTr="00C43162">
        <w:trPr>
          <w:jc w:val="center"/>
        </w:trPr>
        <w:tc>
          <w:tcPr>
            <w:tcW w:w="5933" w:type="dxa"/>
            <w:gridSpan w:val="2"/>
          </w:tcPr>
          <w:p w14:paraId="2D58F8BB" w14:textId="77777777" w:rsidR="00FB6990" w:rsidRPr="00E07ECC" w:rsidRDefault="00FB6990" w:rsidP="000F4BE3">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sidR="000F4BE3">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FB6990" w:rsidRPr="00E07ECC" w14:paraId="21038751" w14:textId="77777777" w:rsidTr="00C43162">
        <w:trPr>
          <w:jc w:val="center"/>
        </w:trPr>
        <w:tc>
          <w:tcPr>
            <w:tcW w:w="4979" w:type="dxa"/>
          </w:tcPr>
          <w:p w14:paraId="4B22B8CA" w14:textId="0F8E7813"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6B0CBAF" w14:textId="3777624E"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0782CCCC" w14:textId="2F7B6083"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5B721FB7" w14:textId="61A4367A" w:rsidR="00FB6990" w:rsidRPr="00281A29" w:rsidRDefault="00281A29" w:rsidP="00A544E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954" w:type="dxa"/>
          </w:tcPr>
          <w:p w14:paraId="1E20A877" w14:textId="0B5BC40E" w:rsidR="00FE44FE"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A7CF373" w14:textId="77777777" w:rsidR="00A544E6"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DA87AB0" w14:textId="61A673AC" w:rsidR="00A544E6"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4378559" w14:textId="30D70BE3" w:rsidR="00281A29" w:rsidRPr="00042986" w:rsidRDefault="00A544E6" w:rsidP="0004298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66545F74" w14:textId="3A088168" w:rsidR="00FB6990" w:rsidRPr="00E07ECC" w:rsidRDefault="00FB6990" w:rsidP="00FB6990">
      <w:pPr>
        <w:spacing w:after="0" w:line="240" w:lineRule="auto"/>
        <w:rPr>
          <w:rFonts w:ascii="Times New Roman" w:hAnsi="Times New Roman" w:cs="Times New Roman"/>
          <w:sz w:val="20"/>
          <w:szCs w:val="20"/>
        </w:rPr>
      </w:pPr>
    </w:p>
    <w:p w14:paraId="4DDED216" w14:textId="3D6F1486" w:rsidR="001977B6" w:rsidRPr="00515368" w:rsidRDefault="005F5945" w:rsidP="00042986">
      <w:pPr>
        <w:rPr>
          <w:rFonts w:ascii="Times New Roman" w:hAnsi="Times New Roman" w:cs="Times New Roman"/>
          <w:b/>
          <w:sz w:val="24"/>
          <w:szCs w:val="24"/>
        </w:rPr>
      </w:pPr>
      <w:proofErr w:type="gramStart"/>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Appeals</w:t>
      </w:r>
      <w:proofErr w:type="gramEnd"/>
      <w:r w:rsidR="001977B6" w:rsidRPr="00515368">
        <w:rPr>
          <w:rFonts w:ascii="Times New Roman" w:hAnsi="Times New Roman" w:cs="Times New Roman"/>
          <w:b/>
          <w:sz w:val="24"/>
          <w:szCs w:val="24"/>
        </w:rPr>
        <w:t xml:space="preserve"> </w:t>
      </w:r>
      <w:r w:rsidR="00E2208D">
        <w:rPr>
          <w:rFonts w:ascii="Times New Roman" w:hAnsi="Times New Roman" w:cs="Times New Roman"/>
          <w:b/>
          <w:sz w:val="24"/>
          <w:szCs w:val="24"/>
        </w:rPr>
        <w:t xml:space="preserve"> [UNCHANGED]</w:t>
      </w:r>
    </w:p>
    <w:p w14:paraId="56E9F97D" w14:textId="03A0A71A" w:rsidR="00814360" w:rsidRDefault="00C50E9D" w:rsidP="0081436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Any person whose interest is directly and adversely affected by an initial administrative determination (IAD) may file a written </w:t>
      </w:r>
      <w:r w:rsidR="00814360">
        <w:rPr>
          <w:rFonts w:ascii="Times New Roman" w:hAnsi="Times New Roman" w:cs="Times New Roman"/>
          <w:sz w:val="24"/>
          <w:szCs w:val="24"/>
        </w:rPr>
        <w:t>petition</w:t>
      </w:r>
      <w:r w:rsidRPr="001B539D">
        <w:rPr>
          <w:rFonts w:ascii="Times New Roman" w:hAnsi="Times New Roman" w:cs="Times New Roman"/>
          <w:sz w:val="24"/>
          <w:szCs w:val="24"/>
        </w:rPr>
        <w:t xml:space="preserve">.  </w:t>
      </w:r>
      <w:r w:rsidR="00042986" w:rsidRPr="000A23F9">
        <w:rPr>
          <w:rFonts w:ascii="Times New Roman" w:hAnsi="Times New Roman" w:cs="Times New Roman"/>
          <w:sz w:val="24"/>
          <w:szCs w:val="24"/>
        </w:rPr>
        <w:t>A</w:t>
      </w:r>
      <w:r w:rsidR="00814360">
        <w:rPr>
          <w:rFonts w:ascii="Times New Roman" w:hAnsi="Times New Roman" w:cs="Times New Roman"/>
          <w:sz w:val="24"/>
          <w:szCs w:val="24"/>
        </w:rPr>
        <w:t xml:space="preserve">ny person </w:t>
      </w:r>
      <w:r w:rsidR="00042986" w:rsidRPr="000A23F9">
        <w:rPr>
          <w:rFonts w:ascii="Times New Roman" w:hAnsi="Times New Roman" w:cs="Times New Roman"/>
          <w:sz w:val="24"/>
          <w:szCs w:val="24"/>
        </w:rPr>
        <w:t>who receives an IAD for incomplete payment of a fee liability may appeal under the appeals procedures set out at 15 CFR part 906</w:t>
      </w:r>
      <w:r w:rsidR="00042986">
        <w:rPr>
          <w:rFonts w:ascii="Times New Roman" w:hAnsi="Times New Roman" w:cs="Times New Roman"/>
          <w:sz w:val="24"/>
          <w:szCs w:val="24"/>
        </w:rPr>
        <w:t xml:space="preserve">; </w:t>
      </w:r>
      <w:r w:rsidRPr="001B539D">
        <w:rPr>
          <w:rFonts w:ascii="Times New Roman" w:hAnsi="Times New Roman" w:cs="Times New Roman"/>
          <w:sz w:val="24"/>
          <w:szCs w:val="24"/>
        </w:rPr>
        <w:t xml:space="preserve">the appeal must be filed not later than </w:t>
      </w:r>
      <w:r w:rsidR="00814360">
        <w:rPr>
          <w:rFonts w:ascii="Times New Roman" w:hAnsi="Times New Roman" w:cs="Times New Roman"/>
          <w:sz w:val="24"/>
          <w:szCs w:val="24"/>
        </w:rPr>
        <w:t>45</w:t>
      </w:r>
      <w:r w:rsidRPr="001B539D">
        <w:rPr>
          <w:rFonts w:ascii="Times New Roman" w:hAnsi="Times New Roman" w:cs="Times New Roman"/>
          <w:sz w:val="24"/>
          <w:szCs w:val="24"/>
        </w:rPr>
        <w:t xml:space="preserve"> days </w:t>
      </w:r>
      <w:r w:rsidR="00814360" w:rsidRPr="00814360">
        <w:rPr>
          <w:rFonts w:ascii="Times New Roman" w:hAnsi="Times New Roman" w:cs="Times New Roman"/>
          <w:sz w:val="24"/>
          <w:szCs w:val="24"/>
        </w:rPr>
        <w:t xml:space="preserve">after the date the </w:t>
      </w:r>
      <w:r w:rsidR="00814360">
        <w:rPr>
          <w:rFonts w:ascii="Times New Roman" w:hAnsi="Times New Roman" w:cs="Times New Roman"/>
          <w:sz w:val="24"/>
          <w:szCs w:val="24"/>
        </w:rPr>
        <w:t xml:space="preserve">IAD </w:t>
      </w:r>
      <w:r w:rsidR="00814360" w:rsidRPr="00814360">
        <w:rPr>
          <w:rFonts w:ascii="Times New Roman" w:hAnsi="Times New Roman" w:cs="Times New Roman"/>
          <w:sz w:val="24"/>
          <w:szCs w:val="24"/>
        </w:rPr>
        <w:t>is issued unless a shorter or longer filing timeframe is explicitly specified in the regulations governing the initial administrative determination</w:t>
      </w:r>
      <w:r w:rsidR="00814360">
        <w:rPr>
          <w:rFonts w:ascii="Times New Roman" w:hAnsi="Times New Roman" w:cs="Times New Roman"/>
          <w:sz w:val="24"/>
          <w:szCs w:val="24"/>
        </w:rPr>
        <w:t xml:space="preserve">.  </w:t>
      </w:r>
    </w:p>
    <w:p w14:paraId="24307213" w14:textId="77777777" w:rsidR="00054173" w:rsidRDefault="00054173" w:rsidP="00C50E9D">
      <w:pPr>
        <w:tabs>
          <w:tab w:val="left" w:pos="720"/>
        </w:tabs>
        <w:spacing w:after="0" w:line="240" w:lineRule="auto"/>
        <w:rPr>
          <w:rFonts w:ascii="Times New Roman" w:hAnsi="Times New Roman" w:cs="Times New Roman"/>
          <w:sz w:val="24"/>
          <w:szCs w:val="24"/>
        </w:rPr>
      </w:pPr>
    </w:p>
    <w:p w14:paraId="690127F2" w14:textId="658B87C7" w:rsidR="00814360" w:rsidRDefault="00814360" w:rsidP="00814360">
      <w:pPr>
        <w:tabs>
          <w:tab w:val="left" w:pos="720"/>
        </w:tabs>
        <w:spacing w:after="0" w:line="240" w:lineRule="auto"/>
        <w:rPr>
          <w:rFonts w:ascii="Times New Roman" w:hAnsi="Times New Roman" w:cs="Times New Roman"/>
          <w:sz w:val="24"/>
          <w:szCs w:val="24"/>
        </w:rPr>
      </w:pPr>
      <w:r w:rsidRPr="00814360">
        <w:rPr>
          <w:rFonts w:ascii="Times New Roman" w:hAnsi="Times New Roman" w:cs="Times New Roman"/>
          <w:sz w:val="24"/>
          <w:szCs w:val="24"/>
        </w:rPr>
        <w:t xml:space="preserve">The </w:t>
      </w:r>
      <w:r w:rsidR="00E949CB">
        <w:rPr>
          <w:rFonts w:ascii="Times New Roman" w:hAnsi="Times New Roman" w:cs="Times New Roman"/>
          <w:sz w:val="24"/>
          <w:szCs w:val="24"/>
        </w:rPr>
        <w:t xml:space="preserve">appeal may be </w:t>
      </w:r>
      <w:proofErr w:type="gramStart"/>
      <w:r w:rsidR="00E949CB">
        <w:rPr>
          <w:rFonts w:ascii="Times New Roman" w:hAnsi="Times New Roman" w:cs="Times New Roman"/>
          <w:sz w:val="24"/>
          <w:szCs w:val="24"/>
        </w:rPr>
        <w:t xml:space="preserve">submitted </w:t>
      </w:r>
      <w:r>
        <w:rPr>
          <w:rFonts w:ascii="Times New Roman" w:hAnsi="Times New Roman" w:cs="Times New Roman"/>
          <w:sz w:val="24"/>
          <w:szCs w:val="24"/>
        </w:rPr>
        <w:t>:</w:t>
      </w:r>
      <w:proofErr w:type="gramEnd"/>
    </w:p>
    <w:p w14:paraId="2E96DC88" w14:textId="77777777" w:rsidR="00814360" w:rsidRDefault="00814360" w:rsidP="00814360">
      <w:pPr>
        <w:tabs>
          <w:tab w:val="left" w:pos="720"/>
        </w:tabs>
        <w:spacing w:after="0" w:line="240" w:lineRule="auto"/>
        <w:rPr>
          <w:rFonts w:ascii="Times New Roman" w:hAnsi="Times New Roman" w:cs="Times New Roman"/>
          <w:sz w:val="24"/>
          <w:szCs w:val="24"/>
        </w:rPr>
      </w:pPr>
    </w:p>
    <w:p w14:paraId="7A2D8D9F" w14:textId="77777777" w:rsidR="00814360"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fax</w:t>
      </w:r>
      <w:r>
        <w:rPr>
          <w:rFonts w:ascii="Times New Roman" w:hAnsi="Times New Roman" w:cs="Times New Roman"/>
          <w:sz w:val="24"/>
          <w:szCs w:val="24"/>
        </w:rPr>
        <w:tab/>
      </w:r>
      <w:r w:rsidRPr="00814360">
        <w:rPr>
          <w:rFonts w:ascii="Times New Roman" w:hAnsi="Times New Roman" w:cs="Times New Roman"/>
          <w:sz w:val="24"/>
          <w:szCs w:val="24"/>
        </w:rPr>
        <w:t>301-713-2384</w:t>
      </w:r>
    </w:p>
    <w:p w14:paraId="316AC9C6" w14:textId="77777777" w:rsidR="00814360"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p>
    <w:p w14:paraId="3DA41673" w14:textId="77777777" w:rsidR="00980975"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w:t>
      </w:r>
      <w:r>
        <w:rPr>
          <w:rFonts w:ascii="Times New Roman" w:hAnsi="Times New Roman" w:cs="Times New Roman"/>
          <w:sz w:val="24"/>
          <w:szCs w:val="24"/>
        </w:rPr>
        <w:tab/>
      </w:r>
      <w:r w:rsidRPr="00814360">
        <w:rPr>
          <w:rFonts w:ascii="Times New Roman" w:hAnsi="Times New Roman" w:cs="Times New Roman"/>
          <w:sz w:val="24"/>
          <w:szCs w:val="24"/>
        </w:rPr>
        <w:t>Chief, National Appeals Office</w:t>
      </w:r>
    </w:p>
    <w:p w14:paraId="23B46255" w14:textId="4C5423D3" w:rsidR="00980975" w:rsidRDefault="00980975"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360" w:rsidRPr="00814360">
        <w:rPr>
          <w:rFonts w:ascii="Times New Roman" w:hAnsi="Times New Roman" w:cs="Times New Roman"/>
          <w:sz w:val="24"/>
          <w:szCs w:val="24"/>
        </w:rPr>
        <w:t>1315 East-West H</w:t>
      </w:r>
      <w:r>
        <w:rPr>
          <w:rFonts w:ascii="Times New Roman" w:hAnsi="Times New Roman" w:cs="Times New Roman"/>
          <w:sz w:val="24"/>
          <w:szCs w:val="24"/>
        </w:rPr>
        <w:t>igh</w:t>
      </w:r>
      <w:r w:rsidR="00814360" w:rsidRPr="00814360">
        <w:rPr>
          <w:rFonts w:ascii="Times New Roman" w:hAnsi="Times New Roman" w:cs="Times New Roman"/>
          <w:sz w:val="24"/>
          <w:szCs w:val="24"/>
        </w:rPr>
        <w:t>w</w:t>
      </w:r>
      <w:r>
        <w:rPr>
          <w:rFonts w:ascii="Times New Roman" w:hAnsi="Times New Roman" w:cs="Times New Roman"/>
          <w:sz w:val="24"/>
          <w:szCs w:val="24"/>
        </w:rPr>
        <w:t>a</w:t>
      </w:r>
      <w:r w:rsidR="00814360" w:rsidRPr="00814360">
        <w:rPr>
          <w:rFonts w:ascii="Times New Roman" w:hAnsi="Times New Roman" w:cs="Times New Roman"/>
          <w:sz w:val="24"/>
          <w:szCs w:val="24"/>
        </w:rPr>
        <w:t>y</w:t>
      </w:r>
    </w:p>
    <w:p w14:paraId="2077AF21" w14:textId="52EF387B" w:rsidR="00814360" w:rsidRPr="00814360" w:rsidRDefault="00980975"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360" w:rsidRPr="00814360">
        <w:rPr>
          <w:rFonts w:ascii="Times New Roman" w:hAnsi="Times New Roman" w:cs="Times New Roman"/>
          <w:sz w:val="24"/>
          <w:szCs w:val="24"/>
        </w:rPr>
        <w:t>Silver Spring, MD 20910</w:t>
      </w:r>
    </w:p>
    <w:p w14:paraId="38C466E6" w14:textId="3E56B6ED" w:rsidR="00980975" w:rsidRDefault="00980975">
      <w:pPr>
        <w:rPr>
          <w:rFonts w:ascii="Times New Roman" w:hAnsi="Times New Roman" w:cs="Times New Roman"/>
          <w:sz w:val="24"/>
          <w:szCs w:val="24"/>
        </w:rPr>
      </w:pPr>
      <w:r>
        <w:rPr>
          <w:rFonts w:ascii="Times New Roman" w:hAnsi="Times New Roman" w:cs="Times New Roman"/>
          <w:sz w:val="24"/>
          <w:szCs w:val="24"/>
        </w:rPr>
        <w:br w:type="page"/>
      </w:r>
    </w:p>
    <w:p w14:paraId="1FB47FAF" w14:textId="77777777" w:rsidR="00D73E5E" w:rsidRDefault="00D73E5E" w:rsidP="00C50E9D">
      <w:pPr>
        <w:tabs>
          <w:tab w:val="left" w:pos="720"/>
        </w:tabs>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2B33AA1E" w14:textId="77777777" w:rsidTr="00C50E9D">
        <w:trPr>
          <w:jc w:val="center"/>
        </w:trPr>
        <w:tc>
          <w:tcPr>
            <w:tcW w:w="4770" w:type="dxa"/>
            <w:gridSpan w:val="2"/>
          </w:tcPr>
          <w:p w14:paraId="61AC5487"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14:paraId="7780E7C1" w14:textId="77777777" w:rsidTr="00C50E9D">
        <w:trPr>
          <w:jc w:val="center"/>
        </w:trPr>
        <w:tc>
          <w:tcPr>
            <w:tcW w:w="3915" w:type="dxa"/>
          </w:tcPr>
          <w:p w14:paraId="78120A06"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6717932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E75D6B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9BB6BF2"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0628FC9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6D6F8A0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6B0FA9A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14:paraId="52EB530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14:paraId="28DD8079" w14:textId="77777777"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14:paraId="549673A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DEC0E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3E9A45F7" w14:textId="77777777" w:rsidR="00C50E9D" w:rsidRPr="001B539D" w:rsidRDefault="00C50E9D" w:rsidP="00C50E9D">
            <w:pPr>
              <w:spacing w:after="0" w:line="240" w:lineRule="auto"/>
              <w:jc w:val="right"/>
              <w:rPr>
                <w:rFonts w:ascii="Times New Roman" w:hAnsi="Times New Roman" w:cs="Times New Roman"/>
                <w:b/>
                <w:sz w:val="20"/>
                <w:szCs w:val="20"/>
              </w:rPr>
            </w:pPr>
          </w:p>
          <w:p w14:paraId="3F7AE07C"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14:paraId="6802C106" w14:textId="77777777" w:rsidR="00C50E9D" w:rsidRPr="001B539D" w:rsidRDefault="00C50E9D" w:rsidP="00C50E9D">
            <w:pPr>
              <w:spacing w:after="0" w:line="240" w:lineRule="auto"/>
              <w:jc w:val="right"/>
              <w:rPr>
                <w:rFonts w:ascii="Times New Roman" w:hAnsi="Times New Roman" w:cs="Times New Roman"/>
                <w:b/>
                <w:sz w:val="20"/>
                <w:szCs w:val="20"/>
              </w:rPr>
            </w:pPr>
          </w:p>
          <w:p w14:paraId="4CB3E410"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14:paraId="2C410E55"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14:paraId="56CFA885" w14:textId="77777777" w:rsidR="00C50E9D" w:rsidRPr="001B539D" w:rsidRDefault="00C50E9D" w:rsidP="00C50E9D">
            <w:pPr>
              <w:spacing w:after="0" w:line="240" w:lineRule="auto"/>
              <w:rPr>
                <w:rFonts w:ascii="Times New Roman" w:hAnsi="Times New Roman" w:cs="Times New Roman"/>
                <w:sz w:val="20"/>
                <w:szCs w:val="20"/>
              </w:rPr>
            </w:pPr>
          </w:p>
        </w:tc>
      </w:tr>
    </w:tbl>
    <w:p w14:paraId="2747D778" w14:textId="77777777"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4E321C1F" w14:textId="77777777" w:rsidTr="00C50E9D">
        <w:trPr>
          <w:jc w:val="center"/>
        </w:trPr>
        <w:tc>
          <w:tcPr>
            <w:tcW w:w="4770" w:type="dxa"/>
            <w:gridSpan w:val="2"/>
          </w:tcPr>
          <w:p w14:paraId="0A21CFEB"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14:paraId="420CA06B" w14:textId="77777777" w:rsidTr="00C50E9D">
        <w:trPr>
          <w:jc w:val="center"/>
        </w:trPr>
        <w:tc>
          <w:tcPr>
            <w:tcW w:w="3915" w:type="dxa"/>
          </w:tcPr>
          <w:p w14:paraId="736DC27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4CAADC4"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E79242C"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086DA26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70FAF00C" w14:textId="77777777"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5D7FEE2"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5A0DFA"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14:paraId="5BD6FC8C" w14:textId="77777777" w:rsidR="00C50E9D" w:rsidRPr="001B539D" w:rsidRDefault="00C50E9D" w:rsidP="00C50E9D">
            <w:pPr>
              <w:spacing w:after="0" w:line="240" w:lineRule="auto"/>
              <w:jc w:val="right"/>
              <w:rPr>
                <w:rFonts w:ascii="Times New Roman" w:hAnsi="Times New Roman" w:cs="Times New Roman"/>
                <w:b/>
                <w:sz w:val="20"/>
                <w:szCs w:val="20"/>
              </w:rPr>
            </w:pPr>
          </w:p>
          <w:p w14:paraId="61A360B2"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14:paraId="53C184B3" w14:textId="77777777"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7972F718" w14:textId="77777777" w:rsidR="00D42091" w:rsidRDefault="00D42091" w:rsidP="00360E83">
      <w:pPr>
        <w:spacing w:after="0" w:line="240" w:lineRule="auto"/>
        <w:rPr>
          <w:rFonts w:ascii="Times New Roman" w:hAnsi="Times New Roman" w:cs="Times New Roman"/>
          <w:sz w:val="24"/>
          <w:szCs w:val="24"/>
        </w:rPr>
      </w:pPr>
    </w:p>
    <w:p w14:paraId="4A7E45D6"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6949EECB" w14:textId="77777777" w:rsidR="00360E83" w:rsidRDefault="00360E83" w:rsidP="00360E83">
      <w:pPr>
        <w:spacing w:after="0" w:line="240" w:lineRule="auto"/>
        <w:rPr>
          <w:rFonts w:ascii="Times New Roman" w:hAnsi="Times New Roman" w:cs="Times New Roman"/>
          <w:sz w:val="24"/>
          <w:szCs w:val="24"/>
        </w:rPr>
      </w:pPr>
    </w:p>
    <w:p w14:paraId="545AC99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14:paraId="39F4C2FB" w14:textId="77777777" w:rsidR="00360E83" w:rsidRDefault="00360E83" w:rsidP="001977B6">
      <w:pPr>
        <w:spacing w:after="0" w:line="240" w:lineRule="auto"/>
        <w:rPr>
          <w:rFonts w:ascii="Times New Roman" w:hAnsi="Times New Roman" w:cs="Times New Roman"/>
          <w:sz w:val="24"/>
          <w:szCs w:val="24"/>
        </w:rPr>
      </w:pPr>
    </w:p>
    <w:p w14:paraId="2C7878D9" w14:textId="44D71CD4" w:rsidR="0081037E" w:rsidRDefault="00980975" w:rsidP="009809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Alaska Region’s </w:t>
      </w:r>
      <w:r w:rsidR="0081037E" w:rsidRPr="0081037E">
        <w:rPr>
          <w:rFonts w:ascii="Times New Roman" w:hAnsi="Times New Roman" w:cs="Times New Roman"/>
          <w:sz w:val="24"/>
          <w:szCs w:val="24"/>
        </w:rPr>
        <w:t>online location, eFISH (</w:t>
      </w:r>
      <w:hyperlink r:id="rId21" w:history="1">
        <w:r w:rsidR="0081037E" w:rsidRPr="004148B0">
          <w:rPr>
            <w:rStyle w:val="Hyperlink"/>
            <w:rFonts w:ascii="Times New Roman" w:hAnsi="Times New Roman" w:cs="Times New Roman"/>
            <w:sz w:val="24"/>
            <w:szCs w:val="24"/>
          </w:rPr>
          <w:t>https://alaskafisheries.noaa.gov/webapps/efish/login</w:t>
        </w:r>
      </w:hyperlink>
      <w:proofErr w:type="gramStart"/>
      <w:r w:rsidR="0081037E" w:rsidRPr="0081037E">
        <w:rPr>
          <w:rFonts w:ascii="Times New Roman" w:hAnsi="Times New Roman" w:cs="Times New Roman"/>
          <w:sz w:val="24"/>
          <w:szCs w:val="24"/>
        </w:rPr>
        <w:t>)</w:t>
      </w:r>
      <w:r>
        <w:rPr>
          <w:rFonts w:ascii="Times New Roman" w:hAnsi="Times New Roman" w:cs="Times New Roman"/>
          <w:sz w:val="24"/>
          <w:szCs w:val="24"/>
        </w:rPr>
        <w:t xml:space="preserve">  </w:t>
      </w:r>
      <w:r w:rsidR="0081037E" w:rsidRPr="0081037E">
        <w:rPr>
          <w:rFonts w:ascii="Times New Roman" w:hAnsi="Times New Roman" w:cs="Times New Roman"/>
          <w:sz w:val="24"/>
          <w:szCs w:val="24"/>
        </w:rPr>
        <w:t>is</w:t>
      </w:r>
      <w:proofErr w:type="gramEnd"/>
      <w:r w:rsidR="0081037E" w:rsidRPr="0081037E">
        <w:rPr>
          <w:rFonts w:ascii="Times New Roman" w:hAnsi="Times New Roman" w:cs="Times New Roman"/>
          <w:sz w:val="24"/>
          <w:szCs w:val="24"/>
        </w:rPr>
        <w:t xml:space="preserve"> available for participants to pay fees for existing Alaska cost recovery and observer</w:t>
      </w:r>
      <w:r>
        <w:rPr>
          <w:rFonts w:ascii="Times New Roman" w:hAnsi="Times New Roman" w:cs="Times New Roman"/>
          <w:sz w:val="24"/>
          <w:szCs w:val="24"/>
        </w:rPr>
        <w:t xml:space="preserve"> coverage</w:t>
      </w:r>
      <w:r w:rsidR="0081037E" w:rsidRPr="0081037E">
        <w:rPr>
          <w:rFonts w:ascii="Times New Roman" w:hAnsi="Times New Roman" w:cs="Times New Roman"/>
          <w:sz w:val="24"/>
          <w:szCs w:val="24"/>
        </w:rPr>
        <w:t xml:space="preserve"> fees.  </w:t>
      </w:r>
    </w:p>
    <w:p w14:paraId="5BBEC564" w14:textId="77777777" w:rsidR="00980975" w:rsidRDefault="00980975" w:rsidP="00980975">
      <w:pPr>
        <w:spacing w:after="0" w:line="240" w:lineRule="auto"/>
        <w:rPr>
          <w:rFonts w:ascii="Times New Roman" w:hAnsi="Times New Roman" w:cs="Times New Roman"/>
          <w:b/>
          <w:sz w:val="24"/>
          <w:szCs w:val="24"/>
        </w:rPr>
      </w:pPr>
    </w:p>
    <w:p w14:paraId="251E203D" w14:textId="308AE6A3"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14:paraId="0FC78653" w14:textId="77777777" w:rsidR="00360E83" w:rsidRPr="001F605A" w:rsidRDefault="00360E83" w:rsidP="00980975">
      <w:pPr>
        <w:spacing w:after="0" w:line="240" w:lineRule="auto"/>
        <w:rPr>
          <w:rFonts w:ascii="Times New Roman" w:hAnsi="Times New Roman" w:cs="Times New Roman"/>
          <w:sz w:val="24"/>
          <w:szCs w:val="24"/>
        </w:rPr>
      </w:pPr>
    </w:p>
    <w:p w14:paraId="7478E089" w14:textId="77777777"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14:paraId="5C4AE56C" w14:textId="77777777" w:rsidR="00360E83" w:rsidRDefault="00360E83" w:rsidP="00980975">
      <w:pPr>
        <w:spacing w:after="0" w:line="240" w:lineRule="auto"/>
        <w:rPr>
          <w:rFonts w:ascii="Times New Roman" w:hAnsi="Times New Roman" w:cs="Times New Roman"/>
          <w:sz w:val="24"/>
          <w:szCs w:val="24"/>
        </w:rPr>
      </w:pPr>
    </w:p>
    <w:p w14:paraId="4050519A" w14:textId="77777777"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14:paraId="645753F7" w14:textId="77777777" w:rsidR="00360E83" w:rsidRDefault="00360E83" w:rsidP="00360E83">
      <w:pPr>
        <w:spacing w:after="0" w:line="240" w:lineRule="auto"/>
        <w:rPr>
          <w:rFonts w:ascii="Times New Roman" w:hAnsi="Times New Roman" w:cs="Times New Roman"/>
          <w:sz w:val="24"/>
          <w:szCs w:val="24"/>
        </w:rPr>
      </w:pPr>
    </w:p>
    <w:p w14:paraId="6988D22E" w14:textId="3DBEE12F" w:rsidR="00BD2830" w:rsidRDefault="00BD2830" w:rsidP="00BD2830">
      <w:pPr>
        <w:spacing w:after="0" w:line="240" w:lineRule="auto"/>
        <w:rPr>
          <w:rFonts w:ascii="Times New Roman" w:hAnsi="Times New Roman" w:cs="Times New Roman"/>
          <w:sz w:val="24"/>
          <w:szCs w:val="24"/>
        </w:rPr>
      </w:pPr>
      <w:r w:rsidRPr="00BD2830">
        <w:rPr>
          <w:rFonts w:ascii="Times New Roman" w:hAnsi="Times New Roman" w:cs="Times New Roman"/>
          <w:sz w:val="24"/>
          <w:szCs w:val="24"/>
        </w:rPr>
        <w:t>NMFS expects that up to 11 vessels may qualify for placement in the partial observer coverage category</w:t>
      </w:r>
      <w:r>
        <w:rPr>
          <w:rFonts w:ascii="Times New Roman" w:hAnsi="Times New Roman" w:cs="Times New Roman"/>
          <w:sz w:val="24"/>
          <w:szCs w:val="24"/>
        </w:rPr>
        <w:t xml:space="preserve"> and </w:t>
      </w:r>
      <w:r w:rsidRPr="00BD2830">
        <w:rPr>
          <w:rFonts w:ascii="Times New Roman" w:hAnsi="Times New Roman" w:cs="Times New Roman"/>
          <w:sz w:val="24"/>
          <w:szCs w:val="24"/>
        </w:rPr>
        <w:t>may be separated into four groups of entities.</w:t>
      </w:r>
    </w:p>
    <w:p w14:paraId="5ED19A58" w14:textId="77777777" w:rsidR="00BD2830" w:rsidRPr="00BD2830" w:rsidRDefault="00BD2830" w:rsidP="00BD2830">
      <w:pPr>
        <w:spacing w:after="0" w:line="240" w:lineRule="auto"/>
        <w:rPr>
          <w:rFonts w:ascii="Times New Roman" w:hAnsi="Times New Roman" w:cs="Times New Roman"/>
          <w:sz w:val="24"/>
          <w:szCs w:val="24"/>
        </w:rPr>
      </w:pPr>
    </w:p>
    <w:p w14:paraId="23C80D39" w14:textId="77777777" w:rsidR="00360E83" w:rsidRPr="001F605A" w:rsidRDefault="00360E83" w:rsidP="004A741E">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14:paraId="4CB00977" w14:textId="77777777" w:rsidR="00360E83" w:rsidRDefault="00360E83" w:rsidP="004A741E">
      <w:pPr>
        <w:spacing w:after="0" w:line="240" w:lineRule="auto"/>
        <w:rPr>
          <w:rFonts w:ascii="Times New Roman" w:hAnsi="Times New Roman" w:cs="Times New Roman"/>
          <w:sz w:val="24"/>
          <w:szCs w:val="24"/>
        </w:rPr>
      </w:pPr>
    </w:p>
    <w:p w14:paraId="68C020A8" w14:textId="1ECF81FA" w:rsidR="004A741E" w:rsidRPr="004A741E" w:rsidRDefault="004A741E" w:rsidP="004A741E">
      <w:pPr>
        <w:spacing w:after="0" w:line="240" w:lineRule="auto"/>
        <w:rPr>
          <w:rFonts w:ascii="Times New Roman" w:hAnsi="Times New Roman" w:cs="Times New Roman"/>
          <w:sz w:val="24"/>
          <w:szCs w:val="24"/>
        </w:rPr>
      </w:pPr>
      <w:r w:rsidRPr="004A741E">
        <w:rPr>
          <w:rFonts w:ascii="Times New Roman" w:hAnsi="Times New Roman" w:cs="Times New Roman"/>
          <w:sz w:val="24"/>
          <w:szCs w:val="24"/>
        </w:rPr>
        <w:lastRenderedPageBreak/>
        <w:t>This action is meant to reduce the relative burden on directly regulated small catcher/processors in comparison with the status quo.  For vessels that qualify, this action would allow them to forego full observer coverage and operate with less expensive partial observer coverage, should they choose to do so.</w:t>
      </w:r>
      <w:r>
        <w:rPr>
          <w:rFonts w:ascii="Times New Roman" w:hAnsi="Times New Roman" w:cs="Times New Roman"/>
          <w:sz w:val="24"/>
          <w:szCs w:val="24"/>
        </w:rPr>
        <w:t xml:space="preserve">  If the collection were not conducted</w:t>
      </w:r>
      <w:r w:rsidR="000B0EDE">
        <w:rPr>
          <w:rFonts w:ascii="Times New Roman" w:hAnsi="Times New Roman" w:cs="Times New Roman"/>
          <w:sz w:val="24"/>
          <w:szCs w:val="24"/>
        </w:rPr>
        <w:t>, the burden on small catcher/processors would remain.</w:t>
      </w:r>
    </w:p>
    <w:p w14:paraId="3F1E4B1B" w14:textId="77777777" w:rsidR="00360E83" w:rsidRDefault="00360E83" w:rsidP="004A741E">
      <w:pPr>
        <w:spacing w:after="0" w:line="240" w:lineRule="auto"/>
        <w:rPr>
          <w:rFonts w:ascii="Times New Roman" w:hAnsi="Times New Roman" w:cs="Times New Roman"/>
          <w:sz w:val="24"/>
          <w:szCs w:val="24"/>
        </w:rPr>
      </w:pPr>
    </w:p>
    <w:p w14:paraId="083414B1" w14:textId="77777777" w:rsidR="00360E83" w:rsidRPr="001F605A" w:rsidRDefault="00360E83" w:rsidP="004A741E">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14:paraId="510A8186" w14:textId="77777777" w:rsidR="00360E83" w:rsidRPr="001F605A" w:rsidRDefault="00360E83" w:rsidP="00360E83">
      <w:pPr>
        <w:spacing w:after="0" w:line="240" w:lineRule="auto"/>
        <w:rPr>
          <w:rFonts w:ascii="Times New Roman" w:hAnsi="Times New Roman" w:cs="Times New Roman"/>
          <w:sz w:val="24"/>
          <w:szCs w:val="24"/>
        </w:rPr>
      </w:pPr>
    </w:p>
    <w:p w14:paraId="1B17C680"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14:paraId="7A26E7A6" w14:textId="77777777" w:rsidR="00360E83" w:rsidRPr="001F605A" w:rsidRDefault="00360E83" w:rsidP="00360E83">
      <w:pPr>
        <w:spacing w:after="0" w:line="240" w:lineRule="auto"/>
        <w:rPr>
          <w:rFonts w:ascii="Times New Roman" w:hAnsi="Times New Roman" w:cs="Times New Roman"/>
          <w:sz w:val="24"/>
          <w:szCs w:val="24"/>
        </w:rPr>
      </w:pPr>
    </w:p>
    <w:p w14:paraId="4191D2A0"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14:paraId="124A1F9E" w14:textId="77777777" w:rsidR="00360E83" w:rsidRDefault="00360E83" w:rsidP="00360E83">
      <w:pPr>
        <w:spacing w:after="0" w:line="240" w:lineRule="auto"/>
        <w:rPr>
          <w:rFonts w:ascii="Times New Roman" w:hAnsi="Times New Roman" w:cs="Times New Roman"/>
          <w:sz w:val="24"/>
          <w:szCs w:val="24"/>
        </w:rPr>
      </w:pPr>
    </w:p>
    <w:p w14:paraId="0B861940" w14:textId="77777777" w:rsidR="0022174F" w:rsidRDefault="0022174F" w:rsidP="002217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proposed rule (RIN 0648-BF36) was published in the </w:t>
      </w:r>
      <w:r>
        <w:rPr>
          <w:rFonts w:ascii="Times New Roman" w:hAnsi="Times New Roman" w:cs="Times New Roman"/>
          <w:sz w:val="24"/>
          <w:szCs w:val="24"/>
          <w:u w:val="single"/>
        </w:rPr>
        <w:t>Federal Register</w:t>
      </w:r>
      <w:r>
        <w:rPr>
          <w:rFonts w:ascii="Times New Roman" w:hAnsi="Times New Roman" w:cs="Times New Roman"/>
          <w:sz w:val="24"/>
          <w:szCs w:val="24"/>
        </w:rPr>
        <w:t xml:space="preserve"> on December 29, 2015 (80 FR 81262), corrected January 22, 2016 (81 FR 3775)) to solicit public comment. </w:t>
      </w:r>
    </w:p>
    <w:p w14:paraId="328374C8" w14:textId="77777777" w:rsidR="0022174F" w:rsidRDefault="0022174F" w:rsidP="002217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 period closed on January 28, 2016.  </w:t>
      </w:r>
    </w:p>
    <w:p w14:paraId="7823EFE6" w14:textId="77777777" w:rsidR="0022174F" w:rsidRDefault="0022174F" w:rsidP="0022174F">
      <w:pPr>
        <w:tabs>
          <w:tab w:val="left" w:pos="360"/>
          <w:tab w:val="left" w:pos="720"/>
          <w:tab w:val="left" w:pos="900"/>
          <w:tab w:val="left" w:pos="1080"/>
        </w:tabs>
        <w:spacing w:after="0" w:line="240" w:lineRule="auto"/>
        <w:rPr>
          <w:rFonts w:ascii="Times New Roman" w:hAnsi="Times New Roman" w:cs="Times New Roman"/>
          <w:sz w:val="24"/>
          <w:szCs w:val="24"/>
        </w:rPr>
      </w:pPr>
    </w:p>
    <w:p w14:paraId="15B74331" w14:textId="3299735C" w:rsidR="0022174F" w:rsidRDefault="0022174F" w:rsidP="002217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NMFS received three comment letters from the public that contained three substantive comments; however, they pertained only to</w:t>
      </w:r>
      <w:r>
        <w:rPr>
          <w:rFonts w:ascii="Times New Roman" w:hAnsi="Times New Roman" w:cs="Times New Roman"/>
          <w:sz w:val="24"/>
          <w:szCs w:val="24"/>
        </w:rPr>
        <w:t xml:space="preserve"> OMB Control No.</w:t>
      </w:r>
      <w:bookmarkStart w:id="0" w:name="_GoBack"/>
      <w:bookmarkEnd w:id="0"/>
      <w:r>
        <w:rPr>
          <w:rFonts w:ascii="Times New Roman" w:hAnsi="Times New Roman" w:cs="Times New Roman"/>
          <w:sz w:val="24"/>
          <w:szCs w:val="24"/>
        </w:rPr>
        <w:t xml:space="preserve"> 0648-0318.  </w:t>
      </w:r>
    </w:p>
    <w:p w14:paraId="2DBD420E" w14:textId="77777777" w:rsidR="009F3312" w:rsidRDefault="009F3312" w:rsidP="00801D6D">
      <w:pPr>
        <w:spacing w:after="0" w:line="240" w:lineRule="auto"/>
        <w:rPr>
          <w:rFonts w:ascii="Times New Roman" w:hAnsi="Times New Roman" w:cs="Times New Roman"/>
          <w:sz w:val="24"/>
          <w:szCs w:val="24"/>
        </w:rPr>
      </w:pPr>
    </w:p>
    <w:p w14:paraId="1798ED07" w14:textId="77777777"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14:paraId="60C9DE43" w14:textId="77777777" w:rsidR="00360E83" w:rsidRPr="00D71C39" w:rsidRDefault="00360E83" w:rsidP="00360E83">
      <w:pPr>
        <w:spacing w:after="0" w:line="240" w:lineRule="auto"/>
        <w:rPr>
          <w:rFonts w:ascii="Times New Roman" w:hAnsi="Times New Roman" w:cs="Times New Roman"/>
          <w:sz w:val="24"/>
          <w:szCs w:val="24"/>
        </w:rPr>
      </w:pPr>
    </w:p>
    <w:p w14:paraId="3B609D70" w14:textId="77777777"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14:paraId="04849726" w14:textId="77777777" w:rsidR="00360E83" w:rsidRDefault="00360E83" w:rsidP="00360E83">
      <w:pPr>
        <w:spacing w:after="0" w:line="240" w:lineRule="auto"/>
        <w:rPr>
          <w:rFonts w:ascii="Times New Roman" w:hAnsi="Times New Roman" w:cs="Times New Roman"/>
          <w:sz w:val="24"/>
          <w:szCs w:val="24"/>
        </w:rPr>
      </w:pPr>
    </w:p>
    <w:p w14:paraId="6DA74EE4" w14:textId="77777777"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14:paraId="468A629C" w14:textId="77777777" w:rsidR="00360E83" w:rsidRPr="00D71C39" w:rsidRDefault="00360E83" w:rsidP="00A87639">
      <w:pPr>
        <w:spacing w:after="0" w:line="240" w:lineRule="auto"/>
        <w:rPr>
          <w:rFonts w:ascii="Times New Roman" w:hAnsi="Times New Roman" w:cs="Times New Roman"/>
          <w:sz w:val="24"/>
          <w:szCs w:val="24"/>
        </w:rPr>
      </w:pPr>
    </w:p>
    <w:p w14:paraId="45F5D629" w14:textId="77777777" w:rsidR="00DA1F31" w:rsidRPr="00DA1F31" w:rsidRDefault="00DA1F31" w:rsidP="00A87639">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 xml:space="preserve">Data from ports are combined as necessary to protect confidentiality.  Confidential data means data that are identifiable with any person, accepted by the Secretary, and prohibited by law from being disclosed to the public. </w:t>
      </w:r>
    </w:p>
    <w:p w14:paraId="0325B46C" w14:textId="77777777" w:rsidR="00A87639" w:rsidRDefault="00A87639" w:rsidP="00A87639">
      <w:pPr>
        <w:spacing w:after="0" w:line="240" w:lineRule="auto"/>
        <w:rPr>
          <w:rFonts w:ascii="Times New Roman" w:hAnsi="Times New Roman" w:cs="Times New Roman"/>
          <w:sz w:val="24"/>
          <w:szCs w:val="24"/>
        </w:rPr>
      </w:pPr>
    </w:p>
    <w:p w14:paraId="58873853"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The information collected is confidential under section 402(b) of the Magnuson-Stevens Act </w:t>
      </w:r>
    </w:p>
    <w:p w14:paraId="56889E9F"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(16 U.S.C. 1801 et seq.); and also under NOAA Administrative Order (AO) 216-100, which sets forth procedures to protect confidentiality of fishery statistics.</w:t>
      </w:r>
    </w:p>
    <w:p w14:paraId="523A1BC4" w14:textId="77777777" w:rsidR="00360E83" w:rsidRPr="00D71C39" w:rsidRDefault="00360E83" w:rsidP="00A87639">
      <w:pPr>
        <w:spacing w:after="0" w:line="240" w:lineRule="auto"/>
        <w:rPr>
          <w:rFonts w:ascii="Times New Roman" w:hAnsi="Times New Roman" w:cs="Times New Roman"/>
          <w:sz w:val="24"/>
          <w:szCs w:val="24"/>
        </w:rPr>
      </w:pPr>
    </w:p>
    <w:p w14:paraId="1A481E86" w14:textId="77777777"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r w:rsidR="002B0FD6" w:rsidRPr="00DA1F31">
        <w:rPr>
          <w:rFonts w:ascii="Times New Roman" w:hAnsi="Times New Roman" w:cs="Times New Roman"/>
          <w:sz w:val="24"/>
          <w:szCs w:val="24"/>
        </w:rPr>
        <w:t>Privacy Act System of Records Notice,</w:t>
      </w:r>
      <w:r w:rsidR="002B0FD6">
        <w:rPr>
          <w:rFonts w:ascii="Times New Roman" w:hAnsi="Times New Roman" w:cs="Times New Roman"/>
          <w:sz w:val="24"/>
          <w:szCs w:val="24"/>
        </w:rPr>
        <w:t xml:space="preserve"> </w:t>
      </w:r>
      <w:r w:rsidR="002B0FD6" w:rsidRPr="00DA1F31">
        <w:rPr>
          <w:rFonts w:ascii="Times New Roman" w:hAnsi="Times New Roman" w:cs="Times New Roman"/>
          <w:sz w:val="24"/>
          <w:szCs w:val="24"/>
        </w:rPr>
        <w:t xml:space="preserve">NOAA </w:t>
      </w:r>
      <w:r w:rsidR="002B0FD6">
        <w:rPr>
          <w:rFonts w:ascii="Times New Roman" w:hAnsi="Times New Roman" w:cs="Times New Roman"/>
          <w:sz w:val="24"/>
          <w:szCs w:val="24"/>
        </w:rPr>
        <w:t>#1</w:t>
      </w:r>
      <w:r w:rsidR="002B0FD6" w:rsidRPr="00DA1F31">
        <w:rPr>
          <w:rFonts w:ascii="Times New Roman" w:hAnsi="Times New Roman" w:cs="Times New Roman"/>
          <w:sz w:val="24"/>
          <w:szCs w:val="24"/>
        </w:rPr>
        <w:t>9, Permits and Registrations for United States Federally Regulated Fisheries</w:t>
      </w:r>
    </w:p>
    <w:p w14:paraId="5BC7B8DE" w14:textId="77777777" w:rsidR="002B0FD6" w:rsidRPr="00D71C39" w:rsidRDefault="002B0FD6" w:rsidP="00A87639">
      <w:pPr>
        <w:spacing w:after="0" w:line="240" w:lineRule="auto"/>
        <w:rPr>
          <w:rFonts w:ascii="Times New Roman" w:hAnsi="Times New Roman" w:cs="Times New Roman"/>
          <w:sz w:val="24"/>
          <w:szCs w:val="24"/>
        </w:rPr>
      </w:pPr>
    </w:p>
    <w:p w14:paraId="180C13B6" w14:textId="77777777"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14:paraId="225CF8A6" w14:textId="77777777" w:rsidR="00F06E2C" w:rsidRPr="00D71C39" w:rsidRDefault="00F06E2C" w:rsidP="00F06E2C">
      <w:pPr>
        <w:spacing w:after="0" w:line="240" w:lineRule="auto"/>
        <w:rPr>
          <w:rFonts w:ascii="Times New Roman" w:hAnsi="Times New Roman" w:cs="Times New Roman"/>
          <w:sz w:val="24"/>
          <w:szCs w:val="24"/>
        </w:rPr>
      </w:pPr>
    </w:p>
    <w:p w14:paraId="63BBAF60" w14:textId="77777777" w:rsidR="00F06E2C" w:rsidRPr="00D71C39"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716CEFA7" w14:textId="32C3904B"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14:paraId="7B32E03C" w14:textId="77777777" w:rsidR="00F06E2C" w:rsidRPr="00D71C39" w:rsidRDefault="00F06E2C" w:rsidP="00F06E2C">
      <w:pPr>
        <w:spacing w:after="0" w:line="240" w:lineRule="auto"/>
        <w:rPr>
          <w:rFonts w:ascii="Times New Roman" w:hAnsi="Times New Roman" w:cs="Times New Roman"/>
          <w:sz w:val="24"/>
          <w:szCs w:val="24"/>
        </w:rPr>
      </w:pPr>
    </w:p>
    <w:p w14:paraId="69D166B0" w14:textId="1F72A8CF"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5406DF">
        <w:rPr>
          <w:rFonts w:ascii="Times New Roman" w:hAnsi="Times New Roman" w:cs="Times New Roman"/>
          <w:sz w:val="24"/>
          <w:szCs w:val="24"/>
        </w:rPr>
        <w:t xml:space="preserve">2,182, increased from </w:t>
      </w:r>
      <w:r w:rsidR="00BF186D">
        <w:rPr>
          <w:rFonts w:ascii="Times New Roman" w:hAnsi="Times New Roman" w:cs="Times New Roman"/>
          <w:sz w:val="24"/>
          <w:szCs w:val="24"/>
        </w:rPr>
        <w:t>2,171</w:t>
      </w:r>
      <w:r w:rsidRPr="00D71C39">
        <w:rPr>
          <w:rFonts w:ascii="Times New Roman" w:hAnsi="Times New Roman" w:cs="Times New Roman"/>
          <w:sz w:val="24"/>
          <w:szCs w:val="24"/>
        </w:rPr>
        <w:t xml:space="preserve">.  Estimated total responses: </w:t>
      </w:r>
      <w:r w:rsidR="005406DF">
        <w:rPr>
          <w:rFonts w:ascii="Times New Roman" w:hAnsi="Times New Roman" w:cs="Times New Roman"/>
          <w:sz w:val="24"/>
          <w:szCs w:val="24"/>
        </w:rPr>
        <w:t xml:space="preserve">2,370, increased from </w:t>
      </w:r>
      <w:r w:rsidR="00BF186D">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14:paraId="215D68BF" w14:textId="77777777" w:rsidR="00F06E2C" w:rsidRDefault="00F06E2C" w:rsidP="00F06E2C">
      <w:pPr>
        <w:spacing w:after="0" w:line="240" w:lineRule="auto"/>
        <w:rPr>
          <w:rFonts w:ascii="Times New Roman" w:hAnsi="Times New Roman" w:cs="Times New Roman"/>
          <w:sz w:val="24"/>
          <w:szCs w:val="24"/>
        </w:rPr>
      </w:pPr>
    </w:p>
    <w:p w14:paraId="17883610" w14:textId="77777777"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14:paraId="5F8ED303" w14:textId="0CC2DB21"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sidR="005406DF">
        <w:rPr>
          <w:rFonts w:ascii="Times New Roman" w:hAnsi="Times New Roman" w:cs="Times New Roman"/>
          <w:sz w:val="24"/>
          <w:szCs w:val="24"/>
        </w:rPr>
        <w:t xml:space="preserve">$416, decreased from </w:t>
      </w:r>
      <w:r>
        <w:rPr>
          <w:rFonts w:ascii="Times New Roman" w:hAnsi="Times New Roman" w:cs="Times New Roman"/>
          <w:sz w:val="24"/>
          <w:szCs w:val="24"/>
        </w:rPr>
        <w:t>$</w:t>
      </w:r>
      <w:r w:rsidR="00836FDB">
        <w:rPr>
          <w:rFonts w:ascii="Times New Roman" w:hAnsi="Times New Roman" w:cs="Times New Roman"/>
          <w:sz w:val="24"/>
          <w:szCs w:val="24"/>
        </w:rPr>
        <w:t>428</w:t>
      </w:r>
      <w:r w:rsidRPr="00D71C39">
        <w:rPr>
          <w:rFonts w:ascii="Times New Roman" w:hAnsi="Times New Roman" w:cs="Times New Roman"/>
          <w:sz w:val="24"/>
          <w:szCs w:val="24"/>
        </w:rPr>
        <w:t>.</w:t>
      </w:r>
    </w:p>
    <w:p w14:paraId="0541F3B5" w14:textId="77777777" w:rsidR="00D11855" w:rsidRDefault="00D11855" w:rsidP="002D5061">
      <w:pPr>
        <w:spacing w:after="0" w:line="240" w:lineRule="auto"/>
        <w:rPr>
          <w:rFonts w:ascii="Times New Roman" w:hAnsi="Times New Roman" w:cs="Times New Roman"/>
          <w:sz w:val="24"/>
          <w:szCs w:val="24"/>
        </w:rPr>
      </w:pPr>
    </w:p>
    <w:p w14:paraId="4E2F2385" w14:textId="77777777"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14:paraId="01728B13" w14:textId="77777777" w:rsidR="00F06E2C" w:rsidRPr="00D71C39" w:rsidRDefault="00F06E2C" w:rsidP="002D5061">
      <w:pPr>
        <w:spacing w:after="0" w:line="240" w:lineRule="auto"/>
        <w:rPr>
          <w:rFonts w:ascii="Times New Roman" w:hAnsi="Times New Roman" w:cs="Times New Roman"/>
          <w:sz w:val="24"/>
          <w:szCs w:val="24"/>
        </w:rPr>
      </w:pPr>
    </w:p>
    <w:p w14:paraId="224DFEA4" w14:textId="3FF28793"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5406DF">
        <w:rPr>
          <w:rFonts w:ascii="Times New Roman" w:hAnsi="Times New Roman" w:cs="Times New Roman"/>
          <w:sz w:val="24"/>
          <w:szCs w:val="24"/>
        </w:rPr>
        <w:t>1</w:t>
      </w:r>
      <w:r w:rsidR="00A960BA">
        <w:rPr>
          <w:rFonts w:ascii="Times New Roman" w:hAnsi="Times New Roman" w:cs="Times New Roman"/>
          <w:sz w:val="24"/>
          <w:szCs w:val="24"/>
        </w:rPr>
        <w:t xml:space="preserve">. </w:t>
      </w:r>
      <w:r w:rsidRPr="00D71C39">
        <w:rPr>
          <w:rFonts w:ascii="Times New Roman" w:hAnsi="Times New Roman" w:cs="Times New Roman"/>
          <w:sz w:val="24"/>
          <w:szCs w:val="24"/>
        </w:rPr>
        <w:t xml:space="preserve">Estimated total burden:  </w:t>
      </w:r>
      <w:r w:rsidR="00350BC8">
        <w:rPr>
          <w:rFonts w:ascii="Times New Roman" w:hAnsi="Times New Roman" w:cs="Times New Roman"/>
          <w:sz w:val="24"/>
          <w:szCs w:val="24"/>
        </w:rPr>
        <w:t>4</w:t>
      </w:r>
      <w:r w:rsidR="00A960BA">
        <w:rPr>
          <w:rFonts w:ascii="Times New Roman" w:hAnsi="Times New Roman" w:cs="Times New Roman"/>
          <w:sz w:val="24"/>
          <w:szCs w:val="24"/>
        </w:rPr>
        <w:t xml:space="preserve"> hr. </w:t>
      </w:r>
      <w:r w:rsidRPr="00D71C39">
        <w:rPr>
          <w:rFonts w:ascii="Times New Roman" w:hAnsi="Times New Roman" w:cs="Times New Roman"/>
          <w:sz w:val="24"/>
          <w:szCs w:val="24"/>
        </w:rPr>
        <w:t>Estimated total personnel cost:  $</w:t>
      </w:r>
      <w:r w:rsidR="005406DF">
        <w:rPr>
          <w:rFonts w:ascii="Times New Roman" w:hAnsi="Times New Roman" w:cs="Times New Roman"/>
          <w:sz w:val="24"/>
          <w:szCs w:val="24"/>
        </w:rPr>
        <w:t>300</w:t>
      </w:r>
      <w:r w:rsidRPr="00D71C39">
        <w:rPr>
          <w:rFonts w:ascii="Times New Roman" w:hAnsi="Times New Roman" w:cs="Times New Roman"/>
          <w:sz w:val="24"/>
          <w:szCs w:val="24"/>
        </w:rPr>
        <w:t xml:space="preserve">.  </w:t>
      </w:r>
    </w:p>
    <w:p w14:paraId="252EAFE6" w14:textId="77777777" w:rsidR="00F06E2C" w:rsidRPr="00D71C39" w:rsidRDefault="00F06E2C" w:rsidP="00F06E2C">
      <w:pPr>
        <w:spacing w:after="0" w:line="240" w:lineRule="auto"/>
        <w:rPr>
          <w:rFonts w:ascii="Times New Roman" w:hAnsi="Times New Roman" w:cs="Times New Roman"/>
          <w:sz w:val="24"/>
          <w:szCs w:val="24"/>
        </w:rPr>
      </w:pPr>
    </w:p>
    <w:p w14:paraId="0B1ED320" w14:textId="77777777"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14:paraId="3896362C" w14:textId="77777777" w:rsidR="00F06E2C" w:rsidRDefault="00F06E2C" w:rsidP="00F06E2C">
      <w:pPr>
        <w:spacing w:after="0" w:line="240" w:lineRule="auto"/>
        <w:rPr>
          <w:rFonts w:ascii="Times New Roman" w:hAnsi="Times New Roman" w:cs="Times New Roman"/>
          <w:b/>
          <w:sz w:val="24"/>
          <w:szCs w:val="24"/>
        </w:rPr>
      </w:pPr>
    </w:p>
    <w:p w14:paraId="171F2341" w14:textId="0585FFAC" w:rsidR="009B550D" w:rsidRPr="008B49DD" w:rsidRDefault="009B550D" w:rsidP="009B550D">
      <w:pPr>
        <w:spacing w:after="0" w:line="240" w:lineRule="auto"/>
        <w:rPr>
          <w:rFonts w:ascii="Times New Roman" w:hAnsi="Times New Roman" w:cs="Times New Roman"/>
          <w:b/>
          <w:sz w:val="24"/>
          <w:szCs w:val="24"/>
        </w:rPr>
      </w:pPr>
      <w:r w:rsidRPr="008B49DD">
        <w:rPr>
          <w:rFonts w:ascii="Times New Roman" w:hAnsi="Times New Roman" w:cs="Times New Roman"/>
          <w:b/>
          <w:sz w:val="24"/>
          <w:szCs w:val="24"/>
        </w:rPr>
        <w:t>Program Change</w:t>
      </w:r>
      <w:r w:rsidR="00F24DFC">
        <w:rPr>
          <w:rFonts w:ascii="Times New Roman" w:hAnsi="Times New Roman" w:cs="Times New Roman"/>
          <w:b/>
          <w:sz w:val="24"/>
          <w:szCs w:val="24"/>
        </w:rPr>
        <w:t>s</w:t>
      </w:r>
    </w:p>
    <w:p w14:paraId="209831C2" w14:textId="77777777" w:rsidR="009B550D" w:rsidRDefault="009B550D" w:rsidP="009B550D">
      <w:pPr>
        <w:spacing w:after="0" w:line="240" w:lineRule="auto"/>
        <w:rPr>
          <w:rFonts w:ascii="Times New Roman" w:hAnsi="Times New Roman" w:cs="Times New Roman"/>
          <w:b/>
          <w:sz w:val="24"/>
          <w:szCs w:val="24"/>
        </w:rPr>
      </w:pPr>
    </w:p>
    <w:p w14:paraId="09B99B59" w14:textId="1E57CB45" w:rsidR="009B550D" w:rsidRDefault="009B550D" w:rsidP="009B550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 xml:space="preserve">The vessel owner of eligible catcher/processors </w:t>
      </w:r>
      <w:r>
        <w:rPr>
          <w:rFonts w:ascii="Times New Roman" w:hAnsi="Times New Roman" w:cs="Times New Roman"/>
          <w:sz w:val="24"/>
          <w:szCs w:val="24"/>
        </w:rPr>
        <w:t xml:space="preserve">is provided </w:t>
      </w:r>
      <w:r w:rsidRPr="00CF35ED">
        <w:rPr>
          <w:rFonts w:ascii="Times New Roman" w:hAnsi="Times New Roman" w:cs="Times New Roman"/>
          <w:sz w:val="24"/>
          <w:szCs w:val="24"/>
        </w:rPr>
        <w:t>with the option to remain in the full observer coverage category or to be placed in the partial observer coverage category for the upcoming fishing year.  If the owner of a qualifying vessel does not select to be placed in the partial observer coverage category by the annual deadline, that catcher/processor would be placed in the full observer coverage category for the upcoming fishing year.</w:t>
      </w:r>
      <w:r w:rsidR="00183ED5">
        <w:rPr>
          <w:rFonts w:ascii="Times New Roman" w:hAnsi="Times New Roman" w:cs="Times New Roman"/>
          <w:sz w:val="24"/>
          <w:szCs w:val="24"/>
        </w:rPr>
        <w:t xml:space="preserve"> Burden associated with the change in category is covered under OMB Control No. 9648-0318.</w:t>
      </w:r>
    </w:p>
    <w:p w14:paraId="42E9D7C3" w14:textId="77777777" w:rsidR="008B49DD" w:rsidRDefault="008B49DD" w:rsidP="009B550D">
      <w:pPr>
        <w:spacing w:after="0" w:line="240" w:lineRule="auto"/>
        <w:rPr>
          <w:rFonts w:ascii="Times New Roman" w:hAnsi="Times New Roman" w:cs="Times New Roman"/>
          <w:sz w:val="24"/>
          <w:szCs w:val="24"/>
        </w:rPr>
      </w:pPr>
    </w:p>
    <w:p w14:paraId="4EEEB831" w14:textId="5B6C1208" w:rsidR="008B49DD" w:rsidRPr="00D44993" w:rsidRDefault="00F24DFC" w:rsidP="008B49D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Observer </w:t>
      </w:r>
      <w:r w:rsidR="008B49DD">
        <w:rPr>
          <w:rFonts w:ascii="Times New Roman" w:hAnsi="Times New Roman" w:cs="Times New Roman"/>
          <w:sz w:val="24"/>
          <w:szCs w:val="24"/>
          <w:u w:val="single"/>
        </w:rPr>
        <w:t xml:space="preserve">Fee Submission </w:t>
      </w:r>
    </w:p>
    <w:p w14:paraId="371D13AE" w14:textId="4F0A6571" w:rsidR="008B49DD" w:rsidRPr="00BE5138" w:rsidRDefault="008B49DD" w:rsidP="008B49D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11</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2,182</w:t>
      </w:r>
      <w:r w:rsidRPr="00BE5138">
        <w:rPr>
          <w:rFonts w:ascii="Times New Roman" w:hAnsi="Times New Roman" w:cs="Times New Roman"/>
          <w:sz w:val="24"/>
          <w:szCs w:val="24"/>
        </w:rPr>
        <w:t xml:space="preserve"> instead of </w:t>
      </w:r>
      <w:r>
        <w:rPr>
          <w:rFonts w:ascii="Times New Roman" w:hAnsi="Times New Roman" w:cs="Times New Roman"/>
          <w:sz w:val="24"/>
          <w:szCs w:val="24"/>
        </w:rPr>
        <w:t>2,171</w:t>
      </w:r>
      <w:r w:rsidR="003768AC">
        <w:rPr>
          <w:rFonts w:ascii="Times New Roman" w:hAnsi="Times New Roman" w:cs="Times New Roman"/>
          <w:sz w:val="24"/>
          <w:szCs w:val="24"/>
        </w:rPr>
        <w:t xml:space="preserve">. No increase </w:t>
      </w:r>
      <w:r w:rsidR="00F24DFC">
        <w:rPr>
          <w:rFonts w:ascii="Times New Roman" w:hAnsi="Times New Roman" w:cs="Times New Roman"/>
          <w:sz w:val="24"/>
          <w:szCs w:val="24"/>
        </w:rPr>
        <w:t>shown in hours as only 11 minutes is added.</w:t>
      </w:r>
    </w:p>
    <w:p w14:paraId="7188D8EB" w14:textId="77777777" w:rsidR="008B49DD" w:rsidRDefault="008B49DD" w:rsidP="008B49D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14:paraId="03A9B78E" w14:textId="2142ED33" w:rsidR="00B966D5" w:rsidRPr="008B49DD" w:rsidRDefault="00F24DFC" w:rsidP="00F06E2C">
      <w:pPr>
        <w:spacing w:after="0" w:line="240" w:lineRule="auto"/>
        <w:rPr>
          <w:rFonts w:ascii="Times New Roman" w:hAnsi="Times New Roman" w:cs="Times New Roman"/>
          <w:b/>
          <w:sz w:val="24"/>
          <w:szCs w:val="24"/>
        </w:rPr>
      </w:pPr>
      <w:r>
        <w:rPr>
          <w:rFonts w:ascii="Times New Roman" w:hAnsi="Times New Roman" w:cs="Times New Roman"/>
          <w:b/>
          <w:sz w:val="24"/>
          <w:szCs w:val="24"/>
        </w:rPr>
        <w:t>Adjustment</w:t>
      </w:r>
    </w:p>
    <w:p w14:paraId="069B7F2E" w14:textId="77777777" w:rsidR="00B966D5" w:rsidRDefault="00B966D5" w:rsidP="00F06E2C">
      <w:pPr>
        <w:spacing w:after="0" w:line="240" w:lineRule="auto"/>
        <w:rPr>
          <w:rFonts w:ascii="Times New Roman" w:hAnsi="Times New Roman" w:cs="Times New Roman"/>
          <w:sz w:val="24"/>
          <w:szCs w:val="24"/>
        </w:rPr>
      </w:pPr>
    </w:p>
    <w:p w14:paraId="3F2FF809" w14:textId="3EBFD403" w:rsidR="009B550D" w:rsidRPr="00D44993" w:rsidRDefault="009B550D" w:rsidP="009B550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Value &amp; Volume Report </w:t>
      </w:r>
    </w:p>
    <w:p w14:paraId="3FEE4B05" w14:textId="3C9C25E9" w:rsidR="009B550D" w:rsidRDefault="009B550D" w:rsidP="009B550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12</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w:t>
      </w:r>
    </w:p>
    <w:p w14:paraId="46FBA684" w14:textId="77777777" w:rsidR="009B550D" w:rsidRDefault="009B550D" w:rsidP="00F06E2C">
      <w:pPr>
        <w:spacing w:after="0" w:line="240" w:lineRule="auto"/>
        <w:rPr>
          <w:rFonts w:ascii="Times New Roman" w:hAnsi="Times New Roman" w:cs="Times New Roman"/>
          <w:sz w:val="24"/>
          <w:szCs w:val="24"/>
        </w:rPr>
      </w:pPr>
    </w:p>
    <w:p w14:paraId="21F73CF4" w14:textId="77777777" w:rsidR="008B49DD" w:rsidRDefault="008B49DD">
      <w:pPr>
        <w:rPr>
          <w:rFonts w:ascii="Times New Roman" w:hAnsi="Times New Roman" w:cs="Times New Roman"/>
          <w:b/>
          <w:sz w:val="24"/>
          <w:szCs w:val="24"/>
        </w:rPr>
      </w:pPr>
      <w:r>
        <w:rPr>
          <w:rFonts w:ascii="Times New Roman" w:hAnsi="Times New Roman" w:cs="Times New Roman"/>
          <w:b/>
          <w:sz w:val="24"/>
          <w:szCs w:val="24"/>
        </w:rPr>
        <w:br w:type="page"/>
      </w:r>
    </w:p>
    <w:p w14:paraId="3107790D" w14:textId="4CCE509C"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lastRenderedPageBreak/>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14:paraId="06BBC2C4" w14:textId="77777777" w:rsidR="00F06E2C" w:rsidRPr="00790404" w:rsidRDefault="00F06E2C" w:rsidP="00F06E2C">
      <w:pPr>
        <w:spacing w:after="0" w:line="240" w:lineRule="auto"/>
        <w:rPr>
          <w:rFonts w:ascii="Times New Roman" w:hAnsi="Times New Roman" w:cs="Times New Roman"/>
          <w:b/>
          <w:sz w:val="24"/>
          <w:szCs w:val="24"/>
        </w:rPr>
      </w:pPr>
    </w:p>
    <w:p w14:paraId="5A54F1BD" w14:textId="28845276" w:rsidR="009F1114" w:rsidRDefault="0085045C"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85045C">
        <w:rPr>
          <w:rFonts w:ascii="Times New Roman" w:hAnsi="Times New Roman" w:cs="Times New Roman"/>
          <w:color w:val="000000"/>
          <w:sz w:val="24"/>
          <w:szCs w:val="24"/>
        </w:rPr>
        <w:t xml:space="preserve">NMFS will calculate and announce the </w:t>
      </w:r>
      <w:r w:rsidR="00B966D5">
        <w:rPr>
          <w:rFonts w:ascii="Times New Roman" w:hAnsi="Times New Roman" w:cs="Times New Roman"/>
          <w:color w:val="000000"/>
          <w:sz w:val="24"/>
          <w:szCs w:val="24"/>
        </w:rPr>
        <w:t xml:space="preserve">different program </w:t>
      </w:r>
      <w:r w:rsidRPr="0085045C">
        <w:rPr>
          <w:rFonts w:ascii="Times New Roman" w:hAnsi="Times New Roman" w:cs="Times New Roman"/>
          <w:color w:val="000000"/>
          <w:sz w:val="24"/>
          <w:szCs w:val="24"/>
        </w:rPr>
        <w:t xml:space="preserve">fee percentages in </w:t>
      </w:r>
      <w:r w:rsidRPr="006E04F4">
        <w:rPr>
          <w:rFonts w:ascii="Times New Roman" w:hAnsi="Times New Roman"/>
          <w:i/>
          <w:color w:val="000000"/>
          <w:sz w:val="24"/>
        </w:rPr>
        <w:t>a Federal Register</w:t>
      </w:r>
      <w:r w:rsidRPr="0085045C">
        <w:rPr>
          <w:rFonts w:ascii="Times New Roman" w:hAnsi="Times New Roman" w:cs="Times New Roman"/>
          <w:color w:val="000000"/>
          <w:sz w:val="24"/>
          <w:szCs w:val="24"/>
        </w:rPr>
        <w:t xml:space="preserve"> notice by December 1</w:t>
      </w:r>
      <w:r>
        <w:rPr>
          <w:rFonts w:ascii="Times New Roman" w:hAnsi="Times New Roman" w:cs="Times New Roman"/>
          <w:color w:val="000000"/>
          <w:sz w:val="24"/>
          <w:szCs w:val="24"/>
        </w:rPr>
        <w:t>.</w:t>
      </w:r>
      <w:r w:rsidR="00B966D5">
        <w:rPr>
          <w:rFonts w:ascii="Times New Roman" w:hAnsi="Times New Roman" w:cs="Times New Roman"/>
          <w:color w:val="000000"/>
          <w:sz w:val="24"/>
          <w:szCs w:val="24"/>
        </w:rPr>
        <w:t xml:space="preserve">  In addition, </w:t>
      </w:r>
      <w:r w:rsidR="009F1114" w:rsidRPr="009F1114">
        <w:rPr>
          <w:rFonts w:ascii="Times New Roman" w:hAnsi="Times New Roman" w:cs="Times New Roman"/>
          <w:color w:val="000000"/>
          <w:sz w:val="24"/>
          <w:szCs w:val="24"/>
        </w:rPr>
        <w:t xml:space="preserve">NMFS will publish annually a report describing the status of </w:t>
      </w:r>
      <w:r w:rsidR="00B966D5">
        <w:rPr>
          <w:rFonts w:ascii="Times New Roman" w:hAnsi="Times New Roman" w:cs="Times New Roman"/>
          <w:color w:val="000000"/>
          <w:sz w:val="24"/>
          <w:szCs w:val="24"/>
        </w:rPr>
        <w:t xml:space="preserve">each of </w:t>
      </w:r>
      <w:r w:rsidR="009F1114" w:rsidRPr="009F1114">
        <w:rPr>
          <w:rFonts w:ascii="Times New Roman" w:hAnsi="Times New Roman" w:cs="Times New Roman"/>
          <w:color w:val="000000"/>
          <w:sz w:val="24"/>
          <w:szCs w:val="24"/>
        </w:rPr>
        <w:t xml:space="preserve">the </w:t>
      </w:r>
      <w:r w:rsidR="009F1114">
        <w:rPr>
          <w:rFonts w:ascii="Times New Roman" w:hAnsi="Times New Roman" w:cs="Times New Roman"/>
          <w:color w:val="000000"/>
          <w:sz w:val="24"/>
          <w:szCs w:val="24"/>
        </w:rPr>
        <w:t>C</w:t>
      </w:r>
      <w:r w:rsidR="009F1114" w:rsidRPr="009F1114">
        <w:rPr>
          <w:rFonts w:ascii="Times New Roman" w:hAnsi="Times New Roman" w:cs="Times New Roman"/>
          <w:color w:val="000000"/>
          <w:sz w:val="24"/>
          <w:szCs w:val="24"/>
        </w:rPr>
        <w:t>ost Recovery Fee Program</w:t>
      </w:r>
      <w:r w:rsidR="002E1F9E">
        <w:rPr>
          <w:rFonts w:ascii="Times New Roman" w:hAnsi="Times New Roman" w:cs="Times New Roman"/>
          <w:color w:val="000000"/>
          <w:sz w:val="24"/>
          <w:szCs w:val="24"/>
        </w:rPr>
        <w:t>s</w:t>
      </w:r>
      <w:r w:rsidR="009F1114">
        <w:rPr>
          <w:rFonts w:ascii="Times New Roman" w:hAnsi="Times New Roman" w:cs="Times New Roman"/>
          <w:color w:val="000000"/>
          <w:sz w:val="24"/>
          <w:szCs w:val="24"/>
        </w:rPr>
        <w:t>.</w:t>
      </w:r>
    </w:p>
    <w:p w14:paraId="07CAC1F8" w14:textId="77777777" w:rsidR="009F1114" w:rsidRPr="00621797" w:rsidRDefault="009F111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08800690" w14:textId="775C4D02"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14:paraId="32887005" w14:textId="77777777" w:rsidR="00F06E2C" w:rsidRPr="00790404" w:rsidRDefault="00F06E2C" w:rsidP="00F06E2C">
      <w:pPr>
        <w:spacing w:after="0" w:line="240" w:lineRule="auto"/>
        <w:rPr>
          <w:rFonts w:ascii="Times New Roman" w:hAnsi="Times New Roman" w:cs="Times New Roman"/>
          <w:b/>
          <w:sz w:val="24"/>
          <w:szCs w:val="24"/>
        </w:rPr>
      </w:pPr>
    </w:p>
    <w:p w14:paraId="373E4203"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6A7750E4" w14:textId="77777777" w:rsidR="00F06E2C" w:rsidRDefault="00F06E2C" w:rsidP="00F06E2C">
      <w:pPr>
        <w:spacing w:after="0" w:line="240" w:lineRule="auto"/>
        <w:rPr>
          <w:rFonts w:ascii="Times New Roman" w:hAnsi="Times New Roman" w:cs="Times New Roman"/>
          <w:b/>
          <w:sz w:val="24"/>
          <w:szCs w:val="24"/>
        </w:rPr>
      </w:pPr>
    </w:p>
    <w:p w14:paraId="7E6738EE"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14:paraId="58FFF733" w14:textId="77777777" w:rsidR="00F06E2C" w:rsidRPr="00790404" w:rsidRDefault="00F06E2C" w:rsidP="00F06E2C">
      <w:pPr>
        <w:spacing w:after="0" w:line="240" w:lineRule="auto"/>
        <w:rPr>
          <w:rFonts w:ascii="Times New Roman" w:hAnsi="Times New Roman" w:cs="Times New Roman"/>
          <w:b/>
          <w:sz w:val="24"/>
          <w:szCs w:val="24"/>
        </w:rPr>
      </w:pPr>
    </w:p>
    <w:p w14:paraId="6EBB3937"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1F8EDD15" w14:textId="77777777" w:rsidR="00F06E2C" w:rsidRPr="00790404" w:rsidRDefault="00F06E2C" w:rsidP="00F06E2C">
      <w:pPr>
        <w:spacing w:after="0" w:line="240" w:lineRule="auto"/>
        <w:rPr>
          <w:rFonts w:ascii="Times New Roman" w:hAnsi="Times New Roman" w:cs="Times New Roman"/>
          <w:b/>
          <w:sz w:val="24"/>
          <w:szCs w:val="24"/>
        </w:rPr>
      </w:pPr>
    </w:p>
    <w:p w14:paraId="46C429E6" w14:textId="77777777" w:rsidR="00F06E2C" w:rsidRPr="00790404" w:rsidRDefault="00F06E2C" w:rsidP="00F06E2C">
      <w:pPr>
        <w:spacing w:after="0" w:line="240" w:lineRule="auto"/>
        <w:rPr>
          <w:rFonts w:ascii="Times New Roman" w:hAnsi="Times New Roman" w:cs="Times New Roman"/>
          <w:b/>
          <w:sz w:val="24"/>
          <w:szCs w:val="24"/>
        </w:rPr>
      </w:pPr>
    </w:p>
    <w:p w14:paraId="6E882A07" w14:textId="77777777" w:rsidR="00F06E2C" w:rsidRPr="00D71C39"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14:paraId="78C147B3" w14:textId="77777777" w:rsidR="00F06E2C" w:rsidRDefault="00F06E2C" w:rsidP="00F06E2C">
      <w:pPr>
        <w:spacing w:after="0" w:line="240" w:lineRule="auto"/>
        <w:rPr>
          <w:rFonts w:ascii="Times New Roman" w:hAnsi="Times New Roman" w:cs="Times New Roman"/>
          <w:sz w:val="24"/>
          <w:szCs w:val="24"/>
        </w:rPr>
      </w:pPr>
    </w:p>
    <w:p w14:paraId="29E8934B" w14:textId="77777777" w:rsidR="00F06E2C" w:rsidRPr="00790404" w:rsidRDefault="00F06E2C" w:rsidP="00F06E2C">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14:paraId="5A676210" w14:textId="77777777" w:rsidR="00464C4B" w:rsidRDefault="00464C4B">
      <w:pPr>
        <w:rPr>
          <w:rFonts w:ascii="Times New Roman" w:hAnsi="Times New Roman" w:cs="Times New Roman"/>
          <w:sz w:val="24"/>
          <w:szCs w:val="24"/>
        </w:rPr>
      </w:pPr>
    </w:p>
    <w:sectPr w:rsidR="00464C4B">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26EE1" w14:textId="77777777" w:rsidR="00DD7E07" w:rsidRDefault="00DD7E07" w:rsidP="00215B8C">
      <w:pPr>
        <w:spacing w:after="0" w:line="240" w:lineRule="auto"/>
      </w:pPr>
      <w:r>
        <w:separator/>
      </w:r>
    </w:p>
  </w:endnote>
  <w:endnote w:type="continuationSeparator" w:id="0">
    <w:p w14:paraId="6338E24B" w14:textId="77777777" w:rsidR="00DD7E07" w:rsidRDefault="00DD7E07" w:rsidP="00215B8C">
      <w:pPr>
        <w:spacing w:after="0" w:line="240" w:lineRule="auto"/>
      </w:pPr>
      <w:r>
        <w:continuationSeparator/>
      </w:r>
    </w:p>
  </w:endnote>
  <w:endnote w:type="continuationNotice" w:id="1">
    <w:p w14:paraId="0C7B769F" w14:textId="77777777" w:rsidR="00DD7E07" w:rsidRDefault="00DD7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3800A4" w:rsidRDefault="003800A4">
        <w:pPr>
          <w:pStyle w:val="Footer"/>
          <w:jc w:val="center"/>
        </w:pPr>
        <w:r>
          <w:fldChar w:fldCharType="begin"/>
        </w:r>
        <w:r>
          <w:instrText xml:space="preserve"> PAGE   \* MERGEFORMAT </w:instrText>
        </w:r>
        <w:r>
          <w:fldChar w:fldCharType="separate"/>
        </w:r>
        <w:r w:rsidR="0022174F">
          <w:rPr>
            <w:noProof/>
          </w:rPr>
          <w:t>10</w:t>
        </w:r>
        <w:r>
          <w:rPr>
            <w:noProof/>
          </w:rPr>
          <w:fldChar w:fldCharType="end"/>
        </w:r>
      </w:p>
    </w:sdtContent>
  </w:sdt>
  <w:p w14:paraId="415274A8" w14:textId="77777777" w:rsidR="003800A4" w:rsidRDefault="00380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59297" w14:textId="77777777" w:rsidR="00DD7E07" w:rsidRDefault="00DD7E07" w:rsidP="00215B8C">
      <w:pPr>
        <w:spacing w:after="0" w:line="240" w:lineRule="auto"/>
      </w:pPr>
      <w:r>
        <w:separator/>
      </w:r>
    </w:p>
  </w:footnote>
  <w:footnote w:type="continuationSeparator" w:id="0">
    <w:p w14:paraId="29104CFB" w14:textId="77777777" w:rsidR="00DD7E07" w:rsidRDefault="00DD7E07" w:rsidP="00215B8C">
      <w:pPr>
        <w:spacing w:after="0" w:line="240" w:lineRule="auto"/>
      </w:pPr>
      <w:r>
        <w:continuationSeparator/>
      </w:r>
    </w:p>
  </w:footnote>
  <w:footnote w:type="continuationNotice" w:id="1">
    <w:p w14:paraId="6EE1594E" w14:textId="77777777" w:rsidR="00DD7E07" w:rsidRDefault="00DD7E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3800A4" w:rsidRDefault="00380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26B37"/>
    <w:rsid w:val="00042986"/>
    <w:rsid w:val="00042E51"/>
    <w:rsid w:val="0004533E"/>
    <w:rsid w:val="000531FE"/>
    <w:rsid w:val="00054173"/>
    <w:rsid w:val="000557A5"/>
    <w:rsid w:val="00055DD2"/>
    <w:rsid w:val="0006055A"/>
    <w:rsid w:val="00064AEF"/>
    <w:rsid w:val="00064B33"/>
    <w:rsid w:val="0008240A"/>
    <w:rsid w:val="00092AF8"/>
    <w:rsid w:val="000933F3"/>
    <w:rsid w:val="000939E0"/>
    <w:rsid w:val="00093F6D"/>
    <w:rsid w:val="00096F9D"/>
    <w:rsid w:val="00097AD6"/>
    <w:rsid w:val="000A23F9"/>
    <w:rsid w:val="000B0EDE"/>
    <w:rsid w:val="000B29E6"/>
    <w:rsid w:val="000B4951"/>
    <w:rsid w:val="000C0EC1"/>
    <w:rsid w:val="000C11C0"/>
    <w:rsid w:val="000C21D6"/>
    <w:rsid w:val="000C3870"/>
    <w:rsid w:val="000C4E6D"/>
    <w:rsid w:val="000C5469"/>
    <w:rsid w:val="000C75B5"/>
    <w:rsid w:val="000C7BDD"/>
    <w:rsid w:val="000D0556"/>
    <w:rsid w:val="000D79F0"/>
    <w:rsid w:val="000E06EF"/>
    <w:rsid w:val="000F35B0"/>
    <w:rsid w:val="000F4BE3"/>
    <w:rsid w:val="00113DBA"/>
    <w:rsid w:val="001150A4"/>
    <w:rsid w:val="001326C0"/>
    <w:rsid w:val="00144A90"/>
    <w:rsid w:val="001602A1"/>
    <w:rsid w:val="001607E9"/>
    <w:rsid w:val="001648F4"/>
    <w:rsid w:val="00164BF9"/>
    <w:rsid w:val="00180006"/>
    <w:rsid w:val="001821F1"/>
    <w:rsid w:val="00183ED5"/>
    <w:rsid w:val="00192DB3"/>
    <w:rsid w:val="00193BB0"/>
    <w:rsid w:val="0019453A"/>
    <w:rsid w:val="001977B6"/>
    <w:rsid w:val="001A4A4F"/>
    <w:rsid w:val="001A4B29"/>
    <w:rsid w:val="001A655F"/>
    <w:rsid w:val="001B051F"/>
    <w:rsid w:val="001B0DE1"/>
    <w:rsid w:val="001C3822"/>
    <w:rsid w:val="001E0177"/>
    <w:rsid w:val="001E0363"/>
    <w:rsid w:val="001E3EB6"/>
    <w:rsid w:val="002011DD"/>
    <w:rsid w:val="002031E6"/>
    <w:rsid w:val="002131D8"/>
    <w:rsid w:val="00215B8C"/>
    <w:rsid w:val="00220770"/>
    <w:rsid w:val="00221534"/>
    <w:rsid w:val="0022174F"/>
    <w:rsid w:val="002252AF"/>
    <w:rsid w:val="00233471"/>
    <w:rsid w:val="0023355E"/>
    <w:rsid w:val="00235494"/>
    <w:rsid w:val="0023675A"/>
    <w:rsid w:val="00241253"/>
    <w:rsid w:val="00241622"/>
    <w:rsid w:val="0024197A"/>
    <w:rsid w:val="00246CCF"/>
    <w:rsid w:val="00255930"/>
    <w:rsid w:val="00270889"/>
    <w:rsid w:val="00273179"/>
    <w:rsid w:val="002767C4"/>
    <w:rsid w:val="00281A29"/>
    <w:rsid w:val="0028426B"/>
    <w:rsid w:val="0028556F"/>
    <w:rsid w:val="002B0FD6"/>
    <w:rsid w:val="002B1B8F"/>
    <w:rsid w:val="002B3428"/>
    <w:rsid w:val="002D0413"/>
    <w:rsid w:val="002D1962"/>
    <w:rsid w:val="002D43EE"/>
    <w:rsid w:val="002D5061"/>
    <w:rsid w:val="002E1F9E"/>
    <w:rsid w:val="002E21C7"/>
    <w:rsid w:val="002F1D1D"/>
    <w:rsid w:val="002F4590"/>
    <w:rsid w:val="0030130A"/>
    <w:rsid w:val="00301D78"/>
    <w:rsid w:val="0030608A"/>
    <w:rsid w:val="0031522F"/>
    <w:rsid w:val="003202FC"/>
    <w:rsid w:val="003272DF"/>
    <w:rsid w:val="00330585"/>
    <w:rsid w:val="00334567"/>
    <w:rsid w:val="0033618A"/>
    <w:rsid w:val="00342C66"/>
    <w:rsid w:val="003466E3"/>
    <w:rsid w:val="00350BC8"/>
    <w:rsid w:val="00352BD2"/>
    <w:rsid w:val="00354D0D"/>
    <w:rsid w:val="00360E83"/>
    <w:rsid w:val="00361205"/>
    <w:rsid w:val="00366ED7"/>
    <w:rsid w:val="003677C0"/>
    <w:rsid w:val="00372D3E"/>
    <w:rsid w:val="003768AC"/>
    <w:rsid w:val="003800A4"/>
    <w:rsid w:val="003847F1"/>
    <w:rsid w:val="00391900"/>
    <w:rsid w:val="003A079A"/>
    <w:rsid w:val="003A28B7"/>
    <w:rsid w:val="003A6480"/>
    <w:rsid w:val="003B0668"/>
    <w:rsid w:val="003B0DBF"/>
    <w:rsid w:val="003B341F"/>
    <w:rsid w:val="003C31E6"/>
    <w:rsid w:val="003C33EE"/>
    <w:rsid w:val="003C7544"/>
    <w:rsid w:val="003C7759"/>
    <w:rsid w:val="003C7924"/>
    <w:rsid w:val="003D19E0"/>
    <w:rsid w:val="003E0482"/>
    <w:rsid w:val="003E2F4E"/>
    <w:rsid w:val="003E47EB"/>
    <w:rsid w:val="004022C7"/>
    <w:rsid w:val="004136F7"/>
    <w:rsid w:val="004162C9"/>
    <w:rsid w:val="00427AEA"/>
    <w:rsid w:val="00431D8E"/>
    <w:rsid w:val="00440333"/>
    <w:rsid w:val="004462C2"/>
    <w:rsid w:val="00452084"/>
    <w:rsid w:val="00457DC0"/>
    <w:rsid w:val="00460BC8"/>
    <w:rsid w:val="00464608"/>
    <w:rsid w:val="00464C4B"/>
    <w:rsid w:val="00464FA4"/>
    <w:rsid w:val="00475737"/>
    <w:rsid w:val="00481826"/>
    <w:rsid w:val="00482AA6"/>
    <w:rsid w:val="0048342B"/>
    <w:rsid w:val="00485671"/>
    <w:rsid w:val="00486D0E"/>
    <w:rsid w:val="00487D5D"/>
    <w:rsid w:val="00492C4A"/>
    <w:rsid w:val="00494BB1"/>
    <w:rsid w:val="004A0DAD"/>
    <w:rsid w:val="004A2113"/>
    <w:rsid w:val="004A22A3"/>
    <w:rsid w:val="004A34FC"/>
    <w:rsid w:val="004A741E"/>
    <w:rsid w:val="004B261D"/>
    <w:rsid w:val="004B6645"/>
    <w:rsid w:val="004B7376"/>
    <w:rsid w:val="004C119C"/>
    <w:rsid w:val="004C4233"/>
    <w:rsid w:val="004C44BB"/>
    <w:rsid w:val="004E3492"/>
    <w:rsid w:val="004F0EB3"/>
    <w:rsid w:val="00511BDF"/>
    <w:rsid w:val="00512E3F"/>
    <w:rsid w:val="00515368"/>
    <w:rsid w:val="00515CDD"/>
    <w:rsid w:val="00520957"/>
    <w:rsid w:val="005266E0"/>
    <w:rsid w:val="0053272D"/>
    <w:rsid w:val="0053337E"/>
    <w:rsid w:val="0053795D"/>
    <w:rsid w:val="005405F9"/>
    <w:rsid w:val="005406DF"/>
    <w:rsid w:val="00545932"/>
    <w:rsid w:val="00547B00"/>
    <w:rsid w:val="00551A69"/>
    <w:rsid w:val="00562F54"/>
    <w:rsid w:val="005633B9"/>
    <w:rsid w:val="00566DC0"/>
    <w:rsid w:val="00572CC6"/>
    <w:rsid w:val="005744A9"/>
    <w:rsid w:val="00574F62"/>
    <w:rsid w:val="0058125A"/>
    <w:rsid w:val="00585889"/>
    <w:rsid w:val="0058752E"/>
    <w:rsid w:val="00592941"/>
    <w:rsid w:val="00594600"/>
    <w:rsid w:val="005A4226"/>
    <w:rsid w:val="005A4773"/>
    <w:rsid w:val="005A6566"/>
    <w:rsid w:val="005B17D0"/>
    <w:rsid w:val="005B29D1"/>
    <w:rsid w:val="005B2F84"/>
    <w:rsid w:val="005B5A8C"/>
    <w:rsid w:val="005C0AA3"/>
    <w:rsid w:val="005C2ED1"/>
    <w:rsid w:val="005C33F2"/>
    <w:rsid w:val="005C48FF"/>
    <w:rsid w:val="005D75FC"/>
    <w:rsid w:val="005E0FEA"/>
    <w:rsid w:val="005E1BE9"/>
    <w:rsid w:val="005E7017"/>
    <w:rsid w:val="005F3C53"/>
    <w:rsid w:val="005F5945"/>
    <w:rsid w:val="005F5D20"/>
    <w:rsid w:val="005F6C1B"/>
    <w:rsid w:val="005F7E21"/>
    <w:rsid w:val="00603758"/>
    <w:rsid w:val="0060591E"/>
    <w:rsid w:val="006064E5"/>
    <w:rsid w:val="00620082"/>
    <w:rsid w:val="00621797"/>
    <w:rsid w:val="006247FF"/>
    <w:rsid w:val="00627740"/>
    <w:rsid w:val="00630131"/>
    <w:rsid w:val="0063496F"/>
    <w:rsid w:val="00654E0B"/>
    <w:rsid w:val="006554A2"/>
    <w:rsid w:val="00655987"/>
    <w:rsid w:val="00655EBE"/>
    <w:rsid w:val="00656018"/>
    <w:rsid w:val="006641F5"/>
    <w:rsid w:val="006649F5"/>
    <w:rsid w:val="00667DF0"/>
    <w:rsid w:val="00671124"/>
    <w:rsid w:val="0067670C"/>
    <w:rsid w:val="00676C6E"/>
    <w:rsid w:val="00681607"/>
    <w:rsid w:val="00685AFB"/>
    <w:rsid w:val="006865D1"/>
    <w:rsid w:val="006869C1"/>
    <w:rsid w:val="006909E2"/>
    <w:rsid w:val="0069272D"/>
    <w:rsid w:val="00693F4D"/>
    <w:rsid w:val="006A333D"/>
    <w:rsid w:val="006A33A2"/>
    <w:rsid w:val="006A3D8B"/>
    <w:rsid w:val="006A5EDE"/>
    <w:rsid w:val="006A7F20"/>
    <w:rsid w:val="006B315B"/>
    <w:rsid w:val="006B48EF"/>
    <w:rsid w:val="006B7610"/>
    <w:rsid w:val="006D0DF4"/>
    <w:rsid w:val="006D0F20"/>
    <w:rsid w:val="006E03B0"/>
    <w:rsid w:val="006E04F4"/>
    <w:rsid w:val="006F141E"/>
    <w:rsid w:val="006F444B"/>
    <w:rsid w:val="006F5E79"/>
    <w:rsid w:val="007016E6"/>
    <w:rsid w:val="00712B5B"/>
    <w:rsid w:val="007175E9"/>
    <w:rsid w:val="00720A30"/>
    <w:rsid w:val="00740F7C"/>
    <w:rsid w:val="00741D21"/>
    <w:rsid w:val="00743984"/>
    <w:rsid w:val="00744431"/>
    <w:rsid w:val="007458F3"/>
    <w:rsid w:val="007462A2"/>
    <w:rsid w:val="00752D41"/>
    <w:rsid w:val="00753912"/>
    <w:rsid w:val="00756B15"/>
    <w:rsid w:val="00760036"/>
    <w:rsid w:val="00761B4F"/>
    <w:rsid w:val="00776728"/>
    <w:rsid w:val="00777D2E"/>
    <w:rsid w:val="00780E18"/>
    <w:rsid w:val="00784E4C"/>
    <w:rsid w:val="0079283F"/>
    <w:rsid w:val="007958A7"/>
    <w:rsid w:val="00797F5A"/>
    <w:rsid w:val="007A0A82"/>
    <w:rsid w:val="007A0E19"/>
    <w:rsid w:val="007A78AD"/>
    <w:rsid w:val="007B1C05"/>
    <w:rsid w:val="007B2E2A"/>
    <w:rsid w:val="007C164D"/>
    <w:rsid w:val="007D2FB9"/>
    <w:rsid w:val="007D4003"/>
    <w:rsid w:val="007E01A8"/>
    <w:rsid w:val="007E145A"/>
    <w:rsid w:val="007E20DD"/>
    <w:rsid w:val="007E41E4"/>
    <w:rsid w:val="007F10C4"/>
    <w:rsid w:val="007F68A3"/>
    <w:rsid w:val="007F69AB"/>
    <w:rsid w:val="00800022"/>
    <w:rsid w:val="00801D6D"/>
    <w:rsid w:val="00810281"/>
    <w:rsid w:val="0081037E"/>
    <w:rsid w:val="00814360"/>
    <w:rsid w:val="00822698"/>
    <w:rsid w:val="00822873"/>
    <w:rsid w:val="00830166"/>
    <w:rsid w:val="008321C4"/>
    <w:rsid w:val="00836B4B"/>
    <w:rsid w:val="00836FDB"/>
    <w:rsid w:val="008378AB"/>
    <w:rsid w:val="008379FD"/>
    <w:rsid w:val="00844CE5"/>
    <w:rsid w:val="00844E60"/>
    <w:rsid w:val="008502B9"/>
    <w:rsid w:val="0085045C"/>
    <w:rsid w:val="008560B9"/>
    <w:rsid w:val="00860F31"/>
    <w:rsid w:val="00861142"/>
    <w:rsid w:val="00864C63"/>
    <w:rsid w:val="008807CB"/>
    <w:rsid w:val="00885341"/>
    <w:rsid w:val="0089472E"/>
    <w:rsid w:val="008A380C"/>
    <w:rsid w:val="008B11A2"/>
    <w:rsid w:val="008B49DD"/>
    <w:rsid w:val="008B4BA9"/>
    <w:rsid w:val="008D590A"/>
    <w:rsid w:val="008D647F"/>
    <w:rsid w:val="008D75DC"/>
    <w:rsid w:val="008D7942"/>
    <w:rsid w:val="008E215F"/>
    <w:rsid w:val="008E3385"/>
    <w:rsid w:val="008E44BC"/>
    <w:rsid w:val="008F155C"/>
    <w:rsid w:val="008F3B3D"/>
    <w:rsid w:val="008F58FB"/>
    <w:rsid w:val="00900C18"/>
    <w:rsid w:val="00901B7A"/>
    <w:rsid w:val="0091153F"/>
    <w:rsid w:val="00915EE4"/>
    <w:rsid w:val="00924153"/>
    <w:rsid w:val="0092491E"/>
    <w:rsid w:val="009316B6"/>
    <w:rsid w:val="00935A6A"/>
    <w:rsid w:val="00935A82"/>
    <w:rsid w:val="0094077E"/>
    <w:rsid w:val="00942135"/>
    <w:rsid w:val="009431B5"/>
    <w:rsid w:val="00952CA3"/>
    <w:rsid w:val="009601DE"/>
    <w:rsid w:val="00972980"/>
    <w:rsid w:val="009732D9"/>
    <w:rsid w:val="00973DA5"/>
    <w:rsid w:val="009742E8"/>
    <w:rsid w:val="00974893"/>
    <w:rsid w:val="00980975"/>
    <w:rsid w:val="0098187B"/>
    <w:rsid w:val="00986838"/>
    <w:rsid w:val="00990FE4"/>
    <w:rsid w:val="009A1FE5"/>
    <w:rsid w:val="009A4A68"/>
    <w:rsid w:val="009B15F5"/>
    <w:rsid w:val="009B1CD4"/>
    <w:rsid w:val="009B5058"/>
    <w:rsid w:val="009B550D"/>
    <w:rsid w:val="009B6A71"/>
    <w:rsid w:val="009C1DA4"/>
    <w:rsid w:val="009C320E"/>
    <w:rsid w:val="009C4D44"/>
    <w:rsid w:val="009C67D9"/>
    <w:rsid w:val="009C6A5B"/>
    <w:rsid w:val="009C6F2E"/>
    <w:rsid w:val="009D030F"/>
    <w:rsid w:val="009D3076"/>
    <w:rsid w:val="009D3859"/>
    <w:rsid w:val="009F1114"/>
    <w:rsid w:val="009F2794"/>
    <w:rsid w:val="009F3312"/>
    <w:rsid w:val="009F6B2C"/>
    <w:rsid w:val="00A00946"/>
    <w:rsid w:val="00A012AA"/>
    <w:rsid w:val="00A05060"/>
    <w:rsid w:val="00A076A0"/>
    <w:rsid w:val="00A112B4"/>
    <w:rsid w:val="00A13001"/>
    <w:rsid w:val="00A20C66"/>
    <w:rsid w:val="00A267C5"/>
    <w:rsid w:val="00A357F7"/>
    <w:rsid w:val="00A41564"/>
    <w:rsid w:val="00A443D6"/>
    <w:rsid w:val="00A526E9"/>
    <w:rsid w:val="00A544E6"/>
    <w:rsid w:val="00A6314E"/>
    <w:rsid w:val="00A63B7F"/>
    <w:rsid w:val="00A66DAA"/>
    <w:rsid w:val="00A74EF1"/>
    <w:rsid w:val="00A8361F"/>
    <w:rsid w:val="00A87639"/>
    <w:rsid w:val="00A930B6"/>
    <w:rsid w:val="00A960BA"/>
    <w:rsid w:val="00AA0227"/>
    <w:rsid w:val="00AA0467"/>
    <w:rsid w:val="00AB5454"/>
    <w:rsid w:val="00AB6314"/>
    <w:rsid w:val="00AB7BF9"/>
    <w:rsid w:val="00AC2BC1"/>
    <w:rsid w:val="00AD0253"/>
    <w:rsid w:val="00AD328B"/>
    <w:rsid w:val="00AD5B07"/>
    <w:rsid w:val="00AE1485"/>
    <w:rsid w:val="00AF467B"/>
    <w:rsid w:val="00AF4F83"/>
    <w:rsid w:val="00AF52C9"/>
    <w:rsid w:val="00B04D9F"/>
    <w:rsid w:val="00B059FB"/>
    <w:rsid w:val="00B07C5A"/>
    <w:rsid w:val="00B1118F"/>
    <w:rsid w:val="00B21FF4"/>
    <w:rsid w:val="00B223FE"/>
    <w:rsid w:val="00B32948"/>
    <w:rsid w:val="00B34938"/>
    <w:rsid w:val="00B464C5"/>
    <w:rsid w:val="00B50DFC"/>
    <w:rsid w:val="00B63F14"/>
    <w:rsid w:val="00B80AA5"/>
    <w:rsid w:val="00B825FF"/>
    <w:rsid w:val="00B84C49"/>
    <w:rsid w:val="00B85F44"/>
    <w:rsid w:val="00B966D5"/>
    <w:rsid w:val="00BA4F2C"/>
    <w:rsid w:val="00BA55C6"/>
    <w:rsid w:val="00BA5B91"/>
    <w:rsid w:val="00BA7B9D"/>
    <w:rsid w:val="00BB116E"/>
    <w:rsid w:val="00BB2365"/>
    <w:rsid w:val="00BB4600"/>
    <w:rsid w:val="00BB5502"/>
    <w:rsid w:val="00BC0E3B"/>
    <w:rsid w:val="00BC3842"/>
    <w:rsid w:val="00BD2830"/>
    <w:rsid w:val="00BD2BA0"/>
    <w:rsid w:val="00BE4FB2"/>
    <w:rsid w:val="00BF186D"/>
    <w:rsid w:val="00C0017D"/>
    <w:rsid w:val="00C05848"/>
    <w:rsid w:val="00C07CFD"/>
    <w:rsid w:val="00C10257"/>
    <w:rsid w:val="00C20993"/>
    <w:rsid w:val="00C223B1"/>
    <w:rsid w:val="00C43162"/>
    <w:rsid w:val="00C50E9D"/>
    <w:rsid w:val="00C53201"/>
    <w:rsid w:val="00C70307"/>
    <w:rsid w:val="00C737BE"/>
    <w:rsid w:val="00C745E6"/>
    <w:rsid w:val="00C74843"/>
    <w:rsid w:val="00C81CBE"/>
    <w:rsid w:val="00C82EB1"/>
    <w:rsid w:val="00C844ED"/>
    <w:rsid w:val="00C86D59"/>
    <w:rsid w:val="00C9128F"/>
    <w:rsid w:val="00C9511D"/>
    <w:rsid w:val="00C97BE2"/>
    <w:rsid w:val="00CA1C3D"/>
    <w:rsid w:val="00CB2B75"/>
    <w:rsid w:val="00CC67E5"/>
    <w:rsid w:val="00CD59BA"/>
    <w:rsid w:val="00CD6253"/>
    <w:rsid w:val="00CE40B5"/>
    <w:rsid w:val="00CE4DBA"/>
    <w:rsid w:val="00CE6534"/>
    <w:rsid w:val="00CF0A83"/>
    <w:rsid w:val="00CF0CC7"/>
    <w:rsid w:val="00CF0FDC"/>
    <w:rsid w:val="00CF2822"/>
    <w:rsid w:val="00CF35ED"/>
    <w:rsid w:val="00CF5B6A"/>
    <w:rsid w:val="00D01C9B"/>
    <w:rsid w:val="00D041E0"/>
    <w:rsid w:val="00D11855"/>
    <w:rsid w:val="00D2031A"/>
    <w:rsid w:val="00D244C8"/>
    <w:rsid w:val="00D244D8"/>
    <w:rsid w:val="00D250C1"/>
    <w:rsid w:val="00D2648B"/>
    <w:rsid w:val="00D27CFE"/>
    <w:rsid w:val="00D3037F"/>
    <w:rsid w:val="00D34104"/>
    <w:rsid w:val="00D366F8"/>
    <w:rsid w:val="00D42091"/>
    <w:rsid w:val="00D479A8"/>
    <w:rsid w:val="00D50528"/>
    <w:rsid w:val="00D5396E"/>
    <w:rsid w:val="00D64ED7"/>
    <w:rsid w:val="00D7151E"/>
    <w:rsid w:val="00D7160B"/>
    <w:rsid w:val="00D71AE4"/>
    <w:rsid w:val="00D73E5E"/>
    <w:rsid w:val="00D901AD"/>
    <w:rsid w:val="00D91B02"/>
    <w:rsid w:val="00D9387D"/>
    <w:rsid w:val="00D93ED8"/>
    <w:rsid w:val="00D94AD8"/>
    <w:rsid w:val="00DA1F31"/>
    <w:rsid w:val="00DA3A7C"/>
    <w:rsid w:val="00DA44B9"/>
    <w:rsid w:val="00DA4A33"/>
    <w:rsid w:val="00DB6FCF"/>
    <w:rsid w:val="00DC340D"/>
    <w:rsid w:val="00DC5EB2"/>
    <w:rsid w:val="00DD1DCB"/>
    <w:rsid w:val="00DD77A6"/>
    <w:rsid w:val="00DD7E07"/>
    <w:rsid w:val="00DE4239"/>
    <w:rsid w:val="00DF1E8B"/>
    <w:rsid w:val="00DF69C4"/>
    <w:rsid w:val="00DF77A8"/>
    <w:rsid w:val="00E006D3"/>
    <w:rsid w:val="00E0102B"/>
    <w:rsid w:val="00E04387"/>
    <w:rsid w:val="00E07ECC"/>
    <w:rsid w:val="00E21965"/>
    <w:rsid w:val="00E2208D"/>
    <w:rsid w:val="00E230F9"/>
    <w:rsid w:val="00E4259C"/>
    <w:rsid w:val="00E443AF"/>
    <w:rsid w:val="00E4592D"/>
    <w:rsid w:val="00E47116"/>
    <w:rsid w:val="00E70893"/>
    <w:rsid w:val="00E71873"/>
    <w:rsid w:val="00E74B06"/>
    <w:rsid w:val="00E7771D"/>
    <w:rsid w:val="00E81143"/>
    <w:rsid w:val="00E8344A"/>
    <w:rsid w:val="00E847C2"/>
    <w:rsid w:val="00E862C8"/>
    <w:rsid w:val="00E8630A"/>
    <w:rsid w:val="00E879AF"/>
    <w:rsid w:val="00E87CCC"/>
    <w:rsid w:val="00E9029F"/>
    <w:rsid w:val="00E949CB"/>
    <w:rsid w:val="00EA6073"/>
    <w:rsid w:val="00EA7654"/>
    <w:rsid w:val="00EB0FE5"/>
    <w:rsid w:val="00EB61FC"/>
    <w:rsid w:val="00EC1272"/>
    <w:rsid w:val="00ED31BF"/>
    <w:rsid w:val="00ED6F50"/>
    <w:rsid w:val="00EE6964"/>
    <w:rsid w:val="00EF1598"/>
    <w:rsid w:val="00EF15F6"/>
    <w:rsid w:val="00EF5DAA"/>
    <w:rsid w:val="00EF79CC"/>
    <w:rsid w:val="00F04C9D"/>
    <w:rsid w:val="00F05EBD"/>
    <w:rsid w:val="00F06E2C"/>
    <w:rsid w:val="00F10B14"/>
    <w:rsid w:val="00F23132"/>
    <w:rsid w:val="00F24DFC"/>
    <w:rsid w:val="00F257F8"/>
    <w:rsid w:val="00F33796"/>
    <w:rsid w:val="00F345CF"/>
    <w:rsid w:val="00F360E7"/>
    <w:rsid w:val="00F46108"/>
    <w:rsid w:val="00F47B37"/>
    <w:rsid w:val="00F64941"/>
    <w:rsid w:val="00F66724"/>
    <w:rsid w:val="00F70FCD"/>
    <w:rsid w:val="00F83E53"/>
    <w:rsid w:val="00F87EFE"/>
    <w:rsid w:val="00F93393"/>
    <w:rsid w:val="00FA550D"/>
    <w:rsid w:val="00FB1E9D"/>
    <w:rsid w:val="00FB1EB4"/>
    <w:rsid w:val="00FB2CED"/>
    <w:rsid w:val="00FB6154"/>
    <w:rsid w:val="00FB6663"/>
    <w:rsid w:val="00FB6674"/>
    <w:rsid w:val="00FB6990"/>
    <w:rsid w:val="00FC076B"/>
    <w:rsid w:val="00FC0B2B"/>
    <w:rsid w:val="00FC0C07"/>
    <w:rsid w:val="00FC2B28"/>
    <w:rsid w:val="00FC48E4"/>
    <w:rsid w:val="00FC4AB0"/>
    <w:rsid w:val="00FD47CE"/>
    <w:rsid w:val="00FD5A6A"/>
    <w:rsid w:val="00FE285F"/>
    <w:rsid w:val="00FE44FE"/>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2495">
      <w:bodyDiv w:val="1"/>
      <w:marLeft w:val="0"/>
      <w:marRight w:val="0"/>
      <w:marTop w:val="0"/>
      <w:marBottom w:val="0"/>
      <w:divBdr>
        <w:top w:val="none" w:sz="0" w:space="0" w:color="auto"/>
        <w:left w:val="none" w:sz="0" w:space="0" w:color="auto"/>
        <w:bottom w:val="none" w:sz="0" w:space="0" w:color="auto"/>
        <w:right w:val="none" w:sz="0" w:space="0" w:color="auto"/>
      </w:divBdr>
    </w:div>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webapps/efish/login" TargetMode="Externa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webapps/efish/login" TargetMode="Externa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webapps/efish/logi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webapps/efish/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footer" Target="footer1.xml"/><Relationship Id="rId10" Type="http://schemas.openxmlformats.org/officeDocument/2006/relationships/hyperlink" Target="https://alaskafisheries.noaa.gov/webapps/efish/login"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s://alaskafisheries.noaa.gov/webapps/efish/login" TargetMode="External"/><Relationship Id="rId14" Type="http://schemas.openxmlformats.org/officeDocument/2006/relationships/hyperlink" Target="https://alaskafisheries.noaa.gov/webapps/efish/log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DAAA-3C92-4004-8BD1-AABC2595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2016-01-14T13:59:00Z</cp:lastPrinted>
  <dcterms:created xsi:type="dcterms:W3CDTF">2015-12-14T18:51:00Z</dcterms:created>
  <dcterms:modified xsi:type="dcterms:W3CDTF">2016-03-11T20:24:00Z</dcterms:modified>
</cp:coreProperties>
</file>