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BC4" w:rsidRPr="00237BC4" w:rsidRDefault="00237BC4" w:rsidP="00640094">
      <w:pPr>
        <w:jc w:val="center"/>
        <w:rPr>
          <w:b/>
        </w:rPr>
      </w:pPr>
      <w:r w:rsidRPr="00237BC4">
        <w:rPr>
          <w:b/>
        </w:rPr>
        <w:t>Attachment C: Data User Agreemen</w:t>
      </w:r>
      <w:r>
        <w:rPr>
          <w:b/>
        </w:rPr>
        <w:t>t</w:t>
      </w:r>
      <w:bookmarkStart w:id="0" w:name="_GoBack"/>
      <w:bookmarkEnd w:id="0"/>
    </w:p>
    <w:p w:rsidR="00237BC4" w:rsidRDefault="00237BC4" w:rsidP="00640094">
      <w:pPr>
        <w:jc w:val="center"/>
        <w:rPr>
          <w:b/>
          <w:highlight w:val="cyan"/>
        </w:rPr>
      </w:pPr>
    </w:p>
    <w:p w:rsidR="00237BC4" w:rsidRDefault="00237BC4" w:rsidP="00640094">
      <w:pPr>
        <w:jc w:val="center"/>
        <w:rPr>
          <w:b/>
          <w:highlight w:val="cyan"/>
        </w:rPr>
      </w:pPr>
    </w:p>
    <w:p w:rsidR="00237BC4" w:rsidRDefault="00237BC4" w:rsidP="00640094">
      <w:pPr>
        <w:jc w:val="center"/>
        <w:rPr>
          <w:b/>
          <w:highlight w:val="cyan"/>
        </w:rPr>
      </w:pPr>
    </w:p>
    <w:p w:rsidR="00237BC4" w:rsidRDefault="00237BC4" w:rsidP="00640094">
      <w:pPr>
        <w:jc w:val="center"/>
        <w:rPr>
          <w:b/>
          <w:highlight w:val="cyan"/>
        </w:rPr>
      </w:pPr>
    </w:p>
    <w:p w:rsidR="00237BC4" w:rsidRDefault="00237BC4" w:rsidP="00640094">
      <w:pPr>
        <w:jc w:val="center"/>
        <w:rPr>
          <w:b/>
          <w:highlight w:val="cyan"/>
        </w:rPr>
      </w:pPr>
    </w:p>
    <w:p w:rsidR="00237BC4" w:rsidRDefault="00237BC4" w:rsidP="00640094">
      <w:pPr>
        <w:jc w:val="center"/>
        <w:rPr>
          <w:b/>
          <w:highlight w:val="cyan"/>
        </w:rPr>
      </w:pPr>
    </w:p>
    <w:p w:rsidR="00237BC4" w:rsidRDefault="00237BC4" w:rsidP="00640094">
      <w:pPr>
        <w:jc w:val="center"/>
        <w:rPr>
          <w:b/>
          <w:highlight w:val="cyan"/>
        </w:rPr>
      </w:pPr>
    </w:p>
    <w:p w:rsidR="00237BC4" w:rsidRDefault="00237BC4" w:rsidP="00640094">
      <w:pPr>
        <w:jc w:val="center"/>
        <w:rPr>
          <w:b/>
          <w:highlight w:val="cyan"/>
        </w:rPr>
      </w:pPr>
    </w:p>
    <w:p w:rsidR="00237BC4" w:rsidRDefault="00237BC4" w:rsidP="00640094">
      <w:pPr>
        <w:jc w:val="center"/>
        <w:rPr>
          <w:b/>
          <w:highlight w:val="cyan"/>
        </w:rPr>
      </w:pPr>
    </w:p>
    <w:p w:rsidR="00237BC4" w:rsidRDefault="00237BC4" w:rsidP="00640094">
      <w:pPr>
        <w:jc w:val="center"/>
        <w:rPr>
          <w:b/>
          <w:highlight w:val="cyan"/>
        </w:rPr>
      </w:pPr>
    </w:p>
    <w:p w:rsidR="00237BC4" w:rsidRDefault="00237BC4" w:rsidP="00640094">
      <w:pPr>
        <w:jc w:val="center"/>
        <w:rPr>
          <w:b/>
          <w:highlight w:val="cyan"/>
        </w:rPr>
      </w:pPr>
    </w:p>
    <w:p w:rsidR="00237BC4" w:rsidRDefault="00237BC4" w:rsidP="00640094">
      <w:pPr>
        <w:jc w:val="center"/>
        <w:rPr>
          <w:b/>
          <w:highlight w:val="cyan"/>
        </w:rPr>
      </w:pPr>
    </w:p>
    <w:p w:rsidR="00237BC4" w:rsidRDefault="00237BC4" w:rsidP="00640094">
      <w:pPr>
        <w:jc w:val="center"/>
        <w:rPr>
          <w:b/>
          <w:highlight w:val="cyan"/>
        </w:rPr>
      </w:pPr>
    </w:p>
    <w:p w:rsidR="00237BC4" w:rsidRDefault="00237BC4" w:rsidP="00640094">
      <w:pPr>
        <w:jc w:val="center"/>
        <w:rPr>
          <w:b/>
          <w:highlight w:val="cyan"/>
        </w:rPr>
      </w:pPr>
    </w:p>
    <w:p w:rsidR="00237BC4" w:rsidRDefault="00237BC4" w:rsidP="00640094">
      <w:pPr>
        <w:jc w:val="center"/>
        <w:rPr>
          <w:b/>
          <w:highlight w:val="cyan"/>
        </w:rPr>
      </w:pPr>
    </w:p>
    <w:p w:rsidR="00237BC4" w:rsidRDefault="00237BC4" w:rsidP="00640094">
      <w:pPr>
        <w:jc w:val="center"/>
        <w:rPr>
          <w:b/>
          <w:highlight w:val="cyan"/>
        </w:rPr>
      </w:pPr>
    </w:p>
    <w:p w:rsidR="00237BC4" w:rsidRDefault="00237BC4" w:rsidP="00640094">
      <w:pPr>
        <w:jc w:val="center"/>
        <w:rPr>
          <w:b/>
          <w:highlight w:val="cyan"/>
        </w:rPr>
      </w:pPr>
    </w:p>
    <w:p w:rsidR="00237BC4" w:rsidRDefault="00237BC4" w:rsidP="00640094">
      <w:pPr>
        <w:jc w:val="center"/>
        <w:rPr>
          <w:b/>
          <w:highlight w:val="cyan"/>
        </w:rPr>
      </w:pPr>
    </w:p>
    <w:p w:rsidR="00237BC4" w:rsidRDefault="00237BC4" w:rsidP="00640094">
      <w:pPr>
        <w:jc w:val="center"/>
        <w:rPr>
          <w:b/>
          <w:highlight w:val="cyan"/>
        </w:rPr>
      </w:pPr>
    </w:p>
    <w:p w:rsidR="00237BC4" w:rsidRDefault="00237BC4" w:rsidP="00640094">
      <w:pPr>
        <w:jc w:val="center"/>
        <w:rPr>
          <w:b/>
          <w:highlight w:val="cyan"/>
        </w:rPr>
      </w:pPr>
    </w:p>
    <w:p w:rsidR="00237BC4" w:rsidRDefault="00237BC4" w:rsidP="00640094">
      <w:pPr>
        <w:jc w:val="center"/>
        <w:rPr>
          <w:b/>
          <w:highlight w:val="cyan"/>
        </w:rPr>
      </w:pPr>
    </w:p>
    <w:p w:rsidR="00237BC4" w:rsidRDefault="00237BC4" w:rsidP="00640094">
      <w:pPr>
        <w:jc w:val="center"/>
        <w:rPr>
          <w:b/>
          <w:highlight w:val="cyan"/>
        </w:rPr>
      </w:pPr>
    </w:p>
    <w:p w:rsidR="00237BC4" w:rsidRDefault="00237BC4" w:rsidP="00640094">
      <w:pPr>
        <w:jc w:val="center"/>
        <w:rPr>
          <w:b/>
          <w:highlight w:val="cyan"/>
        </w:rPr>
      </w:pPr>
    </w:p>
    <w:p w:rsidR="00237BC4" w:rsidRDefault="00237BC4" w:rsidP="00640094">
      <w:pPr>
        <w:jc w:val="center"/>
        <w:rPr>
          <w:b/>
          <w:highlight w:val="cyan"/>
        </w:rPr>
      </w:pPr>
    </w:p>
    <w:p w:rsidR="00F81BB1" w:rsidRDefault="00F81BB1" w:rsidP="00640094">
      <w:pPr>
        <w:jc w:val="center"/>
        <w:rPr>
          <w:b/>
        </w:rPr>
      </w:pPr>
      <w:r w:rsidRPr="00F81BB1">
        <w:rPr>
          <w:b/>
          <w:highlight w:val="cyan"/>
        </w:rPr>
        <w:lastRenderedPageBreak/>
        <w:t>SAMPLE</w:t>
      </w:r>
    </w:p>
    <w:p w:rsidR="009F0070" w:rsidRPr="00844A9F" w:rsidRDefault="00AE1F24" w:rsidP="00640094">
      <w:pPr>
        <w:jc w:val="center"/>
        <w:rPr>
          <w:b/>
        </w:rPr>
      </w:pPr>
      <w:r w:rsidRPr="00844A9F">
        <w:rPr>
          <w:b/>
        </w:rPr>
        <w:t xml:space="preserve">Agreement to Participate </w:t>
      </w:r>
      <w:r w:rsidR="00706FBE" w:rsidRPr="00844A9F">
        <w:rPr>
          <w:b/>
        </w:rPr>
        <w:t xml:space="preserve">in </w:t>
      </w:r>
      <w:r w:rsidR="005F43D5" w:rsidRPr="00844A9F">
        <w:rPr>
          <w:b/>
        </w:rPr>
        <w:t xml:space="preserve">the </w:t>
      </w:r>
    </w:p>
    <w:p w:rsidR="005F43D5" w:rsidRPr="00844A9F" w:rsidRDefault="005F43D5" w:rsidP="00640094">
      <w:pPr>
        <w:jc w:val="center"/>
        <w:rPr>
          <w:b/>
          <w:strike/>
        </w:rPr>
      </w:pPr>
      <w:r w:rsidRPr="00844A9F">
        <w:rPr>
          <w:b/>
        </w:rPr>
        <w:t>NIOSH Occupational Health Safety Network (OHSN)</w:t>
      </w:r>
    </w:p>
    <w:p w:rsidR="00D50E15" w:rsidRPr="00844A9F" w:rsidRDefault="00D50E15" w:rsidP="00640094">
      <w:pPr>
        <w:tabs>
          <w:tab w:val="center" w:pos="4680"/>
          <w:tab w:val="left" w:pos="6060"/>
        </w:tabs>
        <w:rPr>
          <w:b/>
        </w:rPr>
      </w:pPr>
      <w:r w:rsidRPr="00844A9F">
        <w:rPr>
          <w:b/>
        </w:rPr>
        <w:tab/>
        <w:t>Data Use Agreement</w:t>
      </w:r>
      <w:r w:rsidRPr="00844A9F">
        <w:rPr>
          <w:b/>
        </w:rPr>
        <w:tab/>
      </w:r>
    </w:p>
    <w:p w:rsidR="004B677D" w:rsidRPr="00844A9F" w:rsidRDefault="004B677D" w:rsidP="00640094"/>
    <w:p w:rsidR="00AA19B2" w:rsidRDefault="00706FBE" w:rsidP="00640094">
      <w:r w:rsidRPr="00844A9F">
        <w:t xml:space="preserve">This data use agreement (“Agreement”) is effective upon execution, and is entered into by and between the National Institute for Occupational Safety and Health (NIOSH), an agency of the Centers for Disease Control and Prevention (“Data Recipient”) and </w:t>
      </w:r>
      <w:r w:rsidRPr="00844A9F">
        <w:rPr>
          <w:b/>
          <w:bCs/>
          <w:highlight w:val="cyan"/>
        </w:rPr>
        <w:t>NAME OF DATA PROVIDER, INC.</w:t>
      </w:r>
      <w:r w:rsidRPr="00844A9F">
        <w:rPr>
          <w:b/>
          <w:bCs/>
        </w:rPr>
        <w:t xml:space="preserve"> </w:t>
      </w:r>
      <w:r w:rsidRPr="00844A9F">
        <w:t>(“Data Provider”).</w:t>
      </w:r>
      <w:r w:rsidR="00451C62">
        <w:t xml:space="preserve">  P</w:t>
      </w:r>
      <w:r w:rsidRPr="00844A9F">
        <w:t>articipation in OHSN</w:t>
      </w:r>
      <w:r w:rsidR="00FC16DB" w:rsidRPr="00844A9F">
        <w:t xml:space="preserve"> is </w:t>
      </w:r>
      <w:r w:rsidR="004B677D" w:rsidRPr="00844A9F">
        <w:t>voluntary</w:t>
      </w:r>
      <w:r w:rsidR="00AA19B2">
        <w:t xml:space="preserve">.  </w:t>
      </w:r>
      <w:r w:rsidR="001400BE">
        <w:t>Data Provider</w:t>
      </w:r>
      <w:r w:rsidR="004B677D" w:rsidRPr="00844A9F">
        <w:t xml:space="preserve"> can discontinue participation at any time</w:t>
      </w:r>
      <w:r w:rsidR="00AA19B2">
        <w:t xml:space="preserve"> by providing NIOSH written notice of such desire.  Termination will be effective immediately.  </w:t>
      </w:r>
    </w:p>
    <w:p w:rsidR="00AA19B2" w:rsidRDefault="00AA19B2" w:rsidP="00640094">
      <w:r>
        <w:t>This agreement will expire on December 31, 2025.</w:t>
      </w:r>
    </w:p>
    <w:p w:rsidR="00AA19B2" w:rsidRPr="00844A9F" w:rsidRDefault="00AA19B2" w:rsidP="00640094"/>
    <w:p w:rsidR="004B677D" w:rsidRDefault="00AE1F24" w:rsidP="00AA19B2">
      <w:pPr>
        <w:pStyle w:val="ListParagraph"/>
        <w:numPr>
          <w:ilvl w:val="0"/>
          <w:numId w:val="6"/>
        </w:numPr>
        <w:spacing w:after="0"/>
        <w:ind w:left="360"/>
        <w:rPr>
          <w:b/>
        </w:rPr>
      </w:pPr>
      <w:r w:rsidRPr="00844A9F">
        <w:rPr>
          <w:b/>
        </w:rPr>
        <w:t>Purposes of OHSN</w:t>
      </w:r>
    </w:p>
    <w:p w:rsidR="00451C62" w:rsidRPr="00451C62" w:rsidRDefault="00451C62" w:rsidP="00451C62">
      <w:pPr>
        <w:rPr>
          <w:b/>
        </w:rPr>
      </w:pPr>
      <w:r w:rsidRPr="00844A9F">
        <w:t xml:space="preserve">Below are the purposes for which the data are being collected by OHSN for NIOSH in its role as the nation’s public health and prevention agency focused on occupational safety and </w:t>
      </w:r>
      <w:proofErr w:type="gramStart"/>
      <w:r w:rsidRPr="00844A9F">
        <w:t>health.</w:t>
      </w:r>
      <w:proofErr w:type="gramEnd"/>
    </w:p>
    <w:p w:rsidR="004B677D" w:rsidRPr="00844A9F" w:rsidRDefault="00C64659" w:rsidP="00844A9F">
      <w:pPr>
        <w:pStyle w:val="ListParagraph"/>
        <w:numPr>
          <w:ilvl w:val="0"/>
          <w:numId w:val="7"/>
        </w:numPr>
        <w:spacing w:before="30" w:after="30"/>
        <w:rPr>
          <w:rFonts w:eastAsia="Times New Roman" w:cs="Times New Roman"/>
          <w:color w:val="000000"/>
          <w:lang w:val="en"/>
        </w:rPr>
      </w:pPr>
      <w:r>
        <w:t xml:space="preserve">Serve as an occupational health </w:t>
      </w:r>
      <w:r w:rsidR="004B677D" w:rsidRPr="00844A9F">
        <w:t>surveillance resource for U.S. workplaces</w:t>
      </w:r>
      <w:r w:rsidR="004B0769" w:rsidRPr="00844A9F">
        <w:t>.</w:t>
      </w:r>
    </w:p>
    <w:p w:rsidR="004B677D" w:rsidRPr="00844A9F" w:rsidRDefault="004B677D" w:rsidP="00844A9F">
      <w:pPr>
        <w:pStyle w:val="ListParagraph"/>
        <w:numPr>
          <w:ilvl w:val="0"/>
          <w:numId w:val="7"/>
        </w:numPr>
        <w:spacing w:before="30" w:after="30"/>
        <w:rPr>
          <w:rFonts w:eastAsia="Times New Roman" w:cs="Times New Roman"/>
          <w:color w:val="000000"/>
          <w:lang w:val="en"/>
        </w:rPr>
      </w:pPr>
      <w:r w:rsidRPr="00844A9F">
        <w:t xml:space="preserve">Analyze and report </w:t>
      </w:r>
      <w:r w:rsidRPr="00844A9F">
        <w:rPr>
          <w:rFonts w:eastAsia="Times New Roman" w:cs="Times New Roman"/>
          <w:color w:val="000000"/>
          <w:lang w:val="en"/>
        </w:rPr>
        <w:t xml:space="preserve">workplace-specific and aggregate data to illustrate the magnitude of injury and illness events among workers and to monitor trends in these </w:t>
      </w:r>
      <w:r w:rsidR="0073752B" w:rsidRPr="00844A9F">
        <w:rPr>
          <w:rFonts w:eastAsia="Times New Roman" w:cs="Times New Roman"/>
          <w:color w:val="000000"/>
          <w:lang w:val="en"/>
        </w:rPr>
        <w:t>events.</w:t>
      </w:r>
    </w:p>
    <w:p w:rsidR="004B677D" w:rsidRDefault="004B677D" w:rsidP="00844A9F">
      <w:pPr>
        <w:numPr>
          <w:ilvl w:val="0"/>
          <w:numId w:val="7"/>
        </w:numPr>
        <w:spacing w:before="30" w:after="180"/>
        <w:rPr>
          <w:rFonts w:eastAsia="Times New Roman" w:cs="Times New Roman"/>
          <w:color w:val="000000"/>
          <w:lang w:val="en"/>
        </w:rPr>
      </w:pPr>
      <w:r w:rsidRPr="00844A9F">
        <w:rPr>
          <w:rFonts w:eastAsia="Times New Roman" w:cs="Times New Roman"/>
          <w:color w:val="000000"/>
          <w:lang w:val="en"/>
        </w:rPr>
        <w:t>Provide resources for prevention of injury and illness events specific to the healthcare sector</w:t>
      </w:r>
      <w:r w:rsidR="004B0769" w:rsidRPr="00844A9F">
        <w:rPr>
          <w:rFonts w:eastAsia="Times New Roman" w:cs="Times New Roman"/>
          <w:color w:val="000000"/>
          <w:lang w:val="en"/>
        </w:rPr>
        <w:t>.</w:t>
      </w:r>
    </w:p>
    <w:p w:rsidR="00451C62" w:rsidRPr="00451C62" w:rsidRDefault="00451C62" w:rsidP="00451C62">
      <w:pPr>
        <w:pStyle w:val="ListParagraph"/>
        <w:spacing w:before="30" w:after="180"/>
        <w:ind w:left="360"/>
        <w:rPr>
          <w:rFonts w:eastAsia="Times New Roman" w:cs="Times New Roman"/>
          <w:b/>
          <w:color w:val="000000"/>
          <w:lang w:val="en"/>
        </w:rPr>
      </w:pPr>
    </w:p>
    <w:p w:rsidR="005F43D5" w:rsidRPr="00844A9F" w:rsidRDefault="005F43D5" w:rsidP="00844A9F">
      <w:pPr>
        <w:pStyle w:val="ListParagraph"/>
        <w:numPr>
          <w:ilvl w:val="0"/>
          <w:numId w:val="6"/>
        </w:numPr>
        <w:spacing w:before="30" w:after="180"/>
        <w:ind w:left="360"/>
        <w:rPr>
          <w:rFonts w:eastAsia="Times New Roman" w:cs="Times New Roman"/>
          <w:b/>
          <w:color w:val="000000"/>
          <w:lang w:val="en"/>
        </w:rPr>
      </w:pPr>
      <w:r w:rsidRPr="00844A9F">
        <w:rPr>
          <w:rFonts w:eastAsia="Times New Roman" w:cs="Times New Roman"/>
          <w:b/>
          <w:color w:val="000000"/>
          <w:lang w:val="en"/>
        </w:rPr>
        <w:t>Data Collection and Reporting Requirements for Participation</w:t>
      </w:r>
    </w:p>
    <w:p w:rsidR="002D64DA" w:rsidRPr="002D64DA" w:rsidRDefault="00844A9F" w:rsidP="002D64DA">
      <w:pPr>
        <w:pStyle w:val="ListParagraph"/>
        <w:numPr>
          <w:ilvl w:val="0"/>
          <w:numId w:val="8"/>
        </w:numPr>
        <w:spacing w:before="30" w:after="180"/>
        <w:rPr>
          <w:rFonts w:eastAsia="Times New Roman" w:cs="Times New Roman"/>
          <w:color w:val="000000"/>
          <w:lang w:val="en"/>
        </w:rPr>
      </w:pPr>
      <w:r w:rsidRPr="002D64DA">
        <w:rPr>
          <w:rFonts w:eastAsia="Times New Roman" w:cs="Times New Roman"/>
          <w:color w:val="000000"/>
          <w:lang w:val="en"/>
        </w:rPr>
        <w:t xml:space="preserve">To participate in OHSN, healthcare facilities or systems </w:t>
      </w:r>
      <w:r w:rsidR="00451C62">
        <w:rPr>
          <w:rFonts w:eastAsia="Times New Roman" w:cs="Times New Roman"/>
          <w:color w:val="000000"/>
          <w:lang w:val="en"/>
        </w:rPr>
        <w:t>provide regular submissions about the occupational injury and illness event information</w:t>
      </w:r>
      <w:r w:rsidR="001400BE">
        <w:rPr>
          <w:rFonts w:eastAsia="Times New Roman" w:cs="Times New Roman"/>
          <w:color w:val="000000"/>
          <w:lang w:val="en"/>
        </w:rPr>
        <w:t>,</w:t>
      </w:r>
      <w:r w:rsidR="00451C62">
        <w:rPr>
          <w:rFonts w:eastAsia="Times New Roman" w:cs="Times New Roman"/>
          <w:color w:val="000000"/>
          <w:lang w:val="en"/>
        </w:rPr>
        <w:t xml:space="preserve"> detailed in 2</w:t>
      </w:r>
      <w:r w:rsidR="001400BE">
        <w:rPr>
          <w:rFonts w:eastAsia="Times New Roman" w:cs="Times New Roman"/>
          <w:color w:val="000000"/>
          <w:lang w:val="en"/>
        </w:rPr>
        <w:t>c</w:t>
      </w:r>
      <w:r w:rsidRPr="002D64DA">
        <w:rPr>
          <w:rFonts w:eastAsia="Times New Roman" w:cs="Times New Roman"/>
          <w:color w:val="000000"/>
          <w:lang w:val="en"/>
        </w:rPr>
        <w:t xml:space="preserve">.  </w:t>
      </w:r>
      <w:r w:rsidR="002D64DA">
        <w:t xml:space="preserve">NIOSH will maintain a </w:t>
      </w:r>
      <w:r w:rsidR="00C64659">
        <w:t>secure</w:t>
      </w:r>
      <w:r w:rsidR="002D64DA">
        <w:t xml:space="preserve"> database of all submitted information.</w:t>
      </w:r>
      <w:r w:rsidR="00451C62">
        <w:t xml:space="preserve">  See 2d for details on the OHSN submission schedule.</w:t>
      </w:r>
    </w:p>
    <w:p w:rsidR="002D64DA" w:rsidRPr="002D64DA" w:rsidRDefault="002D64DA" w:rsidP="002D64DA">
      <w:pPr>
        <w:pStyle w:val="ListParagraph"/>
        <w:spacing w:before="30" w:after="180"/>
        <w:rPr>
          <w:rFonts w:eastAsia="Times New Roman" w:cs="Times New Roman"/>
          <w:color w:val="000000"/>
          <w:lang w:val="en"/>
        </w:rPr>
      </w:pPr>
    </w:p>
    <w:p w:rsidR="002D64DA" w:rsidRPr="002D64DA" w:rsidRDefault="002D64DA" w:rsidP="002D64DA">
      <w:pPr>
        <w:pStyle w:val="ListParagraph"/>
        <w:numPr>
          <w:ilvl w:val="0"/>
          <w:numId w:val="8"/>
        </w:numPr>
        <w:spacing w:before="30" w:after="180"/>
        <w:rPr>
          <w:rFonts w:eastAsia="Times New Roman" w:cs="Times New Roman"/>
          <w:color w:val="000000"/>
          <w:lang w:val="en"/>
        </w:rPr>
      </w:pPr>
      <w:r>
        <w:t>OHSN currently offers three modules focused on healthcare events which may lead to traumatic</w:t>
      </w:r>
      <w:r w:rsidR="001400BE">
        <w:t xml:space="preserve"> injury.  Healthcare facilities or </w:t>
      </w:r>
      <w:r>
        <w:t xml:space="preserve">systems can choose to participate in one, two, or three modules.  </w:t>
      </w:r>
      <w:r w:rsidR="00A22BBA">
        <w:t xml:space="preserve"> </w:t>
      </w:r>
      <w:r w:rsidR="001400BE">
        <w:t>Currently available modules</w:t>
      </w:r>
      <w:r>
        <w:t xml:space="preserve"> focus on injuries from:</w:t>
      </w:r>
    </w:p>
    <w:p w:rsidR="002D64DA" w:rsidRPr="002D64DA" w:rsidRDefault="002D64DA" w:rsidP="002D64DA">
      <w:pPr>
        <w:pStyle w:val="ListParagraph"/>
        <w:numPr>
          <w:ilvl w:val="1"/>
          <w:numId w:val="8"/>
        </w:numPr>
        <w:spacing w:before="30" w:after="180"/>
        <w:rPr>
          <w:rFonts w:eastAsia="Times New Roman" w:cs="Times New Roman"/>
          <w:color w:val="000000"/>
          <w:lang w:val="en"/>
        </w:rPr>
      </w:pPr>
      <w:r>
        <w:t>Slips, trips, and falls</w:t>
      </w:r>
    </w:p>
    <w:p w:rsidR="002D64DA" w:rsidRPr="002D64DA" w:rsidRDefault="002D64DA" w:rsidP="002D64DA">
      <w:pPr>
        <w:pStyle w:val="ListParagraph"/>
        <w:numPr>
          <w:ilvl w:val="1"/>
          <w:numId w:val="8"/>
        </w:numPr>
        <w:spacing w:before="30" w:after="180"/>
        <w:rPr>
          <w:rFonts w:eastAsia="Times New Roman" w:cs="Times New Roman"/>
          <w:color w:val="000000"/>
          <w:lang w:val="en"/>
        </w:rPr>
      </w:pPr>
      <w:r>
        <w:t>Patient handling and movement</w:t>
      </w:r>
    </w:p>
    <w:p w:rsidR="002D64DA" w:rsidRPr="002D64DA" w:rsidRDefault="002D64DA" w:rsidP="002D64DA">
      <w:pPr>
        <w:pStyle w:val="ListParagraph"/>
        <w:numPr>
          <w:ilvl w:val="1"/>
          <w:numId w:val="8"/>
        </w:numPr>
        <w:spacing w:before="30" w:after="180"/>
        <w:rPr>
          <w:rFonts w:eastAsia="Times New Roman" w:cs="Times New Roman"/>
          <w:color w:val="000000"/>
          <w:lang w:val="en"/>
        </w:rPr>
      </w:pPr>
      <w:r>
        <w:t>Workplace violence</w:t>
      </w:r>
    </w:p>
    <w:p w:rsidR="002D64DA" w:rsidRPr="00844A9F" w:rsidRDefault="002D64DA" w:rsidP="002D64DA">
      <w:pPr>
        <w:pStyle w:val="ListParagraph"/>
        <w:spacing w:before="30" w:after="180"/>
        <w:rPr>
          <w:rFonts w:eastAsia="Times New Roman" w:cs="Times New Roman"/>
          <w:color w:val="000000"/>
          <w:lang w:val="en"/>
        </w:rPr>
      </w:pPr>
    </w:p>
    <w:p w:rsidR="002D64DA" w:rsidRPr="002D64DA" w:rsidRDefault="002D64DA" w:rsidP="002D64DA">
      <w:pPr>
        <w:pStyle w:val="ListParagraph"/>
        <w:numPr>
          <w:ilvl w:val="0"/>
          <w:numId w:val="8"/>
        </w:numPr>
        <w:spacing w:before="30" w:after="180"/>
        <w:rPr>
          <w:rFonts w:eastAsia="Times New Roman" w:cs="Times New Roman"/>
          <w:color w:val="000000"/>
          <w:lang w:val="en"/>
        </w:rPr>
      </w:pPr>
      <w:r w:rsidRPr="002D64DA">
        <w:rPr>
          <w:rFonts w:eastAsia="Times New Roman" w:cs="Times New Roman"/>
          <w:color w:val="000000"/>
          <w:lang w:val="en"/>
        </w:rPr>
        <w:t xml:space="preserve">Information submitted by each </w:t>
      </w:r>
      <w:r w:rsidR="001400BE">
        <w:rPr>
          <w:rFonts w:eastAsia="Times New Roman" w:cs="Times New Roman"/>
          <w:color w:val="000000"/>
          <w:lang w:val="en"/>
        </w:rPr>
        <w:t xml:space="preserve">facility or </w:t>
      </w:r>
      <w:r w:rsidR="00DD32DF">
        <w:rPr>
          <w:rFonts w:eastAsia="Times New Roman" w:cs="Times New Roman"/>
          <w:color w:val="000000"/>
          <w:lang w:val="en"/>
        </w:rPr>
        <w:t>system</w:t>
      </w:r>
      <w:r w:rsidRPr="002D64DA">
        <w:rPr>
          <w:rFonts w:eastAsia="Times New Roman" w:cs="Times New Roman"/>
          <w:color w:val="000000"/>
          <w:lang w:val="en"/>
        </w:rPr>
        <w:t xml:space="preserve"> will include a minimum of 10 data </w:t>
      </w:r>
      <w:r>
        <w:rPr>
          <w:rFonts w:eastAsia="Times New Roman" w:cs="Times New Roman"/>
          <w:color w:val="000000"/>
          <w:lang w:val="en"/>
        </w:rPr>
        <w:t>elements</w:t>
      </w:r>
      <w:r w:rsidRPr="002D64DA">
        <w:rPr>
          <w:rFonts w:eastAsia="Times New Roman" w:cs="Times New Roman"/>
          <w:color w:val="000000"/>
          <w:lang w:val="en"/>
        </w:rPr>
        <w:t xml:space="preserve"> about each injury event, and an additional 14 data </w:t>
      </w:r>
      <w:r>
        <w:rPr>
          <w:rFonts w:eastAsia="Times New Roman" w:cs="Times New Roman"/>
          <w:color w:val="000000"/>
          <w:lang w:val="en"/>
        </w:rPr>
        <w:t>elements</w:t>
      </w:r>
      <w:r w:rsidRPr="002D64DA">
        <w:rPr>
          <w:rFonts w:eastAsia="Times New Roman" w:cs="Times New Roman"/>
          <w:color w:val="000000"/>
          <w:lang w:val="en"/>
        </w:rPr>
        <w:t xml:space="preserve"> about each event submitted at the discretion of the facility</w:t>
      </w:r>
      <w:r w:rsidR="001400BE">
        <w:rPr>
          <w:rFonts w:eastAsia="Times New Roman" w:cs="Times New Roman"/>
          <w:color w:val="000000"/>
          <w:lang w:val="en"/>
        </w:rPr>
        <w:t xml:space="preserve"> or </w:t>
      </w:r>
      <w:r w:rsidR="00DD32DF">
        <w:rPr>
          <w:rFonts w:eastAsia="Times New Roman" w:cs="Times New Roman"/>
          <w:color w:val="000000"/>
          <w:lang w:val="en"/>
        </w:rPr>
        <w:t>system</w:t>
      </w:r>
      <w:r w:rsidR="00C64659">
        <w:rPr>
          <w:rFonts w:eastAsia="Times New Roman" w:cs="Times New Roman"/>
          <w:color w:val="000000"/>
          <w:lang w:val="en"/>
        </w:rPr>
        <w:t xml:space="preserve"> (“optional data”)</w:t>
      </w:r>
      <w:r w:rsidRPr="002D64DA">
        <w:rPr>
          <w:rFonts w:eastAsia="Times New Roman" w:cs="Times New Roman"/>
          <w:color w:val="000000"/>
          <w:lang w:val="en"/>
        </w:rPr>
        <w:t xml:space="preserve">.  </w:t>
      </w:r>
      <w:r w:rsidR="001400BE">
        <w:t xml:space="preserve">The data will meet the format and content </w:t>
      </w:r>
      <w:r w:rsidR="001400BE">
        <w:lastRenderedPageBreak/>
        <w:t xml:space="preserve">criteria of the Standard Occupation Data Architecture (SODA).  </w:t>
      </w:r>
      <w:r w:rsidRPr="002D64DA">
        <w:rPr>
          <w:rFonts w:eastAsia="Times New Roman" w:cs="Times New Roman"/>
          <w:color w:val="000000"/>
          <w:lang w:val="en"/>
        </w:rPr>
        <w:t xml:space="preserve">Details </w:t>
      </w:r>
      <w:r>
        <w:rPr>
          <w:rFonts w:eastAsia="Times New Roman" w:cs="Times New Roman"/>
          <w:color w:val="000000"/>
          <w:lang w:val="en"/>
        </w:rPr>
        <w:t>about</w:t>
      </w:r>
      <w:r w:rsidRPr="002D64DA">
        <w:rPr>
          <w:rFonts w:eastAsia="Times New Roman" w:cs="Times New Roman"/>
          <w:color w:val="000000"/>
          <w:lang w:val="en"/>
        </w:rPr>
        <w:t xml:space="preserve"> these data elements are outlined in the document “Occupational Health Safety Network (OHSN) Data Elements and Value Sets,” available at </w:t>
      </w:r>
      <w:hyperlink r:id="rId8" w:history="1">
        <w:r w:rsidRPr="00844A9F">
          <w:rPr>
            <w:rStyle w:val="Hyperlink"/>
          </w:rPr>
          <w:t>http://www.cdc.gov/niosh/topics/ohsn/pdfs/OHSN%20Data%20Elements.pdf</w:t>
        </w:r>
      </w:hyperlink>
      <w:r w:rsidRPr="00844A9F">
        <w:t xml:space="preserve">.   </w:t>
      </w:r>
      <w:r>
        <w:t>Minimum data elements include:</w:t>
      </w:r>
    </w:p>
    <w:p w:rsidR="002D64DA" w:rsidRDefault="002D64DA" w:rsidP="002D64DA">
      <w:pPr>
        <w:pStyle w:val="ListParagraph"/>
        <w:numPr>
          <w:ilvl w:val="1"/>
          <w:numId w:val="8"/>
        </w:numPr>
        <w:spacing w:before="30" w:after="180"/>
        <w:rPr>
          <w:rFonts w:eastAsia="Times New Roman" w:cs="Times New Roman"/>
          <w:color w:val="000000"/>
          <w:lang w:val="en"/>
        </w:rPr>
      </w:pPr>
      <w:r>
        <w:rPr>
          <w:rFonts w:eastAsia="Times New Roman" w:cs="Times New Roman"/>
          <w:color w:val="000000"/>
          <w:lang w:val="en"/>
        </w:rPr>
        <w:t>G</w:t>
      </w:r>
      <w:r w:rsidR="00844A9F" w:rsidRPr="002D64DA">
        <w:rPr>
          <w:rFonts w:eastAsia="Times New Roman" w:cs="Times New Roman"/>
          <w:color w:val="000000"/>
          <w:lang w:val="en"/>
        </w:rPr>
        <w:t xml:space="preserve">eneral </w:t>
      </w:r>
      <w:r>
        <w:rPr>
          <w:rFonts w:eastAsia="Times New Roman" w:cs="Times New Roman"/>
          <w:color w:val="000000"/>
          <w:lang w:val="en"/>
        </w:rPr>
        <w:t>information about the injury event</w:t>
      </w:r>
      <w:r w:rsidR="00C64659">
        <w:rPr>
          <w:rFonts w:eastAsia="Times New Roman" w:cs="Times New Roman"/>
          <w:color w:val="000000"/>
          <w:lang w:val="en"/>
        </w:rPr>
        <w:t>: event</w:t>
      </w:r>
      <w:r>
        <w:rPr>
          <w:rFonts w:eastAsia="Times New Roman" w:cs="Times New Roman"/>
          <w:color w:val="000000"/>
          <w:lang w:val="en"/>
        </w:rPr>
        <w:t xml:space="preserve"> date and event location</w:t>
      </w:r>
      <w:r w:rsidR="00C64659">
        <w:rPr>
          <w:rFonts w:eastAsia="Times New Roman" w:cs="Times New Roman"/>
          <w:color w:val="000000"/>
          <w:lang w:val="en"/>
        </w:rPr>
        <w:t>.</w:t>
      </w:r>
    </w:p>
    <w:p w:rsidR="002D64DA" w:rsidRDefault="002D64DA" w:rsidP="002D64DA">
      <w:pPr>
        <w:pStyle w:val="ListParagraph"/>
        <w:numPr>
          <w:ilvl w:val="1"/>
          <w:numId w:val="8"/>
        </w:numPr>
        <w:spacing w:before="30" w:after="180"/>
        <w:rPr>
          <w:rFonts w:eastAsia="Times New Roman" w:cs="Times New Roman"/>
          <w:color w:val="000000"/>
          <w:lang w:val="en"/>
        </w:rPr>
      </w:pPr>
      <w:r>
        <w:rPr>
          <w:rFonts w:eastAsia="Times New Roman" w:cs="Times New Roman"/>
          <w:color w:val="000000"/>
          <w:lang w:val="en"/>
        </w:rPr>
        <w:t>General, n</w:t>
      </w:r>
      <w:r w:rsidR="00844A9F" w:rsidRPr="002D64DA">
        <w:rPr>
          <w:rFonts w:eastAsia="Times New Roman" w:cs="Times New Roman"/>
          <w:color w:val="000000"/>
          <w:lang w:val="en"/>
        </w:rPr>
        <w:t>on-identifiable information about t</w:t>
      </w:r>
      <w:r>
        <w:rPr>
          <w:rFonts w:eastAsia="Times New Roman" w:cs="Times New Roman"/>
          <w:color w:val="000000"/>
          <w:lang w:val="en"/>
        </w:rPr>
        <w:t>he worker involved in the event</w:t>
      </w:r>
      <w:r w:rsidR="00C64659">
        <w:rPr>
          <w:rFonts w:eastAsia="Times New Roman" w:cs="Times New Roman"/>
          <w:color w:val="000000"/>
          <w:lang w:val="en"/>
        </w:rPr>
        <w:t xml:space="preserve">: </w:t>
      </w:r>
      <w:r w:rsidR="00844A9F" w:rsidRPr="002D64DA">
        <w:rPr>
          <w:rFonts w:eastAsia="Times New Roman" w:cs="Times New Roman"/>
          <w:color w:val="000000"/>
          <w:lang w:val="en"/>
        </w:rPr>
        <w:t>occupation category</w:t>
      </w:r>
      <w:r>
        <w:rPr>
          <w:rFonts w:eastAsia="Times New Roman" w:cs="Times New Roman"/>
          <w:color w:val="000000"/>
          <w:lang w:val="en"/>
        </w:rPr>
        <w:t xml:space="preserve"> and</w:t>
      </w:r>
      <w:r w:rsidR="00844A9F" w:rsidRPr="002D64DA">
        <w:rPr>
          <w:rFonts w:eastAsia="Times New Roman" w:cs="Times New Roman"/>
          <w:color w:val="000000"/>
          <w:lang w:val="en"/>
        </w:rPr>
        <w:t xml:space="preserve"> year of birth</w:t>
      </w:r>
      <w:r w:rsidR="00C64659">
        <w:rPr>
          <w:rFonts w:eastAsia="Times New Roman" w:cs="Times New Roman"/>
          <w:color w:val="000000"/>
          <w:lang w:val="en"/>
        </w:rPr>
        <w:t>.</w:t>
      </w:r>
    </w:p>
    <w:p w:rsidR="002D64DA" w:rsidRDefault="002D64DA" w:rsidP="002D64DA">
      <w:pPr>
        <w:pStyle w:val="ListParagraph"/>
        <w:numPr>
          <w:ilvl w:val="1"/>
          <w:numId w:val="8"/>
        </w:numPr>
        <w:spacing w:before="30" w:after="180"/>
        <w:rPr>
          <w:rFonts w:eastAsia="Times New Roman" w:cs="Times New Roman"/>
          <w:color w:val="000000"/>
          <w:lang w:val="en"/>
        </w:rPr>
      </w:pPr>
      <w:r>
        <w:rPr>
          <w:rFonts w:eastAsia="Times New Roman" w:cs="Times New Roman"/>
          <w:color w:val="000000"/>
          <w:lang w:val="en"/>
        </w:rPr>
        <w:t>I</w:t>
      </w:r>
      <w:r w:rsidR="00844A9F" w:rsidRPr="002D64DA">
        <w:rPr>
          <w:rFonts w:eastAsia="Times New Roman" w:cs="Times New Roman"/>
          <w:color w:val="000000"/>
          <w:lang w:val="en"/>
        </w:rPr>
        <w:t xml:space="preserve">nformation about the root cause/s of the event.  </w:t>
      </w:r>
    </w:p>
    <w:p w:rsidR="002D64DA" w:rsidRDefault="002D64DA" w:rsidP="002D64DA">
      <w:pPr>
        <w:pStyle w:val="ListParagraph"/>
        <w:spacing w:before="30" w:after="180"/>
        <w:ind w:left="1440"/>
        <w:rPr>
          <w:rFonts w:eastAsia="Times New Roman" w:cs="Times New Roman"/>
          <w:color w:val="000000"/>
          <w:lang w:val="en"/>
        </w:rPr>
      </w:pPr>
    </w:p>
    <w:p w:rsidR="00844A9F" w:rsidRPr="002D64DA" w:rsidRDefault="002D64DA" w:rsidP="00844A9F">
      <w:pPr>
        <w:pStyle w:val="ListParagraph"/>
        <w:numPr>
          <w:ilvl w:val="0"/>
          <w:numId w:val="8"/>
        </w:numPr>
        <w:spacing w:before="30" w:after="180"/>
        <w:rPr>
          <w:rFonts w:eastAsia="Times New Roman" w:cs="Times New Roman"/>
          <w:color w:val="000000"/>
          <w:lang w:val="en"/>
        </w:rPr>
      </w:pPr>
      <w:r>
        <w:t>Guidelines for data submission include the following</w:t>
      </w:r>
      <w:r w:rsidR="00844A9F">
        <w:t>:</w:t>
      </w:r>
    </w:p>
    <w:p w:rsidR="002D64DA" w:rsidRDefault="005F43D5" w:rsidP="002D64DA">
      <w:pPr>
        <w:pStyle w:val="ListParagraph"/>
        <w:numPr>
          <w:ilvl w:val="2"/>
          <w:numId w:val="12"/>
        </w:numPr>
        <w:spacing w:before="30" w:after="180"/>
        <w:ind w:left="1530"/>
        <w:rPr>
          <w:rFonts w:eastAsia="Times New Roman" w:cs="Times New Roman"/>
          <w:color w:val="000000"/>
          <w:lang w:val="en"/>
        </w:rPr>
      </w:pPr>
      <w:r w:rsidRPr="002D64DA">
        <w:rPr>
          <w:rFonts w:eastAsia="Times New Roman" w:cs="Times New Roman"/>
          <w:color w:val="000000"/>
          <w:lang w:val="en"/>
        </w:rPr>
        <w:t xml:space="preserve">Use the </w:t>
      </w:r>
      <w:r w:rsidR="002D64DA">
        <w:rPr>
          <w:rFonts w:eastAsia="Times New Roman" w:cs="Times New Roman"/>
          <w:color w:val="000000"/>
          <w:lang w:val="en"/>
        </w:rPr>
        <w:t xml:space="preserve">secure </w:t>
      </w:r>
      <w:r w:rsidRPr="002D64DA">
        <w:rPr>
          <w:rFonts w:eastAsia="Times New Roman" w:cs="Times New Roman"/>
          <w:color w:val="000000"/>
          <w:lang w:val="en"/>
        </w:rPr>
        <w:t xml:space="preserve">OHSN Internet-based portal to upload data to OHSN.  </w:t>
      </w:r>
    </w:p>
    <w:p w:rsidR="002D64DA" w:rsidRDefault="005F43D5" w:rsidP="002D64DA">
      <w:pPr>
        <w:pStyle w:val="ListParagraph"/>
        <w:numPr>
          <w:ilvl w:val="2"/>
          <w:numId w:val="12"/>
        </w:numPr>
        <w:spacing w:before="30" w:after="180"/>
        <w:ind w:left="1530"/>
        <w:rPr>
          <w:rFonts w:eastAsia="Times New Roman" w:cs="Times New Roman"/>
          <w:color w:val="000000"/>
          <w:lang w:val="en"/>
        </w:rPr>
      </w:pPr>
      <w:r w:rsidRPr="002D64DA">
        <w:rPr>
          <w:rFonts w:eastAsia="Times New Roman" w:cs="Times New Roman"/>
          <w:color w:val="000000"/>
          <w:lang w:val="en"/>
        </w:rPr>
        <w:t xml:space="preserve">For the </w:t>
      </w:r>
      <w:r w:rsidR="002D64DA">
        <w:rPr>
          <w:rFonts w:eastAsia="Times New Roman" w:cs="Times New Roman"/>
          <w:color w:val="000000"/>
          <w:lang w:val="en"/>
        </w:rPr>
        <w:t>OHSN module(s) chosen by the facility</w:t>
      </w:r>
      <w:r w:rsidR="002D1410">
        <w:rPr>
          <w:rFonts w:eastAsia="Times New Roman" w:cs="Times New Roman"/>
          <w:color w:val="000000"/>
          <w:lang w:val="en"/>
        </w:rPr>
        <w:t xml:space="preserve"> or </w:t>
      </w:r>
      <w:r w:rsidR="00DD32DF">
        <w:rPr>
          <w:rFonts w:eastAsia="Times New Roman" w:cs="Times New Roman"/>
          <w:color w:val="000000"/>
          <w:lang w:val="en"/>
        </w:rPr>
        <w:t xml:space="preserve">system, </w:t>
      </w:r>
      <w:r w:rsidRPr="002D64DA">
        <w:rPr>
          <w:rFonts w:eastAsia="Times New Roman" w:cs="Times New Roman"/>
          <w:color w:val="000000"/>
          <w:lang w:val="en"/>
        </w:rPr>
        <w:t xml:space="preserve">submit data on a regular basis.  NIOSH recommends submitting data monthly, but </w:t>
      </w:r>
      <w:r w:rsidR="002D1410">
        <w:rPr>
          <w:rFonts w:eastAsia="Times New Roman" w:cs="Times New Roman"/>
          <w:color w:val="000000"/>
          <w:lang w:val="en"/>
        </w:rPr>
        <w:t>data may also be</w:t>
      </w:r>
      <w:r w:rsidRPr="002D64DA">
        <w:rPr>
          <w:rFonts w:eastAsia="Times New Roman" w:cs="Times New Roman"/>
          <w:color w:val="000000"/>
          <w:lang w:val="en"/>
        </w:rPr>
        <w:t xml:space="preserve"> submit</w:t>
      </w:r>
      <w:r w:rsidR="002D1410">
        <w:rPr>
          <w:rFonts w:eastAsia="Times New Roman" w:cs="Times New Roman"/>
          <w:color w:val="000000"/>
          <w:lang w:val="en"/>
        </w:rPr>
        <w:t>ted</w:t>
      </w:r>
      <w:r w:rsidRPr="002D64DA">
        <w:rPr>
          <w:rFonts w:eastAsia="Times New Roman" w:cs="Times New Roman"/>
          <w:color w:val="000000"/>
          <w:lang w:val="en"/>
        </w:rPr>
        <w:t xml:space="preserve"> quarterly.  </w:t>
      </w:r>
      <w:r w:rsidR="00C64659">
        <w:rPr>
          <w:rFonts w:eastAsia="Times New Roman" w:cs="Times New Roman"/>
          <w:color w:val="000000"/>
          <w:lang w:val="en"/>
        </w:rPr>
        <w:t>The submission schedule will be pre-arranged with NIOSH.</w:t>
      </w:r>
    </w:p>
    <w:p w:rsidR="005F43D5" w:rsidRPr="002D64DA" w:rsidRDefault="00D66320" w:rsidP="002D64DA">
      <w:pPr>
        <w:pStyle w:val="ListParagraph"/>
        <w:numPr>
          <w:ilvl w:val="2"/>
          <w:numId w:val="12"/>
        </w:numPr>
        <w:spacing w:before="30" w:after="180"/>
        <w:ind w:left="1530"/>
        <w:rPr>
          <w:rFonts w:eastAsia="Times New Roman" w:cs="Times New Roman"/>
          <w:color w:val="000000"/>
          <w:lang w:val="en"/>
        </w:rPr>
      </w:pPr>
      <w:r>
        <w:rPr>
          <w:rFonts w:eastAsia="Times New Roman" w:cs="Times New Roman"/>
          <w:color w:val="000000"/>
          <w:lang w:val="en"/>
        </w:rPr>
        <w:t>Submit data</w:t>
      </w:r>
      <w:r w:rsidR="005F43D5" w:rsidRPr="002D64DA">
        <w:rPr>
          <w:rFonts w:eastAsia="Times New Roman" w:cs="Times New Roman"/>
          <w:color w:val="000000"/>
          <w:lang w:val="en"/>
        </w:rPr>
        <w:t xml:space="preserve"> within 15 days after the end of the reporting period.</w:t>
      </w:r>
    </w:p>
    <w:p w:rsidR="009F6EEF" w:rsidRPr="00844A9F" w:rsidRDefault="009F6EEF" w:rsidP="009F6EEF">
      <w:pPr>
        <w:pStyle w:val="ListParagraph"/>
        <w:numPr>
          <w:ilvl w:val="2"/>
          <w:numId w:val="12"/>
        </w:numPr>
        <w:tabs>
          <w:tab w:val="left" w:pos="1530"/>
        </w:tabs>
        <w:spacing w:before="30" w:after="180"/>
        <w:ind w:left="1530"/>
        <w:rPr>
          <w:rFonts w:eastAsia="Times New Roman" w:cs="Times New Roman"/>
          <w:color w:val="000000"/>
          <w:lang w:val="en"/>
        </w:rPr>
      </w:pPr>
      <w:r w:rsidRPr="00844A9F">
        <w:rPr>
          <w:rFonts w:eastAsia="Times New Roman" w:cs="Times New Roman"/>
          <w:color w:val="000000"/>
          <w:lang w:val="en"/>
        </w:rPr>
        <w:t>For months where there are no adverse injury events in your module(s), inform NIOSH of that fact within 15 days after the reporting period ends.</w:t>
      </w:r>
    </w:p>
    <w:p w:rsidR="005F43D5" w:rsidRPr="00844A9F" w:rsidRDefault="005F43D5" w:rsidP="002D64DA">
      <w:pPr>
        <w:pStyle w:val="ListParagraph"/>
        <w:numPr>
          <w:ilvl w:val="2"/>
          <w:numId w:val="12"/>
        </w:numPr>
        <w:tabs>
          <w:tab w:val="left" w:pos="1530"/>
        </w:tabs>
        <w:spacing w:before="30" w:after="180"/>
        <w:ind w:left="1530"/>
        <w:rPr>
          <w:rFonts w:eastAsia="Times New Roman" w:cs="Times New Roman"/>
          <w:color w:val="000000"/>
          <w:lang w:val="en"/>
        </w:rPr>
      </w:pPr>
      <w:r w:rsidRPr="00844A9F">
        <w:rPr>
          <w:rFonts w:eastAsia="Times New Roman" w:cs="Times New Roman"/>
          <w:color w:val="000000"/>
          <w:lang w:val="en"/>
        </w:rPr>
        <w:t>Submit at least 6 months of data per calendar year for each selected module(s) to maintain active status.  Months need not be consecutive.</w:t>
      </w:r>
    </w:p>
    <w:p w:rsidR="009F6EEF" w:rsidRDefault="009F6EEF" w:rsidP="009F6EEF">
      <w:pPr>
        <w:pStyle w:val="ListParagraph"/>
        <w:numPr>
          <w:ilvl w:val="2"/>
          <w:numId w:val="12"/>
        </w:numPr>
        <w:tabs>
          <w:tab w:val="left" w:pos="1530"/>
        </w:tabs>
        <w:spacing w:before="30" w:after="180"/>
        <w:ind w:left="1530"/>
        <w:rPr>
          <w:rFonts w:eastAsia="Times New Roman" w:cs="Times New Roman"/>
          <w:color w:val="000000"/>
          <w:lang w:val="en"/>
        </w:rPr>
      </w:pPr>
      <w:r w:rsidRPr="00844A9F">
        <w:rPr>
          <w:rFonts w:eastAsia="Times New Roman" w:cs="Times New Roman"/>
          <w:color w:val="000000"/>
          <w:lang w:val="en"/>
        </w:rPr>
        <w:t>Pass quality control acceptance checks that assess the data for completeness and accuracy.</w:t>
      </w:r>
    </w:p>
    <w:p w:rsidR="005F43D5" w:rsidRPr="009F6EEF" w:rsidRDefault="005F43D5" w:rsidP="002D64DA">
      <w:pPr>
        <w:pStyle w:val="ListParagraph"/>
        <w:numPr>
          <w:ilvl w:val="2"/>
          <w:numId w:val="12"/>
        </w:numPr>
        <w:tabs>
          <w:tab w:val="left" w:pos="1530"/>
        </w:tabs>
        <w:spacing w:before="30" w:after="180"/>
        <w:ind w:left="1530"/>
        <w:rPr>
          <w:rFonts w:eastAsia="Times New Roman" w:cs="Times New Roman"/>
          <w:color w:val="000000"/>
          <w:lang w:val="en"/>
        </w:rPr>
      </w:pPr>
      <w:r w:rsidRPr="00844A9F">
        <w:rPr>
          <w:rFonts w:eastAsia="Times New Roman" w:cs="Times New Roman"/>
          <w:color w:val="000000"/>
          <w:lang w:val="en"/>
        </w:rPr>
        <w:t>Keep healthcare facility</w:t>
      </w:r>
      <w:r w:rsidR="002D1410">
        <w:rPr>
          <w:rFonts w:eastAsia="Times New Roman" w:cs="Times New Roman"/>
          <w:color w:val="000000"/>
          <w:lang w:val="en"/>
        </w:rPr>
        <w:t xml:space="preserve"> or </w:t>
      </w:r>
      <w:r w:rsidR="00DD32DF">
        <w:rPr>
          <w:rFonts w:eastAsia="Times New Roman" w:cs="Times New Roman"/>
          <w:color w:val="000000"/>
          <w:lang w:val="en"/>
        </w:rPr>
        <w:t>system</w:t>
      </w:r>
      <w:r w:rsidRPr="00844A9F">
        <w:rPr>
          <w:rFonts w:eastAsia="Times New Roman" w:cs="Times New Roman"/>
          <w:color w:val="000000"/>
          <w:lang w:val="en"/>
        </w:rPr>
        <w:t xml:space="preserve"> denominator data up-to-date and accurate, reviewing and confirming this denominator data at least once per year.</w:t>
      </w:r>
      <w:r w:rsidR="00C64659">
        <w:rPr>
          <w:rFonts w:eastAsia="Times New Roman" w:cs="Times New Roman"/>
          <w:color w:val="000000"/>
          <w:lang w:val="en"/>
        </w:rPr>
        <w:t xml:space="preserve">  OHSN will provide initial denominator data for the facility</w:t>
      </w:r>
      <w:r w:rsidR="002D1410">
        <w:rPr>
          <w:rFonts w:eastAsia="Times New Roman" w:cs="Times New Roman"/>
          <w:color w:val="000000"/>
          <w:lang w:val="en"/>
        </w:rPr>
        <w:t xml:space="preserve"> or </w:t>
      </w:r>
      <w:r w:rsidR="00DD32DF">
        <w:rPr>
          <w:rFonts w:eastAsia="Times New Roman" w:cs="Times New Roman"/>
          <w:color w:val="000000"/>
          <w:lang w:val="en"/>
        </w:rPr>
        <w:t>system</w:t>
      </w:r>
      <w:r w:rsidR="00C64659">
        <w:rPr>
          <w:rFonts w:eastAsia="Times New Roman" w:cs="Times New Roman"/>
          <w:color w:val="000000"/>
          <w:lang w:val="en"/>
        </w:rPr>
        <w:t xml:space="preserve"> to update or confirm.  These initial data will be obtained from publicly available American Hospital Association</w:t>
      </w:r>
      <w:r w:rsidR="00DD32DF">
        <w:rPr>
          <w:rFonts w:eastAsia="Times New Roman" w:cs="Times New Roman"/>
          <w:color w:val="000000"/>
          <w:lang w:val="en"/>
        </w:rPr>
        <w:t xml:space="preserve"> records</w:t>
      </w:r>
      <w:r w:rsidR="00C64659">
        <w:rPr>
          <w:rFonts w:eastAsia="Times New Roman" w:cs="Times New Roman"/>
          <w:color w:val="000000"/>
          <w:lang w:val="en"/>
        </w:rPr>
        <w:t xml:space="preserve">, </w:t>
      </w:r>
      <w:r w:rsidR="002D1410">
        <w:rPr>
          <w:rFonts w:eastAsia="Times New Roman" w:cs="Times New Roman"/>
          <w:color w:val="000000"/>
          <w:lang w:val="en"/>
        </w:rPr>
        <w:t>and include</w:t>
      </w:r>
      <w:r w:rsidR="00C64659">
        <w:rPr>
          <w:rFonts w:eastAsia="Times New Roman" w:cs="Times New Roman"/>
          <w:color w:val="000000"/>
          <w:lang w:val="en"/>
        </w:rPr>
        <w:t xml:space="preserve"> </w:t>
      </w:r>
      <w:r w:rsidR="00C64659">
        <w:t xml:space="preserve">number of licensed beds, number of inpatient admissions, </w:t>
      </w:r>
      <w:r w:rsidR="00A94262">
        <w:t>number</w:t>
      </w:r>
      <w:r w:rsidR="00C64659">
        <w:t xml:space="preserve"> of employees in occupation categories, hospital service type, and region.  These data must be accurate in order for OHSN to calculate rates and for </w:t>
      </w:r>
      <w:r w:rsidR="00DD32DF">
        <w:t>participants</w:t>
      </w:r>
      <w:r w:rsidR="00C64659">
        <w:t xml:space="preserve"> to benchmark their injury/illness rates against aggregate rates from similar facilities participating in OHSN.</w:t>
      </w:r>
    </w:p>
    <w:p w:rsidR="009F6EEF" w:rsidRPr="00844A9F" w:rsidRDefault="009F6EEF" w:rsidP="009F6EEF">
      <w:pPr>
        <w:pStyle w:val="ListParagraph"/>
        <w:tabs>
          <w:tab w:val="left" w:pos="1530"/>
        </w:tabs>
        <w:spacing w:before="30" w:after="180"/>
        <w:ind w:left="1530"/>
        <w:rPr>
          <w:rFonts w:eastAsia="Times New Roman" w:cs="Times New Roman"/>
          <w:color w:val="000000"/>
          <w:lang w:val="en"/>
        </w:rPr>
      </w:pPr>
    </w:p>
    <w:p w:rsidR="00844A9F" w:rsidRPr="00844A9F" w:rsidRDefault="00844A9F" w:rsidP="00844A9F">
      <w:pPr>
        <w:pStyle w:val="ListParagraph"/>
        <w:numPr>
          <w:ilvl w:val="0"/>
          <w:numId w:val="8"/>
        </w:numPr>
        <w:spacing w:before="30" w:after="180"/>
        <w:rPr>
          <w:rFonts w:eastAsia="Times New Roman" w:cs="Times New Roman"/>
          <w:color w:val="000000"/>
          <w:lang w:val="en"/>
        </w:rPr>
      </w:pPr>
      <w:r w:rsidRPr="00844A9F">
        <w:rPr>
          <w:rFonts w:eastAsia="Times New Roman" w:cs="Times New Roman"/>
          <w:color w:val="000000"/>
          <w:lang w:val="en"/>
        </w:rPr>
        <w:t>There is no fee for participation in OHSN.</w:t>
      </w:r>
    </w:p>
    <w:p w:rsidR="005F43D5" w:rsidRPr="00844A9F" w:rsidRDefault="005F43D5" w:rsidP="00640094">
      <w:pPr>
        <w:spacing w:before="30" w:after="180"/>
        <w:rPr>
          <w:rFonts w:eastAsia="Times New Roman" w:cs="Times New Roman"/>
          <w:b/>
          <w:color w:val="000000"/>
          <w:lang w:val="en"/>
        </w:rPr>
      </w:pPr>
    </w:p>
    <w:p w:rsidR="00844A9F" w:rsidRPr="00844A9F" w:rsidRDefault="00844A9F" w:rsidP="00844A9F">
      <w:pPr>
        <w:pStyle w:val="ListParagraph"/>
        <w:numPr>
          <w:ilvl w:val="0"/>
          <w:numId w:val="6"/>
        </w:numPr>
        <w:spacing w:before="30" w:after="180"/>
        <w:ind w:left="360"/>
        <w:rPr>
          <w:rFonts w:eastAsia="Times New Roman" w:cs="Times New Roman"/>
          <w:b/>
          <w:color w:val="000000"/>
          <w:lang w:val="en"/>
        </w:rPr>
      </w:pPr>
      <w:r w:rsidRPr="00844A9F">
        <w:rPr>
          <w:rFonts w:eastAsia="Times New Roman" w:cs="Times New Roman"/>
          <w:b/>
          <w:color w:val="000000"/>
          <w:lang w:val="en"/>
        </w:rPr>
        <w:t>Eligibility Criteria</w:t>
      </w:r>
    </w:p>
    <w:p w:rsidR="00844A9F" w:rsidRPr="00844A9F" w:rsidRDefault="00844A9F" w:rsidP="00844A9F">
      <w:pPr>
        <w:pStyle w:val="ListParagraph"/>
        <w:numPr>
          <w:ilvl w:val="0"/>
          <w:numId w:val="13"/>
        </w:numPr>
        <w:spacing w:before="30" w:after="180"/>
        <w:rPr>
          <w:rFonts w:eastAsia="Times New Roman" w:cs="Times New Roman"/>
          <w:color w:val="000000"/>
          <w:lang w:val="en"/>
        </w:rPr>
      </w:pPr>
      <w:r w:rsidRPr="00844A9F">
        <w:rPr>
          <w:rFonts w:eastAsia="Times New Roman" w:cs="Times New Roman"/>
          <w:color w:val="000000"/>
          <w:lang w:val="en"/>
        </w:rPr>
        <w:t xml:space="preserve">Healthcare </w:t>
      </w:r>
      <w:r w:rsidR="002D1410">
        <w:rPr>
          <w:rFonts w:eastAsia="Times New Roman" w:cs="Times New Roman"/>
          <w:color w:val="000000"/>
          <w:lang w:val="en"/>
        </w:rPr>
        <w:t>facilities or s</w:t>
      </w:r>
      <w:r w:rsidRPr="00844A9F">
        <w:rPr>
          <w:rFonts w:eastAsia="Times New Roman" w:cs="Times New Roman"/>
          <w:color w:val="000000"/>
          <w:lang w:val="en"/>
        </w:rPr>
        <w:t>ystems participating in OHSN must meet the following criteria:</w:t>
      </w:r>
    </w:p>
    <w:p w:rsidR="00844A9F" w:rsidRPr="00844A9F" w:rsidRDefault="002D1410" w:rsidP="00844A9F">
      <w:pPr>
        <w:pStyle w:val="ListParagraph"/>
        <w:numPr>
          <w:ilvl w:val="0"/>
          <w:numId w:val="15"/>
        </w:numPr>
        <w:spacing w:before="30" w:after="180"/>
        <w:ind w:left="1440"/>
        <w:rPr>
          <w:rFonts w:eastAsia="Times New Roman" w:cs="Times New Roman"/>
          <w:color w:val="000000"/>
          <w:lang w:val="en"/>
        </w:rPr>
      </w:pPr>
      <w:r>
        <w:rPr>
          <w:rFonts w:eastAsia="Times New Roman" w:cs="Times New Roman"/>
          <w:color w:val="000000"/>
          <w:lang w:val="en"/>
        </w:rPr>
        <w:t xml:space="preserve">Be a healthcare facility or </w:t>
      </w:r>
      <w:r w:rsidR="00844A9F" w:rsidRPr="00844A9F">
        <w:rPr>
          <w:rFonts w:eastAsia="Times New Roman" w:cs="Times New Roman"/>
          <w:color w:val="000000"/>
          <w:lang w:val="en"/>
        </w:rPr>
        <w:t>system in the United States of America, i.e., be listed in or associated with a facility</w:t>
      </w:r>
      <w:r>
        <w:rPr>
          <w:rFonts w:eastAsia="Times New Roman" w:cs="Times New Roman"/>
          <w:color w:val="000000"/>
          <w:lang w:val="en"/>
        </w:rPr>
        <w:t xml:space="preserve"> or </w:t>
      </w:r>
      <w:r w:rsidR="005E5EA0">
        <w:rPr>
          <w:rFonts w:eastAsia="Times New Roman" w:cs="Times New Roman"/>
          <w:color w:val="000000"/>
          <w:lang w:val="en"/>
        </w:rPr>
        <w:t>system</w:t>
      </w:r>
      <w:r w:rsidR="00844A9F" w:rsidRPr="00844A9F">
        <w:rPr>
          <w:rFonts w:eastAsia="Times New Roman" w:cs="Times New Roman"/>
          <w:color w:val="000000"/>
          <w:lang w:val="en"/>
        </w:rPr>
        <w:t xml:space="preserve"> that is in one of the following national databases: American Hospital Association (AHA); Centers for Medicare and Medicaid Services (CMS); or Veteran’s Affairs (VA).</w:t>
      </w:r>
    </w:p>
    <w:p w:rsidR="00844A9F" w:rsidRPr="00844A9F" w:rsidRDefault="00844A9F" w:rsidP="00844A9F">
      <w:pPr>
        <w:pStyle w:val="ListParagraph"/>
        <w:numPr>
          <w:ilvl w:val="0"/>
          <w:numId w:val="15"/>
        </w:numPr>
        <w:spacing w:before="30" w:after="180"/>
        <w:ind w:left="1440"/>
        <w:rPr>
          <w:rFonts w:eastAsia="Times New Roman" w:cs="Times New Roman"/>
          <w:color w:val="000000"/>
          <w:lang w:val="en"/>
        </w:rPr>
      </w:pPr>
      <w:r w:rsidRPr="00844A9F">
        <w:rPr>
          <w:rFonts w:eastAsia="Times New Roman" w:cs="Times New Roman"/>
          <w:color w:val="000000"/>
          <w:lang w:val="en"/>
        </w:rPr>
        <w:lastRenderedPageBreak/>
        <w:t>Have email addresses for OHSN users and high-speed Internet access on the computers use</w:t>
      </w:r>
      <w:r w:rsidR="00F33D9B">
        <w:rPr>
          <w:rFonts w:eastAsia="Times New Roman" w:cs="Times New Roman"/>
          <w:color w:val="000000"/>
          <w:lang w:val="en"/>
        </w:rPr>
        <w:t>d</w:t>
      </w:r>
      <w:r w:rsidRPr="00844A9F">
        <w:rPr>
          <w:rFonts w:eastAsia="Times New Roman" w:cs="Times New Roman"/>
          <w:color w:val="000000"/>
          <w:lang w:val="en"/>
        </w:rPr>
        <w:t xml:space="preserve"> to access OHSN.</w:t>
      </w:r>
    </w:p>
    <w:p w:rsidR="00205B42" w:rsidRDefault="00844A9F" w:rsidP="00844A9F">
      <w:pPr>
        <w:pStyle w:val="ListParagraph"/>
        <w:numPr>
          <w:ilvl w:val="0"/>
          <w:numId w:val="15"/>
        </w:numPr>
        <w:spacing w:before="30" w:after="180"/>
        <w:ind w:left="1440"/>
        <w:rPr>
          <w:rFonts w:eastAsia="Times New Roman" w:cs="Times New Roman"/>
          <w:color w:val="000000"/>
          <w:lang w:val="en"/>
        </w:rPr>
      </w:pPr>
      <w:r>
        <w:rPr>
          <w:rFonts w:eastAsia="Times New Roman" w:cs="Times New Roman"/>
          <w:color w:val="000000"/>
          <w:lang w:val="en"/>
        </w:rPr>
        <w:t>F</w:t>
      </w:r>
      <w:r w:rsidRPr="00844A9F">
        <w:rPr>
          <w:rFonts w:eastAsia="Times New Roman" w:cs="Times New Roman"/>
          <w:color w:val="000000"/>
          <w:lang w:val="en"/>
        </w:rPr>
        <w:t>ollow the OHSN Rules of Behavior</w:t>
      </w:r>
      <w:r>
        <w:rPr>
          <w:rFonts w:eastAsia="Times New Roman" w:cs="Times New Roman"/>
          <w:color w:val="000000"/>
          <w:lang w:val="en"/>
        </w:rPr>
        <w:t xml:space="preserve"> as described on the OHSN Internet Portal</w:t>
      </w:r>
      <w:r w:rsidR="00205B42">
        <w:rPr>
          <w:rFonts w:eastAsia="Times New Roman" w:cs="Times New Roman"/>
          <w:color w:val="000000"/>
          <w:lang w:val="en"/>
        </w:rPr>
        <w:t xml:space="preserve"> </w:t>
      </w:r>
    </w:p>
    <w:p w:rsidR="00844A9F" w:rsidRDefault="00205B42" w:rsidP="00205B42">
      <w:pPr>
        <w:pStyle w:val="ListParagraph"/>
        <w:spacing w:before="30" w:after="180"/>
        <w:ind w:left="1440"/>
        <w:rPr>
          <w:rFonts w:eastAsia="Times New Roman" w:cs="Times New Roman"/>
          <w:color w:val="000000"/>
          <w:lang w:val="en"/>
        </w:rPr>
      </w:pPr>
      <w:r w:rsidRPr="00205B42">
        <w:rPr>
          <w:rFonts w:eastAsia="Times New Roman" w:cs="Times New Roman"/>
          <w:color w:val="000000"/>
          <w:lang w:val="en"/>
        </w:rPr>
        <w:t>http://www.cdc.gov/niosh/topics/ohsn/</w:t>
      </w:r>
      <w:r w:rsidR="00844A9F">
        <w:rPr>
          <w:rFonts w:eastAsia="Times New Roman" w:cs="Times New Roman"/>
          <w:color w:val="000000"/>
          <w:lang w:val="en"/>
        </w:rPr>
        <w:t>.</w:t>
      </w:r>
    </w:p>
    <w:p w:rsidR="00844A9F" w:rsidRPr="00844A9F" w:rsidRDefault="00844A9F" w:rsidP="00844A9F">
      <w:pPr>
        <w:pStyle w:val="ListParagraph"/>
        <w:numPr>
          <w:ilvl w:val="0"/>
          <w:numId w:val="15"/>
        </w:numPr>
        <w:spacing w:before="30" w:after="180"/>
        <w:ind w:left="1440"/>
        <w:rPr>
          <w:rFonts w:eastAsia="Times New Roman" w:cs="Times New Roman"/>
          <w:color w:val="000000"/>
          <w:lang w:val="en"/>
        </w:rPr>
      </w:pPr>
      <w:r>
        <w:rPr>
          <w:rFonts w:eastAsia="Times New Roman" w:cs="Times New Roman"/>
          <w:color w:val="000000"/>
          <w:lang w:val="en"/>
        </w:rPr>
        <w:t>Agree to</w:t>
      </w:r>
      <w:r w:rsidRPr="00844A9F">
        <w:rPr>
          <w:rFonts w:eastAsia="Times New Roman" w:cs="Times New Roman"/>
          <w:color w:val="000000"/>
          <w:lang w:val="en"/>
        </w:rPr>
        <w:t xml:space="preserve"> share data with NIOSH for the purposes stated </w:t>
      </w:r>
      <w:r>
        <w:rPr>
          <w:rFonts w:eastAsia="Times New Roman" w:cs="Times New Roman"/>
          <w:color w:val="000000"/>
          <w:lang w:val="en"/>
        </w:rPr>
        <w:t>in Section 1 above</w:t>
      </w:r>
      <w:r w:rsidRPr="00844A9F">
        <w:rPr>
          <w:rFonts w:eastAsia="Times New Roman" w:cs="Times New Roman"/>
          <w:color w:val="000000"/>
          <w:lang w:val="en"/>
        </w:rPr>
        <w:t xml:space="preserve">.  </w:t>
      </w:r>
    </w:p>
    <w:p w:rsidR="005F43D5" w:rsidRPr="00844A9F" w:rsidRDefault="005F43D5" w:rsidP="00844A9F">
      <w:pPr>
        <w:spacing w:before="30" w:after="180"/>
        <w:ind w:left="1440"/>
        <w:rPr>
          <w:rFonts w:eastAsia="Times New Roman" w:cs="Times New Roman"/>
          <w:b/>
          <w:color w:val="000000"/>
          <w:lang w:val="en"/>
        </w:rPr>
      </w:pPr>
    </w:p>
    <w:p w:rsidR="005F43D5" w:rsidRPr="00844A9F" w:rsidRDefault="005F43D5" w:rsidP="00640094">
      <w:pPr>
        <w:spacing w:before="30" w:after="180"/>
        <w:rPr>
          <w:rFonts w:eastAsia="Times New Roman" w:cs="Times New Roman"/>
          <w:b/>
          <w:color w:val="000000"/>
          <w:lang w:val="en"/>
        </w:rPr>
      </w:pPr>
    </w:p>
    <w:p w:rsidR="00CD113F" w:rsidRPr="00844A9F" w:rsidRDefault="00CD113F" w:rsidP="00844A9F">
      <w:pPr>
        <w:pStyle w:val="ListParagraph"/>
        <w:numPr>
          <w:ilvl w:val="0"/>
          <w:numId w:val="6"/>
        </w:numPr>
        <w:spacing w:before="30" w:after="180"/>
        <w:ind w:left="360"/>
        <w:rPr>
          <w:rFonts w:eastAsia="Times New Roman" w:cs="Times New Roman"/>
          <w:b/>
          <w:color w:val="000000"/>
          <w:lang w:val="en"/>
        </w:rPr>
      </w:pPr>
      <w:r w:rsidRPr="00844A9F">
        <w:rPr>
          <w:rFonts w:eastAsia="Times New Roman" w:cs="Times New Roman"/>
          <w:b/>
          <w:color w:val="000000"/>
          <w:lang w:val="en"/>
        </w:rPr>
        <w:t>Data Security</w:t>
      </w:r>
    </w:p>
    <w:p w:rsidR="00CD113F" w:rsidRDefault="00CD113F" w:rsidP="00844A9F">
      <w:pPr>
        <w:pStyle w:val="ListParagraph"/>
        <w:numPr>
          <w:ilvl w:val="0"/>
          <w:numId w:val="16"/>
        </w:numPr>
        <w:spacing w:before="30" w:after="180"/>
        <w:rPr>
          <w:rFonts w:eastAsia="Times New Roman" w:cs="Times New Roman"/>
          <w:color w:val="000000"/>
          <w:lang w:val="en"/>
        </w:rPr>
      </w:pPr>
      <w:r w:rsidRPr="00844A9F">
        <w:rPr>
          <w:rFonts w:eastAsia="Times New Roman" w:cs="Times New Roman"/>
          <w:color w:val="000000"/>
          <w:lang w:val="en"/>
        </w:rPr>
        <w:t>OHSN does not collect personal identifiers for any individual.  Healthcare facilities</w:t>
      </w:r>
      <w:r w:rsidR="00432205">
        <w:rPr>
          <w:rFonts w:eastAsia="Times New Roman" w:cs="Times New Roman"/>
          <w:color w:val="000000"/>
          <w:lang w:val="en"/>
        </w:rPr>
        <w:t xml:space="preserve"> or </w:t>
      </w:r>
      <w:r w:rsidR="005E5EA0">
        <w:rPr>
          <w:rFonts w:eastAsia="Times New Roman" w:cs="Times New Roman"/>
          <w:color w:val="000000"/>
          <w:lang w:val="en"/>
        </w:rPr>
        <w:t>systems</w:t>
      </w:r>
      <w:r w:rsidRPr="00844A9F">
        <w:rPr>
          <w:rFonts w:eastAsia="Times New Roman" w:cs="Times New Roman"/>
          <w:color w:val="000000"/>
          <w:lang w:val="en"/>
        </w:rPr>
        <w:t xml:space="preserve"> </w:t>
      </w:r>
      <w:r w:rsidR="00844A9F">
        <w:rPr>
          <w:rFonts w:eastAsia="Times New Roman" w:cs="Times New Roman"/>
          <w:color w:val="000000"/>
          <w:lang w:val="en"/>
        </w:rPr>
        <w:t>must</w:t>
      </w:r>
      <w:r w:rsidRPr="00844A9F">
        <w:rPr>
          <w:rFonts w:eastAsia="Times New Roman" w:cs="Times New Roman"/>
          <w:color w:val="000000"/>
          <w:lang w:val="en"/>
        </w:rPr>
        <w:t xml:space="preserve"> remove any potentially </w:t>
      </w:r>
      <w:r w:rsidR="00844A9F">
        <w:rPr>
          <w:rFonts w:eastAsia="Times New Roman" w:cs="Times New Roman"/>
          <w:color w:val="000000"/>
          <w:lang w:val="en"/>
        </w:rPr>
        <w:t xml:space="preserve">identifying </w:t>
      </w:r>
      <w:r w:rsidRPr="00844A9F">
        <w:rPr>
          <w:rFonts w:eastAsia="Times New Roman" w:cs="Times New Roman"/>
          <w:color w:val="000000"/>
          <w:lang w:val="en"/>
        </w:rPr>
        <w:t>information</w:t>
      </w:r>
      <w:r w:rsidR="00844A9F">
        <w:rPr>
          <w:rFonts w:eastAsia="Times New Roman" w:cs="Times New Roman"/>
          <w:color w:val="000000"/>
          <w:lang w:val="en"/>
        </w:rPr>
        <w:t xml:space="preserve"> for individuals</w:t>
      </w:r>
      <w:r w:rsidRPr="00844A9F">
        <w:rPr>
          <w:rFonts w:eastAsia="Times New Roman" w:cs="Times New Roman"/>
          <w:color w:val="000000"/>
          <w:lang w:val="en"/>
        </w:rPr>
        <w:t xml:space="preserve"> before uploading data to OHSN, including name, date of birth, social security numbe</w:t>
      </w:r>
      <w:r w:rsidR="007A3999" w:rsidRPr="00844A9F">
        <w:rPr>
          <w:rFonts w:eastAsia="Times New Roman" w:cs="Times New Roman"/>
          <w:color w:val="000000"/>
          <w:lang w:val="en"/>
        </w:rPr>
        <w:t>r, phone numbers, place of birth, and military status.</w:t>
      </w:r>
    </w:p>
    <w:p w:rsidR="00844A9F" w:rsidRPr="00844A9F" w:rsidRDefault="00844A9F" w:rsidP="00844A9F">
      <w:pPr>
        <w:pStyle w:val="ListParagraph"/>
        <w:spacing w:before="30" w:after="180"/>
        <w:rPr>
          <w:rFonts w:eastAsia="Times New Roman" w:cs="Times New Roman"/>
          <w:color w:val="000000"/>
          <w:lang w:val="en"/>
        </w:rPr>
      </w:pPr>
    </w:p>
    <w:p w:rsidR="002C10B6" w:rsidRDefault="00CD113F" w:rsidP="00844A9F">
      <w:pPr>
        <w:pStyle w:val="ListParagraph"/>
        <w:numPr>
          <w:ilvl w:val="0"/>
          <w:numId w:val="16"/>
        </w:numPr>
        <w:spacing w:after="180"/>
        <w:rPr>
          <w:rFonts w:eastAsia="Times New Roman" w:cs="Times New Roman"/>
          <w:color w:val="000000"/>
          <w:lang w:val="en"/>
        </w:rPr>
      </w:pPr>
      <w:r w:rsidRPr="00844A9F">
        <w:rPr>
          <w:rFonts w:eastAsia="Times New Roman" w:cs="Times New Roman"/>
          <w:color w:val="000000"/>
          <w:lang w:val="en"/>
        </w:rPr>
        <w:t>The National Institute for Occupational Safety and Health (NIOSH) has managed many national occupational surveillance systems. NIOSH will maintain security and integrity</w:t>
      </w:r>
      <w:r w:rsidR="007E573E" w:rsidRPr="00844A9F">
        <w:rPr>
          <w:rFonts w:eastAsia="Times New Roman" w:cs="Times New Roman"/>
          <w:color w:val="000000"/>
          <w:lang w:val="en"/>
        </w:rPr>
        <w:t xml:space="preserve"> of all submitted data</w:t>
      </w:r>
      <w:r w:rsidRPr="00844A9F">
        <w:rPr>
          <w:rFonts w:eastAsia="Times New Roman" w:cs="Times New Roman"/>
          <w:color w:val="000000"/>
          <w:lang w:val="en"/>
        </w:rPr>
        <w:t xml:space="preserve">. </w:t>
      </w:r>
    </w:p>
    <w:p w:rsidR="009F6EEF" w:rsidRPr="009F6EEF" w:rsidRDefault="009F6EEF" w:rsidP="009F6EEF">
      <w:pPr>
        <w:pStyle w:val="ListParagraph"/>
        <w:rPr>
          <w:rFonts w:eastAsia="Times New Roman" w:cs="Times New Roman"/>
          <w:color w:val="000000"/>
          <w:lang w:val="en"/>
        </w:rPr>
      </w:pPr>
    </w:p>
    <w:p w:rsidR="009F6EEF" w:rsidRDefault="009F6EEF" w:rsidP="009F6EEF">
      <w:pPr>
        <w:pStyle w:val="ListParagraph"/>
        <w:numPr>
          <w:ilvl w:val="0"/>
          <w:numId w:val="16"/>
        </w:numPr>
      </w:pPr>
      <w:r>
        <w:t xml:space="preserve">NIOSH shall adopt and use appropriate administrative, physical and technical safeguards to preserve the integrity and </w:t>
      </w:r>
      <w:r w:rsidR="00A94262">
        <w:t xml:space="preserve">security </w:t>
      </w:r>
      <w:r>
        <w:t>of the submitted facility</w:t>
      </w:r>
      <w:r w:rsidR="00432205">
        <w:t xml:space="preserve"> or </w:t>
      </w:r>
      <w:r w:rsidR="005E5EA0">
        <w:t>system</w:t>
      </w:r>
      <w:r>
        <w:t xml:space="preserve"> data and prevent their use or disclosure other than as permitted by Section 5 of this Agreement or as otherwise required by law.</w:t>
      </w:r>
    </w:p>
    <w:p w:rsidR="002C10B6" w:rsidRPr="002C10B6" w:rsidRDefault="002C10B6" w:rsidP="002C10B6">
      <w:pPr>
        <w:pStyle w:val="ListParagraph"/>
        <w:rPr>
          <w:rFonts w:eastAsia="Times New Roman" w:cs="Times New Roman"/>
          <w:color w:val="000000"/>
          <w:lang w:val="en"/>
        </w:rPr>
      </w:pPr>
    </w:p>
    <w:p w:rsidR="00CD113F" w:rsidRPr="00844A9F" w:rsidRDefault="003B2059" w:rsidP="00844A9F">
      <w:pPr>
        <w:pStyle w:val="ListParagraph"/>
        <w:numPr>
          <w:ilvl w:val="0"/>
          <w:numId w:val="16"/>
        </w:numPr>
        <w:spacing w:after="180"/>
        <w:rPr>
          <w:rFonts w:eastAsia="Times New Roman" w:cs="Times New Roman"/>
          <w:color w:val="000000"/>
          <w:lang w:val="en"/>
        </w:rPr>
      </w:pPr>
      <w:r w:rsidRPr="00844A9F">
        <w:rPr>
          <w:rFonts w:eastAsia="Times New Roman" w:cs="Times New Roman"/>
          <w:color w:val="000000"/>
          <w:lang w:val="en"/>
        </w:rPr>
        <w:t>Facilities</w:t>
      </w:r>
      <w:r w:rsidR="00432205">
        <w:rPr>
          <w:rFonts w:eastAsia="Times New Roman" w:cs="Times New Roman"/>
          <w:color w:val="000000"/>
          <w:lang w:val="en"/>
        </w:rPr>
        <w:t xml:space="preserve"> or </w:t>
      </w:r>
      <w:r w:rsidR="005E5EA0">
        <w:rPr>
          <w:rFonts w:eastAsia="Times New Roman" w:cs="Times New Roman"/>
          <w:color w:val="000000"/>
          <w:lang w:val="en"/>
        </w:rPr>
        <w:t>systems</w:t>
      </w:r>
      <w:r w:rsidRPr="00844A9F">
        <w:rPr>
          <w:rFonts w:eastAsia="Times New Roman" w:cs="Times New Roman"/>
          <w:color w:val="000000"/>
          <w:lang w:val="en"/>
        </w:rPr>
        <w:t xml:space="preserve"> will have access to output graphs and detailed analyses of their own data through a secure, web-based portal.  All data presented for benchmarking purposes or used in published reports will be available </w:t>
      </w:r>
      <w:r w:rsidR="002C10B6" w:rsidRPr="00844A9F">
        <w:rPr>
          <w:rFonts w:eastAsia="Times New Roman" w:cs="Times New Roman"/>
          <w:color w:val="000000"/>
          <w:lang w:val="en"/>
        </w:rPr>
        <w:t xml:space="preserve">only </w:t>
      </w:r>
      <w:r w:rsidRPr="00844A9F">
        <w:rPr>
          <w:rFonts w:eastAsia="Times New Roman" w:cs="Times New Roman"/>
          <w:color w:val="000000"/>
          <w:lang w:val="en"/>
        </w:rPr>
        <w:t>in aggregate form</w:t>
      </w:r>
      <w:r w:rsidR="00CD113F" w:rsidRPr="00844A9F">
        <w:rPr>
          <w:rFonts w:eastAsia="Times New Roman" w:cs="Times New Roman"/>
          <w:color w:val="000000"/>
          <w:lang w:val="en"/>
        </w:rPr>
        <w:t>.</w:t>
      </w:r>
    </w:p>
    <w:p w:rsidR="003B2059" w:rsidRPr="00844A9F" w:rsidRDefault="003B2059" w:rsidP="00640094">
      <w:pPr>
        <w:pStyle w:val="ListParagraph"/>
        <w:spacing w:before="30" w:after="180"/>
        <w:rPr>
          <w:rFonts w:eastAsia="Times New Roman" w:cs="Times New Roman"/>
          <w:color w:val="000000"/>
          <w:lang w:val="en"/>
        </w:rPr>
      </w:pPr>
    </w:p>
    <w:p w:rsidR="00C64659" w:rsidRDefault="00C64659" w:rsidP="00640094">
      <w:pPr>
        <w:jc w:val="both"/>
        <w:rPr>
          <w:rFonts w:eastAsia="Times New Roman" w:cs="Times New Roman"/>
          <w:color w:val="000000"/>
          <w:lang w:val="en"/>
        </w:rPr>
      </w:pPr>
    </w:p>
    <w:p w:rsidR="00C64659" w:rsidRPr="009F6EEF" w:rsidRDefault="009F6EEF" w:rsidP="009F6EEF">
      <w:pPr>
        <w:pStyle w:val="ListParagraph"/>
        <w:numPr>
          <w:ilvl w:val="0"/>
          <w:numId w:val="6"/>
        </w:numPr>
        <w:spacing w:after="0"/>
        <w:ind w:left="360"/>
        <w:rPr>
          <w:b/>
        </w:rPr>
      </w:pPr>
      <w:r>
        <w:rPr>
          <w:b/>
        </w:rPr>
        <w:t>Data Use</w:t>
      </w:r>
      <w:r w:rsidR="00C64659" w:rsidRPr="00C64659">
        <w:rPr>
          <w:b/>
        </w:rPr>
        <w:t xml:space="preserve"> </w:t>
      </w:r>
    </w:p>
    <w:p w:rsidR="00C64659" w:rsidRDefault="00C64659" w:rsidP="009F6EEF">
      <w:pPr>
        <w:spacing w:after="0"/>
        <w:ind w:left="720" w:hanging="360"/>
      </w:pPr>
      <w:r w:rsidRPr="009F6EEF">
        <w:t>a.</w:t>
      </w:r>
      <w:r w:rsidRPr="009F6EEF">
        <w:tab/>
      </w:r>
      <w:r w:rsidR="009F6EEF" w:rsidRPr="009F6EEF">
        <w:t>NIOSH</w:t>
      </w:r>
      <w:r w:rsidRPr="009F6EEF">
        <w:t xml:space="preserve"> may</w:t>
      </w:r>
      <w:r>
        <w:t xml:space="preserve"> use and disclose the </w:t>
      </w:r>
      <w:r w:rsidR="009F6EEF">
        <w:t>submitted data</w:t>
      </w:r>
      <w:r>
        <w:t xml:space="preserve"> for purposes solely in connection with research or public health as described below:</w:t>
      </w:r>
    </w:p>
    <w:p w:rsidR="009F6EEF" w:rsidRDefault="009F6EEF" w:rsidP="009F6EEF">
      <w:pPr>
        <w:pStyle w:val="ListParagraph"/>
        <w:numPr>
          <w:ilvl w:val="1"/>
          <w:numId w:val="20"/>
        </w:numPr>
      </w:pPr>
      <w:r>
        <w:t>Facility</w:t>
      </w:r>
      <w:r w:rsidR="00432205">
        <w:t xml:space="preserve"> or </w:t>
      </w:r>
      <w:r w:rsidR="005E5EA0">
        <w:t>system</w:t>
      </w:r>
      <w:r>
        <w:t xml:space="preserve"> data</w:t>
      </w:r>
      <w:r w:rsidR="00C64659">
        <w:t xml:space="preserve"> will be combined with data collected from other </w:t>
      </w:r>
      <w:r w:rsidR="005E5EA0">
        <w:t>OHSN healthcare participants</w:t>
      </w:r>
      <w:r w:rsidR="00C64659">
        <w:t>.  These aggregate data w</w:t>
      </w:r>
      <w:r w:rsidR="00432205">
        <w:t>ill be used without any hospital facility or system</w:t>
      </w:r>
      <w:r w:rsidR="00C64659">
        <w:t xml:space="preserve"> identifiers to provide benchmarks for injury and illness events.  Aggregate event rates will be included in reports that are visible to all OHSN participants via a secure internet portal, with the exception that aggregate rates based on ≤ 5</w:t>
      </w:r>
      <w:r>
        <w:t xml:space="preserve"> </w:t>
      </w:r>
      <w:r w:rsidR="00C64659">
        <w:t>facilities will be censored to safeguard facility</w:t>
      </w:r>
      <w:r w:rsidR="00432205">
        <w:t xml:space="preserve"> and </w:t>
      </w:r>
      <w:r w:rsidR="005E5EA0">
        <w:t>system</w:t>
      </w:r>
      <w:r w:rsidR="00C64659">
        <w:t xml:space="preserve"> </w:t>
      </w:r>
      <w:r w:rsidR="0073752B">
        <w:t>identification</w:t>
      </w:r>
      <w:r w:rsidR="00205B42">
        <w:t>.</w:t>
      </w:r>
    </w:p>
    <w:p w:rsidR="00C64659" w:rsidRDefault="00C64659" w:rsidP="009F6EEF">
      <w:pPr>
        <w:pStyle w:val="ListParagraph"/>
        <w:numPr>
          <w:ilvl w:val="1"/>
          <w:numId w:val="20"/>
        </w:numPr>
      </w:pPr>
      <w:r>
        <w:t xml:space="preserve">An intended product of </w:t>
      </w:r>
      <w:r w:rsidR="009F6EEF">
        <w:t>OHSN</w:t>
      </w:r>
      <w:r>
        <w:t xml:space="preserve"> is to produce public reports of prevalence/incidence of occupational injury and illness events among healthcare workers in the United States.  This information will only be presented in aggregate, with no information to identify the </w:t>
      </w:r>
      <w:r>
        <w:lastRenderedPageBreak/>
        <w:t>contributing healthcare facilities</w:t>
      </w:r>
      <w:r w:rsidR="00432205">
        <w:t xml:space="preserve"> or </w:t>
      </w:r>
      <w:r w:rsidR="005E5EA0">
        <w:t>systems</w:t>
      </w:r>
      <w:r>
        <w:t>.  For public reports, aggregate rates based on &lt; 10</w:t>
      </w:r>
      <w:r w:rsidRPr="000D2336">
        <w:t xml:space="preserve"> facilities will be censored</w:t>
      </w:r>
      <w:r>
        <w:t xml:space="preserve"> to safeguard facility</w:t>
      </w:r>
      <w:r w:rsidR="00432205">
        <w:t xml:space="preserve"> and </w:t>
      </w:r>
      <w:r w:rsidR="005E5EA0">
        <w:t>system</w:t>
      </w:r>
      <w:r>
        <w:t xml:space="preserve"> </w:t>
      </w:r>
      <w:r w:rsidR="0073752B">
        <w:t>identification</w:t>
      </w:r>
      <w:r w:rsidR="009F6EEF">
        <w:t xml:space="preserve">. </w:t>
      </w:r>
    </w:p>
    <w:p w:rsidR="00C64659" w:rsidRDefault="00C64659" w:rsidP="009F6EEF">
      <w:pPr>
        <w:ind w:left="720" w:hanging="360"/>
      </w:pPr>
      <w:r w:rsidRPr="009F6EEF">
        <w:t xml:space="preserve">b. </w:t>
      </w:r>
      <w:r w:rsidRPr="009F6EEF">
        <w:tab/>
        <w:t>Neither</w:t>
      </w:r>
      <w:r>
        <w:t xml:space="preserve"> AHA numbers nor other information that would re</w:t>
      </w:r>
      <w:r w:rsidR="005E5EA0">
        <w:t xml:space="preserve">veal the identity of facilities or </w:t>
      </w:r>
      <w:r>
        <w:t xml:space="preserve">systems participating in OHSN will be disclosed by </w:t>
      </w:r>
      <w:r w:rsidR="009F6EEF">
        <w:t>NIOSH</w:t>
      </w:r>
      <w:r>
        <w:t xml:space="preserve"> to either OHSN participants or the public</w:t>
      </w:r>
      <w:r w:rsidR="005354EC">
        <w:t>, unless otherwise required by law</w:t>
      </w:r>
      <w:r>
        <w:t>.</w:t>
      </w:r>
    </w:p>
    <w:p w:rsidR="00C64659" w:rsidRDefault="00C64659" w:rsidP="00640094">
      <w:pPr>
        <w:jc w:val="both"/>
        <w:rPr>
          <w:rFonts w:eastAsia="Times New Roman" w:cs="Times New Roman"/>
          <w:color w:val="000000"/>
          <w:lang w:val="en"/>
        </w:rPr>
      </w:pPr>
    </w:p>
    <w:p w:rsidR="00E02E48" w:rsidRPr="00844A9F" w:rsidRDefault="00E02E48" w:rsidP="00640094">
      <w:pPr>
        <w:jc w:val="both"/>
      </w:pPr>
      <w:r w:rsidRPr="00844A9F">
        <w:rPr>
          <w:b/>
        </w:rPr>
        <w:t>IN WITNESS WHEREOF,</w:t>
      </w:r>
      <w:r w:rsidRPr="00844A9F">
        <w:t xml:space="preserve"> Data Provider and Data Recipient execute this Agreement in multiple originals to be effective on the last date written below.</w:t>
      </w:r>
    </w:p>
    <w:p w:rsidR="00E02E48" w:rsidRPr="00844A9F" w:rsidRDefault="00E02E48" w:rsidP="00640094">
      <w:pPr>
        <w:pStyle w:val="BodyText"/>
        <w:spacing w:before="120" w:line="276" w:lineRule="auto"/>
        <w:rPr>
          <w:rFonts w:asciiTheme="minorHAnsi" w:hAnsiTheme="minorHAnsi"/>
          <w:b/>
          <w:sz w:val="22"/>
          <w:szCs w:val="22"/>
        </w:rPr>
      </w:pPr>
      <w:r w:rsidRPr="00844A9F">
        <w:rPr>
          <w:rFonts w:asciiTheme="minorHAnsi" w:hAnsiTheme="minorHAnsi"/>
          <w:b/>
          <w:sz w:val="22"/>
          <w:szCs w:val="22"/>
        </w:rPr>
        <w:t>Data Provider</w:t>
      </w:r>
      <w:r w:rsidR="005E5EA0">
        <w:rPr>
          <w:rFonts w:asciiTheme="minorHAnsi" w:hAnsiTheme="minorHAnsi"/>
          <w:b/>
          <w:sz w:val="22"/>
          <w:szCs w:val="22"/>
        </w:rPr>
        <w:t>: Healthcare Facility or System</w:t>
      </w:r>
    </w:p>
    <w:p w:rsidR="00E02E48" w:rsidRPr="00844A9F" w:rsidRDefault="00E02E48" w:rsidP="00640094">
      <w:pPr>
        <w:pStyle w:val="BodyText"/>
        <w:spacing w:before="120" w:line="276" w:lineRule="auto"/>
        <w:rPr>
          <w:rFonts w:asciiTheme="minorHAnsi" w:hAnsiTheme="minorHAnsi"/>
          <w:b/>
          <w:sz w:val="22"/>
          <w:szCs w:val="22"/>
        </w:rPr>
      </w:pPr>
    </w:p>
    <w:p w:rsidR="00322040" w:rsidRPr="00322040" w:rsidRDefault="00E02E48" w:rsidP="00640094">
      <w:pPr>
        <w:pStyle w:val="BodyText"/>
        <w:tabs>
          <w:tab w:val="left" w:pos="4302"/>
        </w:tabs>
        <w:spacing w:after="240" w:line="276" w:lineRule="auto"/>
        <w:rPr>
          <w:rFonts w:asciiTheme="minorHAnsi" w:hAnsiTheme="minorHAnsi"/>
          <w:sz w:val="22"/>
          <w:szCs w:val="22"/>
          <w:u w:val="single"/>
        </w:rPr>
      </w:pPr>
      <w:r w:rsidRPr="00844A9F">
        <w:rPr>
          <w:rFonts w:asciiTheme="minorHAnsi" w:hAnsiTheme="minorHAnsi"/>
          <w:sz w:val="22"/>
          <w:szCs w:val="22"/>
        </w:rPr>
        <w:t xml:space="preserve">By:  </w:t>
      </w:r>
      <w:r w:rsidRPr="00844A9F">
        <w:rPr>
          <w:rFonts w:asciiTheme="minorHAnsi" w:hAnsiTheme="minorHAnsi"/>
          <w:sz w:val="22"/>
          <w:szCs w:val="22"/>
          <w:u w:val="single"/>
        </w:rPr>
        <w:tab/>
      </w:r>
      <w:r w:rsidRPr="00844A9F">
        <w:rPr>
          <w:rFonts w:asciiTheme="minorHAnsi" w:hAnsiTheme="minorHAnsi"/>
          <w:sz w:val="22"/>
          <w:szCs w:val="22"/>
          <w:u w:val="single"/>
        </w:rPr>
        <w:tab/>
      </w:r>
      <w:r w:rsidRPr="00844A9F">
        <w:rPr>
          <w:rFonts w:asciiTheme="minorHAnsi" w:hAnsiTheme="minorHAnsi"/>
          <w:sz w:val="22"/>
          <w:szCs w:val="22"/>
        </w:rPr>
        <w:t xml:space="preserve">Title: </w:t>
      </w:r>
      <w:r w:rsidR="00581C45" w:rsidRPr="00844A9F">
        <w:rPr>
          <w:rFonts w:asciiTheme="minorHAnsi" w:hAnsiTheme="minorHAnsi"/>
          <w:sz w:val="22"/>
          <w:szCs w:val="22"/>
          <w:u w:val="single"/>
        </w:rPr>
        <w:tab/>
      </w:r>
      <w:r w:rsidR="00581C45" w:rsidRPr="00844A9F">
        <w:rPr>
          <w:rFonts w:asciiTheme="minorHAnsi" w:hAnsiTheme="minorHAnsi"/>
          <w:sz w:val="22"/>
          <w:szCs w:val="22"/>
          <w:u w:val="single"/>
        </w:rPr>
        <w:tab/>
      </w:r>
      <w:r w:rsidR="00581C45" w:rsidRPr="00844A9F">
        <w:rPr>
          <w:rFonts w:asciiTheme="minorHAnsi" w:hAnsiTheme="minorHAnsi"/>
          <w:sz w:val="22"/>
          <w:szCs w:val="22"/>
          <w:u w:val="single"/>
        </w:rPr>
        <w:tab/>
      </w:r>
      <w:r w:rsidR="00581C45" w:rsidRPr="00844A9F">
        <w:rPr>
          <w:rFonts w:asciiTheme="minorHAnsi" w:hAnsiTheme="minorHAnsi"/>
          <w:sz w:val="22"/>
          <w:szCs w:val="22"/>
          <w:u w:val="single"/>
        </w:rPr>
        <w:tab/>
      </w:r>
      <w:r w:rsidR="00581C45" w:rsidRPr="00844A9F">
        <w:rPr>
          <w:rFonts w:asciiTheme="minorHAnsi" w:hAnsiTheme="minorHAnsi"/>
          <w:sz w:val="22"/>
          <w:szCs w:val="22"/>
          <w:u w:val="single"/>
        </w:rPr>
        <w:tab/>
      </w:r>
      <w:r w:rsidRPr="00844A9F">
        <w:rPr>
          <w:rFonts w:asciiTheme="minorHAnsi" w:hAnsiTheme="minorHAnsi"/>
          <w:sz w:val="22"/>
          <w:szCs w:val="22"/>
          <w:u w:val="single"/>
        </w:rPr>
        <w:tab/>
      </w:r>
    </w:p>
    <w:p w:rsidR="00E02E48" w:rsidRPr="00844A9F" w:rsidRDefault="00E02E48" w:rsidP="00640094">
      <w:pPr>
        <w:pStyle w:val="BodyText"/>
        <w:tabs>
          <w:tab w:val="left" w:pos="4302"/>
        </w:tabs>
        <w:spacing w:after="240" w:line="276" w:lineRule="auto"/>
        <w:rPr>
          <w:rFonts w:asciiTheme="minorHAnsi" w:hAnsiTheme="minorHAnsi"/>
          <w:sz w:val="22"/>
          <w:szCs w:val="22"/>
        </w:rPr>
      </w:pPr>
      <w:r w:rsidRPr="00844A9F">
        <w:rPr>
          <w:rFonts w:asciiTheme="minorHAnsi" w:hAnsiTheme="minorHAnsi"/>
          <w:sz w:val="22"/>
          <w:szCs w:val="22"/>
        </w:rPr>
        <w:t xml:space="preserve">Phone: </w:t>
      </w:r>
      <w:r w:rsidRPr="00844A9F">
        <w:rPr>
          <w:rFonts w:asciiTheme="minorHAnsi" w:hAnsiTheme="minorHAnsi"/>
          <w:sz w:val="22"/>
          <w:szCs w:val="22"/>
          <w:u w:val="single"/>
        </w:rPr>
        <w:tab/>
      </w:r>
      <w:r w:rsidRPr="00844A9F">
        <w:rPr>
          <w:rFonts w:asciiTheme="minorHAnsi" w:hAnsiTheme="minorHAnsi"/>
          <w:sz w:val="22"/>
          <w:szCs w:val="22"/>
          <w:u w:val="single"/>
        </w:rPr>
        <w:tab/>
      </w:r>
      <w:r w:rsidRPr="00844A9F">
        <w:rPr>
          <w:rFonts w:asciiTheme="minorHAnsi" w:hAnsiTheme="minorHAnsi"/>
          <w:sz w:val="22"/>
          <w:szCs w:val="22"/>
        </w:rPr>
        <w:t xml:space="preserve"> Email: </w:t>
      </w:r>
      <w:r w:rsidRPr="00844A9F">
        <w:rPr>
          <w:rFonts w:asciiTheme="minorHAnsi" w:hAnsiTheme="minorHAnsi"/>
          <w:sz w:val="22"/>
          <w:szCs w:val="22"/>
          <w:u w:val="single"/>
        </w:rPr>
        <w:tab/>
      </w:r>
      <w:r w:rsidRPr="00844A9F">
        <w:rPr>
          <w:rFonts w:asciiTheme="minorHAnsi" w:hAnsiTheme="minorHAnsi"/>
          <w:sz w:val="22"/>
          <w:szCs w:val="22"/>
          <w:u w:val="single"/>
        </w:rPr>
        <w:tab/>
      </w:r>
      <w:r w:rsidRPr="00844A9F">
        <w:rPr>
          <w:rFonts w:asciiTheme="minorHAnsi" w:hAnsiTheme="minorHAnsi"/>
          <w:sz w:val="22"/>
          <w:szCs w:val="22"/>
          <w:u w:val="single"/>
        </w:rPr>
        <w:tab/>
      </w:r>
      <w:r w:rsidRPr="00844A9F">
        <w:rPr>
          <w:rFonts w:asciiTheme="minorHAnsi" w:hAnsiTheme="minorHAnsi"/>
          <w:sz w:val="22"/>
          <w:szCs w:val="22"/>
          <w:u w:val="single"/>
        </w:rPr>
        <w:tab/>
      </w:r>
      <w:r w:rsidRPr="00844A9F">
        <w:rPr>
          <w:rFonts w:asciiTheme="minorHAnsi" w:hAnsiTheme="minorHAnsi"/>
          <w:sz w:val="22"/>
          <w:szCs w:val="22"/>
          <w:u w:val="single"/>
        </w:rPr>
        <w:tab/>
      </w:r>
      <w:r w:rsidRPr="00844A9F">
        <w:rPr>
          <w:rFonts w:asciiTheme="minorHAnsi" w:hAnsiTheme="minorHAnsi"/>
          <w:sz w:val="22"/>
          <w:szCs w:val="22"/>
          <w:u w:val="single"/>
        </w:rPr>
        <w:tab/>
      </w:r>
    </w:p>
    <w:p w:rsidR="00E02E48" w:rsidRPr="00844A9F" w:rsidRDefault="00581C45" w:rsidP="00640094">
      <w:pPr>
        <w:pStyle w:val="BodyText"/>
        <w:spacing w:after="240" w:line="276" w:lineRule="auto"/>
        <w:rPr>
          <w:rFonts w:asciiTheme="minorHAnsi" w:hAnsiTheme="minorHAnsi"/>
          <w:sz w:val="22"/>
          <w:szCs w:val="22"/>
          <w:u w:val="single"/>
        </w:rPr>
      </w:pPr>
      <w:r w:rsidRPr="00844A9F">
        <w:rPr>
          <w:rFonts w:asciiTheme="minorHAnsi" w:hAnsiTheme="minorHAnsi"/>
          <w:sz w:val="22"/>
          <w:szCs w:val="22"/>
        </w:rPr>
        <w:t xml:space="preserve">Date: </w:t>
      </w:r>
      <w:r w:rsidRPr="00844A9F">
        <w:rPr>
          <w:rFonts w:asciiTheme="minorHAnsi" w:hAnsiTheme="minorHAnsi"/>
          <w:sz w:val="22"/>
          <w:szCs w:val="22"/>
          <w:u w:val="single"/>
        </w:rPr>
        <w:tab/>
      </w:r>
      <w:r w:rsidRPr="00844A9F">
        <w:rPr>
          <w:rFonts w:asciiTheme="minorHAnsi" w:hAnsiTheme="minorHAnsi"/>
          <w:sz w:val="22"/>
          <w:szCs w:val="22"/>
          <w:u w:val="single"/>
        </w:rPr>
        <w:tab/>
      </w:r>
      <w:r w:rsidRPr="00844A9F">
        <w:rPr>
          <w:rFonts w:asciiTheme="minorHAnsi" w:hAnsiTheme="minorHAnsi"/>
          <w:sz w:val="22"/>
          <w:szCs w:val="22"/>
          <w:u w:val="single"/>
        </w:rPr>
        <w:tab/>
      </w:r>
      <w:r w:rsidR="00E02E48" w:rsidRPr="00844A9F">
        <w:rPr>
          <w:rFonts w:asciiTheme="minorHAnsi" w:hAnsiTheme="minorHAnsi"/>
          <w:sz w:val="22"/>
          <w:szCs w:val="22"/>
        </w:rPr>
        <w:t xml:space="preserve">Signature:  </w:t>
      </w:r>
      <w:r w:rsidR="00E02E48" w:rsidRPr="00844A9F">
        <w:rPr>
          <w:rFonts w:asciiTheme="minorHAnsi" w:hAnsiTheme="minorHAnsi"/>
          <w:sz w:val="22"/>
          <w:szCs w:val="22"/>
          <w:u w:val="single"/>
        </w:rPr>
        <w:tab/>
      </w:r>
      <w:r w:rsidR="00E02E48" w:rsidRPr="00844A9F">
        <w:rPr>
          <w:rFonts w:asciiTheme="minorHAnsi" w:hAnsiTheme="minorHAnsi"/>
          <w:sz w:val="22"/>
          <w:szCs w:val="22"/>
          <w:u w:val="single"/>
        </w:rPr>
        <w:tab/>
      </w:r>
      <w:r w:rsidR="00E02E48" w:rsidRPr="00844A9F">
        <w:rPr>
          <w:rFonts w:asciiTheme="minorHAnsi" w:hAnsiTheme="minorHAnsi"/>
          <w:sz w:val="22"/>
          <w:szCs w:val="22"/>
          <w:u w:val="single"/>
        </w:rPr>
        <w:tab/>
      </w:r>
      <w:r w:rsidR="00E02E48" w:rsidRPr="00844A9F">
        <w:rPr>
          <w:rFonts w:asciiTheme="minorHAnsi" w:hAnsiTheme="minorHAnsi"/>
          <w:sz w:val="22"/>
          <w:szCs w:val="22"/>
          <w:u w:val="single"/>
        </w:rPr>
        <w:tab/>
      </w:r>
      <w:r w:rsidR="00E02E48" w:rsidRPr="00844A9F">
        <w:rPr>
          <w:rFonts w:asciiTheme="minorHAnsi" w:hAnsiTheme="minorHAnsi"/>
          <w:sz w:val="22"/>
          <w:szCs w:val="22"/>
          <w:u w:val="single"/>
        </w:rPr>
        <w:tab/>
      </w:r>
      <w:r w:rsidR="00E02E48" w:rsidRPr="00844A9F">
        <w:rPr>
          <w:rFonts w:asciiTheme="minorHAnsi" w:hAnsiTheme="minorHAnsi"/>
          <w:sz w:val="22"/>
          <w:szCs w:val="22"/>
          <w:u w:val="single"/>
        </w:rPr>
        <w:tab/>
      </w:r>
      <w:r w:rsidR="00E02E48" w:rsidRPr="00844A9F">
        <w:rPr>
          <w:rFonts w:asciiTheme="minorHAnsi" w:hAnsiTheme="minorHAnsi"/>
          <w:sz w:val="22"/>
          <w:szCs w:val="22"/>
          <w:u w:val="single"/>
        </w:rPr>
        <w:tab/>
      </w:r>
      <w:r w:rsidR="00E02E48" w:rsidRPr="00844A9F">
        <w:rPr>
          <w:rFonts w:asciiTheme="minorHAnsi" w:hAnsiTheme="minorHAnsi"/>
          <w:sz w:val="22"/>
          <w:szCs w:val="22"/>
          <w:u w:val="single"/>
        </w:rPr>
        <w:tab/>
      </w:r>
    </w:p>
    <w:p w:rsidR="00E02E48" w:rsidRPr="00844A9F" w:rsidRDefault="00E02E48" w:rsidP="00640094">
      <w:pPr>
        <w:spacing w:before="30" w:after="240"/>
        <w:rPr>
          <w:rFonts w:eastAsia="Times New Roman" w:cs="Times New Roman"/>
          <w:color w:val="000000"/>
          <w:lang w:val="en"/>
        </w:rPr>
      </w:pPr>
    </w:p>
    <w:p w:rsidR="00E02E48" w:rsidRPr="00844A9F" w:rsidRDefault="00E02E48" w:rsidP="00640094">
      <w:pPr>
        <w:pStyle w:val="BodyText"/>
        <w:spacing w:before="120" w:line="276" w:lineRule="auto"/>
        <w:rPr>
          <w:rFonts w:asciiTheme="minorHAnsi" w:hAnsiTheme="minorHAnsi"/>
          <w:b/>
          <w:sz w:val="22"/>
          <w:szCs w:val="22"/>
        </w:rPr>
      </w:pPr>
      <w:r w:rsidRPr="00844A9F">
        <w:rPr>
          <w:rFonts w:asciiTheme="minorHAnsi" w:hAnsiTheme="minorHAnsi"/>
          <w:b/>
          <w:sz w:val="22"/>
          <w:szCs w:val="22"/>
        </w:rPr>
        <w:t>Data Recipient</w:t>
      </w:r>
      <w:r w:rsidR="005E5EA0">
        <w:rPr>
          <w:rFonts w:asciiTheme="minorHAnsi" w:hAnsiTheme="minorHAnsi"/>
          <w:b/>
          <w:sz w:val="22"/>
          <w:szCs w:val="22"/>
        </w:rPr>
        <w:t>: NIOSH</w:t>
      </w:r>
    </w:p>
    <w:p w:rsidR="00E02E48" w:rsidRPr="00844A9F" w:rsidRDefault="00E02E48" w:rsidP="00640094">
      <w:pPr>
        <w:pStyle w:val="BodyText"/>
        <w:spacing w:before="120" w:line="276" w:lineRule="auto"/>
        <w:rPr>
          <w:rFonts w:asciiTheme="minorHAnsi" w:hAnsiTheme="minorHAnsi"/>
          <w:b/>
          <w:sz w:val="22"/>
          <w:szCs w:val="22"/>
        </w:rPr>
      </w:pPr>
    </w:p>
    <w:p w:rsidR="00E02E48" w:rsidRPr="00844A9F" w:rsidRDefault="00E02E48" w:rsidP="00640094">
      <w:pPr>
        <w:pStyle w:val="BodyText"/>
        <w:spacing w:after="240" w:line="276" w:lineRule="auto"/>
        <w:rPr>
          <w:rFonts w:asciiTheme="minorHAnsi" w:hAnsiTheme="minorHAnsi"/>
          <w:sz w:val="22"/>
          <w:szCs w:val="22"/>
        </w:rPr>
      </w:pPr>
      <w:r w:rsidRPr="00844A9F">
        <w:rPr>
          <w:rFonts w:asciiTheme="minorHAnsi" w:hAnsiTheme="minorHAnsi"/>
          <w:sz w:val="22"/>
          <w:szCs w:val="22"/>
        </w:rPr>
        <w:t xml:space="preserve">By:  </w:t>
      </w:r>
      <w:r w:rsidRPr="00844A9F">
        <w:rPr>
          <w:rFonts w:asciiTheme="minorHAnsi" w:hAnsiTheme="minorHAnsi"/>
          <w:sz w:val="22"/>
          <w:szCs w:val="22"/>
          <w:u w:val="single"/>
        </w:rPr>
        <w:tab/>
      </w:r>
      <w:r w:rsidRPr="00844A9F">
        <w:rPr>
          <w:rFonts w:asciiTheme="minorHAnsi" w:hAnsiTheme="minorHAnsi"/>
          <w:sz w:val="22"/>
          <w:szCs w:val="22"/>
          <w:u w:val="single"/>
        </w:rPr>
        <w:tab/>
      </w:r>
      <w:r w:rsidR="00C165EC">
        <w:rPr>
          <w:rFonts w:asciiTheme="minorHAnsi" w:hAnsiTheme="minorHAnsi"/>
          <w:sz w:val="22"/>
          <w:szCs w:val="22"/>
          <w:u w:val="single"/>
        </w:rPr>
        <w:t>Terri Schnorr, PhD</w:t>
      </w:r>
      <w:r w:rsidR="00C165EC">
        <w:rPr>
          <w:rFonts w:asciiTheme="minorHAnsi" w:hAnsiTheme="minorHAnsi"/>
          <w:sz w:val="22"/>
          <w:szCs w:val="22"/>
          <w:u w:val="single"/>
        </w:rPr>
        <w:tab/>
      </w:r>
      <w:r w:rsidRPr="00844A9F">
        <w:rPr>
          <w:rFonts w:asciiTheme="minorHAnsi" w:hAnsiTheme="minorHAnsi"/>
          <w:sz w:val="22"/>
          <w:szCs w:val="22"/>
          <w:u w:val="single"/>
        </w:rPr>
        <w:tab/>
      </w:r>
      <w:r w:rsidR="00581C45" w:rsidRPr="00844A9F">
        <w:rPr>
          <w:rFonts w:asciiTheme="minorHAnsi" w:hAnsiTheme="minorHAnsi"/>
          <w:sz w:val="22"/>
          <w:szCs w:val="22"/>
          <w:u w:val="single"/>
        </w:rPr>
        <w:tab/>
      </w:r>
      <w:r w:rsidRPr="00844A9F">
        <w:rPr>
          <w:rFonts w:asciiTheme="minorHAnsi" w:hAnsiTheme="minorHAnsi"/>
          <w:sz w:val="22"/>
          <w:szCs w:val="22"/>
        </w:rPr>
        <w:t xml:space="preserve">Title: </w:t>
      </w:r>
      <w:r w:rsidR="00C165EC">
        <w:rPr>
          <w:rFonts w:asciiTheme="minorHAnsi" w:hAnsiTheme="minorHAnsi"/>
          <w:sz w:val="22"/>
          <w:szCs w:val="22"/>
          <w:u w:val="single"/>
        </w:rPr>
        <w:tab/>
        <w:t xml:space="preserve">Director, DSHEFS, </w:t>
      </w:r>
      <w:proofErr w:type="gramStart"/>
      <w:r w:rsidR="00C165EC">
        <w:rPr>
          <w:rFonts w:asciiTheme="minorHAnsi" w:hAnsiTheme="minorHAnsi"/>
          <w:sz w:val="22"/>
          <w:szCs w:val="22"/>
          <w:u w:val="single"/>
        </w:rPr>
        <w:t>NIOSH</w:t>
      </w:r>
      <w:proofErr w:type="gramEnd"/>
      <w:r w:rsidR="00C165EC">
        <w:rPr>
          <w:rFonts w:asciiTheme="minorHAnsi" w:hAnsiTheme="minorHAnsi"/>
          <w:sz w:val="22"/>
          <w:szCs w:val="22"/>
          <w:u w:val="single"/>
        </w:rPr>
        <w:tab/>
      </w:r>
    </w:p>
    <w:p w:rsidR="00C165EC" w:rsidRDefault="00C165EC" w:rsidP="00C165EC">
      <w:pPr>
        <w:pStyle w:val="BodyText"/>
        <w:tabs>
          <w:tab w:val="left" w:pos="4302"/>
        </w:tabs>
        <w:spacing w:after="240" w:line="276" w:lineRule="auto"/>
        <w:rPr>
          <w:rFonts w:asciiTheme="minorHAnsi" w:hAnsiTheme="minorHAnsi"/>
          <w:sz w:val="22"/>
          <w:szCs w:val="22"/>
          <w:u w:val="single"/>
        </w:rPr>
      </w:pPr>
      <w:r w:rsidRPr="00844A9F">
        <w:rPr>
          <w:rFonts w:asciiTheme="minorHAnsi" w:hAnsiTheme="minorHAnsi"/>
          <w:sz w:val="22"/>
          <w:szCs w:val="22"/>
        </w:rPr>
        <w:t xml:space="preserve">Signature:  </w:t>
      </w:r>
      <w:r w:rsidRPr="00844A9F">
        <w:rPr>
          <w:rFonts w:asciiTheme="minorHAnsi" w:hAnsiTheme="minorHAnsi"/>
          <w:sz w:val="22"/>
          <w:szCs w:val="22"/>
          <w:u w:val="single"/>
        </w:rPr>
        <w:tab/>
      </w:r>
      <w:r w:rsidRPr="00844A9F">
        <w:rPr>
          <w:rFonts w:asciiTheme="minorHAnsi" w:hAnsiTheme="minorHAnsi"/>
          <w:sz w:val="22"/>
          <w:szCs w:val="22"/>
          <w:u w:val="single"/>
        </w:rPr>
        <w:tab/>
      </w:r>
      <w:r w:rsidRPr="00844A9F">
        <w:rPr>
          <w:rFonts w:asciiTheme="minorHAnsi" w:hAnsiTheme="minorHAnsi"/>
          <w:sz w:val="22"/>
          <w:szCs w:val="22"/>
          <w:u w:val="single"/>
        </w:rPr>
        <w:tab/>
      </w:r>
      <w:r w:rsidRPr="00844A9F">
        <w:rPr>
          <w:rFonts w:asciiTheme="minorHAnsi" w:hAnsiTheme="minorHAnsi"/>
          <w:sz w:val="22"/>
          <w:szCs w:val="22"/>
          <w:u w:val="single"/>
        </w:rPr>
        <w:tab/>
      </w:r>
      <w:r w:rsidRPr="00844A9F">
        <w:rPr>
          <w:rFonts w:asciiTheme="minorHAnsi" w:hAnsiTheme="minorHAnsi"/>
          <w:sz w:val="22"/>
          <w:szCs w:val="22"/>
          <w:u w:val="single"/>
        </w:rPr>
        <w:tab/>
      </w:r>
      <w:r w:rsidRPr="00844A9F">
        <w:rPr>
          <w:rFonts w:asciiTheme="minorHAnsi" w:hAnsiTheme="minorHAnsi"/>
          <w:sz w:val="22"/>
          <w:szCs w:val="22"/>
          <w:u w:val="single"/>
        </w:rPr>
        <w:tab/>
      </w:r>
      <w:r w:rsidRPr="00844A9F">
        <w:rPr>
          <w:rFonts w:asciiTheme="minorHAnsi" w:hAnsiTheme="minorHAnsi"/>
          <w:sz w:val="22"/>
          <w:szCs w:val="22"/>
          <w:u w:val="single"/>
        </w:rPr>
        <w:tab/>
      </w:r>
      <w:r w:rsidRPr="00844A9F">
        <w:rPr>
          <w:rFonts w:asciiTheme="minorHAnsi" w:hAnsiTheme="minorHAnsi"/>
          <w:sz w:val="22"/>
          <w:szCs w:val="22"/>
          <w:u w:val="single"/>
        </w:rPr>
        <w:tab/>
      </w:r>
    </w:p>
    <w:p w:rsidR="00E02E48" w:rsidRDefault="00E02E48" w:rsidP="00640094">
      <w:pPr>
        <w:pStyle w:val="BodyText"/>
        <w:tabs>
          <w:tab w:val="left" w:pos="4302"/>
        </w:tabs>
        <w:spacing w:after="240" w:line="276" w:lineRule="auto"/>
        <w:rPr>
          <w:rFonts w:asciiTheme="minorHAnsi" w:hAnsiTheme="minorHAnsi"/>
          <w:sz w:val="22"/>
          <w:szCs w:val="22"/>
          <w:u w:val="single"/>
        </w:rPr>
      </w:pPr>
      <w:r w:rsidRPr="00844A9F">
        <w:rPr>
          <w:rFonts w:asciiTheme="minorHAnsi" w:hAnsiTheme="minorHAnsi"/>
          <w:sz w:val="22"/>
          <w:szCs w:val="22"/>
        </w:rPr>
        <w:t xml:space="preserve">Date:  </w:t>
      </w:r>
      <w:r w:rsidRPr="00844A9F">
        <w:rPr>
          <w:rFonts w:asciiTheme="minorHAnsi" w:hAnsiTheme="minorHAnsi"/>
          <w:sz w:val="22"/>
          <w:szCs w:val="22"/>
          <w:u w:val="single"/>
        </w:rPr>
        <w:tab/>
      </w:r>
      <w:r w:rsidRPr="00844A9F">
        <w:rPr>
          <w:rFonts w:asciiTheme="minorHAnsi" w:hAnsiTheme="minorHAnsi"/>
          <w:sz w:val="22"/>
          <w:szCs w:val="22"/>
          <w:u w:val="single"/>
        </w:rPr>
        <w:tab/>
      </w:r>
      <w:r w:rsidRPr="00844A9F">
        <w:rPr>
          <w:rFonts w:asciiTheme="minorHAnsi" w:hAnsiTheme="minorHAnsi"/>
          <w:sz w:val="22"/>
          <w:szCs w:val="22"/>
          <w:u w:val="single"/>
        </w:rPr>
        <w:tab/>
      </w:r>
      <w:r w:rsidRPr="00844A9F">
        <w:rPr>
          <w:rFonts w:asciiTheme="minorHAnsi" w:hAnsiTheme="minorHAnsi"/>
          <w:sz w:val="22"/>
          <w:szCs w:val="22"/>
          <w:u w:val="single"/>
        </w:rPr>
        <w:tab/>
      </w:r>
      <w:r w:rsidRPr="00844A9F">
        <w:rPr>
          <w:rFonts w:asciiTheme="minorHAnsi" w:hAnsiTheme="minorHAnsi"/>
          <w:sz w:val="22"/>
          <w:szCs w:val="22"/>
          <w:u w:val="single"/>
        </w:rPr>
        <w:tab/>
      </w:r>
      <w:r w:rsidRPr="00844A9F">
        <w:rPr>
          <w:rFonts w:asciiTheme="minorHAnsi" w:hAnsiTheme="minorHAnsi"/>
          <w:sz w:val="22"/>
          <w:szCs w:val="22"/>
          <w:u w:val="single"/>
        </w:rPr>
        <w:tab/>
      </w:r>
      <w:r w:rsidRPr="00844A9F">
        <w:rPr>
          <w:rFonts w:asciiTheme="minorHAnsi" w:hAnsiTheme="minorHAnsi"/>
          <w:sz w:val="22"/>
          <w:szCs w:val="22"/>
          <w:u w:val="single"/>
        </w:rPr>
        <w:tab/>
      </w:r>
      <w:r w:rsidRPr="00844A9F">
        <w:rPr>
          <w:rFonts w:asciiTheme="minorHAnsi" w:hAnsiTheme="minorHAnsi"/>
          <w:sz w:val="22"/>
          <w:szCs w:val="22"/>
          <w:u w:val="single"/>
        </w:rPr>
        <w:tab/>
      </w:r>
    </w:p>
    <w:p w:rsidR="008918ED" w:rsidRDefault="008918ED" w:rsidP="00640094">
      <w:pPr>
        <w:pStyle w:val="BodyText"/>
        <w:tabs>
          <w:tab w:val="left" w:pos="4302"/>
        </w:tabs>
        <w:spacing w:after="240" w:line="276" w:lineRule="auto"/>
        <w:rPr>
          <w:rFonts w:asciiTheme="minorHAnsi" w:hAnsiTheme="minorHAnsi"/>
          <w:sz w:val="22"/>
          <w:szCs w:val="22"/>
        </w:rPr>
        <w:sectPr w:rsidR="008918ED">
          <w:headerReference w:type="default" r:id="rId9"/>
          <w:footerReference w:type="default" r:id="rId10"/>
          <w:pgSz w:w="12240" w:h="15840"/>
          <w:pgMar w:top="1440" w:right="1440" w:bottom="1440" w:left="1440" w:header="720" w:footer="720" w:gutter="0"/>
          <w:cols w:space="720"/>
          <w:docGrid w:linePitch="360"/>
        </w:sectPr>
      </w:pPr>
    </w:p>
    <w:p w:rsidR="00C165EC" w:rsidRDefault="00C165EC" w:rsidP="00640094">
      <w:pPr>
        <w:pStyle w:val="BodyText"/>
        <w:tabs>
          <w:tab w:val="left" w:pos="4302"/>
        </w:tabs>
        <w:spacing w:after="240" w:line="276" w:lineRule="auto"/>
        <w:rPr>
          <w:rFonts w:asciiTheme="minorHAnsi" w:hAnsiTheme="minorHAnsi"/>
          <w:sz w:val="22"/>
          <w:szCs w:val="22"/>
        </w:rPr>
      </w:pPr>
    </w:p>
    <w:p w:rsidR="00C165EC" w:rsidRPr="00C165EC" w:rsidRDefault="00C165EC" w:rsidP="00640094">
      <w:pPr>
        <w:pStyle w:val="BodyText"/>
        <w:tabs>
          <w:tab w:val="left" w:pos="4302"/>
        </w:tabs>
        <w:spacing w:after="240" w:line="276" w:lineRule="auto"/>
        <w:rPr>
          <w:rFonts w:asciiTheme="minorHAnsi" w:hAnsiTheme="minorHAnsi"/>
          <w:sz w:val="22"/>
          <w:szCs w:val="22"/>
        </w:rPr>
      </w:pPr>
      <w:r>
        <w:rPr>
          <w:rFonts w:asciiTheme="minorHAnsi" w:hAnsiTheme="minorHAnsi"/>
          <w:sz w:val="22"/>
          <w:szCs w:val="22"/>
        </w:rPr>
        <w:t xml:space="preserve">OHSN Contact: </w:t>
      </w:r>
      <w:r w:rsidR="00A16187">
        <w:rPr>
          <w:rFonts w:asciiTheme="minorHAnsi" w:hAnsiTheme="minorHAnsi"/>
          <w:sz w:val="22"/>
          <w:szCs w:val="22"/>
        </w:rPr>
        <w:t>Ahmed Gomaa, MD; 513-841-4337</w:t>
      </w:r>
      <w:r>
        <w:rPr>
          <w:rFonts w:asciiTheme="minorHAnsi" w:hAnsiTheme="minorHAnsi"/>
          <w:sz w:val="22"/>
          <w:szCs w:val="22"/>
        </w:rPr>
        <w:t>; AGomaa@cdc.gov</w:t>
      </w:r>
    </w:p>
    <w:p w:rsidR="00470A0E" w:rsidRDefault="002827A9">
      <w:pPr>
        <w:pStyle w:val="BodyText"/>
        <w:tabs>
          <w:tab w:val="left" w:pos="4302"/>
        </w:tabs>
        <w:spacing w:after="240" w:line="276" w:lineRule="auto"/>
        <w:rPr>
          <w:rFonts w:asciiTheme="minorHAnsi" w:hAnsiTheme="minorHAnsi"/>
          <w:sz w:val="22"/>
          <w:szCs w:val="22"/>
        </w:rPr>
      </w:pPr>
      <w:r>
        <w:rPr>
          <w:rFonts w:asciiTheme="minorHAnsi" w:hAnsiTheme="minorHAnsi"/>
          <w:sz w:val="22"/>
          <w:szCs w:val="22"/>
        </w:rPr>
        <w:t xml:space="preserve">Please </w:t>
      </w:r>
      <w:r w:rsidR="003208C4">
        <w:rPr>
          <w:rFonts w:asciiTheme="minorHAnsi" w:hAnsiTheme="minorHAnsi"/>
          <w:sz w:val="22"/>
          <w:szCs w:val="22"/>
        </w:rPr>
        <w:t>sign both</w:t>
      </w:r>
      <w:r w:rsidR="00130251">
        <w:rPr>
          <w:rFonts w:asciiTheme="minorHAnsi" w:hAnsiTheme="minorHAnsi"/>
          <w:sz w:val="22"/>
          <w:szCs w:val="22"/>
        </w:rPr>
        <w:t xml:space="preserve"> enclosed</w:t>
      </w:r>
      <w:r w:rsidR="003208C4">
        <w:rPr>
          <w:rFonts w:asciiTheme="minorHAnsi" w:hAnsiTheme="minorHAnsi"/>
          <w:sz w:val="22"/>
          <w:szCs w:val="22"/>
        </w:rPr>
        <w:t xml:space="preserve"> copies</w:t>
      </w:r>
      <w:r w:rsidR="00130251">
        <w:rPr>
          <w:rFonts w:asciiTheme="minorHAnsi" w:hAnsiTheme="minorHAnsi"/>
          <w:sz w:val="22"/>
          <w:szCs w:val="22"/>
        </w:rPr>
        <w:t xml:space="preserve"> of this form</w:t>
      </w:r>
      <w:r w:rsidR="003208C4">
        <w:rPr>
          <w:rFonts w:asciiTheme="minorHAnsi" w:hAnsiTheme="minorHAnsi"/>
          <w:sz w:val="22"/>
          <w:szCs w:val="22"/>
        </w:rPr>
        <w:t xml:space="preserve">.  Keep one, and </w:t>
      </w:r>
      <w:r>
        <w:rPr>
          <w:rFonts w:asciiTheme="minorHAnsi" w:hAnsiTheme="minorHAnsi"/>
          <w:sz w:val="22"/>
          <w:szCs w:val="22"/>
        </w:rPr>
        <w:t xml:space="preserve">mail </w:t>
      </w:r>
      <w:r w:rsidR="003208C4">
        <w:rPr>
          <w:rFonts w:asciiTheme="minorHAnsi" w:hAnsiTheme="minorHAnsi"/>
          <w:sz w:val="22"/>
          <w:szCs w:val="22"/>
        </w:rPr>
        <w:t>the other copy</w:t>
      </w:r>
      <w:r>
        <w:rPr>
          <w:rFonts w:asciiTheme="minorHAnsi" w:hAnsiTheme="minorHAnsi"/>
          <w:sz w:val="22"/>
          <w:szCs w:val="22"/>
        </w:rPr>
        <w:t xml:space="preserve"> to</w:t>
      </w:r>
      <w:r w:rsidR="00470A0E">
        <w:rPr>
          <w:rFonts w:asciiTheme="minorHAnsi" w:hAnsiTheme="minorHAnsi"/>
          <w:sz w:val="22"/>
          <w:szCs w:val="22"/>
        </w:rPr>
        <w:t>:</w:t>
      </w:r>
    </w:p>
    <w:p w:rsidR="002827A9" w:rsidRDefault="00470A0E" w:rsidP="00A16187">
      <w:pPr>
        <w:pStyle w:val="BodyText"/>
        <w:tabs>
          <w:tab w:val="left" w:pos="4302"/>
        </w:tabs>
        <w:ind w:left="720"/>
        <w:rPr>
          <w:rFonts w:asciiTheme="minorHAnsi" w:hAnsiTheme="minorHAnsi"/>
          <w:sz w:val="22"/>
          <w:szCs w:val="22"/>
        </w:rPr>
      </w:pPr>
      <w:r>
        <w:rPr>
          <w:rFonts w:asciiTheme="minorHAnsi" w:hAnsiTheme="minorHAnsi"/>
          <w:sz w:val="22"/>
          <w:szCs w:val="22"/>
        </w:rPr>
        <w:t>Ahmed Gomaa, MD</w:t>
      </w:r>
      <w:r w:rsidR="00A16187">
        <w:rPr>
          <w:rFonts w:asciiTheme="minorHAnsi" w:hAnsiTheme="minorHAnsi"/>
          <w:sz w:val="22"/>
          <w:szCs w:val="22"/>
        </w:rPr>
        <w:t>, ScD, MSPH</w:t>
      </w:r>
    </w:p>
    <w:p w:rsidR="002827A9" w:rsidRDefault="00470A0E" w:rsidP="00A16187">
      <w:pPr>
        <w:pStyle w:val="BodyText"/>
        <w:tabs>
          <w:tab w:val="left" w:pos="4302"/>
        </w:tabs>
        <w:ind w:left="720"/>
        <w:rPr>
          <w:rFonts w:asciiTheme="minorHAnsi" w:hAnsiTheme="minorHAnsi"/>
          <w:sz w:val="22"/>
          <w:szCs w:val="22"/>
        </w:rPr>
      </w:pPr>
      <w:r>
        <w:rPr>
          <w:rFonts w:asciiTheme="minorHAnsi" w:hAnsiTheme="minorHAnsi"/>
          <w:sz w:val="22"/>
          <w:szCs w:val="22"/>
        </w:rPr>
        <w:t>4676 Columbia Parkway</w:t>
      </w:r>
    </w:p>
    <w:p w:rsidR="002827A9" w:rsidRDefault="00470A0E" w:rsidP="00A16187">
      <w:pPr>
        <w:pStyle w:val="BodyText"/>
        <w:tabs>
          <w:tab w:val="left" w:pos="4302"/>
        </w:tabs>
        <w:ind w:left="720"/>
        <w:rPr>
          <w:rFonts w:asciiTheme="minorHAnsi" w:hAnsiTheme="minorHAnsi"/>
          <w:sz w:val="22"/>
          <w:szCs w:val="22"/>
        </w:rPr>
      </w:pPr>
      <w:r>
        <w:rPr>
          <w:rFonts w:asciiTheme="minorHAnsi" w:hAnsiTheme="minorHAnsi"/>
          <w:sz w:val="22"/>
          <w:szCs w:val="22"/>
        </w:rPr>
        <w:t>MS-R17</w:t>
      </w:r>
    </w:p>
    <w:p w:rsidR="00470A0E" w:rsidRPr="00470A0E" w:rsidRDefault="00470A0E" w:rsidP="00A16187">
      <w:pPr>
        <w:pStyle w:val="BodyText"/>
        <w:tabs>
          <w:tab w:val="left" w:pos="4302"/>
        </w:tabs>
        <w:ind w:left="720"/>
        <w:rPr>
          <w:rFonts w:asciiTheme="minorHAnsi" w:hAnsiTheme="minorHAnsi"/>
          <w:sz w:val="22"/>
          <w:szCs w:val="22"/>
        </w:rPr>
      </w:pPr>
      <w:r>
        <w:rPr>
          <w:rFonts w:asciiTheme="minorHAnsi" w:hAnsiTheme="minorHAnsi"/>
          <w:sz w:val="22"/>
          <w:szCs w:val="22"/>
        </w:rPr>
        <w:t>Cincinnati, OH  45236</w:t>
      </w:r>
    </w:p>
    <w:p w:rsidR="00B65F7B" w:rsidRPr="00844A9F" w:rsidRDefault="00B65F7B">
      <w:pPr>
        <w:pStyle w:val="BodyText"/>
        <w:tabs>
          <w:tab w:val="left" w:pos="4302"/>
        </w:tabs>
        <w:spacing w:after="240" w:line="276" w:lineRule="auto"/>
        <w:rPr>
          <w:rFonts w:asciiTheme="minorHAnsi" w:hAnsiTheme="minorHAnsi"/>
          <w:color w:val="000000"/>
          <w:lang w:val="en"/>
        </w:rPr>
      </w:pPr>
    </w:p>
    <w:sectPr w:rsidR="00B65F7B" w:rsidRPr="00844A9F" w:rsidSect="008918E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891" w:rsidRDefault="00746891" w:rsidP="00CD113F">
      <w:pPr>
        <w:spacing w:after="0" w:line="240" w:lineRule="auto"/>
      </w:pPr>
      <w:r>
        <w:separator/>
      </w:r>
    </w:p>
  </w:endnote>
  <w:endnote w:type="continuationSeparator" w:id="0">
    <w:p w:rsidR="00746891" w:rsidRDefault="00746891" w:rsidP="00CD1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C7C" w:rsidRPr="00A03C7C" w:rsidRDefault="00A03C7C">
    <w:pPr>
      <w:pStyle w:val="Footer"/>
      <w:rPr>
        <w:i/>
        <w:sz w:val="18"/>
        <w:szCs w:val="18"/>
      </w:rPr>
    </w:pPr>
    <w:r w:rsidRPr="00A03C7C">
      <w:rPr>
        <w:i/>
        <w:sz w:val="18"/>
        <w:szCs w:val="18"/>
      </w:rPr>
      <w:t>SAMPLE OHSN Data Use Agreement</w:t>
    </w:r>
    <w:r w:rsidR="0066244A">
      <w:rPr>
        <w:i/>
        <w:sz w:val="18"/>
        <w:szCs w:val="18"/>
      </w:rPr>
      <w:tab/>
    </w:r>
    <w:r w:rsidR="0066244A">
      <w:rPr>
        <w:i/>
        <w:sz w:val="18"/>
        <w:szCs w:val="18"/>
      </w:rPr>
      <w:tab/>
    </w:r>
    <w:r w:rsidR="0066244A" w:rsidRPr="0066244A">
      <w:rPr>
        <w:i/>
        <w:sz w:val="18"/>
        <w:szCs w:val="18"/>
      </w:rPr>
      <w:fldChar w:fldCharType="begin"/>
    </w:r>
    <w:r w:rsidR="0066244A" w:rsidRPr="0066244A">
      <w:rPr>
        <w:i/>
        <w:sz w:val="18"/>
        <w:szCs w:val="18"/>
      </w:rPr>
      <w:instrText xml:space="preserve"> PAGE   \* MERGEFORMAT </w:instrText>
    </w:r>
    <w:r w:rsidR="0066244A" w:rsidRPr="0066244A">
      <w:rPr>
        <w:i/>
        <w:sz w:val="18"/>
        <w:szCs w:val="18"/>
      </w:rPr>
      <w:fldChar w:fldCharType="separate"/>
    </w:r>
    <w:r w:rsidR="00237BC4">
      <w:rPr>
        <w:i/>
        <w:noProof/>
        <w:sz w:val="18"/>
        <w:szCs w:val="18"/>
      </w:rPr>
      <w:t>5</w:t>
    </w:r>
    <w:r w:rsidR="0066244A" w:rsidRPr="0066244A">
      <w:rPr>
        <w:i/>
        <w:noProof/>
        <w:sz w:val="18"/>
        <w:szCs w:val="18"/>
      </w:rPr>
      <w:fldChar w:fldCharType="end"/>
    </w:r>
  </w:p>
  <w:p w:rsidR="00C165EC" w:rsidRDefault="00C165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891" w:rsidRDefault="00746891" w:rsidP="00CD113F">
      <w:pPr>
        <w:spacing w:after="0" w:line="240" w:lineRule="auto"/>
      </w:pPr>
      <w:r>
        <w:separator/>
      </w:r>
    </w:p>
  </w:footnote>
  <w:footnote w:type="continuationSeparator" w:id="0">
    <w:p w:rsidR="00746891" w:rsidRDefault="00746891" w:rsidP="00CD11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5EC" w:rsidRDefault="00C165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D41AD"/>
    <w:multiLevelType w:val="hybridMultilevel"/>
    <w:tmpl w:val="736A30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442236"/>
    <w:multiLevelType w:val="multilevel"/>
    <w:tmpl w:val="BD4211C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C3083"/>
    <w:multiLevelType w:val="hybridMultilevel"/>
    <w:tmpl w:val="9BF47C7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19A33006"/>
    <w:multiLevelType w:val="hybridMultilevel"/>
    <w:tmpl w:val="093CA9B0"/>
    <w:lvl w:ilvl="0" w:tplc="04090019">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D7759"/>
    <w:multiLevelType w:val="hybridMultilevel"/>
    <w:tmpl w:val="B91E605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705141"/>
    <w:multiLevelType w:val="hybridMultilevel"/>
    <w:tmpl w:val="FE86F5C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5A079C"/>
    <w:multiLevelType w:val="hybridMultilevel"/>
    <w:tmpl w:val="45F098E2"/>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A090A"/>
    <w:multiLevelType w:val="hybridMultilevel"/>
    <w:tmpl w:val="089482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253EE6"/>
    <w:multiLevelType w:val="hybridMultilevel"/>
    <w:tmpl w:val="FE70B79C"/>
    <w:lvl w:ilvl="0" w:tplc="0409000F">
      <w:start w:val="1"/>
      <w:numFmt w:val="decimal"/>
      <w:lvlText w:val="%1."/>
      <w:lvlJc w:val="left"/>
      <w:pPr>
        <w:ind w:left="720" w:hanging="360"/>
      </w:pPr>
      <w:rPr>
        <w:rFonts w:hint="default"/>
      </w:rPr>
    </w:lvl>
    <w:lvl w:ilvl="1" w:tplc="D3BEC78E">
      <w:start w:val="1"/>
      <w:numFmt w:val="decimal"/>
      <w:lvlText w:val="(%2)"/>
      <w:lvlJc w:val="left"/>
      <w:pPr>
        <w:ind w:left="3300" w:hanging="222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EB6676"/>
    <w:multiLevelType w:val="hybridMultilevel"/>
    <w:tmpl w:val="F02C7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ED4363"/>
    <w:multiLevelType w:val="hybridMultilevel"/>
    <w:tmpl w:val="F0FC9AB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D21394"/>
    <w:multiLevelType w:val="hybridMultilevel"/>
    <w:tmpl w:val="9C04D352"/>
    <w:lvl w:ilvl="0" w:tplc="04090001">
      <w:start w:val="1"/>
      <w:numFmt w:val="bullet"/>
      <w:lvlText w:val=""/>
      <w:lvlJc w:val="left"/>
      <w:pPr>
        <w:ind w:left="720" w:hanging="360"/>
      </w:pPr>
      <w:rPr>
        <w:rFonts w:ascii="Symbol" w:hAnsi="Symbol" w:hint="default"/>
      </w:rPr>
    </w:lvl>
    <w:lvl w:ilvl="1" w:tplc="04090013">
      <w:start w:val="1"/>
      <w:numFmt w:val="upp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657CDC"/>
    <w:multiLevelType w:val="hybridMultilevel"/>
    <w:tmpl w:val="8DD2453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60D3D"/>
    <w:multiLevelType w:val="hybridMultilevel"/>
    <w:tmpl w:val="21D4405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BE7CF0"/>
    <w:multiLevelType w:val="hybridMultilevel"/>
    <w:tmpl w:val="CDF6162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2F601D"/>
    <w:multiLevelType w:val="multilevel"/>
    <w:tmpl w:val="49F8FC96"/>
    <w:lvl w:ilvl="0">
      <w:start w:val="4"/>
      <w:numFmt w:val="decimal"/>
      <w:lvlText w:val="%1."/>
      <w:lvlJc w:val="left"/>
      <w:pPr>
        <w:tabs>
          <w:tab w:val="num" w:pos="360"/>
        </w:tabs>
        <w:ind w:left="360" w:hanging="360"/>
      </w:pPr>
      <w:rPr>
        <w:rFonts w:hint="default"/>
        <w:b/>
        <w:i w:val="0"/>
      </w:rPr>
    </w:lvl>
    <w:lvl w:ilvl="1">
      <w:start w:val="1"/>
      <w:numFmt w:val="lowerLetter"/>
      <w:lvlText w:val="%2)"/>
      <w:lvlJc w:val="left"/>
      <w:pPr>
        <w:tabs>
          <w:tab w:val="num" w:pos="792"/>
        </w:tabs>
        <w:ind w:left="792" w:hanging="432"/>
      </w:pPr>
      <w:rPr>
        <w:rFonts w:hint="default"/>
        <w:b/>
        <w:i w:val="0"/>
      </w:rPr>
    </w:lvl>
    <w:lvl w:ilvl="2">
      <w:start w:val="1"/>
      <w:numFmt w:val="lowerRoman"/>
      <w:lvlText w:val="%3)"/>
      <w:lvlJc w:val="left"/>
      <w:pPr>
        <w:tabs>
          <w:tab w:val="num" w:pos="1440"/>
        </w:tabs>
        <w:ind w:left="1224" w:hanging="504"/>
      </w:pPr>
      <w:rPr>
        <w:rFonts w:hint="default"/>
        <w:b/>
      </w:rPr>
    </w:lvl>
    <w:lvl w:ilvl="3">
      <w:start w:val="1"/>
      <w:numFmt w:val="decimal"/>
      <w:lvlText w:val="(%4)"/>
      <w:lvlJc w:val="left"/>
      <w:pPr>
        <w:tabs>
          <w:tab w:val="num" w:pos="1728"/>
        </w:tabs>
        <w:ind w:left="1728" w:hanging="648"/>
      </w:pPr>
      <w:rPr>
        <w:rFonts w:hint="default"/>
      </w:rPr>
    </w:lvl>
    <w:lvl w:ilvl="4">
      <w:start w:val="1"/>
      <w:numFmt w:val="lowerLetter"/>
      <w:lvlText w:val="(%5)"/>
      <w:lvlJc w:val="left"/>
      <w:pPr>
        <w:tabs>
          <w:tab w:val="num" w:pos="2232"/>
        </w:tabs>
        <w:ind w:left="2232" w:hanging="792"/>
      </w:pPr>
      <w:rPr>
        <w:rFonts w:hint="default"/>
      </w:rPr>
    </w:lvl>
    <w:lvl w:ilvl="5">
      <w:start w:val="1"/>
      <w:numFmt w:val="decimal"/>
      <w:lvlText w:val="(%3)"/>
      <w:lvlJc w:val="left"/>
      <w:pPr>
        <w:tabs>
          <w:tab w:val="num" w:pos="2736"/>
        </w:tabs>
        <w:ind w:left="2736" w:hanging="936"/>
      </w:pPr>
      <w:rPr>
        <w:rFonts w:hint="default"/>
      </w:rPr>
    </w:lvl>
    <w:lvl w:ilvl="6">
      <w:start w:val="1"/>
      <w:numFmt w:val="decimal"/>
      <w:lvlText w:val="%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Restart w:val="0"/>
      <w:lvlText w:val="%1.%2.%3.%4.%5.%6.%7.%8.%9."/>
      <w:lvlJc w:val="left"/>
      <w:pPr>
        <w:tabs>
          <w:tab w:val="num" w:pos="4680"/>
        </w:tabs>
        <w:ind w:left="4320" w:hanging="1440"/>
      </w:pPr>
      <w:rPr>
        <w:rFonts w:hint="default"/>
      </w:rPr>
    </w:lvl>
  </w:abstractNum>
  <w:abstractNum w:abstractNumId="16" w15:restartNumberingAfterBreak="0">
    <w:nsid w:val="66BE4CA3"/>
    <w:multiLevelType w:val="hybridMultilevel"/>
    <w:tmpl w:val="3F82C5D8"/>
    <w:lvl w:ilvl="0" w:tplc="04090019">
      <w:start w:val="1"/>
      <w:numFmt w:val="lowerLetter"/>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8D3225"/>
    <w:multiLevelType w:val="hybridMultilevel"/>
    <w:tmpl w:val="D856F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B05B84"/>
    <w:multiLevelType w:val="hybridMultilevel"/>
    <w:tmpl w:val="4A18D2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CA44C8"/>
    <w:multiLevelType w:val="hybridMultilevel"/>
    <w:tmpl w:val="CEAAF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453CDF"/>
    <w:multiLevelType w:val="hybridMultilevel"/>
    <w:tmpl w:val="DE6C66F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8210B6"/>
    <w:multiLevelType w:val="multilevel"/>
    <w:tmpl w:val="06401E42"/>
    <w:lvl w:ilvl="0">
      <w:start w:val="1"/>
      <w:numFmt w:val="lowerLetter"/>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17"/>
  </w:num>
  <w:num w:numId="4">
    <w:abstractNumId w:val="19"/>
  </w:num>
  <w:num w:numId="5">
    <w:abstractNumId w:val="2"/>
  </w:num>
  <w:num w:numId="6">
    <w:abstractNumId w:val="8"/>
  </w:num>
  <w:num w:numId="7">
    <w:abstractNumId w:val="21"/>
  </w:num>
  <w:num w:numId="8">
    <w:abstractNumId w:val="14"/>
  </w:num>
  <w:num w:numId="9">
    <w:abstractNumId w:val="11"/>
  </w:num>
  <w:num w:numId="10">
    <w:abstractNumId w:val="3"/>
  </w:num>
  <w:num w:numId="11">
    <w:abstractNumId w:val="12"/>
  </w:num>
  <w:num w:numId="12">
    <w:abstractNumId w:val="16"/>
  </w:num>
  <w:num w:numId="13">
    <w:abstractNumId w:val="7"/>
  </w:num>
  <w:num w:numId="14">
    <w:abstractNumId w:val="13"/>
  </w:num>
  <w:num w:numId="15">
    <w:abstractNumId w:val="5"/>
  </w:num>
  <w:num w:numId="16">
    <w:abstractNumId w:val="18"/>
  </w:num>
  <w:num w:numId="17">
    <w:abstractNumId w:val="20"/>
  </w:num>
  <w:num w:numId="18">
    <w:abstractNumId w:val="4"/>
  </w:num>
  <w:num w:numId="19">
    <w:abstractNumId w:val="10"/>
  </w:num>
  <w:num w:numId="20">
    <w:abstractNumId w:val="6"/>
  </w:num>
  <w:num w:numId="21">
    <w:abstractNumId w:val="1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77D"/>
    <w:rsid w:val="00076446"/>
    <w:rsid w:val="00122DB7"/>
    <w:rsid w:val="00130251"/>
    <w:rsid w:val="001400BE"/>
    <w:rsid w:val="001B42B9"/>
    <w:rsid w:val="00205B42"/>
    <w:rsid w:val="00207432"/>
    <w:rsid w:val="00237BC4"/>
    <w:rsid w:val="002827A9"/>
    <w:rsid w:val="0029310F"/>
    <w:rsid w:val="002C10B6"/>
    <w:rsid w:val="002D0255"/>
    <w:rsid w:val="002D1410"/>
    <w:rsid w:val="002D64DA"/>
    <w:rsid w:val="0030198D"/>
    <w:rsid w:val="003208C4"/>
    <w:rsid w:val="00322040"/>
    <w:rsid w:val="0033321C"/>
    <w:rsid w:val="00345B5A"/>
    <w:rsid w:val="003B2059"/>
    <w:rsid w:val="00432205"/>
    <w:rsid w:val="00451C62"/>
    <w:rsid w:val="00470A0E"/>
    <w:rsid w:val="004A2076"/>
    <w:rsid w:val="004B0769"/>
    <w:rsid w:val="004B19EB"/>
    <w:rsid w:val="004B6707"/>
    <w:rsid w:val="004B677D"/>
    <w:rsid w:val="00515C92"/>
    <w:rsid w:val="005354EC"/>
    <w:rsid w:val="00581C45"/>
    <w:rsid w:val="005A0D38"/>
    <w:rsid w:val="005E4EF3"/>
    <w:rsid w:val="005E5EA0"/>
    <w:rsid w:val="005F43D5"/>
    <w:rsid w:val="0062086E"/>
    <w:rsid w:val="00640094"/>
    <w:rsid w:val="0066244A"/>
    <w:rsid w:val="00667149"/>
    <w:rsid w:val="006D2D79"/>
    <w:rsid w:val="00706FBE"/>
    <w:rsid w:val="0073752B"/>
    <w:rsid w:val="00746891"/>
    <w:rsid w:val="0075473D"/>
    <w:rsid w:val="00761950"/>
    <w:rsid w:val="007A1B86"/>
    <w:rsid w:val="007A3999"/>
    <w:rsid w:val="007E573E"/>
    <w:rsid w:val="00844A9F"/>
    <w:rsid w:val="008918ED"/>
    <w:rsid w:val="008D1624"/>
    <w:rsid w:val="00925435"/>
    <w:rsid w:val="009450A5"/>
    <w:rsid w:val="00995608"/>
    <w:rsid w:val="009F0070"/>
    <w:rsid w:val="009F6EEF"/>
    <w:rsid w:val="00A03C7C"/>
    <w:rsid w:val="00A16187"/>
    <w:rsid w:val="00A22BBA"/>
    <w:rsid w:val="00A2585C"/>
    <w:rsid w:val="00A5272B"/>
    <w:rsid w:val="00A94262"/>
    <w:rsid w:val="00AA19B2"/>
    <w:rsid w:val="00AE1F24"/>
    <w:rsid w:val="00B5518E"/>
    <w:rsid w:val="00B65F7B"/>
    <w:rsid w:val="00BB7A93"/>
    <w:rsid w:val="00BC3247"/>
    <w:rsid w:val="00C165EC"/>
    <w:rsid w:val="00C64659"/>
    <w:rsid w:val="00C91B99"/>
    <w:rsid w:val="00CA2583"/>
    <w:rsid w:val="00CD113F"/>
    <w:rsid w:val="00D50E15"/>
    <w:rsid w:val="00D66320"/>
    <w:rsid w:val="00DA67A5"/>
    <w:rsid w:val="00DD32DF"/>
    <w:rsid w:val="00E02E48"/>
    <w:rsid w:val="00E47B77"/>
    <w:rsid w:val="00E92511"/>
    <w:rsid w:val="00F33D9B"/>
    <w:rsid w:val="00F65079"/>
    <w:rsid w:val="00F81BB1"/>
    <w:rsid w:val="00FC1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962338-8F8B-4EFC-AAED-0272A13DD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B65F7B"/>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77D"/>
    <w:pPr>
      <w:ind w:left="720"/>
      <w:contextualSpacing/>
    </w:pPr>
  </w:style>
  <w:style w:type="character" w:styleId="CommentReference">
    <w:name w:val="annotation reference"/>
    <w:basedOn w:val="DefaultParagraphFont"/>
    <w:uiPriority w:val="99"/>
    <w:semiHidden/>
    <w:unhideWhenUsed/>
    <w:rsid w:val="004B677D"/>
    <w:rPr>
      <w:sz w:val="16"/>
      <w:szCs w:val="16"/>
    </w:rPr>
  </w:style>
  <w:style w:type="paragraph" w:styleId="CommentText">
    <w:name w:val="annotation text"/>
    <w:basedOn w:val="Normal"/>
    <w:link w:val="CommentTextChar"/>
    <w:uiPriority w:val="99"/>
    <w:semiHidden/>
    <w:unhideWhenUsed/>
    <w:rsid w:val="004B677D"/>
    <w:pPr>
      <w:spacing w:line="240" w:lineRule="auto"/>
    </w:pPr>
    <w:rPr>
      <w:sz w:val="20"/>
      <w:szCs w:val="20"/>
    </w:rPr>
  </w:style>
  <w:style w:type="character" w:customStyle="1" w:styleId="CommentTextChar">
    <w:name w:val="Comment Text Char"/>
    <w:basedOn w:val="DefaultParagraphFont"/>
    <w:link w:val="CommentText"/>
    <w:uiPriority w:val="99"/>
    <w:semiHidden/>
    <w:rsid w:val="004B677D"/>
    <w:rPr>
      <w:sz w:val="20"/>
      <w:szCs w:val="20"/>
    </w:rPr>
  </w:style>
  <w:style w:type="paragraph" w:styleId="CommentSubject">
    <w:name w:val="annotation subject"/>
    <w:basedOn w:val="CommentText"/>
    <w:next w:val="CommentText"/>
    <w:link w:val="CommentSubjectChar"/>
    <w:uiPriority w:val="99"/>
    <w:semiHidden/>
    <w:unhideWhenUsed/>
    <w:rsid w:val="004B677D"/>
    <w:rPr>
      <w:b/>
      <w:bCs/>
    </w:rPr>
  </w:style>
  <w:style w:type="character" w:customStyle="1" w:styleId="CommentSubjectChar">
    <w:name w:val="Comment Subject Char"/>
    <w:basedOn w:val="CommentTextChar"/>
    <w:link w:val="CommentSubject"/>
    <w:uiPriority w:val="99"/>
    <w:semiHidden/>
    <w:rsid w:val="004B677D"/>
    <w:rPr>
      <w:b/>
      <w:bCs/>
      <w:sz w:val="20"/>
      <w:szCs w:val="20"/>
    </w:rPr>
  </w:style>
  <w:style w:type="paragraph" w:styleId="BalloonText">
    <w:name w:val="Balloon Text"/>
    <w:basedOn w:val="Normal"/>
    <w:link w:val="BalloonTextChar"/>
    <w:uiPriority w:val="99"/>
    <w:semiHidden/>
    <w:unhideWhenUsed/>
    <w:rsid w:val="004B67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77D"/>
    <w:rPr>
      <w:rFonts w:ascii="Tahoma" w:hAnsi="Tahoma" w:cs="Tahoma"/>
      <w:sz w:val="16"/>
      <w:szCs w:val="16"/>
    </w:rPr>
  </w:style>
  <w:style w:type="paragraph" w:styleId="Header">
    <w:name w:val="header"/>
    <w:basedOn w:val="Normal"/>
    <w:link w:val="HeaderChar"/>
    <w:uiPriority w:val="99"/>
    <w:unhideWhenUsed/>
    <w:rsid w:val="00CD11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13F"/>
  </w:style>
  <w:style w:type="paragraph" w:styleId="Footer">
    <w:name w:val="footer"/>
    <w:basedOn w:val="Normal"/>
    <w:link w:val="FooterChar"/>
    <w:uiPriority w:val="99"/>
    <w:unhideWhenUsed/>
    <w:rsid w:val="00CD11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13F"/>
  </w:style>
  <w:style w:type="character" w:styleId="Hyperlink">
    <w:name w:val="Hyperlink"/>
    <w:basedOn w:val="DefaultParagraphFont"/>
    <w:uiPriority w:val="99"/>
    <w:unhideWhenUsed/>
    <w:rsid w:val="00E02E48"/>
    <w:rPr>
      <w:color w:val="0000FF" w:themeColor="hyperlink"/>
      <w:u w:val="single"/>
    </w:rPr>
  </w:style>
  <w:style w:type="paragraph" w:styleId="BodyText">
    <w:name w:val="Body Text"/>
    <w:basedOn w:val="Normal"/>
    <w:link w:val="BodyTextChar"/>
    <w:unhideWhenUsed/>
    <w:rsid w:val="00E02E48"/>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E02E48"/>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B65F7B"/>
    <w:rPr>
      <w:rFonts w:ascii="Arial" w:eastAsia="Times New Roman"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6783">
      <w:bodyDiv w:val="1"/>
      <w:marLeft w:val="0"/>
      <w:marRight w:val="0"/>
      <w:marTop w:val="0"/>
      <w:marBottom w:val="0"/>
      <w:divBdr>
        <w:top w:val="none" w:sz="0" w:space="0" w:color="auto"/>
        <w:left w:val="none" w:sz="0" w:space="0" w:color="auto"/>
        <w:bottom w:val="none" w:sz="0" w:space="0" w:color="auto"/>
        <w:right w:val="none" w:sz="0" w:space="0" w:color="auto"/>
      </w:divBdr>
    </w:div>
    <w:div w:id="432674197">
      <w:bodyDiv w:val="1"/>
      <w:marLeft w:val="4"/>
      <w:marRight w:val="4"/>
      <w:marTop w:val="4"/>
      <w:marBottom w:val="4"/>
      <w:divBdr>
        <w:top w:val="none" w:sz="0" w:space="0" w:color="auto"/>
        <w:left w:val="none" w:sz="0" w:space="0" w:color="auto"/>
        <w:bottom w:val="none" w:sz="0" w:space="0" w:color="auto"/>
        <w:right w:val="none" w:sz="0" w:space="0" w:color="auto"/>
      </w:divBdr>
      <w:divsChild>
        <w:div w:id="240333761">
          <w:marLeft w:val="0"/>
          <w:marRight w:val="0"/>
          <w:marTop w:val="0"/>
          <w:marBottom w:val="0"/>
          <w:divBdr>
            <w:top w:val="none" w:sz="0" w:space="0" w:color="auto"/>
            <w:left w:val="none" w:sz="0" w:space="0" w:color="auto"/>
            <w:bottom w:val="none" w:sz="0" w:space="0" w:color="auto"/>
            <w:right w:val="none" w:sz="0" w:space="0" w:color="auto"/>
          </w:divBdr>
          <w:divsChild>
            <w:div w:id="459302746">
              <w:marLeft w:val="0"/>
              <w:marRight w:val="0"/>
              <w:marTop w:val="0"/>
              <w:marBottom w:val="0"/>
              <w:divBdr>
                <w:top w:val="none" w:sz="0" w:space="0" w:color="auto"/>
                <w:left w:val="none" w:sz="0" w:space="0" w:color="auto"/>
                <w:bottom w:val="none" w:sz="0" w:space="0" w:color="auto"/>
                <w:right w:val="none" w:sz="0" w:space="0" w:color="auto"/>
              </w:divBdr>
              <w:divsChild>
                <w:div w:id="1469712425">
                  <w:marLeft w:val="0"/>
                  <w:marRight w:val="0"/>
                  <w:marTop w:val="0"/>
                  <w:marBottom w:val="180"/>
                  <w:divBdr>
                    <w:top w:val="none" w:sz="0" w:space="0" w:color="auto"/>
                    <w:left w:val="none" w:sz="0" w:space="0" w:color="auto"/>
                    <w:bottom w:val="none" w:sz="0" w:space="0" w:color="auto"/>
                    <w:right w:val="none" w:sz="0" w:space="0" w:color="auto"/>
                  </w:divBdr>
                  <w:divsChild>
                    <w:div w:id="1380201711">
                      <w:marLeft w:val="0"/>
                      <w:marRight w:val="0"/>
                      <w:marTop w:val="0"/>
                      <w:marBottom w:val="0"/>
                      <w:divBdr>
                        <w:top w:val="none" w:sz="0" w:space="0" w:color="auto"/>
                        <w:left w:val="none" w:sz="0" w:space="0" w:color="auto"/>
                        <w:bottom w:val="none" w:sz="0" w:space="0" w:color="auto"/>
                        <w:right w:val="none" w:sz="0" w:space="0" w:color="auto"/>
                      </w:divBdr>
                      <w:divsChild>
                        <w:div w:id="1290354848">
                          <w:marLeft w:val="0"/>
                          <w:marRight w:val="0"/>
                          <w:marTop w:val="0"/>
                          <w:marBottom w:val="0"/>
                          <w:divBdr>
                            <w:top w:val="none" w:sz="0" w:space="0" w:color="auto"/>
                            <w:left w:val="none" w:sz="0" w:space="0" w:color="auto"/>
                            <w:bottom w:val="none" w:sz="0" w:space="0" w:color="auto"/>
                            <w:right w:val="none" w:sz="0" w:space="0" w:color="auto"/>
                          </w:divBdr>
                          <w:divsChild>
                            <w:div w:id="14689383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601712">
      <w:bodyDiv w:val="1"/>
      <w:marLeft w:val="0"/>
      <w:marRight w:val="0"/>
      <w:marTop w:val="0"/>
      <w:marBottom w:val="0"/>
      <w:divBdr>
        <w:top w:val="none" w:sz="0" w:space="0" w:color="auto"/>
        <w:left w:val="none" w:sz="0" w:space="0" w:color="auto"/>
        <w:bottom w:val="none" w:sz="0" w:space="0" w:color="auto"/>
        <w:right w:val="none" w:sz="0" w:space="0" w:color="auto"/>
      </w:divBdr>
    </w:div>
    <w:div w:id="1202471699">
      <w:bodyDiv w:val="1"/>
      <w:marLeft w:val="4"/>
      <w:marRight w:val="4"/>
      <w:marTop w:val="4"/>
      <w:marBottom w:val="4"/>
      <w:divBdr>
        <w:top w:val="none" w:sz="0" w:space="0" w:color="auto"/>
        <w:left w:val="none" w:sz="0" w:space="0" w:color="auto"/>
        <w:bottom w:val="none" w:sz="0" w:space="0" w:color="auto"/>
        <w:right w:val="none" w:sz="0" w:space="0" w:color="auto"/>
      </w:divBdr>
      <w:divsChild>
        <w:div w:id="1770849709">
          <w:marLeft w:val="0"/>
          <w:marRight w:val="0"/>
          <w:marTop w:val="0"/>
          <w:marBottom w:val="0"/>
          <w:divBdr>
            <w:top w:val="none" w:sz="0" w:space="0" w:color="auto"/>
            <w:left w:val="none" w:sz="0" w:space="0" w:color="auto"/>
            <w:bottom w:val="none" w:sz="0" w:space="0" w:color="auto"/>
            <w:right w:val="none" w:sz="0" w:space="0" w:color="auto"/>
          </w:divBdr>
          <w:divsChild>
            <w:div w:id="1601185998">
              <w:marLeft w:val="0"/>
              <w:marRight w:val="0"/>
              <w:marTop w:val="0"/>
              <w:marBottom w:val="0"/>
              <w:divBdr>
                <w:top w:val="none" w:sz="0" w:space="0" w:color="auto"/>
                <w:left w:val="none" w:sz="0" w:space="0" w:color="auto"/>
                <w:bottom w:val="none" w:sz="0" w:space="0" w:color="auto"/>
                <w:right w:val="none" w:sz="0" w:space="0" w:color="auto"/>
              </w:divBdr>
              <w:divsChild>
                <w:div w:id="1150948829">
                  <w:marLeft w:val="0"/>
                  <w:marRight w:val="0"/>
                  <w:marTop w:val="0"/>
                  <w:marBottom w:val="180"/>
                  <w:divBdr>
                    <w:top w:val="none" w:sz="0" w:space="0" w:color="auto"/>
                    <w:left w:val="none" w:sz="0" w:space="0" w:color="auto"/>
                    <w:bottom w:val="none" w:sz="0" w:space="0" w:color="auto"/>
                    <w:right w:val="none" w:sz="0" w:space="0" w:color="auto"/>
                  </w:divBdr>
                  <w:divsChild>
                    <w:div w:id="361632591">
                      <w:marLeft w:val="0"/>
                      <w:marRight w:val="0"/>
                      <w:marTop w:val="0"/>
                      <w:marBottom w:val="0"/>
                      <w:divBdr>
                        <w:top w:val="none" w:sz="0" w:space="0" w:color="auto"/>
                        <w:left w:val="none" w:sz="0" w:space="0" w:color="auto"/>
                        <w:bottom w:val="none" w:sz="0" w:space="0" w:color="auto"/>
                        <w:right w:val="none" w:sz="0" w:space="0" w:color="auto"/>
                      </w:divBdr>
                      <w:divsChild>
                        <w:div w:id="394402331">
                          <w:marLeft w:val="0"/>
                          <w:marRight w:val="0"/>
                          <w:marTop w:val="0"/>
                          <w:marBottom w:val="0"/>
                          <w:divBdr>
                            <w:top w:val="none" w:sz="0" w:space="0" w:color="auto"/>
                            <w:left w:val="none" w:sz="0" w:space="0" w:color="auto"/>
                            <w:bottom w:val="none" w:sz="0" w:space="0" w:color="auto"/>
                            <w:right w:val="none" w:sz="0" w:space="0" w:color="auto"/>
                          </w:divBdr>
                          <w:divsChild>
                            <w:div w:id="15021623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41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niosh/topics/ohsn/pdfs/OHSN%20Data%20Element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DFCF8-E93B-4FDE-950E-130DB506A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1202</Words>
  <Characters>6854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Foley, Tamekia (CDC/NIOSH/OD)</cp:lastModifiedBy>
  <cp:revision>3</cp:revision>
  <cp:lastPrinted>2013-05-16T17:23:00Z</cp:lastPrinted>
  <dcterms:created xsi:type="dcterms:W3CDTF">2015-12-01T19:15:00Z</dcterms:created>
  <dcterms:modified xsi:type="dcterms:W3CDTF">2016-02-01T20:21:00Z</dcterms:modified>
</cp:coreProperties>
</file>