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429A0" w14:textId="77777777" w:rsidR="00E35DD1" w:rsidRPr="008942E9" w:rsidRDefault="00E35DD1" w:rsidP="00E35DD1">
      <w:pPr>
        <w:pStyle w:val="P1-StandPara"/>
        <w:tabs>
          <w:tab w:val="left" w:pos="720"/>
          <w:tab w:val="right" w:leader="dot" w:pos="9504"/>
        </w:tabs>
        <w:spacing w:before="120" w:after="120"/>
        <w:ind w:firstLine="0"/>
        <w:rPr>
          <w:rFonts w:ascii="Calibri" w:hAnsi="Calibri"/>
          <w:szCs w:val="22"/>
        </w:rPr>
      </w:pPr>
    </w:p>
    <w:p w14:paraId="6C2D9DFD" w14:textId="77777777" w:rsidR="00E35DD1" w:rsidRPr="008942E9" w:rsidRDefault="00E35DD1" w:rsidP="00767C53">
      <w:pPr>
        <w:pStyle w:val="P1-StandPara"/>
        <w:tabs>
          <w:tab w:val="left" w:pos="720"/>
          <w:tab w:val="right" w:leader="dot" w:pos="9504"/>
        </w:tabs>
        <w:spacing w:before="120" w:after="120"/>
        <w:ind w:firstLine="0"/>
        <w:jc w:val="center"/>
        <w:rPr>
          <w:rFonts w:ascii="Calibri" w:hAnsi="Calibri"/>
          <w:szCs w:val="22"/>
        </w:rPr>
      </w:pPr>
      <w:r w:rsidRPr="008942E9">
        <w:rPr>
          <w:rFonts w:ascii="Calibri" w:hAnsi="Calibri"/>
          <w:szCs w:val="22"/>
        </w:rPr>
        <w:t>Supporting Statement A for</w:t>
      </w:r>
    </w:p>
    <w:p w14:paraId="2D12DBF6" w14:textId="77777777" w:rsidR="00E35DD1" w:rsidRPr="008942E9" w:rsidRDefault="00E35DD1" w:rsidP="00E35DD1">
      <w:pPr>
        <w:pStyle w:val="P1-StandPara"/>
        <w:tabs>
          <w:tab w:val="left" w:pos="720"/>
          <w:tab w:val="right" w:leader="dot" w:pos="9504"/>
        </w:tabs>
        <w:spacing w:before="120" w:after="120"/>
        <w:ind w:firstLine="0"/>
        <w:rPr>
          <w:rFonts w:ascii="Calibri" w:hAnsi="Calibri"/>
          <w:szCs w:val="22"/>
        </w:rPr>
      </w:pPr>
      <w:r w:rsidRPr="008942E9">
        <w:rPr>
          <w:rFonts w:ascii="Calibri" w:hAnsi="Calibri"/>
          <w:szCs w:val="22"/>
        </w:rPr>
        <w:t xml:space="preserve">                    </w:t>
      </w:r>
    </w:p>
    <w:p w14:paraId="478D478E" w14:textId="77777777" w:rsidR="002B56B8" w:rsidRPr="00B804C3" w:rsidRDefault="002B56B8" w:rsidP="002B56B8">
      <w:pPr>
        <w:ind w:left="1440" w:hanging="1440"/>
        <w:jc w:val="center"/>
        <w:rPr>
          <w:b/>
          <w:sz w:val="28"/>
          <w:szCs w:val="28"/>
        </w:rPr>
      </w:pPr>
      <w:r w:rsidRPr="00D87956">
        <w:rPr>
          <w:b/>
          <w:sz w:val="28"/>
          <w:szCs w:val="28"/>
        </w:rPr>
        <w:t xml:space="preserve">Self-Affirmation Construct Validity </w:t>
      </w:r>
      <w:r>
        <w:rPr>
          <w:b/>
          <w:sz w:val="28"/>
          <w:szCs w:val="28"/>
        </w:rPr>
        <w:t>(NCI)</w:t>
      </w:r>
    </w:p>
    <w:p w14:paraId="11FEEE9A" w14:textId="77777777" w:rsidR="002B56B8" w:rsidRDefault="002B56B8" w:rsidP="002B56B8">
      <w:pPr>
        <w:ind w:left="1440" w:hanging="1440"/>
        <w:jc w:val="center"/>
      </w:pPr>
    </w:p>
    <w:p w14:paraId="7C143F84" w14:textId="6D60E128" w:rsidR="002B56B8" w:rsidRPr="002B56B8" w:rsidRDefault="00816637" w:rsidP="002B56B8">
      <w:pPr>
        <w:ind w:left="1440" w:hanging="14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March 7, 2016</w:t>
      </w:r>
    </w:p>
    <w:p w14:paraId="2FD5A649" w14:textId="77777777" w:rsidR="002B56B8" w:rsidRDefault="002B56B8" w:rsidP="002B56B8">
      <w:pPr>
        <w:ind w:left="1440" w:hanging="1440"/>
        <w:jc w:val="center"/>
      </w:pPr>
    </w:p>
    <w:p w14:paraId="325917C3" w14:textId="77777777" w:rsidR="002B56B8" w:rsidRPr="00B804C3" w:rsidRDefault="002B56B8" w:rsidP="002B56B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Rebecca A. Ferrer, PhD</w:t>
      </w:r>
    </w:p>
    <w:p w14:paraId="1EF15421" w14:textId="77777777" w:rsidR="002B56B8" w:rsidRPr="00B804C3" w:rsidRDefault="002B56B8" w:rsidP="002B56B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B804C3">
        <w:rPr>
          <w:rFonts w:ascii="Times New Roman" w:hAnsi="Times New Roman"/>
          <w:color w:val="000000"/>
          <w:sz w:val="28"/>
          <w:szCs w:val="28"/>
        </w:rPr>
        <w:t>Behavioral Research Program</w:t>
      </w:r>
    </w:p>
    <w:p w14:paraId="2B3549FC" w14:textId="77777777" w:rsidR="002B56B8" w:rsidRPr="00B804C3" w:rsidRDefault="002B56B8" w:rsidP="002B56B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B804C3">
        <w:rPr>
          <w:rFonts w:ascii="Times New Roman" w:hAnsi="Times New Roman"/>
          <w:color w:val="000000"/>
          <w:sz w:val="28"/>
          <w:szCs w:val="28"/>
        </w:rPr>
        <w:t>Division of Cancer Control and Population Sciences</w:t>
      </w:r>
    </w:p>
    <w:p w14:paraId="366413C7" w14:textId="77777777" w:rsidR="002B56B8" w:rsidRPr="00B804C3" w:rsidRDefault="002B56B8" w:rsidP="002B56B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B804C3">
        <w:rPr>
          <w:rFonts w:ascii="Times New Roman" w:hAnsi="Times New Roman"/>
          <w:color w:val="000000"/>
          <w:sz w:val="28"/>
          <w:szCs w:val="28"/>
        </w:rPr>
        <w:t>National Cancer Institute</w:t>
      </w:r>
    </w:p>
    <w:p w14:paraId="38577ADB" w14:textId="77777777" w:rsidR="002B56B8" w:rsidRPr="00B804C3" w:rsidRDefault="002B56B8" w:rsidP="002B56B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B804C3">
        <w:rPr>
          <w:rFonts w:ascii="Times New Roman" w:hAnsi="Times New Roman"/>
          <w:color w:val="000000"/>
          <w:sz w:val="28"/>
          <w:szCs w:val="28"/>
        </w:rPr>
        <w:t xml:space="preserve">9609 Medical Center Drive MSC </w:t>
      </w:r>
      <w:r>
        <w:rPr>
          <w:rFonts w:ascii="Times New Roman" w:hAnsi="Times New Roman"/>
          <w:color w:val="000000"/>
          <w:sz w:val="28"/>
          <w:szCs w:val="28"/>
        </w:rPr>
        <w:t>9761</w:t>
      </w:r>
    </w:p>
    <w:p w14:paraId="0F10FAEE" w14:textId="77777777" w:rsidR="002B56B8" w:rsidRPr="00B804C3" w:rsidRDefault="002B56B8" w:rsidP="002B56B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B804C3">
        <w:rPr>
          <w:rFonts w:ascii="Times New Roman" w:hAnsi="Times New Roman"/>
          <w:color w:val="000000"/>
          <w:sz w:val="28"/>
          <w:szCs w:val="28"/>
        </w:rPr>
        <w:t>Room 3E</w:t>
      </w:r>
      <w:r>
        <w:rPr>
          <w:rFonts w:ascii="Times New Roman" w:hAnsi="Times New Roman"/>
          <w:color w:val="000000"/>
          <w:sz w:val="28"/>
          <w:szCs w:val="28"/>
        </w:rPr>
        <w:t>238</w:t>
      </w:r>
    </w:p>
    <w:p w14:paraId="197727FF" w14:textId="77777777" w:rsidR="002B56B8" w:rsidRPr="00B804C3" w:rsidRDefault="002B56B8" w:rsidP="002B56B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B804C3">
        <w:rPr>
          <w:rFonts w:ascii="Times New Roman" w:hAnsi="Times New Roman"/>
          <w:color w:val="000000"/>
          <w:sz w:val="28"/>
          <w:szCs w:val="28"/>
        </w:rPr>
        <w:t>Bethesda MD 20892-7344</w:t>
      </w:r>
    </w:p>
    <w:p w14:paraId="0B462992" w14:textId="77777777" w:rsidR="002B56B8" w:rsidRPr="00B804C3" w:rsidRDefault="002B56B8" w:rsidP="002B56B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B804C3">
        <w:rPr>
          <w:rFonts w:ascii="Times New Roman" w:hAnsi="Times New Roman"/>
          <w:color w:val="000000"/>
          <w:sz w:val="28"/>
          <w:szCs w:val="28"/>
        </w:rPr>
        <w:t>Phone: 240-276-</w:t>
      </w:r>
      <w:r>
        <w:rPr>
          <w:rFonts w:ascii="Times New Roman" w:hAnsi="Times New Roman"/>
          <w:color w:val="000000"/>
          <w:sz w:val="28"/>
          <w:szCs w:val="28"/>
        </w:rPr>
        <w:t>6914</w:t>
      </w:r>
    </w:p>
    <w:p w14:paraId="1DB587E7" w14:textId="77777777" w:rsidR="002B56B8" w:rsidRPr="00B804C3" w:rsidRDefault="002B56B8" w:rsidP="002B56B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B804C3">
        <w:rPr>
          <w:rFonts w:ascii="Times New Roman" w:hAnsi="Times New Roman"/>
          <w:color w:val="000000"/>
          <w:sz w:val="28"/>
          <w:szCs w:val="28"/>
        </w:rPr>
        <w:t>Fax: 240-276-7906</w:t>
      </w:r>
    </w:p>
    <w:p w14:paraId="582B75CB" w14:textId="77777777" w:rsidR="002B56B8" w:rsidRPr="00B804C3" w:rsidRDefault="008E0831" w:rsidP="002B56B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hyperlink r:id="rId8" w:history="1">
        <w:r w:rsidR="002B56B8" w:rsidRPr="007A79AC">
          <w:rPr>
            <w:rStyle w:val="Hyperlink"/>
            <w:rFonts w:ascii="Times New Roman" w:hAnsi="Times New Roman"/>
            <w:sz w:val="28"/>
            <w:szCs w:val="28"/>
          </w:rPr>
          <w:t>ferrerra@mail.nih.gov</w:t>
        </w:r>
      </w:hyperlink>
    </w:p>
    <w:p w14:paraId="1652D486" w14:textId="77777777" w:rsidR="00E35DD1" w:rsidRPr="008942E9" w:rsidRDefault="00E35DD1" w:rsidP="00E35DD1">
      <w:pPr>
        <w:pStyle w:val="P1-StandPara"/>
        <w:tabs>
          <w:tab w:val="left" w:pos="720"/>
          <w:tab w:val="right" w:leader="dot" w:pos="9504"/>
        </w:tabs>
        <w:spacing w:before="120" w:after="120"/>
        <w:rPr>
          <w:rFonts w:ascii="Calibri" w:hAnsi="Calibri"/>
          <w:szCs w:val="22"/>
        </w:rPr>
      </w:pPr>
      <w:r w:rsidRPr="008942E9">
        <w:rPr>
          <w:rFonts w:ascii="Calibri" w:hAnsi="Calibri"/>
          <w:szCs w:val="22"/>
        </w:rPr>
        <w:t xml:space="preserve">                        </w:t>
      </w:r>
    </w:p>
    <w:p w14:paraId="02AFE21D" w14:textId="77777777" w:rsidR="00E35DD1" w:rsidRPr="008942E9" w:rsidRDefault="00E35DD1" w:rsidP="00E35DD1">
      <w:pPr>
        <w:pStyle w:val="P1-StandPara"/>
        <w:tabs>
          <w:tab w:val="left" w:pos="720"/>
          <w:tab w:val="right" w:leader="dot" w:pos="9504"/>
        </w:tabs>
        <w:spacing w:before="120" w:after="120"/>
        <w:rPr>
          <w:rFonts w:ascii="Calibri" w:hAnsi="Calibri"/>
          <w:szCs w:val="22"/>
        </w:rPr>
      </w:pPr>
    </w:p>
    <w:p w14:paraId="30822650" w14:textId="77777777" w:rsidR="00E35DD1" w:rsidRPr="008942E9" w:rsidRDefault="00E35DD1" w:rsidP="00E35DD1">
      <w:pPr>
        <w:pStyle w:val="P1-StandPara"/>
        <w:tabs>
          <w:tab w:val="left" w:pos="720"/>
          <w:tab w:val="right" w:leader="dot" w:pos="9504"/>
        </w:tabs>
        <w:spacing w:before="120" w:after="120"/>
        <w:rPr>
          <w:rFonts w:ascii="Calibri" w:hAnsi="Calibri"/>
          <w:szCs w:val="22"/>
        </w:rPr>
      </w:pPr>
    </w:p>
    <w:p w14:paraId="0C049240" w14:textId="77777777" w:rsidR="006A45F9" w:rsidRPr="008942E9" w:rsidRDefault="006A45F9" w:rsidP="00BE76A7">
      <w:pPr>
        <w:pStyle w:val="P1-StandPara"/>
        <w:tabs>
          <w:tab w:val="left" w:pos="720"/>
          <w:tab w:val="right" w:leader="dot" w:pos="9504"/>
        </w:tabs>
        <w:spacing w:before="120" w:line="240" w:lineRule="auto"/>
        <w:ind w:firstLine="0"/>
        <w:rPr>
          <w:rFonts w:ascii="Calibri" w:hAnsi="Calibri"/>
          <w:szCs w:val="22"/>
        </w:rPr>
      </w:pPr>
    </w:p>
    <w:p w14:paraId="4525DAE1" w14:textId="77777777" w:rsidR="00DA5C15" w:rsidRPr="008942E9" w:rsidRDefault="00DA5C15" w:rsidP="00DA5C15">
      <w:pPr>
        <w:pStyle w:val="P1-StandPara"/>
        <w:tabs>
          <w:tab w:val="left" w:pos="720"/>
          <w:tab w:val="right" w:leader="dot" w:pos="9504"/>
        </w:tabs>
        <w:spacing w:before="120" w:line="240" w:lineRule="auto"/>
        <w:ind w:firstLine="0"/>
        <w:rPr>
          <w:rFonts w:ascii="Calibri" w:hAnsi="Calibri"/>
          <w:szCs w:val="22"/>
        </w:rPr>
      </w:pPr>
      <w:r w:rsidRPr="008942E9">
        <w:rPr>
          <w:rFonts w:ascii="Calibri" w:hAnsi="Calibri"/>
          <w:szCs w:val="22"/>
        </w:rPr>
        <w:t>Check off which applies:</w:t>
      </w:r>
    </w:p>
    <w:p w14:paraId="584AC47A" w14:textId="77777777" w:rsidR="00DA5C15" w:rsidRDefault="00DA5C15" w:rsidP="00DA5C15">
      <w:pPr>
        <w:spacing w:after="0" w:line="240" w:lineRule="auto"/>
        <w:ind w:left="360"/>
      </w:pPr>
      <w:r>
        <w:t>X</w:t>
      </w:r>
      <w:r>
        <w:tab/>
        <w:t xml:space="preserve">New </w:t>
      </w:r>
      <w:r>
        <w:tab/>
      </w:r>
      <w:r>
        <w:tab/>
      </w:r>
    </w:p>
    <w:p w14:paraId="476054E3" w14:textId="77777777" w:rsidR="00DA5C15" w:rsidRDefault="00DA5C15" w:rsidP="00DA5C15">
      <w:pPr>
        <w:numPr>
          <w:ilvl w:val="0"/>
          <w:numId w:val="11"/>
        </w:numPr>
        <w:spacing w:after="0" w:line="240" w:lineRule="auto"/>
      </w:pPr>
      <w:r>
        <w:t>Revision</w:t>
      </w:r>
    </w:p>
    <w:p w14:paraId="55A556C4" w14:textId="77777777" w:rsidR="00DA5C15" w:rsidRPr="0040282E" w:rsidRDefault="00DA5C15" w:rsidP="00DA5C15">
      <w:pPr>
        <w:numPr>
          <w:ilvl w:val="0"/>
          <w:numId w:val="11"/>
        </w:numPr>
        <w:spacing w:after="0" w:line="240" w:lineRule="auto"/>
      </w:pPr>
      <w:r>
        <w:t>Reinstatement with Change</w:t>
      </w:r>
    </w:p>
    <w:p w14:paraId="42FE6FED" w14:textId="77777777" w:rsidR="00DA5C15" w:rsidRDefault="00DA5C15" w:rsidP="00DA5C15">
      <w:pPr>
        <w:numPr>
          <w:ilvl w:val="0"/>
          <w:numId w:val="11"/>
        </w:numPr>
        <w:spacing w:after="0" w:line="240" w:lineRule="auto"/>
      </w:pPr>
      <w:r w:rsidRPr="00B32F4A">
        <w:rPr>
          <w:noProof/>
        </w:rPr>
        <w:t>Reinstatement</w:t>
      </w:r>
      <w:r>
        <w:t xml:space="preserve"> without Change</w:t>
      </w:r>
    </w:p>
    <w:p w14:paraId="36189EF4" w14:textId="77777777" w:rsidR="00DA5C15" w:rsidRDefault="00DA5C15" w:rsidP="00DA5C15">
      <w:pPr>
        <w:numPr>
          <w:ilvl w:val="0"/>
          <w:numId w:val="11"/>
        </w:numPr>
        <w:spacing w:after="0" w:line="240" w:lineRule="auto"/>
      </w:pPr>
      <w:r>
        <w:t>Extension</w:t>
      </w:r>
    </w:p>
    <w:p w14:paraId="6996D7E5" w14:textId="77777777" w:rsidR="00DA5C15" w:rsidRDefault="00DA5C15" w:rsidP="00DA5C15">
      <w:pPr>
        <w:numPr>
          <w:ilvl w:val="0"/>
          <w:numId w:val="11"/>
        </w:numPr>
        <w:spacing w:after="0" w:line="240" w:lineRule="auto"/>
      </w:pPr>
      <w:r>
        <w:t>Emergency</w:t>
      </w:r>
    </w:p>
    <w:p w14:paraId="5AE5638D" w14:textId="77777777" w:rsidR="00DA5C15" w:rsidRDefault="00DA5C15" w:rsidP="00DA5C15">
      <w:pPr>
        <w:numPr>
          <w:ilvl w:val="0"/>
          <w:numId w:val="11"/>
        </w:numPr>
        <w:spacing w:after="0" w:line="240" w:lineRule="auto"/>
      </w:pPr>
      <w:r>
        <w:t>Existing</w:t>
      </w:r>
    </w:p>
    <w:p w14:paraId="08EA93D0" w14:textId="77777777" w:rsidR="002B56B8" w:rsidRDefault="002B56B8">
      <w:pPr>
        <w:spacing w:after="0" w:line="240" w:lineRule="auto"/>
        <w:rPr>
          <w:rFonts w:eastAsia="Times New Roman"/>
          <w:b/>
          <w:u w:val="single"/>
        </w:rPr>
      </w:pPr>
      <w:r>
        <w:rPr>
          <w:b/>
          <w:u w:val="single"/>
        </w:rPr>
        <w:br w:type="page"/>
      </w:r>
    </w:p>
    <w:p w14:paraId="2A353542" w14:textId="77777777" w:rsidR="002B56B8" w:rsidRPr="002B56B8" w:rsidRDefault="002B56B8" w:rsidP="002B56B8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u w:val="single"/>
          <w:lang w:eastAsia="ja-JP"/>
        </w:rPr>
      </w:pPr>
      <w:r w:rsidRPr="002B56B8">
        <w:rPr>
          <w:rFonts w:ascii="Times New Roman" w:eastAsia="MS Mincho" w:hAnsi="Times New Roman"/>
          <w:b/>
          <w:sz w:val="28"/>
          <w:szCs w:val="28"/>
          <w:u w:val="single"/>
          <w:lang w:eastAsia="ja-JP"/>
        </w:rPr>
        <w:lastRenderedPageBreak/>
        <w:t>List of Attachments</w:t>
      </w:r>
    </w:p>
    <w:p w14:paraId="5648DC46" w14:textId="77777777" w:rsidR="002B56B8" w:rsidRPr="002B56B8" w:rsidRDefault="002B56B8" w:rsidP="002B56B8">
      <w:pPr>
        <w:spacing w:after="0" w:line="240" w:lineRule="auto"/>
        <w:rPr>
          <w:rFonts w:ascii="Times New Roman" w:eastAsia="MS Mincho" w:hAnsi="Times New Roman"/>
          <w:sz w:val="24"/>
          <w:szCs w:val="24"/>
          <w:u w:val="single"/>
          <w:lang w:eastAsia="ja-JP"/>
        </w:rPr>
      </w:pPr>
      <w:r w:rsidRPr="002B56B8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Pr="002B56B8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Pr="002B56B8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Pr="002B56B8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Pr="002B56B8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Pr="002B56B8">
        <w:rPr>
          <w:rFonts w:ascii="Times New Roman" w:eastAsia="MS Mincho" w:hAnsi="Times New Roman"/>
          <w:sz w:val="24"/>
          <w:szCs w:val="24"/>
          <w:lang w:eastAsia="ja-JP"/>
        </w:rPr>
        <w:tab/>
      </w:r>
    </w:p>
    <w:p w14:paraId="44374538" w14:textId="170EFF90" w:rsidR="002B56B8" w:rsidRPr="002B56B8" w:rsidRDefault="00FD3DB8" w:rsidP="002B56B8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 xml:space="preserve">Attachment </w:t>
      </w:r>
      <w:r w:rsidR="002B56B8" w:rsidRPr="002B56B8">
        <w:rPr>
          <w:rFonts w:ascii="Times New Roman" w:eastAsia="MS Mincho" w:hAnsi="Times New Roman"/>
          <w:sz w:val="24"/>
          <w:szCs w:val="24"/>
          <w:lang w:eastAsia="ja-JP"/>
        </w:rPr>
        <w:t xml:space="preserve">A – Selected Readings </w:t>
      </w:r>
    </w:p>
    <w:p w14:paraId="17673C61" w14:textId="77777777" w:rsidR="002B56B8" w:rsidRPr="002B56B8" w:rsidRDefault="002B56B8" w:rsidP="002B56B8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14:paraId="6E841034" w14:textId="0D25BB1E" w:rsidR="002B56B8" w:rsidRDefault="00FD3DB8" w:rsidP="002B56B8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 xml:space="preserve">Attachment </w:t>
      </w:r>
      <w:r w:rsidR="00B32F4A">
        <w:rPr>
          <w:rFonts w:ascii="Times New Roman" w:eastAsia="MS Mincho" w:hAnsi="Times New Roman"/>
          <w:sz w:val="24"/>
          <w:szCs w:val="24"/>
          <w:lang w:eastAsia="ja-JP"/>
        </w:rPr>
        <w:t>B – Screenshots</w:t>
      </w:r>
    </w:p>
    <w:p w14:paraId="7B881C47" w14:textId="259C2FA4" w:rsidR="00B32F4A" w:rsidRDefault="00B32F4A" w:rsidP="002B56B8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/>
          <w:sz w:val="24"/>
          <w:szCs w:val="24"/>
          <w:lang w:eastAsia="ja-JP"/>
        </w:rPr>
        <w:tab/>
        <w:t>B1- Survey Screenshot</w:t>
      </w:r>
    </w:p>
    <w:p w14:paraId="41EFC338" w14:textId="58C95CE7" w:rsidR="00B32F4A" w:rsidRPr="002B56B8" w:rsidRDefault="00B32F4A" w:rsidP="002B56B8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/>
          <w:sz w:val="24"/>
          <w:szCs w:val="24"/>
          <w:lang w:eastAsia="ja-JP"/>
        </w:rPr>
        <w:tab/>
        <w:t>B2- Screener Screenshot</w:t>
      </w:r>
    </w:p>
    <w:p w14:paraId="5B6E9938" w14:textId="77777777" w:rsidR="002B56B8" w:rsidRPr="002B56B8" w:rsidRDefault="002B56B8" w:rsidP="002B56B8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14:paraId="3CF8DCC6" w14:textId="26E84A87" w:rsidR="002B56B8" w:rsidRDefault="00FD3DB8" w:rsidP="002B56B8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 xml:space="preserve">Attachment </w:t>
      </w:r>
      <w:r w:rsidR="002B56B8" w:rsidRPr="002B56B8">
        <w:rPr>
          <w:rFonts w:ascii="Times New Roman" w:eastAsia="MS Mincho" w:hAnsi="Times New Roman"/>
          <w:sz w:val="24"/>
          <w:szCs w:val="24"/>
          <w:lang w:eastAsia="ja-JP"/>
        </w:rPr>
        <w:t>C – IRB Approval</w:t>
      </w:r>
    </w:p>
    <w:p w14:paraId="28D31956" w14:textId="77777777" w:rsidR="00FD3DB8" w:rsidRDefault="00FD3DB8" w:rsidP="002B56B8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14:paraId="457FB8E8" w14:textId="360F0687" w:rsidR="00FD3DB8" w:rsidRPr="002B56B8" w:rsidRDefault="00FD3DB8" w:rsidP="002B56B8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Attachment D – Privacy Act Memo</w:t>
      </w:r>
    </w:p>
    <w:p w14:paraId="323A7332" w14:textId="77777777" w:rsidR="002B56B8" w:rsidRDefault="002B56B8">
      <w:pPr>
        <w:spacing w:after="0" w:line="240" w:lineRule="auto"/>
        <w:rPr>
          <w:rFonts w:eastAsia="Times New Roman"/>
          <w:b/>
          <w:u w:val="single"/>
        </w:rPr>
      </w:pPr>
      <w:r>
        <w:rPr>
          <w:b/>
          <w:u w:val="single"/>
        </w:rPr>
        <w:br w:type="page"/>
      </w:r>
    </w:p>
    <w:p w14:paraId="076201C9" w14:textId="77777777" w:rsidR="00E35DD1" w:rsidRPr="008942E9" w:rsidRDefault="00E35DD1" w:rsidP="00E35DD1">
      <w:pPr>
        <w:pStyle w:val="P1-StandPara"/>
        <w:tabs>
          <w:tab w:val="left" w:pos="720"/>
          <w:tab w:val="right" w:leader="dot" w:pos="9504"/>
        </w:tabs>
        <w:spacing w:before="120" w:after="120"/>
        <w:rPr>
          <w:rFonts w:ascii="Calibri" w:hAnsi="Calibri"/>
          <w:b/>
          <w:szCs w:val="22"/>
          <w:u w:val="single"/>
        </w:rPr>
      </w:pPr>
      <w:r w:rsidRPr="008942E9">
        <w:rPr>
          <w:rFonts w:ascii="Calibri" w:hAnsi="Calibri"/>
          <w:b/>
          <w:szCs w:val="22"/>
          <w:u w:val="single"/>
        </w:rPr>
        <w:lastRenderedPageBreak/>
        <w:t>Table of contents</w:t>
      </w:r>
    </w:p>
    <w:p w14:paraId="55EB2D79" w14:textId="77777777" w:rsidR="00E35DD1" w:rsidRPr="008942E9" w:rsidRDefault="00E35DD1" w:rsidP="00E35DD1">
      <w:pPr>
        <w:pStyle w:val="P1-StandPara"/>
        <w:tabs>
          <w:tab w:val="left" w:pos="720"/>
        </w:tabs>
        <w:ind w:firstLine="0"/>
        <w:rPr>
          <w:rFonts w:ascii="Calibri" w:hAnsi="Calibri"/>
          <w:szCs w:val="22"/>
        </w:rPr>
      </w:pPr>
      <w:r w:rsidRPr="008942E9">
        <w:rPr>
          <w:rFonts w:ascii="Calibri" w:hAnsi="Calibri"/>
          <w:szCs w:val="22"/>
        </w:rPr>
        <w:fldChar w:fldCharType="begin"/>
      </w:r>
      <w:r w:rsidRPr="008942E9">
        <w:rPr>
          <w:rFonts w:ascii="Calibri" w:hAnsi="Calibri"/>
          <w:szCs w:val="22"/>
        </w:rPr>
        <w:instrText xml:space="preserve"> TOC \o "1-2" \u </w:instrText>
      </w:r>
      <w:r w:rsidRPr="008942E9">
        <w:rPr>
          <w:rFonts w:ascii="Calibri" w:hAnsi="Calibri"/>
          <w:szCs w:val="22"/>
        </w:rPr>
        <w:fldChar w:fldCharType="separate"/>
      </w:r>
      <w:r w:rsidRPr="008942E9">
        <w:rPr>
          <w:rFonts w:ascii="Calibri" w:hAnsi="Calibri"/>
          <w:szCs w:val="22"/>
        </w:rPr>
        <w:t>A.</w:t>
      </w:r>
      <w:r w:rsidRPr="008942E9">
        <w:rPr>
          <w:rFonts w:ascii="Calibri" w:hAnsi="Calibri"/>
          <w:szCs w:val="22"/>
        </w:rPr>
        <w:tab/>
        <w:t>JUSTIFICATION</w:t>
      </w:r>
      <w:r w:rsidRPr="008942E9">
        <w:rPr>
          <w:rFonts w:ascii="Calibri" w:hAnsi="Calibri"/>
          <w:szCs w:val="22"/>
        </w:rPr>
        <w:tab/>
      </w:r>
    </w:p>
    <w:p w14:paraId="3A3C504D" w14:textId="77777777" w:rsidR="00E35DD1" w:rsidRPr="008942E9" w:rsidRDefault="00E35DD1" w:rsidP="00E35DD1">
      <w:pPr>
        <w:pStyle w:val="P1-StandPara"/>
        <w:ind w:firstLine="0"/>
        <w:rPr>
          <w:rFonts w:ascii="Calibri" w:hAnsi="Calibri"/>
          <w:szCs w:val="22"/>
        </w:rPr>
      </w:pPr>
      <w:r w:rsidRPr="008942E9">
        <w:rPr>
          <w:rFonts w:ascii="Calibri" w:hAnsi="Calibri"/>
          <w:szCs w:val="22"/>
        </w:rPr>
        <w:t>A.1</w:t>
      </w:r>
      <w:r w:rsidRPr="008942E9">
        <w:rPr>
          <w:rFonts w:ascii="Calibri" w:hAnsi="Calibri"/>
          <w:szCs w:val="22"/>
        </w:rPr>
        <w:tab/>
        <w:t>Circumstances Making the Collection of Information Necessary</w:t>
      </w:r>
      <w:r w:rsidRPr="008942E9">
        <w:rPr>
          <w:rFonts w:ascii="Calibri" w:hAnsi="Calibri"/>
          <w:szCs w:val="22"/>
        </w:rPr>
        <w:tab/>
      </w:r>
    </w:p>
    <w:p w14:paraId="36E16F8B" w14:textId="77777777" w:rsidR="00E35DD1" w:rsidRPr="008942E9" w:rsidRDefault="00E35DD1" w:rsidP="00E35DD1">
      <w:pPr>
        <w:pStyle w:val="P1-StandPara"/>
        <w:ind w:firstLine="0"/>
        <w:rPr>
          <w:rFonts w:ascii="Calibri" w:hAnsi="Calibri"/>
          <w:szCs w:val="22"/>
        </w:rPr>
      </w:pPr>
      <w:r w:rsidRPr="008942E9">
        <w:rPr>
          <w:rFonts w:ascii="Calibri" w:hAnsi="Calibri"/>
          <w:szCs w:val="22"/>
        </w:rPr>
        <w:t>A.2.</w:t>
      </w:r>
      <w:r w:rsidRPr="008942E9">
        <w:rPr>
          <w:rFonts w:ascii="Calibri" w:hAnsi="Calibri"/>
          <w:szCs w:val="22"/>
        </w:rPr>
        <w:tab/>
        <w:t>Purpose and Use of the Information COLLECTION</w:t>
      </w:r>
      <w:r w:rsidRPr="008942E9">
        <w:rPr>
          <w:rFonts w:ascii="Calibri" w:hAnsi="Calibri"/>
          <w:szCs w:val="22"/>
        </w:rPr>
        <w:tab/>
      </w:r>
    </w:p>
    <w:p w14:paraId="0180EB9C" w14:textId="77777777" w:rsidR="00E35DD1" w:rsidRPr="008942E9" w:rsidRDefault="00E35DD1" w:rsidP="00E35DD1">
      <w:pPr>
        <w:pStyle w:val="P1-StandPara"/>
        <w:ind w:firstLine="0"/>
        <w:rPr>
          <w:rFonts w:ascii="Calibri" w:hAnsi="Calibri"/>
          <w:szCs w:val="22"/>
        </w:rPr>
      </w:pPr>
      <w:r w:rsidRPr="008942E9">
        <w:rPr>
          <w:rFonts w:ascii="Calibri" w:hAnsi="Calibri"/>
          <w:szCs w:val="22"/>
        </w:rPr>
        <w:t>A.3</w:t>
      </w:r>
      <w:r w:rsidRPr="008942E9">
        <w:rPr>
          <w:rFonts w:ascii="Calibri" w:hAnsi="Calibri"/>
          <w:szCs w:val="22"/>
        </w:rPr>
        <w:tab/>
        <w:t>Use of Information Technology and Burden Reduction</w:t>
      </w:r>
      <w:r w:rsidRPr="008942E9">
        <w:rPr>
          <w:rFonts w:ascii="Calibri" w:hAnsi="Calibri"/>
          <w:szCs w:val="22"/>
        </w:rPr>
        <w:tab/>
      </w:r>
    </w:p>
    <w:p w14:paraId="49DB776B" w14:textId="77777777" w:rsidR="00E35DD1" w:rsidRPr="008942E9" w:rsidRDefault="00E35DD1" w:rsidP="00E35DD1">
      <w:pPr>
        <w:pStyle w:val="P1-StandPara"/>
        <w:ind w:firstLine="0"/>
        <w:rPr>
          <w:rFonts w:ascii="Calibri" w:hAnsi="Calibri"/>
          <w:szCs w:val="22"/>
        </w:rPr>
      </w:pPr>
      <w:r w:rsidRPr="008942E9">
        <w:rPr>
          <w:rFonts w:ascii="Calibri" w:hAnsi="Calibri"/>
          <w:szCs w:val="22"/>
        </w:rPr>
        <w:t>A.4</w:t>
      </w:r>
      <w:r w:rsidRPr="008942E9">
        <w:rPr>
          <w:rFonts w:ascii="Calibri" w:hAnsi="Calibri"/>
          <w:szCs w:val="22"/>
        </w:rPr>
        <w:tab/>
        <w:t>Efforts to Identify Duplication and Use of Similar Information</w:t>
      </w:r>
      <w:r w:rsidRPr="008942E9">
        <w:rPr>
          <w:rFonts w:ascii="Calibri" w:hAnsi="Calibri"/>
          <w:szCs w:val="22"/>
        </w:rPr>
        <w:tab/>
      </w:r>
    </w:p>
    <w:p w14:paraId="0381231C" w14:textId="77777777" w:rsidR="00E35DD1" w:rsidRPr="008942E9" w:rsidRDefault="00E35DD1" w:rsidP="00E35DD1">
      <w:pPr>
        <w:pStyle w:val="P1-StandPara"/>
        <w:ind w:firstLine="0"/>
        <w:rPr>
          <w:rFonts w:ascii="Calibri" w:hAnsi="Calibri"/>
          <w:szCs w:val="22"/>
        </w:rPr>
      </w:pPr>
      <w:r w:rsidRPr="008942E9">
        <w:rPr>
          <w:rFonts w:ascii="Calibri" w:hAnsi="Calibri"/>
          <w:szCs w:val="22"/>
        </w:rPr>
        <w:t>A.5</w:t>
      </w:r>
      <w:r w:rsidRPr="008942E9">
        <w:rPr>
          <w:rFonts w:ascii="Calibri" w:hAnsi="Calibri"/>
          <w:szCs w:val="22"/>
        </w:rPr>
        <w:tab/>
        <w:t>Impact on Small Businesses or Other Small Entities</w:t>
      </w:r>
      <w:r w:rsidRPr="008942E9">
        <w:rPr>
          <w:rFonts w:ascii="Calibri" w:hAnsi="Calibri"/>
          <w:szCs w:val="22"/>
        </w:rPr>
        <w:tab/>
      </w:r>
    </w:p>
    <w:p w14:paraId="0C2CA2F2" w14:textId="77777777" w:rsidR="00E35DD1" w:rsidRPr="008942E9" w:rsidRDefault="00E35DD1" w:rsidP="00E35DD1">
      <w:pPr>
        <w:pStyle w:val="P1-StandPara"/>
        <w:ind w:firstLine="0"/>
        <w:rPr>
          <w:rFonts w:ascii="Calibri" w:hAnsi="Calibri"/>
          <w:szCs w:val="22"/>
        </w:rPr>
      </w:pPr>
      <w:r w:rsidRPr="008942E9">
        <w:rPr>
          <w:rFonts w:ascii="Calibri" w:hAnsi="Calibri"/>
          <w:szCs w:val="22"/>
        </w:rPr>
        <w:t>A.6</w:t>
      </w:r>
      <w:r w:rsidRPr="008942E9">
        <w:rPr>
          <w:rFonts w:ascii="Calibri" w:hAnsi="Calibri"/>
          <w:szCs w:val="22"/>
        </w:rPr>
        <w:tab/>
        <w:t>Consequences of Collecting the Information Less Frequently</w:t>
      </w:r>
      <w:r w:rsidRPr="008942E9">
        <w:rPr>
          <w:rFonts w:ascii="Calibri" w:hAnsi="Calibri"/>
          <w:szCs w:val="22"/>
        </w:rPr>
        <w:tab/>
      </w:r>
    </w:p>
    <w:p w14:paraId="2773D31D" w14:textId="77777777" w:rsidR="00E35DD1" w:rsidRPr="008942E9" w:rsidRDefault="00E35DD1" w:rsidP="00E35DD1">
      <w:pPr>
        <w:pStyle w:val="P1-StandPara"/>
        <w:ind w:firstLine="0"/>
        <w:rPr>
          <w:rFonts w:ascii="Calibri" w:hAnsi="Calibri"/>
          <w:szCs w:val="22"/>
        </w:rPr>
      </w:pPr>
      <w:r w:rsidRPr="008942E9">
        <w:rPr>
          <w:rFonts w:ascii="Calibri" w:hAnsi="Calibri"/>
          <w:szCs w:val="22"/>
        </w:rPr>
        <w:t>A.7</w:t>
      </w:r>
      <w:r w:rsidRPr="008942E9">
        <w:rPr>
          <w:rFonts w:ascii="Calibri" w:hAnsi="Calibri"/>
          <w:szCs w:val="22"/>
        </w:rPr>
        <w:tab/>
        <w:t>Special Circumstances Relating to the Guidelines of 5 CFR 1320.5</w:t>
      </w:r>
      <w:r w:rsidRPr="008942E9">
        <w:rPr>
          <w:rFonts w:ascii="Calibri" w:hAnsi="Calibri"/>
          <w:szCs w:val="22"/>
        </w:rPr>
        <w:tab/>
      </w:r>
    </w:p>
    <w:p w14:paraId="2176D807" w14:textId="77777777" w:rsidR="00E35DD1" w:rsidRPr="008942E9" w:rsidRDefault="00E35DD1" w:rsidP="00E35DD1">
      <w:pPr>
        <w:pStyle w:val="P1-StandPara"/>
        <w:ind w:firstLine="0"/>
        <w:rPr>
          <w:rFonts w:ascii="Calibri" w:hAnsi="Calibri"/>
          <w:szCs w:val="22"/>
        </w:rPr>
      </w:pPr>
      <w:r w:rsidRPr="008942E9">
        <w:rPr>
          <w:rFonts w:ascii="Calibri" w:hAnsi="Calibri"/>
          <w:szCs w:val="22"/>
        </w:rPr>
        <w:t>A.8</w:t>
      </w:r>
      <w:r w:rsidRPr="008942E9">
        <w:rPr>
          <w:rFonts w:ascii="Calibri" w:hAnsi="Calibri"/>
          <w:szCs w:val="22"/>
        </w:rPr>
        <w:tab/>
        <w:t>Comments in Response to the Federal Register Notice and Efforts to Consult Outside Agency</w:t>
      </w:r>
      <w:r w:rsidRPr="008942E9">
        <w:rPr>
          <w:rFonts w:ascii="Calibri" w:hAnsi="Calibri"/>
          <w:szCs w:val="22"/>
        </w:rPr>
        <w:tab/>
      </w:r>
    </w:p>
    <w:p w14:paraId="674A4BDF" w14:textId="77777777" w:rsidR="00E35DD1" w:rsidRPr="008942E9" w:rsidRDefault="00E35DD1" w:rsidP="00E35DD1">
      <w:pPr>
        <w:pStyle w:val="P1-StandPara"/>
        <w:ind w:firstLine="0"/>
        <w:rPr>
          <w:rFonts w:ascii="Calibri" w:hAnsi="Calibri"/>
          <w:szCs w:val="22"/>
        </w:rPr>
      </w:pPr>
      <w:r w:rsidRPr="008942E9">
        <w:rPr>
          <w:rFonts w:ascii="Calibri" w:hAnsi="Calibri"/>
          <w:szCs w:val="22"/>
        </w:rPr>
        <w:t>A.9</w:t>
      </w:r>
      <w:r w:rsidRPr="008942E9">
        <w:rPr>
          <w:rFonts w:ascii="Calibri" w:hAnsi="Calibri"/>
          <w:szCs w:val="22"/>
        </w:rPr>
        <w:tab/>
        <w:t>Explanation of Any Payment of Gift to Respondents</w:t>
      </w:r>
      <w:r w:rsidRPr="008942E9">
        <w:rPr>
          <w:rFonts w:ascii="Calibri" w:hAnsi="Calibri"/>
          <w:szCs w:val="22"/>
        </w:rPr>
        <w:tab/>
      </w:r>
    </w:p>
    <w:p w14:paraId="284DA738" w14:textId="77777777" w:rsidR="00E35DD1" w:rsidRPr="008942E9" w:rsidRDefault="00E35DD1" w:rsidP="00E35DD1">
      <w:pPr>
        <w:pStyle w:val="P1-StandPara"/>
        <w:ind w:firstLine="0"/>
        <w:rPr>
          <w:rFonts w:ascii="Calibri" w:hAnsi="Calibri"/>
          <w:szCs w:val="22"/>
        </w:rPr>
      </w:pPr>
      <w:r w:rsidRPr="008942E9">
        <w:rPr>
          <w:rFonts w:ascii="Calibri" w:hAnsi="Calibri"/>
          <w:szCs w:val="22"/>
        </w:rPr>
        <w:t>A.10</w:t>
      </w:r>
      <w:r w:rsidRPr="008942E9">
        <w:rPr>
          <w:rFonts w:ascii="Calibri" w:hAnsi="Calibri"/>
          <w:szCs w:val="22"/>
        </w:rPr>
        <w:tab/>
        <w:t>Assurance of Confidentiality Provided to Respondents</w:t>
      </w:r>
      <w:r w:rsidRPr="008942E9">
        <w:rPr>
          <w:rFonts w:ascii="Calibri" w:hAnsi="Calibri"/>
          <w:szCs w:val="22"/>
        </w:rPr>
        <w:tab/>
      </w:r>
    </w:p>
    <w:p w14:paraId="4614D6D3" w14:textId="77777777" w:rsidR="00E35DD1" w:rsidRPr="008942E9" w:rsidRDefault="00E35DD1" w:rsidP="00E35DD1">
      <w:pPr>
        <w:pStyle w:val="P1-StandPara"/>
        <w:ind w:firstLine="0"/>
        <w:rPr>
          <w:rFonts w:ascii="Calibri" w:hAnsi="Calibri"/>
          <w:szCs w:val="22"/>
        </w:rPr>
      </w:pPr>
      <w:r w:rsidRPr="008942E9">
        <w:rPr>
          <w:rFonts w:ascii="Calibri" w:hAnsi="Calibri"/>
          <w:szCs w:val="22"/>
        </w:rPr>
        <w:t>A.11</w:t>
      </w:r>
      <w:r w:rsidRPr="008942E9">
        <w:rPr>
          <w:rFonts w:ascii="Calibri" w:hAnsi="Calibri"/>
          <w:szCs w:val="22"/>
        </w:rPr>
        <w:tab/>
        <w:t>Justification for Sensitive Questions</w:t>
      </w:r>
      <w:r w:rsidRPr="008942E9">
        <w:rPr>
          <w:rFonts w:ascii="Calibri" w:hAnsi="Calibri"/>
          <w:szCs w:val="22"/>
        </w:rPr>
        <w:tab/>
      </w:r>
    </w:p>
    <w:p w14:paraId="2882416F" w14:textId="77777777" w:rsidR="00E35DD1" w:rsidRPr="008942E9" w:rsidRDefault="00E35DD1" w:rsidP="00E35DD1">
      <w:pPr>
        <w:pStyle w:val="P1-StandPara"/>
        <w:ind w:firstLine="0"/>
        <w:rPr>
          <w:rFonts w:ascii="Calibri" w:hAnsi="Calibri"/>
          <w:szCs w:val="22"/>
        </w:rPr>
      </w:pPr>
      <w:r w:rsidRPr="008942E9">
        <w:rPr>
          <w:rFonts w:ascii="Calibri" w:hAnsi="Calibri"/>
          <w:szCs w:val="22"/>
        </w:rPr>
        <w:t>A.12</w:t>
      </w:r>
      <w:r w:rsidRPr="008942E9">
        <w:rPr>
          <w:rFonts w:ascii="Calibri" w:hAnsi="Calibri"/>
          <w:szCs w:val="22"/>
        </w:rPr>
        <w:tab/>
        <w:t>Estimates of Hour Burden Including Annualized Hourly Costs</w:t>
      </w:r>
      <w:r w:rsidRPr="008942E9">
        <w:rPr>
          <w:rFonts w:ascii="Calibri" w:hAnsi="Calibri"/>
          <w:szCs w:val="22"/>
        </w:rPr>
        <w:tab/>
      </w:r>
    </w:p>
    <w:p w14:paraId="2814FE91" w14:textId="77777777" w:rsidR="00E35DD1" w:rsidRPr="008942E9" w:rsidRDefault="00E35DD1" w:rsidP="00E35DD1">
      <w:pPr>
        <w:pStyle w:val="P1-StandPara"/>
        <w:ind w:firstLine="0"/>
        <w:rPr>
          <w:rFonts w:ascii="Calibri" w:hAnsi="Calibri"/>
          <w:szCs w:val="22"/>
        </w:rPr>
      </w:pPr>
      <w:r w:rsidRPr="008942E9">
        <w:rPr>
          <w:rFonts w:ascii="Calibri" w:hAnsi="Calibri"/>
          <w:szCs w:val="22"/>
        </w:rPr>
        <w:t>A.13</w:t>
      </w:r>
      <w:r w:rsidRPr="008942E9">
        <w:rPr>
          <w:rFonts w:ascii="Calibri" w:hAnsi="Calibri"/>
          <w:szCs w:val="22"/>
        </w:rPr>
        <w:tab/>
        <w:t>Estimate of Other Total Annual Cost Burden to Respondents or Record  keepers</w:t>
      </w:r>
      <w:r w:rsidRPr="008942E9">
        <w:rPr>
          <w:rFonts w:ascii="Calibri" w:hAnsi="Calibri"/>
          <w:szCs w:val="22"/>
        </w:rPr>
        <w:tab/>
      </w:r>
    </w:p>
    <w:p w14:paraId="4876BFD7" w14:textId="77777777" w:rsidR="00E35DD1" w:rsidRPr="008942E9" w:rsidRDefault="00E35DD1" w:rsidP="00E35DD1">
      <w:pPr>
        <w:pStyle w:val="P1-StandPara"/>
        <w:ind w:firstLine="0"/>
        <w:rPr>
          <w:rFonts w:ascii="Calibri" w:hAnsi="Calibri"/>
          <w:szCs w:val="22"/>
        </w:rPr>
      </w:pPr>
      <w:r w:rsidRPr="008942E9">
        <w:rPr>
          <w:rFonts w:ascii="Calibri" w:hAnsi="Calibri"/>
          <w:szCs w:val="22"/>
        </w:rPr>
        <w:t>A.14</w:t>
      </w:r>
      <w:r w:rsidRPr="008942E9">
        <w:rPr>
          <w:rFonts w:ascii="Calibri" w:hAnsi="Calibri"/>
          <w:szCs w:val="22"/>
        </w:rPr>
        <w:tab/>
        <w:t>Annualized Cost to the Federal Government</w:t>
      </w:r>
      <w:r w:rsidRPr="008942E9">
        <w:rPr>
          <w:rFonts w:ascii="Calibri" w:hAnsi="Calibri"/>
          <w:szCs w:val="22"/>
        </w:rPr>
        <w:tab/>
      </w:r>
    </w:p>
    <w:p w14:paraId="0EAA79AB" w14:textId="77777777" w:rsidR="00E35DD1" w:rsidRPr="008942E9" w:rsidRDefault="00E35DD1" w:rsidP="00E35DD1">
      <w:pPr>
        <w:pStyle w:val="P1-StandPara"/>
        <w:ind w:firstLine="0"/>
        <w:rPr>
          <w:rFonts w:ascii="Calibri" w:hAnsi="Calibri"/>
          <w:szCs w:val="22"/>
        </w:rPr>
      </w:pPr>
      <w:r w:rsidRPr="008942E9">
        <w:rPr>
          <w:rFonts w:ascii="Calibri" w:hAnsi="Calibri"/>
          <w:szCs w:val="22"/>
        </w:rPr>
        <w:t>A.15</w:t>
      </w:r>
      <w:r w:rsidRPr="008942E9">
        <w:rPr>
          <w:rFonts w:ascii="Calibri" w:hAnsi="Calibri"/>
          <w:szCs w:val="22"/>
        </w:rPr>
        <w:tab/>
        <w:t>Explanation for Program Changes or Adjustments</w:t>
      </w:r>
      <w:r w:rsidRPr="008942E9">
        <w:rPr>
          <w:rFonts w:ascii="Calibri" w:hAnsi="Calibri"/>
          <w:szCs w:val="22"/>
        </w:rPr>
        <w:tab/>
      </w:r>
    </w:p>
    <w:p w14:paraId="3D0A5170" w14:textId="77777777" w:rsidR="00E35DD1" w:rsidRPr="008942E9" w:rsidRDefault="00E35DD1" w:rsidP="00E35DD1">
      <w:pPr>
        <w:pStyle w:val="P1-StandPara"/>
        <w:ind w:firstLine="0"/>
        <w:rPr>
          <w:rFonts w:ascii="Calibri" w:hAnsi="Calibri"/>
          <w:szCs w:val="22"/>
        </w:rPr>
      </w:pPr>
      <w:r w:rsidRPr="008942E9">
        <w:rPr>
          <w:rFonts w:ascii="Calibri" w:hAnsi="Calibri"/>
          <w:szCs w:val="22"/>
        </w:rPr>
        <w:t>A.16</w:t>
      </w:r>
      <w:r w:rsidRPr="008942E9">
        <w:rPr>
          <w:rFonts w:ascii="Calibri" w:hAnsi="Calibri"/>
          <w:szCs w:val="22"/>
        </w:rPr>
        <w:tab/>
        <w:t>Plans for Tabulation and Publication and Project Time Schedule</w:t>
      </w:r>
      <w:r w:rsidRPr="008942E9">
        <w:rPr>
          <w:rFonts w:ascii="Calibri" w:hAnsi="Calibri"/>
          <w:szCs w:val="22"/>
        </w:rPr>
        <w:tab/>
      </w:r>
    </w:p>
    <w:p w14:paraId="4FE317FE" w14:textId="77777777" w:rsidR="00E35DD1" w:rsidRPr="008942E9" w:rsidRDefault="00E35DD1" w:rsidP="00E35DD1">
      <w:pPr>
        <w:pStyle w:val="P1-StandPara"/>
        <w:ind w:firstLine="0"/>
        <w:rPr>
          <w:rFonts w:ascii="Calibri" w:hAnsi="Calibri"/>
          <w:szCs w:val="22"/>
        </w:rPr>
      </w:pPr>
      <w:r w:rsidRPr="008942E9">
        <w:rPr>
          <w:rFonts w:ascii="Calibri" w:hAnsi="Calibri"/>
          <w:szCs w:val="22"/>
        </w:rPr>
        <w:t>A.17</w:t>
      </w:r>
      <w:r w:rsidRPr="008942E9">
        <w:rPr>
          <w:rFonts w:ascii="Calibri" w:hAnsi="Calibri"/>
          <w:szCs w:val="22"/>
        </w:rPr>
        <w:tab/>
        <w:t>Reason(s) Display of OMB Expiration Date is Inappropriate</w:t>
      </w:r>
      <w:r w:rsidRPr="008942E9">
        <w:rPr>
          <w:rFonts w:ascii="Calibri" w:hAnsi="Calibri"/>
          <w:szCs w:val="22"/>
        </w:rPr>
        <w:tab/>
      </w:r>
    </w:p>
    <w:p w14:paraId="561C511A" w14:textId="77777777" w:rsidR="00E35DD1" w:rsidRPr="008942E9" w:rsidRDefault="00E35DD1" w:rsidP="00E35DD1">
      <w:pPr>
        <w:pStyle w:val="P1-StandPara"/>
        <w:ind w:firstLine="0"/>
        <w:rPr>
          <w:rFonts w:ascii="Calibri" w:hAnsi="Calibri"/>
          <w:szCs w:val="22"/>
        </w:rPr>
      </w:pPr>
      <w:r w:rsidRPr="008942E9">
        <w:rPr>
          <w:rFonts w:ascii="Calibri" w:hAnsi="Calibri"/>
          <w:szCs w:val="22"/>
        </w:rPr>
        <w:t>A.18</w:t>
      </w:r>
      <w:r w:rsidRPr="008942E9">
        <w:rPr>
          <w:rFonts w:ascii="Calibri" w:hAnsi="Calibri"/>
          <w:szCs w:val="22"/>
        </w:rPr>
        <w:tab/>
        <w:t>Exceptions to Certification for Paperwork Reduction Act Submissions</w:t>
      </w:r>
      <w:r w:rsidRPr="008942E9">
        <w:rPr>
          <w:rFonts w:ascii="Calibri" w:hAnsi="Calibri"/>
          <w:szCs w:val="22"/>
        </w:rPr>
        <w:tab/>
      </w:r>
    </w:p>
    <w:p w14:paraId="17602685" w14:textId="77777777" w:rsidR="00E35DD1" w:rsidRPr="008942E9" w:rsidRDefault="00E35DD1" w:rsidP="00E35DD1">
      <w:pPr>
        <w:pStyle w:val="P1-StandPara"/>
        <w:tabs>
          <w:tab w:val="left" w:pos="720"/>
          <w:tab w:val="right" w:leader="dot" w:pos="9504"/>
        </w:tabs>
        <w:spacing w:before="120" w:after="120"/>
        <w:rPr>
          <w:rFonts w:ascii="Calibri" w:hAnsi="Calibri"/>
          <w:szCs w:val="22"/>
        </w:rPr>
      </w:pPr>
      <w:r w:rsidRPr="008942E9">
        <w:rPr>
          <w:rFonts w:ascii="Calibri" w:hAnsi="Calibri"/>
          <w:szCs w:val="22"/>
        </w:rPr>
        <w:fldChar w:fldCharType="end"/>
      </w:r>
    </w:p>
    <w:p w14:paraId="5EB26826" w14:textId="77777777" w:rsidR="00767C53" w:rsidRPr="008942E9" w:rsidRDefault="00767C53" w:rsidP="00E35DD1">
      <w:pPr>
        <w:pStyle w:val="P1-StandPara"/>
        <w:tabs>
          <w:tab w:val="left" w:pos="720"/>
          <w:tab w:val="right" w:leader="dot" w:pos="9504"/>
        </w:tabs>
        <w:spacing w:before="120" w:after="120"/>
        <w:rPr>
          <w:rFonts w:ascii="Calibri" w:hAnsi="Calibri"/>
          <w:szCs w:val="22"/>
        </w:rPr>
      </w:pPr>
    </w:p>
    <w:p w14:paraId="7D525D9B" w14:textId="77777777" w:rsidR="002B56B8" w:rsidRDefault="002B56B8">
      <w:pPr>
        <w:spacing w:after="0" w:line="240" w:lineRule="auto"/>
        <w:rPr>
          <w:rFonts w:eastAsia="Times New Roman"/>
          <w:b/>
        </w:rPr>
      </w:pPr>
      <w:r>
        <w:rPr>
          <w:b/>
        </w:rPr>
        <w:br w:type="page"/>
      </w:r>
    </w:p>
    <w:p w14:paraId="5BDE0169" w14:textId="77777777" w:rsidR="006A45F9" w:rsidRPr="008942E9" w:rsidRDefault="006A45F9" w:rsidP="00BE76A7">
      <w:pPr>
        <w:pStyle w:val="P1-StandPara"/>
        <w:tabs>
          <w:tab w:val="left" w:pos="720"/>
          <w:tab w:val="right" w:leader="dot" w:pos="9504"/>
        </w:tabs>
        <w:spacing w:before="120" w:after="120" w:line="240" w:lineRule="auto"/>
        <w:ind w:firstLine="0"/>
        <w:rPr>
          <w:rFonts w:ascii="Calibri" w:hAnsi="Calibri"/>
          <w:szCs w:val="22"/>
        </w:rPr>
      </w:pPr>
      <w:r w:rsidRPr="008942E9">
        <w:rPr>
          <w:rFonts w:ascii="Calibri" w:hAnsi="Calibri"/>
          <w:b/>
          <w:szCs w:val="22"/>
        </w:rPr>
        <w:lastRenderedPageBreak/>
        <w:t xml:space="preserve">A. </w:t>
      </w:r>
      <w:r w:rsidR="00BE76A7" w:rsidRPr="008942E9">
        <w:rPr>
          <w:rFonts w:ascii="Calibri" w:hAnsi="Calibri"/>
          <w:b/>
          <w:szCs w:val="22"/>
        </w:rPr>
        <w:t>Justification</w:t>
      </w:r>
    </w:p>
    <w:p w14:paraId="6EE90DF5" w14:textId="062F0D8A" w:rsidR="00567812" w:rsidRPr="00B26D24" w:rsidRDefault="00445602" w:rsidP="00567812">
      <w:pPr>
        <w:jc w:val="both"/>
      </w:pPr>
      <w:r>
        <w:t xml:space="preserve">This is a new information collection seeking approval for </w:t>
      </w:r>
      <w:r w:rsidRPr="00B32F4A">
        <w:rPr>
          <w:noProof/>
        </w:rPr>
        <w:t>3</w:t>
      </w:r>
      <w:r>
        <w:t xml:space="preserve"> years. </w:t>
      </w:r>
      <w:r w:rsidR="00567812" w:rsidRPr="00A743BD">
        <w:rPr>
          <w:color w:val="000000"/>
        </w:rPr>
        <w:t xml:space="preserve"> </w:t>
      </w:r>
      <w:r>
        <w:rPr>
          <w:color w:val="000000"/>
        </w:rPr>
        <w:t>T</w:t>
      </w:r>
      <w:r w:rsidR="00567812" w:rsidRPr="00A743BD">
        <w:rPr>
          <w:color w:val="000000"/>
        </w:rPr>
        <w:t xml:space="preserve">his </w:t>
      </w:r>
      <w:r>
        <w:rPr>
          <w:color w:val="000000"/>
        </w:rPr>
        <w:t xml:space="preserve">information </w:t>
      </w:r>
      <w:r w:rsidRPr="00B32F4A">
        <w:rPr>
          <w:noProof/>
          <w:color w:val="000000"/>
        </w:rPr>
        <w:t>collection</w:t>
      </w:r>
      <w:r w:rsidR="00567812" w:rsidRPr="00B32F4A">
        <w:rPr>
          <w:noProof/>
          <w:color w:val="000000"/>
        </w:rPr>
        <w:t>,</w:t>
      </w:r>
      <w:r w:rsidR="00567812" w:rsidRPr="00A743BD">
        <w:rPr>
          <w:color w:val="000000"/>
        </w:rPr>
        <w:t xml:space="preserve"> </w:t>
      </w:r>
      <w:r w:rsidRPr="00B32F4A">
        <w:rPr>
          <w:noProof/>
          <w:color w:val="000000"/>
        </w:rPr>
        <w:t>seeks</w:t>
      </w:r>
      <w:r>
        <w:rPr>
          <w:color w:val="000000"/>
        </w:rPr>
        <w:t xml:space="preserve"> t</w:t>
      </w:r>
      <w:r w:rsidR="00567812" w:rsidRPr="00A743BD">
        <w:rPr>
          <w:color w:val="000000"/>
        </w:rPr>
        <w:t xml:space="preserve">o refine a theory about how self-competence and values play a role in defensive responses to health communications. Although theoretically-driven research has shown that self-affirmation – a process by which individuals reflect on values that are important to them – can improve responses to health and cancer communications, the “active ingredient” </w:t>
      </w:r>
      <w:r w:rsidR="00567812">
        <w:rPr>
          <w:color w:val="000000"/>
        </w:rPr>
        <w:t xml:space="preserve">(or mechanisms underlying effectiveness) of self-affirmations is unknown. </w:t>
      </w:r>
      <w:r w:rsidR="00567812" w:rsidRPr="00D71618">
        <w:rPr>
          <w:color w:val="000000"/>
        </w:rPr>
        <w:t>Self-affirmation</w:t>
      </w:r>
      <w:r w:rsidR="00567812">
        <w:rPr>
          <w:color w:val="000000"/>
        </w:rPr>
        <w:t xml:space="preserve"> </w:t>
      </w:r>
      <w:r w:rsidR="00567812" w:rsidRPr="00D71618">
        <w:rPr>
          <w:color w:val="000000"/>
        </w:rPr>
        <w:t xml:space="preserve">is a potent means of augmenting the effectiveness of threatening health communications. Individuals tend to be defensive against information suggesting their behavior puts them at risk for disease or </w:t>
      </w:r>
      <w:r w:rsidR="00567812" w:rsidRPr="00B32F4A">
        <w:rPr>
          <w:noProof/>
          <w:color w:val="000000"/>
        </w:rPr>
        <w:t>negative</w:t>
      </w:r>
      <w:r w:rsidR="00567812" w:rsidRPr="00D71618">
        <w:rPr>
          <w:color w:val="000000"/>
        </w:rPr>
        <w:t xml:space="preserve"> health. Previous evidence suggests that self-affirmation may reduce defensiveness to threatening health information, increasing openness to the message and resulting in increased disease risk perceptions, disease-related worry, intentions to engage in preventive behavior, and actual behavioral change. Understanding the mechanisms that explain these robust effects would yield evidence </w:t>
      </w:r>
      <w:r w:rsidR="00567812" w:rsidRPr="00B32F4A">
        <w:rPr>
          <w:noProof/>
          <w:color w:val="000000"/>
        </w:rPr>
        <w:t>important</w:t>
      </w:r>
      <w:r w:rsidR="00567812" w:rsidRPr="00D71618">
        <w:rPr>
          <w:color w:val="000000"/>
        </w:rPr>
        <w:t xml:space="preserve"> for dissemination, including ways to refine self-affirmation interventions and make them more potent, which could change the ways that public health messages </w:t>
      </w:r>
      <w:r w:rsidR="00567812" w:rsidRPr="00B32F4A">
        <w:rPr>
          <w:noProof/>
          <w:color w:val="000000"/>
        </w:rPr>
        <w:t>are constructed</w:t>
      </w:r>
      <w:r w:rsidR="00567812" w:rsidRPr="00D71618">
        <w:rPr>
          <w:color w:val="000000"/>
        </w:rPr>
        <w:t xml:space="preserve">. </w:t>
      </w:r>
      <w:r w:rsidR="00567812">
        <w:rPr>
          <w:color w:val="000000"/>
        </w:rPr>
        <w:t xml:space="preserve">This research can inform NCI scientific priorities and investments in self-affirmation research. </w:t>
      </w:r>
      <w:r w:rsidR="00567812" w:rsidRPr="00D71618">
        <w:rPr>
          <w:color w:val="000000"/>
        </w:rPr>
        <w:t xml:space="preserve">The results of the information collection will be used </w:t>
      </w:r>
      <w:r w:rsidR="00567812" w:rsidRPr="00B32F4A">
        <w:rPr>
          <w:noProof/>
          <w:color w:val="000000"/>
        </w:rPr>
        <w:t>to further develop</w:t>
      </w:r>
      <w:r w:rsidR="00567812" w:rsidRPr="00D71618">
        <w:rPr>
          <w:color w:val="000000"/>
        </w:rPr>
        <w:t xml:space="preserve"> and improve self-affirmation theory. </w:t>
      </w:r>
      <w:r w:rsidR="00567812">
        <w:rPr>
          <w:bCs/>
        </w:rPr>
        <w:t>T</w:t>
      </w:r>
      <w:r w:rsidR="00567812" w:rsidRPr="00D71618">
        <w:rPr>
          <w:bCs/>
        </w:rPr>
        <w:t>hese findings may allow future researchers to develop and test cancer prevention interventions.</w:t>
      </w:r>
    </w:p>
    <w:p w14:paraId="7DC950A8" w14:textId="77777777" w:rsidR="000F3043" w:rsidRPr="008942E9" w:rsidRDefault="000F3043" w:rsidP="000F3043">
      <w:pPr>
        <w:pStyle w:val="P1-StandPara"/>
        <w:tabs>
          <w:tab w:val="left" w:pos="720"/>
          <w:tab w:val="right" w:leader="dot" w:pos="9504"/>
        </w:tabs>
        <w:spacing w:before="120" w:after="120"/>
        <w:ind w:firstLine="0"/>
        <w:rPr>
          <w:rFonts w:ascii="Calibri" w:hAnsi="Calibri"/>
          <w:b/>
          <w:szCs w:val="22"/>
        </w:rPr>
      </w:pPr>
      <w:r w:rsidRPr="008942E9">
        <w:rPr>
          <w:rFonts w:ascii="Calibri" w:hAnsi="Calibri"/>
          <w:b/>
          <w:szCs w:val="22"/>
        </w:rPr>
        <w:t>A.1</w:t>
      </w:r>
      <w:r w:rsidRPr="008942E9">
        <w:rPr>
          <w:rFonts w:ascii="Calibri" w:hAnsi="Calibri"/>
          <w:b/>
          <w:szCs w:val="22"/>
        </w:rPr>
        <w:tab/>
        <w:t>Circumstances Making the Collection of Information Necessary</w:t>
      </w:r>
    </w:p>
    <w:p w14:paraId="2F284986" w14:textId="77777777" w:rsidR="002B56B8" w:rsidRPr="00FA528D" w:rsidRDefault="002B56B8" w:rsidP="002B56B8">
      <w:pPr>
        <w:tabs>
          <w:tab w:val="num" w:pos="1440"/>
        </w:tabs>
        <w:spacing w:line="240" w:lineRule="atLeast"/>
        <w:jc w:val="both"/>
        <w:rPr>
          <w:color w:val="FF0000"/>
        </w:rPr>
      </w:pPr>
      <w:bookmarkStart w:id="0" w:name="_Toc443881743"/>
      <w:bookmarkStart w:id="1" w:name="_Toc451592232"/>
      <w:bookmarkStart w:id="2" w:name="_Toc5610273"/>
      <w:bookmarkStart w:id="3" w:name="_Toc99178779"/>
      <w:r w:rsidRPr="00754DC6">
        <w:t>The National Cancer Institute’s (NCI) Behavioral Research Program (BRP)</w:t>
      </w:r>
      <w:r>
        <w:t>,</w:t>
      </w:r>
      <w:r w:rsidRPr="00754DC6">
        <w:t xml:space="preserve"> within the Division of Cancer Control </w:t>
      </w:r>
      <w:r>
        <w:t>and Population Sciences (DCCPS),</w:t>
      </w:r>
      <w:r w:rsidRPr="00754DC6">
        <w:t xml:space="preserve"> initiates, supports, and evaluates a comprehensive program of research ranging from basic behavioral research to the development, testing, and dissemination of </w:t>
      </w:r>
      <w:r>
        <w:t xml:space="preserve">cancer prevention and control </w:t>
      </w:r>
      <w:r w:rsidRPr="00754DC6">
        <w:t>interventions.</w:t>
      </w:r>
      <w:r>
        <w:t xml:space="preserve"> The goal of BRP is</w:t>
      </w:r>
      <w:r w:rsidRPr="00754DC6">
        <w:t xml:space="preserve"> to increase the breadth, depth, and quality of behavioral research in cancer prevention and control.</w:t>
      </w:r>
      <w:r>
        <w:t xml:space="preserve"> BRP conducts varying programs of formative research to develop and validate cancer-related behavioral theories. This NCI </w:t>
      </w:r>
      <w:r w:rsidRPr="00B32F4A">
        <w:rPr>
          <w:noProof/>
        </w:rPr>
        <w:t>office</w:t>
      </w:r>
      <w:r>
        <w:t xml:space="preserve"> is requesting that OMB </w:t>
      </w:r>
      <w:r w:rsidRPr="00B32F4A">
        <w:rPr>
          <w:noProof/>
        </w:rPr>
        <w:t>review</w:t>
      </w:r>
      <w:r>
        <w:t xml:space="preserve"> this sub-study, which describes </w:t>
      </w:r>
      <w:r w:rsidRPr="00B32F4A">
        <w:rPr>
          <w:noProof/>
        </w:rPr>
        <w:t>a voluntary, low-burden, non-controversial, formative behavioral</w:t>
      </w:r>
      <w:r>
        <w:t xml:space="preserve"> research project related to theory development and validation. </w:t>
      </w:r>
      <w:r w:rsidRPr="00EA3F06">
        <w:t xml:space="preserve">Data collection for this project </w:t>
      </w:r>
      <w:r w:rsidRPr="00B32F4A">
        <w:rPr>
          <w:noProof/>
        </w:rPr>
        <w:t>is authorized</w:t>
      </w:r>
      <w:r w:rsidRPr="00EA3F06">
        <w:t xml:space="preserve"> under </w:t>
      </w:r>
      <w:r w:rsidRPr="007C1773">
        <w:rPr>
          <w:color w:val="000000"/>
        </w:rPr>
        <w:t xml:space="preserve">42 </w:t>
      </w:r>
      <w:smartTag w:uri="urn:schemas-microsoft-com:office:smarttags" w:element="stockticker">
        <w:r w:rsidRPr="007C1773">
          <w:rPr>
            <w:color w:val="000000"/>
          </w:rPr>
          <w:t>USC</w:t>
        </w:r>
      </w:smartTag>
      <w:r w:rsidRPr="007C1773">
        <w:rPr>
          <w:color w:val="000000"/>
        </w:rPr>
        <w:t> </w:t>
      </w:r>
      <w:r w:rsidRPr="007C1773">
        <w:rPr>
          <w:i/>
          <w:iCs/>
          <w:color w:val="000000"/>
        </w:rPr>
        <w:t>§</w:t>
      </w:r>
      <w:r w:rsidRPr="007C1773">
        <w:rPr>
          <w:color w:val="000000"/>
        </w:rPr>
        <w:t xml:space="preserve"> 285 and 285a</w:t>
      </w:r>
      <w:r>
        <w:t>-1</w:t>
      </w:r>
      <w:r w:rsidRPr="00EA3F06">
        <w:t xml:space="preserve"> (Section 410 and 412 of the Public Health Service Act).   </w:t>
      </w:r>
    </w:p>
    <w:p w14:paraId="37996356" w14:textId="77777777" w:rsidR="002B56B8" w:rsidRPr="009D7BB0" w:rsidRDefault="002B56B8" w:rsidP="002B56B8">
      <w:pPr>
        <w:widowControl w:val="0"/>
        <w:autoSpaceDE w:val="0"/>
        <w:autoSpaceDN w:val="0"/>
        <w:adjustRightInd w:val="0"/>
        <w:spacing w:before="240"/>
        <w:rPr>
          <w:color w:val="000000"/>
        </w:rPr>
      </w:pPr>
      <w:r>
        <w:rPr>
          <w:color w:val="000000"/>
        </w:rPr>
        <w:t xml:space="preserve">This information </w:t>
      </w:r>
      <w:r w:rsidRPr="00B32F4A">
        <w:rPr>
          <w:noProof/>
          <w:color w:val="000000"/>
        </w:rPr>
        <w:t>collection</w:t>
      </w:r>
      <w:r>
        <w:rPr>
          <w:color w:val="000000"/>
        </w:rPr>
        <w:t xml:space="preserve"> is formative research related to further developing, refining, and testing a theory related to self-processing and defensiveness in the context of cancer risk information. </w:t>
      </w:r>
    </w:p>
    <w:p w14:paraId="1284A2ED" w14:textId="77777777" w:rsidR="000F3043" w:rsidRPr="008942E9" w:rsidRDefault="000F3043" w:rsidP="000F3043">
      <w:pPr>
        <w:pStyle w:val="Heading2"/>
        <w:spacing w:after="0" w:line="480" w:lineRule="auto"/>
        <w:ind w:left="0" w:firstLine="0"/>
        <w:rPr>
          <w:rFonts w:ascii="Calibri" w:hAnsi="Calibri"/>
          <w:szCs w:val="22"/>
        </w:rPr>
      </w:pPr>
      <w:r w:rsidRPr="008942E9">
        <w:rPr>
          <w:rFonts w:ascii="Calibri" w:hAnsi="Calibri"/>
          <w:szCs w:val="22"/>
        </w:rPr>
        <w:t>A.2    Purpose and Use of the Information</w:t>
      </w:r>
      <w:bookmarkEnd w:id="0"/>
      <w:bookmarkEnd w:id="1"/>
      <w:bookmarkEnd w:id="2"/>
      <w:bookmarkEnd w:id="3"/>
      <w:r w:rsidRPr="008942E9">
        <w:rPr>
          <w:rFonts w:ascii="Calibri" w:hAnsi="Calibri"/>
          <w:szCs w:val="22"/>
        </w:rPr>
        <w:t xml:space="preserve"> Collection</w:t>
      </w:r>
    </w:p>
    <w:p w14:paraId="056B18EC" w14:textId="64CC9088" w:rsidR="002B56B8" w:rsidRDefault="002B56B8" w:rsidP="002B56B8">
      <w:pPr>
        <w:jc w:val="both"/>
        <w:rPr>
          <w:color w:val="000000"/>
        </w:rPr>
      </w:pPr>
      <w:r w:rsidRPr="00A743BD">
        <w:rPr>
          <w:color w:val="000000"/>
        </w:rPr>
        <w:t xml:space="preserve">In this </w:t>
      </w:r>
      <w:r w:rsidR="00445602">
        <w:rPr>
          <w:color w:val="000000"/>
        </w:rPr>
        <w:t>information collection</w:t>
      </w:r>
      <w:r w:rsidRPr="00A743BD">
        <w:rPr>
          <w:color w:val="000000"/>
        </w:rPr>
        <w:t xml:space="preserve">, we plan to refine a theory about how self-competence and values play a role in defensive responses to health communications. Although theoretically-driven research has shown that self-affirmation – a process by which individuals reflect on values that are important to them – can improve responses to health and cancer communications, the “active ingredient” </w:t>
      </w:r>
      <w:r>
        <w:rPr>
          <w:color w:val="000000"/>
        </w:rPr>
        <w:t xml:space="preserve">(or mechanisms underlying effectiveness) of self-affirmations is unknown </w:t>
      </w:r>
      <w:r w:rsidRPr="00A743BD">
        <w:rPr>
          <w:color w:val="000000"/>
        </w:rPr>
        <w:t xml:space="preserve">(see selected readings </w:t>
      </w:r>
      <w:r w:rsidRPr="00A743BD">
        <w:rPr>
          <w:b/>
          <w:color w:val="000000"/>
        </w:rPr>
        <w:t>Attachment A</w:t>
      </w:r>
      <w:r w:rsidRPr="00A743BD">
        <w:rPr>
          <w:color w:val="000000"/>
        </w:rPr>
        <w:t>)</w:t>
      </w:r>
      <w:r>
        <w:rPr>
          <w:color w:val="000000"/>
        </w:rPr>
        <w:t xml:space="preserve">. </w:t>
      </w:r>
    </w:p>
    <w:p w14:paraId="78A7B966" w14:textId="77777777" w:rsidR="002B56B8" w:rsidRDefault="002B56B8" w:rsidP="002B56B8">
      <w:pPr>
        <w:jc w:val="both"/>
        <w:rPr>
          <w:color w:val="000000"/>
        </w:rPr>
      </w:pPr>
      <w:r w:rsidRPr="00D71618">
        <w:rPr>
          <w:color w:val="000000"/>
        </w:rPr>
        <w:t>Self-affirmation</w:t>
      </w:r>
      <w:r>
        <w:rPr>
          <w:color w:val="000000"/>
        </w:rPr>
        <w:t xml:space="preserve"> </w:t>
      </w:r>
      <w:r w:rsidRPr="00D71618">
        <w:rPr>
          <w:color w:val="000000"/>
        </w:rPr>
        <w:t xml:space="preserve">is a potent means of augmenting the effectiveness of threatening health communications. Individuals tend to be defensive against information suggesting their behavior puts them at risk for disease or </w:t>
      </w:r>
      <w:r w:rsidRPr="00B32F4A">
        <w:rPr>
          <w:noProof/>
          <w:color w:val="000000"/>
        </w:rPr>
        <w:t>negative</w:t>
      </w:r>
      <w:r w:rsidRPr="00D71618">
        <w:rPr>
          <w:color w:val="000000"/>
        </w:rPr>
        <w:t xml:space="preserve"> health. Previous evidence suggests that self-affirmation may reduce defensiveness to threatening health information, increasing openness to the message and resulting in increased disease risk perceptions, </w:t>
      </w:r>
      <w:r w:rsidRPr="00D71618">
        <w:rPr>
          <w:color w:val="000000"/>
        </w:rPr>
        <w:lastRenderedPageBreak/>
        <w:t xml:space="preserve">disease-related worry, intentions to engage in preventive behavior, and actual behavioral change. Understanding the mechanisms that explain these robust effects would yield evidence </w:t>
      </w:r>
      <w:r w:rsidRPr="00B32F4A">
        <w:rPr>
          <w:noProof/>
          <w:color w:val="000000"/>
        </w:rPr>
        <w:t>important</w:t>
      </w:r>
      <w:r w:rsidRPr="00D71618">
        <w:rPr>
          <w:color w:val="000000"/>
        </w:rPr>
        <w:t xml:space="preserve"> for dissemination, including ways to refine self-affirmation interventions and make them more potent, which could change the ways that public health messages </w:t>
      </w:r>
      <w:r w:rsidRPr="00B32F4A">
        <w:rPr>
          <w:noProof/>
          <w:color w:val="000000"/>
        </w:rPr>
        <w:t>are constructed</w:t>
      </w:r>
      <w:r w:rsidRPr="00D71618">
        <w:rPr>
          <w:color w:val="000000"/>
        </w:rPr>
        <w:t xml:space="preserve">. Thus, we aim to elucidate potential mechanisms underlying the effectiveness of self-affirmation, including self-activation, general affirmation, and domain-specific affirmation. </w:t>
      </w:r>
    </w:p>
    <w:p w14:paraId="55806993" w14:textId="10308A91" w:rsidR="002B56B8" w:rsidRPr="00D71618" w:rsidRDefault="002B56B8" w:rsidP="002B56B8">
      <w:pPr>
        <w:jc w:val="both"/>
        <w:rPr>
          <w:color w:val="000000"/>
        </w:rPr>
      </w:pPr>
      <w:r>
        <w:rPr>
          <w:bCs/>
          <w:color w:val="222222"/>
        </w:rPr>
        <w:t>Participants will complete a screener</w:t>
      </w:r>
      <w:r w:rsidR="00B32F4A">
        <w:rPr>
          <w:bCs/>
          <w:color w:val="222222"/>
        </w:rPr>
        <w:t xml:space="preserve"> (</w:t>
      </w:r>
      <w:r w:rsidR="00B32F4A" w:rsidRPr="00B32F4A">
        <w:rPr>
          <w:b/>
          <w:bCs/>
          <w:color w:val="222222"/>
        </w:rPr>
        <w:t>Attachment B2</w:t>
      </w:r>
      <w:r w:rsidR="00B32F4A">
        <w:rPr>
          <w:bCs/>
          <w:color w:val="222222"/>
        </w:rPr>
        <w:t>)</w:t>
      </w:r>
      <w:r>
        <w:rPr>
          <w:bCs/>
          <w:color w:val="222222"/>
        </w:rPr>
        <w:t xml:space="preserve">, and if they meet inclusion criteria (women who drink more than seven alcoholic </w:t>
      </w:r>
      <w:r w:rsidRPr="00B32F4A">
        <w:rPr>
          <w:bCs/>
          <w:noProof/>
          <w:color w:val="222222"/>
        </w:rPr>
        <w:t>drinks</w:t>
      </w:r>
      <w:r>
        <w:rPr>
          <w:bCs/>
          <w:color w:val="222222"/>
        </w:rPr>
        <w:t xml:space="preserve"> per week), </w:t>
      </w:r>
      <w:r w:rsidRPr="00D71618">
        <w:rPr>
          <w:color w:val="000000"/>
        </w:rPr>
        <w:t xml:space="preserve">will be randomly assigned to one of </w:t>
      </w:r>
      <w:r>
        <w:rPr>
          <w:color w:val="000000"/>
        </w:rPr>
        <w:t>eleven</w:t>
      </w:r>
      <w:r w:rsidRPr="00D71618">
        <w:rPr>
          <w:color w:val="000000"/>
        </w:rPr>
        <w:t xml:space="preserve"> affirmation</w:t>
      </w:r>
      <w:r>
        <w:rPr>
          <w:color w:val="000000"/>
        </w:rPr>
        <w:t>,</w:t>
      </w:r>
      <w:r w:rsidRPr="00D71618">
        <w:rPr>
          <w:color w:val="000000"/>
        </w:rPr>
        <w:t xml:space="preserve"> self- activation</w:t>
      </w:r>
      <w:r>
        <w:rPr>
          <w:color w:val="000000"/>
        </w:rPr>
        <w:t xml:space="preserve">, or </w:t>
      </w:r>
      <w:r w:rsidRPr="00B32F4A">
        <w:rPr>
          <w:noProof/>
          <w:color w:val="000000"/>
        </w:rPr>
        <w:t>other-activation</w:t>
      </w:r>
      <w:r w:rsidRPr="00D71618">
        <w:rPr>
          <w:color w:val="000000"/>
        </w:rPr>
        <w:t xml:space="preserve"> conditions. Following the affirmation or activation task, subjects will read about the documented link between alcohol and breast cancer. Finally, they will be asked a series of questions about their intentions to reduce drinking, their perceived risk of breast cancer, and their worry about breast cancer. </w:t>
      </w:r>
      <w:r>
        <w:rPr>
          <w:bCs/>
          <w:color w:val="222222"/>
        </w:rPr>
        <w:t xml:space="preserve">(see full study screenshots, </w:t>
      </w:r>
      <w:r w:rsidRPr="00C54A95">
        <w:rPr>
          <w:b/>
          <w:bCs/>
          <w:color w:val="222222"/>
        </w:rPr>
        <w:t xml:space="preserve">Attachment </w:t>
      </w:r>
      <w:r>
        <w:rPr>
          <w:b/>
          <w:bCs/>
          <w:color w:val="222222"/>
        </w:rPr>
        <w:t>B</w:t>
      </w:r>
      <w:r w:rsidR="00B32F4A">
        <w:rPr>
          <w:b/>
          <w:bCs/>
          <w:color w:val="222222"/>
        </w:rPr>
        <w:t>1</w:t>
      </w:r>
      <w:r>
        <w:rPr>
          <w:bCs/>
          <w:color w:val="222222"/>
        </w:rPr>
        <w:t xml:space="preserve">) </w:t>
      </w:r>
      <w:r w:rsidRPr="00D71618">
        <w:rPr>
          <w:color w:val="000000"/>
        </w:rPr>
        <w:t xml:space="preserve">Drawing on previous research, we hypothesize that inductions will be </w:t>
      </w:r>
      <w:r w:rsidRPr="00B32F4A">
        <w:rPr>
          <w:noProof/>
          <w:color w:val="000000"/>
        </w:rPr>
        <w:t>effective</w:t>
      </w:r>
      <w:r w:rsidRPr="00D71618">
        <w:rPr>
          <w:color w:val="000000"/>
        </w:rPr>
        <w:t xml:space="preserve"> to the degree that they involve a self-affirmation, but will not be effective if they involve only </w:t>
      </w:r>
      <w:r w:rsidRPr="00B32F4A">
        <w:rPr>
          <w:noProof/>
          <w:color w:val="000000"/>
        </w:rPr>
        <w:t>other-affirmation</w:t>
      </w:r>
      <w:r w:rsidRPr="00D71618">
        <w:rPr>
          <w:color w:val="000000"/>
        </w:rPr>
        <w:t xml:space="preserve"> or self-activation.</w:t>
      </w:r>
    </w:p>
    <w:p w14:paraId="3A5F1F6B" w14:textId="77777777" w:rsidR="002B56B8" w:rsidRPr="00B26D24" w:rsidRDefault="002B56B8" w:rsidP="002B56B8">
      <w:r>
        <w:rPr>
          <w:color w:val="000000"/>
        </w:rPr>
        <w:t xml:space="preserve">This research can inform NCI scientific priorities and investments in self-affirmation research. </w:t>
      </w:r>
      <w:r w:rsidRPr="00D71618">
        <w:rPr>
          <w:color w:val="000000"/>
        </w:rPr>
        <w:t xml:space="preserve">The results of the information collection will be used </w:t>
      </w:r>
      <w:r w:rsidRPr="00B32F4A">
        <w:rPr>
          <w:noProof/>
          <w:color w:val="000000"/>
        </w:rPr>
        <w:t>to further develop</w:t>
      </w:r>
      <w:r w:rsidRPr="00D71618">
        <w:rPr>
          <w:color w:val="000000"/>
        </w:rPr>
        <w:t xml:space="preserve"> and improve self-affirmation theory. </w:t>
      </w:r>
      <w:r w:rsidRPr="00D71618">
        <w:rPr>
          <w:bCs/>
        </w:rPr>
        <w:t xml:space="preserve">We will disseminate our findings to relevant audiences –health psychologists/ public health researchers who capitalize on basic psychological science advances to develop </w:t>
      </w:r>
      <w:r w:rsidRPr="00B32F4A">
        <w:rPr>
          <w:bCs/>
          <w:noProof/>
        </w:rPr>
        <w:t>efficacious</w:t>
      </w:r>
      <w:r w:rsidRPr="00D71618">
        <w:rPr>
          <w:bCs/>
        </w:rPr>
        <w:t xml:space="preserve"> health communications and interventions, and basic psychological scientists who study self-affirmation and affective experiences. Thus, these findings may allow future researchers to develop and test cancer prevention interventions.</w:t>
      </w:r>
    </w:p>
    <w:p w14:paraId="6E451EBD" w14:textId="77777777" w:rsidR="00A00CF8" w:rsidRPr="008942E9" w:rsidRDefault="00A00CF8" w:rsidP="00A00CF8">
      <w:pPr>
        <w:rPr>
          <w:b/>
          <w:color w:val="000000"/>
        </w:rPr>
      </w:pPr>
      <w:r w:rsidRPr="008942E9">
        <w:rPr>
          <w:b/>
          <w:color w:val="000000"/>
        </w:rPr>
        <w:t>A.3     Use of Information Technology and Burden Reduction</w:t>
      </w:r>
    </w:p>
    <w:p w14:paraId="6CB934D0" w14:textId="77777777" w:rsidR="002B56B8" w:rsidRPr="009D02C1" w:rsidRDefault="002B56B8" w:rsidP="002B56B8">
      <w:pPr>
        <w:spacing w:line="240" w:lineRule="atLeast"/>
        <w:rPr>
          <w:color w:val="000000"/>
        </w:rPr>
      </w:pPr>
      <w:bookmarkStart w:id="4" w:name="_Toc443881745"/>
      <w:bookmarkStart w:id="5" w:name="_Toc451592234"/>
      <w:bookmarkStart w:id="6" w:name="_Toc5610275"/>
      <w:bookmarkStart w:id="7" w:name="_Toc99178781"/>
      <w:r w:rsidRPr="004A068A">
        <w:rPr>
          <w:color w:val="000000"/>
        </w:rPr>
        <w:t xml:space="preserve">The modules will be administered to respondents electronically, through an online </w:t>
      </w:r>
      <w:r w:rsidRPr="00B32F4A">
        <w:rPr>
          <w:noProof/>
          <w:color w:val="000000"/>
        </w:rPr>
        <w:t>information-collection</w:t>
      </w:r>
      <w:r w:rsidRPr="004A068A">
        <w:rPr>
          <w:color w:val="000000"/>
        </w:rPr>
        <w:t xml:space="preserve"> platform called Amazon Mechanical Turk (mTurk; wwww.mturk.com). mTurk is an internet service that allows researchers to collect survey data in a quick fashion minimizing the burden for respondents. The use of this online </w:t>
      </w:r>
      <w:r w:rsidRPr="00B32F4A">
        <w:rPr>
          <w:noProof/>
          <w:color w:val="000000"/>
        </w:rPr>
        <w:t>information-collection</w:t>
      </w:r>
      <w:r w:rsidRPr="004A068A">
        <w:rPr>
          <w:color w:val="000000"/>
        </w:rPr>
        <w:t xml:space="preserve"> platform will decrease the response burden to the respondent, eliminate the need for manual data entry, and </w:t>
      </w:r>
      <w:r w:rsidRPr="00B32F4A">
        <w:rPr>
          <w:noProof/>
          <w:color w:val="000000"/>
        </w:rPr>
        <w:t>eliminate</w:t>
      </w:r>
      <w:r w:rsidRPr="004A068A">
        <w:rPr>
          <w:color w:val="000000"/>
        </w:rPr>
        <w:t xml:space="preserve"> the use of paper to collect information. </w:t>
      </w:r>
    </w:p>
    <w:p w14:paraId="182C0F05" w14:textId="77777777" w:rsidR="00685B30" w:rsidRPr="008942E9" w:rsidRDefault="00685B30" w:rsidP="00685B30">
      <w:pPr>
        <w:pStyle w:val="Heading2"/>
        <w:spacing w:after="0" w:line="480" w:lineRule="auto"/>
        <w:ind w:left="720" w:hanging="720"/>
        <w:rPr>
          <w:rFonts w:ascii="Calibri" w:hAnsi="Calibri"/>
          <w:szCs w:val="22"/>
        </w:rPr>
      </w:pPr>
      <w:r w:rsidRPr="008942E9">
        <w:rPr>
          <w:rFonts w:ascii="Calibri" w:hAnsi="Calibri"/>
          <w:szCs w:val="22"/>
        </w:rPr>
        <w:t>A.4</w:t>
      </w:r>
      <w:r w:rsidRPr="008942E9">
        <w:rPr>
          <w:rFonts w:ascii="Calibri" w:hAnsi="Calibri"/>
          <w:szCs w:val="22"/>
        </w:rPr>
        <w:tab/>
        <w:t>Efforts to Identify Duplication and Use of Similar Information</w:t>
      </w:r>
      <w:bookmarkEnd w:id="4"/>
      <w:bookmarkEnd w:id="5"/>
      <w:bookmarkEnd w:id="6"/>
      <w:bookmarkEnd w:id="7"/>
    </w:p>
    <w:p w14:paraId="6D48E53E" w14:textId="77777777" w:rsidR="002B56B8" w:rsidRPr="009D02C1" w:rsidRDefault="002B56B8" w:rsidP="002B56B8">
      <w:pPr>
        <w:tabs>
          <w:tab w:val="num" w:pos="450"/>
        </w:tabs>
        <w:autoSpaceDE w:val="0"/>
        <w:autoSpaceDN w:val="0"/>
        <w:adjustRightInd w:val="0"/>
        <w:outlineLvl w:val="0"/>
        <w:rPr>
          <w:color w:val="FF0000"/>
        </w:rPr>
      </w:pPr>
      <w:bookmarkStart w:id="8" w:name="_Toc443881746"/>
      <w:bookmarkStart w:id="9" w:name="_Toc451592235"/>
      <w:bookmarkStart w:id="10" w:name="_Toc5610276"/>
      <w:bookmarkStart w:id="11" w:name="_Toc99178782"/>
      <w:r w:rsidRPr="009D02C1">
        <w:rPr>
          <w:color w:val="000000"/>
        </w:rPr>
        <w:t xml:space="preserve">No similar </w:t>
      </w:r>
      <w:r>
        <w:rPr>
          <w:color w:val="000000"/>
        </w:rPr>
        <w:t xml:space="preserve">information </w:t>
      </w:r>
      <w:r w:rsidRPr="009D02C1">
        <w:rPr>
          <w:color w:val="000000"/>
        </w:rPr>
        <w:t xml:space="preserve">collection exists. </w:t>
      </w:r>
      <w:r>
        <w:rPr>
          <w:color w:val="000000"/>
        </w:rPr>
        <w:t xml:space="preserve"> We have searched both existing data collections and the scientific literature, and no data collecting exists that would answer questions about self-affirmation outlined here.</w:t>
      </w:r>
    </w:p>
    <w:p w14:paraId="208F5EBB" w14:textId="77777777" w:rsidR="00685B30" w:rsidRPr="008942E9" w:rsidRDefault="00685B30" w:rsidP="00685B30">
      <w:pPr>
        <w:pStyle w:val="Heading2"/>
        <w:spacing w:after="0" w:line="480" w:lineRule="auto"/>
        <w:ind w:left="720" w:hanging="720"/>
        <w:rPr>
          <w:rFonts w:ascii="Calibri" w:hAnsi="Calibri"/>
          <w:szCs w:val="22"/>
        </w:rPr>
      </w:pPr>
      <w:r w:rsidRPr="008942E9">
        <w:rPr>
          <w:rFonts w:ascii="Calibri" w:hAnsi="Calibri"/>
          <w:szCs w:val="22"/>
        </w:rPr>
        <w:t>A.5</w:t>
      </w:r>
      <w:r w:rsidRPr="008942E9">
        <w:rPr>
          <w:rFonts w:ascii="Calibri" w:hAnsi="Calibri"/>
          <w:szCs w:val="22"/>
        </w:rPr>
        <w:tab/>
        <w:t>Impact on Small Businesses or Other Small Entities</w:t>
      </w:r>
      <w:bookmarkEnd w:id="8"/>
      <w:bookmarkEnd w:id="9"/>
      <w:bookmarkEnd w:id="10"/>
      <w:bookmarkEnd w:id="11"/>
    </w:p>
    <w:p w14:paraId="3731F24B" w14:textId="77777777" w:rsidR="002B56B8" w:rsidRPr="002B56B8" w:rsidRDefault="002B56B8" w:rsidP="00685B30">
      <w:pPr>
        <w:pStyle w:val="Heading2"/>
        <w:spacing w:after="0" w:line="480" w:lineRule="auto"/>
        <w:ind w:left="720" w:hanging="720"/>
        <w:rPr>
          <w:rFonts w:asciiTheme="minorHAnsi" w:hAnsiTheme="minorHAnsi"/>
          <w:b w:val="0"/>
          <w:color w:val="000000"/>
        </w:rPr>
      </w:pPr>
      <w:bookmarkStart w:id="12" w:name="_Toc443881747"/>
      <w:bookmarkStart w:id="13" w:name="_Toc451592236"/>
      <w:bookmarkStart w:id="14" w:name="_Toc5610277"/>
      <w:bookmarkStart w:id="15" w:name="_Toc99178783"/>
      <w:r w:rsidRPr="002B56B8">
        <w:rPr>
          <w:rFonts w:asciiTheme="minorHAnsi" w:hAnsiTheme="minorHAnsi"/>
          <w:b w:val="0"/>
          <w:color w:val="000000"/>
        </w:rPr>
        <w:t xml:space="preserve">No small businesses will </w:t>
      </w:r>
      <w:r w:rsidRPr="00B32F4A">
        <w:rPr>
          <w:rFonts w:asciiTheme="minorHAnsi" w:hAnsiTheme="minorHAnsi"/>
          <w:b w:val="0"/>
          <w:noProof/>
          <w:color w:val="000000"/>
        </w:rPr>
        <w:t>be involved</w:t>
      </w:r>
      <w:r w:rsidRPr="002B56B8">
        <w:rPr>
          <w:rFonts w:asciiTheme="minorHAnsi" w:hAnsiTheme="minorHAnsi"/>
          <w:b w:val="0"/>
          <w:color w:val="000000"/>
        </w:rPr>
        <w:t xml:space="preserve"> in this study.</w:t>
      </w:r>
    </w:p>
    <w:p w14:paraId="1228F03B" w14:textId="77777777" w:rsidR="00685B30" w:rsidRPr="008942E9" w:rsidRDefault="00685B30" w:rsidP="00685B30">
      <w:pPr>
        <w:pStyle w:val="Heading2"/>
        <w:spacing w:after="0" w:line="480" w:lineRule="auto"/>
        <w:ind w:left="720" w:hanging="720"/>
        <w:rPr>
          <w:rFonts w:ascii="Calibri" w:hAnsi="Calibri"/>
          <w:szCs w:val="22"/>
        </w:rPr>
      </w:pPr>
      <w:r w:rsidRPr="008942E9">
        <w:rPr>
          <w:rFonts w:ascii="Calibri" w:hAnsi="Calibri"/>
          <w:szCs w:val="22"/>
        </w:rPr>
        <w:t>A.6</w:t>
      </w:r>
      <w:r w:rsidRPr="008942E9">
        <w:rPr>
          <w:rFonts w:ascii="Calibri" w:hAnsi="Calibri"/>
          <w:szCs w:val="22"/>
        </w:rPr>
        <w:tab/>
        <w:t>Consequences of Collecting the Information Less Frequently</w:t>
      </w:r>
      <w:bookmarkEnd w:id="12"/>
      <w:bookmarkEnd w:id="13"/>
      <w:bookmarkEnd w:id="14"/>
      <w:bookmarkEnd w:id="15"/>
    </w:p>
    <w:p w14:paraId="4794B7C3" w14:textId="77777777" w:rsidR="002B56B8" w:rsidRPr="004179DE" w:rsidRDefault="002B56B8" w:rsidP="002B56B8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  <w:bookmarkStart w:id="16" w:name="_Toc443881748"/>
      <w:bookmarkStart w:id="17" w:name="_Toc451592237"/>
      <w:bookmarkStart w:id="18" w:name="_Toc5610278"/>
      <w:bookmarkStart w:id="19" w:name="_Toc99178784"/>
      <w:r w:rsidRPr="009D02C1">
        <w:rPr>
          <w:color w:val="000000"/>
        </w:rPr>
        <w:t xml:space="preserve">This is a one-time </w:t>
      </w:r>
      <w:r>
        <w:rPr>
          <w:color w:val="000000"/>
        </w:rPr>
        <w:t>information collection.</w:t>
      </w:r>
    </w:p>
    <w:p w14:paraId="2F5A93C0" w14:textId="77777777" w:rsidR="00685B30" w:rsidRPr="008942E9" w:rsidRDefault="00E67B10" w:rsidP="00685B30">
      <w:pPr>
        <w:pStyle w:val="Heading2"/>
        <w:spacing w:after="0" w:line="480" w:lineRule="auto"/>
        <w:ind w:left="0" w:firstLine="0"/>
        <w:rPr>
          <w:rFonts w:ascii="Calibri" w:hAnsi="Calibri"/>
          <w:szCs w:val="22"/>
        </w:rPr>
      </w:pPr>
      <w:r w:rsidRPr="008942E9">
        <w:rPr>
          <w:rFonts w:ascii="Calibri" w:hAnsi="Calibri"/>
          <w:szCs w:val="22"/>
        </w:rPr>
        <w:t>A.7</w:t>
      </w:r>
      <w:r w:rsidRPr="008942E9">
        <w:rPr>
          <w:rFonts w:ascii="Calibri" w:hAnsi="Calibri"/>
          <w:szCs w:val="22"/>
        </w:rPr>
        <w:tab/>
      </w:r>
      <w:r w:rsidR="00685B30" w:rsidRPr="008942E9">
        <w:rPr>
          <w:rFonts w:ascii="Calibri" w:hAnsi="Calibri"/>
          <w:szCs w:val="22"/>
        </w:rPr>
        <w:t xml:space="preserve">Special Circumstances Relating to the Guidelines of 5 </w:t>
      </w:r>
      <w:smartTag w:uri="urn:schemas-microsoft-com:office:smarttags" w:element="stockticker">
        <w:r w:rsidR="00685B30" w:rsidRPr="008942E9">
          <w:rPr>
            <w:rFonts w:ascii="Calibri" w:hAnsi="Calibri"/>
            <w:szCs w:val="22"/>
          </w:rPr>
          <w:t>CFR</w:t>
        </w:r>
      </w:smartTag>
      <w:r w:rsidR="00685B30" w:rsidRPr="008942E9">
        <w:rPr>
          <w:rFonts w:ascii="Calibri" w:hAnsi="Calibri"/>
          <w:szCs w:val="22"/>
        </w:rPr>
        <w:t xml:space="preserve"> 1320.5</w:t>
      </w:r>
      <w:bookmarkEnd w:id="16"/>
      <w:bookmarkEnd w:id="17"/>
      <w:bookmarkEnd w:id="18"/>
      <w:bookmarkEnd w:id="19"/>
    </w:p>
    <w:p w14:paraId="40E2F368" w14:textId="77777777" w:rsidR="002B56B8" w:rsidRPr="00C747E4" w:rsidRDefault="002B56B8" w:rsidP="002B56B8">
      <w:pPr>
        <w:autoSpaceDE w:val="0"/>
        <w:autoSpaceDN w:val="0"/>
        <w:adjustRightInd w:val="0"/>
        <w:outlineLvl w:val="0"/>
        <w:rPr>
          <w:color w:val="000000"/>
        </w:rPr>
      </w:pPr>
      <w:r w:rsidRPr="00477127">
        <w:rPr>
          <w:color w:val="000000"/>
        </w:rPr>
        <w:t xml:space="preserve">There are no </w:t>
      </w:r>
      <w:r w:rsidRPr="00B32F4A">
        <w:rPr>
          <w:noProof/>
          <w:color w:val="000000"/>
        </w:rPr>
        <w:t>special</w:t>
      </w:r>
      <w:r w:rsidRPr="00477127">
        <w:rPr>
          <w:color w:val="000000"/>
        </w:rPr>
        <w:t xml:space="preserve"> circumstances relating to 5 CFR 1320.5</w:t>
      </w:r>
    </w:p>
    <w:p w14:paraId="5DA0C1A2" w14:textId="77777777" w:rsidR="0036208F" w:rsidRPr="008942E9" w:rsidRDefault="00685B30" w:rsidP="00E35DD1">
      <w:pPr>
        <w:pStyle w:val="Heading2"/>
        <w:spacing w:after="0" w:line="240" w:lineRule="auto"/>
        <w:ind w:left="720" w:hanging="720"/>
        <w:rPr>
          <w:rFonts w:ascii="Calibri" w:hAnsi="Calibri"/>
          <w:szCs w:val="22"/>
        </w:rPr>
      </w:pPr>
      <w:bookmarkStart w:id="20" w:name="_Toc443881749"/>
      <w:bookmarkStart w:id="21" w:name="_Toc451592238"/>
      <w:bookmarkStart w:id="22" w:name="_Toc5610279"/>
      <w:bookmarkStart w:id="23" w:name="_Toc99178785"/>
      <w:r w:rsidRPr="008942E9">
        <w:rPr>
          <w:rFonts w:ascii="Calibri" w:hAnsi="Calibri"/>
          <w:szCs w:val="22"/>
        </w:rPr>
        <w:lastRenderedPageBreak/>
        <w:t>A.8</w:t>
      </w:r>
      <w:r w:rsidR="0036208F" w:rsidRPr="008942E9">
        <w:rPr>
          <w:rFonts w:ascii="Calibri" w:hAnsi="Calibri"/>
          <w:szCs w:val="22"/>
        </w:rPr>
        <w:t>.1</w:t>
      </w:r>
      <w:r w:rsidRPr="008942E9">
        <w:rPr>
          <w:rFonts w:ascii="Calibri" w:hAnsi="Calibri"/>
          <w:szCs w:val="22"/>
        </w:rPr>
        <w:tab/>
        <w:t xml:space="preserve">Comments in Response to the Federal Register Notice </w:t>
      </w:r>
    </w:p>
    <w:p w14:paraId="7B31506B" w14:textId="77777777" w:rsidR="0036208F" w:rsidRPr="008942E9" w:rsidRDefault="0036208F" w:rsidP="00E35DD1">
      <w:pPr>
        <w:pStyle w:val="Heading2"/>
        <w:spacing w:after="0" w:line="240" w:lineRule="auto"/>
        <w:ind w:left="720" w:hanging="720"/>
        <w:rPr>
          <w:rFonts w:ascii="Calibri" w:hAnsi="Calibri"/>
          <w:szCs w:val="22"/>
        </w:rPr>
      </w:pPr>
    </w:p>
    <w:bookmarkEnd w:id="20"/>
    <w:bookmarkEnd w:id="21"/>
    <w:bookmarkEnd w:id="22"/>
    <w:bookmarkEnd w:id="23"/>
    <w:p w14:paraId="222364C9" w14:textId="02EB9FA2" w:rsidR="002C4357" w:rsidRDefault="002C4357" w:rsidP="002C4357">
      <w:r>
        <w:t>A 60 day Federal Register Notice was published in the Federal Register on January 14, 2016, Vol.81; pp. 1958. No comments were received.</w:t>
      </w:r>
    </w:p>
    <w:p w14:paraId="2DE720A5" w14:textId="585CEB25" w:rsidR="00685B30" w:rsidRPr="0036208F" w:rsidRDefault="00685B30" w:rsidP="00685B30"/>
    <w:p w14:paraId="16DC1284" w14:textId="77777777" w:rsidR="0036208F" w:rsidRPr="008942E9" w:rsidRDefault="0036208F" w:rsidP="0036208F">
      <w:pPr>
        <w:pStyle w:val="Heading2"/>
        <w:spacing w:after="0" w:line="240" w:lineRule="auto"/>
        <w:ind w:left="720" w:hanging="720"/>
        <w:rPr>
          <w:rFonts w:ascii="Calibri" w:hAnsi="Calibri"/>
          <w:szCs w:val="22"/>
        </w:rPr>
      </w:pPr>
      <w:r w:rsidRPr="008942E9">
        <w:rPr>
          <w:rFonts w:ascii="Calibri" w:hAnsi="Calibri"/>
          <w:szCs w:val="22"/>
        </w:rPr>
        <w:t>A.8.2</w:t>
      </w:r>
      <w:r w:rsidRPr="008942E9">
        <w:rPr>
          <w:rFonts w:ascii="Calibri" w:hAnsi="Calibri"/>
          <w:szCs w:val="22"/>
        </w:rPr>
        <w:tab/>
        <w:t>Efforts to Consult Outside Agency</w:t>
      </w:r>
    </w:p>
    <w:p w14:paraId="13BF0AC0" w14:textId="77777777" w:rsidR="0036208F" w:rsidRDefault="0036208F" w:rsidP="00685B30"/>
    <w:p w14:paraId="230C3574" w14:textId="77777777" w:rsidR="002B56B8" w:rsidRPr="009D02C1" w:rsidRDefault="002B56B8" w:rsidP="002B56B8">
      <w:pPr>
        <w:autoSpaceDE w:val="0"/>
        <w:autoSpaceDN w:val="0"/>
        <w:adjustRightInd w:val="0"/>
        <w:outlineLvl w:val="0"/>
      </w:pPr>
      <w:r>
        <w:t>We have not consulted with any outside agency on this project.</w:t>
      </w:r>
    </w:p>
    <w:p w14:paraId="266B647B" w14:textId="77777777" w:rsidR="00685B30" w:rsidRPr="008942E9" w:rsidRDefault="00685B30" w:rsidP="00685B30">
      <w:pPr>
        <w:pStyle w:val="P1-StandPara"/>
        <w:ind w:firstLine="0"/>
        <w:rPr>
          <w:rFonts w:ascii="Calibri" w:hAnsi="Calibri"/>
          <w:b/>
          <w:szCs w:val="22"/>
        </w:rPr>
      </w:pPr>
      <w:r w:rsidRPr="008942E9">
        <w:rPr>
          <w:rFonts w:ascii="Calibri" w:hAnsi="Calibri"/>
          <w:b/>
          <w:szCs w:val="22"/>
        </w:rPr>
        <w:t>A.9</w:t>
      </w:r>
      <w:r w:rsidRPr="008942E9">
        <w:rPr>
          <w:rFonts w:ascii="Calibri" w:hAnsi="Calibri"/>
          <w:b/>
          <w:szCs w:val="22"/>
        </w:rPr>
        <w:tab/>
        <w:t>Explanation of Any Payment of Gift to Respondents</w:t>
      </w:r>
    </w:p>
    <w:p w14:paraId="00FA8526" w14:textId="04F9552B" w:rsidR="002B56B8" w:rsidRPr="00FD0250" w:rsidRDefault="002B56B8" w:rsidP="002B56B8">
      <w:pPr>
        <w:spacing w:before="1"/>
        <w:ind w:left="100" w:right="45"/>
        <w:rPr>
          <w:rFonts w:eastAsia="Times New Roman"/>
        </w:rPr>
      </w:pPr>
      <w:r>
        <w:rPr>
          <w:rFonts w:eastAsia="Times New Roman"/>
          <w:color w:val="1C1C1C"/>
        </w:rPr>
        <w:t xml:space="preserve">No remuneration will </w:t>
      </w:r>
      <w:r w:rsidRPr="00B32F4A">
        <w:rPr>
          <w:rFonts w:eastAsia="Times New Roman"/>
          <w:noProof/>
          <w:color w:val="1C1C1C"/>
        </w:rPr>
        <w:t>be provided</w:t>
      </w:r>
      <w:r>
        <w:rPr>
          <w:rFonts w:eastAsia="Times New Roman"/>
          <w:color w:val="1C1C1C"/>
        </w:rPr>
        <w:t xml:space="preserve"> for completing the screener</w:t>
      </w:r>
      <w:r w:rsidR="00445602">
        <w:rPr>
          <w:rFonts w:eastAsia="Times New Roman"/>
          <w:color w:val="1C1C1C"/>
        </w:rPr>
        <w:t>, but</w:t>
      </w:r>
      <w:r>
        <w:rPr>
          <w:rFonts w:eastAsia="Times New Roman"/>
          <w:color w:val="1C1C1C"/>
        </w:rPr>
        <w:t xml:space="preserve"> </w:t>
      </w:r>
      <w:r w:rsidR="00445602">
        <w:rPr>
          <w:rFonts w:eastAsia="Times New Roman"/>
          <w:color w:val="1C1C1C"/>
        </w:rPr>
        <w:t>p</w:t>
      </w:r>
      <w:r>
        <w:rPr>
          <w:rFonts w:eastAsia="Times New Roman"/>
          <w:color w:val="1C1C1C"/>
        </w:rPr>
        <w:t>a</w:t>
      </w:r>
      <w:r>
        <w:rPr>
          <w:rFonts w:eastAsia="Times New Roman"/>
          <w:color w:val="1C1C1C"/>
          <w:spacing w:val="1"/>
        </w:rPr>
        <w:t>r</w:t>
      </w:r>
      <w:r>
        <w:rPr>
          <w:rFonts w:eastAsia="Times New Roman"/>
          <w:color w:val="1C1C1C"/>
          <w:spacing w:val="-1"/>
        </w:rPr>
        <w:t>t</w:t>
      </w:r>
      <w:r>
        <w:rPr>
          <w:rFonts w:eastAsia="Times New Roman"/>
          <w:color w:val="1C1C1C"/>
          <w:spacing w:val="1"/>
        </w:rPr>
        <w:t>i</w:t>
      </w:r>
      <w:r>
        <w:rPr>
          <w:rFonts w:eastAsia="Times New Roman"/>
          <w:color w:val="1C1C1C"/>
          <w:spacing w:val="-2"/>
        </w:rPr>
        <w:t>c</w:t>
      </w:r>
      <w:r>
        <w:rPr>
          <w:rFonts w:eastAsia="Times New Roman"/>
          <w:color w:val="1C1C1C"/>
          <w:spacing w:val="1"/>
        </w:rPr>
        <w:t>i</w:t>
      </w:r>
      <w:r>
        <w:rPr>
          <w:rFonts w:eastAsia="Times New Roman"/>
          <w:color w:val="1C1C1C"/>
        </w:rPr>
        <w:t>pa</w:t>
      </w:r>
      <w:r>
        <w:rPr>
          <w:rFonts w:eastAsia="Times New Roman"/>
          <w:color w:val="1C1C1C"/>
          <w:spacing w:val="-2"/>
        </w:rPr>
        <w:t>n</w:t>
      </w:r>
      <w:r>
        <w:rPr>
          <w:rFonts w:eastAsia="Times New Roman"/>
          <w:color w:val="1C1C1C"/>
          <w:spacing w:val="1"/>
        </w:rPr>
        <w:t>t</w:t>
      </w:r>
      <w:r>
        <w:rPr>
          <w:rFonts w:eastAsia="Times New Roman"/>
          <w:color w:val="1C1C1C"/>
        </w:rPr>
        <w:t>s</w:t>
      </w:r>
      <w:r>
        <w:rPr>
          <w:rFonts w:eastAsia="Times New Roman"/>
          <w:color w:val="1C1C1C"/>
          <w:spacing w:val="1"/>
        </w:rPr>
        <w:t xml:space="preserve"> </w:t>
      </w:r>
      <w:r>
        <w:rPr>
          <w:rFonts w:eastAsia="Times New Roman"/>
          <w:color w:val="1C1C1C"/>
          <w:spacing w:val="-4"/>
        </w:rPr>
        <w:t>w</w:t>
      </w:r>
      <w:r>
        <w:rPr>
          <w:rFonts w:eastAsia="Times New Roman"/>
          <w:color w:val="1C1C1C"/>
          <w:spacing w:val="1"/>
        </w:rPr>
        <w:t>i</w:t>
      </w:r>
      <w:r>
        <w:rPr>
          <w:rFonts w:eastAsia="Times New Roman"/>
          <w:color w:val="1C1C1C"/>
          <w:spacing w:val="-1"/>
        </w:rPr>
        <w:t>l</w:t>
      </w:r>
      <w:r>
        <w:rPr>
          <w:rFonts w:eastAsia="Times New Roman"/>
          <w:color w:val="1C1C1C"/>
        </w:rPr>
        <w:t>l</w:t>
      </w:r>
      <w:r>
        <w:rPr>
          <w:rFonts w:eastAsia="Times New Roman"/>
          <w:color w:val="1C1C1C"/>
          <w:spacing w:val="1"/>
        </w:rPr>
        <w:t xml:space="preserve"> </w:t>
      </w:r>
      <w:r>
        <w:rPr>
          <w:rFonts w:eastAsia="Times New Roman"/>
          <w:color w:val="1C1C1C"/>
        </w:rPr>
        <w:t>be</w:t>
      </w:r>
      <w:r>
        <w:rPr>
          <w:rFonts w:eastAsia="Times New Roman"/>
          <w:color w:val="1C1C1C"/>
          <w:spacing w:val="-2"/>
        </w:rPr>
        <w:t xml:space="preserve"> </w:t>
      </w:r>
      <w:r>
        <w:rPr>
          <w:rFonts w:eastAsia="Times New Roman"/>
          <w:color w:val="1C1C1C"/>
          <w:spacing w:val="1"/>
        </w:rPr>
        <w:t>r</w:t>
      </w:r>
      <w:r>
        <w:rPr>
          <w:rFonts w:eastAsia="Times New Roman"/>
          <w:color w:val="1C1C1C"/>
        </w:rPr>
        <w:t>e</w:t>
      </w:r>
      <w:r>
        <w:rPr>
          <w:rFonts w:eastAsia="Times New Roman"/>
          <w:color w:val="1C1C1C"/>
          <w:spacing w:val="-4"/>
        </w:rPr>
        <w:t>m</w:t>
      </w:r>
      <w:r>
        <w:rPr>
          <w:rFonts w:eastAsia="Times New Roman"/>
          <w:color w:val="1C1C1C"/>
        </w:rPr>
        <w:t>une</w:t>
      </w:r>
      <w:r>
        <w:rPr>
          <w:rFonts w:eastAsia="Times New Roman"/>
          <w:color w:val="1C1C1C"/>
          <w:spacing w:val="1"/>
        </w:rPr>
        <w:t>r</w:t>
      </w:r>
      <w:r>
        <w:rPr>
          <w:rFonts w:eastAsia="Times New Roman"/>
          <w:color w:val="1C1C1C"/>
        </w:rPr>
        <w:t>a</w:t>
      </w:r>
      <w:r>
        <w:rPr>
          <w:rFonts w:eastAsia="Times New Roman"/>
          <w:color w:val="1C1C1C"/>
          <w:spacing w:val="-1"/>
        </w:rPr>
        <w:t>t</w:t>
      </w:r>
      <w:r>
        <w:rPr>
          <w:rFonts w:eastAsia="Times New Roman"/>
          <w:color w:val="1C1C1C"/>
        </w:rPr>
        <w:t xml:space="preserve">ed </w:t>
      </w:r>
      <w:r>
        <w:rPr>
          <w:rFonts w:eastAsia="Times New Roman"/>
          <w:color w:val="1C1C1C"/>
          <w:spacing w:val="-1"/>
        </w:rPr>
        <w:t>$</w:t>
      </w:r>
      <w:r>
        <w:rPr>
          <w:rFonts w:eastAsia="Times New Roman"/>
          <w:color w:val="1C1C1C"/>
        </w:rPr>
        <w:t>1</w:t>
      </w:r>
      <w:r>
        <w:rPr>
          <w:rFonts w:eastAsia="Times New Roman"/>
          <w:color w:val="1C1C1C"/>
          <w:spacing w:val="-2"/>
        </w:rPr>
        <w:t xml:space="preserve"> </w:t>
      </w:r>
      <w:r>
        <w:rPr>
          <w:rFonts w:eastAsia="Times New Roman"/>
          <w:color w:val="1C1C1C"/>
          <w:spacing w:val="1"/>
        </w:rPr>
        <w:t>f</w:t>
      </w:r>
      <w:r>
        <w:rPr>
          <w:rFonts w:eastAsia="Times New Roman"/>
          <w:color w:val="1C1C1C"/>
        </w:rPr>
        <w:t>or</w:t>
      </w:r>
      <w:r>
        <w:rPr>
          <w:rFonts w:eastAsia="Times New Roman"/>
          <w:color w:val="1C1C1C"/>
          <w:spacing w:val="-1"/>
        </w:rPr>
        <w:t xml:space="preserve"> </w:t>
      </w:r>
      <w:r>
        <w:rPr>
          <w:rFonts w:eastAsia="Times New Roman"/>
          <w:color w:val="1C1C1C"/>
        </w:rPr>
        <w:t>pa</w:t>
      </w:r>
      <w:r>
        <w:rPr>
          <w:rFonts w:eastAsia="Times New Roman"/>
          <w:color w:val="1C1C1C"/>
          <w:spacing w:val="-2"/>
        </w:rPr>
        <w:t>r</w:t>
      </w:r>
      <w:r>
        <w:rPr>
          <w:rFonts w:eastAsia="Times New Roman"/>
          <w:color w:val="1C1C1C"/>
          <w:spacing w:val="1"/>
        </w:rPr>
        <w:t>t</w:t>
      </w:r>
      <w:r>
        <w:rPr>
          <w:rFonts w:eastAsia="Times New Roman"/>
          <w:color w:val="1C1C1C"/>
          <w:spacing w:val="-1"/>
        </w:rPr>
        <w:t>i</w:t>
      </w:r>
      <w:r>
        <w:rPr>
          <w:rFonts w:eastAsia="Times New Roman"/>
          <w:color w:val="1C1C1C"/>
        </w:rPr>
        <w:t>c</w:t>
      </w:r>
      <w:r>
        <w:rPr>
          <w:rFonts w:eastAsia="Times New Roman"/>
          <w:color w:val="1C1C1C"/>
          <w:spacing w:val="1"/>
        </w:rPr>
        <w:t>i</w:t>
      </w:r>
      <w:r>
        <w:rPr>
          <w:rFonts w:eastAsia="Times New Roman"/>
          <w:color w:val="1C1C1C"/>
          <w:spacing w:val="-2"/>
        </w:rPr>
        <w:t>p</w:t>
      </w:r>
      <w:r>
        <w:rPr>
          <w:rFonts w:eastAsia="Times New Roman"/>
          <w:color w:val="1C1C1C"/>
        </w:rPr>
        <w:t>a</w:t>
      </w:r>
      <w:r>
        <w:rPr>
          <w:rFonts w:eastAsia="Times New Roman"/>
          <w:color w:val="1C1C1C"/>
          <w:spacing w:val="-1"/>
        </w:rPr>
        <w:t>t</w:t>
      </w:r>
      <w:r>
        <w:rPr>
          <w:rFonts w:eastAsia="Times New Roman"/>
          <w:color w:val="1C1C1C"/>
          <w:spacing w:val="1"/>
        </w:rPr>
        <w:t>i</w:t>
      </w:r>
      <w:r>
        <w:rPr>
          <w:rFonts w:eastAsia="Times New Roman"/>
          <w:color w:val="1C1C1C"/>
        </w:rPr>
        <w:t>ng</w:t>
      </w:r>
      <w:r>
        <w:rPr>
          <w:rFonts w:eastAsia="Times New Roman"/>
          <w:color w:val="1C1C1C"/>
          <w:spacing w:val="-2"/>
        </w:rPr>
        <w:t xml:space="preserve"> </w:t>
      </w:r>
      <w:r>
        <w:rPr>
          <w:rFonts w:eastAsia="Times New Roman"/>
          <w:color w:val="1C1C1C"/>
          <w:spacing w:val="1"/>
        </w:rPr>
        <w:t>i</w:t>
      </w:r>
      <w:r>
        <w:rPr>
          <w:rFonts w:eastAsia="Times New Roman"/>
          <w:color w:val="1C1C1C"/>
        </w:rPr>
        <w:t>n</w:t>
      </w:r>
      <w:r>
        <w:rPr>
          <w:rFonts w:eastAsia="Times New Roman"/>
          <w:color w:val="1C1C1C"/>
          <w:spacing w:val="-2"/>
        </w:rPr>
        <w:t xml:space="preserve"> </w:t>
      </w:r>
      <w:r>
        <w:rPr>
          <w:rFonts w:eastAsia="Times New Roman"/>
          <w:color w:val="1C1C1C"/>
          <w:spacing w:val="1"/>
        </w:rPr>
        <w:t>t</w:t>
      </w:r>
      <w:r>
        <w:rPr>
          <w:rFonts w:eastAsia="Times New Roman"/>
          <w:color w:val="1C1C1C"/>
        </w:rPr>
        <w:t>h</w:t>
      </w:r>
      <w:r w:rsidR="00445602">
        <w:rPr>
          <w:rFonts w:eastAsia="Times New Roman"/>
          <w:color w:val="1C1C1C"/>
        </w:rPr>
        <w:t>e</w:t>
      </w:r>
      <w:r>
        <w:rPr>
          <w:rFonts w:eastAsia="Times New Roman"/>
          <w:color w:val="1C1C1C"/>
          <w:spacing w:val="1"/>
        </w:rPr>
        <w:t xml:space="preserve"> </w:t>
      </w:r>
      <w:r>
        <w:rPr>
          <w:rFonts w:eastAsia="Times New Roman"/>
          <w:color w:val="1C1C1C"/>
          <w:spacing w:val="-2"/>
        </w:rPr>
        <w:t>survey</w:t>
      </w:r>
      <w:r>
        <w:rPr>
          <w:rFonts w:eastAsia="Times New Roman"/>
          <w:color w:val="1C1C1C"/>
        </w:rPr>
        <w:t xml:space="preserve">. </w:t>
      </w:r>
      <w:r>
        <w:rPr>
          <w:rFonts w:eastAsia="Times New Roman"/>
          <w:color w:val="1C1C1C"/>
          <w:spacing w:val="2"/>
        </w:rPr>
        <w:t>T</w:t>
      </w:r>
      <w:r>
        <w:rPr>
          <w:rFonts w:eastAsia="Times New Roman"/>
          <w:color w:val="1C1C1C"/>
          <w:spacing w:val="-2"/>
        </w:rPr>
        <w:t>h</w:t>
      </w:r>
      <w:r>
        <w:rPr>
          <w:rFonts w:eastAsia="Times New Roman"/>
          <w:color w:val="1C1C1C"/>
          <w:spacing w:val="1"/>
        </w:rPr>
        <w:t>i</w:t>
      </w:r>
      <w:r>
        <w:rPr>
          <w:rFonts w:eastAsia="Times New Roman"/>
          <w:color w:val="1C1C1C"/>
        </w:rPr>
        <w:t>s</w:t>
      </w:r>
      <w:r>
        <w:rPr>
          <w:rFonts w:eastAsia="Times New Roman"/>
          <w:color w:val="1C1C1C"/>
          <w:spacing w:val="-2"/>
        </w:rPr>
        <w:t xml:space="preserve"> </w:t>
      </w:r>
      <w:r>
        <w:rPr>
          <w:rFonts w:eastAsia="Times New Roman"/>
          <w:color w:val="1C1C1C"/>
        </w:rPr>
        <w:t>a</w:t>
      </w:r>
      <w:r>
        <w:rPr>
          <w:rFonts w:eastAsia="Times New Roman"/>
          <w:color w:val="1C1C1C"/>
          <w:spacing w:val="-4"/>
        </w:rPr>
        <w:t>m</w:t>
      </w:r>
      <w:r>
        <w:rPr>
          <w:rFonts w:eastAsia="Times New Roman"/>
          <w:color w:val="1C1C1C"/>
        </w:rPr>
        <w:t>ount</w:t>
      </w:r>
      <w:r>
        <w:rPr>
          <w:rFonts w:eastAsia="Times New Roman"/>
          <w:color w:val="1C1C1C"/>
          <w:spacing w:val="1"/>
        </w:rPr>
        <w:t xml:space="preserve"> </w:t>
      </w:r>
      <w:r>
        <w:rPr>
          <w:rFonts w:eastAsia="Times New Roman"/>
          <w:color w:val="1C1C1C"/>
        </w:rPr>
        <w:t>of</w:t>
      </w:r>
      <w:r>
        <w:rPr>
          <w:rFonts w:eastAsia="Times New Roman"/>
          <w:color w:val="1C1C1C"/>
          <w:spacing w:val="-1"/>
        </w:rPr>
        <w:t xml:space="preserve"> </w:t>
      </w:r>
      <w:r w:rsidRPr="00B32F4A">
        <w:rPr>
          <w:rFonts w:eastAsia="Times New Roman"/>
          <w:noProof/>
          <w:color w:val="1C1C1C"/>
          <w:spacing w:val="1"/>
        </w:rPr>
        <w:t>r</w:t>
      </w:r>
      <w:r w:rsidRPr="00B32F4A">
        <w:rPr>
          <w:rFonts w:eastAsia="Times New Roman"/>
          <w:noProof/>
          <w:color w:val="1C1C1C"/>
        </w:rPr>
        <w:t>e</w:t>
      </w:r>
      <w:r w:rsidRPr="00B32F4A">
        <w:rPr>
          <w:rFonts w:eastAsia="Times New Roman"/>
          <w:noProof/>
          <w:color w:val="1C1C1C"/>
          <w:spacing w:val="-4"/>
        </w:rPr>
        <w:t>m</w:t>
      </w:r>
      <w:r w:rsidRPr="00B32F4A">
        <w:rPr>
          <w:rFonts w:eastAsia="Times New Roman"/>
          <w:noProof/>
          <w:color w:val="1C1C1C"/>
        </w:rPr>
        <w:t>une</w:t>
      </w:r>
      <w:r w:rsidRPr="00B32F4A">
        <w:rPr>
          <w:rFonts w:eastAsia="Times New Roman"/>
          <w:noProof/>
          <w:color w:val="1C1C1C"/>
          <w:spacing w:val="1"/>
        </w:rPr>
        <w:t>r</w:t>
      </w:r>
      <w:r w:rsidRPr="00B32F4A">
        <w:rPr>
          <w:rFonts w:eastAsia="Times New Roman"/>
          <w:noProof/>
          <w:color w:val="1C1C1C"/>
        </w:rPr>
        <w:t>a</w:t>
      </w:r>
      <w:r w:rsidRPr="00B32F4A">
        <w:rPr>
          <w:rFonts w:eastAsia="Times New Roman"/>
          <w:noProof/>
          <w:color w:val="1C1C1C"/>
          <w:spacing w:val="-1"/>
        </w:rPr>
        <w:t>t</w:t>
      </w:r>
      <w:r w:rsidRPr="00B32F4A">
        <w:rPr>
          <w:rFonts w:eastAsia="Times New Roman"/>
          <w:noProof/>
          <w:color w:val="1C1C1C"/>
          <w:spacing w:val="1"/>
        </w:rPr>
        <w:t>i</w:t>
      </w:r>
      <w:r w:rsidRPr="00B32F4A">
        <w:rPr>
          <w:rFonts w:eastAsia="Times New Roman"/>
          <w:noProof/>
          <w:color w:val="1C1C1C"/>
        </w:rPr>
        <w:t>on</w:t>
      </w:r>
      <w:r>
        <w:rPr>
          <w:rFonts w:eastAsia="Times New Roman"/>
          <w:color w:val="1C1C1C"/>
          <w:spacing w:val="-2"/>
        </w:rPr>
        <w:t xml:space="preserve"> </w:t>
      </w:r>
      <w:r>
        <w:rPr>
          <w:rFonts w:eastAsia="Times New Roman"/>
          <w:color w:val="1C1C1C"/>
          <w:spacing w:val="1"/>
        </w:rPr>
        <w:t>i</w:t>
      </w:r>
      <w:r>
        <w:rPr>
          <w:rFonts w:eastAsia="Times New Roman"/>
          <w:color w:val="1C1C1C"/>
        </w:rPr>
        <w:t>s s</w:t>
      </w:r>
      <w:r>
        <w:rPr>
          <w:rFonts w:eastAsia="Times New Roman"/>
          <w:color w:val="1C1C1C"/>
          <w:spacing w:val="1"/>
        </w:rPr>
        <w:t>t</w:t>
      </w:r>
      <w:r>
        <w:rPr>
          <w:rFonts w:eastAsia="Times New Roman"/>
          <w:color w:val="1C1C1C"/>
        </w:rPr>
        <w:t>an</w:t>
      </w:r>
      <w:r>
        <w:rPr>
          <w:rFonts w:eastAsia="Times New Roman"/>
          <w:color w:val="1C1C1C"/>
          <w:spacing w:val="-2"/>
        </w:rPr>
        <w:t>d</w:t>
      </w:r>
      <w:r>
        <w:rPr>
          <w:rFonts w:eastAsia="Times New Roman"/>
          <w:color w:val="1C1C1C"/>
        </w:rPr>
        <w:t>a</w:t>
      </w:r>
      <w:r>
        <w:rPr>
          <w:rFonts w:eastAsia="Times New Roman"/>
          <w:color w:val="1C1C1C"/>
          <w:spacing w:val="1"/>
        </w:rPr>
        <w:t>r</w:t>
      </w:r>
      <w:r>
        <w:rPr>
          <w:rFonts w:eastAsia="Times New Roman"/>
          <w:color w:val="1C1C1C"/>
        </w:rPr>
        <w:t>d</w:t>
      </w:r>
      <w:r>
        <w:rPr>
          <w:rFonts w:eastAsia="Times New Roman"/>
          <w:color w:val="1C1C1C"/>
          <w:spacing w:val="-2"/>
        </w:rPr>
        <w:t xml:space="preserve"> </w:t>
      </w:r>
      <w:r>
        <w:rPr>
          <w:rFonts w:eastAsia="Times New Roman"/>
          <w:color w:val="1C1C1C"/>
          <w:spacing w:val="1"/>
        </w:rPr>
        <w:t>f</w:t>
      </w:r>
      <w:r>
        <w:rPr>
          <w:rFonts w:eastAsia="Times New Roman"/>
          <w:color w:val="1C1C1C"/>
          <w:spacing w:val="-2"/>
        </w:rPr>
        <w:t>o</w:t>
      </w:r>
      <w:r>
        <w:rPr>
          <w:rFonts w:eastAsia="Times New Roman"/>
          <w:color w:val="1C1C1C"/>
        </w:rPr>
        <w:t>r</w:t>
      </w:r>
      <w:r>
        <w:rPr>
          <w:rFonts w:eastAsia="Times New Roman"/>
          <w:color w:val="1C1C1C"/>
          <w:spacing w:val="1"/>
        </w:rPr>
        <w:t xml:space="preserve"> </w:t>
      </w:r>
      <w:r>
        <w:rPr>
          <w:rFonts w:eastAsia="Times New Roman"/>
          <w:color w:val="1C1C1C"/>
          <w:spacing w:val="-1"/>
        </w:rPr>
        <w:t>A</w:t>
      </w:r>
      <w:r>
        <w:rPr>
          <w:rFonts w:eastAsia="Times New Roman"/>
          <w:color w:val="1C1C1C"/>
          <w:spacing w:val="-4"/>
        </w:rPr>
        <w:t>m</w:t>
      </w:r>
      <w:r>
        <w:rPr>
          <w:rFonts w:eastAsia="Times New Roman"/>
          <w:color w:val="1C1C1C"/>
        </w:rPr>
        <w:t>a</w:t>
      </w:r>
      <w:r>
        <w:rPr>
          <w:rFonts w:eastAsia="Times New Roman"/>
          <w:color w:val="1C1C1C"/>
          <w:spacing w:val="-2"/>
        </w:rPr>
        <w:t>z</w:t>
      </w:r>
      <w:r>
        <w:rPr>
          <w:rFonts w:eastAsia="Times New Roman"/>
          <w:color w:val="1C1C1C"/>
        </w:rPr>
        <w:t>on</w:t>
      </w:r>
      <w:r>
        <w:rPr>
          <w:rFonts w:eastAsia="Times New Roman"/>
          <w:color w:val="1C1C1C"/>
          <w:spacing w:val="3"/>
        </w:rPr>
        <w:t xml:space="preserve"> </w:t>
      </w:r>
      <w:r>
        <w:rPr>
          <w:rFonts w:eastAsia="Times New Roman"/>
          <w:color w:val="1C1C1C"/>
          <w:spacing w:val="-4"/>
        </w:rPr>
        <w:t>m</w:t>
      </w:r>
      <w:r>
        <w:rPr>
          <w:rFonts w:eastAsia="Times New Roman"/>
          <w:color w:val="1C1C1C"/>
          <w:spacing w:val="2"/>
        </w:rPr>
        <w:t>T</w:t>
      </w:r>
      <w:r>
        <w:rPr>
          <w:rFonts w:eastAsia="Times New Roman"/>
          <w:color w:val="1C1C1C"/>
        </w:rPr>
        <w:t>u</w:t>
      </w:r>
      <w:r>
        <w:rPr>
          <w:rFonts w:eastAsia="Times New Roman"/>
          <w:color w:val="1C1C1C"/>
          <w:spacing w:val="-2"/>
        </w:rPr>
        <w:t>r</w:t>
      </w:r>
      <w:r>
        <w:rPr>
          <w:rFonts w:eastAsia="Times New Roman"/>
          <w:color w:val="1C1C1C"/>
        </w:rPr>
        <w:t>k</w:t>
      </w:r>
      <w:r>
        <w:rPr>
          <w:rFonts w:eastAsia="Times New Roman"/>
          <w:color w:val="1C1C1C"/>
          <w:spacing w:val="-2"/>
        </w:rPr>
        <w:t xml:space="preserve"> </w:t>
      </w:r>
      <w:r>
        <w:rPr>
          <w:rFonts w:eastAsia="Times New Roman"/>
          <w:color w:val="1C1C1C"/>
        </w:rPr>
        <w:t>pa</w:t>
      </w:r>
      <w:r>
        <w:rPr>
          <w:rFonts w:eastAsia="Times New Roman"/>
          <w:color w:val="1C1C1C"/>
          <w:spacing w:val="1"/>
        </w:rPr>
        <w:t>rt</w:t>
      </w:r>
      <w:r>
        <w:rPr>
          <w:rFonts w:eastAsia="Times New Roman"/>
          <w:color w:val="1C1C1C"/>
          <w:spacing w:val="-1"/>
        </w:rPr>
        <w:t>i</w:t>
      </w:r>
      <w:r>
        <w:rPr>
          <w:rFonts w:eastAsia="Times New Roman"/>
          <w:color w:val="1C1C1C"/>
        </w:rPr>
        <w:t>c</w:t>
      </w:r>
      <w:r>
        <w:rPr>
          <w:rFonts w:eastAsia="Times New Roman"/>
          <w:color w:val="1C1C1C"/>
          <w:spacing w:val="1"/>
        </w:rPr>
        <w:t>i</w:t>
      </w:r>
      <w:r>
        <w:rPr>
          <w:rFonts w:eastAsia="Times New Roman"/>
          <w:color w:val="1C1C1C"/>
          <w:spacing w:val="-2"/>
        </w:rPr>
        <w:t>p</w:t>
      </w:r>
      <w:r>
        <w:rPr>
          <w:rFonts w:eastAsia="Times New Roman"/>
          <w:color w:val="1C1C1C"/>
        </w:rPr>
        <w:t>ant</w:t>
      </w:r>
      <w:r>
        <w:rPr>
          <w:rFonts w:eastAsia="Times New Roman"/>
          <w:color w:val="1C1C1C"/>
          <w:spacing w:val="-1"/>
        </w:rPr>
        <w:t xml:space="preserve"> </w:t>
      </w:r>
      <w:r>
        <w:rPr>
          <w:rFonts w:eastAsia="Times New Roman"/>
          <w:color w:val="1C1C1C"/>
        </w:rPr>
        <w:t>pa</w:t>
      </w:r>
      <w:r>
        <w:rPr>
          <w:rFonts w:eastAsia="Times New Roman"/>
          <w:color w:val="1C1C1C"/>
          <w:spacing w:val="-2"/>
        </w:rPr>
        <w:t>y</w:t>
      </w:r>
      <w:r>
        <w:rPr>
          <w:rFonts w:eastAsia="Times New Roman"/>
          <w:color w:val="1C1C1C"/>
          <w:spacing w:val="-4"/>
        </w:rPr>
        <w:t>m</w:t>
      </w:r>
      <w:r>
        <w:rPr>
          <w:rFonts w:eastAsia="Times New Roman"/>
          <w:color w:val="1C1C1C"/>
        </w:rPr>
        <w:t>en</w:t>
      </w:r>
      <w:r>
        <w:rPr>
          <w:rFonts w:eastAsia="Times New Roman"/>
          <w:color w:val="1C1C1C"/>
          <w:spacing w:val="1"/>
        </w:rPr>
        <w:t xml:space="preserve">t (see selected readings, </w:t>
      </w:r>
      <w:r>
        <w:rPr>
          <w:rFonts w:eastAsia="Times New Roman"/>
          <w:b/>
          <w:color w:val="1C1C1C"/>
          <w:spacing w:val="1"/>
        </w:rPr>
        <w:t>Attachment</w:t>
      </w:r>
      <w:r w:rsidR="00445602">
        <w:rPr>
          <w:rFonts w:eastAsia="Times New Roman"/>
          <w:b/>
          <w:color w:val="1C1C1C"/>
          <w:spacing w:val="1"/>
        </w:rPr>
        <w:t xml:space="preserve"> </w:t>
      </w:r>
      <w:r>
        <w:rPr>
          <w:rFonts w:eastAsia="Times New Roman"/>
          <w:b/>
          <w:color w:val="1C1C1C"/>
          <w:spacing w:val="1"/>
        </w:rPr>
        <w:t>A</w:t>
      </w:r>
      <w:r w:rsidRPr="00FD0250">
        <w:rPr>
          <w:rFonts w:eastAsia="Times New Roman"/>
          <w:color w:val="1C1C1C"/>
          <w:spacing w:val="1"/>
        </w:rPr>
        <w:t>)</w:t>
      </w:r>
      <w:r>
        <w:rPr>
          <w:rFonts w:eastAsia="Times New Roman"/>
          <w:color w:val="1C1C1C"/>
        </w:rPr>
        <w:t xml:space="preserve">, and is consistent with </w:t>
      </w:r>
      <w:r w:rsidRPr="00B32F4A">
        <w:rPr>
          <w:rFonts w:eastAsia="Times New Roman"/>
          <w:noProof/>
          <w:color w:val="1C1C1C"/>
        </w:rPr>
        <w:t>remuneration</w:t>
      </w:r>
      <w:r>
        <w:rPr>
          <w:rFonts w:eastAsia="Times New Roman"/>
          <w:color w:val="1C1C1C"/>
        </w:rPr>
        <w:t xml:space="preserve"> offered in previously approved studies (</w:t>
      </w:r>
      <w:r>
        <w:rPr>
          <w:bCs/>
          <w:color w:val="222222"/>
        </w:rPr>
        <w:t>0925-0645-06</w:t>
      </w:r>
      <w:r w:rsidR="00390AEE">
        <w:rPr>
          <w:bCs/>
          <w:color w:val="222222"/>
        </w:rPr>
        <w:t>, expiry 12/31/14</w:t>
      </w:r>
      <w:r>
        <w:rPr>
          <w:bCs/>
          <w:color w:val="222222"/>
        </w:rPr>
        <w:t>; 0925-0645-08)</w:t>
      </w:r>
      <w:r w:rsidR="00390AEE">
        <w:rPr>
          <w:bCs/>
          <w:color w:val="222222"/>
        </w:rPr>
        <w:t>, expiry 12/31/14</w:t>
      </w:r>
      <w:r>
        <w:rPr>
          <w:rFonts w:eastAsia="Times New Roman"/>
          <w:color w:val="1C1C1C"/>
        </w:rPr>
        <w:t xml:space="preserve">. </w:t>
      </w:r>
      <w:r w:rsidRPr="00B32F4A">
        <w:rPr>
          <w:rFonts w:eastAsia="Times New Roman"/>
          <w:noProof/>
          <w:color w:val="1C1C1C"/>
          <w:spacing w:val="2"/>
        </w:rPr>
        <w:t>T</w:t>
      </w:r>
      <w:r w:rsidRPr="00B32F4A">
        <w:rPr>
          <w:rFonts w:eastAsia="Times New Roman"/>
          <w:noProof/>
          <w:color w:val="1C1C1C"/>
          <w:spacing w:val="-2"/>
        </w:rPr>
        <w:t>h</w:t>
      </w:r>
      <w:r w:rsidRPr="00B32F4A">
        <w:rPr>
          <w:rFonts w:eastAsia="Times New Roman"/>
          <w:noProof/>
          <w:color w:val="1C1C1C"/>
          <w:spacing w:val="1"/>
        </w:rPr>
        <w:t>i</w:t>
      </w:r>
      <w:r w:rsidRPr="00B32F4A">
        <w:rPr>
          <w:rFonts w:eastAsia="Times New Roman"/>
          <w:noProof/>
          <w:color w:val="1C1C1C"/>
        </w:rPr>
        <w:t>s</w:t>
      </w:r>
      <w:r w:rsidRPr="00B32F4A">
        <w:rPr>
          <w:rFonts w:eastAsia="Times New Roman"/>
          <w:noProof/>
          <w:color w:val="1C1C1C"/>
          <w:spacing w:val="-2"/>
        </w:rPr>
        <w:t xml:space="preserve"> </w:t>
      </w:r>
      <w:r w:rsidRPr="00B32F4A">
        <w:rPr>
          <w:rFonts w:eastAsia="Times New Roman"/>
          <w:noProof/>
          <w:color w:val="1C1C1C"/>
        </w:rPr>
        <w:t>a</w:t>
      </w:r>
      <w:r w:rsidRPr="00B32F4A">
        <w:rPr>
          <w:rFonts w:eastAsia="Times New Roman"/>
          <w:noProof/>
          <w:color w:val="1C1C1C"/>
          <w:spacing w:val="-4"/>
        </w:rPr>
        <w:t>m</w:t>
      </w:r>
      <w:r w:rsidRPr="00B32F4A">
        <w:rPr>
          <w:rFonts w:eastAsia="Times New Roman"/>
          <w:noProof/>
          <w:color w:val="1C1C1C"/>
        </w:rPr>
        <w:t>ount</w:t>
      </w:r>
      <w:r w:rsidRPr="00B32F4A">
        <w:rPr>
          <w:rFonts w:eastAsia="Times New Roman"/>
          <w:noProof/>
          <w:color w:val="1C1C1C"/>
          <w:spacing w:val="1"/>
        </w:rPr>
        <w:t xml:space="preserve"> </w:t>
      </w:r>
      <w:r w:rsidRPr="00B32F4A">
        <w:rPr>
          <w:rFonts w:eastAsia="Times New Roman"/>
          <w:noProof/>
          <w:color w:val="1C1C1C"/>
          <w:spacing w:val="-1"/>
        </w:rPr>
        <w:t>w</w:t>
      </w:r>
      <w:r w:rsidRPr="00B32F4A">
        <w:rPr>
          <w:rFonts w:eastAsia="Times New Roman"/>
          <w:noProof/>
          <w:color w:val="1C1C1C"/>
          <w:spacing w:val="1"/>
        </w:rPr>
        <w:t>i</w:t>
      </w:r>
      <w:r w:rsidRPr="00B32F4A">
        <w:rPr>
          <w:rFonts w:eastAsia="Times New Roman"/>
          <w:noProof/>
          <w:color w:val="1C1C1C"/>
          <w:spacing w:val="-1"/>
        </w:rPr>
        <w:t>l</w:t>
      </w:r>
      <w:r w:rsidRPr="00B32F4A">
        <w:rPr>
          <w:rFonts w:eastAsia="Times New Roman"/>
          <w:noProof/>
          <w:color w:val="1C1C1C"/>
        </w:rPr>
        <w:t>l</w:t>
      </w:r>
      <w:r w:rsidRPr="00B32F4A">
        <w:rPr>
          <w:rFonts w:eastAsia="Times New Roman"/>
          <w:noProof/>
          <w:color w:val="1C1C1C"/>
          <w:spacing w:val="1"/>
        </w:rPr>
        <w:t xml:space="preserve"> </w:t>
      </w:r>
      <w:r w:rsidRPr="00B32F4A">
        <w:rPr>
          <w:rFonts w:eastAsia="Times New Roman"/>
          <w:noProof/>
          <w:color w:val="1C1C1C"/>
        </w:rPr>
        <w:t>be</w:t>
      </w:r>
      <w:r w:rsidRPr="00B32F4A">
        <w:rPr>
          <w:rFonts w:eastAsia="Times New Roman"/>
          <w:noProof/>
          <w:color w:val="1C1C1C"/>
          <w:spacing w:val="-2"/>
        </w:rPr>
        <w:t xml:space="preserve"> </w:t>
      </w:r>
      <w:r w:rsidRPr="00B32F4A">
        <w:rPr>
          <w:rFonts w:eastAsia="Times New Roman"/>
          <w:noProof/>
          <w:color w:val="1C1C1C"/>
          <w:spacing w:val="1"/>
        </w:rPr>
        <w:t>i</w:t>
      </w:r>
      <w:r w:rsidRPr="00B32F4A">
        <w:rPr>
          <w:rFonts w:eastAsia="Times New Roman"/>
          <w:noProof/>
          <w:color w:val="1C1C1C"/>
        </w:rPr>
        <w:t>s</w:t>
      </w:r>
      <w:r w:rsidRPr="00B32F4A">
        <w:rPr>
          <w:rFonts w:eastAsia="Times New Roman"/>
          <w:noProof/>
          <w:color w:val="1C1C1C"/>
          <w:spacing w:val="-2"/>
        </w:rPr>
        <w:t>s</w:t>
      </w:r>
      <w:r w:rsidRPr="00B32F4A">
        <w:rPr>
          <w:rFonts w:eastAsia="Times New Roman"/>
          <w:noProof/>
          <w:color w:val="1C1C1C"/>
        </w:rPr>
        <w:t>ued by</w:t>
      </w:r>
      <w:r w:rsidRPr="00B32F4A">
        <w:rPr>
          <w:rFonts w:eastAsia="Times New Roman"/>
          <w:noProof/>
          <w:color w:val="1C1C1C"/>
          <w:spacing w:val="-5"/>
        </w:rPr>
        <w:t xml:space="preserve"> </w:t>
      </w:r>
      <w:r w:rsidRPr="00B32F4A">
        <w:rPr>
          <w:rFonts w:eastAsia="Times New Roman"/>
          <w:noProof/>
          <w:color w:val="1C1C1C"/>
          <w:spacing w:val="1"/>
        </w:rPr>
        <w:t>A</w:t>
      </w:r>
      <w:r w:rsidRPr="00B32F4A">
        <w:rPr>
          <w:rFonts w:eastAsia="Times New Roman"/>
          <w:noProof/>
          <w:color w:val="1C1C1C"/>
          <w:spacing w:val="-4"/>
        </w:rPr>
        <w:t>m</w:t>
      </w:r>
      <w:r w:rsidRPr="00B32F4A">
        <w:rPr>
          <w:rFonts w:eastAsia="Times New Roman"/>
          <w:noProof/>
          <w:color w:val="1C1C1C"/>
        </w:rPr>
        <w:t>a</w:t>
      </w:r>
      <w:r w:rsidRPr="00B32F4A">
        <w:rPr>
          <w:rFonts w:eastAsia="Times New Roman"/>
          <w:noProof/>
          <w:color w:val="1C1C1C"/>
          <w:spacing w:val="-2"/>
        </w:rPr>
        <w:t>z</w:t>
      </w:r>
      <w:r w:rsidRPr="00B32F4A">
        <w:rPr>
          <w:rFonts w:eastAsia="Times New Roman"/>
          <w:noProof/>
          <w:color w:val="1C1C1C"/>
        </w:rPr>
        <w:t>on</w:t>
      </w:r>
      <w:r>
        <w:rPr>
          <w:rFonts w:eastAsia="Times New Roman"/>
          <w:color w:val="1C1C1C"/>
        </w:rPr>
        <w:t xml:space="preserve"> </w:t>
      </w:r>
      <w:r>
        <w:rPr>
          <w:rFonts w:eastAsia="Times New Roman"/>
          <w:color w:val="1C1C1C"/>
          <w:spacing w:val="1"/>
        </w:rPr>
        <w:t>t</w:t>
      </w:r>
      <w:r>
        <w:rPr>
          <w:rFonts w:eastAsia="Times New Roman"/>
          <w:color w:val="1C1C1C"/>
        </w:rPr>
        <w:t>o pa</w:t>
      </w:r>
      <w:r>
        <w:rPr>
          <w:rFonts w:eastAsia="Times New Roman"/>
          <w:color w:val="1C1C1C"/>
          <w:spacing w:val="-2"/>
        </w:rPr>
        <w:t>r</w:t>
      </w:r>
      <w:r>
        <w:rPr>
          <w:rFonts w:eastAsia="Times New Roman"/>
          <w:color w:val="1C1C1C"/>
          <w:spacing w:val="1"/>
        </w:rPr>
        <w:t>t</w:t>
      </w:r>
      <w:r>
        <w:rPr>
          <w:rFonts w:eastAsia="Times New Roman"/>
          <w:color w:val="1C1C1C"/>
          <w:spacing w:val="-1"/>
        </w:rPr>
        <w:t>i</w:t>
      </w:r>
      <w:r>
        <w:rPr>
          <w:rFonts w:eastAsia="Times New Roman"/>
          <w:color w:val="1C1C1C"/>
        </w:rPr>
        <w:t>c</w:t>
      </w:r>
      <w:r>
        <w:rPr>
          <w:rFonts w:eastAsia="Times New Roman"/>
          <w:color w:val="1C1C1C"/>
          <w:spacing w:val="1"/>
        </w:rPr>
        <w:t>i</w:t>
      </w:r>
      <w:r>
        <w:rPr>
          <w:rFonts w:eastAsia="Times New Roman"/>
          <w:color w:val="1C1C1C"/>
          <w:spacing w:val="-2"/>
        </w:rPr>
        <w:t>p</w:t>
      </w:r>
      <w:r>
        <w:rPr>
          <w:rFonts w:eastAsia="Times New Roman"/>
          <w:color w:val="1C1C1C"/>
        </w:rPr>
        <w:t>an</w:t>
      </w:r>
      <w:r>
        <w:rPr>
          <w:rFonts w:eastAsia="Times New Roman"/>
          <w:color w:val="1C1C1C"/>
          <w:spacing w:val="-1"/>
        </w:rPr>
        <w:t>t</w:t>
      </w:r>
      <w:r>
        <w:rPr>
          <w:rFonts w:eastAsia="Times New Roman"/>
          <w:color w:val="1C1C1C"/>
        </w:rPr>
        <w:t xml:space="preserve">s’ </w:t>
      </w:r>
      <w:r>
        <w:rPr>
          <w:rFonts w:eastAsia="Times New Roman"/>
          <w:color w:val="1C1C1C"/>
          <w:spacing w:val="-4"/>
        </w:rPr>
        <w:t>m</w:t>
      </w:r>
      <w:r>
        <w:rPr>
          <w:rFonts w:eastAsia="Times New Roman"/>
          <w:color w:val="1C1C1C"/>
          <w:spacing w:val="2"/>
        </w:rPr>
        <w:t>T</w:t>
      </w:r>
      <w:r>
        <w:rPr>
          <w:rFonts w:eastAsia="Times New Roman"/>
          <w:color w:val="1C1C1C"/>
        </w:rPr>
        <w:t>u</w:t>
      </w:r>
      <w:r>
        <w:rPr>
          <w:rFonts w:eastAsia="Times New Roman"/>
          <w:color w:val="1C1C1C"/>
          <w:spacing w:val="1"/>
        </w:rPr>
        <w:t>r</w:t>
      </w:r>
      <w:r>
        <w:rPr>
          <w:rFonts w:eastAsia="Times New Roman"/>
          <w:color w:val="1C1C1C"/>
        </w:rPr>
        <w:t>k</w:t>
      </w:r>
      <w:r>
        <w:rPr>
          <w:rFonts w:eastAsia="Times New Roman"/>
          <w:color w:val="1C1C1C"/>
          <w:spacing w:val="-2"/>
        </w:rPr>
        <w:t xml:space="preserve"> </w:t>
      </w:r>
      <w:r>
        <w:rPr>
          <w:rFonts w:eastAsia="Times New Roman"/>
          <w:color w:val="1C1C1C"/>
        </w:rPr>
        <w:t>“</w:t>
      </w:r>
      <w:r>
        <w:rPr>
          <w:rFonts w:eastAsia="Times New Roman"/>
          <w:color w:val="1C1C1C"/>
          <w:spacing w:val="-1"/>
        </w:rPr>
        <w:t>w</w:t>
      </w:r>
      <w:r>
        <w:rPr>
          <w:rFonts w:eastAsia="Times New Roman"/>
          <w:color w:val="1C1C1C"/>
        </w:rPr>
        <w:t>o</w:t>
      </w:r>
      <w:r>
        <w:rPr>
          <w:rFonts w:eastAsia="Times New Roman"/>
          <w:color w:val="1C1C1C"/>
          <w:spacing w:val="1"/>
        </w:rPr>
        <w:t>r</w:t>
      </w:r>
      <w:r>
        <w:rPr>
          <w:rFonts w:eastAsia="Times New Roman"/>
          <w:color w:val="1C1C1C"/>
          <w:spacing w:val="-2"/>
        </w:rPr>
        <w:t>k</w:t>
      </w:r>
      <w:r>
        <w:rPr>
          <w:rFonts w:eastAsia="Times New Roman"/>
          <w:color w:val="1C1C1C"/>
        </w:rPr>
        <w:t>e</w:t>
      </w:r>
      <w:r>
        <w:rPr>
          <w:rFonts w:eastAsia="Times New Roman"/>
          <w:color w:val="1C1C1C"/>
          <w:spacing w:val="1"/>
        </w:rPr>
        <w:t>r</w:t>
      </w:r>
      <w:r>
        <w:rPr>
          <w:rFonts w:eastAsia="Times New Roman"/>
          <w:color w:val="1C1C1C"/>
        </w:rPr>
        <w:t>”</w:t>
      </w:r>
      <w:r>
        <w:rPr>
          <w:rFonts w:eastAsia="Times New Roman"/>
          <w:color w:val="1C1C1C"/>
          <w:spacing w:val="1"/>
        </w:rPr>
        <w:t xml:space="preserve"> </w:t>
      </w:r>
      <w:r>
        <w:rPr>
          <w:rFonts w:eastAsia="Times New Roman"/>
          <w:color w:val="1C1C1C"/>
        </w:rPr>
        <w:t>a</w:t>
      </w:r>
      <w:r>
        <w:rPr>
          <w:rFonts w:eastAsia="Times New Roman"/>
          <w:color w:val="1C1C1C"/>
          <w:spacing w:val="-2"/>
        </w:rPr>
        <w:t>c</w:t>
      </w:r>
      <w:r>
        <w:rPr>
          <w:rFonts w:eastAsia="Times New Roman"/>
          <w:color w:val="1C1C1C"/>
        </w:rPr>
        <w:t>cou</w:t>
      </w:r>
      <w:r>
        <w:rPr>
          <w:rFonts w:eastAsia="Times New Roman"/>
          <w:color w:val="1C1C1C"/>
          <w:spacing w:val="-2"/>
        </w:rPr>
        <w:t>n</w:t>
      </w:r>
      <w:r>
        <w:rPr>
          <w:rFonts w:eastAsia="Times New Roman"/>
          <w:color w:val="1C1C1C"/>
          <w:spacing w:val="1"/>
        </w:rPr>
        <w:t>t</w:t>
      </w:r>
      <w:r>
        <w:rPr>
          <w:rFonts w:eastAsia="Times New Roman"/>
          <w:color w:val="1C1C1C"/>
        </w:rPr>
        <w:t>s</w:t>
      </w:r>
      <w:r>
        <w:rPr>
          <w:rFonts w:eastAsia="Times New Roman"/>
        </w:rPr>
        <w:t xml:space="preserve">. </w:t>
      </w:r>
    </w:p>
    <w:p w14:paraId="25D2BAB4" w14:textId="77777777" w:rsidR="00685B30" w:rsidRPr="008942E9" w:rsidRDefault="00685B30" w:rsidP="00685B30">
      <w:pPr>
        <w:pStyle w:val="P1-StandPara"/>
        <w:ind w:firstLine="0"/>
        <w:rPr>
          <w:rFonts w:ascii="Calibri" w:hAnsi="Calibri"/>
          <w:b/>
          <w:szCs w:val="22"/>
        </w:rPr>
      </w:pPr>
      <w:r w:rsidRPr="008942E9">
        <w:rPr>
          <w:rFonts w:ascii="Calibri" w:hAnsi="Calibri"/>
          <w:b/>
          <w:szCs w:val="22"/>
        </w:rPr>
        <w:t>A.10</w:t>
      </w:r>
      <w:r w:rsidRPr="008942E9">
        <w:rPr>
          <w:rFonts w:ascii="Calibri" w:hAnsi="Calibri"/>
          <w:b/>
          <w:szCs w:val="22"/>
        </w:rPr>
        <w:tab/>
        <w:t>Assurance of Confidentiality Provided to Respondents</w:t>
      </w:r>
    </w:p>
    <w:p w14:paraId="20515234" w14:textId="77777777" w:rsidR="0036208F" w:rsidRPr="008942E9" w:rsidRDefault="0036208F" w:rsidP="00E35DD1">
      <w:pPr>
        <w:pStyle w:val="P1-StandPara"/>
        <w:spacing w:line="240" w:lineRule="auto"/>
        <w:ind w:firstLine="0"/>
        <w:rPr>
          <w:rFonts w:ascii="Calibri" w:hAnsi="Calibri"/>
          <w:szCs w:val="22"/>
        </w:rPr>
      </w:pPr>
    </w:p>
    <w:p w14:paraId="6ACB4674" w14:textId="4EFD4C14" w:rsidR="002B56B8" w:rsidRDefault="002B56B8" w:rsidP="002B56B8">
      <w:pPr>
        <w:jc w:val="both"/>
        <w:rPr>
          <w:color w:val="000000"/>
        </w:rPr>
      </w:pPr>
      <w:r>
        <w:rPr>
          <w:color w:val="000000"/>
        </w:rPr>
        <w:t xml:space="preserve">The information will be kept private to the extent that is allowed by law. No PII will </w:t>
      </w:r>
      <w:r w:rsidRPr="00B32F4A">
        <w:rPr>
          <w:noProof/>
          <w:color w:val="000000"/>
        </w:rPr>
        <w:t>be collected</w:t>
      </w:r>
      <w:r>
        <w:rPr>
          <w:color w:val="000000"/>
        </w:rPr>
        <w:t xml:space="preserve">. The Privacy Act Coordinator determined that a PIA </w:t>
      </w:r>
      <w:r w:rsidRPr="00B32F4A">
        <w:rPr>
          <w:noProof/>
          <w:color w:val="000000"/>
        </w:rPr>
        <w:t>is not</w:t>
      </w:r>
      <w:r>
        <w:rPr>
          <w:color w:val="000000"/>
        </w:rPr>
        <w:t xml:space="preserve"> necessary.</w:t>
      </w:r>
      <w:r w:rsidRPr="00544F15">
        <w:rPr>
          <w:color w:val="000000"/>
        </w:rPr>
        <w:t xml:space="preserve"> </w:t>
      </w:r>
      <w:r>
        <w:rPr>
          <w:color w:val="000000"/>
        </w:rPr>
        <w:t xml:space="preserve">This project has </w:t>
      </w:r>
      <w:r w:rsidRPr="00B32F4A">
        <w:rPr>
          <w:noProof/>
          <w:color w:val="000000"/>
        </w:rPr>
        <w:t>been approved</w:t>
      </w:r>
      <w:r>
        <w:rPr>
          <w:color w:val="000000"/>
        </w:rPr>
        <w:t xml:space="preserve"> by the NCI Special Studies IRB </w:t>
      </w:r>
      <w:r w:rsidR="00445602">
        <w:rPr>
          <w:color w:val="000000"/>
        </w:rPr>
        <w:t>(</w:t>
      </w:r>
      <w:r w:rsidR="00445602" w:rsidRPr="00390AEE">
        <w:rPr>
          <w:b/>
          <w:color w:val="000000"/>
        </w:rPr>
        <w:t>A</w:t>
      </w:r>
      <w:r w:rsidRPr="00390AEE">
        <w:rPr>
          <w:b/>
          <w:color w:val="000000"/>
        </w:rPr>
        <w:t>ttachment C</w:t>
      </w:r>
      <w:r>
        <w:rPr>
          <w:color w:val="000000"/>
        </w:rPr>
        <w:t>).</w:t>
      </w:r>
    </w:p>
    <w:p w14:paraId="709ADADA" w14:textId="4D8227B8" w:rsidR="001B0225" w:rsidRPr="009D02C1" w:rsidRDefault="001B0225" w:rsidP="002B56B8">
      <w:pPr>
        <w:jc w:val="both"/>
        <w:rPr>
          <w:color w:val="000000"/>
        </w:rPr>
      </w:pPr>
      <w:r w:rsidRPr="008E0831">
        <w:rPr>
          <w:color w:val="000000"/>
        </w:rPr>
        <w:t xml:space="preserve">The Privacy Act </w:t>
      </w:r>
      <w:r w:rsidR="008E0831" w:rsidRPr="008E0831">
        <w:rPr>
          <w:color w:val="000000"/>
        </w:rPr>
        <w:t xml:space="preserve">is </w:t>
      </w:r>
      <w:r w:rsidRPr="008E0831">
        <w:rPr>
          <w:color w:val="000000"/>
        </w:rPr>
        <w:t>not applicable as determined by the Privacy Act Memo (Attachment D).</w:t>
      </w:r>
      <w:bookmarkStart w:id="24" w:name="_GoBack"/>
      <w:bookmarkEnd w:id="24"/>
    </w:p>
    <w:p w14:paraId="135AC31F" w14:textId="77777777" w:rsidR="00E35DD1" w:rsidRPr="008942E9" w:rsidRDefault="00E35DD1" w:rsidP="00E35DD1">
      <w:pPr>
        <w:pStyle w:val="P1-StandPara"/>
        <w:spacing w:line="240" w:lineRule="auto"/>
        <w:ind w:firstLine="0"/>
        <w:rPr>
          <w:rFonts w:ascii="Calibri" w:hAnsi="Calibri"/>
          <w:szCs w:val="22"/>
        </w:rPr>
      </w:pPr>
    </w:p>
    <w:p w14:paraId="1BFC3895" w14:textId="77777777" w:rsidR="00685B30" w:rsidRPr="008942E9" w:rsidRDefault="00685B30" w:rsidP="00685B30">
      <w:pPr>
        <w:pStyle w:val="P1-StandPara"/>
        <w:ind w:firstLine="0"/>
        <w:rPr>
          <w:rFonts w:ascii="Calibri" w:hAnsi="Calibri"/>
          <w:b/>
          <w:szCs w:val="22"/>
        </w:rPr>
      </w:pPr>
      <w:r w:rsidRPr="008942E9">
        <w:rPr>
          <w:rFonts w:ascii="Calibri" w:hAnsi="Calibri"/>
          <w:b/>
          <w:szCs w:val="22"/>
        </w:rPr>
        <w:t>A.11</w:t>
      </w:r>
      <w:r w:rsidRPr="008942E9">
        <w:rPr>
          <w:rFonts w:ascii="Calibri" w:hAnsi="Calibri"/>
          <w:b/>
          <w:szCs w:val="22"/>
        </w:rPr>
        <w:tab/>
        <w:t>Justification for Sensitive Questions</w:t>
      </w:r>
    </w:p>
    <w:p w14:paraId="218C605E" w14:textId="665C6AC3" w:rsidR="002B56B8" w:rsidRPr="00730672" w:rsidRDefault="002B56B8" w:rsidP="00390AEE">
      <w:pPr>
        <w:autoSpaceDE w:val="0"/>
        <w:autoSpaceDN w:val="0"/>
        <w:adjustRightInd w:val="0"/>
      </w:pPr>
      <w:r>
        <w:t xml:space="preserve">No PII will </w:t>
      </w:r>
      <w:r w:rsidRPr="00B32F4A">
        <w:rPr>
          <w:noProof/>
        </w:rPr>
        <w:t>be collected</w:t>
      </w:r>
      <w:r>
        <w:t xml:space="preserve">. No sensitive questions will </w:t>
      </w:r>
      <w:r w:rsidRPr="00B32F4A">
        <w:rPr>
          <w:noProof/>
        </w:rPr>
        <w:t>be asked</w:t>
      </w:r>
      <w:r>
        <w:t xml:space="preserve">. The format for the race and ethnicity used </w:t>
      </w:r>
      <w:r w:rsidRPr="00B32F4A">
        <w:rPr>
          <w:noProof/>
        </w:rPr>
        <w:t>is based</w:t>
      </w:r>
      <w:r>
        <w:t xml:space="preserve"> on the standards set by the Affordable Care Act, </w:t>
      </w:r>
      <w:hyperlink r:id="rId9" w:history="1">
        <w:r w:rsidRPr="00304D47">
          <w:rPr>
            <w:rStyle w:val="Hyperlink"/>
            <w:rFonts w:ascii="Arial" w:hAnsi="Arial" w:cs="Arial"/>
          </w:rPr>
          <w:t>http://aspe.hhs.gov/datacncl/standards/ACA/4302/index.shtml</w:t>
        </w:r>
      </w:hyperlink>
      <w:r>
        <w:rPr>
          <w:rFonts w:ascii="Arial" w:hAnsi="Arial" w:cs="Arial"/>
          <w:color w:val="0000FF"/>
        </w:rPr>
        <w:t>.</w:t>
      </w:r>
    </w:p>
    <w:p w14:paraId="2159CA38" w14:textId="77777777" w:rsidR="00685B30" w:rsidRPr="008942E9" w:rsidRDefault="00685B30" w:rsidP="00685B30">
      <w:pPr>
        <w:pStyle w:val="P1-StandPara"/>
        <w:spacing w:line="240" w:lineRule="auto"/>
        <w:ind w:firstLine="0"/>
        <w:rPr>
          <w:rFonts w:ascii="Calibri" w:hAnsi="Calibri"/>
          <w:szCs w:val="22"/>
        </w:rPr>
      </w:pPr>
    </w:p>
    <w:p w14:paraId="0CAF988B" w14:textId="77777777" w:rsidR="00685B30" w:rsidRPr="00E35DD1" w:rsidRDefault="00685B30" w:rsidP="00685B30">
      <w:pPr>
        <w:rPr>
          <w:b/>
        </w:rPr>
      </w:pPr>
      <w:r w:rsidRPr="00E35DD1">
        <w:rPr>
          <w:b/>
        </w:rPr>
        <w:t>A.12</w:t>
      </w:r>
      <w:r w:rsidR="00BF491C">
        <w:rPr>
          <w:b/>
        </w:rPr>
        <w:t>.1</w:t>
      </w:r>
      <w:r w:rsidRPr="00E35DD1">
        <w:rPr>
          <w:b/>
        </w:rPr>
        <w:tab/>
        <w:t>Est</w:t>
      </w:r>
      <w:r w:rsidR="009A69D6">
        <w:rPr>
          <w:b/>
        </w:rPr>
        <w:t>imated Annualized Burden Hours</w:t>
      </w:r>
    </w:p>
    <w:p w14:paraId="477BC9F0" w14:textId="37E2E215" w:rsidR="002B56B8" w:rsidRPr="00DF4021" w:rsidRDefault="00445602" w:rsidP="002B56B8">
      <w:pPr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The total estimated annualized burden is 717 hours. </w:t>
      </w:r>
      <w:r w:rsidR="002B56B8">
        <w:rPr>
          <w:color w:val="000000"/>
        </w:rPr>
        <w:t>We anticipate screening 10,000 individuals to reach 1100 that qualify for the study.</w:t>
      </w:r>
      <w:r w:rsidR="00390AEE">
        <w:rPr>
          <w:color w:val="000000"/>
        </w:rPr>
        <w:t xml:space="preserve"> </w:t>
      </w:r>
      <w:r>
        <w:rPr>
          <w:color w:val="000000"/>
        </w:rPr>
        <w:t xml:space="preserve">The </w:t>
      </w:r>
      <w:r w:rsidRPr="00B32F4A">
        <w:rPr>
          <w:noProof/>
          <w:color w:val="000000"/>
        </w:rPr>
        <w:t>burden</w:t>
      </w:r>
      <w:r>
        <w:rPr>
          <w:color w:val="000000"/>
        </w:rPr>
        <w:t xml:space="preserve"> for the screener </w:t>
      </w:r>
      <w:r w:rsidRPr="00B32F4A">
        <w:rPr>
          <w:noProof/>
          <w:color w:val="000000"/>
        </w:rPr>
        <w:t>is estimated</w:t>
      </w:r>
      <w:r>
        <w:rPr>
          <w:color w:val="000000"/>
        </w:rPr>
        <w:t xml:space="preserve"> at 1 minutes.</w:t>
      </w:r>
      <w:r w:rsidR="002B56B8">
        <w:rPr>
          <w:color w:val="000000"/>
        </w:rPr>
        <w:t xml:space="preserve"> 1100</w:t>
      </w:r>
      <w:r w:rsidR="002B56B8" w:rsidRPr="003A0125">
        <w:rPr>
          <w:color w:val="000000"/>
        </w:rPr>
        <w:t xml:space="preserve"> participants will complete the study</w:t>
      </w:r>
      <w:r>
        <w:rPr>
          <w:color w:val="000000"/>
        </w:rPr>
        <w:t xml:space="preserve"> and the estimated </w:t>
      </w:r>
      <w:r w:rsidRPr="00B32F4A">
        <w:rPr>
          <w:noProof/>
          <w:color w:val="000000"/>
        </w:rPr>
        <w:t>burden</w:t>
      </w:r>
      <w:r>
        <w:rPr>
          <w:color w:val="000000"/>
        </w:rPr>
        <w:t xml:space="preserve"> for the survey </w:t>
      </w:r>
      <w:r w:rsidRPr="00B32F4A">
        <w:rPr>
          <w:noProof/>
          <w:color w:val="000000"/>
        </w:rPr>
        <w:t>is</w:t>
      </w:r>
      <w:r>
        <w:rPr>
          <w:color w:val="000000"/>
        </w:rPr>
        <w:t xml:space="preserve"> </w:t>
      </w:r>
      <w:r w:rsidR="002C4357">
        <w:rPr>
          <w:color w:val="000000"/>
        </w:rPr>
        <w:t>30</w:t>
      </w:r>
      <w:r>
        <w:rPr>
          <w:color w:val="000000"/>
        </w:rPr>
        <w:t xml:space="preserve"> minutes.</w:t>
      </w:r>
      <w:r w:rsidR="002B56B8" w:rsidRPr="003A0125">
        <w:rPr>
          <w:color w:val="000000"/>
        </w:rPr>
        <w:t xml:space="preserve"> </w:t>
      </w:r>
    </w:p>
    <w:p w14:paraId="72FED3ED" w14:textId="77777777" w:rsidR="002B56B8" w:rsidRDefault="002B56B8" w:rsidP="002B56B8">
      <w:pPr>
        <w:autoSpaceDE w:val="0"/>
        <w:autoSpaceDN w:val="0"/>
        <w:adjustRightInd w:val="0"/>
        <w:outlineLvl w:val="0"/>
      </w:pPr>
    </w:p>
    <w:p w14:paraId="39007790" w14:textId="77777777" w:rsidR="001B0225" w:rsidRDefault="001B0225" w:rsidP="002B56B8">
      <w:pPr>
        <w:autoSpaceDE w:val="0"/>
        <w:autoSpaceDN w:val="0"/>
        <w:adjustRightInd w:val="0"/>
        <w:outlineLvl w:val="0"/>
      </w:pPr>
    </w:p>
    <w:p w14:paraId="61F79FB5" w14:textId="77777777" w:rsidR="001B0225" w:rsidRPr="009D02C1" w:rsidRDefault="001B0225" w:rsidP="002B56B8">
      <w:pPr>
        <w:autoSpaceDE w:val="0"/>
        <w:autoSpaceDN w:val="0"/>
        <w:adjustRightInd w:val="0"/>
        <w:outlineLvl w:val="0"/>
      </w:pPr>
    </w:p>
    <w:p w14:paraId="35151FD6" w14:textId="77777777" w:rsidR="002B56B8" w:rsidRPr="00020C16" w:rsidRDefault="002B56B8" w:rsidP="002B56B8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14:paraId="06732E96" w14:textId="77777777" w:rsidR="002B56B8" w:rsidRDefault="002B56B8" w:rsidP="002B56B8">
      <w:pPr>
        <w:autoSpaceDE w:val="0"/>
        <w:autoSpaceDN w:val="0"/>
        <w:adjustRightInd w:val="0"/>
        <w:rPr>
          <w:rFonts w:ascii="Arial" w:hAnsi="Arial" w:cs="Arial"/>
        </w:rPr>
      </w:pPr>
      <w:r w:rsidRPr="001A2CD9">
        <w:rPr>
          <w:rFonts w:ascii="Arial" w:hAnsi="Arial" w:cs="Arial"/>
        </w:rPr>
        <w:t xml:space="preserve">Table </w:t>
      </w:r>
      <w:r>
        <w:rPr>
          <w:rFonts w:ascii="Arial" w:hAnsi="Arial" w:cs="Arial"/>
        </w:rPr>
        <w:t>A12-1. Estimates of Hour Burden</w:t>
      </w:r>
      <w:r w:rsidRPr="001A2CD9">
        <w:rPr>
          <w:rFonts w:ascii="Arial" w:hAnsi="Arial" w:cs="Arial"/>
        </w:rPr>
        <w:t xml:space="preserve">  </w:t>
      </w:r>
    </w:p>
    <w:p w14:paraId="0BCEDBCE" w14:textId="77777777" w:rsidR="002B56B8" w:rsidRPr="00A96BB0" w:rsidRDefault="002B56B8" w:rsidP="002B56B8">
      <w:pPr>
        <w:pStyle w:val="a"/>
        <w:ind w:left="1080"/>
        <w:rPr>
          <w:color w:val="FF0000"/>
        </w:rPr>
      </w:pPr>
    </w:p>
    <w:tbl>
      <w:tblPr>
        <w:tblW w:w="972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800"/>
        <w:gridCol w:w="1620"/>
        <w:gridCol w:w="1800"/>
        <w:gridCol w:w="1440"/>
        <w:gridCol w:w="1440"/>
      </w:tblGrid>
      <w:tr w:rsidR="002B56B8" w:rsidRPr="003A0125" w14:paraId="6926CE9D" w14:textId="77777777" w:rsidTr="001B0225"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B4957" w14:textId="77777777" w:rsidR="002B56B8" w:rsidRPr="003A0125" w:rsidRDefault="002B56B8" w:rsidP="00BC6B28">
            <w:pPr>
              <w:tabs>
                <w:tab w:val="left" w:pos="10080"/>
              </w:tabs>
              <w:ind w:right="173"/>
              <w:jc w:val="center"/>
            </w:pPr>
            <w:r>
              <w:t>Form Name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980F2" w14:textId="77777777" w:rsidR="002B56B8" w:rsidRPr="003A0125" w:rsidRDefault="002B56B8" w:rsidP="00BC6B28">
            <w:pPr>
              <w:tabs>
                <w:tab w:val="left" w:pos="10080"/>
              </w:tabs>
              <w:ind w:right="173"/>
              <w:jc w:val="center"/>
            </w:pPr>
            <w:r w:rsidRPr="003A0125">
              <w:t>Types of Respondents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4A4CC" w14:textId="77777777" w:rsidR="002B56B8" w:rsidRPr="003A0125" w:rsidRDefault="002B56B8" w:rsidP="00BC6B28">
            <w:pPr>
              <w:tabs>
                <w:tab w:val="left" w:pos="10080"/>
              </w:tabs>
              <w:ind w:right="173"/>
              <w:jc w:val="center"/>
            </w:pPr>
            <w:r w:rsidRPr="003A0125">
              <w:t>Number of Respondents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2FAA2" w14:textId="77777777" w:rsidR="002B56B8" w:rsidRPr="003A0125" w:rsidRDefault="002B56B8" w:rsidP="00BC6B28">
            <w:pPr>
              <w:tabs>
                <w:tab w:val="left" w:pos="10080"/>
              </w:tabs>
              <w:ind w:right="173"/>
              <w:jc w:val="center"/>
            </w:pPr>
            <w:r>
              <w:t>Number</w:t>
            </w:r>
            <w:r w:rsidRPr="003A0125">
              <w:t xml:space="preserve"> of Response</w:t>
            </w:r>
            <w:r>
              <w:t>s Per Respondent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5C821" w14:textId="77777777" w:rsidR="002B56B8" w:rsidRDefault="002B56B8" w:rsidP="00BC6B28">
            <w:pPr>
              <w:tabs>
                <w:tab w:val="left" w:pos="10080"/>
              </w:tabs>
              <w:ind w:right="173"/>
              <w:jc w:val="center"/>
            </w:pPr>
            <w:r w:rsidRPr="003A0125">
              <w:t xml:space="preserve">Average </w:t>
            </w:r>
            <w:r>
              <w:t>Burden</w:t>
            </w:r>
            <w:r w:rsidRPr="003A0125">
              <w:t xml:space="preserve"> </w:t>
            </w:r>
          </w:p>
          <w:p w14:paraId="552B8B6E" w14:textId="77777777" w:rsidR="002B56B8" w:rsidRPr="003A0125" w:rsidRDefault="002B56B8" w:rsidP="00BC6B28">
            <w:pPr>
              <w:tabs>
                <w:tab w:val="left" w:pos="10080"/>
              </w:tabs>
              <w:ind w:right="173"/>
              <w:jc w:val="center"/>
            </w:pPr>
            <w:r w:rsidRPr="003A0125">
              <w:t>(</w:t>
            </w:r>
            <w:r>
              <w:t xml:space="preserve">in </w:t>
            </w:r>
            <w:r w:rsidRPr="003A0125">
              <w:t>Hours)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0D4F4" w14:textId="77777777" w:rsidR="002B56B8" w:rsidRPr="003A0125" w:rsidRDefault="002B56B8" w:rsidP="00BC6B28">
            <w:pPr>
              <w:tabs>
                <w:tab w:val="left" w:pos="10080"/>
              </w:tabs>
              <w:ind w:right="173"/>
              <w:jc w:val="center"/>
            </w:pPr>
            <w:r w:rsidRPr="003A0125">
              <w:t>Total</w:t>
            </w:r>
          </w:p>
          <w:p w14:paraId="09464DE4" w14:textId="77777777" w:rsidR="002B56B8" w:rsidRPr="003A0125" w:rsidRDefault="002B56B8" w:rsidP="00BC6B28">
            <w:pPr>
              <w:tabs>
                <w:tab w:val="left" w:pos="10080"/>
              </w:tabs>
              <w:ind w:right="173"/>
              <w:jc w:val="center"/>
            </w:pPr>
            <w:r w:rsidRPr="003A0125">
              <w:t>Hour Burden</w:t>
            </w:r>
          </w:p>
        </w:tc>
      </w:tr>
      <w:tr w:rsidR="002B56B8" w:rsidRPr="003A0125" w14:paraId="67D2EBE7" w14:textId="77777777" w:rsidTr="00BC6B28">
        <w:trPr>
          <w:trHeight w:val="322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14302" w14:textId="77777777" w:rsidR="002B56B8" w:rsidRPr="003A0125" w:rsidRDefault="002B56B8" w:rsidP="00BC6B28">
            <w:pPr>
              <w:tabs>
                <w:tab w:val="left" w:pos="10080"/>
              </w:tabs>
              <w:ind w:right="173"/>
            </w:pPr>
            <w:r>
              <w:t>Screener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5016" w14:textId="77777777" w:rsidR="002B56B8" w:rsidRPr="003A0125" w:rsidRDefault="002B56B8" w:rsidP="00BC6B28">
            <w:pPr>
              <w:tabs>
                <w:tab w:val="left" w:pos="10080"/>
              </w:tabs>
              <w:ind w:right="173"/>
              <w:jc w:val="center"/>
            </w:pPr>
            <w:r w:rsidRPr="003A0125">
              <w:t>General Public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123DA" w14:textId="77777777" w:rsidR="002B56B8" w:rsidRPr="003A0125" w:rsidRDefault="002B56B8" w:rsidP="00BC6B28">
            <w:pPr>
              <w:tabs>
                <w:tab w:val="left" w:pos="10080"/>
              </w:tabs>
              <w:ind w:right="173"/>
              <w:jc w:val="center"/>
            </w:pPr>
            <w:r>
              <w:t>10,000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91D16" w14:textId="77777777" w:rsidR="002B56B8" w:rsidRPr="003A0125" w:rsidRDefault="002B56B8" w:rsidP="00BC6B28">
            <w:pPr>
              <w:tabs>
                <w:tab w:val="left" w:pos="10080"/>
              </w:tabs>
              <w:ind w:right="173"/>
              <w:jc w:val="center"/>
            </w:pPr>
            <w:r w:rsidRPr="003A0125">
              <w:t>1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DCC5B" w14:textId="77777777" w:rsidR="002B56B8" w:rsidRPr="003A0125" w:rsidRDefault="002B56B8" w:rsidP="00BC6B28">
            <w:pPr>
              <w:tabs>
                <w:tab w:val="left" w:pos="10080"/>
              </w:tabs>
              <w:ind w:right="173"/>
              <w:jc w:val="center"/>
            </w:pPr>
            <w:r>
              <w:t>1</w:t>
            </w:r>
            <w:r w:rsidRPr="003A0125">
              <w:t>/60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5802C" w14:textId="77777777" w:rsidR="002B56B8" w:rsidRPr="003A0125" w:rsidRDefault="002B56B8" w:rsidP="00BC6B28">
            <w:pPr>
              <w:tabs>
                <w:tab w:val="left" w:pos="10080"/>
              </w:tabs>
              <w:ind w:right="173"/>
              <w:jc w:val="center"/>
            </w:pPr>
            <w:r>
              <w:t>167</w:t>
            </w:r>
          </w:p>
        </w:tc>
      </w:tr>
      <w:tr w:rsidR="002B56B8" w:rsidRPr="003A0125" w14:paraId="0187C3F1" w14:textId="77777777" w:rsidTr="00BC6B28">
        <w:trPr>
          <w:trHeight w:val="259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0E78B" w14:textId="77777777" w:rsidR="002B56B8" w:rsidRPr="003A0125" w:rsidRDefault="002B56B8" w:rsidP="00BC6B28">
            <w:pPr>
              <w:tabs>
                <w:tab w:val="left" w:pos="10080"/>
              </w:tabs>
              <w:ind w:right="173"/>
            </w:pPr>
            <w:r>
              <w:t>Study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852F" w14:textId="77777777" w:rsidR="002B56B8" w:rsidRDefault="002B56B8" w:rsidP="00BC6B28">
            <w:pPr>
              <w:tabs>
                <w:tab w:val="left" w:pos="10080"/>
              </w:tabs>
              <w:ind w:right="173"/>
              <w:jc w:val="center"/>
            </w:pPr>
            <w:r w:rsidRPr="003A0125">
              <w:t xml:space="preserve"> General Public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50CB4" w14:textId="77777777" w:rsidR="002B56B8" w:rsidRDefault="002B56B8" w:rsidP="00BC6B28">
            <w:pPr>
              <w:tabs>
                <w:tab w:val="left" w:pos="10080"/>
              </w:tabs>
              <w:ind w:right="173"/>
              <w:jc w:val="center"/>
            </w:pPr>
            <w:r>
              <w:t>1100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52AD0" w14:textId="77777777" w:rsidR="002B56B8" w:rsidRPr="003A0125" w:rsidRDefault="002B56B8" w:rsidP="00BC6B28">
            <w:pPr>
              <w:tabs>
                <w:tab w:val="left" w:pos="10080"/>
              </w:tabs>
              <w:ind w:right="173"/>
              <w:jc w:val="center"/>
            </w:pPr>
            <w:r>
              <w:t>1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823BB" w14:textId="77777777" w:rsidR="002B56B8" w:rsidRDefault="002B56B8" w:rsidP="00BC6B28">
            <w:pPr>
              <w:tabs>
                <w:tab w:val="left" w:pos="10080"/>
              </w:tabs>
              <w:ind w:right="173"/>
              <w:jc w:val="center"/>
            </w:pPr>
            <w:r>
              <w:t>30/60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FC9A5" w14:textId="1692A117" w:rsidR="002B56B8" w:rsidRDefault="00445602" w:rsidP="00445602">
            <w:pPr>
              <w:tabs>
                <w:tab w:val="left" w:pos="10080"/>
              </w:tabs>
              <w:ind w:right="173"/>
              <w:jc w:val="center"/>
            </w:pPr>
            <w:r>
              <w:t>550</w:t>
            </w:r>
          </w:p>
        </w:tc>
      </w:tr>
      <w:tr w:rsidR="002B56B8" w:rsidRPr="003A0125" w14:paraId="00F66306" w14:textId="77777777" w:rsidTr="00BC6B28">
        <w:trPr>
          <w:trHeight w:val="223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4B7E9" w14:textId="77777777" w:rsidR="002B56B8" w:rsidRPr="003A0125" w:rsidRDefault="002B56B8" w:rsidP="00BC6B28">
            <w:pPr>
              <w:tabs>
                <w:tab w:val="left" w:pos="10080"/>
              </w:tabs>
              <w:ind w:right="173"/>
            </w:pPr>
            <w:r w:rsidRPr="003A0125">
              <w:t>Total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04ACD" w14:textId="77777777" w:rsidR="002B56B8" w:rsidRPr="003A0125" w:rsidRDefault="002B56B8" w:rsidP="00BC6B28">
            <w:pPr>
              <w:tabs>
                <w:tab w:val="left" w:pos="10080"/>
              </w:tabs>
              <w:ind w:right="173"/>
              <w:jc w:val="center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261A7" w14:textId="77777777" w:rsidR="002B56B8" w:rsidRPr="003A0125" w:rsidRDefault="002B56B8" w:rsidP="00BC6B28">
            <w:pPr>
              <w:tabs>
                <w:tab w:val="left" w:pos="10080"/>
              </w:tabs>
              <w:ind w:right="173"/>
              <w:jc w:val="center"/>
            </w:pPr>
            <w:r>
              <w:t>10,000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32F0" w14:textId="77777777" w:rsidR="002B56B8" w:rsidRPr="003A0125" w:rsidRDefault="00445602" w:rsidP="00BC6B28">
            <w:pPr>
              <w:tabs>
                <w:tab w:val="left" w:pos="10080"/>
              </w:tabs>
              <w:ind w:right="173"/>
              <w:jc w:val="center"/>
            </w:pPr>
            <w:r>
              <w:t>11,100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3F0FC" w14:textId="77777777" w:rsidR="002B56B8" w:rsidRPr="003A0125" w:rsidRDefault="002B56B8" w:rsidP="00BC6B28">
            <w:pPr>
              <w:tabs>
                <w:tab w:val="left" w:pos="10080"/>
              </w:tabs>
              <w:ind w:right="173"/>
              <w:jc w:val="center"/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0DE8B" w14:textId="123AB484" w:rsidR="002B56B8" w:rsidRPr="003A0125" w:rsidRDefault="00445602" w:rsidP="00BC6B28">
            <w:pPr>
              <w:tabs>
                <w:tab w:val="left" w:pos="10080"/>
              </w:tabs>
              <w:ind w:right="173"/>
              <w:jc w:val="center"/>
            </w:pPr>
            <w:r>
              <w:t>717</w:t>
            </w:r>
          </w:p>
        </w:tc>
      </w:tr>
    </w:tbl>
    <w:p w14:paraId="07419FA5" w14:textId="77777777" w:rsidR="002B56B8" w:rsidRPr="001A2CD9" w:rsidRDefault="002B56B8" w:rsidP="002B56B8">
      <w:pPr>
        <w:autoSpaceDE w:val="0"/>
        <w:autoSpaceDN w:val="0"/>
        <w:adjustRightInd w:val="0"/>
        <w:rPr>
          <w:rFonts w:ascii="Arial" w:hAnsi="Arial" w:cs="Arial"/>
        </w:rPr>
      </w:pPr>
    </w:p>
    <w:p w14:paraId="7B9634D6" w14:textId="77777777" w:rsidR="009810A0" w:rsidRPr="00E35DD1" w:rsidRDefault="009810A0" w:rsidP="00685B30"/>
    <w:p w14:paraId="4C75EE6A" w14:textId="77777777" w:rsidR="00EE245F" w:rsidRPr="008942E9" w:rsidRDefault="00EE245F" w:rsidP="0086248B">
      <w:pPr>
        <w:spacing w:after="0" w:line="240" w:lineRule="auto"/>
        <w:rPr>
          <w:rFonts w:eastAsia="Times New Roman"/>
          <w:b/>
          <w:smallCaps/>
          <w:color w:val="000000"/>
        </w:rPr>
      </w:pPr>
      <w:r w:rsidRPr="008942E9">
        <w:rPr>
          <w:rFonts w:eastAsia="Times New Roman"/>
          <w:b/>
          <w:smallCaps/>
          <w:color w:val="000000"/>
        </w:rPr>
        <w:t>A.12-2</w:t>
      </w:r>
      <w:r w:rsidRPr="008942E9">
        <w:rPr>
          <w:rFonts w:eastAsia="Times New Roman"/>
          <w:b/>
          <w:smallCaps/>
          <w:color w:val="000000"/>
        </w:rPr>
        <w:tab/>
      </w:r>
      <w:r w:rsidR="00BF491C" w:rsidRPr="008942E9">
        <w:rPr>
          <w:rFonts w:eastAsia="Times New Roman"/>
          <w:b/>
          <w:smallCaps/>
          <w:color w:val="000000"/>
        </w:rPr>
        <w:t>Annual</w:t>
      </w:r>
      <w:r w:rsidR="009A69D6" w:rsidRPr="008942E9">
        <w:rPr>
          <w:rFonts w:eastAsia="Times New Roman"/>
          <w:b/>
          <w:smallCaps/>
          <w:color w:val="000000"/>
        </w:rPr>
        <w:t>ized</w:t>
      </w:r>
      <w:r w:rsidR="00BF491C" w:rsidRPr="008942E9">
        <w:rPr>
          <w:rFonts w:eastAsia="Times New Roman"/>
          <w:b/>
          <w:smallCaps/>
          <w:color w:val="000000"/>
        </w:rPr>
        <w:t xml:space="preserve"> Cost to </w:t>
      </w:r>
      <w:r w:rsidR="00BF491C" w:rsidRPr="00B32F4A">
        <w:rPr>
          <w:rFonts w:eastAsia="Times New Roman"/>
          <w:b/>
          <w:smallCaps/>
          <w:noProof/>
          <w:color w:val="000000"/>
        </w:rPr>
        <w:t>respondent</w:t>
      </w:r>
      <w:r w:rsidR="009A69D6" w:rsidRPr="00B32F4A">
        <w:rPr>
          <w:rFonts w:eastAsia="Times New Roman"/>
          <w:b/>
          <w:smallCaps/>
          <w:noProof/>
          <w:color w:val="000000"/>
        </w:rPr>
        <w:t>s</w:t>
      </w:r>
    </w:p>
    <w:p w14:paraId="634833B2" w14:textId="77777777" w:rsidR="00EE245F" w:rsidRPr="008942E9" w:rsidRDefault="00EE245F" w:rsidP="0086248B">
      <w:pPr>
        <w:spacing w:after="0" w:line="240" w:lineRule="auto"/>
        <w:rPr>
          <w:rFonts w:eastAsia="Times New Roman"/>
          <w:smallCaps/>
          <w:color w:val="000000"/>
        </w:rPr>
      </w:pPr>
    </w:p>
    <w:p w14:paraId="63F40FAD" w14:textId="203CF3E1" w:rsidR="002B56B8" w:rsidRPr="00A65A9D" w:rsidRDefault="00445602" w:rsidP="002B56B8">
      <w:r>
        <w:t>The tota</w:t>
      </w:r>
      <w:r w:rsidR="003A24EE">
        <w:t>l cost to respondents is $16,010.61</w:t>
      </w:r>
      <w:r>
        <w:t xml:space="preserve">. This is calculated using labor calculations for all occupations. Labor information, obtained from </w:t>
      </w:r>
      <w:hyperlink r:id="rId10" w:anchor="00-0000" w:history="1">
        <w:r>
          <w:rPr>
            <w:rStyle w:val="Hyperlink"/>
          </w:rPr>
          <w:t>http://www.bls.gov/oes/current/oes_nat.htm#00-0000</w:t>
        </w:r>
      </w:hyperlink>
      <w:r>
        <w:t xml:space="preserve">, </w:t>
      </w:r>
      <w:r w:rsidRPr="00B63CBB">
        <w:t>provides th</w:t>
      </w:r>
      <w:r w:rsidR="003A24EE">
        <w:t xml:space="preserve">e average US hourly earnings of </w:t>
      </w:r>
      <w:r>
        <w:t xml:space="preserve">$22.33  for </w:t>
      </w:r>
      <w:r w:rsidRPr="00B63CBB">
        <w:t xml:space="preserve">employees </w:t>
      </w:r>
      <w:r>
        <w:t xml:space="preserve">of all </w:t>
      </w:r>
      <w:r w:rsidRPr="00B32F4A">
        <w:rPr>
          <w:noProof/>
        </w:rPr>
        <w:t>occupations</w:t>
      </w:r>
      <w:r>
        <w:t xml:space="preserve"> (occupation code: 00-0000 occupation title “All Occupations”). </w:t>
      </w:r>
      <w:r w:rsidRPr="00B63CBB">
        <w:t xml:space="preserve"> </w:t>
      </w:r>
      <w:r>
        <w:t xml:space="preserve"> </w:t>
      </w:r>
      <w:r w:rsidR="002B56B8" w:rsidRPr="00513E38">
        <w:t xml:space="preserve">Table A12-1 illustrates the measures respondents will be answering and the number of hours to complete each type. </w:t>
      </w:r>
    </w:p>
    <w:p w14:paraId="250A3BC9" w14:textId="77777777" w:rsidR="002B56B8" w:rsidRDefault="002B56B8" w:rsidP="002B56B8">
      <w:pPr>
        <w:rPr>
          <w:rFonts w:ascii="Arial" w:hAnsi="Arial" w:cs="Arial"/>
        </w:rPr>
      </w:pPr>
    </w:p>
    <w:p w14:paraId="14A462FE" w14:textId="77777777" w:rsidR="002B56B8" w:rsidRDefault="002B56B8" w:rsidP="002B56B8">
      <w:pPr>
        <w:rPr>
          <w:rFonts w:ascii="Arial" w:hAnsi="Arial" w:cs="Arial"/>
        </w:rPr>
      </w:pPr>
      <w:r w:rsidRPr="00513E38">
        <w:rPr>
          <w:rFonts w:ascii="Arial" w:hAnsi="Arial" w:cs="Arial"/>
        </w:rPr>
        <w:t>Table A12-2.  Cost to Respondents</w:t>
      </w:r>
    </w:p>
    <w:p w14:paraId="01765D01" w14:textId="77777777" w:rsidR="002B56B8" w:rsidRDefault="002B56B8" w:rsidP="002B56B8">
      <w:pPr>
        <w:rPr>
          <w:rFonts w:ascii="Arial" w:hAnsi="Arial" w:cs="Arial"/>
        </w:rPr>
      </w:pPr>
    </w:p>
    <w:tbl>
      <w:tblPr>
        <w:tblW w:w="5349" w:type="pct"/>
        <w:tblInd w:w="-2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51"/>
        <w:gridCol w:w="1899"/>
        <w:gridCol w:w="2169"/>
        <w:gridCol w:w="1897"/>
        <w:gridCol w:w="1984"/>
      </w:tblGrid>
      <w:tr w:rsidR="002B56B8" w:rsidRPr="001A2CD9" w14:paraId="659D90A1" w14:textId="77777777" w:rsidTr="00BC6B28">
        <w:trPr>
          <w:cantSplit/>
          <w:trHeight w:val="880"/>
        </w:trPr>
        <w:tc>
          <w:tcPr>
            <w:tcW w:w="1141" w:type="pct"/>
            <w:shd w:val="clear" w:color="auto" w:fill="auto"/>
            <w:vAlign w:val="center"/>
            <w:hideMark/>
          </w:tcPr>
          <w:p w14:paraId="34DAA1B7" w14:textId="038899AF" w:rsidR="002B56B8" w:rsidRPr="001A2CD9" w:rsidRDefault="001B0225" w:rsidP="001B0225">
            <w:pPr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Form Name</w:t>
            </w:r>
          </w:p>
        </w:tc>
        <w:tc>
          <w:tcPr>
            <w:tcW w:w="921" w:type="pct"/>
            <w:shd w:val="clear" w:color="auto" w:fill="auto"/>
            <w:vAlign w:val="center"/>
            <w:hideMark/>
          </w:tcPr>
          <w:p w14:paraId="427AC5B8" w14:textId="1204521D" w:rsidR="002B56B8" w:rsidRPr="001A2CD9" w:rsidRDefault="001B0225" w:rsidP="001B0225">
            <w:pPr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Type of Respondent</w:t>
            </w:r>
          </w:p>
        </w:tc>
        <w:tc>
          <w:tcPr>
            <w:tcW w:w="1053" w:type="pct"/>
            <w:shd w:val="clear" w:color="auto" w:fill="auto"/>
            <w:vAlign w:val="center"/>
            <w:hideMark/>
          </w:tcPr>
          <w:p w14:paraId="7AFFF9D2" w14:textId="77777777" w:rsidR="002B56B8" w:rsidRPr="001A2CD9" w:rsidRDefault="002B56B8" w:rsidP="001B022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A2CD9">
              <w:rPr>
                <w:rFonts w:ascii="Arial" w:eastAsia="Times New Roman" w:hAnsi="Arial" w:cs="Arial"/>
                <w:bCs/>
              </w:rPr>
              <w:t>Total Burden Hours</w:t>
            </w:r>
          </w:p>
        </w:tc>
        <w:tc>
          <w:tcPr>
            <w:tcW w:w="921" w:type="pct"/>
            <w:shd w:val="clear" w:color="auto" w:fill="auto"/>
            <w:vAlign w:val="center"/>
            <w:hideMark/>
          </w:tcPr>
          <w:p w14:paraId="491FEADE" w14:textId="77777777" w:rsidR="002B56B8" w:rsidRPr="001A2CD9" w:rsidRDefault="002B56B8" w:rsidP="001B022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A2CD9">
              <w:rPr>
                <w:rFonts w:ascii="Arial" w:eastAsia="Times New Roman" w:hAnsi="Arial" w:cs="Arial"/>
                <w:bCs/>
              </w:rPr>
              <w:t>Wage Rate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688230F8" w14:textId="77777777" w:rsidR="002B56B8" w:rsidRPr="001A2CD9" w:rsidRDefault="002B56B8" w:rsidP="001B022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A2CD9">
              <w:rPr>
                <w:rFonts w:ascii="Arial" w:eastAsia="Times New Roman" w:hAnsi="Arial" w:cs="Arial"/>
                <w:bCs/>
              </w:rPr>
              <w:t>Respondent Cost</w:t>
            </w:r>
          </w:p>
        </w:tc>
      </w:tr>
      <w:tr w:rsidR="002B56B8" w:rsidRPr="001A2CD9" w14:paraId="5D0E2207" w14:textId="77777777" w:rsidTr="001B0225">
        <w:trPr>
          <w:cantSplit/>
          <w:trHeight w:val="260"/>
        </w:trPr>
        <w:tc>
          <w:tcPr>
            <w:tcW w:w="1141" w:type="pct"/>
            <w:shd w:val="clear" w:color="auto" w:fill="auto"/>
            <w:noWrap/>
            <w:vAlign w:val="center"/>
          </w:tcPr>
          <w:p w14:paraId="68C257F6" w14:textId="1E6A4529" w:rsidR="002B56B8" w:rsidRPr="001A2CD9" w:rsidRDefault="001B0225" w:rsidP="001B022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Screener</w:t>
            </w:r>
          </w:p>
        </w:tc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02B572A7" w14:textId="1C27730D" w:rsidR="002B56B8" w:rsidRPr="001A2CD9" w:rsidRDefault="001B0225" w:rsidP="001B022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General Public</w:t>
            </w:r>
          </w:p>
        </w:tc>
        <w:tc>
          <w:tcPr>
            <w:tcW w:w="1053" w:type="pct"/>
            <w:shd w:val="clear" w:color="auto" w:fill="auto"/>
            <w:noWrap/>
            <w:vAlign w:val="center"/>
          </w:tcPr>
          <w:p w14:paraId="05FC34EE" w14:textId="10B266BA" w:rsidR="002B56B8" w:rsidRPr="001A2CD9" w:rsidRDefault="001B0225" w:rsidP="001B022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167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37875426" w14:textId="31E63D5D" w:rsidR="002B56B8" w:rsidRPr="001A2CD9" w:rsidRDefault="002B56B8" w:rsidP="001B022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$22.33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5DB3FD6D" w14:textId="6EEC649D" w:rsidR="002B56B8" w:rsidRPr="001A2CD9" w:rsidRDefault="00083EDD" w:rsidP="001B022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</w:t>
            </w:r>
            <w:r w:rsidR="001B0225">
              <w:rPr>
                <w:rFonts w:ascii="Arial" w:eastAsia="Times New Roman" w:hAnsi="Arial" w:cs="Arial"/>
              </w:rPr>
              <w:t>3,</w:t>
            </w:r>
            <w:r>
              <w:rPr>
                <w:rFonts w:ascii="Arial" w:eastAsia="Times New Roman" w:hAnsi="Arial" w:cs="Arial"/>
              </w:rPr>
              <w:t>729</w:t>
            </w:r>
            <w:r w:rsidR="001B0225">
              <w:rPr>
                <w:rFonts w:ascii="Arial" w:eastAsia="Times New Roman" w:hAnsi="Arial" w:cs="Arial"/>
              </w:rPr>
              <w:t>.11</w:t>
            </w:r>
          </w:p>
        </w:tc>
      </w:tr>
      <w:tr w:rsidR="001B0225" w:rsidRPr="001A2CD9" w14:paraId="58BD7C17" w14:textId="77777777" w:rsidTr="001B0225">
        <w:trPr>
          <w:cantSplit/>
          <w:trHeight w:val="260"/>
        </w:trPr>
        <w:tc>
          <w:tcPr>
            <w:tcW w:w="1141" w:type="pct"/>
            <w:shd w:val="clear" w:color="auto" w:fill="auto"/>
            <w:noWrap/>
            <w:vAlign w:val="center"/>
          </w:tcPr>
          <w:p w14:paraId="7F5150BC" w14:textId="6DEBEDA4" w:rsidR="001B0225" w:rsidRDefault="001B0225" w:rsidP="001B022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Study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14:paraId="6D933049" w14:textId="0BC8D028" w:rsidR="001B0225" w:rsidRDefault="001B0225" w:rsidP="001B022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General Public</w:t>
            </w:r>
          </w:p>
        </w:tc>
        <w:tc>
          <w:tcPr>
            <w:tcW w:w="1053" w:type="pct"/>
            <w:shd w:val="clear" w:color="auto" w:fill="auto"/>
            <w:noWrap/>
            <w:vAlign w:val="center"/>
          </w:tcPr>
          <w:p w14:paraId="42B04141" w14:textId="271B9BF4" w:rsidR="001B0225" w:rsidRDefault="001B0225" w:rsidP="001B022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550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7EC42144" w14:textId="693AA3D3" w:rsidR="001B0225" w:rsidRDefault="001B0225" w:rsidP="001B022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$22.33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453D38EB" w14:textId="5B8F66E4" w:rsidR="001B0225" w:rsidRDefault="00083EDD" w:rsidP="001B022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$12,281.50</w:t>
            </w:r>
          </w:p>
        </w:tc>
      </w:tr>
      <w:tr w:rsidR="001B0225" w:rsidRPr="001A2CD9" w14:paraId="042A48E8" w14:textId="77777777" w:rsidTr="001B0225">
        <w:trPr>
          <w:cantSplit/>
          <w:trHeight w:val="484"/>
        </w:trPr>
        <w:tc>
          <w:tcPr>
            <w:tcW w:w="2063" w:type="pct"/>
            <w:gridSpan w:val="2"/>
            <w:shd w:val="clear" w:color="auto" w:fill="auto"/>
            <w:noWrap/>
            <w:vAlign w:val="center"/>
          </w:tcPr>
          <w:p w14:paraId="434CD908" w14:textId="2566546A" w:rsidR="001B0225" w:rsidRDefault="001B0225" w:rsidP="001B022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Total</w:t>
            </w:r>
          </w:p>
        </w:tc>
        <w:tc>
          <w:tcPr>
            <w:tcW w:w="1053" w:type="pct"/>
            <w:shd w:val="clear" w:color="auto" w:fill="auto"/>
            <w:noWrap/>
            <w:vAlign w:val="center"/>
          </w:tcPr>
          <w:p w14:paraId="762ECEB6" w14:textId="379D5EDC" w:rsidR="001B0225" w:rsidRDefault="001B0225" w:rsidP="001B022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717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7CBD0EE7" w14:textId="77777777" w:rsidR="001B0225" w:rsidRDefault="001B0225" w:rsidP="001B0225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14:paraId="7BF1BE9B" w14:textId="058E66A4" w:rsidR="001B0225" w:rsidRDefault="00083EDD" w:rsidP="001B022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</w:t>
            </w:r>
            <w:r w:rsidR="003A24EE">
              <w:rPr>
                <w:rFonts w:ascii="Arial" w:eastAsia="Times New Roman" w:hAnsi="Arial" w:cs="Arial"/>
              </w:rPr>
              <w:t>16,010.61</w:t>
            </w:r>
          </w:p>
        </w:tc>
      </w:tr>
    </w:tbl>
    <w:p w14:paraId="023C41CF" w14:textId="77777777" w:rsidR="002B56B8" w:rsidRDefault="002B56B8" w:rsidP="002B56B8"/>
    <w:p w14:paraId="35034FBF" w14:textId="77777777" w:rsidR="00FF72FC" w:rsidRPr="00E35DD1" w:rsidRDefault="00FF72FC" w:rsidP="00FF72FC">
      <w:pPr>
        <w:rPr>
          <w:b/>
        </w:rPr>
      </w:pPr>
      <w:r w:rsidRPr="00E35DD1">
        <w:rPr>
          <w:b/>
        </w:rPr>
        <w:t>A.13</w:t>
      </w:r>
      <w:r w:rsidRPr="00E35DD1">
        <w:rPr>
          <w:b/>
        </w:rPr>
        <w:tab/>
        <w:t>Estimate of Other Total Annual Cost Burden to Respondents or Record Keepers</w:t>
      </w:r>
    </w:p>
    <w:p w14:paraId="5B17185E" w14:textId="77777777" w:rsidR="002B56B8" w:rsidRPr="00730672" w:rsidRDefault="002B56B8" w:rsidP="002B56B8">
      <w:pPr>
        <w:autoSpaceDE w:val="0"/>
        <w:autoSpaceDN w:val="0"/>
        <w:adjustRightInd w:val="0"/>
      </w:pPr>
      <w:r w:rsidRPr="009D02C1">
        <w:t>There are no capital costs, operating costs, or maintenance costs to report.</w:t>
      </w:r>
    </w:p>
    <w:p w14:paraId="200EC104" w14:textId="77777777" w:rsidR="00FF72FC" w:rsidRPr="008942E9" w:rsidRDefault="00FF72FC" w:rsidP="00FF72FC">
      <w:pPr>
        <w:pStyle w:val="Heading2"/>
        <w:tabs>
          <w:tab w:val="clear" w:pos="1152"/>
          <w:tab w:val="left" w:pos="720"/>
        </w:tabs>
        <w:spacing w:after="0" w:line="480" w:lineRule="auto"/>
        <w:ind w:left="0" w:firstLine="0"/>
        <w:rPr>
          <w:rFonts w:ascii="Calibri" w:hAnsi="Calibri"/>
          <w:szCs w:val="22"/>
        </w:rPr>
      </w:pPr>
      <w:r w:rsidRPr="00B32F4A">
        <w:rPr>
          <w:rFonts w:ascii="Calibri" w:hAnsi="Calibri"/>
          <w:szCs w:val="22"/>
        </w:rPr>
        <w:lastRenderedPageBreak/>
        <w:t>A</w:t>
      </w:r>
      <w:r w:rsidRPr="008942E9">
        <w:rPr>
          <w:rFonts w:ascii="Calibri" w:hAnsi="Calibri"/>
          <w:szCs w:val="22"/>
        </w:rPr>
        <w:t>.14</w:t>
      </w:r>
      <w:r w:rsidRPr="008942E9">
        <w:rPr>
          <w:rFonts w:ascii="Calibri" w:hAnsi="Calibri"/>
          <w:szCs w:val="22"/>
        </w:rPr>
        <w:tab/>
        <w:t xml:space="preserve">Annualized Cost to the Federal Government  </w:t>
      </w:r>
    </w:p>
    <w:p w14:paraId="710F7B62" w14:textId="77777777" w:rsidR="00445602" w:rsidRPr="00A3608B" w:rsidRDefault="00445602" w:rsidP="00445602">
      <w:pPr>
        <w:autoSpaceDE w:val="0"/>
        <w:autoSpaceDN w:val="0"/>
        <w:adjustRightInd w:val="0"/>
        <w:outlineLvl w:val="0"/>
      </w:pPr>
      <w:r w:rsidRPr="00B32F4A">
        <w:t>The total cost to the federal government is $6,328.</w:t>
      </w:r>
      <w:r>
        <w:rPr>
          <w:rFonts w:ascii="Arial" w:hAnsi="Arial" w:cs="Arial"/>
        </w:rPr>
        <w:t xml:space="preserve"> </w:t>
      </w:r>
      <w:r w:rsidRPr="002A5115">
        <w:t xml:space="preserve">The NCI GS-14 Program Office will be dedicating 5% of her </w:t>
      </w:r>
      <w:r w:rsidRPr="00B32F4A">
        <w:rPr>
          <w:noProof/>
        </w:rPr>
        <w:t>total</w:t>
      </w:r>
      <w:r w:rsidRPr="002A5115">
        <w:t xml:space="preserve"> time to the project, engaging in oversight and administrative roles. Salary information for GS-level Program Officers can </w:t>
      </w:r>
      <w:r w:rsidRPr="00B32F4A">
        <w:rPr>
          <w:noProof/>
        </w:rPr>
        <w:t>be obtained</w:t>
      </w:r>
      <w:r w:rsidRPr="002A5115">
        <w:t xml:space="preserve"> </w:t>
      </w:r>
      <w:r w:rsidRPr="00B32F4A">
        <w:rPr>
          <w:noProof/>
        </w:rPr>
        <w:t>at:</w:t>
      </w:r>
      <w:r w:rsidRPr="002A5115">
        <w:t xml:space="preserve"> </w:t>
      </w:r>
      <w:hyperlink r:id="rId11" w:history="1">
        <w:r w:rsidRPr="002A5115">
          <w:rPr>
            <w:rStyle w:val="Hyperlink"/>
          </w:rPr>
          <w:t>http://www.opm.gov/policy-data-oversight/pay-leave/salaries-wages/2015/general-schedule/</w:t>
        </w:r>
      </w:hyperlink>
      <w:r w:rsidRPr="002A5115">
        <w:rPr>
          <w:color w:val="1F497D"/>
        </w:rPr>
        <w:t xml:space="preserve">. </w:t>
      </w:r>
      <w:r w:rsidRPr="002A5115">
        <w:t xml:space="preserve">The NCI CRTA Fellow will be dedicating 20% of her total time to the project by administering the survey, collecting, cleaning, and analyzing data, and writing up the results for publication. Salary information for NIH CRTA fellows can </w:t>
      </w:r>
      <w:r w:rsidRPr="00B32F4A">
        <w:rPr>
          <w:noProof/>
        </w:rPr>
        <w:t>be obtained</w:t>
      </w:r>
      <w:r w:rsidRPr="002A5115">
        <w:t xml:space="preserve"> </w:t>
      </w:r>
      <w:r w:rsidRPr="00B32F4A">
        <w:rPr>
          <w:noProof/>
        </w:rPr>
        <w:t>at:</w:t>
      </w:r>
      <w:r w:rsidRPr="002A5115">
        <w:t xml:space="preserve"> </w:t>
      </w:r>
      <w:hyperlink r:id="rId12" w:history="1">
        <w:r w:rsidRPr="00B32F4A">
          <w:rPr>
            <w:rStyle w:val="Hyperlink"/>
            <w:noProof/>
          </w:rPr>
          <w:t>https://www.training.nih.gov/trainee_-_postdoc_faqs</w:t>
        </w:r>
      </w:hyperlink>
      <w:r w:rsidRPr="00B32F4A">
        <w:rPr>
          <w:noProof/>
        </w:rPr>
        <w:t xml:space="preserve"> .</w:t>
      </w:r>
      <w:r>
        <w:t xml:space="preserve"> </w:t>
      </w:r>
      <w:r w:rsidRPr="002A5115">
        <w:t>Table A14-1 contains the annualized cost to the federal government</w:t>
      </w:r>
    </w:p>
    <w:p w14:paraId="79FD62FF" w14:textId="77777777" w:rsidR="002B56B8" w:rsidRPr="002A5115" w:rsidRDefault="002B56B8" w:rsidP="002B56B8">
      <w:pPr>
        <w:autoSpaceDE w:val="0"/>
        <w:autoSpaceDN w:val="0"/>
        <w:adjustRightInd w:val="0"/>
        <w:rPr>
          <w:rFonts w:ascii="Arial" w:hAnsi="Arial" w:cs="Arial"/>
        </w:rPr>
      </w:pPr>
      <w:r w:rsidRPr="001A2CD9">
        <w:rPr>
          <w:rFonts w:ascii="Arial" w:hAnsi="Arial" w:cs="Arial"/>
        </w:rPr>
        <w:t xml:space="preserve">Table A14-1. Cost to the </w:t>
      </w:r>
      <w:r w:rsidRPr="002A5115">
        <w:rPr>
          <w:rFonts w:ascii="Arial" w:hAnsi="Arial" w:cs="Arial"/>
        </w:rPr>
        <w:t>Federal Government</w:t>
      </w:r>
    </w:p>
    <w:p w14:paraId="08CBCF58" w14:textId="77777777" w:rsidR="002B56B8" w:rsidRPr="002A5115" w:rsidRDefault="002B56B8" w:rsidP="002B56B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762" w:type="dxa"/>
        <w:tblInd w:w="-2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2"/>
        <w:gridCol w:w="6303"/>
        <w:gridCol w:w="2067"/>
      </w:tblGrid>
      <w:tr w:rsidR="002B56B8" w:rsidRPr="002A5115" w14:paraId="7CDBCC0B" w14:textId="77777777" w:rsidTr="00BC6B28"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E1C71" w14:textId="77777777" w:rsidR="002B56B8" w:rsidRPr="002A5115" w:rsidRDefault="002B56B8" w:rsidP="00BC6B28">
            <w:pPr>
              <w:jc w:val="center"/>
              <w:rPr>
                <w:b/>
                <w:bCs/>
              </w:rPr>
            </w:pPr>
            <w:r w:rsidRPr="002A5115">
              <w:rPr>
                <w:b/>
                <w:bCs/>
              </w:rPr>
              <w:t>Source</w:t>
            </w:r>
          </w:p>
        </w:tc>
        <w:tc>
          <w:tcPr>
            <w:tcW w:w="6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5DABE" w14:textId="77777777" w:rsidR="002B56B8" w:rsidRPr="002A5115" w:rsidRDefault="002B56B8" w:rsidP="00BC6B28">
            <w:pPr>
              <w:jc w:val="center"/>
              <w:rPr>
                <w:rFonts w:cs="Calibri"/>
                <w:b/>
                <w:bCs/>
              </w:rPr>
            </w:pPr>
            <w:r w:rsidRPr="002A5115">
              <w:rPr>
                <w:b/>
                <w:bCs/>
              </w:rPr>
              <w:t>Task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56DA3" w14:textId="77777777" w:rsidR="002B56B8" w:rsidRPr="002A5115" w:rsidRDefault="002B56B8" w:rsidP="00BC6B28">
            <w:pPr>
              <w:jc w:val="center"/>
              <w:rPr>
                <w:rFonts w:cs="Calibri"/>
                <w:b/>
                <w:bCs/>
              </w:rPr>
            </w:pPr>
            <w:r w:rsidRPr="002A5115">
              <w:rPr>
                <w:b/>
                <w:bCs/>
              </w:rPr>
              <w:t>Annualized Cost</w:t>
            </w:r>
          </w:p>
        </w:tc>
      </w:tr>
      <w:tr w:rsidR="002B56B8" w:rsidRPr="002A5115" w14:paraId="6441A67F" w14:textId="77777777" w:rsidTr="00BC6B28">
        <w:tc>
          <w:tcPr>
            <w:tcW w:w="13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72FCD4A" w14:textId="77777777" w:rsidR="002B56B8" w:rsidRPr="002A5115" w:rsidRDefault="002B56B8" w:rsidP="00BC6B28">
            <w:r w:rsidRPr="002A5115">
              <w:t>NCI Staff</w:t>
            </w:r>
          </w:p>
        </w:tc>
        <w:tc>
          <w:tcPr>
            <w:tcW w:w="6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35D23" w14:textId="77777777" w:rsidR="002B56B8" w:rsidRPr="002A5115" w:rsidRDefault="002B56B8" w:rsidP="00BC6B28">
            <w:pPr>
              <w:rPr>
                <w:rFonts w:cs="Calibri"/>
              </w:rPr>
            </w:pPr>
            <w:r w:rsidRPr="002A5115">
              <w:t>NCI GS 14-5 Program Officer (5% of 22 weeks, annual salary $113,948)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8C59A" w14:textId="77777777" w:rsidR="002B56B8" w:rsidRPr="002A5115" w:rsidRDefault="002B56B8" w:rsidP="00BC6B28">
            <w:pPr>
              <w:jc w:val="center"/>
              <w:rPr>
                <w:rFonts w:cs="Calibri"/>
              </w:rPr>
            </w:pPr>
            <w:r w:rsidRPr="002A5115">
              <w:t>$2,411</w:t>
            </w:r>
          </w:p>
        </w:tc>
      </w:tr>
      <w:tr w:rsidR="002B56B8" w:rsidRPr="002A5115" w14:paraId="25B9E191" w14:textId="77777777" w:rsidTr="00BC6B28">
        <w:tc>
          <w:tcPr>
            <w:tcW w:w="13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D3239" w14:textId="77777777" w:rsidR="002B56B8" w:rsidRPr="002A5115" w:rsidRDefault="002B56B8" w:rsidP="00BC6B28"/>
        </w:tc>
        <w:tc>
          <w:tcPr>
            <w:tcW w:w="6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C979D" w14:textId="77777777" w:rsidR="002B56B8" w:rsidRPr="002A5115" w:rsidRDefault="002B56B8" w:rsidP="00BC6B28">
            <w:r w:rsidRPr="002A5115">
              <w:t>NCI post-baccalaureate CRTA Fellow (20% of 22 weeks, annual salary $30,700)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132E3" w14:textId="77777777" w:rsidR="002B56B8" w:rsidRPr="002A5115" w:rsidRDefault="002B56B8" w:rsidP="00BC6B28">
            <w:pPr>
              <w:jc w:val="center"/>
            </w:pPr>
            <w:r w:rsidRPr="002A5115">
              <w:t>$2,597</w:t>
            </w:r>
          </w:p>
        </w:tc>
      </w:tr>
      <w:tr w:rsidR="002B56B8" w:rsidRPr="002A5115" w14:paraId="252DCE96" w14:textId="77777777" w:rsidTr="00BC6B28"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F4CDE" w14:textId="77777777" w:rsidR="002B56B8" w:rsidRPr="002A5115" w:rsidRDefault="002B56B8" w:rsidP="00BC6B28">
            <w:r w:rsidRPr="002A5115">
              <w:t>Respondent</w:t>
            </w:r>
          </w:p>
          <w:p w14:paraId="5104CEA4" w14:textId="77777777" w:rsidR="002B56B8" w:rsidRPr="002A5115" w:rsidRDefault="002B56B8" w:rsidP="00BC6B28">
            <w:r w:rsidRPr="002A5115">
              <w:t>Costs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85C4B" w14:textId="77777777" w:rsidR="002B56B8" w:rsidRPr="002A5115" w:rsidRDefault="002B56B8" w:rsidP="00BC6B28">
            <w:r w:rsidRPr="002A5115">
              <w:t>Incentives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9869B" w14:textId="77777777" w:rsidR="002B56B8" w:rsidRPr="002A5115" w:rsidRDefault="002B56B8" w:rsidP="00BC6B28">
            <w:pPr>
              <w:jc w:val="center"/>
            </w:pPr>
            <w:r w:rsidRPr="002A5115">
              <w:t>$1,100</w:t>
            </w:r>
          </w:p>
        </w:tc>
      </w:tr>
      <w:tr w:rsidR="002B56B8" w:rsidRPr="002A5115" w14:paraId="17D8C0FA" w14:textId="77777777" w:rsidTr="00BC6B28"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2802" w14:textId="77777777" w:rsidR="002B56B8" w:rsidRPr="002A5115" w:rsidRDefault="002B56B8" w:rsidP="00BC6B28"/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AB48F" w14:textId="77777777" w:rsidR="002B56B8" w:rsidRPr="002A5115" w:rsidRDefault="002B56B8" w:rsidP="00BC6B28">
            <w:r w:rsidRPr="002A5115">
              <w:t>Mechanical Turk administrative fees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DB800" w14:textId="77777777" w:rsidR="002B56B8" w:rsidRPr="002A5115" w:rsidRDefault="002B56B8" w:rsidP="00BC6B28">
            <w:pPr>
              <w:jc w:val="center"/>
            </w:pPr>
            <w:r w:rsidRPr="002A5115">
              <w:t>$220</w:t>
            </w:r>
          </w:p>
        </w:tc>
      </w:tr>
      <w:tr w:rsidR="002B56B8" w:rsidRPr="002A5115" w14:paraId="5AC4F5D5" w14:textId="77777777" w:rsidTr="00BC6B28"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FCA7" w14:textId="77777777" w:rsidR="002B56B8" w:rsidRPr="002A5115" w:rsidRDefault="002B56B8" w:rsidP="00BC6B28">
            <w:pPr>
              <w:jc w:val="center"/>
            </w:pPr>
            <w:r w:rsidRPr="002A5115">
              <w:t>Total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C7798" w14:textId="77777777" w:rsidR="002B56B8" w:rsidRPr="002A5115" w:rsidRDefault="002B56B8" w:rsidP="00BC6B28">
            <w:pPr>
              <w:jc w:val="center"/>
            </w:pPr>
            <w:r w:rsidRPr="002A5115">
              <w:t>$6,328</w:t>
            </w:r>
          </w:p>
        </w:tc>
      </w:tr>
    </w:tbl>
    <w:p w14:paraId="5117D0B5" w14:textId="77777777" w:rsidR="002B56B8" w:rsidRPr="002A5115" w:rsidRDefault="002B56B8" w:rsidP="002B56B8">
      <w:pPr>
        <w:rPr>
          <w:b/>
          <w:color w:val="FF0000"/>
          <w:sz w:val="20"/>
          <w:szCs w:val="20"/>
        </w:rPr>
      </w:pPr>
    </w:p>
    <w:p w14:paraId="59206F89" w14:textId="77777777" w:rsidR="002B56B8" w:rsidRDefault="002B56B8" w:rsidP="002B56B8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14:paraId="4C63B715" w14:textId="77777777" w:rsidR="00FF72FC" w:rsidRPr="00E35DD1" w:rsidRDefault="00FF72FC" w:rsidP="00FF72FC">
      <w:pPr>
        <w:rPr>
          <w:b/>
        </w:rPr>
      </w:pPr>
      <w:r w:rsidRPr="00E35DD1">
        <w:rPr>
          <w:b/>
        </w:rPr>
        <w:t>A.15</w:t>
      </w:r>
      <w:r w:rsidRPr="00E35DD1">
        <w:rPr>
          <w:b/>
        </w:rPr>
        <w:tab/>
        <w:t>Explanation for Program Changes or Adjustments</w:t>
      </w:r>
    </w:p>
    <w:p w14:paraId="28737214" w14:textId="77777777" w:rsidR="002B56B8" w:rsidRPr="009D02C1" w:rsidRDefault="002B56B8" w:rsidP="002B56B8">
      <w:bookmarkStart w:id="25" w:name="_Toc443881759"/>
      <w:bookmarkStart w:id="26" w:name="_Toc451592246"/>
      <w:bookmarkStart w:id="27" w:name="_Toc5610287"/>
      <w:bookmarkStart w:id="28" w:name="_Toc99178793"/>
      <w:r w:rsidRPr="009D02C1">
        <w:t>This is a new collection of information.</w:t>
      </w:r>
    </w:p>
    <w:p w14:paraId="6FEC2DBF" w14:textId="77777777" w:rsidR="00FF72FC" w:rsidRPr="008942E9" w:rsidRDefault="00FF72FC" w:rsidP="00FF72FC">
      <w:pPr>
        <w:pStyle w:val="Heading2"/>
        <w:tabs>
          <w:tab w:val="clear" w:pos="1152"/>
          <w:tab w:val="left" w:pos="720"/>
        </w:tabs>
        <w:spacing w:after="0" w:line="480" w:lineRule="auto"/>
        <w:ind w:left="0" w:firstLine="0"/>
        <w:rPr>
          <w:rFonts w:ascii="Calibri" w:hAnsi="Calibri"/>
          <w:szCs w:val="22"/>
        </w:rPr>
      </w:pPr>
      <w:r w:rsidRPr="008942E9">
        <w:rPr>
          <w:rFonts w:ascii="Calibri" w:hAnsi="Calibri"/>
          <w:szCs w:val="22"/>
        </w:rPr>
        <w:t>A.16</w:t>
      </w:r>
      <w:r w:rsidRPr="008942E9">
        <w:rPr>
          <w:rFonts w:ascii="Calibri" w:hAnsi="Calibri"/>
          <w:szCs w:val="22"/>
        </w:rPr>
        <w:tab/>
        <w:t xml:space="preserve">Plans for Tabulation and Publication and Project </w:t>
      </w:r>
      <w:r w:rsidRPr="00B32F4A">
        <w:rPr>
          <w:rFonts w:ascii="Calibri" w:hAnsi="Calibri"/>
          <w:noProof/>
          <w:szCs w:val="22"/>
        </w:rPr>
        <w:t>Time Schedule</w:t>
      </w:r>
      <w:bookmarkEnd w:id="25"/>
      <w:bookmarkEnd w:id="26"/>
      <w:bookmarkEnd w:id="27"/>
      <w:bookmarkEnd w:id="28"/>
    </w:p>
    <w:p w14:paraId="52A3F956" w14:textId="77777777" w:rsidR="00445602" w:rsidRPr="00B26D24" w:rsidRDefault="00445602" w:rsidP="00445602">
      <w:r w:rsidRPr="00B32F4A">
        <w:rPr>
          <w:noProof/>
        </w:rPr>
        <w:t>Analyses</w:t>
      </w:r>
      <w:r w:rsidRPr="00E527C7">
        <w:t xml:space="preserve"> will involve examining correlations and interactions among self-affirmation</w:t>
      </w:r>
      <w:r>
        <w:t xml:space="preserve"> survey condition</w:t>
      </w:r>
      <w:r w:rsidRPr="00E527C7">
        <w:t xml:space="preserve">, </w:t>
      </w:r>
      <w:r>
        <w:t>risk perceptions</w:t>
      </w:r>
      <w:r w:rsidRPr="00E527C7">
        <w:t xml:space="preserve">, </w:t>
      </w:r>
      <w:r>
        <w:t>defensiveness against the message</w:t>
      </w:r>
      <w:r w:rsidRPr="00E527C7">
        <w:t xml:space="preserve">, and intentions to reduce alcohol consumption. </w:t>
      </w:r>
      <w:r w:rsidRPr="00E527C7">
        <w:rPr>
          <w:bCs/>
        </w:rPr>
        <w:t xml:space="preserve">We will disseminate our findings to relevant audiences –health psychologists/ public health researchers who capitalize on basic psychological science advances to develop </w:t>
      </w:r>
      <w:r w:rsidRPr="00B32F4A">
        <w:rPr>
          <w:bCs/>
          <w:noProof/>
        </w:rPr>
        <w:t>efficacious</w:t>
      </w:r>
      <w:r w:rsidRPr="00E527C7">
        <w:rPr>
          <w:bCs/>
        </w:rPr>
        <w:t xml:space="preserve"> health communications and interventions, and basic psychological scientists who study self-affirmation and affective experiences. </w:t>
      </w:r>
    </w:p>
    <w:p w14:paraId="77A1494E" w14:textId="77777777" w:rsidR="00445602" w:rsidRDefault="00445602" w:rsidP="00445602">
      <w:pPr>
        <w:autoSpaceDE w:val="0"/>
        <w:autoSpaceDN w:val="0"/>
        <w:adjustRightInd w:val="0"/>
        <w:outlineLvl w:val="0"/>
      </w:pPr>
      <w:r w:rsidRPr="002A5115">
        <w:t xml:space="preserve">No statistical point estimates for the U.S. population will </w:t>
      </w:r>
      <w:r w:rsidRPr="00B32F4A">
        <w:rPr>
          <w:noProof/>
        </w:rPr>
        <w:t>be produced</w:t>
      </w:r>
      <w:r w:rsidRPr="002A5115">
        <w:t>, or published, based on this information collection</w:t>
      </w:r>
    </w:p>
    <w:p w14:paraId="01863937" w14:textId="0B704774" w:rsidR="002B56B8" w:rsidRDefault="002B56B8" w:rsidP="00445602">
      <w:pPr>
        <w:autoSpaceDE w:val="0"/>
        <w:autoSpaceDN w:val="0"/>
        <w:adjustRightInd w:val="0"/>
        <w:outlineLvl w:val="0"/>
      </w:pPr>
      <w:r w:rsidRPr="00816E16">
        <w:lastRenderedPageBreak/>
        <w:t xml:space="preserve">The project </w:t>
      </w:r>
      <w:r w:rsidRPr="00B32F4A">
        <w:rPr>
          <w:noProof/>
        </w:rPr>
        <w:t>time schedule</w:t>
      </w:r>
      <w:r w:rsidRPr="00816E16">
        <w:t xml:space="preserve"> </w:t>
      </w:r>
      <w:r w:rsidRPr="00B32F4A">
        <w:rPr>
          <w:noProof/>
        </w:rPr>
        <w:t>is outlined</w:t>
      </w:r>
      <w:r w:rsidRPr="00816E16">
        <w:t xml:space="preserve"> in Table A16-1.</w:t>
      </w:r>
      <w:r>
        <w:t xml:space="preserve"> .</w:t>
      </w:r>
    </w:p>
    <w:p w14:paraId="154D9A78" w14:textId="77777777" w:rsidR="002B56B8" w:rsidRDefault="002B56B8" w:rsidP="002B56B8">
      <w:pPr>
        <w:autoSpaceDE w:val="0"/>
        <w:autoSpaceDN w:val="0"/>
        <w:adjustRightInd w:val="0"/>
        <w:outlineLvl w:val="0"/>
      </w:pPr>
    </w:p>
    <w:p w14:paraId="5D2BBCDE" w14:textId="77777777" w:rsidR="002B56B8" w:rsidRPr="003E1425" w:rsidRDefault="002B56B8" w:rsidP="002B56B8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3E1425">
        <w:rPr>
          <w:rFonts w:ascii="Arial" w:hAnsi="Arial" w:cs="Arial"/>
        </w:rPr>
        <w:t xml:space="preserve">Table A16-1. Project </w:t>
      </w:r>
      <w:r w:rsidRPr="00B32F4A">
        <w:rPr>
          <w:rFonts w:ascii="Arial" w:hAnsi="Arial" w:cs="Arial"/>
          <w:noProof/>
        </w:rPr>
        <w:t>Time Schedule</w:t>
      </w:r>
    </w:p>
    <w:p w14:paraId="71F97CBB" w14:textId="77777777" w:rsidR="002B56B8" w:rsidRDefault="002B56B8" w:rsidP="002B56B8">
      <w:pPr>
        <w:spacing w:line="240" w:lineRule="atLeast"/>
        <w:jc w:val="both"/>
        <w:rPr>
          <w:b/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827"/>
        <w:gridCol w:w="3811"/>
      </w:tblGrid>
      <w:tr w:rsidR="002B56B8" w:rsidRPr="003E0A6C" w14:paraId="267E765D" w14:textId="77777777" w:rsidTr="00BC6B28">
        <w:trPr>
          <w:cantSplit/>
          <w:trHeight w:val="300"/>
        </w:trPr>
        <w:tc>
          <w:tcPr>
            <w:tcW w:w="3023" w:type="pct"/>
            <w:shd w:val="clear" w:color="auto" w:fill="auto"/>
            <w:vAlign w:val="bottom"/>
          </w:tcPr>
          <w:p w14:paraId="0B32FFA2" w14:textId="77777777" w:rsidR="002B56B8" w:rsidRPr="00A26290" w:rsidRDefault="002B56B8" w:rsidP="00BC6B2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26290">
              <w:rPr>
                <w:rFonts w:ascii="Arial" w:hAnsi="Arial" w:cs="Arial"/>
                <w:b/>
                <w:color w:val="000000"/>
              </w:rPr>
              <w:t>Activity</w:t>
            </w:r>
          </w:p>
        </w:tc>
        <w:tc>
          <w:tcPr>
            <w:tcW w:w="1977" w:type="pct"/>
            <w:vAlign w:val="center"/>
          </w:tcPr>
          <w:p w14:paraId="3E859A55" w14:textId="77777777" w:rsidR="002B56B8" w:rsidRPr="00A26290" w:rsidRDefault="002B56B8" w:rsidP="00BC6B2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26290">
              <w:rPr>
                <w:rFonts w:ascii="Arial" w:hAnsi="Arial" w:cs="Arial"/>
                <w:b/>
                <w:color w:val="000000"/>
              </w:rPr>
              <w:t>Months after OMB Approval</w:t>
            </w:r>
          </w:p>
        </w:tc>
      </w:tr>
      <w:tr w:rsidR="002B56B8" w:rsidRPr="003E0A6C" w14:paraId="1914E585" w14:textId="77777777" w:rsidTr="00BC6B28">
        <w:trPr>
          <w:cantSplit/>
          <w:trHeight w:val="300"/>
        </w:trPr>
        <w:tc>
          <w:tcPr>
            <w:tcW w:w="3023" w:type="pct"/>
            <w:shd w:val="clear" w:color="auto" w:fill="auto"/>
            <w:vAlign w:val="bottom"/>
          </w:tcPr>
          <w:p w14:paraId="5C8F8C33" w14:textId="77777777" w:rsidR="002B56B8" w:rsidRPr="00BF5423" w:rsidRDefault="002B56B8" w:rsidP="00BC6B28">
            <w:pPr>
              <w:rPr>
                <w:rFonts w:ascii="Arial" w:hAnsi="Arial" w:cs="Arial"/>
                <w:color w:val="000000"/>
              </w:rPr>
            </w:pPr>
            <w:r w:rsidRPr="00BF5423">
              <w:rPr>
                <w:rFonts w:ascii="Arial" w:hAnsi="Arial" w:cs="Arial"/>
                <w:color w:val="000000"/>
              </w:rPr>
              <w:t xml:space="preserve">Post </w:t>
            </w:r>
            <w:r>
              <w:rPr>
                <w:rFonts w:ascii="Arial" w:hAnsi="Arial" w:cs="Arial"/>
                <w:color w:val="000000"/>
              </w:rPr>
              <w:t>modules on mTurk</w:t>
            </w:r>
            <w:r w:rsidRPr="00BF5423">
              <w:rPr>
                <w:rFonts w:ascii="Arial" w:hAnsi="Arial" w:cs="Arial"/>
                <w:color w:val="000000"/>
              </w:rPr>
              <w:t xml:space="preserve"> (collect information)</w:t>
            </w:r>
          </w:p>
        </w:tc>
        <w:tc>
          <w:tcPr>
            <w:tcW w:w="1977" w:type="pct"/>
            <w:vAlign w:val="center"/>
          </w:tcPr>
          <w:p w14:paraId="0A026622" w14:textId="77777777" w:rsidR="002B56B8" w:rsidRPr="00BF5423" w:rsidRDefault="002B56B8" w:rsidP="00BC6B28">
            <w:pPr>
              <w:jc w:val="center"/>
              <w:rPr>
                <w:rFonts w:ascii="Arial" w:hAnsi="Arial" w:cs="Arial"/>
                <w:color w:val="000000"/>
              </w:rPr>
            </w:pPr>
            <w:r w:rsidRPr="00BF5423">
              <w:rPr>
                <w:rFonts w:ascii="Arial" w:hAnsi="Arial" w:cs="Arial"/>
                <w:color w:val="000000"/>
              </w:rPr>
              <w:t xml:space="preserve">0 – </w:t>
            </w: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2B56B8" w:rsidRPr="003E0A6C" w14:paraId="19FFFC60" w14:textId="77777777" w:rsidTr="00BC6B28">
        <w:trPr>
          <w:cantSplit/>
          <w:trHeight w:val="300"/>
        </w:trPr>
        <w:tc>
          <w:tcPr>
            <w:tcW w:w="3023" w:type="pct"/>
            <w:shd w:val="clear" w:color="auto" w:fill="auto"/>
            <w:vAlign w:val="bottom"/>
          </w:tcPr>
          <w:p w14:paraId="51B5D783" w14:textId="77777777" w:rsidR="002B56B8" w:rsidRPr="00BF5423" w:rsidRDefault="002B56B8" w:rsidP="00BC6B2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Information collection period</w:t>
            </w:r>
          </w:p>
        </w:tc>
        <w:tc>
          <w:tcPr>
            <w:tcW w:w="1977" w:type="pct"/>
            <w:vAlign w:val="center"/>
          </w:tcPr>
          <w:p w14:paraId="48199F45" w14:textId="77777777" w:rsidR="002B56B8" w:rsidRPr="00BF5423" w:rsidRDefault="002B56B8" w:rsidP="00BC6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1 - 2</w:t>
            </w:r>
          </w:p>
        </w:tc>
      </w:tr>
      <w:tr w:rsidR="002B56B8" w:rsidRPr="003E0A6C" w14:paraId="2BA1A60C" w14:textId="77777777" w:rsidTr="00BC6B28">
        <w:trPr>
          <w:cantSplit/>
          <w:trHeight w:val="300"/>
        </w:trPr>
        <w:tc>
          <w:tcPr>
            <w:tcW w:w="3023" w:type="pct"/>
            <w:shd w:val="clear" w:color="auto" w:fill="auto"/>
            <w:vAlign w:val="bottom"/>
          </w:tcPr>
          <w:p w14:paraId="0C81AE58" w14:textId="77777777" w:rsidR="002B56B8" w:rsidRPr="00BF5423" w:rsidRDefault="002B56B8" w:rsidP="00BC6B2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Clean and analyze information</w:t>
            </w:r>
          </w:p>
        </w:tc>
        <w:tc>
          <w:tcPr>
            <w:tcW w:w="1977" w:type="pct"/>
            <w:vAlign w:val="center"/>
          </w:tcPr>
          <w:p w14:paraId="660A13AC" w14:textId="77777777" w:rsidR="002B56B8" w:rsidRPr="00BF5423" w:rsidRDefault="002B56B8" w:rsidP="00BC6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2 - 3</w:t>
            </w:r>
          </w:p>
        </w:tc>
      </w:tr>
      <w:tr w:rsidR="002B56B8" w:rsidRPr="003E0A6C" w14:paraId="17AF2B6F" w14:textId="77777777" w:rsidTr="00BC6B28">
        <w:trPr>
          <w:cantSplit/>
          <w:trHeight w:val="300"/>
        </w:trPr>
        <w:tc>
          <w:tcPr>
            <w:tcW w:w="3023" w:type="pct"/>
            <w:shd w:val="clear" w:color="auto" w:fill="auto"/>
            <w:vAlign w:val="bottom"/>
          </w:tcPr>
          <w:p w14:paraId="736BD7CC" w14:textId="77777777" w:rsidR="002B56B8" w:rsidRPr="00BF5423" w:rsidRDefault="002B56B8" w:rsidP="00BC6B2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Interpret and Summarize information</w:t>
            </w:r>
          </w:p>
        </w:tc>
        <w:tc>
          <w:tcPr>
            <w:tcW w:w="1977" w:type="pct"/>
            <w:vAlign w:val="center"/>
          </w:tcPr>
          <w:p w14:paraId="0B42AB38" w14:textId="77777777" w:rsidR="002B56B8" w:rsidRPr="00BF5423" w:rsidRDefault="002B56B8" w:rsidP="00BC6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3 - 4</w:t>
            </w:r>
          </w:p>
        </w:tc>
      </w:tr>
      <w:tr w:rsidR="002B56B8" w:rsidRPr="003E0A6C" w14:paraId="4133BEE2" w14:textId="77777777" w:rsidTr="00BC6B28">
        <w:trPr>
          <w:cantSplit/>
          <w:trHeight w:val="300"/>
        </w:trPr>
        <w:tc>
          <w:tcPr>
            <w:tcW w:w="3023" w:type="pct"/>
            <w:shd w:val="clear" w:color="auto" w:fill="auto"/>
            <w:vAlign w:val="bottom"/>
          </w:tcPr>
          <w:p w14:paraId="3621FB9F" w14:textId="77777777" w:rsidR="002B56B8" w:rsidRPr="00BF5423" w:rsidRDefault="002B56B8" w:rsidP="00BC6B2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Write report</w:t>
            </w:r>
          </w:p>
        </w:tc>
        <w:tc>
          <w:tcPr>
            <w:tcW w:w="1977" w:type="pct"/>
            <w:vAlign w:val="center"/>
          </w:tcPr>
          <w:p w14:paraId="50BEC260" w14:textId="77777777" w:rsidR="002B56B8" w:rsidRPr="00BF5423" w:rsidRDefault="002B56B8" w:rsidP="00BC6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4 - 5</w:t>
            </w:r>
          </w:p>
        </w:tc>
      </w:tr>
    </w:tbl>
    <w:p w14:paraId="792EAE0D" w14:textId="77777777" w:rsidR="002B56B8" w:rsidRDefault="002B56B8" w:rsidP="002B56B8">
      <w:pPr>
        <w:spacing w:line="240" w:lineRule="atLeast"/>
        <w:jc w:val="both"/>
        <w:rPr>
          <w:b/>
          <w:color w:val="FF0000"/>
          <w:sz w:val="20"/>
          <w:szCs w:val="20"/>
        </w:rPr>
      </w:pPr>
    </w:p>
    <w:p w14:paraId="1741EB6E" w14:textId="3A03F4C8" w:rsidR="002B56B8" w:rsidRDefault="002B56B8" w:rsidP="002B56B8">
      <w:pPr>
        <w:autoSpaceDE w:val="0"/>
        <w:autoSpaceDN w:val="0"/>
        <w:adjustRightInd w:val="0"/>
        <w:outlineLvl w:val="0"/>
      </w:pPr>
      <w:r w:rsidRPr="002A5115">
        <w:t xml:space="preserve"> </w:t>
      </w:r>
    </w:p>
    <w:p w14:paraId="56F18E10" w14:textId="77777777" w:rsidR="00FF72FC" w:rsidRPr="002B56B8" w:rsidRDefault="00FF72FC" w:rsidP="00FF72FC">
      <w:pPr>
        <w:rPr>
          <w:b/>
        </w:rPr>
      </w:pPr>
      <w:r w:rsidRPr="002B56B8">
        <w:rPr>
          <w:b/>
        </w:rPr>
        <w:t>A.17</w:t>
      </w:r>
      <w:r w:rsidRPr="002B56B8">
        <w:rPr>
          <w:b/>
        </w:rPr>
        <w:tab/>
        <w:t>Reason(s) Display of OMB Expiration Date is Inappropriate</w:t>
      </w:r>
    </w:p>
    <w:p w14:paraId="0BE3D102" w14:textId="77777777" w:rsidR="002B56B8" w:rsidRPr="009D02C1" w:rsidRDefault="002B56B8" w:rsidP="002B56B8">
      <w:pPr>
        <w:autoSpaceDE w:val="0"/>
        <w:autoSpaceDN w:val="0"/>
        <w:adjustRightInd w:val="0"/>
      </w:pPr>
      <w:r w:rsidRPr="009D02C1">
        <w:t xml:space="preserve">We are not requesting </w:t>
      </w:r>
      <w:r w:rsidRPr="00B32F4A">
        <w:rPr>
          <w:noProof/>
        </w:rPr>
        <w:t>exemption</w:t>
      </w:r>
      <w:r w:rsidRPr="009D02C1">
        <w:t xml:space="preserve"> from the </w:t>
      </w:r>
      <w:r w:rsidRPr="00B32F4A">
        <w:rPr>
          <w:noProof/>
        </w:rPr>
        <w:t>display</w:t>
      </w:r>
      <w:r w:rsidRPr="009D02C1">
        <w:t xml:space="preserve"> of the OMB expiration date. </w:t>
      </w:r>
    </w:p>
    <w:p w14:paraId="3DD6015C" w14:textId="77777777" w:rsidR="00FF72FC" w:rsidRPr="002B56B8" w:rsidRDefault="00FF72FC" w:rsidP="00FF72FC">
      <w:pPr>
        <w:rPr>
          <w:b/>
        </w:rPr>
      </w:pPr>
      <w:r w:rsidRPr="002B56B8">
        <w:rPr>
          <w:b/>
        </w:rPr>
        <w:t>A.18</w:t>
      </w:r>
      <w:r w:rsidRPr="002B56B8">
        <w:rPr>
          <w:b/>
        </w:rPr>
        <w:tab/>
        <w:t>Exceptions to Certification for Paperwork Reduction Act Submissions</w:t>
      </w:r>
    </w:p>
    <w:p w14:paraId="55FEF2C6" w14:textId="77777777" w:rsidR="002B56B8" w:rsidRPr="009D02C1" w:rsidRDefault="002B56B8" w:rsidP="002B56B8">
      <w:pPr>
        <w:autoSpaceDE w:val="0"/>
        <w:autoSpaceDN w:val="0"/>
        <w:adjustRightInd w:val="0"/>
        <w:rPr>
          <w:color w:val="000000"/>
        </w:rPr>
      </w:pPr>
      <w:r w:rsidRPr="009D02C1">
        <w:rPr>
          <w:color w:val="000000"/>
        </w:rPr>
        <w:t>This information collection will comply with the requirements in 5 CFR 1320.9.</w:t>
      </w:r>
    </w:p>
    <w:p w14:paraId="30B4734B" w14:textId="77777777" w:rsidR="009A69D6" w:rsidRDefault="009A69D6" w:rsidP="00767C53">
      <w:pPr>
        <w:rPr>
          <w:color w:val="000000"/>
        </w:rPr>
      </w:pPr>
    </w:p>
    <w:sectPr w:rsidR="009A69D6" w:rsidSect="00FE6EA5">
      <w:footerReference w:type="even" r:id="rId13"/>
      <w:footerReference w:type="default" r:id="rId14"/>
      <w:pgSz w:w="12240" w:h="15840"/>
      <w:pgMar w:top="1296" w:right="1296" w:bottom="1296" w:left="1296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A328F" w14:textId="77777777" w:rsidR="00025194" w:rsidRDefault="00025194">
      <w:pPr>
        <w:spacing w:after="0" w:line="240" w:lineRule="auto"/>
      </w:pPr>
      <w:r>
        <w:separator/>
      </w:r>
    </w:p>
  </w:endnote>
  <w:endnote w:type="continuationSeparator" w:id="0">
    <w:p w14:paraId="6DBADCA0" w14:textId="77777777" w:rsidR="00025194" w:rsidRDefault="0002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0457D" w14:textId="77777777" w:rsidR="009667B2" w:rsidRDefault="00E35DD1" w:rsidP="009667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06A1C1" w14:textId="77777777" w:rsidR="009667B2" w:rsidRDefault="009667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983AF" w14:textId="66D5996E" w:rsidR="009667B2" w:rsidRDefault="00E35DD1" w:rsidP="009667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0831">
      <w:rPr>
        <w:rStyle w:val="PageNumber"/>
        <w:noProof/>
      </w:rPr>
      <w:t>4</w:t>
    </w:r>
    <w:r>
      <w:rPr>
        <w:rStyle w:val="PageNumber"/>
      </w:rPr>
      <w:fldChar w:fldCharType="end"/>
    </w:r>
  </w:p>
  <w:p w14:paraId="010DAEB0" w14:textId="77777777" w:rsidR="009667B2" w:rsidRDefault="009667B2" w:rsidP="009667B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84C24" w14:textId="77777777" w:rsidR="00025194" w:rsidRDefault="00025194">
      <w:pPr>
        <w:spacing w:after="0" w:line="240" w:lineRule="auto"/>
      </w:pPr>
      <w:r>
        <w:separator/>
      </w:r>
    </w:p>
  </w:footnote>
  <w:footnote w:type="continuationSeparator" w:id="0">
    <w:p w14:paraId="22B35718" w14:textId="77777777" w:rsidR="00025194" w:rsidRDefault="00025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42FE6"/>
    <w:multiLevelType w:val="hybridMultilevel"/>
    <w:tmpl w:val="9FC6E45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E8914F4"/>
    <w:multiLevelType w:val="hybridMultilevel"/>
    <w:tmpl w:val="2396781A"/>
    <w:lvl w:ilvl="0" w:tplc="EDC4401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17FDB"/>
    <w:multiLevelType w:val="hybridMultilevel"/>
    <w:tmpl w:val="91529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E3DB7"/>
    <w:multiLevelType w:val="hybridMultilevel"/>
    <w:tmpl w:val="B030B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F0F17"/>
    <w:multiLevelType w:val="hybridMultilevel"/>
    <w:tmpl w:val="34703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A7580"/>
    <w:multiLevelType w:val="hybridMultilevel"/>
    <w:tmpl w:val="F8C669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05AA7"/>
    <w:multiLevelType w:val="hybridMultilevel"/>
    <w:tmpl w:val="E58CD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D1459"/>
    <w:multiLevelType w:val="hybridMultilevel"/>
    <w:tmpl w:val="B03A0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C22B0"/>
    <w:multiLevelType w:val="hybridMultilevel"/>
    <w:tmpl w:val="DC424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A5102"/>
    <w:multiLevelType w:val="hybridMultilevel"/>
    <w:tmpl w:val="FC34FE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34717C"/>
    <w:multiLevelType w:val="hybridMultilevel"/>
    <w:tmpl w:val="E3D2A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LWwMDY1NjYE0pbGlko6SsGpxcWZ+XkgBea1AJV72pwsAAAA"/>
  </w:docVars>
  <w:rsids>
    <w:rsidRoot w:val="000F3043"/>
    <w:rsid w:val="00024899"/>
    <w:rsid w:val="00025194"/>
    <w:rsid w:val="00051406"/>
    <w:rsid w:val="00083EDD"/>
    <w:rsid w:val="000F3043"/>
    <w:rsid w:val="00170EC9"/>
    <w:rsid w:val="001B0225"/>
    <w:rsid w:val="00204101"/>
    <w:rsid w:val="00245089"/>
    <w:rsid w:val="00255F7C"/>
    <w:rsid w:val="002670CD"/>
    <w:rsid w:val="002A044E"/>
    <w:rsid w:val="002B56B8"/>
    <w:rsid w:val="002C4357"/>
    <w:rsid w:val="002F4317"/>
    <w:rsid w:val="00312856"/>
    <w:rsid w:val="0036208F"/>
    <w:rsid w:val="00390AEE"/>
    <w:rsid w:val="003A24EE"/>
    <w:rsid w:val="003E5C04"/>
    <w:rsid w:val="00445602"/>
    <w:rsid w:val="004716CF"/>
    <w:rsid w:val="00497B81"/>
    <w:rsid w:val="005150E7"/>
    <w:rsid w:val="005410EA"/>
    <w:rsid w:val="00567812"/>
    <w:rsid w:val="005F4A54"/>
    <w:rsid w:val="006335C8"/>
    <w:rsid w:val="00643D2B"/>
    <w:rsid w:val="006760FD"/>
    <w:rsid w:val="006825BB"/>
    <w:rsid w:val="00685B30"/>
    <w:rsid w:val="006A45F9"/>
    <w:rsid w:val="007063F8"/>
    <w:rsid w:val="00717158"/>
    <w:rsid w:val="00767C53"/>
    <w:rsid w:val="007D11BF"/>
    <w:rsid w:val="007E0F97"/>
    <w:rsid w:val="00816637"/>
    <w:rsid w:val="00824D7E"/>
    <w:rsid w:val="00833E0A"/>
    <w:rsid w:val="008359FA"/>
    <w:rsid w:val="0086248B"/>
    <w:rsid w:val="00867A24"/>
    <w:rsid w:val="008942E9"/>
    <w:rsid w:val="00894FF4"/>
    <w:rsid w:val="008E0831"/>
    <w:rsid w:val="00941822"/>
    <w:rsid w:val="009667B2"/>
    <w:rsid w:val="009810A0"/>
    <w:rsid w:val="009A69D6"/>
    <w:rsid w:val="009C3E9D"/>
    <w:rsid w:val="00A00CF8"/>
    <w:rsid w:val="00A86220"/>
    <w:rsid w:val="00AB5D88"/>
    <w:rsid w:val="00AC5E11"/>
    <w:rsid w:val="00B00EB3"/>
    <w:rsid w:val="00B03736"/>
    <w:rsid w:val="00B32F4A"/>
    <w:rsid w:val="00B61623"/>
    <w:rsid w:val="00BE5EFA"/>
    <w:rsid w:val="00BE76A7"/>
    <w:rsid w:val="00BF0C39"/>
    <w:rsid w:val="00BF491C"/>
    <w:rsid w:val="00C37E21"/>
    <w:rsid w:val="00D233BF"/>
    <w:rsid w:val="00D34BE5"/>
    <w:rsid w:val="00D7280E"/>
    <w:rsid w:val="00DA5C15"/>
    <w:rsid w:val="00DB1217"/>
    <w:rsid w:val="00DE5570"/>
    <w:rsid w:val="00E03967"/>
    <w:rsid w:val="00E26338"/>
    <w:rsid w:val="00E35DD1"/>
    <w:rsid w:val="00E56374"/>
    <w:rsid w:val="00E67B10"/>
    <w:rsid w:val="00E72390"/>
    <w:rsid w:val="00EE245F"/>
    <w:rsid w:val="00EF7F62"/>
    <w:rsid w:val="00F33485"/>
    <w:rsid w:val="00F52557"/>
    <w:rsid w:val="00F939C6"/>
    <w:rsid w:val="00FB346E"/>
    <w:rsid w:val="00FD3DB8"/>
    <w:rsid w:val="00FE6EA5"/>
    <w:rsid w:val="00FF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B5D1582"/>
  <w15:docId w15:val="{EA3C2313-BB0D-4428-97D6-D5C5BF00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6A7"/>
    <w:pPr>
      <w:spacing w:after="200" w:line="276" w:lineRule="auto"/>
    </w:pPr>
    <w:rPr>
      <w:sz w:val="22"/>
      <w:szCs w:val="22"/>
    </w:rPr>
  </w:style>
  <w:style w:type="paragraph" w:styleId="Heading2">
    <w:name w:val="heading 2"/>
    <w:aliases w:val="H2-Sec. Head"/>
    <w:basedOn w:val="Normal"/>
    <w:next w:val="P1-StandPara"/>
    <w:link w:val="Heading2Char"/>
    <w:qFormat/>
    <w:rsid w:val="000F3043"/>
    <w:pPr>
      <w:keepNext/>
      <w:tabs>
        <w:tab w:val="left" w:pos="1152"/>
      </w:tabs>
      <w:spacing w:after="360" w:line="360" w:lineRule="atLeast"/>
      <w:ind w:left="432" w:hanging="432"/>
      <w:jc w:val="both"/>
      <w:outlineLvl w:val="1"/>
    </w:pPr>
    <w:rPr>
      <w:rFonts w:ascii="Times New Roman" w:eastAsia="Times New Roman" w:hAnsi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043"/>
    <w:pPr>
      <w:ind w:left="720"/>
      <w:contextualSpacing/>
    </w:pPr>
  </w:style>
  <w:style w:type="character" w:styleId="Hyperlink">
    <w:name w:val="Hyperlink"/>
    <w:rsid w:val="000F3043"/>
    <w:rPr>
      <w:color w:val="0000FF"/>
      <w:u w:val="single"/>
    </w:rPr>
  </w:style>
  <w:style w:type="paragraph" w:customStyle="1" w:styleId="P1-StandPara">
    <w:name w:val="P1-Stand Para"/>
    <w:rsid w:val="000F3043"/>
    <w:pPr>
      <w:spacing w:line="480" w:lineRule="auto"/>
      <w:ind w:firstLine="720"/>
    </w:pPr>
    <w:rPr>
      <w:rFonts w:ascii="Times New Roman" w:eastAsia="Times New Roman" w:hAnsi="Times New Roman"/>
      <w:sz w:val="22"/>
    </w:rPr>
  </w:style>
  <w:style w:type="character" w:customStyle="1" w:styleId="Heading2Char">
    <w:name w:val="Heading 2 Char"/>
    <w:aliases w:val="H2-Sec. Head Char"/>
    <w:link w:val="Heading2"/>
    <w:rsid w:val="000F3043"/>
    <w:rPr>
      <w:rFonts w:ascii="Times New Roman" w:eastAsia="Times New Roman" w:hAnsi="Times New Roman" w:cs="Times New Roman"/>
      <w:b/>
      <w:szCs w:val="20"/>
    </w:rPr>
  </w:style>
  <w:style w:type="paragraph" w:customStyle="1" w:styleId="a">
    <w:name w:val="_"/>
    <w:rsid w:val="00685B30"/>
    <w:pPr>
      <w:widowControl w:val="0"/>
      <w:ind w:left="720"/>
    </w:pPr>
    <w:rPr>
      <w:rFonts w:ascii="Times New Roman" w:eastAsia="Times New Roman" w:hAnsi="Times New Roman"/>
      <w:snapToGrid w:val="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35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5DD1"/>
  </w:style>
  <w:style w:type="character" w:styleId="PageNumber">
    <w:name w:val="page number"/>
    <w:basedOn w:val="DefaultParagraphFont"/>
    <w:rsid w:val="00E35DD1"/>
  </w:style>
  <w:style w:type="paragraph" w:styleId="NoSpacing">
    <w:name w:val="No Spacing"/>
    <w:link w:val="NoSpacingChar"/>
    <w:uiPriority w:val="1"/>
    <w:qFormat/>
    <w:rsid w:val="00FE6EA5"/>
    <w:rPr>
      <w:rFonts w:eastAsia="Times New Roman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FE6EA5"/>
    <w:rPr>
      <w:rFonts w:eastAsia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6E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B1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rsid w:val="002B56B8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56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6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6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6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6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rerra@mail.nih.go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raining.nih.gov/trainee_-_postdoc_faq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m.gov/policy-data-oversight/pay-leave/salaries-wages/2015/general-schedul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ls.gov/oes/current/oes_na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spe.hhs.gov/datacncl/standards/ACA/4302/index.s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 Supporting Statement A is completed when there are NO statistical methods employed. Otherwise, as separate files, complete both SSA and SSB.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2209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NIH\OD</Company>
  <LinksUpToDate>false</LinksUpToDate>
  <CharactersWithSpaces>14777</CharactersWithSpaces>
  <SharedDoc>false</SharedDoc>
  <HLinks>
    <vt:vector size="6" baseType="variant">
      <vt:variant>
        <vt:i4>5963844</vt:i4>
      </vt:variant>
      <vt:variant>
        <vt:i4>3</vt:i4>
      </vt:variant>
      <vt:variant>
        <vt:i4>0</vt:i4>
      </vt:variant>
      <vt:variant>
        <vt:i4>5</vt:i4>
      </vt:variant>
      <vt:variant>
        <vt:lpwstr>http://oma.od.nih.gov/public/MS/privacy/Pages/privacyact.aspx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Supporting Statement A</dc:subject>
  <dc:creator>Lopez, Maria (NIH/NICHD) [E]</dc:creator>
  <cp:lastModifiedBy>Bailey, Karla (NIH/NCI) [E]</cp:lastModifiedBy>
  <cp:revision>4</cp:revision>
  <dcterms:created xsi:type="dcterms:W3CDTF">2016-03-03T20:42:00Z</dcterms:created>
  <dcterms:modified xsi:type="dcterms:W3CDTF">2016-03-14T13:28:00Z</dcterms:modified>
</cp:coreProperties>
</file>