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E9F34"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p>
    <w:p w14:paraId="66DE5B70" w14:textId="77777777" w:rsidR="00E35DD1" w:rsidRPr="008942E9" w:rsidRDefault="00E35DD1" w:rsidP="00767C53">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Supporting Statement A for</w:t>
      </w:r>
    </w:p>
    <w:p w14:paraId="7B66D7D0"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18719980" w14:textId="1D914728" w:rsidR="00D84301" w:rsidRDefault="001803D2" w:rsidP="00767C53">
      <w:pPr>
        <w:pStyle w:val="P1-StandPara"/>
        <w:tabs>
          <w:tab w:val="left" w:pos="720"/>
          <w:tab w:val="right" w:leader="dot" w:pos="9504"/>
        </w:tabs>
        <w:spacing w:before="120" w:after="120"/>
        <w:ind w:firstLine="0"/>
        <w:jc w:val="center"/>
        <w:rPr>
          <w:rFonts w:ascii="Calibri" w:hAnsi="Calibri"/>
          <w:szCs w:val="22"/>
        </w:rPr>
      </w:pPr>
      <w:r>
        <w:rPr>
          <w:rFonts w:ascii="Calibri" w:hAnsi="Calibri"/>
          <w:szCs w:val="22"/>
        </w:rPr>
        <w:t xml:space="preserve">Cancer Genomics Cloud Pilots </w:t>
      </w:r>
      <w:r w:rsidR="00D84301">
        <w:rPr>
          <w:rFonts w:ascii="Calibri" w:hAnsi="Calibri"/>
          <w:szCs w:val="22"/>
        </w:rPr>
        <w:t>(CGC)</w:t>
      </w:r>
      <w:r w:rsidR="00BD499D">
        <w:rPr>
          <w:rFonts w:ascii="Calibri" w:hAnsi="Calibri"/>
          <w:szCs w:val="22"/>
        </w:rPr>
        <w:t>(NCI)</w:t>
      </w:r>
    </w:p>
    <w:p w14:paraId="337237A1" w14:textId="09AD0C82" w:rsidR="00E35DD1" w:rsidRPr="008942E9" w:rsidRDefault="00E35DD1" w:rsidP="00294867">
      <w:pPr>
        <w:pStyle w:val="P1-StandPara"/>
        <w:tabs>
          <w:tab w:val="left" w:pos="720"/>
          <w:tab w:val="right" w:leader="dot" w:pos="9504"/>
        </w:tabs>
        <w:spacing w:before="120" w:after="120"/>
        <w:ind w:firstLine="0"/>
        <w:rPr>
          <w:rFonts w:ascii="Calibri" w:hAnsi="Calibri"/>
          <w:szCs w:val="22"/>
        </w:rPr>
      </w:pPr>
    </w:p>
    <w:p w14:paraId="357C22B9" w14:textId="5248E601" w:rsidR="00024899"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7DFB5060" w14:textId="2A247D0E" w:rsidR="001803D2" w:rsidRDefault="006413BF" w:rsidP="00E35DD1">
      <w:pPr>
        <w:pStyle w:val="P1-StandPara"/>
        <w:tabs>
          <w:tab w:val="left" w:pos="720"/>
          <w:tab w:val="right" w:leader="dot" w:pos="9504"/>
        </w:tabs>
        <w:spacing w:before="120" w:after="120"/>
        <w:ind w:firstLine="0"/>
        <w:rPr>
          <w:rFonts w:ascii="Calibri" w:hAnsi="Calibri"/>
          <w:szCs w:val="22"/>
        </w:rPr>
      </w:pPr>
      <w:r>
        <w:rPr>
          <w:rFonts w:ascii="Calibri" w:hAnsi="Calibri"/>
          <w:szCs w:val="22"/>
        </w:rPr>
        <w:t>Date:  March</w:t>
      </w:r>
      <w:r w:rsidR="001803D2">
        <w:rPr>
          <w:rFonts w:ascii="Calibri" w:hAnsi="Calibri"/>
          <w:szCs w:val="22"/>
        </w:rPr>
        <w:t xml:space="preserve"> </w:t>
      </w:r>
      <w:r>
        <w:rPr>
          <w:rFonts w:ascii="Calibri" w:hAnsi="Calibri"/>
          <w:szCs w:val="22"/>
        </w:rPr>
        <w:t>15</w:t>
      </w:r>
      <w:r w:rsidR="00714896">
        <w:rPr>
          <w:rFonts w:ascii="Calibri" w:hAnsi="Calibri"/>
          <w:szCs w:val="22"/>
        </w:rPr>
        <w:t>,2016</w:t>
      </w:r>
    </w:p>
    <w:p w14:paraId="396C78D3" w14:textId="65CDE9F6" w:rsidR="00E35DD1" w:rsidRPr="008942E9" w:rsidRDefault="00E35DD1" w:rsidP="00E35DD1">
      <w:pPr>
        <w:pStyle w:val="P1-StandPara"/>
        <w:tabs>
          <w:tab w:val="left" w:pos="720"/>
          <w:tab w:val="right" w:leader="dot" w:pos="9504"/>
        </w:tabs>
        <w:spacing w:before="120" w:after="120"/>
        <w:rPr>
          <w:rFonts w:ascii="Calibri" w:hAnsi="Calibri"/>
          <w:szCs w:val="22"/>
        </w:rPr>
      </w:pPr>
      <w:r w:rsidRPr="008942E9">
        <w:rPr>
          <w:rFonts w:ascii="Calibri" w:hAnsi="Calibri"/>
          <w:szCs w:val="22"/>
        </w:rPr>
        <w:t xml:space="preserve">                    </w:t>
      </w:r>
    </w:p>
    <w:p w14:paraId="73DCCE73" w14:textId="77777777" w:rsidR="006413BF" w:rsidRDefault="006413BF" w:rsidP="00BE76A7">
      <w:pPr>
        <w:pStyle w:val="P1-StandPara"/>
        <w:tabs>
          <w:tab w:val="left" w:pos="720"/>
          <w:tab w:val="right" w:leader="dot" w:pos="9504"/>
        </w:tabs>
        <w:spacing w:before="120" w:line="240" w:lineRule="auto"/>
        <w:ind w:firstLine="0"/>
        <w:rPr>
          <w:rFonts w:ascii="Calibri" w:hAnsi="Calibri"/>
          <w:szCs w:val="22"/>
        </w:rPr>
      </w:pPr>
    </w:p>
    <w:p w14:paraId="5238F0DD" w14:textId="77777777" w:rsidR="006413BF" w:rsidRDefault="006413BF" w:rsidP="00BE76A7">
      <w:pPr>
        <w:pStyle w:val="P1-StandPara"/>
        <w:tabs>
          <w:tab w:val="left" w:pos="720"/>
          <w:tab w:val="right" w:leader="dot" w:pos="9504"/>
        </w:tabs>
        <w:spacing w:before="120" w:line="240" w:lineRule="auto"/>
        <w:ind w:firstLine="0"/>
        <w:rPr>
          <w:rFonts w:ascii="Calibri" w:hAnsi="Calibri"/>
          <w:szCs w:val="22"/>
        </w:rPr>
      </w:pPr>
    </w:p>
    <w:p w14:paraId="2F54F3D0" w14:textId="77777777" w:rsidR="006413BF" w:rsidRDefault="006413BF" w:rsidP="00BE76A7">
      <w:pPr>
        <w:pStyle w:val="P1-StandPara"/>
        <w:tabs>
          <w:tab w:val="left" w:pos="720"/>
          <w:tab w:val="right" w:leader="dot" w:pos="9504"/>
        </w:tabs>
        <w:spacing w:before="120" w:line="240" w:lineRule="auto"/>
        <w:ind w:firstLine="0"/>
        <w:rPr>
          <w:rFonts w:ascii="Calibri" w:hAnsi="Calibri"/>
          <w:szCs w:val="22"/>
        </w:rPr>
      </w:pPr>
    </w:p>
    <w:p w14:paraId="3109CBD0" w14:textId="4B9BB3FE"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Name:</w:t>
      </w:r>
      <w:r w:rsidR="001803D2">
        <w:rPr>
          <w:rFonts w:ascii="Calibri" w:hAnsi="Calibri"/>
          <w:szCs w:val="22"/>
        </w:rPr>
        <w:t xml:space="preserve">  Anthony Kerlavage, PhD</w:t>
      </w:r>
    </w:p>
    <w:p w14:paraId="5FDCC05B"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Address:</w:t>
      </w:r>
      <w:r w:rsidR="001803D2">
        <w:rPr>
          <w:rFonts w:ascii="Calibri" w:hAnsi="Calibri"/>
          <w:szCs w:val="22"/>
        </w:rPr>
        <w:t xml:space="preserve"> 9609 Medical Center Drive, Rockville, MD 20850</w:t>
      </w:r>
    </w:p>
    <w:p w14:paraId="32CC3C13"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Telephone:</w:t>
      </w:r>
      <w:r w:rsidR="001803D2">
        <w:rPr>
          <w:rFonts w:ascii="Calibri" w:hAnsi="Calibri"/>
          <w:szCs w:val="22"/>
        </w:rPr>
        <w:t xml:space="preserve"> 240-276-5190</w:t>
      </w:r>
    </w:p>
    <w:p w14:paraId="602976A6"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Fax:</w:t>
      </w:r>
    </w:p>
    <w:p w14:paraId="31B99EAA"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Email:</w:t>
      </w:r>
      <w:r w:rsidR="001803D2">
        <w:rPr>
          <w:rFonts w:ascii="Calibri" w:hAnsi="Calibri"/>
          <w:szCs w:val="22"/>
        </w:rPr>
        <w:t xml:space="preserve"> Anthony.kerlavage@nih.gov</w:t>
      </w:r>
    </w:p>
    <w:p w14:paraId="3908A9DD" w14:textId="77777777" w:rsidR="006A45F9" w:rsidRPr="008942E9" w:rsidRDefault="006A45F9" w:rsidP="00BE76A7">
      <w:pPr>
        <w:pStyle w:val="P1-StandPara"/>
        <w:tabs>
          <w:tab w:val="left" w:pos="720"/>
          <w:tab w:val="right" w:leader="dot" w:pos="9504"/>
        </w:tabs>
        <w:spacing w:before="120" w:line="240" w:lineRule="auto"/>
        <w:ind w:firstLine="0"/>
        <w:rPr>
          <w:rFonts w:ascii="Calibri" w:hAnsi="Calibri"/>
          <w:szCs w:val="22"/>
        </w:rPr>
      </w:pPr>
    </w:p>
    <w:p w14:paraId="2E94F627" w14:textId="77777777" w:rsidR="006413BF" w:rsidRDefault="006413BF" w:rsidP="00BE76A7">
      <w:pPr>
        <w:pStyle w:val="P1-StandPara"/>
        <w:tabs>
          <w:tab w:val="left" w:pos="720"/>
          <w:tab w:val="right" w:leader="dot" w:pos="9504"/>
        </w:tabs>
        <w:spacing w:before="120" w:line="240" w:lineRule="auto"/>
        <w:ind w:firstLine="0"/>
        <w:rPr>
          <w:rFonts w:ascii="Calibri" w:hAnsi="Calibri"/>
          <w:szCs w:val="22"/>
        </w:rPr>
      </w:pPr>
    </w:p>
    <w:p w14:paraId="23FE6790" w14:textId="77777777" w:rsidR="006413BF" w:rsidRDefault="006413BF" w:rsidP="00BE76A7">
      <w:pPr>
        <w:pStyle w:val="P1-StandPara"/>
        <w:tabs>
          <w:tab w:val="left" w:pos="720"/>
          <w:tab w:val="right" w:leader="dot" w:pos="9504"/>
        </w:tabs>
        <w:spacing w:before="120" w:line="240" w:lineRule="auto"/>
        <w:ind w:firstLine="0"/>
        <w:rPr>
          <w:rFonts w:ascii="Calibri" w:hAnsi="Calibri"/>
          <w:szCs w:val="22"/>
        </w:rPr>
      </w:pPr>
    </w:p>
    <w:p w14:paraId="0BC8686B" w14:textId="77777777" w:rsidR="006413BF" w:rsidRDefault="006413BF" w:rsidP="00BE76A7">
      <w:pPr>
        <w:pStyle w:val="P1-StandPara"/>
        <w:tabs>
          <w:tab w:val="left" w:pos="720"/>
          <w:tab w:val="right" w:leader="dot" w:pos="9504"/>
        </w:tabs>
        <w:spacing w:before="120" w:line="240" w:lineRule="auto"/>
        <w:ind w:firstLine="0"/>
        <w:rPr>
          <w:rFonts w:ascii="Calibri" w:hAnsi="Calibri"/>
          <w:szCs w:val="22"/>
        </w:rPr>
      </w:pPr>
    </w:p>
    <w:p w14:paraId="1C694F6A" w14:textId="15AF93DE" w:rsidR="00BE76A7" w:rsidRPr="008942E9" w:rsidRDefault="00BE76A7"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0F185DF7" w14:textId="6A072EC1" w:rsidR="006A45F9" w:rsidRDefault="001803D2" w:rsidP="0040282E">
      <w:pPr>
        <w:spacing w:after="0" w:line="240" w:lineRule="auto"/>
        <w:ind w:left="360"/>
      </w:pPr>
      <w:r>
        <w:t>X</w:t>
      </w:r>
      <w:r>
        <w:tab/>
      </w:r>
      <w:r w:rsidR="00BE76A7">
        <w:t xml:space="preserve">New </w:t>
      </w:r>
      <w:r w:rsidR="006A45F9">
        <w:tab/>
      </w:r>
      <w:r w:rsidR="006A45F9">
        <w:tab/>
      </w:r>
    </w:p>
    <w:p w14:paraId="281D2148" w14:textId="7B87D95E" w:rsidR="0040282E" w:rsidRDefault="0040282E" w:rsidP="0040282E">
      <w:pPr>
        <w:numPr>
          <w:ilvl w:val="0"/>
          <w:numId w:val="11"/>
        </w:numPr>
        <w:spacing w:after="0" w:line="240" w:lineRule="auto"/>
      </w:pPr>
      <w:r>
        <w:t>Revision</w:t>
      </w:r>
    </w:p>
    <w:p w14:paraId="0A80721D" w14:textId="28DB3E62" w:rsidR="0040282E" w:rsidRPr="0040282E" w:rsidRDefault="006A45F9" w:rsidP="0040282E">
      <w:pPr>
        <w:numPr>
          <w:ilvl w:val="0"/>
          <w:numId w:val="11"/>
        </w:numPr>
        <w:spacing w:after="0" w:line="240" w:lineRule="auto"/>
      </w:pPr>
      <w:r>
        <w:t>Reinstatement with Change</w:t>
      </w:r>
    </w:p>
    <w:p w14:paraId="1ACFB81F" w14:textId="0F3B0339" w:rsidR="00BE76A7" w:rsidRDefault="00BE76A7" w:rsidP="00BE76A7">
      <w:pPr>
        <w:numPr>
          <w:ilvl w:val="0"/>
          <w:numId w:val="11"/>
        </w:numPr>
        <w:spacing w:after="0" w:line="240" w:lineRule="auto"/>
      </w:pPr>
      <w:r w:rsidRPr="002039B6">
        <w:rPr>
          <w:noProof/>
        </w:rPr>
        <w:t>Reinstatement</w:t>
      </w:r>
      <w:r>
        <w:t xml:space="preserve"> with</w:t>
      </w:r>
      <w:r w:rsidR="006A45F9">
        <w:t>out</w:t>
      </w:r>
      <w:r>
        <w:t xml:space="preserve"> Change</w:t>
      </w:r>
    </w:p>
    <w:p w14:paraId="2DD7414C" w14:textId="77777777" w:rsidR="006A45F9" w:rsidRDefault="006A45F9" w:rsidP="006A45F9">
      <w:pPr>
        <w:numPr>
          <w:ilvl w:val="0"/>
          <w:numId w:val="11"/>
        </w:numPr>
        <w:spacing w:after="0" w:line="240" w:lineRule="auto"/>
      </w:pPr>
      <w:r>
        <w:t>Extension</w:t>
      </w:r>
    </w:p>
    <w:p w14:paraId="35F0D7C0" w14:textId="77777777" w:rsidR="006A45F9" w:rsidRDefault="006A45F9" w:rsidP="006A45F9">
      <w:pPr>
        <w:numPr>
          <w:ilvl w:val="0"/>
          <w:numId w:val="11"/>
        </w:numPr>
        <w:spacing w:after="0" w:line="240" w:lineRule="auto"/>
      </w:pPr>
      <w:r>
        <w:t>Emergency</w:t>
      </w:r>
    </w:p>
    <w:p w14:paraId="7391C41A" w14:textId="77777777" w:rsidR="006A45F9" w:rsidRDefault="006A45F9" w:rsidP="006A45F9">
      <w:pPr>
        <w:numPr>
          <w:ilvl w:val="0"/>
          <w:numId w:val="11"/>
        </w:numPr>
        <w:spacing w:after="0" w:line="240" w:lineRule="auto"/>
      </w:pPr>
      <w:r>
        <w:t>Existing</w:t>
      </w:r>
    </w:p>
    <w:p w14:paraId="3A1D141B" w14:textId="77777777" w:rsidR="00BE76A7" w:rsidRPr="008942E9" w:rsidRDefault="00BE76A7" w:rsidP="00BE76A7">
      <w:pPr>
        <w:pStyle w:val="P1-StandPara"/>
        <w:tabs>
          <w:tab w:val="left" w:pos="720"/>
          <w:tab w:val="right" w:leader="dot" w:pos="9504"/>
        </w:tabs>
        <w:spacing w:before="120" w:line="240" w:lineRule="auto"/>
        <w:rPr>
          <w:rFonts w:ascii="Calibri" w:hAnsi="Calibri"/>
          <w:szCs w:val="22"/>
        </w:rPr>
      </w:pPr>
    </w:p>
    <w:p w14:paraId="089910A0" w14:textId="554553F3" w:rsidR="00E35DD1" w:rsidRPr="008942E9" w:rsidRDefault="00521FDE" w:rsidP="00E35DD1">
      <w:pPr>
        <w:pStyle w:val="P1-StandPara"/>
        <w:tabs>
          <w:tab w:val="left" w:pos="720"/>
          <w:tab w:val="right" w:leader="dot" w:pos="9504"/>
        </w:tabs>
        <w:spacing w:before="120" w:after="120"/>
        <w:rPr>
          <w:rFonts w:ascii="Calibri" w:hAnsi="Calibri"/>
          <w:b/>
          <w:szCs w:val="22"/>
          <w:u w:val="single"/>
        </w:rPr>
      </w:pPr>
      <w:r>
        <w:rPr>
          <w:rFonts w:ascii="Calibri" w:hAnsi="Calibri"/>
          <w:b/>
          <w:szCs w:val="22"/>
          <w:u w:val="single"/>
        </w:rPr>
        <w:t>Table of C</w:t>
      </w:r>
      <w:r w:rsidR="00E35DD1" w:rsidRPr="008942E9">
        <w:rPr>
          <w:rFonts w:ascii="Calibri" w:hAnsi="Calibri"/>
          <w:b/>
          <w:szCs w:val="22"/>
          <w:u w:val="single"/>
        </w:rPr>
        <w:t>ontents</w:t>
      </w:r>
    </w:p>
    <w:p w14:paraId="5674DEF0" w14:textId="187F2A00" w:rsidR="002F1480" w:rsidRDefault="00E35DD1">
      <w:pPr>
        <w:pStyle w:val="TOC2"/>
        <w:rPr>
          <w:rFonts w:asciiTheme="minorHAnsi" w:eastAsiaTheme="minorEastAsia" w:hAnsiTheme="minorHAnsi" w:cstheme="minorBidi"/>
          <w:noProof/>
        </w:rPr>
      </w:pPr>
      <w:r w:rsidRPr="008942E9">
        <w:fldChar w:fldCharType="begin"/>
      </w:r>
      <w:r w:rsidRPr="008942E9">
        <w:instrText xml:space="preserve"> TOC \o "1-2" \u </w:instrText>
      </w:r>
      <w:r w:rsidRPr="008942E9">
        <w:fldChar w:fldCharType="separate"/>
      </w:r>
      <w:r w:rsidR="002F1480">
        <w:rPr>
          <w:noProof/>
        </w:rPr>
        <w:t>A.1</w:t>
      </w:r>
      <w:r w:rsidR="00521FDE">
        <w:rPr>
          <w:rFonts w:asciiTheme="minorHAnsi" w:eastAsiaTheme="minorEastAsia" w:hAnsiTheme="minorHAnsi" w:cstheme="minorBidi"/>
          <w:noProof/>
        </w:rPr>
        <w:t xml:space="preserve">    </w:t>
      </w:r>
      <w:r w:rsidR="002F1480">
        <w:rPr>
          <w:noProof/>
        </w:rPr>
        <w:t>Circumstances Making the Collection of Information Necessary</w:t>
      </w:r>
      <w:r w:rsidR="002F1480">
        <w:rPr>
          <w:noProof/>
        </w:rPr>
        <w:tab/>
      </w:r>
      <w:r w:rsidR="002F1480">
        <w:rPr>
          <w:noProof/>
        </w:rPr>
        <w:fldChar w:fldCharType="begin"/>
      </w:r>
      <w:r w:rsidR="002F1480">
        <w:rPr>
          <w:noProof/>
        </w:rPr>
        <w:instrText xml:space="preserve"> PAGEREF _Toc439761710 \h </w:instrText>
      </w:r>
      <w:r w:rsidR="002F1480">
        <w:rPr>
          <w:noProof/>
        </w:rPr>
      </w:r>
      <w:r w:rsidR="002F1480">
        <w:rPr>
          <w:noProof/>
        </w:rPr>
        <w:fldChar w:fldCharType="separate"/>
      </w:r>
      <w:r w:rsidR="002F1480">
        <w:rPr>
          <w:noProof/>
        </w:rPr>
        <w:t>3</w:t>
      </w:r>
      <w:r w:rsidR="002F1480">
        <w:rPr>
          <w:noProof/>
        </w:rPr>
        <w:fldChar w:fldCharType="end"/>
      </w:r>
    </w:p>
    <w:p w14:paraId="5C99718E" w14:textId="77777777" w:rsidR="002F1480" w:rsidRDefault="002F1480">
      <w:pPr>
        <w:pStyle w:val="TOC2"/>
        <w:rPr>
          <w:rFonts w:asciiTheme="minorHAnsi" w:eastAsiaTheme="minorEastAsia" w:hAnsiTheme="minorHAnsi" w:cstheme="minorBidi"/>
          <w:noProof/>
        </w:rPr>
      </w:pPr>
      <w:r w:rsidRPr="00F91EE8">
        <w:rPr>
          <w:noProof/>
        </w:rPr>
        <w:t>A.2    Purpose and Use of the Information Collection</w:t>
      </w:r>
      <w:r>
        <w:rPr>
          <w:noProof/>
        </w:rPr>
        <w:tab/>
      </w:r>
      <w:r>
        <w:rPr>
          <w:noProof/>
        </w:rPr>
        <w:fldChar w:fldCharType="begin"/>
      </w:r>
      <w:r>
        <w:rPr>
          <w:noProof/>
        </w:rPr>
        <w:instrText xml:space="preserve"> PAGEREF _Toc439761711 \h </w:instrText>
      </w:r>
      <w:r>
        <w:rPr>
          <w:noProof/>
        </w:rPr>
      </w:r>
      <w:r>
        <w:rPr>
          <w:noProof/>
        </w:rPr>
        <w:fldChar w:fldCharType="separate"/>
      </w:r>
      <w:r>
        <w:rPr>
          <w:noProof/>
        </w:rPr>
        <w:t>4</w:t>
      </w:r>
      <w:r>
        <w:rPr>
          <w:noProof/>
        </w:rPr>
        <w:fldChar w:fldCharType="end"/>
      </w:r>
    </w:p>
    <w:p w14:paraId="05A642A9" w14:textId="764AE5AB" w:rsidR="002F1480" w:rsidRDefault="00521FDE">
      <w:pPr>
        <w:pStyle w:val="TOC2"/>
        <w:rPr>
          <w:rFonts w:asciiTheme="minorHAnsi" w:eastAsiaTheme="minorEastAsia" w:hAnsiTheme="minorHAnsi" w:cstheme="minorBidi"/>
          <w:noProof/>
        </w:rPr>
      </w:pPr>
      <w:r>
        <w:rPr>
          <w:noProof/>
        </w:rPr>
        <w:t xml:space="preserve">A.3    </w:t>
      </w:r>
      <w:r w:rsidR="002F1480">
        <w:rPr>
          <w:noProof/>
        </w:rPr>
        <w:t>Use of Information Technology and Burden Reduction</w:t>
      </w:r>
      <w:r w:rsidR="002F1480">
        <w:rPr>
          <w:noProof/>
        </w:rPr>
        <w:tab/>
      </w:r>
      <w:r w:rsidR="002F1480">
        <w:rPr>
          <w:noProof/>
        </w:rPr>
        <w:fldChar w:fldCharType="begin"/>
      </w:r>
      <w:r w:rsidR="002F1480">
        <w:rPr>
          <w:noProof/>
        </w:rPr>
        <w:instrText xml:space="preserve"> PAGEREF _Toc439761712 \h </w:instrText>
      </w:r>
      <w:r w:rsidR="002F1480">
        <w:rPr>
          <w:noProof/>
        </w:rPr>
      </w:r>
      <w:r w:rsidR="002F1480">
        <w:rPr>
          <w:noProof/>
        </w:rPr>
        <w:fldChar w:fldCharType="separate"/>
      </w:r>
      <w:r w:rsidR="002F1480">
        <w:rPr>
          <w:noProof/>
        </w:rPr>
        <w:t>4</w:t>
      </w:r>
      <w:r w:rsidR="002F1480">
        <w:rPr>
          <w:noProof/>
        </w:rPr>
        <w:fldChar w:fldCharType="end"/>
      </w:r>
    </w:p>
    <w:p w14:paraId="5657FA5A" w14:textId="6B2EDE57" w:rsidR="002F1480" w:rsidRDefault="002F1480">
      <w:pPr>
        <w:pStyle w:val="TOC2"/>
        <w:rPr>
          <w:rFonts w:asciiTheme="minorHAnsi" w:eastAsiaTheme="minorEastAsia" w:hAnsiTheme="minorHAnsi" w:cstheme="minorBidi"/>
          <w:noProof/>
        </w:rPr>
      </w:pPr>
      <w:r w:rsidRPr="00F91EE8">
        <w:rPr>
          <w:noProof/>
        </w:rPr>
        <w:t>A.4</w:t>
      </w:r>
      <w:r w:rsidR="00521FDE">
        <w:rPr>
          <w:rFonts w:asciiTheme="minorHAnsi" w:eastAsiaTheme="minorEastAsia" w:hAnsiTheme="minorHAnsi" w:cstheme="minorBidi"/>
          <w:noProof/>
        </w:rPr>
        <w:t xml:space="preserve">    </w:t>
      </w:r>
      <w:r w:rsidRPr="00F91EE8">
        <w:rPr>
          <w:noProof/>
        </w:rPr>
        <w:t>Efforts to Identify Duplication and Use of Similar Information</w:t>
      </w:r>
      <w:r>
        <w:rPr>
          <w:noProof/>
        </w:rPr>
        <w:tab/>
      </w:r>
      <w:r>
        <w:rPr>
          <w:noProof/>
        </w:rPr>
        <w:fldChar w:fldCharType="begin"/>
      </w:r>
      <w:r>
        <w:rPr>
          <w:noProof/>
        </w:rPr>
        <w:instrText xml:space="preserve"> PAGEREF _Toc439761713 \h </w:instrText>
      </w:r>
      <w:r>
        <w:rPr>
          <w:noProof/>
        </w:rPr>
      </w:r>
      <w:r>
        <w:rPr>
          <w:noProof/>
        </w:rPr>
        <w:fldChar w:fldCharType="separate"/>
      </w:r>
      <w:r>
        <w:rPr>
          <w:noProof/>
        </w:rPr>
        <w:t>5</w:t>
      </w:r>
      <w:r>
        <w:rPr>
          <w:noProof/>
        </w:rPr>
        <w:fldChar w:fldCharType="end"/>
      </w:r>
    </w:p>
    <w:p w14:paraId="082C27F0" w14:textId="77777777" w:rsidR="002F1480" w:rsidRDefault="002F1480">
      <w:pPr>
        <w:pStyle w:val="TOC2"/>
        <w:rPr>
          <w:rFonts w:asciiTheme="minorHAnsi" w:eastAsiaTheme="minorEastAsia" w:hAnsiTheme="minorHAnsi" w:cstheme="minorBidi"/>
          <w:noProof/>
        </w:rPr>
      </w:pPr>
      <w:r>
        <w:rPr>
          <w:noProof/>
        </w:rPr>
        <w:t>A.5</w:t>
      </w:r>
      <w:r>
        <w:rPr>
          <w:rFonts w:asciiTheme="minorHAnsi" w:eastAsiaTheme="minorEastAsia" w:hAnsiTheme="minorHAnsi" w:cstheme="minorBidi"/>
          <w:noProof/>
        </w:rPr>
        <w:tab/>
      </w:r>
      <w:r>
        <w:rPr>
          <w:noProof/>
        </w:rPr>
        <w:t xml:space="preserve"> Impact on Small Businesses or Other Small Entities</w:t>
      </w:r>
      <w:r>
        <w:rPr>
          <w:noProof/>
        </w:rPr>
        <w:tab/>
      </w:r>
      <w:r>
        <w:rPr>
          <w:noProof/>
        </w:rPr>
        <w:fldChar w:fldCharType="begin"/>
      </w:r>
      <w:r>
        <w:rPr>
          <w:noProof/>
        </w:rPr>
        <w:instrText xml:space="preserve"> PAGEREF _Toc439761714 \h </w:instrText>
      </w:r>
      <w:r>
        <w:rPr>
          <w:noProof/>
        </w:rPr>
      </w:r>
      <w:r>
        <w:rPr>
          <w:noProof/>
        </w:rPr>
        <w:fldChar w:fldCharType="separate"/>
      </w:r>
      <w:r>
        <w:rPr>
          <w:noProof/>
        </w:rPr>
        <w:t>5</w:t>
      </w:r>
      <w:r>
        <w:rPr>
          <w:noProof/>
        </w:rPr>
        <w:fldChar w:fldCharType="end"/>
      </w:r>
    </w:p>
    <w:p w14:paraId="2104E27A" w14:textId="77777777" w:rsidR="002F1480" w:rsidRDefault="002F1480">
      <w:pPr>
        <w:pStyle w:val="TOC2"/>
        <w:rPr>
          <w:rFonts w:asciiTheme="minorHAnsi" w:eastAsiaTheme="minorEastAsia" w:hAnsiTheme="minorHAnsi" w:cstheme="minorBidi"/>
          <w:noProof/>
        </w:rPr>
      </w:pPr>
      <w:r>
        <w:rPr>
          <w:noProof/>
        </w:rPr>
        <w:t>A.6</w:t>
      </w:r>
      <w:r>
        <w:rPr>
          <w:rFonts w:asciiTheme="minorHAnsi" w:eastAsiaTheme="minorEastAsia" w:hAnsiTheme="minorHAnsi" w:cstheme="minorBidi"/>
          <w:noProof/>
        </w:rPr>
        <w:tab/>
      </w:r>
      <w:r>
        <w:rPr>
          <w:noProof/>
        </w:rPr>
        <w:t xml:space="preserve"> Consequences of Collecting the Information Less Frequently</w:t>
      </w:r>
      <w:r>
        <w:rPr>
          <w:noProof/>
        </w:rPr>
        <w:tab/>
      </w:r>
      <w:r>
        <w:rPr>
          <w:noProof/>
        </w:rPr>
        <w:fldChar w:fldCharType="begin"/>
      </w:r>
      <w:r>
        <w:rPr>
          <w:noProof/>
        </w:rPr>
        <w:instrText xml:space="preserve"> PAGEREF _Toc439761715 \h </w:instrText>
      </w:r>
      <w:r>
        <w:rPr>
          <w:noProof/>
        </w:rPr>
      </w:r>
      <w:r>
        <w:rPr>
          <w:noProof/>
        </w:rPr>
        <w:fldChar w:fldCharType="separate"/>
      </w:r>
      <w:r>
        <w:rPr>
          <w:noProof/>
        </w:rPr>
        <w:t>5</w:t>
      </w:r>
      <w:r>
        <w:rPr>
          <w:noProof/>
        </w:rPr>
        <w:fldChar w:fldCharType="end"/>
      </w:r>
    </w:p>
    <w:p w14:paraId="53713650" w14:textId="77777777" w:rsidR="002F1480" w:rsidRDefault="002F1480">
      <w:pPr>
        <w:pStyle w:val="TOC2"/>
        <w:rPr>
          <w:rFonts w:asciiTheme="minorHAnsi" w:eastAsiaTheme="minorEastAsia" w:hAnsiTheme="minorHAnsi" w:cstheme="minorBidi"/>
          <w:noProof/>
        </w:rPr>
      </w:pPr>
      <w:r w:rsidRPr="00F91EE8">
        <w:rPr>
          <w:noProof/>
        </w:rPr>
        <w:t>A.7</w:t>
      </w:r>
      <w:r>
        <w:rPr>
          <w:rFonts w:asciiTheme="minorHAnsi" w:eastAsiaTheme="minorEastAsia" w:hAnsiTheme="minorHAnsi" w:cstheme="minorBidi"/>
          <w:noProof/>
        </w:rPr>
        <w:tab/>
      </w:r>
      <w:r w:rsidRPr="00F91EE8">
        <w:rPr>
          <w:noProof/>
        </w:rPr>
        <w:t>Special Circumstances Relating to the Guidelines of 5 CFR 1320.5</w:t>
      </w:r>
      <w:r>
        <w:rPr>
          <w:noProof/>
        </w:rPr>
        <w:tab/>
      </w:r>
      <w:r>
        <w:rPr>
          <w:noProof/>
        </w:rPr>
        <w:fldChar w:fldCharType="begin"/>
      </w:r>
      <w:r>
        <w:rPr>
          <w:noProof/>
        </w:rPr>
        <w:instrText xml:space="preserve"> PAGEREF _Toc439761716 \h </w:instrText>
      </w:r>
      <w:r>
        <w:rPr>
          <w:noProof/>
        </w:rPr>
      </w:r>
      <w:r>
        <w:rPr>
          <w:noProof/>
        </w:rPr>
        <w:fldChar w:fldCharType="separate"/>
      </w:r>
      <w:r>
        <w:rPr>
          <w:noProof/>
        </w:rPr>
        <w:t>5</w:t>
      </w:r>
      <w:r>
        <w:rPr>
          <w:noProof/>
        </w:rPr>
        <w:fldChar w:fldCharType="end"/>
      </w:r>
    </w:p>
    <w:p w14:paraId="393D8CA8" w14:textId="77777777" w:rsidR="002F1480" w:rsidRDefault="002F1480">
      <w:pPr>
        <w:pStyle w:val="TOC2"/>
        <w:rPr>
          <w:rFonts w:asciiTheme="minorHAnsi" w:eastAsiaTheme="minorEastAsia" w:hAnsiTheme="minorHAnsi" w:cstheme="minorBidi"/>
          <w:noProof/>
        </w:rPr>
      </w:pPr>
      <w:r w:rsidRPr="00F91EE8">
        <w:rPr>
          <w:noProof/>
        </w:rPr>
        <w:t>A.8</w:t>
      </w:r>
      <w:r>
        <w:rPr>
          <w:rFonts w:asciiTheme="minorHAnsi" w:eastAsiaTheme="minorEastAsia" w:hAnsiTheme="minorHAnsi" w:cstheme="minorBidi"/>
          <w:noProof/>
        </w:rPr>
        <w:tab/>
      </w:r>
      <w:r w:rsidRPr="00F91EE8">
        <w:rPr>
          <w:noProof/>
        </w:rPr>
        <w:t>Comments in Response to the Federal Register Notice</w:t>
      </w:r>
      <w:r>
        <w:rPr>
          <w:noProof/>
        </w:rPr>
        <w:tab/>
      </w:r>
      <w:r>
        <w:rPr>
          <w:noProof/>
        </w:rPr>
        <w:fldChar w:fldCharType="begin"/>
      </w:r>
      <w:r>
        <w:rPr>
          <w:noProof/>
        </w:rPr>
        <w:instrText xml:space="preserve"> PAGEREF _Toc439761717 \h </w:instrText>
      </w:r>
      <w:r>
        <w:rPr>
          <w:noProof/>
        </w:rPr>
      </w:r>
      <w:r>
        <w:rPr>
          <w:noProof/>
        </w:rPr>
        <w:fldChar w:fldCharType="separate"/>
      </w:r>
      <w:r>
        <w:rPr>
          <w:noProof/>
        </w:rPr>
        <w:t>5</w:t>
      </w:r>
      <w:r>
        <w:rPr>
          <w:noProof/>
        </w:rPr>
        <w:fldChar w:fldCharType="end"/>
      </w:r>
    </w:p>
    <w:p w14:paraId="0949CA99" w14:textId="77777777" w:rsidR="002F1480" w:rsidRDefault="002F1480">
      <w:pPr>
        <w:pStyle w:val="TOC2"/>
        <w:rPr>
          <w:rFonts w:asciiTheme="minorHAnsi" w:eastAsiaTheme="minorEastAsia" w:hAnsiTheme="minorHAnsi" w:cstheme="minorBidi"/>
          <w:noProof/>
        </w:rPr>
      </w:pPr>
      <w:r>
        <w:rPr>
          <w:noProof/>
        </w:rPr>
        <w:t>A.9</w:t>
      </w:r>
      <w:r>
        <w:rPr>
          <w:rFonts w:asciiTheme="minorHAnsi" w:eastAsiaTheme="minorEastAsia" w:hAnsiTheme="minorHAnsi" w:cstheme="minorBidi"/>
          <w:noProof/>
        </w:rPr>
        <w:tab/>
      </w:r>
      <w:r>
        <w:rPr>
          <w:noProof/>
        </w:rPr>
        <w:t xml:space="preserve"> Explanation of Any Payment of Gift to Respondents</w:t>
      </w:r>
      <w:r>
        <w:rPr>
          <w:noProof/>
        </w:rPr>
        <w:tab/>
      </w:r>
      <w:r>
        <w:rPr>
          <w:noProof/>
        </w:rPr>
        <w:fldChar w:fldCharType="begin"/>
      </w:r>
      <w:r>
        <w:rPr>
          <w:noProof/>
        </w:rPr>
        <w:instrText xml:space="preserve"> PAGEREF _Toc439761718 \h </w:instrText>
      </w:r>
      <w:r>
        <w:rPr>
          <w:noProof/>
        </w:rPr>
      </w:r>
      <w:r>
        <w:rPr>
          <w:noProof/>
        </w:rPr>
        <w:fldChar w:fldCharType="separate"/>
      </w:r>
      <w:r>
        <w:rPr>
          <w:noProof/>
        </w:rPr>
        <w:t>6</w:t>
      </w:r>
      <w:r>
        <w:rPr>
          <w:noProof/>
        </w:rPr>
        <w:fldChar w:fldCharType="end"/>
      </w:r>
    </w:p>
    <w:p w14:paraId="6EEE0095" w14:textId="77777777" w:rsidR="002F1480" w:rsidRDefault="002F1480">
      <w:pPr>
        <w:pStyle w:val="TOC2"/>
        <w:rPr>
          <w:rFonts w:asciiTheme="minorHAnsi" w:eastAsiaTheme="minorEastAsia" w:hAnsiTheme="minorHAnsi" w:cstheme="minorBidi"/>
          <w:noProof/>
        </w:rPr>
      </w:pPr>
      <w:r>
        <w:rPr>
          <w:noProof/>
        </w:rPr>
        <w:t>A.10</w:t>
      </w:r>
      <w:r>
        <w:rPr>
          <w:rFonts w:asciiTheme="minorHAnsi" w:eastAsiaTheme="minorEastAsia" w:hAnsiTheme="minorHAnsi" w:cstheme="minorBidi"/>
          <w:noProof/>
        </w:rPr>
        <w:tab/>
      </w:r>
      <w:r>
        <w:rPr>
          <w:noProof/>
        </w:rPr>
        <w:t xml:space="preserve"> Assurance of Confidentiality Provided to Respondents</w:t>
      </w:r>
      <w:r>
        <w:rPr>
          <w:noProof/>
        </w:rPr>
        <w:tab/>
      </w:r>
      <w:r>
        <w:rPr>
          <w:noProof/>
        </w:rPr>
        <w:fldChar w:fldCharType="begin"/>
      </w:r>
      <w:r>
        <w:rPr>
          <w:noProof/>
        </w:rPr>
        <w:instrText xml:space="preserve"> PAGEREF _Toc439761719 \h </w:instrText>
      </w:r>
      <w:r>
        <w:rPr>
          <w:noProof/>
        </w:rPr>
      </w:r>
      <w:r>
        <w:rPr>
          <w:noProof/>
        </w:rPr>
        <w:fldChar w:fldCharType="separate"/>
      </w:r>
      <w:r>
        <w:rPr>
          <w:noProof/>
        </w:rPr>
        <w:t>6</w:t>
      </w:r>
      <w:r>
        <w:rPr>
          <w:noProof/>
        </w:rPr>
        <w:fldChar w:fldCharType="end"/>
      </w:r>
    </w:p>
    <w:p w14:paraId="3B994C64" w14:textId="77777777" w:rsidR="002F1480" w:rsidRDefault="002F1480">
      <w:pPr>
        <w:pStyle w:val="TOC2"/>
        <w:rPr>
          <w:rFonts w:asciiTheme="minorHAnsi" w:eastAsiaTheme="minorEastAsia" w:hAnsiTheme="minorHAnsi" w:cstheme="minorBidi"/>
          <w:noProof/>
        </w:rPr>
      </w:pPr>
      <w:r>
        <w:rPr>
          <w:noProof/>
        </w:rPr>
        <w:t>A.11</w:t>
      </w:r>
      <w:r>
        <w:rPr>
          <w:rFonts w:asciiTheme="minorHAnsi" w:eastAsiaTheme="minorEastAsia" w:hAnsiTheme="minorHAnsi" w:cstheme="minorBidi"/>
          <w:noProof/>
        </w:rPr>
        <w:tab/>
      </w:r>
      <w:r>
        <w:rPr>
          <w:noProof/>
        </w:rPr>
        <w:t xml:space="preserve"> Justification for Sensitive Questions</w:t>
      </w:r>
      <w:r>
        <w:rPr>
          <w:noProof/>
        </w:rPr>
        <w:tab/>
      </w:r>
      <w:r>
        <w:rPr>
          <w:noProof/>
        </w:rPr>
        <w:fldChar w:fldCharType="begin"/>
      </w:r>
      <w:r>
        <w:rPr>
          <w:noProof/>
        </w:rPr>
        <w:instrText xml:space="preserve"> PAGEREF _Toc439761720 \h </w:instrText>
      </w:r>
      <w:r>
        <w:rPr>
          <w:noProof/>
        </w:rPr>
      </w:r>
      <w:r>
        <w:rPr>
          <w:noProof/>
        </w:rPr>
        <w:fldChar w:fldCharType="separate"/>
      </w:r>
      <w:r>
        <w:rPr>
          <w:noProof/>
        </w:rPr>
        <w:t>6</w:t>
      </w:r>
      <w:r>
        <w:rPr>
          <w:noProof/>
        </w:rPr>
        <w:fldChar w:fldCharType="end"/>
      </w:r>
    </w:p>
    <w:p w14:paraId="03146057" w14:textId="77777777" w:rsidR="002F1480" w:rsidRDefault="002F1480">
      <w:pPr>
        <w:pStyle w:val="TOC2"/>
        <w:rPr>
          <w:rFonts w:asciiTheme="minorHAnsi" w:eastAsiaTheme="minorEastAsia" w:hAnsiTheme="minorHAnsi" w:cstheme="minorBidi"/>
          <w:noProof/>
        </w:rPr>
      </w:pPr>
      <w:r>
        <w:rPr>
          <w:noProof/>
        </w:rPr>
        <w:t>A.12</w:t>
      </w:r>
      <w:r>
        <w:rPr>
          <w:rFonts w:asciiTheme="minorHAnsi" w:eastAsiaTheme="minorEastAsia" w:hAnsiTheme="minorHAnsi" w:cstheme="minorBidi"/>
          <w:noProof/>
        </w:rPr>
        <w:tab/>
      </w:r>
      <w:r>
        <w:rPr>
          <w:noProof/>
        </w:rPr>
        <w:t xml:space="preserve"> Estimated Annualized Burden Including Annualized Hourly Costs</w:t>
      </w:r>
      <w:r>
        <w:rPr>
          <w:noProof/>
        </w:rPr>
        <w:tab/>
      </w:r>
      <w:r>
        <w:rPr>
          <w:noProof/>
        </w:rPr>
        <w:fldChar w:fldCharType="begin"/>
      </w:r>
      <w:r>
        <w:rPr>
          <w:noProof/>
        </w:rPr>
        <w:instrText xml:space="preserve"> PAGEREF _Toc439761721 \h </w:instrText>
      </w:r>
      <w:r>
        <w:rPr>
          <w:noProof/>
        </w:rPr>
      </w:r>
      <w:r>
        <w:rPr>
          <w:noProof/>
        </w:rPr>
        <w:fldChar w:fldCharType="separate"/>
      </w:r>
      <w:r>
        <w:rPr>
          <w:noProof/>
        </w:rPr>
        <w:t>6</w:t>
      </w:r>
      <w:r>
        <w:rPr>
          <w:noProof/>
        </w:rPr>
        <w:fldChar w:fldCharType="end"/>
      </w:r>
    </w:p>
    <w:p w14:paraId="3FC08C13" w14:textId="77777777" w:rsidR="002F1480" w:rsidRDefault="002F1480">
      <w:pPr>
        <w:pStyle w:val="TOC2"/>
        <w:rPr>
          <w:rFonts w:asciiTheme="minorHAnsi" w:eastAsiaTheme="minorEastAsia" w:hAnsiTheme="minorHAnsi" w:cstheme="minorBidi"/>
          <w:noProof/>
        </w:rPr>
      </w:pPr>
      <w:r>
        <w:rPr>
          <w:noProof/>
        </w:rPr>
        <w:t>A.13</w:t>
      </w:r>
      <w:r>
        <w:rPr>
          <w:rFonts w:asciiTheme="minorHAnsi" w:eastAsiaTheme="minorEastAsia" w:hAnsiTheme="minorHAnsi" w:cstheme="minorBidi"/>
          <w:noProof/>
        </w:rPr>
        <w:tab/>
      </w:r>
      <w:r>
        <w:rPr>
          <w:noProof/>
        </w:rPr>
        <w:t xml:space="preserve"> Estimate of Other Total Annual Cost Burden to Respondents or Record Keepers</w:t>
      </w:r>
      <w:r>
        <w:rPr>
          <w:noProof/>
        </w:rPr>
        <w:tab/>
      </w:r>
      <w:r>
        <w:rPr>
          <w:noProof/>
        </w:rPr>
        <w:fldChar w:fldCharType="begin"/>
      </w:r>
      <w:r>
        <w:rPr>
          <w:noProof/>
        </w:rPr>
        <w:instrText xml:space="preserve"> PAGEREF _Toc439761722 \h </w:instrText>
      </w:r>
      <w:r>
        <w:rPr>
          <w:noProof/>
        </w:rPr>
      </w:r>
      <w:r>
        <w:rPr>
          <w:noProof/>
        </w:rPr>
        <w:fldChar w:fldCharType="separate"/>
      </w:r>
      <w:r>
        <w:rPr>
          <w:noProof/>
        </w:rPr>
        <w:t>7</w:t>
      </w:r>
      <w:r>
        <w:rPr>
          <w:noProof/>
        </w:rPr>
        <w:fldChar w:fldCharType="end"/>
      </w:r>
    </w:p>
    <w:p w14:paraId="58CA7DA9" w14:textId="77777777" w:rsidR="002F1480" w:rsidRDefault="002F1480">
      <w:pPr>
        <w:pStyle w:val="TOC2"/>
        <w:rPr>
          <w:rFonts w:asciiTheme="minorHAnsi" w:eastAsiaTheme="minorEastAsia" w:hAnsiTheme="minorHAnsi" w:cstheme="minorBidi"/>
          <w:noProof/>
        </w:rPr>
      </w:pPr>
      <w:r w:rsidRPr="00F91EE8">
        <w:rPr>
          <w:noProof/>
        </w:rPr>
        <w:t>A.14</w:t>
      </w:r>
      <w:r>
        <w:rPr>
          <w:rFonts w:asciiTheme="minorHAnsi" w:eastAsiaTheme="minorEastAsia" w:hAnsiTheme="minorHAnsi" w:cstheme="minorBidi"/>
          <w:noProof/>
        </w:rPr>
        <w:tab/>
      </w:r>
      <w:r w:rsidRPr="00F91EE8">
        <w:rPr>
          <w:noProof/>
        </w:rPr>
        <w:t>Annualized Cost to the Federal Government</w:t>
      </w:r>
      <w:r>
        <w:rPr>
          <w:noProof/>
        </w:rPr>
        <w:tab/>
      </w:r>
      <w:r>
        <w:rPr>
          <w:noProof/>
        </w:rPr>
        <w:fldChar w:fldCharType="begin"/>
      </w:r>
      <w:r>
        <w:rPr>
          <w:noProof/>
        </w:rPr>
        <w:instrText xml:space="preserve"> PAGEREF _Toc439761723 \h </w:instrText>
      </w:r>
      <w:r>
        <w:rPr>
          <w:noProof/>
        </w:rPr>
      </w:r>
      <w:r>
        <w:rPr>
          <w:noProof/>
        </w:rPr>
        <w:fldChar w:fldCharType="separate"/>
      </w:r>
      <w:r>
        <w:rPr>
          <w:noProof/>
        </w:rPr>
        <w:t>7</w:t>
      </w:r>
      <w:r>
        <w:rPr>
          <w:noProof/>
        </w:rPr>
        <w:fldChar w:fldCharType="end"/>
      </w:r>
    </w:p>
    <w:p w14:paraId="6B43952F" w14:textId="77777777" w:rsidR="002F1480" w:rsidRDefault="002F1480">
      <w:pPr>
        <w:pStyle w:val="TOC2"/>
        <w:rPr>
          <w:rFonts w:asciiTheme="minorHAnsi" w:eastAsiaTheme="minorEastAsia" w:hAnsiTheme="minorHAnsi" w:cstheme="minorBidi"/>
          <w:noProof/>
        </w:rPr>
      </w:pPr>
      <w:r>
        <w:rPr>
          <w:noProof/>
        </w:rPr>
        <w:t>A.15</w:t>
      </w:r>
      <w:r>
        <w:rPr>
          <w:rFonts w:asciiTheme="minorHAnsi" w:eastAsiaTheme="minorEastAsia" w:hAnsiTheme="minorHAnsi" w:cstheme="minorBidi"/>
          <w:noProof/>
        </w:rPr>
        <w:tab/>
      </w:r>
      <w:r>
        <w:rPr>
          <w:noProof/>
        </w:rPr>
        <w:t xml:space="preserve"> Explanation for Program Changes or Adjustments</w:t>
      </w:r>
      <w:r>
        <w:rPr>
          <w:noProof/>
        </w:rPr>
        <w:tab/>
      </w:r>
      <w:r>
        <w:rPr>
          <w:noProof/>
        </w:rPr>
        <w:fldChar w:fldCharType="begin"/>
      </w:r>
      <w:r>
        <w:rPr>
          <w:noProof/>
        </w:rPr>
        <w:instrText xml:space="preserve"> PAGEREF _Toc439761724 \h </w:instrText>
      </w:r>
      <w:r>
        <w:rPr>
          <w:noProof/>
        </w:rPr>
      </w:r>
      <w:r>
        <w:rPr>
          <w:noProof/>
        </w:rPr>
        <w:fldChar w:fldCharType="separate"/>
      </w:r>
      <w:r>
        <w:rPr>
          <w:noProof/>
        </w:rPr>
        <w:t>8</w:t>
      </w:r>
      <w:r>
        <w:rPr>
          <w:noProof/>
        </w:rPr>
        <w:fldChar w:fldCharType="end"/>
      </w:r>
    </w:p>
    <w:p w14:paraId="1ABF0F48" w14:textId="77777777" w:rsidR="002F1480" w:rsidRDefault="002F1480">
      <w:pPr>
        <w:pStyle w:val="TOC2"/>
        <w:rPr>
          <w:rFonts w:asciiTheme="minorHAnsi" w:eastAsiaTheme="minorEastAsia" w:hAnsiTheme="minorHAnsi" w:cstheme="minorBidi"/>
          <w:noProof/>
        </w:rPr>
      </w:pPr>
      <w:r w:rsidRPr="00F91EE8">
        <w:rPr>
          <w:noProof/>
        </w:rPr>
        <w:t>A.16</w:t>
      </w:r>
      <w:r>
        <w:rPr>
          <w:rFonts w:asciiTheme="minorHAnsi" w:eastAsiaTheme="minorEastAsia" w:hAnsiTheme="minorHAnsi" w:cstheme="minorBidi"/>
          <w:noProof/>
        </w:rPr>
        <w:tab/>
      </w:r>
      <w:r w:rsidRPr="00F91EE8">
        <w:rPr>
          <w:noProof/>
        </w:rPr>
        <w:t>Plans for Tabulation and Publication and Project Time Schedule</w:t>
      </w:r>
      <w:r>
        <w:rPr>
          <w:noProof/>
        </w:rPr>
        <w:tab/>
      </w:r>
      <w:r>
        <w:rPr>
          <w:noProof/>
        </w:rPr>
        <w:fldChar w:fldCharType="begin"/>
      </w:r>
      <w:r>
        <w:rPr>
          <w:noProof/>
        </w:rPr>
        <w:instrText xml:space="preserve"> PAGEREF _Toc439761725 \h </w:instrText>
      </w:r>
      <w:r>
        <w:rPr>
          <w:noProof/>
        </w:rPr>
      </w:r>
      <w:r>
        <w:rPr>
          <w:noProof/>
        </w:rPr>
        <w:fldChar w:fldCharType="separate"/>
      </w:r>
      <w:r>
        <w:rPr>
          <w:noProof/>
        </w:rPr>
        <w:t>8</w:t>
      </w:r>
      <w:r>
        <w:rPr>
          <w:noProof/>
        </w:rPr>
        <w:fldChar w:fldCharType="end"/>
      </w:r>
    </w:p>
    <w:p w14:paraId="2EBA0384" w14:textId="77777777" w:rsidR="002F1480" w:rsidRDefault="002F1480">
      <w:pPr>
        <w:pStyle w:val="TOC2"/>
        <w:rPr>
          <w:rFonts w:asciiTheme="minorHAnsi" w:eastAsiaTheme="minorEastAsia" w:hAnsiTheme="minorHAnsi" w:cstheme="minorBidi"/>
          <w:noProof/>
        </w:rPr>
      </w:pPr>
      <w:r>
        <w:rPr>
          <w:noProof/>
        </w:rPr>
        <w:t>A.17</w:t>
      </w:r>
      <w:r>
        <w:rPr>
          <w:rFonts w:asciiTheme="minorHAnsi" w:eastAsiaTheme="minorEastAsia" w:hAnsiTheme="minorHAnsi" w:cstheme="minorBidi"/>
          <w:noProof/>
        </w:rPr>
        <w:tab/>
      </w:r>
      <w:r>
        <w:rPr>
          <w:noProof/>
        </w:rPr>
        <w:t xml:space="preserve"> Reason(s) Display of OMB Expiration Date is Inappropriate</w:t>
      </w:r>
      <w:r>
        <w:rPr>
          <w:noProof/>
        </w:rPr>
        <w:tab/>
      </w:r>
      <w:r>
        <w:rPr>
          <w:noProof/>
        </w:rPr>
        <w:fldChar w:fldCharType="begin"/>
      </w:r>
      <w:r>
        <w:rPr>
          <w:noProof/>
        </w:rPr>
        <w:instrText xml:space="preserve"> PAGEREF _Toc439761726 \h </w:instrText>
      </w:r>
      <w:r>
        <w:rPr>
          <w:noProof/>
        </w:rPr>
      </w:r>
      <w:r>
        <w:rPr>
          <w:noProof/>
        </w:rPr>
        <w:fldChar w:fldCharType="separate"/>
      </w:r>
      <w:r>
        <w:rPr>
          <w:noProof/>
        </w:rPr>
        <w:t>8</w:t>
      </w:r>
      <w:r>
        <w:rPr>
          <w:noProof/>
        </w:rPr>
        <w:fldChar w:fldCharType="end"/>
      </w:r>
    </w:p>
    <w:p w14:paraId="3125A7EF" w14:textId="77777777" w:rsidR="002F1480" w:rsidRDefault="002F1480">
      <w:pPr>
        <w:pStyle w:val="TOC2"/>
        <w:rPr>
          <w:rFonts w:asciiTheme="minorHAnsi" w:eastAsiaTheme="minorEastAsia" w:hAnsiTheme="minorHAnsi" w:cstheme="minorBidi"/>
          <w:noProof/>
        </w:rPr>
      </w:pPr>
      <w:r>
        <w:rPr>
          <w:noProof/>
        </w:rPr>
        <w:t>A.18</w:t>
      </w:r>
      <w:r>
        <w:rPr>
          <w:rFonts w:asciiTheme="minorHAnsi" w:eastAsiaTheme="minorEastAsia" w:hAnsiTheme="minorHAnsi" w:cstheme="minorBidi"/>
          <w:noProof/>
        </w:rPr>
        <w:tab/>
      </w:r>
      <w:r>
        <w:rPr>
          <w:noProof/>
        </w:rPr>
        <w:t xml:space="preserve"> Exceptions to Certification for Paperwork Reduction Act Submissions: None</w:t>
      </w:r>
      <w:r>
        <w:rPr>
          <w:noProof/>
        </w:rPr>
        <w:tab/>
      </w:r>
      <w:r>
        <w:rPr>
          <w:noProof/>
        </w:rPr>
        <w:fldChar w:fldCharType="begin"/>
      </w:r>
      <w:r>
        <w:rPr>
          <w:noProof/>
        </w:rPr>
        <w:instrText xml:space="preserve"> PAGEREF _Toc439761727 \h </w:instrText>
      </w:r>
      <w:r>
        <w:rPr>
          <w:noProof/>
        </w:rPr>
      </w:r>
      <w:r>
        <w:rPr>
          <w:noProof/>
        </w:rPr>
        <w:fldChar w:fldCharType="separate"/>
      </w:r>
      <w:r>
        <w:rPr>
          <w:noProof/>
        </w:rPr>
        <w:t>8</w:t>
      </w:r>
      <w:r>
        <w:rPr>
          <w:noProof/>
        </w:rPr>
        <w:fldChar w:fldCharType="end"/>
      </w:r>
    </w:p>
    <w:p w14:paraId="37E2CC38" w14:textId="77777777" w:rsidR="00E35DD1" w:rsidRPr="008942E9" w:rsidRDefault="00E35DD1" w:rsidP="00E35DD1">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14:paraId="12C163ED" w14:textId="77777777" w:rsidR="00767C53" w:rsidRPr="008942E9" w:rsidRDefault="00767C53" w:rsidP="00E35DD1">
      <w:pPr>
        <w:pStyle w:val="P1-StandPara"/>
        <w:tabs>
          <w:tab w:val="left" w:pos="720"/>
          <w:tab w:val="right" w:leader="dot" w:pos="9504"/>
        </w:tabs>
        <w:spacing w:before="120" w:after="120"/>
        <w:rPr>
          <w:rFonts w:ascii="Calibri" w:hAnsi="Calibri"/>
          <w:szCs w:val="22"/>
        </w:rPr>
      </w:pPr>
    </w:p>
    <w:p w14:paraId="7FEB15AA" w14:textId="77777777" w:rsidR="003D074A" w:rsidRDefault="003D074A">
      <w:pPr>
        <w:spacing w:after="0" w:line="240" w:lineRule="auto"/>
        <w:rPr>
          <w:b/>
        </w:rPr>
      </w:pPr>
      <w:r>
        <w:rPr>
          <w:b/>
        </w:rPr>
        <w:br w:type="page"/>
      </w:r>
    </w:p>
    <w:p w14:paraId="56E7EB01" w14:textId="77777777" w:rsidR="003D074A" w:rsidRDefault="003D074A" w:rsidP="00FA09A9">
      <w:pPr>
        <w:spacing w:after="0" w:line="240" w:lineRule="auto"/>
        <w:jc w:val="center"/>
        <w:rPr>
          <w:b/>
        </w:rPr>
      </w:pPr>
      <w:r>
        <w:rPr>
          <w:b/>
        </w:rPr>
        <w:lastRenderedPageBreak/>
        <w:t>List of Attachments</w:t>
      </w:r>
    </w:p>
    <w:p w14:paraId="276C93AB" w14:textId="77777777" w:rsidR="003D074A" w:rsidRDefault="003D074A">
      <w:pPr>
        <w:spacing w:after="0" w:line="240" w:lineRule="auto"/>
        <w:rPr>
          <w:b/>
        </w:rPr>
      </w:pPr>
    </w:p>
    <w:p w14:paraId="54A55E58" w14:textId="4E889AE0" w:rsidR="003D074A" w:rsidRPr="00062372" w:rsidRDefault="003D074A">
      <w:pPr>
        <w:spacing w:after="0" w:line="240" w:lineRule="auto"/>
      </w:pPr>
      <w:r w:rsidRPr="00062372">
        <w:t xml:space="preserve">Attachment A: </w:t>
      </w:r>
      <w:r w:rsidR="00EC004A">
        <w:t xml:space="preserve"> </w:t>
      </w:r>
      <w:r w:rsidRPr="00062372">
        <w:t>S</w:t>
      </w:r>
      <w:r w:rsidR="007D20FB">
        <w:t>urvey Screenshot</w:t>
      </w:r>
    </w:p>
    <w:p w14:paraId="1C732F0B" w14:textId="77777777" w:rsidR="008E00DB" w:rsidRPr="00062372" w:rsidRDefault="008E00DB">
      <w:pPr>
        <w:spacing w:after="0" w:line="240" w:lineRule="auto"/>
      </w:pPr>
    </w:p>
    <w:p w14:paraId="09E077FA" w14:textId="66DAA756" w:rsidR="008E00DB" w:rsidRDefault="008E00DB">
      <w:pPr>
        <w:spacing w:after="0" w:line="240" w:lineRule="auto"/>
      </w:pPr>
      <w:r w:rsidRPr="00062372">
        <w:t xml:space="preserve">Attachment B: </w:t>
      </w:r>
      <w:r w:rsidR="00650373">
        <w:t xml:space="preserve"> Consultants</w:t>
      </w:r>
    </w:p>
    <w:p w14:paraId="6BEEEE2F" w14:textId="165AB1EA" w:rsidR="00F64789" w:rsidRDefault="00F64789">
      <w:pPr>
        <w:spacing w:after="0" w:line="240" w:lineRule="auto"/>
      </w:pPr>
    </w:p>
    <w:p w14:paraId="3068269D" w14:textId="7B128AFE" w:rsidR="00EC004A" w:rsidRDefault="00EC004A">
      <w:pPr>
        <w:spacing w:after="0" w:line="240" w:lineRule="auto"/>
      </w:pPr>
      <w:r w:rsidRPr="006413BF">
        <w:t>Attachment C: Invitations</w:t>
      </w:r>
      <w:r w:rsidRPr="00C039FB">
        <w:rPr>
          <w:highlight w:val="yellow"/>
        </w:rPr>
        <w:t xml:space="preserve"> </w:t>
      </w:r>
    </w:p>
    <w:p w14:paraId="19EB0F84" w14:textId="6CF3F94B" w:rsidR="00EC004A" w:rsidRDefault="00EC004A">
      <w:pPr>
        <w:spacing w:after="0" w:line="240" w:lineRule="auto"/>
      </w:pPr>
    </w:p>
    <w:p w14:paraId="66AFA509" w14:textId="0D9DABA5" w:rsidR="00EC004A" w:rsidRDefault="00EC004A">
      <w:pPr>
        <w:spacing w:after="0" w:line="240" w:lineRule="auto"/>
      </w:pPr>
      <w:r>
        <w:t>Attachment D: Privacy Act Memo</w:t>
      </w:r>
    </w:p>
    <w:p w14:paraId="1938D5FE" w14:textId="519ADFE7" w:rsidR="0073613E" w:rsidRDefault="0073613E">
      <w:pPr>
        <w:spacing w:after="0" w:line="240" w:lineRule="auto"/>
        <w:rPr>
          <w:rFonts w:eastAsia="Times New Roman"/>
          <w:b/>
        </w:rPr>
      </w:pPr>
      <w:r>
        <w:rPr>
          <w:b/>
        </w:rPr>
        <w:br w:type="page"/>
      </w:r>
    </w:p>
    <w:p w14:paraId="20233DF0" w14:textId="4FD41BA5" w:rsidR="006A45F9" w:rsidRDefault="006A45F9" w:rsidP="00C4399C">
      <w:pPr>
        <w:pStyle w:val="P1-StandPara"/>
        <w:tabs>
          <w:tab w:val="left" w:pos="720"/>
          <w:tab w:val="right" w:leader="dot" w:pos="9504"/>
        </w:tabs>
        <w:spacing w:before="120" w:after="120" w:line="240" w:lineRule="auto"/>
        <w:ind w:firstLine="0"/>
      </w:pPr>
      <w:r w:rsidRPr="008942E9">
        <w:lastRenderedPageBreak/>
        <w:t xml:space="preserve">A. </w:t>
      </w:r>
      <w:r w:rsidR="00BE76A7" w:rsidRPr="008942E9">
        <w:t>Justification</w:t>
      </w:r>
    </w:p>
    <w:p w14:paraId="5A852694" w14:textId="75F6E7AC" w:rsidR="00C40C40" w:rsidRPr="00294867" w:rsidRDefault="00C40C40" w:rsidP="00294867">
      <w:pPr>
        <w:pStyle w:val="P1-StandPara"/>
        <w:spacing w:line="240" w:lineRule="auto"/>
        <w:ind w:firstLine="0"/>
        <w:rPr>
          <w:rFonts w:asciiTheme="minorHAnsi" w:hAnsiTheme="minorHAnsi"/>
          <w:szCs w:val="22"/>
        </w:rPr>
      </w:pPr>
      <w:r>
        <w:t>C</w:t>
      </w:r>
      <w:r w:rsidRPr="0056040D">
        <w:rPr>
          <w:rFonts w:asciiTheme="minorHAnsi" w:hAnsiTheme="minorHAnsi"/>
          <w:szCs w:val="22"/>
        </w:rPr>
        <w:t>BIIT, in collaboration with the Center for Cancer Genomics, is coordinating a program to develop three </w:t>
      </w:r>
      <w:hyperlink r:id="rId9" w:tgtFrame="_self" w:history="1">
        <w:r w:rsidRPr="0056040D">
          <w:rPr>
            <w:rStyle w:val="Hyperlink"/>
            <w:rFonts w:asciiTheme="minorHAnsi" w:hAnsiTheme="minorHAnsi"/>
            <w:szCs w:val="22"/>
          </w:rPr>
          <w:t>Cancer Genomics Cloud Pilots</w:t>
        </w:r>
      </w:hyperlink>
      <w:r w:rsidR="007D20FB">
        <w:rPr>
          <w:rStyle w:val="Hyperlink"/>
          <w:rFonts w:asciiTheme="minorHAnsi" w:hAnsiTheme="minorHAnsi"/>
          <w:szCs w:val="22"/>
        </w:rPr>
        <w:t xml:space="preserve"> (CGC Pilots)</w:t>
      </w:r>
      <w:r w:rsidRPr="0056040D">
        <w:rPr>
          <w:rFonts w:asciiTheme="minorHAnsi" w:hAnsiTheme="minorHAnsi"/>
          <w:szCs w:val="22"/>
        </w:rPr>
        <w:t xml:space="preserve"> to help meet the research community’s needs to access and analyze high quality, large-scale cancer genomic </w:t>
      </w:r>
      <w:r w:rsidRPr="00EC004A">
        <w:rPr>
          <w:rFonts w:asciiTheme="minorHAnsi" w:hAnsiTheme="minorHAnsi"/>
          <w:noProof/>
          <w:szCs w:val="22"/>
        </w:rPr>
        <w:t>data</w:t>
      </w:r>
      <w:r w:rsidRPr="0056040D">
        <w:rPr>
          <w:rFonts w:asciiTheme="minorHAnsi" w:hAnsiTheme="minorHAnsi"/>
          <w:szCs w:val="22"/>
        </w:rPr>
        <w:t xml:space="preserve"> and associated clinical information. The goal of this effort is to develop an innovative, cost-effective model for computational analysis of biological data and provide broader yet secure access to genomic data that NCI generates. Cloud computing will be a valuable tool to support studies related to the mechanisms of cancer. This capability will be equally </w:t>
      </w:r>
      <w:r w:rsidRPr="00EC004A">
        <w:rPr>
          <w:rFonts w:asciiTheme="minorHAnsi" w:hAnsiTheme="minorHAnsi"/>
          <w:noProof/>
          <w:szCs w:val="22"/>
        </w:rPr>
        <w:t>valuable</w:t>
      </w:r>
      <w:r w:rsidRPr="0056040D">
        <w:rPr>
          <w:rFonts w:asciiTheme="minorHAnsi" w:hAnsiTheme="minorHAnsi"/>
          <w:szCs w:val="22"/>
        </w:rPr>
        <w:t xml:space="preserve"> to other NCI scientific areas, including clinical trials and other types of patient-focused research. </w:t>
      </w:r>
      <w:r w:rsidRPr="00294867">
        <w:rPr>
          <w:rFonts w:asciiTheme="minorHAnsi" w:hAnsiTheme="minorHAnsi"/>
          <w:szCs w:val="22"/>
        </w:rPr>
        <w:t xml:space="preserve">Three contracts were awarded to develop the CGC Pilots, to the </w:t>
      </w:r>
      <w:r w:rsidRPr="00294867">
        <w:t>Broad Institute</w:t>
      </w:r>
      <w:r w:rsidRPr="00294867">
        <w:rPr>
          <w:rFonts w:asciiTheme="minorHAnsi" w:hAnsiTheme="minorHAnsi"/>
          <w:szCs w:val="22"/>
        </w:rPr>
        <w:t xml:space="preserve">, the </w:t>
      </w:r>
      <w:r w:rsidRPr="00294867">
        <w:t>Institute for Systems Biology (ISB)</w:t>
      </w:r>
      <w:r w:rsidRPr="00294867">
        <w:rPr>
          <w:rFonts w:asciiTheme="minorHAnsi" w:hAnsiTheme="minorHAnsi"/>
          <w:szCs w:val="22"/>
        </w:rPr>
        <w:t xml:space="preserve">, and </w:t>
      </w:r>
      <w:r w:rsidRPr="00294867">
        <w:t>Seven Bridges Genomics</w:t>
      </w:r>
      <w:r w:rsidRPr="00294867">
        <w:rPr>
          <w:rFonts w:asciiTheme="minorHAnsi" w:hAnsiTheme="minorHAnsi"/>
          <w:szCs w:val="22"/>
        </w:rPr>
        <w:t xml:space="preserve">. Each of these groups is developing infrastructure and a set of tools to access, explore, and analyze molecular data. Key design principles for the clouds </w:t>
      </w:r>
      <w:r w:rsidRPr="00EC004A">
        <w:rPr>
          <w:rFonts w:asciiTheme="minorHAnsi" w:hAnsiTheme="minorHAnsi"/>
          <w:noProof/>
          <w:szCs w:val="22"/>
        </w:rPr>
        <w:t>include:</w:t>
      </w:r>
      <w:r w:rsidRPr="00294867">
        <w:rPr>
          <w:rFonts w:asciiTheme="minorHAnsi" w:hAnsiTheme="minorHAnsi"/>
          <w:szCs w:val="22"/>
        </w:rPr>
        <w:t xml:space="preserve"> APIs for secure </w:t>
      </w:r>
      <w:r w:rsidRPr="00EC004A">
        <w:rPr>
          <w:rFonts w:asciiTheme="minorHAnsi" w:hAnsiTheme="minorHAnsi"/>
          <w:noProof/>
          <w:szCs w:val="22"/>
        </w:rPr>
        <w:t>tool</w:t>
      </w:r>
      <w:r w:rsidRPr="00294867">
        <w:rPr>
          <w:rFonts w:asciiTheme="minorHAnsi" w:hAnsiTheme="minorHAnsi"/>
          <w:szCs w:val="22"/>
        </w:rPr>
        <w:t xml:space="preserve"> and data access, usability for biologists and clinicians as well as bioinformaticists and application developers, scalability, sustainability, extensibility to new data types without </w:t>
      </w:r>
      <w:r w:rsidRPr="00EC004A">
        <w:rPr>
          <w:rFonts w:asciiTheme="minorHAnsi" w:hAnsiTheme="minorHAnsi"/>
          <w:noProof/>
          <w:szCs w:val="22"/>
        </w:rPr>
        <w:t>major</w:t>
      </w:r>
      <w:r w:rsidRPr="00294867">
        <w:rPr>
          <w:rFonts w:asciiTheme="minorHAnsi" w:hAnsiTheme="minorHAnsi"/>
          <w:szCs w:val="22"/>
        </w:rPr>
        <w:t xml:space="preserve"> refactoring, and open source, non-viral software </w:t>
      </w:r>
      <w:r w:rsidR="007D20FB" w:rsidRPr="007D20FB">
        <w:rPr>
          <w:rFonts w:asciiTheme="minorHAnsi" w:hAnsiTheme="minorHAnsi"/>
          <w:szCs w:val="22"/>
        </w:rPr>
        <w:t>licenses. All</w:t>
      </w:r>
      <w:r w:rsidRPr="00294867">
        <w:rPr>
          <w:rFonts w:asciiTheme="minorHAnsi" w:hAnsiTheme="minorHAnsi"/>
          <w:szCs w:val="22"/>
        </w:rPr>
        <w:t xml:space="preserve"> three CGC Pilots have chosen to implement their systems through commercial cloud providers and are collaborating on adopting common standards. Beyond these commonalities, the three project teams have distinct system designs, data presentation, and analysis resources to serve the cancer research community.</w:t>
      </w:r>
    </w:p>
    <w:p w14:paraId="4125EDCF" w14:textId="189BA9B9" w:rsidR="00C40C40" w:rsidRPr="00FF233C" w:rsidRDefault="00C40C40" w:rsidP="00C40C40">
      <w:pPr>
        <w:pStyle w:val="NormalWeb"/>
        <w:rPr>
          <w:rFonts w:asciiTheme="minorHAnsi" w:hAnsiTheme="minorHAnsi"/>
          <w:sz w:val="22"/>
          <w:szCs w:val="22"/>
        </w:rPr>
      </w:pPr>
    </w:p>
    <w:p w14:paraId="3777075C" w14:textId="77777777" w:rsidR="000F3043" w:rsidRPr="008942E9" w:rsidRDefault="000F3043" w:rsidP="00DF28DD">
      <w:pPr>
        <w:pStyle w:val="Heading2"/>
        <w:tabs>
          <w:tab w:val="clear" w:pos="1152"/>
        </w:tabs>
      </w:pPr>
      <w:bookmarkStart w:id="0" w:name="_Toc439761710"/>
      <w:r w:rsidRPr="008942E9">
        <w:t>A.1</w:t>
      </w:r>
      <w:r w:rsidRPr="008942E9">
        <w:tab/>
        <w:t>Circumstances Making the Collection of Information Necessary</w:t>
      </w:r>
      <w:bookmarkEnd w:id="0"/>
    </w:p>
    <w:p w14:paraId="5CD3E55F" w14:textId="5047DC50" w:rsidR="00C40C40" w:rsidRDefault="00D84301" w:rsidP="00C40C40">
      <w:r w:rsidRPr="00D84301">
        <w:rPr>
          <w:iCs/>
          <w:color w:val="000000"/>
        </w:rPr>
        <w:t>The Public Health Service Act</w:t>
      </w:r>
      <w:r>
        <w:rPr>
          <w:iCs/>
          <w:color w:val="000000"/>
        </w:rPr>
        <w:t xml:space="preserve"> (PHSA)</w:t>
      </w:r>
      <w:r w:rsidRPr="00D84301">
        <w:rPr>
          <w:iCs/>
          <w:color w:val="000000"/>
        </w:rPr>
        <w:t>, Section 413 (42 USC § 285a-</w:t>
      </w:r>
      <w:r>
        <w:rPr>
          <w:iCs/>
          <w:color w:val="000000"/>
        </w:rPr>
        <w:t>1</w:t>
      </w:r>
      <w:r w:rsidRPr="00D84301">
        <w:rPr>
          <w:iCs/>
          <w:color w:val="000000"/>
        </w:rPr>
        <w:t xml:space="preserve">) authorizes the Director of the National Cancer Institute (NCI) to support </w:t>
      </w:r>
      <w:r>
        <w:rPr>
          <w:iCs/>
          <w:color w:val="000000"/>
        </w:rPr>
        <w:t>information</w:t>
      </w:r>
      <w:r w:rsidRPr="00D84301">
        <w:rPr>
          <w:iCs/>
          <w:color w:val="000000"/>
        </w:rPr>
        <w:t xml:space="preserve"> programs </w:t>
      </w:r>
      <w:r>
        <w:rPr>
          <w:iCs/>
          <w:color w:val="000000"/>
        </w:rPr>
        <w:t>that</w:t>
      </w:r>
      <w:r>
        <w:rPr>
          <w:rStyle w:val="ptext-"/>
        </w:rPr>
        <w:t xml:space="preserve"> collect, identify, analyze, and disseminate information on cancer research and treatment to the public</w:t>
      </w:r>
      <w:r w:rsidRPr="00D84301">
        <w:rPr>
          <w:iCs/>
          <w:color w:val="000000"/>
        </w:rPr>
        <w:t>. </w:t>
      </w:r>
      <w:r>
        <w:rPr>
          <w:rStyle w:val="ptext-"/>
        </w:rPr>
        <w:t xml:space="preserve">The Director of the Institute may take such action as may be necessary to </w:t>
      </w:r>
      <w:r w:rsidRPr="00EC004A">
        <w:rPr>
          <w:rStyle w:val="ptext-"/>
          <w:noProof/>
        </w:rPr>
        <w:t>insure</w:t>
      </w:r>
      <w:r>
        <w:rPr>
          <w:rStyle w:val="ptext-"/>
        </w:rPr>
        <w:t xml:space="preserve"> that all channels for the dissemination and exchange of scientific knowledge and information are maintained between the Institute and the public and between the Institute and other scientific, medical, and biomedical disciplines and organizations nationally and internationally.  </w:t>
      </w:r>
      <w:r w:rsidR="00C87100">
        <w:rPr>
          <w:rStyle w:val="ptext-"/>
        </w:rPr>
        <w:t>Further</w:t>
      </w:r>
      <w:r>
        <w:rPr>
          <w:rStyle w:val="ptext-"/>
        </w:rPr>
        <w:t>, the PHSA, Section 413 (</w:t>
      </w:r>
      <w:r w:rsidRPr="00D84301">
        <w:rPr>
          <w:iCs/>
          <w:color w:val="000000"/>
        </w:rPr>
        <w:t>42 USC § 285a-</w:t>
      </w:r>
      <w:r>
        <w:rPr>
          <w:iCs/>
          <w:color w:val="000000"/>
        </w:rPr>
        <w:t>2</w:t>
      </w:r>
      <w:r w:rsidRPr="00D84301">
        <w:rPr>
          <w:iCs/>
          <w:color w:val="000000"/>
        </w:rPr>
        <w:t>)</w:t>
      </w:r>
      <w:r>
        <w:rPr>
          <w:rStyle w:val="ptext-"/>
        </w:rPr>
        <w:t xml:space="preserve"> authorizes the Director to utilize information systems to disseminate such information.  </w:t>
      </w:r>
      <w:r w:rsidRPr="00D84301">
        <w:rPr>
          <w:iCs/>
          <w:color w:val="000000"/>
        </w:rPr>
        <w:t>Specifically, t</w:t>
      </w:r>
      <w:r w:rsidRPr="00D84301">
        <w:rPr>
          <w:iCs/>
          <w:color w:val="000000"/>
          <w:shd w:val="clear" w:color="auto" w:fill="FFFFFF"/>
        </w:rPr>
        <w:t xml:space="preserve">he mission of </w:t>
      </w:r>
      <w:r>
        <w:rPr>
          <w:iCs/>
          <w:color w:val="000000"/>
          <w:shd w:val="clear" w:color="auto" w:fill="FFFFFF"/>
        </w:rPr>
        <w:t xml:space="preserve">the Center for Bioinformatics and Information Technology </w:t>
      </w:r>
      <w:r w:rsidRPr="00D84301">
        <w:rPr>
          <w:iCs/>
          <w:color w:val="000000"/>
          <w:shd w:val="clear" w:color="auto" w:fill="FFFFFF"/>
        </w:rPr>
        <w:t>of NCI is to</w:t>
      </w:r>
      <w:r w:rsidR="004D15CF">
        <w:rPr>
          <w:iCs/>
          <w:color w:val="000000"/>
          <w:shd w:val="clear" w:color="auto" w:fill="FFFFFF"/>
        </w:rPr>
        <w:t xml:space="preserve"> </w:t>
      </w:r>
      <w:r w:rsidR="004D15CF">
        <w:t>plan, provide, and coordinate technology, standards, and scientific computing in support of the NCI mission to speed discovery, facilitate open science, and progress towards precision treatment in cancer care and a learning healthcare system.</w:t>
      </w:r>
      <w:r w:rsidRPr="00D84301">
        <w:rPr>
          <w:iCs/>
          <w:color w:val="000000"/>
          <w:shd w:val="clear" w:color="auto" w:fill="FFFFFF"/>
        </w:rPr>
        <w:t> </w:t>
      </w:r>
      <w:r w:rsidR="004D15CF">
        <w:rPr>
          <w:iCs/>
          <w:color w:val="000000"/>
          <w:shd w:val="clear" w:color="auto" w:fill="FFFFFF"/>
        </w:rPr>
        <w:t xml:space="preserve"> </w:t>
      </w:r>
      <w:r w:rsidR="00C40C40" w:rsidRPr="00EC004A">
        <w:rPr>
          <w:noProof/>
        </w:rPr>
        <w:t>In order to</w:t>
      </w:r>
      <w:r w:rsidR="00C40C40">
        <w:t xml:space="preserve"> understand the utility and value of the tools </w:t>
      </w:r>
      <w:r w:rsidR="00C40C40" w:rsidRPr="00EC004A">
        <w:rPr>
          <w:noProof/>
        </w:rPr>
        <w:t>being developed</w:t>
      </w:r>
      <w:r w:rsidR="00C40C40">
        <w:t>, the NCI has developed a survey instrument to capture feedback from the cancer research community.</w:t>
      </w:r>
    </w:p>
    <w:p w14:paraId="3142701D" w14:textId="77777777" w:rsidR="00C40C40" w:rsidRDefault="00C40C40" w:rsidP="00C87100"/>
    <w:p w14:paraId="7A9E9837" w14:textId="77777777" w:rsidR="00C40C40" w:rsidRDefault="00C40C40">
      <w:pPr>
        <w:spacing w:after="0" w:line="240" w:lineRule="auto"/>
      </w:pPr>
      <w:r>
        <w:br w:type="page"/>
      </w:r>
    </w:p>
    <w:p w14:paraId="7B577EE6" w14:textId="77777777" w:rsidR="001B7EDC" w:rsidRPr="00C87100" w:rsidRDefault="001B7EDC" w:rsidP="00C87100"/>
    <w:p w14:paraId="6A2CDC65" w14:textId="77777777" w:rsidR="000F3043" w:rsidRPr="008942E9" w:rsidRDefault="000F3043" w:rsidP="00DF28DD">
      <w:pPr>
        <w:pStyle w:val="Heading2"/>
        <w:tabs>
          <w:tab w:val="clear" w:pos="1152"/>
        </w:tabs>
        <w:spacing w:after="0" w:line="480" w:lineRule="auto"/>
        <w:ind w:left="450" w:hanging="450"/>
        <w:rPr>
          <w:rFonts w:ascii="Calibri" w:hAnsi="Calibri"/>
          <w:szCs w:val="22"/>
        </w:rPr>
      </w:pPr>
      <w:bookmarkStart w:id="1" w:name="_Toc443881743"/>
      <w:bookmarkStart w:id="2" w:name="_Toc451592232"/>
      <w:bookmarkStart w:id="3" w:name="_Toc5610273"/>
      <w:bookmarkStart w:id="4" w:name="_Toc99178779"/>
      <w:bookmarkStart w:id="5" w:name="_Toc439761711"/>
      <w:r w:rsidRPr="008942E9">
        <w:rPr>
          <w:rFonts w:ascii="Calibri" w:hAnsi="Calibri"/>
          <w:szCs w:val="22"/>
        </w:rPr>
        <w:t>A.2    Purpose and Use of the Information</w:t>
      </w:r>
      <w:bookmarkEnd w:id="1"/>
      <w:bookmarkEnd w:id="2"/>
      <w:bookmarkEnd w:id="3"/>
      <w:bookmarkEnd w:id="4"/>
      <w:r w:rsidRPr="008942E9">
        <w:rPr>
          <w:rFonts w:ascii="Calibri" w:hAnsi="Calibri"/>
          <w:szCs w:val="22"/>
        </w:rPr>
        <w:t xml:space="preserve"> Collection</w:t>
      </w:r>
      <w:bookmarkEnd w:id="5"/>
    </w:p>
    <w:p w14:paraId="21B4229D" w14:textId="2380F98E" w:rsidR="00C40C40" w:rsidRDefault="002779A5" w:rsidP="00A00CF8">
      <w:r>
        <w:t xml:space="preserve">The information collected as part of this survey process will be used exclusively by the NCI to determine future funding of cloud technology projects.  The purpose of the Cloud Pilots is to provide a means to understand and test the utility of genomic analysis tools </w:t>
      </w:r>
      <w:r w:rsidR="00C87100">
        <w:t xml:space="preserve">and infrastructure </w:t>
      </w:r>
      <w:r>
        <w:t xml:space="preserve">to the cancer research community.  The feedback collected will allow NCI to understand that utility and plan specific follow-on projects that will provide the most value to cancer researchers.  </w:t>
      </w:r>
      <w:r w:rsidR="00C40C40">
        <w:t xml:space="preserve">Researchers will be asked what functionality they find useful, what they would like to see added, what functions </w:t>
      </w:r>
      <w:r w:rsidR="00C40C40" w:rsidRPr="00EC004A">
        <w:rPr>
          <w:noProof/>
        </w:rPr>
        <w:t>they</w:t>
      </w:r>
      <w:r w:rsidR="00C40C40">
        <w:t xml:space="preserve"> performed, and whether </w:t>
      </w:r>
      <w:r w:rsidR="00C40C40" w:rsidRPr="00EC004A">
        <w:rPr>
          <w:noProof/>
        </w:rPr>
        <w:t>they</w:t>
      </w:r>
      <w:r w:rsidR="00C40C40">
        <w:t xml:space="preserve"> would continue to use the cloud platforms if they remain available.</w:t>
      </w:r>
    </w:p>
    <w:p w14:paraId="5C362CF9" w14:textId="77777777" w:rsidR="00EE6251" w:rsidRDefault="00EE6251" w:rsidP="00EE6251">
      <w:pPr>
        <w:pStyle w:val="P1-StandPara"/>
        <w:ind w:firstLine="0"/>
        <w:rPr>
          <w:rFonts w:ascii="Calibri" w:hAnsi="Calibri"/>
          <w:szCs w:val="22"/>
        </w:rPr>
      </w:pPr>
      <w:r>
        <w:rPr>
          <w:rFonts w:ascii="Calibri" w:hAnsi="Calibri"/>
          <w:szCs w:val="22"/>
        </w:rPr>
        <w:t>The survey will be used to understand:</w:t>
      </w:r>
    </w:p>
    <w:p w14:paraId="2568452B" w14:textId="41F2AD89" w:rsidR="00EE6251" w:rsidRDefault="00EE6251" w:rsidP="00EE6251">
      <w:pPr>
        <w:pStyle w:val="P1-StandPara"/>
        <w:numPr>
          <w:ilvl w:val="0"/>
          <w:numId w:val="12"/>
        </w:numPr>
        <w:spacing w:line="240" w:lineRule="auto"/>
        <w:rPr>
          <w:rFonts w:ascii="Calibri" w:hAnsi="Calibri"/>
          <w:szCs w:val="22"/>
        </w:rPr>
      </w:pPr>
      <w:r>
        <w:rPr>
          <w:rFonts w:ascii="Calibri" w:hAnsi="Calibri"/>
          <w:szCs w:val="22"/>
        </w:rPr>
        <w:t xml:space="preserve">Usefulness and value of the </w:t>
      </w:r>
      <w:r w:rsidR="00C87100">
        <w:rPr>
          <w:rFonts w:ascii="Calibri" w:hAnsi="Calibri"/>
          <w:szCs w:val="22"/>
        </w:rPr>
        <w:t>CGC</w:t>
      </w:r>
      <w:r>
        <w:rPr>
          <w:rFonts w:ascii="Calibri" w:hAnsi="Calibri"/>
          <w:szCs w:val="22"/>
        </w:rPr>
        <w:t xml:space="preserve"> Pilots and associated functionality</w:t>
      </w:r>
    </w:p>
    <w:p w14:paraId="2C324E00" w14:textId="77777777" w:rsidR="00EE6251" w:rsidRDefault="00EE6251" w:rsidP="00EE6251">
      <w:pPr>
        <w:pStyle w:val="P1-StandPara"/>
        <w:numPr>
          <w:ilvl w:val="0"/>
          <w:numId w:val="12"/>
        </w:numPr>
        <w:spacing w:line="240" w:lineRule="auto"/>
        <w:rPr>
          <w:rFonts w:ascii="Calibri" w:hAnsi="Calibri"/>
          <w:szCs w:val="22"/>
        </w:rPr>
      </w:pPr>
      <w:r>
        <w:rPr>
          <w:rFonts w:ascii="Calibri" w:hAnsi="Calibri"/>
          <w:szCs w:val="22"/>
        </w:rPr>
        <w:t xml:space="preserve">Whether </w:t>
      </w:r>
      <w:r w:rsidRPr="00EC004A">
        <w:rPr>
          <w:rFonts w:ascii="Calibri" w:hAnsi="Calibri"/>
          <w:noProof/>
          <w:szCs w:val="22"/>
        </w:rPr>
        <w:t>platforms</w:t>
      </w:r>
      <w:r>
        <w:rPr>
          <w:rFonts w:ascii="Calibri" w:hAnsi="Calibri"/>
          <w:szCs w:val="22"/>
        </w:rPr>
        <w:t xml:space="preserve"> such as these should </w:t>
      </w:r>
      <w:r w:rsidRPr="00EC004A">
        <w:rPr>
          <w:rFonts w:ascii="Calibri" w:hAnsi="Calibri"/>
          <w:noProof/>
          <w:szCs w:val="22"/>
        </w:rPr>
        <w:t>be maintained</w:t>
      </w:r>
      <w:r>
        <w:rPr>
          <w:rFonts w:ascii="Calibri" w:hAnsi="Calibri"/>
          <w:szCs w:val="22"/>
        </w:rPr>
        <w:t xml:space="preserve"> or further developed</w:t>
      </w:r>
    </w:p>
    <w:p w14:paraId="20E72580" w14:textId="6F186267" w:rsidR="00EE6251" w:rsidRDefault="00EE6251" w:rsidP="00EE6251">
      <w:pPr>
        <w:pStyle w:val="ListParagraph"/>
        <w:numPr>
          <w:ilvl w:val="0"/>
          <w:numId w:val="12"/>
        </w:numPr>
      </w:pPr>
      <w:r>
        <w:t xml:space="preserve">If specific </w:t>
      </w:r>
      <w:r w:rsidRPr="00EC004A">
        <w:rPr>
          <w:noProof/>
        </w:rPr>
        <w:t>functionality</w:t>
      </w:r>
      <w:r>
        <w:t xml:space="preserve"> should </w:t>
      </w:r>
      <w:r w:rsidRPr="00EC004A">
        <w:rPr>
          <w:noProof/>
        </w:rPr>
        <w:t>be incorporated</w:t>
      </w:r>
      <w:r>
        <w:t xml:space="preserve"> into future version of a </w:t>
      </w:r>
      <w:r w:rsidR="00C87100">
        <w:t>c</w:t>
      </w:r>
      <w:r>
        <w:t>loud platform for cancer research</w:t>
      </w:r>
    </w:p>
    <w:p w14:paraId="1583F1B9" w14:textId="413A42DF" w:rsidR="00C87100" w:rsidRDefault="00C87100" w:rsidP="00C87100">
      <w:r>
        <w:t xml:space="preserve">Information will </w:t>
      </w:r>
      <w:r w:rsidRPr="00EC004A">
        <w:rPr>
          <w:noProof/>
        </w:rPr>
        <w:t>be collected</w:t>
      </w:r>
      <w:r>
        <w:t xml:space="preserve"> through an online survey </w:t>
      </w:r>
      <w:r w:rsidR="006413BF">
        <w:t xml:space="preserve">(Attachment A) </w:t>
      </w:r>
      <w:r>
        <w:t xml:space="preserve">that provides simple collating and reporting functionality.  </w:t>
      </w:r>
      <w:r w:rsidR="00C40C40">
        <w:t>The respondents will include NCI researchers, NIH researchers, Principal Investigators at research institutions, informaticists and software developers at research institutions, and scientists who are performing genomics researchers.  The survey will be available online, and</w:t>
      </w:r>
      <w:r w:rsidR="006413BF">
        <w:t xml:space="preserve"> respondents will be invited (Attachment C) to complete the survey through </w:t>
      </w:r>
      <w:r w:rsidR="00C40C40">
        <w:t>a variety of ways:</w:t>
      </w:r>
    </w:p>
    <w:p w14:paraId="35DB3FE9" w14:textId="3B096C78" w:rsidR="00C40C40" w:rsidRDefault="00C40C40" w:rsidP="002D3CA0">
      <w:pPr>
        <w:pStyle w:val="ListParagraph"/>
        <w:numPr>
          <w:ilvl w:val="0"/>
          <w:numId w:val="15"/>
        </w:numPr>
      </w:pPr>
      <w:r>
        <w:t>Email lists to which researchers are currently subscribed</w:t>
      </w:r>
      <w:r w:rsidR="00016328">
        <w:t>:</w:t>
      </w:r>
    </w:p>
    <w:p w14:paraId="73930EBC" w14:textId="21E224A9" w:rsidR="00016328" w:rsidRDefault="00016328" w:rsidP="00016328">
      <w:pPr>
        <w:pStyle w:val="ListParagraph"/>
        <w:numPr>
          <w:ilvl w:val="1"/>
          <w:numId w:val="15"/>
        </w:numPr>
        <w:spacing w:after="160" w:line="259" w:lineRule="auto"/>
      </w:pPr>
      <w:r>
        <w:t>An email will be sent to people who attend a workshop NCI is holding in May, 2016.  The workshop will be conducted by the Cloud Pilot teams, and will including demonstrations and hands-on work with the Cloud Pilot systems.  After the workshop is completed, we will email each participant asking for them to participate in the survey.</w:t>
      </w:r>
    </w:p>
    <w:p w14:paraId="24E31D06" w14:textId="77777777" w:rsidR="00016328" w:rsidRDefault="00016328" w:rsidP="00016328">
      <w:pPr>
        <w:pStyle w:val="ListParagraph"/>
        <w:numPr>
          <w:ilvl w:val="1"/>
          <w:numId w:val="15"/>
        </w:numPr>
        <w:spacing w:after="160" w:line="259" w:lineRule="auto"/>
      </w:pPr>
      <w:r>
        <w:t>We will be emailing people who are registered with one or more of the Cloud Pilot systems, asking them to describe their experience and provide feedback by completing the survey.</w:t>
      </w:r>
    </w:p>
    <w:p w14:paraId="7A70235C" w14:textId="3A30F113" w:rsidR="00016328" w:rsidRDefault="00016328" w:rsidP="00016328">
      <w:pPr>
        <w:pStyle w:val="ListParagraph"/>
        <w:numPr>
          <w:ilvl w:val="1"/>
          <w:numId w:val="15"/>
        </w:numPr>
      </w:pPr>
      <w:r>
        <w:t xml:space="preserve">We have several general email lists, such as the one associated with TCGA research, through which we will request feedback by completion of the survey.  </w:t>
      </w:r>
    </w:p>
    <w:p w14:paraId="7E441392" w14:textId="6049ED04" w:rsidR="00C40C40" w:rsidRDefault="00C40C40" w:rsidP="002D3CA0">
      <w:pPr>
        <w:pStyle w:val="ListParagraph"/>
        <w:numPr>
          <w:ilvl w:val="0"/>
          <w:numId w:val="15"/>
        </w:numPr>
      </w:pPr>
      <w:r>
        <w:t>Links in the NCIP Twitter feed</w:t>
      </w:r>
      <w:r w:rsidR="00016328">
        <w:t>: Using our NCIP Twitter account, we will tweet requests to the NCIP community asking them to provide feedback on the Cloud Pilot systems by completing the survey.  The Twitter account is currently used to communicate with the community about the Cloud project. Because of the nature of Twitter, we have composed several different tweets we will use at different times to request survey completion.</w:t>
      </w:r>
    </w:p>
    <w:p w14:paraId="14AFB24A" w14:textId="0654D5BB" w:rsidR="00C40C40" w:rsidRDefault="00C40C40" w:rsidP="002D3CA0">
      <w:pPr>
        <w:pStyle w:val="ListParagraph"/>
        <w:numPr>
          <w:ilvl w:val="0"/>
          <w:numId w:val="15"/>
        </w:numPr>
      </w:pPr>
      <w:r>
        <w:t xml:space="preserve">On the NCI CBIIT </w:t>
      </w:r>
      <w:r w:rsidR="00016328">
        <w:t xml:space="preserve">and Cloud Pilots </w:t>
      </w:r>
      <w:r w:rsidRPr="00EC004A">
        <w:rPr>
          <w:noProof/>
        </w:rPr>
        <w:t>web site</w:t>
      </w:r>
      <w:r w:rsidR="00016328">
        <w:rPr>
          <w:noProof/>
        </w:rPr>
        <w:t>s</w:t>
      </w:r>
    </w:p>
    <w:p w14:paraId="7F9818C2" w14:textId="08FAC2AA" w:rsidR="00016328" w:rsidRDefault="00016328" w:rsidP="00016328">
      <w:pPr>
        <w:pStyle w:val="ListParagraph"/>
        <w:numPr>
          <w:ilvl w:val="1"/>
          <w:numId w:val="15"/>
        </w:numPr>
        <w:spacing w:after="160" w:line="259" w:lineRule="auto"/>
      </w:pPr>
      <w:r>
        <w:t>As people are using the Cloud Pilot systems, we will present them with a pop-up window or a link on those sites asking them to describe their experience and provide their feedback by completing the survey.</w:t>
      </w:r>
    </w:p>
    <w:p w14:paraId="3F1AE876" w14:textId="6F829FF2" w:rsidR="00016328" w:rsidRDefault="00016328" w:rsidP="00016328">
      <w:pPr>
        <w:pStyle w:val="ListParagraph"/>
        <w:numPr>
          <w:ilvl w:val="1"/>
          <w:numId w:val="15"/>
        </w:numPr>
        <w:spacing w:after="160" w:line="259" w:lineRule="auto"/>
      </w:pPr>
      <w:r>
        <w:lastRenderedPageBreak/>
        <w:t>The CBIIT/NCIP page on the cancer.gov site has a section dedicated to the Cloud Pilots.  When the survey is available, we will place a link on that section of the site asking for feedback by completing the survey.</w:t>
      </w:r>
    </w:p>
    <w:p w14:paraId="68CBC455" w14:textId="5B6E671D" w:rsidR="002007FD" w:rsidRDefault="00C40C40" w:rsidP="002007FD">
      <w:pPr>
        <w:pStyle w:val="ListParagraph"/>
        <w:numPr>
          <w:ilvl w:val="0"/>
          <w:numId w:val="15"/>
        </w:numPr>
      </w:pPr>
      <w:r>
        <w:t>At conference presentations and workshops</w:t>
      </w:r>
      <w:r w:rsidR="00016328">
        <w:t>: The Cloud Pilot teams will be attending conferences throughout the year.  We plan to have a flyer and other materials to hand out about the Cloud Pilots.  We will include the text below in the flyer / materials, requesting feedback by completion of the survey.</w:t>
      </w:r>
      <w:r w:rsidR="00016328">
        <w:br/>
      </w:r>
    </w:p>
    <w:p w14:paraId="6E2D794A" w14:textId="6192EE1D" w:rsidR="00C40C40" w:rsidRPr="00EE6251" w:rsidRDefault="00C40C40" w:rsidP="00C40C40">
      <w:r>
        <w:t xml:space="preserve">The survey results will be compiled in a document and reviewed by </w:t>
      </w:r>
      <w:r w:rsidRPr="00EC004A">
        <w:rPr>
          <w:noProof/>
        </w:rPr>
        <w:t>federal</w:t>
      </w:r>
      <w:r>
        <w:t xml:space="preserve"> staff to determine future funding and direction for the cloud platforms and functionality.</w:t>
      </w:r>
    </w:p>
    <w:p w14:paraId="5E966E9F" w14:textId="77777777" w:rsidR="00A00CF8" w:rsidRPr="008942E9" w:rsidRDefault="00A00CF8" w:rsidP="00DF28DD">
      <w:pPr>
        <w:pStyle w:val="Heading2"/>
        <w:tabs>
          <w:tab w:val="clear" w:pos="1152"/>
        </w:tabs>
      </w:pPr>
      <w:bookmarkStart w:id="6" w:name="_Toc439761712"/>
      <w:r w:rsidRPr="008942E9">
        <w:t>A.3     Use of Information Technology and Burden Reduction</w:t>
      </w:r>
      <w:bookmarkEnd w:id="6"/>
    </w:p>
    <w:p w14:paraId="7CFDC54D" w14:textId="544C08B2" w:rsidR="002779A5" w:rsidRDefault="002779A5" w:rsidP="00A00CF8">
      <w:pPr>
        <w:rPr>
          <w:color w:val="000000"/>
        </w:rPr>
      </w:pPr>
      <w:r>
        <w:rPr>
          <w:color w:val="000000"/>
        </w:rPr>
        <w:t xml:space="preserve">The survey </w:t>
      </w:r>
      <w:r w:rsidR="00CE6870">
        <w:rPr>
          <w:color w:val="000000"/>
        </w:rPr>
        <w:t xml:space="preserve">is web-based and </w:t>
      </w:r>
      <w:r>
        <w:rPr>
          <w:color w:val="000000"/>
        </w:rPr>
        <w:t xml:space="preserve">administered using Survey Monkey.  This will make the process extremely simple for the respondents.  The link to the Survey Monkey page will </w:t>
      </w:r>
      <w:r w:rsidRPr="00EC004A">
        <w:rPr>
          <w:noProof/>
          <w:color w:val="000000"/>
        </w:rPr>
        <w:t>be provided</w:t>
      </w:r>
      <w:r>
        <w:rPr>
          <w:color w:val="000000"/>
        </w:rPr>
        <w:t xml:space="preserve"> in several ways:</w:t>
      </w:r>
    </w:p>
    <w:p w14:paraId="2E8711F6" w14:textId="10064E4E" w:rsidR="002779A5" w:rsidRDefault="002779A5" w:rsidP="002779A5">
      <w:pPr>
        <w:pStyle w:val="ListParagraph"/>
        <w:numPr>
          <w:ilvl w:val="0"/>
          <w:numId w:val="13"/>
        </w:numPr>
        <w:rPr>
          <w:color w:val="000000"/>
        </w:rPr>
      </w:pPr>
      <w:r>
        <w:rPr>
          <w:color w:val="000000"/>
        </w:rPr>
        <w:t xml:space="preserve">As links from the </w:t>
      </w:r>
      <w:r w:rsidR="00C87100">
        <w:rPr>
          <w:color w:val="000000"/>
        </w:rPr>
        <w:t xml:space="preserve">CGC </w:t>
      </w:r>
      <w:r>
        <w:rPr>
          <w:color w:val="000000"/>
        </w:rPr>
        <w:t>Pilot web sites</w:t>
      </w:r>
    </w:p>
    <w:p w14:paraId="0EC8CEEE" w14:textId="5CF6C1D4" w:rsidR="002779A5" w:rsidRDefault="002779A5" w:rsidP="002779A5">
      <w:pPr>
        <w:pStyle w:val="ListParagraph"/>
        <w:numPr>
          <w:ilvl w:val="0"/>
          <w:numId w:val="13"/>
        </w:numPr>
        <w:rPr>
          <w:color w:val="000000"/>
        </w:rPr>
      </w:pPr>
      <w:r>
        <w:rPr>
          <w:color w:val="000000"/>
        </w:rPr>
        <w:t>As links from the cancer.gov</w:t>
      </w:r>
      <w:r w:rsidR="00C87100">
        <w:rPr>
          <w:color w:val="000000"/>
        </w:rPr>
        <w:t xml:space="preserve"> CBIIT</w:t>
      </w:r>
      <w:r>
        <w:rPr>
          <w:color w:val="000000"/>
        </w:rPr>
        <w:t xml:space="preserve"> web site</w:t>
      </w:r>
    </w:p>
    <w:p w14:paraId="48B73BA7" w14:textId="77777777" w:rsidR="002779A5" w:rsidRDefault="002779A5" w:rsidP="002779A5">
      <w:pPr>
        <w:pStyle w:val="ListParagraph"/>
        <w:numPr>
          <w:ilvl w:val="0"/>
          <w:numId w:val="13"/>
        </w:numPr>
        <w:rPr>
          <w:color w:val="000000"/>
        </w:rPr>
      </w:pPr>
      <w:r>
        <w:rPr>
          <w:color w:val="000000"/>
        </w:rPr>
        <w:t>In email distribution, to those who have subscribed to listservs related to the project</w:t>
      </w:r>
    </w:p>
    <w:p w14:paraId="3878628A" w14:textId="77777777" w:rsidR="002779A5" w:rsidRDefault="002779A5" w:rsidP="002779A5">
      <w:pPr>
        <w:pStyle w:val="ListParagraph"/>
        <w:numPr>
          <w:ilvl w:val="0"/>
          <w:numId w:val="13"/>
        </w:numPr>
        <w:rPr>
          <w:color w:val="000000"/>
        </w:rPr>
      </w:pPr>
      <w:r>
        <w:rPr>
          <w:color w:val="000000"/>
        </w:rPr>
        <w:t>During a workshop planned for May, 2016</w:t>
      </w:r>
    </w:p>
    <w:p w14:paraId="7D691F0C" w14:textId="2F7EE25C" w:rsidR="002779A5" w:rsidRDefault="002779A5" w:rsidP="002779A5">
      <w:pPr>
        <w:pStyle w:val="ListParagraph"/>
        <w:numPr>
          <w:ilvl w:val="0"/>
          <w:numId w:val="13"/>
        </w:numPr>
        <w:rPr>
          <w:color w:val="000000"/>
        </w:rPr>
      </w:pPr>
      <w:r>
        <w:rPr>
          <w:color w:val="000000"/>
        </w:rPr>
        <w:t>At conference presentations about the C</w:t>
      </w:r>
      <w:r w:rsidR="00C87100">
        <w:rPr>
          <w:color w:val="000000"/>
        </w:rPr>
        <w:t>GC</w:t>
      </w:r>
      <w:r>
        <w:rPr>
          <w:color w:val="000000"/>
        </w:rPr>
        <w:t xml:space="preserve"> Pilot</w:t>
      </w:r>
    </w:p>
    <w:p w14:paraId="44D9042C" w14:textId="77777777" w:rsidR="002779A5" w:rsidRPr="002779A5" w:rsidRDefault="002779A5" w:rsidP="002779A5">
      <w:pPr>
        <w:rPr>
          <w:color w:val="000000"/>
        </w:rPr>
      </w:pPr>
      <w:r>
        <w:rPr>
          <w:color w:val="000000"/>
        </w:rPr>
        <w:t>Researchers will have the choice to participate or not.  The survey will be primarily multiple choice, so it will be quick and easy to complete.</w:t>
      </w:r>
    </w:p>
    <w:p w14:paraId="5481ECB7" w14:textId="77777777" w:rsidR="002779A5" w:rsidRPr="002779A5" w:rsidRDefault="002779A5" w:rsidP="00A00CF8">
      <w:pPr>
        <w:rPr>
          <w:color w:val="000000"/>
        </w:rPr>
      </w:pPr>
    </w:p>
    <w:p w14:paraId="1763156E" w14:textId="77777777" w:rsidR="00685B30" w:rsidRPr="008942E9" w:rsidRDefault="00685B30" w:rsidP="00DF28DD">
      <w:pPr>
        <w:pStyle w:val="Heading2"/>
        <w:tabs>
          <w:tab w:val="clear" w:pos="1152"/>
        </w:tabs>
        <w:spacing w:after="0" w:line="480" w:lineRule="auto"/>
        <w:ind w:left="450" w:hanging="450"/>
        <w:rPr>
          <w:rFonts w:ascii="Calibri" w:hAnsi="Calibri"/>
          <w:szCs w:val="22"/>
        </w:rPr>
      </w:pPr>
      <w:bookmarkStart w:id="7" w:name="_Toc443881745"/>
      <w:bookmarkStart w:id="8" w:name="_Toc451592234"/>
      <w:bookmarkStart w:id="9" w:name="_Toc5610275"/>
      <w:bookmarkStart w:id="10" w:name="_Toc99178781"/>
      <w:bookmarkStart w:id="11" w:name="_Toc439761713"/>
      <w:r w:rsidRPr="008942E9">
        <w:rPr>
          <w:rFonts w:ascii="Calibri" w:hAnsi="Calibri"/>
          <w:szCs w:val="22"/>
        </w:rPr>
        <w:t>A.4</w:t>
      </w:r>
      <w:r w:rsidRPr="008942E9">
        <w:rPr>
          <w:rFonts w:ascii="Calibri" w:hAnsi="Calibri"/>
          <w:szCs w:val="22"/>
        </w:rPr>
        <w:tab/>
        <w:t>Efforts to Identify Duplication and Use of Similar Information</w:t>
      </w:r>
      <w:bookmarkEnd w:id="7"/>
      <w:bookmarkEnd w:id="8"/>
      <w:bookmarkEnd w:id="9"/>
      <w:bookmarkEnd w:id="10"/>
      <w:bookmarkEnd w:id="11"/>
    </w:p>
    <w:p w14:paraId="2F863AE9" w14:textId="788E6843" w:rsidR="002779A5" w:rsidRPr="00E35DD1" w:rsidRDefault="002779A5" w:rsidP="00685B30">
      <w:r>
        <w:t xml:space="preserve">There is no possibility of duplication.  The NCI is funding this project and is the only entity requesting </w:t>
      </w:r>
      <w:r w:rsidR="00C87100">
        <w:t xml:space="preserve">formal </w:t>
      </w:r>
      <w:r>
        <w:t xml:space="preserve">feedback </w:t>
      </w:r>
      <w:r w:rsidR="00C87100">
        <w:t xml:space="preserve">to the government </w:t>
      </w:r>
      <w:r>
        <w:t>on the C</w:t>
      </w:r>
      <w:r w:rsidR="00C87100">
        <w:t>GC</w:t>
      </w:r>
      <w:r>
        <w:t xml:space="preserve"> platforms.  No other IC or agency is involved with this project.  It was launched in October 2014, and no information request was issued until this time.</w:t>
      </w:r>
    </w:p>
    <w:p w14:paraId="4B8EB8D0" w14:textId="66084EE2" w:rsidR="00685B30" w:rsidRPr="008942E9" w:rsidRDefault="00685B30" w:rsidP="008E00DB">
      <w:pPr>
        <w:pStyle w:val="Heading2"/>
        <w:tabs>
          <w:tab w:val="clear" w:pos="1152"/>
        </w:tabs>
      </w:pPr>
      <w:bookmarkStart w:id="12" w:name="_Toc443881746"/>
      <w:bookmarkStart w:id="13" w:name="_Toc451592235"/>
      <w:bookmarkStart w:id="14" w:name="_Toc5610276"/>
      <w:bookmarkStart w:id="15" w:name="_Toc99178782"/>
      <w:bookmarkStart w:id="16" w:name="_Toc439761714"/>
      <w:r w:rsidRPr="008942E9">
        <w:t>A.5</w:t>
      </w:r>
      <w:r w:rsidRPr="008942E9">
        <w:tab/>
      </w:r>
      <w:r w:rsidR="008E00DB">
        <w:tab/>
      </w:r>
      <w:r w:rsidRPr="00C4399C">
        <w:t>Impact</w:t>
      </w:r>
      <w:r w:rsidRPr="008942E9">
        <w:t xml:space="preserve"> on Small Businesses or Other Small Entities</w:t>
      </w:r>
      <w:bookmarkEnd w:id="12"/>
      <w:bookmarkEnd w:id="13"/>
      <w:bookmarkEnd w:id="14"/>
      <w:bookmarkEnd w:id="15"/>
      <w:bookmarkEnd w:id="16"/>
    </w:p>
    <w:p w14:paraId="65B03BB9" w14:textId="77777777" w:rsidR="00EE6251" w:rsidRPr="00EE6251" w:rsidRDefault="00EE6251" w:rsidP="004716CF">
      <w:pPr>
        <w:pStyle w:val="P1-StandPara"/>
        <w:spacing w:line="240" w:lineRule="auto"/>
        <w:ind w:firstLine="0"/>
      </w:pPr>
      <w:r>
        <w:t>This information collection activity will have no impact on small businesses or entities.</w:t>
      </w:r>
    </w:p>
    <w:p w14:paraId="34F027D0" w14:textId="77777777" w:rsidR="00EE6251" w:rsidRPr="004716CF" w:rsidRDefault="00EE6251" w:rsidP="004716CF">
      <w:pPr>
        <w:pStyle w:val="P1-StandPara"/>
        <w:spacing w:line="240" w:lineRule="auto"/>
        <w:ind w:firstLine="0"/>
      </w:pPr>
    </w:p>
    <w:p w14:paraId="7C3416D9" w14:textId="4EC02CF7" w:rsidR="00685B30" w:rsidRPr="008942E9" w:rsidRDefault="00685B30" w:rsidP="00C4399C">
      <w:pPr>
        <w:pStyle w:val="Heading2"/>
        <w:tabs>
          <w:tab w:val="clear" w:pos="1152"/>
        </w:tabs>
      </w:pPr>
      <w:bookmarkStart w:id="17" w:name="_Toc443881747"/>
      <w:bookmarkStart w:id="18" w:name="_Toc451592236"/>
      <w:bookmarkStart w:id="19" w:name="_Toc5610277"/>
      <w:bookmarkStart w:id="20" w:name="_Toc99178783"/>
      <w:bookmarkStart w:id="21" w:name="_Toc439761715"/>
      <w:r w:rsidRPr="008942E9">
        <w:t>A.6</w:t>
      </w:r>
      <w:r w:rsidRPr="008942E9">
        <w:tab/>
      </w:r>
      <w:r w:rsidR="00C4399C">
        <w:tab/>
      </w:r>
      <w:r w:rsidRPr="00C4399C">
        <w:t>Consequences</w:t>
      </w:r>
      <w:r w:rsidRPr="008942E9">
        <w:t xml:space="preserve"> of Collecting the Information Less Frequently</w:t>
      </w:r>
      <w:bookmarkEnd w:id="17"/>
      <w:bookmarkEnd w:id="18"/>
      <w:bookmarkEnd w:id="19"/>
      <w:bookmarkEnd w:id="20"/>
      <w:bookmarkEnd w:id="21"/>
    </w:p>
    <w:p w14:paraId="1E988C1B" w14:textId="5B94B7D0" w:rsidR="00EE6251" w:rsidRDefault="00EE6251" w:rsidP="00C4399C">
      <w:r>
        <w:t xml:space="preserve">If this information collection activity is not conducted, it will greatly undermine the intent of the program.  Without input from the cancer research community, the government will have no way to fully understand the benefits of the technology and which functions and features are most valuable.  The survey is designed to be completed by each researcher once for each Cloud platform he/she uses.  This will not be an on-going information collection activity.  Researchers will have the opportunity to use the platforms, and after they </w:t>
      </w:r>
      <w:r>
        <w:lastRenderedPageBreak/>
        <w:t>have had experience with them, they will be requested to complete the survey to provide NCI feedback on which tools are most useful.</w:t>
      </w:r>
    </w:p>
    <w:p w14:paraId="08D3ACBA" w14:textId="77777777" w:rsidR="00685B30" w:rsidRPr="008942E9" w:rsidRDefault="00E67B10" w:rsidP="00C4399C">
      <w:pPr>
        <w:pStyle w:val="Heading2"/>
        <w:tabs>
          <w:tab w:val="clear" w:pos="1152"/>
        </w:tabs>
        <w:spacing w:after="0" w:line="480" w:lineRule="auto"/>
        <w:ind w:left="0" w:firstLine="0"/>
        <w:rPr>
          <w:rFonts w:ascii="Calibri" w:hAnsi="Calibri"/>
          <w:szCs w:val="22"/>
        </w:rPr>
      </w:pPr>
      <w:bookmarkStart w:id="22" w:name="_Toc443881748"/>
      <w:bookmarkStart w:id="23" w:name="_Toc451592237"/>
      <w:bookmarkStart w:id="24" w:name="_Toc5610278"/>
      <w:bookmarkStart w:id="25" w:name="_Toc99178784"/>
      <w:bookmarkStart w:id="26" w:name="_Toc439761716"/>
      <w:r w:rsidRPr="008942E9">
        <w:rPr>
          <w:rFonts w:ascii="Calibri" w:hAnsi="Calibri"/>
          <w:szCs w:val="22"/>
        </w:rPr>
        <w:t>A.7</w:t>
      </w:r>
      <w:r w:rsidRPr="008942E9">
        <w:rPr>
          <w:rFonts w:ascii="Calibri" w:hAnsi="Calibri"/>
          <w:szCs w:val="22"/>
        </w:rPr>
        <w:tab/>
      </w:r>
      <w:r w:rsidR="00685B30" w:rsidRPr="008942E9">
        <w:rPr>
          <w:rFonts w:ascii="Calibri" w:hAnsi="Calibri"/>
          <w:szCs w:val="22"/>
        </w:rPr>
        <w:t xml:space="preserve">Special Circumstances Relating to the Guidelines of 5 </w:t>
      </w:r>
      <w:smartTag w:uri="urn:schemas-microsoft-com:office:smarttags" w:element="stockticker">
        <w:r w:rsidR="00685B30" w:rsidRPr="008942E9">
          <w:rPr>
            <w:rFonts w:ascii="Calibri" w:hAnsi="Calibri"/>
            <w:szCs w:val="22"/>
          </w:rPr>
          <w:t>CFR</w:t>
        </w:r>
      </w:smartTag>
      <w:r w:rsidR="00685B30" w:rsidRPr="008942E9">
        <w:rPr>
          <w:rFonts w:ascii="Calibri" w:hAnsi="Calibri"/>
          <w:szCs w:val="22"/>
        </w:rPr>
        <w:t xml:space="preserve"> 1320.5</w:t>
      </w:r>
      <w:bookmarkEnd w:id="22"/>
      <w:bookmarkEnd w:id="23"/>
      <w:bookmarkEnd w:id="24"/>
      <w:bookmarkEnd w:id="25"/>
      <w:bookmarkEnd w:id="26"/>
    </w:p>
    <w:p w14:paraId="1FE63360" w14:textId="03F67C5E" w:rsidR="00685B30" w:rsidRDefault="00CE6870" w:rsidP="00E35DD1">
      <w:pPr>
        <w:pStyle w:val="P1-StandPara"/>
        <w:spacing w:line="240" w:lineRule="auto"/>
        <w:ind w:firstLine="0"/>
        <w:rPr>
          <w:rFonts w:ascii="Calibri" w:hAnsi="Calibri"/>
          <w:szCs w:val="22"/>
        </w:rPr>
      </w:pPr>
      <w:r>
        <w:rPr>
          <w:rFonts w:ascii="Calibri" w:hAnsi="Calibri"/>
          <w:szCs w:val="22"/>
        </w:rPr>
        <w:t>There are no</w:t>
      </w:r>
      <w:r w:rsidR="009E05D0">
        <w:rPr>
          <w:rFonts w:ascii="Calibri" w:hAnsi="Calibri"/>
          <w:szCs w:val="22"/>
        </w:rPr>
        <w:t>ne.</w:t>
      </w:r>
    </w:p>
    <w:p w14:paraId="5D4D9DCD" w14:textId="77777777" w:rsidR="00EE6251" w:rsidRPr="008942E9" w:rsidRDefault="00EE6251" w:rsidP="00E35DD1">
      <w:pPr>
        <w:pStyle w:val="P1-StandPara"/>
        <w:spacing w:line="240" w:lineRule="auto"/>
        <w:ind w:firstLine="0"/>
        <w:rPr>
          <w:rFonts w:ascii="Calibri" w:hAnsi="Calibri"/>
          <w:szCs w:val="22"/>
        </w:rPr>
      </w:pPr>
    </w:p>
    <w:p w14:paraId="05AB9698" w14:textId="06DFB219" w:rsidR="0036208F" w:rsidRPr="008942E9" w:rsidRDefault="00685B30" w:rsidP="00C4399C">
      <w:pPr>
        <w:pStyle w:val="Heading2"/>
        <w:spacing w:after="0" w:line="240" w:lineRule="auto"/>
        <w:ind w:left="720" w:hanging="720"/>
        <w:rPr>
          <w:rFonts w:ascii="Calibri" w:hAnsi="Calibri"/>
          <w:szCs w:val="22"/>
        </w:rPr>
      </w:pPr>
      <w:bookmarkStart w:id="27" w:name="_Toc439761717"/>
      <w:bookmarkStart w:id="28" w:name="_Toc443881749"/>
      <w:bookmarkStart w:id="29" w:name="_Toc451592238"/>
      <w:bookmarkStart w:id="30" w:name="_Toc5610279"/>
      <w:bookmarkStart w:id="31" w:name="_Toc99178785"/>
      <w:r w:rsidRPr="008942E9">
        <w:rPr>
          <w:rFonts w:ascii="Calibri" w:hAnsi="Calibri"/>
          <w:szCs w:val="22"/>
        </w:rPr>
        <w:t>A.8</w:t>
      </w:r>
      <w:r w:rsidR="00C4399C">
        <w:rPr>
          <w:rFonts w:ascii="Calibri" w:hAnsi="Calibri"/>
          <w:szCs w:val="22"/>
        </w:rPr>
        <w:tab/>
      </w:r>
      <w:r w:rsidRPr="008942E9">
        <w:rPr>
          <w:rFonts w:ascii="Calibri" w:hAnsi="Calibri"/>
          <w:szCs w:val="22"/>
        </w:rPr>
        <w:t>Comments in Response to the Federal Register Notice</w:t>
      </w:r>
      <w:bookmarkEnd w:id="27"/>
      <w:r w:rsidRPr="008942E9">
        <w:rPr>
          <w:rFonts w:ascii="Calibri" w:hAnsi="Calibri"/>
          <w:szCs w:val="22"/>
        </w:rPr>
        <w:t xml:space="preserve"> </w:t>
      </w:r>
    </w:p>
    <w:p w14:paraId="22BD05E2" w14:textId="77777777" w:rsidR="0036208F" w:rsidRPr="008942E9" w:rsidRDefault="0036208F" w:rsidP="00E35DD1">
      <w:pPr>
        <w:pStyle w:val="Heading2"/>
        <w:spacing w:after="0" w:line="240" w:lineRule="auto"/>
        <w:ind w:left="720" w:hanging="720"/>
        <w:rPr>
          <w:rFonts w:ascii="Calibri" w:hAnsi="Calibri"/>
          <w:szCs w:val="22"/>
        </w:rPr>
      </w:pPr>
    </w:p>
    <w:bookmarkEnd w:id="28"/>
    <w:bookmarkEnd w:id="29"/>
    <w:bookmarkEnd w:id="30"/>
    <w:bookmarkEnd w:id="31"/>
    <w:p w14:paraId="530808E4" w14:textId="173D33BC" w:rsidR="00294867" w:rsidRDefault="007D20FB" w:rsidP="00C4399C">
      <w:r>
        <w:t>A 60 day Federal Register Notice was published in the Federal Register o</w:t>
      </w:r>
      <w:r w:rsidR="006941B9">
        <w:t>n January 13, 2016, Vol.81; pp. 1633. No comments were received.</w:t>
      </w:r>
    </w:p>
    <w:p w14:paraId="3D564AC4" w14:textId="734BB121" w:rsidR="0036208F" w:rsidRPr="008942E9" w:rsidRDefault="0036208F" w:rsidP="00C4399C">
      <w:r w:rsidRPr="008942E9">
        <w:t>A.8.2</w:t>
      </w:r>
      <w:r w:rsidRPr="008942E9">
        <w:tab/>
        <w:t>Efforts to Consult Outside Agency</w:t>
      </w:r>
    </w:p>
    <w:p w14:paraId="4E3AE954" w14:textId="13ED1268" w:rsidR="00717158" w:rsidRPr="006E554D" w:rsidRDefault="00EE6251" w:rsidP="00EB05B4">
      <w:r>
        <w:br/>
      </w:r>
      <w:r w:rsidR="00EB05B4">
        <w:t>T</w:t>
      </w:r>
      <w:r w:rsidR="00C87100">
        <w:t>he three contractors who are developing the CGC platforms, Broad, ISB, and SBG,</w:t>
      </w:r>
      <w:r w:rsidR="007D20FB">
        <w:t>(Attachment 2)</w:t>
      </w:r>
      <w:r w:rsidR="00C87100">
        <w:t xml:space="preserve"> were consulted for their feedback on the appropriate survey questions. The general research public has not yet had access to any of the CGC platforms, and therefore is not in a position to provide input as to the survey questions.  The survey itself will have two open-ended questions that will allow researchers to provide a free text response that could include information not specified in the multiple choice questions.</w:t>
      </w:r>
    </w:p>
    <w:p w14:paraId="79F66478" w14:textId="3D89EF4D" w:rsidR="00685B30" w:rsidRPr="008942E9" w:rsidRDefault="00685B30" w:rsidP="00C4399C">
      <w:pPr>
        <w:pStyle w:val="Heading2"/>
        <w:tabs>
          <w:tab w:val="clear" w:pos="1152"/>
        </w:tabs>
      </w:pPr>
      <w:bookmarkStart w:id="32" w:name="_Toc439761718"/>
      <w:r w:rsidRPr="008942E9">
        <w:t>A.9</w:t>
      </w:r>
      <w:r w:rsidRPr="008942E9">
        <w:tab/>
      </w:r>
      <w:r w:rsidR="00C4399C">
        <w:tab/>
      </w:r>
      <w:r w:rsidRPr="008942E9">
        <w:t>Explanation of Any Payment of Gift to Respondents</w:t>
      </w:r>
      <w:bookmarkEnd w:id="32"/>
    </w:p>
    <w:p w14:paraId="56500756" w14:textId="77777777" w:rsidR="00EE6251" w:rsidRPr="00EE6251" w:rsidRDefault="00EE6251" w:rsidP="00685B30">
      <w:r>
        <w:t>No gifts or remuneration will be provided for completion of the survey.</w:t>
      </w:r>
    </w:p>
    <w:p w14:paraId="573652DF" w14:textId="23A16655" w:rsidR="00685B30" w:rsidRPr="008942E9" w:rsidRDefault="00685B30" w:rsidP="00C4399C">
      <w:pPr>
        <w:pStyle w:val="Heading2"/>
        <w:tabs>
          <w:tab w:val="clear" w:pos="1152"/>
        </w:tabs>
      </w:pPr>
      <w:bookmarkStart w:id="33" w:name="_Toc439761719"/>
      <w:r w:rsidRPr="008942E9">
        <w:t>A.10</w:t>
      </w:r>
      <w:r w:rsidR="00C4399C">
        <w:tab/>
      </w:r>
      <w:r w:rsidRPr="008942E9">
        <w:tab/>
        <w:t>Assurance of Confidentiality Provided to Respondents</w:t>
      </w:r>
      <w:bookmarkEnd w:id="33"/>
    </w:p>
    <w:p w14:paraId="61F3D70E" w14:textId="77E62E35" w:rsidR="00CF1E0D" w:rsidRPr="00CF1E0D" w:rsidRDefault="007D20FB" w:rsidP="0036208F">
      <w:pPr>
        <w:pStyle w:val="P1-StandPara"/>
        <w:spacing w:line="240" w:lineRule="auto"/>
        <w:ind w:firstLine="0"/>
        <w:rPr>
          <w:rFonts w:ascii="Calibri" w:hAnsi="Calibri"/>
          <w:szCs w:val="22"/>
        </w:rPr>
      </w:pPr>
      <w:r>
        <w:rPr>
          <w:rStyle w:val="Hyperlink"/>
          <w:rFonts w:ascii="Calibri" w:hAnsi="Calibri"/>
          <w:color w:val="auto"/>
          <w:szCs w:val="22"/>
          <w:u w:val="none"/>
        </w:rPr>
        <w:t xml:space="preserve">All information will be kept private to the extent permissible of the law. </w:t>
      </w:r>
      <w:r w:rsidR="00CF1E0D" w:rsidRPr="00CF1E0D">
        <w:rPr>
          <w:rStyle w:val="Hyperlink"/>
          <w:rFonts w:ascii="Calibri" w:hAnsi="Calibri"/>
          <w:color w:val="auto"/>
          <w:szCs w:val="22"/>
          <w:u w:val="none"/>
        </w:rPr>
        <w:t xml:space="preserve">Respondents </w:t>
      </w:r>
      <w:r w:rsidR="00CF1E0D">
        <w:rPr>
          <w:rStyle w:val="Hyperlink"/>
          <w:rFonts w:ascii="Calibri" w:hAnsi="Calibri"/>
          <w:color w:val="auto"/>
          <w:szCs w:val="22"/>
          <w:u w:val="none"/>
        </w:rPr>
        <w:t>will be asked to provide the name of the institution in which they work and their role at a very high level.  The respondents will not be identifiable from this information.</w:t>
      </w:r>
      <w:r w:rsidR="00CE6870">
        <w:rPr>
          <w:rStyle w:val="Hyperlink"/>
          <w:rFonts w:ascii="Calibri" w:hAnsi="Calibri"/>
          <w:color w:val="auto"/>
          <w:szCs w:val="22"/>
          <w:u w:val="none"/>
        </w:rPr>
        <w:t xml:space="preserve"> </w:t>
      </w:r>
      <w:r>
        <w:rPr>
          <w:rStyle w:val="Hyperlink"/>
          <w:rFonts w:ascii="Calibri" w:hAnsi="Calibri"/>
          <w:color w:val="auto"/>
          <w:szCs w:val="22"/>
          <w:u w:val="none"/>
        </w:rPr>
        <w:t xml:space="preserve"> </w:t>
      </w:r>
    </w:p>
    <w:p w14:paraId="628E1484" w14:textId="725DE95F" w:rsidR="009810A0" w:rsidRDefault="009810A0" w:rsidP="0036208F">
      <w:pPr>
        <w:pStyle w:val="P1-StandPara"/>
        <w:spacing w:line="240" w:lineRule="auto"/>
        <w:ind w:firstLine="0"/>
        <w:rPr>
          <w:rFonts w:ascii="Calibri" w:hAnsi="Calibri"/>
          <w:i/>
          <w:szCs w:val="22"/>
        </w:rPr>
      </w:pPr>
    </w:p>
    <w:p w14:paraId="17CED338" w14:textId="5D294A73" w:rsidR="007D20FB" w:rsidRPr="00521FDE" w:rsidRDefault="007D20FB" w:rsidP="0036208F">
      <w:pPr>
        <w:pStyle w:val="P1-StandPara"/>
        <w:spacing w:line="240" w:lineRule="auto"/>
        <w:ind w:firstLine="0"/>
        <w:rPr>
          <w:rFonts w:ascii="Calibri" w:hAnsi="Calibri"/>
          <w:szCs w:val="22"/>
        </w:rPr>
      </w:pPr>
      <w:r w:rsidRPr="00521FDE">
        <w:rPr>
          <w:rFonts w:ascii="Calibri" w:hAnsi="Calibri"/>
          <w:szCs w:val="22"/>
        </w:rPr>
        <w:t>The Privacy Coordinator is in the process of completing a PIA.</w:t>
      </w:r>
    </w:p>
    <w:p w14:paraId="7FB60363" w14:textId="77777777" w:rsidR="00E35DD1" w:rsidRPr="008942E9" w:rsidRDefault="00E35DD1" w:rsidP="00E35DD1">
      <w:pPr>
        <w:pStyle w:val="P1-StandPara"/>
        <w:spacing w:line="240" w:lineRule="auto"/>
        <w:ind w:firstLine="0"/>
        <w:rPr>
          <w:rFonts w:ascii="Calibri" w:hAnsi="Calibri"/>
          <w:szCs w:val="22"/>
        </w:rPr>
      </w:pPr>
    </w:p>
    <w:p w14:paraId="04ACDB57" w14:textId="29C5E688" w:rsidR="00685B30" w:rsidRPr="008942E9" w:rsidRDefault="00685B30" w:rsidP="00C4399C">
      <w:pPr>
        <w:pStyle w:val="Heading2"/>
        <w:tabs>
          <w:tab w:val="clear" w:pos="1152"/>
        </w:tabs>
      </w:pPr>
      <w:bookmarkStart w:id="34" w:name="_Toc439761720"/>
      <w:r w:rsidRPr="008942E9">
        <w:t>A.11</w:t>
      </w:r>
      <w:r w:rsidRPr="008942E9">
        <w:tab/>
      </w:r>
      <w:r w:rsidR="00C4399C">
        <w:tab/>
      </w:r>
      <w:r w:rsidRPr="008942E9">
        <w:t>Justification for Sensitive Questions</w:t>
      </w:r>
      <w:bookmarkEnd w:id="34"/>
    </w:p>
    <w:p w14:paraId="629C4F12" w14:textId="7254173B" w:rsidR="00CF1E0D" w:rsidRDefault="00CF1E0D" w:rsidP="00685B30">
      <w:pPr>
        <w:pStyle w:val="P1-StandPara"/>
        <w:spacing w:line="240" w:lineRule="auto"/>
        <w:ind w:firstLine="0"/>
        <w:rPr>
          <w:rFonts w:ascii="Calibri" w:hAnsi="Calibri"/>
          <w:szCs w:val="22"/>
        </w:rPr>
      </w:pPr>
      <w:r>
        <w:rPr>
          <w:rFonts w:ascii="Calibri" w:hAnsi="Calibri"/>
          <w:szCs w:val="22"/>
        </w:rPr>
        <w:t>No questions of a sensitive nature will be asked.</w:t>
      </w:r>
      <w:r w:rsidR="007D20FB">
        <w:rPr>
          <w:rFonts w:ascii="Calibri" w:hAnsi="Calibri"/>
          <w:szCs w:val="22"/>
        </w:rPr>
        <w:t xml:space="preserve"> PII </w:t>
      </w:r>
      <w:r w:rsidR="00294867">
        <w:rPr>
          <w:rFonts w:ascii="Calibri" w:hAnsi="Calibri"/>
          <w:szCs w:val="22"/>
        </w:rPr>
        <w:t>is not</w:t>
      </w:r>
      <w:r w:rsidR="007D20FB">
        <w:rPr>
          <w:rFonts w:ascii="Calibri" w:hAnsi="Calibri"/>
          <w:szCs w:val="22"/>
        </w:rPr>
        <w:t xml:space="preserve"> being collected.</w:t>
      </w:r>
    </w:p>
    <w:p w14:paraId="296DA3B2" w14:textId="2B295B98" w:rsidR="007D20FB" w:rsidRDefault="007D20FB" w:rsidP="00685B30">
      <w:pPr>
        <w:pStyle w:val="P1-StandPara"/>
        <w:spacing w:line="240" w:lineRule="auto"/>
        <w:ind w:firstLine="0"/>
        <w:rPr>
          <w:rFonts w:ascii="Calibri" w:hAnsi="Calibri"/>
          <w:szCs w:val="22"/>
        </w:rPr>
      </w:pPr>
    </w:p>
    <w:p w14:paraId="6CAB965B" w14:textId="22B51BB2" w:rsidR="007D20FB" w:rsidRDefault="007D20FB" w:rsidP="00685B30">
      <w:pPr>
        <w:pStyle w:val="P1-StandPara"/>
        <w:spacing w:line="240" w:lineRule="auto"/>
        <w:ind w:firstLine="0"/>
        <w:rPr>
          <w:rFonts w:ascii="Calibri" w:hAnsi="Calibri"/>
          <w:szCs w:val="22"/>
        </w:rPr>
      </w:pPr>
      <w:r w:rsidRPr="006413BF">
        <w:rPr>
          <w:rFonts w:ascii="Calibri" w:hAnsi="Calibri"/>
          <w:szCs w:val="22"/>
        </w:rPr>
        <w:t xml:space="preserve">The Privacy Act is not applicable </w:t>
      </w:r>
      <w:r w:rsidR="006413BF" w:rsidRPr="006413BF">
        <w:rPr>
          <w:rFonts w:ascii="Calibri" w:hAnsi="Calibri"/>
          <w:szCs w:val="22"/>
        </w:rPr>
        <w:t>as determined by the Privacy Act Memo</w:t>
      </w:r>
      <w:r w:rsidR="00766007">
        <w:rPr>
          <w:rFonts w:ascii="Calibri" w:hAnsi="Calibri"/>
          <w:szCs w:val="22"/>
        </w:rPr>
        <w:t xml:space="preserve"> (Attachment D)</w:t>
      </w:r>
      <w:r w:rsidR="006413BF" w:rsidRPr="006413BF">
        <w:rPr>
          <w:rFonts w:ascii="Calibri" w:hAnsi="Calibri"/>
          <w:szCs w:val="22"/>
        </w:rPr>
        <w:t xml:space="preserve"> provided by </w:t>
      </w:r>
      <w:r w:rsidRPr="006413BF">
        <w:rPr>
          <w:rFonts w:ascii="Calibri" w:hAnsi="Calibri"/>
          <w:szCs w:val="22"/>
        </w:rPr>
        <w:t xml:space="preserve">the </w:t>
      </w:r>
      <w:r w:rsidR="006413BF" w:rsidRPr="006413BF">
        <w:rPr>
          <w:rFonts w:ascii="Calibri" w:hAnsi="Calibri"/>
          <w:szCs w:val="22"/>
        </w:rPr>
        <w:t xml:space="preserve">NIH </w:t>
      </w:r>
      <w:r w:rsidRPr="006413BF">
        <w:rPr>
          <w:rFonts w:ascii="Calibri" w:hAnsi="Calibri"/>
          <w:szCs w:val="22"/>
        </w:rPr>
        <w:t>Privacy Officer.</w:t>
      </w:r>
      <w:r>
        <w:rPr>
          <w:rFonts w:ascii="Calibri" w:hAnsi="Calibri"/>
          <w:szCs w:val="22"/>
        </w:rPr>
        <w:t xml:space="preserve"> </w:t>
      </w:r>
    </w:p>
    <w:p w14:paraId="4222026D" w14:textId="786D8BAC" w:rsidR="007D20FB" w:rsidRDefault="007D20FB" w:rsidP="00685B30">
      <w:pPr>
        <w:pStyle w:val="P1-StandPara"/>
        <w:spacing w:line="240" w:lineRule="auto"/>
        <w:ind w:firstLine="0"/>
        <w:rPr>
          <w:rFonts w:ascii="Calibri" w:hAnsi="Calibri"/>
          <w:szCs w:val="22"/>
        </w:rPr>
      </w:pPr>
    </w:p>
    <w:p w14:paraId="1D94495C" w14:textId="407FE8FE" w:rsidR="007D20FB" w:rsidRDefault="007D20FB" w:rsidP="00685B30">
      <w:pPr>
        <w:pStyle w:val="P1-StandPara"/>
        <w:spacing w:line="240" w:lineRule="auto"/>
        <w:ind w:firstLine="0"/>
        <w:rPr>
          <w:rFonts w:ascii="Calibri" w:hAnsi="Calibri"/>
          <w:szCs w:val="22"/>
        </w:rPr>
      </w:pPr>
      <w:r>
        <w:rPr>
          <w:rFonts w:ascii="Calibri" w:hAnsi="Calibri"/>
          <w:szCs w:val="22"/>
        </w:rPr>
        <w:t xml:space="preserve">This information collection </w:t>
      </w:r>
      <w:r w:rsidR="006941B9">
        <w:rPr>
          <w:rFonts w:ascii="Calibri" w:hAnsi="Calibri"/>
          <w:szCs w:val="22"/>
        </w:rPr>
        <w:t>is not research and is not subject to</w:t>
      </w:r>
      <w:r>
        <w:rPr>
          <w:rFonts w:ascii="Calibri" w:hAnsi="Calibri"/>
          <w:szCs w:val="22"/>
        </w:rPr>
        <w:t xml:space="preserve"> human subject regulations.</w:t>
      </w:r>
    </w:p>
    <w:p w14:paraId="21925243" w14:textId="77777777" w:rsidR="00CF1E0D" w:rsidRPr="008942E9" w:rsidRDefault="00CF1E0D" w:rsidP="00685B30">
      <w:pPr>
        <w:pStyle w:val="P1-StandPara"/>
        <w:spacing w:line="240" w:lineRule="auto"/>
        <w:ind w:firstLine="0"/>
        <w:rPr>
          <w:rFonts w:ascii="Calibri" w:hAnsi="Calibri"/>
          <w:szCs w:val="22"/>
        </w:rPr>
      </w:pPr>
      <w:bookmarkStart w:id="35" w:name="_GoBack"/>
      <w:bookmarkEnd w:id="35"/>
    </w:p>
    <w:p w14:paraId="056A9D53" w14:textId="2829B5B1" w:rsidR="00685B30" w:rsidRPr="008942E9" w:rsidRDefault="00C4399C" w:rsidP="00C4399C">
      <w:pPr>
        <w:pStyle w:val="Heading2"/>
        <w:tabs>
          <w:tab w:val="clear" w:pos="1152"/>
        </w:tabs>
        <w:jc w:val="left"/>
      </w:pPr>
      <w:bookmarkStart w:id="36" w:name="_Toc439761721"/>
      <w:r>
        <w:lastRenderedPageBreak/>
        <w:t>A.12</w:t>
      </w:r>
      <w:r>
        <w:tab/>
      </w:r>
      <w:r>
        <w:tab/>
        <w:t>Estimated Annualized Burden Including Annualized Hourly Costs</w:t>
      </w:r>
      <w:bookmarkEnd w:id="36"/>
      <w:r>
        <w:br/>
      </w:r>
    </w:p>
    <w:p w14:paraId="6622297B" w14:textId="77777777" w:rsidR="00685B30" w:rsidRPr="00E35DD1" w:rsidRDefault="00685B30" w:rsidP="00C4399C">
      <w:r w:rsidRPr="00E35DD1">
        <w:t>A.12</w:t>
      </w:r>
      <w:r w:rsidR="00BF491C">
        <w:t>.1</w:t>
      </w:r>
      <w:r w:rsidRPr="00E35DD1">
        <w:tab/>
        <w:t>Est</w:t>
      </w:r>
      <w:r w:rsidR="009A69D6">
        <w:t>imated Annualized Burden Hours</w:t>
      </w:r>
    </w:p>
    <w:p w14:paraId="579B77B6" w14:textId="40508489" w:rsidR="00CF1E0D" w:rsidRDefault="00CE6870" w:rsidP="00685B30">
      <w:r>
        <w:t xml:space="preserve">The estimated annualized total burden hours are 375.  There are a total of </w:t>
      </w:r>
      <w:r w:rsidR="002D3CA0">
        <w:t>approximately 1500</w:t>
      </w:r>
      <w:r w:rsidR="00CF1E0D">
        <w:t xml:space="preserve"> respondents</w:t>
      </w:r>
      <w:r>
        <w:t>.</w:t>
      </w:r>
      <w:r w:rsidR="00CF1E0D">
        <w:t xml:space="preserve"> </w:t>
      </w:r>
      <w:r w:rsidR="002D3CA0">
        <w:t xml:space="preserve"> This is based on the number of PIs who are involved with the TCGA project, since the data contained in the Cloud Pilots is TCGA data.  The survey questions, of which there are 19, are primarily multiple choice</w:t>
      </w:r>
      <w:r w:rsidR="00FF73D2">
        <w:t xml:space="preserve"> (16 out of 19)</w:t>
      </w:r>
      <w:r w:rsidR="002D3CA0">
        <w:t>, and each</w:t>
      </w:r>
      <w:r w:rsidR="00FF73D2">
        <w:t xml:space="preserve"> multiple choice</w:t>
      </w:r>
      <w:r w:rsidR="002D3CA0">
        <w:t xml:space="preserve"> question is expected to </w:t>
      </w:r>
      <w:r w:rsidR="00FF73D2">
        <w:t>30 second to complete. The 3 text questions are expected to take 2 minutes each.   Therefore, th</w:t>
      </w:r>
      <w:r w:rsidR="00CF1E0D">
        <w:t xml:space="preserve">e survey is expected to take </w:t>
      </w:r>
      <w:r w:rsidR="00FF73D2">
        <w:t xml:space="preserve">approximately </w:t>
      </w:r>
      <w:r w:rsidR="00CF1E0D">
        <w:t>15 minutes to complete</w:t>
      </w:r>
      <w:r w:rsidR="00FF73D2">
        <w:t>.</w:t>
      </w:r>
      <w:r w:rsidR="00FF73D2">
        <w:tab/>
      </w:r>
    </w:p>
    <w:p w14:paraId="49C9ABF7" w14:textId="77777777" w:rsidR="00EA13DB" w:rsidRDefault="00EA13DB" w:rsidP="00EA13DB">
      <w:pPr>
        <w:spacing w:after="20"/>
        <w:rPr>
          <w:b/>
        </w:rPr>
      </w:pPr>
      <w:r>
        <w:rPr>
          <w:b/>
        </w:rPr>
        <w:t xml:space="preserve">                                              </w:t>
      </w:r>
      <w:r w:rsidRPr="00113647">
        <w:rPr>
          <w:b/>
        </w:rPr>
        <w:t>A.12</w:t>
      </w:r>
      <w:r>
        <w:rPr>
          <w:b/>
        </w:rPr>
        <w:t>-1</w:t>
      </w:r>
      <w:r w:rsidRPr="00113647">
        <w:rPr>
          <w:b/>
        </w:rPr>
        <w:t xml:space="preserve"> Estimate</w:t>
      </w:r>
      <w:r>
        <w:rPr>
          <w:b/>
        </w:rPr>
        <w:t>d Annualized Burden Hours</w:t>
      </w:r>
    </w:p>
    <w:p w14:paraId="4D505FEE" w14:textId="77777777" w:rsidR="00EA13DB" w:rsidRDefault="00EA13DB" w:rsidP="00EA13DB">
      <w:pPr>
        <w:spacing w:after="20"/>
        <w:rPr>
          <w:b/>
        </w:rPr>
      </w:pPr>
    </w:p>
    <w:tbl>
      <w:tblPr>
        <w:tblW w:w="8562" w:type="dxa"/>
        <w:jc w:val="center"/>
        <w:tblLayout w:type="fixed"/>
        <w:tblCellMar>
          <w:left w:w="100" w:type="dxa"/>
          <w:right w:w="100" w:type="dxa"/>
        </w:tblCellMar>
        <w:tblLook w:val="0000" w:firstRow="0" w:lastRow="0" w:firstColumn="0" w:lastColumn="0" w:noHBand="0" w:noVBand="0"/>
      </w:tblPr>
      <w:tblGrid>
        <w:gridCol w:w="1491"/>
        <w:gridCol w:w="1561"/>
        <w:gridCol w:w="1471"/>
        <w:gridCol w:w="1578"/>
        <w:gridCol w:w="1315"/>
        <w:gridCol w:w="1146"/>
      </w:tblGrid>
      <w:tr w:rsidR="00EA13DB" w:rsidRPr="008942E9" w14:paraId="552C881D" w14:textId="77777777" w:rsidTr="00FF73D2">
        <w:trPr>
          <w:cantSplit/>
          <w:trHeight w:val="372"/>
          <w:jc w:val="center"/>
        </w:trPr>
        <w:tc>
          <w:tcPr>
            <w:tcW w:w="1491" w:type="dxa"/>
            <w:tcBorders>
              <w:top w:val="single" w:sz="6" w:space="0" w:color="auto"/>
              <w:left w:val="single" w:sz="6" w:space="0" w:color="auto"/>
              <w:bottom w:val="single" w:sz="6" w:space="0" w:color="auto"/>
            </w:tcBorders>
          </w:tcPr>
          <w:p w14:paraId="1F7D177D" w14:textId="77777777" w:rsidR="00EA13DB" w:rsidRPr="00CF3B64" w:rsidRDefault="00EA13DB" w:rsidP="0092520E">
            <w:r w:rsidRPr="00CF3B64">
              <w:t xml:space="preserve">Form Name </w:t>
            </w:r>
          </w:p>
        </w:tc>
        <w:tc>
          <w:tcPr>
            <w:tcW w:w="1561" w:type="dxa"/>
            <w:tcBorders>
              <w:top w:val="single" w:sz="6" w:space="0" w:color="auto"/>
              <w:left w:val="single" w:sz="6" w:space="0" w:color="auto"/>
              <w:bottom w:val="single" w:sz="6" w:space="0" w:color="auto"/>
            </w:tcBorders>
          </w:tcPr>
          <w:p w14:paraId="1CFACAB6" w14:textId="77777777" w:rsidR="00EA13DB" w:rsidRPr="00CF3B64" w:rsidRDefault="00EA13DB" w:rsidP="0092520E">
            <w:r w:rsidRPr="00CF3B64">
              <w:t>Type of Respondent</w:t>
            </w:r>
          </w:p>
        </w:tc>
        <w:tc>
          <w:tcPr>
            <w:tcW w:w="1471" w:type="dxa"/>
            <w:tcBorders>
              <w:top w:val="single" w:sz="6" w:space="0" w:color="auto"/>
              <w:left w:val="single" w:sz="6" w:space="0" w:color="auto"/>
              <w:bottom w:val="single" w:sz="6" w:space="0" w:color="auto"/>
            </w:tcBorders>
          </w:tcPr>
          <w:p w14:paraId="5C3F79B6" w14:textId="77777777" w:rsidR="00EA13DB" w:rsidRPr="00CF3B64" w:rsidRDefault="00EA13DB" w:rsidP="0092520E">
            <w:r w:rsidRPr="00CF3B64">
              <w:t>Number of Respondents</w:t>
            </w:r>
          </w:p>
        </w:tc>
        <w:tc>
          <w:tcPr>
            <w:tcW w:w="1578" w:type="dxa"/>
            <w:tcBorders>
              <w:top w:val="single" w:sz="6" w:space="0" w:color="auto"/>
              <w:left w:val="single" w:sz="6" w:space="0" w:color="auto"/>
              <w:bottom w:val="single" w:sz="6" w:space="0" w:color="auto"/>
            </w:tcBorders>
          </w:tcPr>
          <w:p w14:paraId="0A2D33E8" w14:textId="77777777" w:rsidR="00EA13DB" w:rsidRPr="00CF3B64" w:rsidRDefault="00EA13DB" w:rsidP="0092520E">
            <w:r w:rsidRPr="00CF3B64">
              <w:t>Number of Responses per Respondent</w:t>
            </w:r>
          </w:p>
        </w:tc>
        <w:tc>
          <w:tcPr>
            <w:tcW w:w="1315" w:type="dxa"/>
            <w:tcBorders>
              <w:top w:val="single" w:sz="6" w:space="0" w:color="auto"/>
              <w:left w:val="single" w:sz="6" w:space="0" w:color="auto"/>
              <w:bottom w:val="single" w:sz="6" w:space="0" w:color="auto"/>
            </w:tcBorders>
          </w:tcPr>
          <w:p w14:paraId="6F16B714" w14:textId="63714D7B" w:rsidR="00EA13DB" w:rsidRPr="00CF3B64" w:rsidRDefault="00EA13DB" w:rsidP="00CF3B64">
            <w:r w:rsidRPr="00CF3B64">
              <w:t xml:space="preserve">Average Burden  Per Response (in hours) </w:t>
            </w:r>
          </w:p>
        </w:tc>
        <w:tc>
          <w:tcPr>
            <w:tcW w:w="1146" w:type="dxa"/>
            <w:tcBorders>
              <w:top w:val="single" w:sz="6" w:space="0" w:color="auto"/>
              <w:left w:val="single" w:sz="6" w:space="0" w:color="auto"/>
              <w:bottom w:val="single" w:sz="6" w:space="0" w:color="auto"/>
              <w:right w:val="single" w:sz="6" w:space="0" w:color="auto"/>
            </w:tcBorders>
          </w:tcPr>
          <w:p w14:paraId="557A7021" w14:textId="77777777" w:rsidR="00EA13DB" w:rsidRPr="00CF3B64" w:rsidRDefault="00EA13DB" w:rsidP="0092520E">
            <w:r w:rsidRPr="00CF3B64">
              <w:t xml:space="preserve">Total Annual  Burden Hour </w:t>
            </w:r>
          </w:p>
        </w:tc>
      </w:tr>
      <w:tr w:rsidR="00EA13DB" w:rsidRPr="008942E9" w14:paraId="04D78930" w14:textId="77777777" w:rsidTr="00FF73D2">
        <w:trPr>
          <w:cantSplit/>
          <w:trHeight w:val="372"/>
          <w:jc w:val="center"/>
        </w:trPr>
        <w:tc>
          <w:tcPr>
            <w:tcW w:w="1491" w:type="dxa"/>
            <w:tcBorders>
              <w:top w:val="single" w:sz="6" w:space="0" w:color="auto"/>
              <w:left w:val="single" w:sz="6" w:space="0" w:color="auto"/>
              <w:bottom w:val="single" w:sz="6" w:space="0" w:color="auto"/>
            </w:tcBorders>
          </w:tcPr>
          <w:p w14:paraId="286EB07B" w14:textId="77777777" w:rsidR="00EA13DB" w:rsidRPr="00CF3B64" w:rsidRDefault="00EA13DB" w:rsidP="0092520E">
            <w:r w:rsidRPr="00CF3B64">
              <w:t>Cloud Pilot Survey</w:t>
            </w:r>
          </w:p>
        </w:tc>
        <w:tc>
          <w:tcPr>
            <w:tcW w:w="1561" w:type="dxa"/>
            <w:tcBorders>
              <w:top w:val="single" w:sz="6" w:space="0" w:color="auto"/>
              <w:left w:val="single" w:sz="6" w:space="0" w:color="auto"/>
              <w:bottom w:val="single" w:sz="6" w:space="0" w:color="auto"/>
            </w:tcBorders>
          </w:tcPr>
          <w:p w14:paraId="39752065" w14:textId="2A5AF8A1" w:rsidR="00EA13DB" w:rsidRPr="00CF3B64" w:rsidRDefault="00EA13DB" w:rsidP="0092520E">
            <w:r w:rsidRPr="00CF3B64">
              <w:t>P</w:t>
            </w:r>
            <w:r w:rsidR="00CE6870" w:rsidRPr="00CF3B64">
              <w:t>rincipal Investigators</w:t>
            </w:r>
          </w:p>
        </w:tc>
        <w:tc>
          <w:tcPr>
            <w:tcW w:w="1471" w:type="dxa"/>
            <w:tcBorders>
              <w:top w:val="single" w:sz="6" w:space="0" w:color="auto"/>
              <w:left w:val="single" w:sz="6" w:space="0" w:color="auto"/>
              <w:bottom w:val="single" w:sz="6" w:space="0" w:color="auto"/>
            </w:tcBorders>
          </w:tcPr>
          <w:p w14:paraId="5D68A7FE" w14:textId="3DBC2E51" w:rsidR="00EA13DB" w:rsidRPr="00CF3B64" w:rsidRDefault="00EA13DB" w:rsidP="002B1D41">
            <w:pPr>
              <w:jc w:val="center"/>
            </w:pPr>
            <w:r w:rsidRPr="00CF3B64">
              <w:t>1</w:t>
            </w:r>
            <w:r w:rsidR="002B1D41" w:rsidRPr="00CF3B64">
              <w:t>5</w:t>
            </w:r>
            <w:r w:rsidRPr="00CF3B64">
              <w:t>00</w:t>
            </w:r>
          </w:p>
        </w:tc>
        <w:tc>
          <w:tcPr>
            <w:tcW w:w="1578" w:type="dxa"/>
            <w:tcBorders>
              <w:top w:val="single" w:sz="6" w:space="0" w:color="auto"/>
              <w:left w:val="single" w:sz="6" w:space="0" w:color="auto"/>
              <w:bottom w:val="single" w:sz="6" w:space="0" w:color="auto"/>
            </w:tcBorders>
          </w:tcPr>
          <w:p w14:paraId="1301AB4B" w14:textId="4B8FC809" w:rsidR="00EA13DB" w:rsidRPr="00CF3B64" w:rsidRDefault="002B1D41" w:rsidP="0092520E">
            <w:pPr>
              <w:jc w:val="center"/>
            </w:pPr>
            <w:r w:rsidRPr="00CF3B64">
              <w:t>1</w:t>
            </w:r>
          </w:p>
        </w:tc>
        <w:tc>
          <w:tcPr>
            <w:tcW w:w="1315" w:type="dxa"/>
            <w:tcBorders>
              <w:top w:val="single" w:sz="6" w:space="0" w:color="auto"/>
              <w:left w:val="single" w:sz="6" w:space="0" w:color="auto"/>
              <w:bottom w:val="single" w:sz="6" w:space="0" w:color="auto"/>
            </w:tcBorders>
          </w:tcPr>
          <w:p w14:paraId="421524ED" w14:textId="7F010E5A" w:rsidR="00EA13DB" w:rsidRPr="00CF3B64" w:rsidRDefault="00CE6870" w:rsidP="0092520E">
            <w:pPr>
              <w:jc w:val="center"/>
            </w:pPr>
            <w:r w:rsidRPr="00CF3B64">
              <w:t>15</w:t>
            </w:r>
            <w:r w:rsidR="00EA13DB" w:rsidRPr="00CF3B64">
              <w:t>/60</w:t>
            </w:r>
          </w:p>
        </w:tc>
        <w:tc>
          <w:tcPr>
            <w:tcW w:w="1146" w:type="dxa"/>
            <w:tcBorders>
              <w:top w:val="single" w:sz="6" w:space="0" w:color="auto"/>
              <w:left w:val="single" w:sz="6" w:space="0" w:color="auto"/>
              <w:bottom w:val="single" w:sz="6" w:space="0" w:color="auto"/>
              <w:right w:val="single" w:sz="6" w:space="0" w:color="auto"/>
            </w:tcBorders>
          </w:tcPr>
          <w:p w14:paraId="40367948" w14:textId="77777777" w:rsidR="00EA13DB" w:rsidRPr="00CF3B64" w:rsidRDefault="00EA13DB" w:rsidP="0092520E">
            <w:pPr>
              <w:jc w:val="center"/>
            </w:pPr>
            <w:r w:rsidRPr="00CF3B64">
              <w:t>375</w:t>
            </w:r>
          </w:p>
        </w:tc>
      </w:tr>
      <w:tr w:rsidR="00FF73D2" w:rsidRPr="008942E9" w14:paraId="37B34699" w14:textId="77777777" w:rsidTr="00CE6870">
        <w:trPr>
          <w:cantSplit/>
          <w:trHeight w:val="372"/>
          <w:jc w:val="center"/>
        </w:trPr>
        <w:tc>
          <w:tcPr>
            <w:tcW w:w="1491" w:type="dxa"/>
            <w:tcBorders>
              <w:top w:val="single" w:sz="6" w:space="0" w:color="auto"/>
              <w:left w:val="single" w:sz="6" w:space="0" w:color="auto"/>
              <w:bottom w:val="single" w:sz="4" w:space="0" w:color="auto"/>
            </w:tcBorders>
          </w:tcPr>
          <w:p w14:paraId="72E1FB95" w14:textId="65A6AF1A" w:rsidR="00FF73D2" w:rsidRPr="00CF3B64" w:rsidRDefault="00FF73D2" w:rsidP="00FF73D2">
            <w:r w:rsidRPr="00CF3B64">
              <w:t>Totals</w:t>
            </w:r>
          </w:p>
        </w:tc>
        <w:tc>
          <w:tcPr>
            <w:tcW w:w="1561" w:type="dxa"/>
            <w:tcBorders>
              <w:top w:val="single" w:sz="6" w:space="0" w:color="auto"/>
              <w:left w:val="single" w:sz="6" w:space="0" w:color="auto"/>
              <w:bottom w:val="single" w:sz="4" w:space="0" w:color="auto"/>
            </w:tcBorders>
          </w:tcPr>
          <w:p w14:paraId="627D7CBC" w14:textId="77777777" w:rsidR="00FF73D2" w:rsidRPr="00CF3B64" w:rsidRDefault="00FF73D2" w:rsidP="00FF73D2"/>
        </w:tc>
        <w:tc>
          <w:tcPr>
            <w:tcW w:w="1471" w:type="dxa"/>
            <w:tcBorders>
              <w:top w:val="single" w:sz="6" w:space="0" w:color="auto"/>
              <w:left w:val="single" w:sz="6" w:space="0" w:color="auto"/>
              <w:bottom w:val="single" w:sz="4" w:space="0" w:color="auto"/>
            </w:tcBorders>
          </w:tcPr>
          <w:p w14:paraId="03273103" w14:textId="35EB6190" w:rsidR="00FF73D2" w:rsidRPr="00CF3B64" w:rsidRDefault="00FF73D2" w:rsidP="00FF73D2">
            <w:pPr>
              <w:jc w:val="center"/>
            </w:pPr>
            <w:r w:rsidRPr="00CF3B64">
              <w:t>1500</w:t>
            </w:r>
          </w:p>
        </w:tc>
        <w:tc>
          <w:tcPr>
            <w:tcW w:w="1578" w:type="dxa"/>
            <w:tcBorders>
              <w:top w:val="single" w:sz="6" w:space="0" w:color="auto"/>
              <w:left w:val="single" w:sz="6" w:space="0" w:color="auto"/>
              <w:bottom w:val="single" w:sz="4" w:space="0" w:color="auto"/>
            </w:tcBorders>
          </w:tcPr>
          <w:p w14:paraId="118FE51C" w14:textId="1F0C25D3" w:rsidR="00FF73D2" w:rsidRPr="00CF3B64" w:rsidRDefault="007D20FB" w:rsidP="00FF73D2">
            <w:pPr>
              <w:jc w:val="center"/>
            </w:pPr>
            <w:r w:rsidRPr="00CF3B64">
              <w:t>1500</w:t>
            </w:r>
          </w:p>
        </w:tc>
        <w:tc>
          <w:tcPr>
            <w:tcW w:w="1315" w:type="dxa"/>
            <w:tcBorders>
              <w:top w:val="single" w:sz="6" w:space="0" w:color="auto"/>
              <w:left w:val="single" w:sz="6" w:space="0" w:color="auto"/>
              <w:bottom w:val="single" w:sz="4" w:space="0" w:color="auto"/>
            </w:tcBorders>
          </w:tcPr>
          <w:p w14:paraId="58550C4F" w14:textId="3013DF01" w:rsidR="00FF73D2" w:rsidRPr="00CF3B64" w:rsidRDefault="00FF73D2" w:rsidP="00FF73D2">
            <w:pPr>
              <w:jc w:val="center"/>
            </w:pPr>
          </w:p>
        </w:tc>
        <w:tc>
          <w:tcPr>
            <w:tcW w:w="1146" w:type="dxa"/>
            <w:tcBorders>
              <w:top w:val="single" w:sz="6" w:space="0" w:color="auto"/>
              <w:left w:val="single" w:sz="6" w:space="0" w:color="auto"/>
              <w:bottom w:val="single" w:sz="4" w:space="0" w:color="auto"/>
              <w:right w:val="single" w:sz="6" w:space="0" w:color="auto"/>
            </w:tcBorders>
          </w:tcPr>
          <w:p w14:paraId="51C618D3" w14:textId="51B404DF" w:rsidR="00FF73D2" w:rsidRPr="00CF3B64" w:rsidRDefault="00FF73D2" w:rsidP="00FF73D2">
            <w:pPr>
              <w:jc w:val="center"/>
            </w:pPr>
            <w:r w:rsidRPr="00CF3B64">
              <w:t>375</w:t>
            </w:r>
          </w:p>
        </w:tc>
      </w:tr>
    </w:tbl>
    <w:p w14:paraId="5BB6BB98" w14:textId="77777777" w:rsidR="009810A0" w:rsidRDefault="009810A0" w:rsidP="00685B30"/>
    <w:p w14:paraId="0C47A92A" w14:textId="77777777" w:rsidR="009810A0" w:rsidRPr="00E35DD1" w:rsidRDefault="009810A0" w:rsidP="00685B30"/>
    <w:p w14:paraId="343155CC" w14:textId="77777777" w:rsidR="00EE245F" w:rsidRPr="008942E9" w:rsidRDefault="00EE245F" w:rsidP="00C4399C">
      <w:r w:rsidRPr="008942E9">
        <w:t>A.12-2</w:t>
      </w:r>
      <w:r w:rsidRPr="008942E9">
        <w:tab/>
      </w:r>
      <w:r w:rsidR="00BF491C" w:rsidRPr="008942E9">
        <w:t>Annual</w:t>
      </w:r>
      <w:r w:rsidR="009A69D6" w:rsidRPr="008942E9">
        <w:t>ized</w:t>
      </w:r>
      <w:r w:rsidR="00BF491C" w:rsidRPr="008942E9">
        <w:t xml:space="preserve"> Cost to respondent</w:t>
      </w:r>
      <w:r w:rsidR="009A69D6" w:rsidRPr="008942E9">
        <w:t>s</w:t>
      </w:r>
    </w:p>
    <w:p w14:paraId="63B54D05" w14:textId="77777777" w:rsidR="00EE245F" w:rsidRPr="002B1D41" w:rsidRDefault="00EE245F" w:rsidP="0086248B">
      <w:pPr>
        <w:spacing w:after="0" w:line="240" w:lineRule="auto"/>
        <w:rPr>
          <w:rFonts w:eastAsia="Times New Roman"/>
          <w:smallCaps/>
          <w:color w:val="FF0000"/>
        </w:rPr>
      </w:pPr>
    </w:p>
    <w:p w14:paraId="0F90C890" w14:textId="5136E84C" w:rsidR="009810A0" w:rsidRPr="00CF3B64" w:rsidRDefault="00CE6870" w:rsidP="00BF491C">
      <w:pPr>
        <w:rPr>
          <w:sz w:val="16"/>
        </w:rPr>
      </w:pPr>
      <w:r>
        <w:tab/>
        <w:t>The annualized cost to the respondents is</w:t>
      </w:r>
      <w:r w:rsidR="005F6D40">
        <w:t xml:space="preserve"> $14,047.50 total</w:t>
      </w:r>
      <w:r>
        <w:t xml:space="preserve">. The wage rate is </w:t>
      </w:r>
      <w:r w:rsidR="005F6D40">
        <w:t>$37.46 per hour.  Th</w:t>
      </w:r>
      <w:r>
        <w:t>is was obtained for the most recent Bu</w:t>
      </w:r>
      <w:r w:rsidR="005F6D40">
        <w:t>re</w:t>
      </w:r>
      <w:r>
        <w:t xml:space="preserve">au of Labor </w:t>
      </w:r>
      <w:r w:rsidR="005F6D40">
        <w:t>S</w:t>
      </w:r>
      <w:r>
        <w:t>tatistics</w:t>
      </w:r>
      <w:r w:rsidR="005F6D40">
        <w:t xml:space="preserve"> Occupational Employment Statistics, for 19-1029 Biological Scientists</w:t>
      </w:r>
      <w:r w:rsidR="007D20FB">
        <w:t xml:space="preserve"> found on the</w:t>
      </w:r>
      <w:r w:rsidR="007D20FB" w:rsidRPr="005F6D40">
        <w:rPr>
          <w:b/>
        </w:rPr>
        <w:t xml:space="preserve"> </w:t>
      </w:r>
      <w:r w:rsidR="007D20FB" w:rsidRPr="005F6D40">
        <w:t>Bureau of Labor Statistics</w:t>
      </w:r>
      <w:r w:rsidR="007D20FB" w:rsidRPr="005F6D40">
        <w:rPr>
          <w:b/>
        </w:rPr>
        <w:t xml:space="preserve"> </w:t>
      </w:r>
      <w:r w:rsidR="007D20FB" w:rsidRPr="005F6D40">
        <w:t>Occupational Employment and Wages, May 2014</w:t>
      </w:r>
      <w:r w:rsidR="007D20FB">
        <w:t xml:space="preserve">, </w:t>
      </w:r>
      <w:r w:rsidR="007D20FB" w:rsidRPr="005F6D40">
        <w:t>19-1029 Biological Scientists</w:t>
      </w:r>
      <w:r w:rsidR="007D20FB">
        <w:t xml:space="preserve"> website, </w:t>
      </w:r>
      <w:hyperlink r:id="rId10" w:history="1">
        <w:r w:rsidR="007D20FB" w:rsidRPr="005F6D40">
          <w:rPr>
            <w:rStyle w:val="Hyperlink"/>
            <w:rFonts w:asciiTheme="minorHAnsi" w:hAnsiTheme="minorHAnsi"/>
          </w:rPr>
          <w:t>http://www.bls.gov/oes/current/oes191029.htm</w:t>
        </w:r>
      </w:hyperlink>
      <w:r w:rsidR="007D20FB">
        <w:rPr>
          <w:rStyle w:val="Hyperlink"/>
          <w:rFonts w:asciiTheme="minorHAnsi" w:hAnsiTheme="minorHAnsi"/>
        </w:rPr>
        <w:t>.</w:t>
      </w:r>
    </w:p>
    <w:p w14:paraId="406AE48D" w14:textId="77777777" w:rsidR="009A69D6" w:rsidRDefault="009A69D6" w:rsidP="009A69D6">
      <w:pPr>
        <w:spacing w:after="20"/>
      </w:pPr>
      <w:r>
        <w:t xml:space="preserve">                                                </w:t>
      </w:r>
      <w:r w:rsidRPr="00EB77CC">
        <w:t xml:space="preserve">A.12-2 </w:t>
      </w:r>
      <w:r>
        <w:t>Annualized Cost to the Respondents</w:t>
      </w:r>
    </w:p>
    <w:p w14:paraId="5FCEBD74" w14:textId="77777777" w:rsidR="009A69D6" w:rsidRDefault="009A69D6" w:rsidP="009A69D6">
      <w:pPr>
        <w:spacing w:after="20"/>
      </w:pPr>
    </w:p>
    <w:tbl>
      <w:tblPr>
        <w:tblW w:w="5836" w:type="dxa"/>
        <w:jc w:val="center"/>
        <w:tblLayout w:type="fixed"/>
        <w:tblCellMar>
          <w:left w:w="100" w:type="dxa"/>
          <w:right w:w="100" w:type="dxa"/>
        </w:tblCellMar>
        <w:tblLook w:val="0000" w:firstRow="0" w:lastRow="0" w:firstColumn="0" w:lastColumn="0" w:noHBand="0" w:noVBand="0"/>
      </w:tblPr>
      <w:tblGrid>
        <w:gridCol w:w="1491"/>
        <w:gridCol w:w="1575"/>
        <w:gridCol w:w="1315"/>
        <w:gridCol w:w="1455"/>
      </w:tblGrid>
      <w:tr w:rsidR="007D20FB" w:rsidRPr="008942E9" w14:paraId="3D198AFF" w14:textId="77777777" w:rsidTr="00294867">
        <w:trPr>
          <w:cantSplit/>
          <w:trHeight w:val="372"/>
          <w:jc w:val="center"/>
        </w:trPr>
        <w:tc>
          <w:tcPr>
            <w:tcW w:w="1491" w:type="dxa"/>
            <w:tcBorders>
              <w:top w:val="single" w:sz="6" w:space="0" w:color="auto"/>
              <w:left w:val="single" w:sz="6" w:space="0" w:color="auto"/>
              <w:bottom w:val="single" w:sz="6" w:space="0" w:color="auto"/>
            </w:tcBorders>
          </w:tcPr>
          <w:p w14:paraId="1946E8E1" w14:textId="77777777" w:rsidR="007D20FB" w:rsidRPr="002F1480" w:rsidRDefault="007D20FB" w:rsidP="009667B2">
            <w:r w:rsidRPr="002F1480">
              <w:t xml:space="preserve">Type of Respondent  </w:t>
            </w:r>
          </w:p>
        </w:tc>
        <w:tc>
          <w:tcPr>
            <w:tcW w:w="1575" w:type="dxa"/>
            <w:tcBorders>
              <w:top w:val="single" w:sz="6" w:space="0" w:color="auto"/>
              <w:left w:val="single" w:sz="6" w:space="0" w:color="auto"/>
              <w:bottom w:val="single" w:sz="6" w:space="0" w:color="auto"/>
            </w:tcBorders>
          </w:tcPr>
          <w:p w14:paraId="46E1FBCE" w14:textId="62195EAC" w:rsidR="007D20FB" w:rsidRPr="002F1480" w:rsidRDefault="007D20FB" w:rsidP="009667B2">
            <w:r w:rsidRPr="002F1480">
              <w:t>Total Burden hour</w:t>
            </w:r>
          </w:p>
        </w:tc>
        <w:tc>
          <w:tcPr>
            <w:tcW w:w="1315" w:type="dxa"/>
            <w:tcBorders>
              <w:top w:val="single" w:sz="6" w:space="0" w:color="auto"/>
              <w:left w:val="single" w:sz="6" w:space="0" w:color="auto"/>
              <w:bottom w:val="single" w:sz="6" w:space="0" w:color="auto"/>
            </w:tcBorders>
          </w:tcPr>
          <w:p w14:paraId="6685DC82" w14:textId="77777777" w:rsidR="007D20FB" w:rsidRPr="002F1480" w:rsidRDefault="007D20FB" w:rsidP="009667B2">
            <w:r w:rsidRPr="002F1480">
              <w:t xml:space="preserve"> Hourly Wage Rate*</w:t>
            </w:r>
          </w:p>
        </w:tc>
        <w:tc>
          <w:tcPr>
            <w:tcW w:w="1455" w:type="dxa"/>
            <w:tcBorders>
              <w:top w:val="single" w:sz="6" w:space="0" w:color="auto"/>
              <w:left w:val="single" w:sz="6" w:space="0" w:color="auto"/>
              <w:bottom w:val="single" w:sz="6" w:space="0" w:color="auto"/>
              <w:right w:val="single" w:sz="6" w:space="0" w:color="auto"/>
            </w:tcBorders>
          </w:tcPr>
          <w:p w14:paraId="38695CCA" w14:textId="77777777" w:rsidR="007D20FB" w:rsidRPr="002F1480" w:rsidRDefault="007D20FB" w:rsidP="009667B2">
            <w:r w:rsidRPr="002F1480">
              <w:t>Respondent Cost</w:t>
            </w:r>
          </w:p>
        </w:tc>
      </w:tr>
      <w:tr w:rsidR="007D20FB" w:rsidRPr="008942E9" w14:paraId="33CEB05A" w14:textId="77777777" w:rsidTr="00294867">
        <w:trPr>
          <w:cantSplit/>
          <w:trHeight w:val="372"/>
          <w:jc w:val="center"/>
        </w:trPr>
        <w:tc>
          <w:tcPr>
            <w:tcW w:w="1491" w:type="dxa"/>
            <w:tcBorders>
              <w:top w:val="single" w:sz="6" w:space="0" w:color="auto"/>
              <w:left w:val="single" w:sz="6" w:space="0" w:color="auto"/>
              <w:bottom w:val="single" w:sz="4" w:space="0" w:color="auto"/>
            </w:tcBorders>
          </w:tcPr>
          <w:p w14:paraId="17F63BC5" w14:textId="7CC60B36" w:rsidR="007D20FB" w:rsidRPr="002F1480" w:rsidRDefault="007D20FB" w:rsidP="009667B2">
            <w:r w:rsidRPr="002F1480">
              <w:t>Principal Scientists</w:t>
            </w:r>
          </w:p>
        </w:tc>
        <w:tc>
          <w:tcPr>
            <w:tcW w:w="1575" w:type="dxa"/>
            <w:tcBorders>
              <w:top w:val="single" w:sz="6" w:space="0" w:color="auto"/>
              <w:left w:val="single" w:sz="6" w:space="0" w:color="auto"/>
              <w:bottom w:val="single" w:sz="4" w:space="0" w:color="auto"/>
            </w:tcBorders>
          </w:tcPr>
          <w:p w14:paraId="5E878B1B" w14:textId="0251D8E9" w:rsidR="007D20FB" w:rsidRPr="002F1480" w:rsidRDefault="007D20FB" w:rsidP="009667B2">
            <w:pPr>
              <w:jc w:val="center"/>
            </w:pPr>
            <w:r w:rsidRPr="002F1480">
              <w:t>375</w:t>
            </w:r>
          </w:p>
        </w:tc>
        <w:tc>
          <w:tcPr>
            <w:tcW w:w="1315" w:type="dxa"/>
            <w:tcBorders>
              <w:top w:val="single" w:sz="6" w:space="0" w:color="auto"/>
              <w:left w:val="single" w:sz="6" w:space="0" w:color="auto"/>
              <w:bottom w:val="single" w:sz="4" w:space="0" w:color="auto"/>
            </w:tcBorders>
          </w:tcPr>
          <w:p w14:paraId="10F06121" w14:textId="04C6E75D" w:rsidR="007D20FB" w:rsidRPr="002F1480" w:rsidRDefault="007D20FB" w:rsidP="00FF73D2">
            <w:pPr>
              <w:jc w:val="center"/>
            </w:pPr>
            <w:r w:rsidRPr="002F1480">
              <w:t>$37.46</w:t>
            </w:r>
          </w:p>
        </w:tc>
        <w:tc>
          <w:tcPr>
            <w:tcW w:w="1455" w:type="dxa"/>
            <w:tcBorders>
              <w:top w:val="single" w:sz="6" w:space="0" w:color="auto"/>
              <w:left w:val="single" w:sz="6" w:space="0" w:color="auto"/>
              <w:bottom w:val="single" w:sz="4" w:space="0" w:color="auto"/>
              <w:right w:val="single" w:sz="6" w:space="0" w:color="auto"/>
            </w:tcBorders>
          </w:tcPr>
          <w:p w14:paraId="70CAEC0D" w14:textId="5DA67D1A" w:rsidR="007D20FB" w:rsidRPr="002F1480" w:rsidRDefault="007D20FB" w:rsidP="005F6D40">
            <w:r w:rsidRPr="002F1480">
              <w:t xml:space="preserve">  $14,047.50</w:t>
            </w:r>
          </w:p>
        </w:tc>
      </w:tr>
      <w:tr w:rsidR="007D20FB" w:rsidRPr="008942E9" w14:paraId="325CE6B4" w14:textId="77777777" w:rsidTr="004403D7">
        <w:trPr>
          <w:cantSplit/>
          <w:trHeight w:val="372"/>
          <w:jc w:val="center"/>
        </w:trPr>
        <w:tc>
          <w:tcPr>
            <w:tcW w:w="4381" w:type="dxa"/>
            <w:gridSpan w:val="3"/>
            <w:tcBorders>
              <w:top w:val="single" w:sz="6" w:space="0" w:color="auto"/>
              <w:left w:val="single" w:sz="6" w:space="0" w:color="auto"/>
              <w:bottom w:val="single" w:sz="4" w:space="0" w:color="auto"/>
            </w:tcBorders>
          </w:tcPr>
          <w:p w14:paraId="11C9D785" w14:textId="6E1FD54C" w:rsidR="007D20FB" w:rsidRPr="002F1480" w:rsidRDefault="007D20FB" w:rsidP="002F1480">
            <w:r w:rsidRPr="002F1480">
              <w:t>Total</w:t>
            </w:r>
          </w:p>
        </w:tc>
        <w:tc>
          <w:tcPr>
            <w:tcW w:w="1455" w:type="dxa"/>
            <w:tcBorders>
              <w:top w:val="single" w:sz="6" w:space="0" w:color="auto"/>
              <w:left w:val="single" w:sz="6" w:space="0" w:color="auto"/>
              <w:bottom w:val="single" w:sz="4" w:space="0" w:color="auto"/>
              <w:right w:val="single" w:sz="6" w:space="0" w:color="auto"/>
            </w:tcBorders>
          </w:tcPr>
          <w:p w14:paraId="075DBE5F" w14:textId="08AA3EAB" w:rsidR="007D20FB" w:rsidRPr="002F1480" w:rsidRDefault="007D20FB" w:rsidP="005F6D40">
            <w:r w:rsidRPr="002F1480">
              <w:t xml:space="preserve">  $14,047.50</w:t>
            </w:r>
          </w:p>
        </w:tc>
      </w:tr>
    </w:tbl>
    <w:p w14:paraId="127D5EC3" w14:textId="77777777" w:rsidR="00C4399C" w:rsidRDefault="00C4399C" w:rsidP="00C4399C"/>
    <w:p w14:paraId="7E702E2D" w14:textId="43814F87" w:rsidR="00FF72FC" w:rsidRPr="00E35DD1" w:rsidRDefault="00FF72FC" w:rsidP="00C4399C">
      <w:pPr>
        <w:pStyle w:val="Heading2"/>
      </w:pPr>
      <w:bookmarkStart w:id="37" w:name="_Toc439761722"/>
      <w:r w:rsidRPr="00E35DD1">
        <w:t>A.13</w:t>
      </w:r>
      <w:r w:rsidR="00C4399C">
        <w:tab/>
      </w:r>
      <w:r w:rsidRPr="00E35DD1">
        <w:tab/>
        <w:t>Estimate of Other Total Annual Cost Burden to Respondents or Record Keepers</w:t>
      </w:r>
      <w:bookmarkEnd w:id="37"/>
    </w:p>
    <w:p w14:paraId="699A9AFA" w14:textId="68631C3D" w:rsidR="00864773" w:rsidRPr="00864773" w:rsidRDefault="008501D6" w:rsidP="00FF72FC">
      <w:r>
        <w:t xml:space="preserve">Cost to respondents of this survey is solely their time to respond to the questions.  There are no capital or start-up components, no maintenance or services, and no record keeping required.  </w:t>
      </w:r>
    </w:p>
    <w:p w14:paraId="4D52CA4A" w14:textId="77777777" w:rsidR="00FF72FC" w:rsidRPr="008942E9" w:rsidRDefault="00FF72FC" w:rsidP="00FF72FC">
      <w:pPr>
        <w:pStyle w:val="Heading2"/>
        <w:tabs>
          <w:tab w:val="clear" w:pos="1152"/>
          <w:tab w:val="left" w:pos="720"/>
        </w:tabs>
        <w:spacing w:after="0" w:line="480" w:lineRule="auto"/>
        <w:ind w:left="0" w:firstLine="0"/>
        <w:rPr>
          <w:rFonts w:ascii="Calibri" w:hAnsi="Calibri"/>
          <w:szCs w:val="22"/>
        </w:rPr>
      </w:pPr>
      <w:bookmarkStart w:id="38" w:name="_Toc439761723"/>
      <w:r w:rsidRPr="008942E9">
        <w:rPr>
          <w:rFonts w:ascii="Calibri" w:hAnsi="Calibri"/>
          <w:szCs w:val="22"/>
        </w:rPr>
        <w:t>A.14</w:t>
      </w:r>
      <w:r w:rsidRPr="008942E9">
        <w:rPr>
          <w:rFonts w:ascii="Calibri" w:hAnsi="Calibri"/>
          <w:szCs w:val="22"/>
        </w:rPr>
        <w:tab/>
        <w:t>Annualized Cost to the Federal Government</w:t>
      </w:r>
      <w:bookmarkEnd w:id="38"/>
      <w:r w:rsidRPr="008942E9">
        <w:rPr>
          <w:rFonts w:ascii="Calibri" w:hAnsi="Calibri"/>
          <w:szCs w:val="22"/>
        </w:rPr>
        <w:t xml:space="preserve">  </w:t>
      </w:r>
    </w:p>
    <w:p w14:paraId="28833699" w14:textId="6117E3A2" w:rsidR="00D233BF" w:rsidRPr="00864773" w:rsidRDefault="00CE6870" w:rsidP="00FF72FC">
      <w:r>
        <w:tab/>
        <w:t>The annualized cost to the federal government is $</w:t>
      </w:r>
      <w:r w:rsidR="005F6D40">
        <w:t>21,557.65</w:t>
      </w:r>
      <w:r>
        <w:t>. The federal personnel will engage in</w:t>
      </w:r>
      <w:r w:rsidR="005F6D40">
        <w:t xml:space="preserve"> review of the results. </w:t>
      </w:r>
      <w:r>
        <w:t xml:space="preserve"> The contractor tasks are</w:t>
      </w:r>
      <w:r w:rsidR="005F6D40">
        <w:t xml:space="preserve"> to track and compile results as they are collected, and to provide reports to the NIH Project Oversight Officer.</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7"/>
        <w:gridCol w:w="1530"/>
        <w:gridCol w:w="1080"/>
        <w:gridCol w:w="1890"/>
      </w:tblGrid>
      <w:tr w:rsidR="003B21EF" w:rsidRPr="00294867" w14:paraId="15590AA9" w14:textId="77777777" w:rsidTr="00294867">
        <w:tc>
          <w:tcPr>
            <w:tcW w:w="3877" w:type="dxa"/>
            <w:tcBorders>
              <w:top w:val="single" w:sz="4" w:space="0" w:color="auto"/>
              <w:left w:val="single" w:sz="4" w:space="0" w:color="auto"/>
              <w:bottom w:val="single" w:sz="4" w:space="0" w:color="auto"/>
              <w:right w:val="single" w:sz="4" w:space="0" w:color="auto"/>
            </w:tcBorders>
            <w:shd w:val="clear" w:color="auto" w:fill="auto"/>
          </w:tcPr>
          <w:p w14:paraId="55207E0C" w14:textId="20B8236B" w:rsidR="003B21EF" w:rsidRPr="00294867" w:rsidRDefault="005F6D40" w:rsidP="00952C43">
            <w:pPr>
              <w:spacing w:after="0" w:line="240" w:lineRule="auto"/>
              <w:jc w:val="center"/>
              <w:rPr>
                <w:rFonts w:asciiTheme="minorHAnsi" w:hAnsiTheme="minorHAnsi"/>
              </w:rPr>
            </w:pPr>
            <w:r w:rsidRPr="00294867">
              <w:rPr>
                <w:rFonts w:asciiTheme="minorHAnsi" w:eastAsia="Times New Roman" w:hAnsiTheme="minorHAnsi" w:cs="Arial"/>
              </w:rPr>
              <w:t>Annualized Cost to Federal Government</w:t>
            </w:r>
            <w:r w:rsidR="00294867">
              <w:rPr>
                <w:rFonts w:asciiTheme="minorHAnsi" w:eastAsia="Times New Roman" w:hAnsiTheme="minorHAnsi" w:cs="Arial"/>
              </w:rPr>
              <w:br/>
            </w:r>
            <w:r w:rsidR="003B21EF" w:rsidRPr="00294867">
              <w:rPr>
                <w:rFonts w:asciiTheme="minorHAnsi" w:eastAsia="Times New Roman" w:hAnsiTheme="minorHAnsi"/>
              </w:rPr>
              <w:t>Item</w:t>
            </w:r>
          </w:p>
          <w:p w14:paraId="5A907018" w14:textId="77777777" w:rsidR="003B21EF" w:rsidRPr="00294867" w:rsidRDefault="003B21EF" w:rsidP="00952C43">
            <w:pPr>
              <w:spacing w:after="0" w:line="240" w:lineRule="auto"/>
              <w:jc w:val="center"/>
              <w:rPr>
                <w:rFonts w:asciiTheme="minorHAnsi" w:eastAsia="Times New Roman" w:hAnsiTheme="minorHAnsi"/>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2292B79" w14:textId="77777777" w:rsidR="003B21EF" w:rsidRPr="00294867" w:rsidRDefault="003B21EF" w:rsidP="00952C43">
            <w:pPr>
              <w:spacing w:after="0" w:line="240" w:lineRule="auto"/>
              <w:jc w:val="both"/>
              <w:rPr>
                <w:rFonts w:asciiTheme="minorHAnsi" w:eastAsia="Times New Roman" w:hAnsiTheme="minorHAnsi" w:cs="Arial"/>
              </w:rPr>
            </w:pPr>
          </w:p>
          <w:p w14:paraId="3075AA3C" w14:textId="77777777" w:rsidR="003B21EF" w:rsidRPr="00294867" w:rsidRDefault="003B21EF" w:rsidP="00294867">
            <w:pPr>
              <w:spacing w:after="0" w:line="240" w:lineRule="auto"/>
              <w:jc w:val="center"/>
              <w:rPr>
                <w:rFonts w:asciiTheme="minorHAnsi" w:eastAsia="Times New Roman" w:hAnsiTheme="minorHAnsi" w:cs="Arial"/>
              </w:rPr>
            </w:pPr>
            <w:r w:rsidRPr="00294867">
              <w:rPr>
                <w:rFonts w:asciiTheme="minorHAnsi" w:eastAsia="Times New Roman" w:hAnsiTheme="minorHAnsi" w:cs="Arial"/>
              </w:rPr>
              <w:t>Salary</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53B953E" w14:textId="77777777" w:rsidR="003B21EF" w:rsidRPr="00294867" w:rsidRDefault="003B21EF" w:rsidP="00952C43">
            <w:pPr>
              <w:spacing w:after="0" w:line="240" w:lineRule="auto"/>
              <w:jc w:val="both"/>
              <w:rPr>
                <w:rFonts w:asciiTheme="minorHAnsi" w:eastAsia="Times New Roman" w:hAnsiTheme="minorHAnsi" w:cs="Arial"/>
              </w:rPr>
            </w:pPr>
          </w:p>
          <w:p w14:paraId="39D96189" w14:textId="77777777" w:rsidR="003B21EF" w:rsidRPr="00294867" w:rsidRDefault="003B21EF" w:rsidP="00952C43">
            <w:pPr>
              <w:spacing w:after="0" w:line="240" w:lineRule="auto"/>
              <w:jc w:val="both"/>
              <w:rPr>
                <w:rFonts w:asciiTheme="minorHAnsi" w:eastAsia="Times New Roman" w:hAnsiTheme="minorHAnsi" w:cs="Arial"/>
              </w:rPr>
            </w:pPr>
            <w:r w:rsidRPr="00294867">
              <w:rPr>
                <w:rFonts w:asciiTheme="minorHAnsi" w:eastAsia="Times New Roman" w:hAnsiTheme="minorHAnsi" w:cs="Arial"/>
              </w:rPr>
              <w:t>% Effort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37FA1D4" w14:textId="77777777" w:rsidR="003B21EF" w:rsidRPr="00294867" w:rsidRDefault="003B21EF" w:rsidP="00952C43">
            <w:pPr>
              <w:spacing w:after="0" w:line="240" w:lineRule="auto"/>
              <w:jc w:val="both"/>
              <w:rPr>
                <w:rFonts w:asciiTheme="minorHAnsi" w:eastAsia="Times New Roman" w:hAnsiTheme="minorHAnsi" w:cs="Arial"/>
              </w:rPr>
            </w:pPr>
          </w:p>
          <w:p w14:paraId="327032C9" w14:textId="77777777" w:rsidR="003B21EF" w:rsidRPr="00294867" w:rsidRDefault="003B21EF" w:rsidP="00294867">
            <w:pPr>
              <w:spacing w:after="0" w:line="240" w:lineRule="auto"/>
              <w:jc w:val="center"/>
              <w:rPr>
                <w:rFonts w:asciiTheme="minorHAnsi" w:eastAsia="Times New Roman" w:hAnsiTheme="minorHAnsi"/>
              </w:rPr>
            </w:pPr>
            <w:r w:rsidRPr="00294867">
              <w:rPr>
                <w:rFonts w:asciiTheme="minorHAnsi" w:eastAsia="Times New Roman" w:hAnsiTheme="minorHAnsi"/>
              </w:rPr>
              <w:t>Annualized Cost</w:t>
            </w:r>
          </w:p>
        </w:tc>
      </w:tr>
      <w:tr w:rsidR="003B21EF" w:rsidRPr="00294867" w14:paraId="4EF7BDEA" w14:textId="77777777" w:rsidTr="00294867">
        <w:trPr>
          <w:trHeight w:val="341"/>
        </w:trPr>
        <w:tc>
          <w:tcPr>
            <w:tcW w:w="3877" w:type="dxa"/>
            <w:tcBorders>
              <w:top w:val="single" w:sz="4" w:space="0" w:color="auto"/>
              <w:left w:val="single" w:sz="4" w:space="0" w:color="auto"/>
              <w:bottom w:val="single" w:sz="4" w:space="0" w:color="auto"/>
              <w:right w:val="single" w:sz="4" w:space="0" w:color="auto"/>
            </w:tcBorders>
            <w:shd w:val="clear" w:color="auto" w:fill="auto"/>
          </w:tcPr>
          <w:p w14:paraId="13FAAD5E" w14:textId="77777777" w:rsidR="003B21EF" w:rsidRPr="00294867" w:rsidRDefault="003B21EF" w:rsidP="00952C43">
            <w:pPr>
              <w:spacing w:after="0" w:line="240" w:lineRule="auto"/>
              <w:rPr>
                <w:rFonts w:asciiTheme="minorHAnsi" w:eastAsia="Times New Roman" w:hAnsiTheme="minorHAnsi"/>
              </w:rPr>
            </w:pPr>
            <w:r w:rsidRPr="00294867">
              <w:rPr>
                <w:rFonts w:asciiTheme="minorHAnsi" w:eastAsia="Times New Roman" w:hAnsiTheme="minorHAnsi"/>
              </w:rPr>
              <w:t>NIH Project Oversight Officer - GS15-10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2D9BCED" w14:textId="0A27FC16" w:rsidR="003B21EF" w:rsidRPr="00294867" w:rsidRDefault="003B21EF" w:rsidP="00952C43">
            <w:pPr>
              <w:spacing w:after="0" w:line="240" w:lineRule="auto"/>
              <w:jc w:val="right"/>
              <w:rPr>
                <w:rFonts w:asciiTheme="minorHAnsi" w:eastAsia="Times New Roman" w:hAnsiTheme="minorHAnsi"/>
              </w:rPr>
            </w:pPr>
            <w:r w:rsidRPr="00294867">
              <w:rPr>
                <w:rFonts w:asciiTheme="minorHAnsi" w:eastAsia="Times New Roman" w:hAnsiTheme="minorHAnsi"/>
              </w:rPr>
              <w:t>$158,700.00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7B08C1E" w14:textId="5585062A" w:rsidR="003B21EF" w:rsidRPr="00294867" w:rsidRDefault="003B21EF" w:rsidP="003B21EF">
            <w:pPr>
              <w:spacing w:after="0" w:line="240" w:lineRule="auto"/>
              <w:jc w:val="center"/>
              <w:rPr>
                <w:rFonts w:asciiTheme="minorHAnsi" w:eastAsia="Times New Roman" w:hAnsiTheme="minorHAnsi"/>
              </w:rPr>
            </w:pPr>
            <w:r w:rsidRPr="00294867">
              <w:rPr>
                <w:rFonts w:asciiTheme="minorHAnsi" w:eastAsia="Times New Roman" w:hAnsiTheme="minorHAnsi"/>
              </w:rPr>
              <w:t>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AFC5FE5" w14:textId="54A91F6F" w:rsidR="003B21EF" w:rsidRPr="00294867" w:rsidRDefault="003B21EF" w:rsidP="00952C43">
            <w:pPr>
              <w:spacing w:after="0" w:line="240" w:lineRule="auto"/>
              <w:jc w:val="right"/>
              <w:rPr>
                <w:rFonts w:asciiTheme="minorHAnsi" w:eastAsia="Times New Roman" w:hAnsiTheme="minorHAnsi"/>
              </w:rPr>
            </w:pPr>
            <w:r w:rsidRPr="00294867">
              <w:rPr>
                <w:rFonts w:asciiTheme="minorHAnsi" w:eastAsia="Times New Roman" w:hAnsiTheme="minorHAnsi"/>
              </w:rPr>
              <w:t>$1,587</w:t>
            </w:r>
            <w:r w:rsidR="00AE544E" w:rsidRPr="00294867">
              <w:rPr>
                <w:rFonts w:asciiTheme="minorHAnsi" w:eastAsia="Times New Roman" w:hAnsiTheme="minorHAnsi"/>
              </w:rPr>
              <w:t>.00</w:t>
            </w:r>
          </w:p>
        </w:tc>
      </w:tr>
      <w:tr w:rsidR="003B21EF" w:rsidRPr="00294867" w14:paraId="56C387A4" w14:textId="77777777" w:rsidTr="00294867">
        <w:trPr>
          <w:trHeight w:val="341"/>
        </w:trPr>
        <w:tc>
          <w:tcPr>
            <w:tcW w:w="3877" w:type="dxa"/>
            <w:tcBorders>
              <w:top w:val="single" w:sz="4" w:space="0" w:color="auto"/>
              <w:left w:val="single" w:sz="4" w:space="0" w:color="auto"/>
              <w:bottom w:val="single" w:sz="4" w:space="0" w:color="auto"/>
              <w:right w:val="single" w:sz="4" w:space="0" w:color="auto"/>
            </w:tcBorders>
            <w:shd w:val="clear" w:color="auto" w:fill="auto"/>
            <w:hideMark/>
          </w:tcPr>
          <w:p w14:paraId="113D9F2A" w14:textId="163998F4" w:rsidR="003B21EF" w:rsidRPr="00294867" w:rsidRDefault="00AE544E" w:rsidP="00952C43">
            <w:pPr>
              <w:spacing w:after="0" w:line="240" w:lineRule="auto"/>
              <w:rPr>
                <w:rFonts w:asciiTheme="minorHAnsi" w:eastAsia="Times New Roman" w:hAnsiTheme="minorHAnsi" w:cs="Arial"/>
              </w:rPr>
            </w:pPr>
            <w:r w:rsidRPr="00294867">
              <w:rPr>
                <w:rFonts w:asciiTheme="minorHAnsi" w:eastAsia="Times New Roman" w:hAnsiTheme="minorHAnsi"/>
              </w:rPr>
              <w:t>One (1)</w:t>
            </w:r>
            <w:r w:rsidR="003B21EF" w:rsidRPr="00294867">
              <w:rPr>
                <w:rFonts w:asciiTheme="minorHAnsi" w:eastAsia="Times New Roman" w:hAnsiTheme="minorHAnsi"/>
              </w:rPr>
              <w:t xml:space="preserve"> in-house contractor staff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40FC9FB" w14:textId="78F20188" w:rsidR="003B21EF" w:rsidRPr="00294867" w:rsidRDefault="003B21EF" w:rsidP="00952C43">
            <w:pPr>
              <w:spacing w:after="0" w:line="240" w:lineRule="auto"/>
              <w:jc w:val="right"/>
              <w:rPr>
                <w:rFonts w:asciiTheme="minorHAnsi" w:eastAsia="Times New Roman" w:hAnsiTheme="minorHAnsi"/>
              </w:rPr>
            </w:pPr>
            <w:r w:rsidRPr="00294867">
              <w:rPr>
                <w:rFonts w:asciiTheme="minorHAnsi" w:eastAsia="Times New Roman" w:hAnsiTheme="minorHAnsi"/>
              </w:rPr>
              <w:t>$333,177.60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C0F575" w14:textId="115B378F" w:rsidR="003B21EF" w:rsidRPr="00294867" w:rsidRDefault="003B21EF" w:rsidP="00952C43">
            <w:pPr>
              <w:spacing w:after="0" w:line="240" w:lineRule="auto"/>
              <w:jc w:val="center"/>
              <w:rPr>
                <w:rFonts w:asciiTheme="minorHAnsi" w:eastAsia="Times New Roman" w:hAnsiTheme="minorHAnsi"/>
              </w:rPr>
            </w:pPr>
            <w:r w:rsidRPr="00294867">
              <w:rPr>
                <w:rFonts w:asciiTheme="minorHAnsi" w:eastAsia="Times New Roman" w:hAnsiTheme="minorHAnsi"/>
              </w:rPr>
              <w:t>6%</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2955AA7" w14:textId="3AFE87B9" w:rsidR="003B21EF" w:rsidRPr="00294867" w:rsidRDefault="003B21EF" w:rsidP="00952C43">
            <w:pPr>
              <w:spacing w:after="0" w:line="240" w:lineRule="auto"/>
              <w:jc w:val="right"/>
              <w:rPr>
                <w:rFonts w:asciiTheme="minorHAnsi" w:eastAsia="Times New Roman" w:hAnsiTheme="minorHAnsi" w:cs="Arial"/>
              </w:rPr>
            </w:pPr>
            <w:r w:rsidRPr="00294867">
              <w:rPr>
                <w:rFonts w:asciiTheme="minorHAnsi" w:eastAsia="Times New Roman" w:hAnsiTheme="minorHAnsi"/>
              </w:rPr>
              <w:t>$19,990.65</w:t>
            </w:r>
          </w:p>
        </w:tc>
      </w:tr>
      <w:tr w:rsidR="003B21EF" w:rsidRPr="00294867" w14:paraId="61B3A25C" w14:textId="77777777" w:rsidTr="00294867">
        <w:tc>
          <w:tcPr>
            <w:tcW w:w="3877" w:type="dxa"/>
            <w:tcBorders>
              <w:top w:val="single" w:sz="4" w:space="0" w:color="auto"/>
              <w:left w:val="single" w:sz="4" w:space="0" w:color="auto"/>
              <w:bottom w:val="single" w:sz="4" w:space="0" w:color="auto"/>
              <w:right w:val="single" w:sz="4" w:space="0" w:color="auto"/>
            </w:tcBorders>
            <w:shd w:val="clear" w:color="auto" w:fill="auto"/>
            <w:hideMark/>
          </w:tcPr>
          <w:p w14:paraId="7B01D507" w14:textId="77777777" w:rsidR="003B21EF" w:rsidRPr="00294867" w:rsidRDefault="003B21EF" w:rsidP="00952C43">
            <w:pPr>
              <w:spacing w:after="0" w:line="240" w:lineRule="auto"/>
              <w:rPr>
                <w:rFonts w:asciiTheme="minorHAnsi" w:eastAsia="Times New Roman" w:hAnsiTheme="minorHAnsi"/>
              </w:rPr>
            </w:pPr>
            <w:r w:rsidRPr="00294867">
              <w:rPr>
                <w:rFonts w:asciiTheme="minorHAnsi" w:eastAsia="Times New Roman" w:hAnsiTheme="minorHAnsi"/>
              </w:rPr>
              <w:t>Other costs, non-labor</w:t>
            </w:r>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14:paraId="60A2D433" w14:textId="3E2FF7DE" w:rsidR="003B21EF" w:rsidRPr="00294867" w:rsidRDefault="003B21EF" w:rsidP="00952C43">
            <w:pPr>
              <w:spacing w:after="0" w:line="240" w:lineRule="auto"/>
              <w:jc w:val="right"/>
              <w:rPr>
                <w:rFonts w:asciiTheme="minorHAnsi" w:eastAsia="Times New Roman" w:hAnsiTheme="minorHAnsi"/>
              </w:rPr>
            </w:pPr>
            <w:r w:rsidRPr="00294867">
              <w:rPr>
                <w:rFonts w:asciiTheme="minorHAnsi" w:eastAsia="Times New Roman" w:hAnsiTheme="minorHAnsi"/>
              </w:rPr>
              <w:t>0</w:t>
            </w:r>
          </w:p>
        </w:tc>
      </w:tr>
      <w:tr w:rsidR="003B21EF" w:rsidRPr="00294867" w14:paraId="765CCA00" w14:textId="77777777" w:rsidTr="00294867">
        <w:tc>
          <w:tcPr>
            <w:tcW w:w="3877" w:type="dxa"/>
            <w:tcBorders>
              <w:top w:val="single" w:sz="4" w:space="0" w:color="auto"/>
              <w:left w:val="single" w:sz="4" w:space="0" w:color="auto"/>
              <w:bottom w:val="single" w:sz="4" w:space="0" w:color="auto"/>
              <w:right w:val="single" w:sz="4" w:space="0" w:color="auto"/>
            </w:tcBorders>
            <w:shd w:val="clear" w:color="auto" w:fill="auto"/>
          </w:tcPr>
          <w:p w14:paraId="43688A99" w14:textId="77777777" w:rsidR="003B21EF" w:rsidRPr="00294867" w:rsidRDefault="003B21EF" w:rsidP="00952C43">
            <w:pPr>
              <w:spacing w:after="0" w:line="240" w:lineRule="auto"/>
              <w:jc w:val="highKashida"/>
              <w:rPr>
                <w:rFonts w:asciiTheme="minorHAnsi" w:eastAsia="Times New Roman" w:hAnsiTheme="minorHAnsi"/>
              </w:rPr>
            </w:pPr>
            <w:r w:rsidRPr="00294867">
              <w:rPr>
                <w:rFonts w:asciiTheme="minorHAnsi" w:eastAsia="Times New Roman" w:hAnsiTheme="minorHAnsi"/>
              </w:rPr>
              <w:t>Total</w:t>
            </w:r>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14:paraId="584BFE04" w14:textId="491C0ACE" w:rsidR="003B21EF" w:rsidRPr="00294867" w:rsidRDefault="003B21EF" w:rsidP="00952C43">
            <w:pPr>
              <w:spacing w:after="0" w:line="240" w:lineRule="auto"/>
              <w:jc w:val="right"/>
              <w:rPr>
                <w:rFonts w:asciiTheme="minorHAnsi" w:eastAsia="Times New Roman" w:hAnsiTheme="minorHAnsi"/>
              </w:rPr>
            </w:pPr>
            <w:r w:rsidRPr="00294867">
              <w:rPr>
                <w:rFonts w:asciiTheme="minorHAnsi" w:eastAsia="Times New Roman" w:hAnsiTheme="minorHAnsi"/>
              </w:rPr>
              <w:t>$21,577.65</w:t>
            </w:r>
          </w:p>
        </w:tc>
      </w:tr>
    </w:tbl>
    <w:p w14:paraId="4CD24307" w14:textId="77777777" w:rsidR="00D233BF" w:rsidRPr="00294867" w:rsidRDefault="00D233BF" w:rsidP="00FF72FC">
      <w:pPr>
        <w:rPr>
          <w:rFonts w:asciiTheme="minorHAnsi" w:hAnsiTheme="minorHAnsi"/>
        </w:rPr>
      </w:pPr>
    </w:p>
    <w:p w14:paraId="39624D44" w14:textId="3DAA2604" w:rsidR="00FF72FC" w:rsidRPr="00E35DD1" w:rsidRDefault="00FF72FC" w:rsidP="00C4399C">
      <w:pPr>
        <w:pStyle w:val="Heading2"/>
        <w:tabs>
          <w:tab w:val="clear" w:pos="1152"/>
        </w:tabs>
      </w:pPr>
      <w:bookmarkStart w:id="39" w:name="_Toc439761724"/>
      <w:r w:rsidRPr="00E35DD1">
        <w:t>A.15</w:t>
      </w:r>
      <w:r w:rsidRPr="00E35DD1">
        <w:tab/>
      </w:r>
      <w:r w:rsidR="00C4399C">
        <w:tab/>
      </w:r>
      <w:r w:rsidRPr="00E35DD1">
        <w:t>Explanation for Program Changes or Adjustments</w:t>
      </w:r>
      <w:bookmarkEnd w:id="39"/>
    </w:p>
    <w:p w14:paraId="31AE28E6" w14:textId="4F38274C" w:rsidR="00F52557" w:rsidRPr="00864773" w:rsidRDefault="00864773" w:rsidP="0073613E">
      <w:bookmarkStart w:id="40" w:name="_Toc443881759"/>
      <w:bookmarkStart w:id="41" w:name="_Toc451592246"/>
      <w:bookmarkStart w:id="42" w:name="_Toc5610287"/>
      <w:bookmarkStart w:id="43" w:name="_Toc99178793"/>
      <w:r>
        <w:t xml:space="preserve">This is a new collection of information. </w:t>
      </w:r>
    </w:p>
    <w:p w14:paraId="0163C791" w14:textId="77777777" w:rsidR="00FF72FC" w:rsidRPr="008942E9" w:rsidRDefault="00FF72FC" w:rsidP="00FF72FC">
      <w:pPr>
        <w:pStyle w:val="Heading2"/>
        <w:tabs>
          <w:tab w:val="clear" w:pos="1152"/>
          <w:tab w:val="left" w:pos="720"/>
        </w:tabs>
        <w:spacing w:after="0" w:line="480" w:lineRule="auto"/>
        <w:ind w:left="0" w:firstLine="0"/>
        <w:rPr>
          <w:rFonts w:ascii="Calibri" w:hAnsi="Calibri"/>
          <w:szCs w:val="22"/>
        </w:rPr>
      </w:pPr>
      <w:bookmarkStart w:id="44" w:name="_Toc439761725"/>
      <w:r w:rsidRPr="008942E9">
        <w:rPr>
          <w:rFonts w:ascii="Calibri" w:hAnsi="Calibri"/>
          <w:szCs w:val="22"/>
        </w:rPr>
        <w:t>A.16</w:t>
      </w:r>
      <w:r w:rsidRPr="008942E9">
        <w:rPr>
          <w:rFonts w:ascii="Calibri" w:hAnsi="Calibri"/>
          <w:szCs w:val="22"/>
        </w:rPr>
        <w:tab/>
        <w:t>Plans for Tabulation and Publication and Project Time Schedule</w:t>
      </w:r>
      <w:bookmarkEnd w:id="40"/>
      <w:bookmarkEnd w:id="41"/>
      <w:bookmarkEnd w:id="42"/>
      <w:bookmarkEnd w:id="43"/>
      <w:bookmarkEnd w:id="44"/>
    </w:p>
    <w:p w14:paraId="6BF62E2E" w14:textId="23615C2C" w:rsidR="008501D6" w:rsidRPr="008E00DB" w:rsidRDefault="00CE6870" w:rsidP="00FF72FC">
      <w:r w:rsidRPr="008E00DB">
        <w:t xml:space="preserve">Statistical analysis will not be performed in this information collection. </w:t>
      </w:r>
    </w:p>
    <w:p w14:paraId="6919D894" w14:textId="6C849631" w:rsidR="00CE6870" w:rsidRPr="008E00DB" w:rsidRDefault="00CE6870" w:rsidP="00FF72FC">
      <w:r w:rsidRPr="008E00DB">
        <w:t>The Project Time schedule is</w:t>
      </w:r>
      <w:r w:rsidR="005F6D40" w:rsidRPr="008E00DB">
        <w:t xml:space="preserve"> provided in the table below.  As soon as the survey is approved by OMB, it will be published online and publicized to the scientist community through emails and at public speaking engagements.  The survey will remain open for several months and results will be compiled as they are collected.  The results will be reviewed 10 – 12 months after the survey has been approved.</w:t>
      </w:r>
    </w:p>
    <w:tbl>
      <w:tblPr>
        <w:tblW w:w="5000" w:type="pct"/>
        <w:jc w:val="center"/>
        <w:tblCellMar>
          <w:left w:w="120" w:type="dxa"/>
          <w:right w:w="120" w:type="dxa"/>
        </w:tblCellMar>
        <w:tblLook w:val="0000" w:firstRow="0" w:lastRow="0" w:firstColumn="0" w:lastColumn="0" w:noHBand="0" w:noVBand="0"/>
      </w:tblPr>
      <w:tblGrid>
        <w:gridCol w:w="4131"/>
        <w:gridCol w:w="5507"/>
      </w:tblGrid>
      <w:tr w:rsidR="008501D6" w:rsidRPr="00864773" w14:paraId="5DBE9960" w14:textId="77777777" w:rsidTr="00952C43">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3779E31C" w14:textId="77777777" w:rsidR="008501D6" w:rsidRPr="008501D6" w:rsidRDefault="008501D6" w:rsidP="00952C43">
            <w:pPr>
              <w:spacing w:after="0" w:line="240" w:lineRule="auto"/>
              <w:jc w:val="center"/>
              <w:rPr>
                <w:rFonts w:eastAsia="Times New Roman"/>
                <w:i/>
              </w:rPr>
            </w:pPr>
          </w:p>
          <w:p w14:paraId="5A0A71DA" w14:textId="77777777" w:rsidR="008501D6" w:rsidRPr="008501D6" w:rsidRDefault="008501D6" w:rsidP="00952C43">
            <w:pPr>
              <w:spacing w:after="0" w:line="240" w:lineRule="auto"/>
              <w:jc w:val="center"/>
              <w:rPr>
                <w:rFonts w:eastAsia="Times New Roman"/>
                <w:i/>
              </w:rPr>
            </w:pPr>
            <w:r w:rsidRPr="008501D6">
              <w:rPr>
                <w:rFonts w:eastAsia="Times New Roman"/>
                <w:i/>
              </w:rPr>
              <w:t>A.16 - 1  Project Time Schedule</w:t>
            </w:r>
          </w:p>
        </w:tc>
      </w:tr>
      <w:tr w:rsidR="008501D6" w:rsidRPr="00864773" w14:paraId="199ED1BA" w14:textId="77777777" w:rsidTr="00952C43">
        <w:trPr>
          <w:cantSplit/>
          <w:trHeight w:val="403"/>
          <w:jc w:val="center"/>
        </w:trPr>
        <w:tc>
          <w:tcPr>
            <w:tcW w:w="2143" w:type="pct"/>
            <w:tcBorders>
              <w:top w:val="single" w:sz="6" w:space="0" w:color="auto"/>
              <w:left w:val="single" w:sz="4" w:space="0" w:color="auto"/>
            </w:tcBorders>
            <w:shd w:val="pct5" w:color="auto" w:fill="FFFFFF"/>
          </w:tcPr>
          <w:p w14:paraId="740EE844" w14:textId="77777777" w:rsidR="008501D6" w:rsidRPr="008501D6" w:rsidRDefault="008501D6" w:rsidP="00952C43">
            <w:pPr>
              <w:spacing w:after="0" w:line="240" w:lineRule="auto"/>
              <w:rPr>
                <w:rFonts w:eastAsia="Times New Roman"/>
                <w:i/>
              </w:rPr>
            </w:pPr>
            <w:r w:rsidRPr="008501D6">
              <w:rPr>
                <w:rFonts w:eastAsia="Times New Roman"/>
                <w:i/>
              </w:rPr>
              <w:tab/>
              <w:t>Activity</w:t>
            </w:r>
          </w:p>
        </w:tc>
        <w:tc>
          <w:tcPr>
            <w:tcW w:w="2857" w:type="pct"/>
            <w:tcBorders>
              <w:top w:val="single" w:sz="6" w:space="0" w:color="auto"/>
              <w:left w:val="single" w:sz="6" w:space="0" w:color="auto"/>
              <w:right w:val="single" w:sz="4" w:space="0" w:color="auto"/>
            </w:tcBorders>
            <w:shd w:val="pct5" w:color="auto" w:fill="FFFFFF"/>
          </w:tcPr>
          <w:p w14:paraId="7AF16439" w14:textId="77777777" w:rsidR="008501D6" w:rsidRPr="008501D6" w:rsidRDefault="008501D6" w:rsidP="00952C43">
            <w:pPr>
              <w:spacing w:after="0" w:line="240" w:lineRule="auto"/>
              <w:rPr>
                <w:rFonts w:eastAsia="Times New Roman"/>
                <w:i/>
              </w:rPr>
            </w:pPr>
            <w:r w:rsidRPr="008501D6">
              <w:rPr>
                <w:rFonts w:eastAsia="Times New Roman"/>
                <w:i/>
              </w:rPr>
              <w:tab/>
              <w:t>Time Schedule</w:t>
            </w:r>
          </w:p>
        </w:tc>
      </w:tr>
      <w:tr w:rsidR="008501D6" w:rsidRPr="00864773" w14:paraId="42B70499" w14:textId="77777777" w:rsidTr="00952C43">
        <w:trPr>
          <w:cantSplit/>
          <w:trHeight w:val="403"/>
          <w:jc w:val="center"/>
        </w:trPr>
        <w:tc>
          <w:tcPr>
            <w:tcW w:w="2143" w:type="pct"/>
            <w:tcBorders>
              <w:top w:val="single" w:sz="6" w:space="0" w:color="auto"/>
              <w:left w:val="single" w:sz="4" w:space="0" w:color="auto"/>
            </w:tcBorders>
            <w:shd w:val="clear" w:color="auto" w:fill="FFFFFF"/>
          </w:tcPr>
          <w:p w14:paraId="108880E7" w14:textId="02382EEA" w:rsidR="008501D6" w:rsidRDefault="008501D6" w:rsidP="00952C43">
            <w:pPr>
              <w:spacing w:after="0" w:line="240" w:lineRule="auto"/>
              <w:rPr>
                <w:rFonts w:eastAsia="Times New Roman"/>
                <w:i/>
              </w:rPr>
            </w:pPr>
            <w:r>
              <w:rPr>
                <w:rFonts w:eastAsia="Times New Roman"/>
                <w:i/>
              </w:rPr>
              <w:t>Survey published on Survey Monkey</w:t>
            </w:r>
          </w:p>
        </w:tc>
        <w:tc>
          <w:tcPr>
            <w:tcW w:w="2857" w:type="pct"/>
            <w:tcBorders>
              <w:top w:val="single" w:sz="6" w:space="0" w:color="auto"/>
              <w:left w:val="single" w:sz="6" w:space="0" w:color="auto"/>
              <w:right w:val="single" w:sz="4" w:space="0" w:color="auto"/>
            </w:tcBorders>
            <w:shd w:val="clear" w:color="auto" w:fill="FFFFFF"/>
          </w:tcPr>
          <w:p w14:paraId="5FC5CF85" w14:textId="406C6581" w:rsidR="008501D6" w:rsidRDefault="008501D6" w:rsidP="00952C43">
            <w:pPr>
              <w:spacing w:after="0" w:line="240" w:lineRule="auto"/>
              <w:rPr>
                <w:rFonts w:eastAsia="Times New Roman"/>
                <w:i/>
              </w:rPr>
            </w:pPr>
            <w:r>
              <w:rPr>
                <w:rFonts w:eastAsia="Times New Roman"/>
                <w:i/>
              </w:rPr>
              <w:t>Immediately on OMB approval</w:t>
            </w:r>
          </w:p>
        </w:tc>
      </w:tr>
      <w:tr w:rsidR="008501D6" w:rsidRPr="00864773" w14:paraId="4447E481" w14:textId="77777777" w:rsidTr="00952C43">
        <w:trPr>
          <w:cantSplit/>
          <w:trHeight w:val="403"/>
          <w:jc w:val="center"/>
        </w:trPr>
        <w:tc>
          <w:tcPr>
            <w:tcW w:w="2143" w:type="pct"/>
            <w:tcBorders>
              <w:top w:val="single" w:sz="6" w:space="0" w:color="auto"/>
              <w:left w:val="single" w:sz="4" w:space="0" w:color="auto"/>
            </w:tcBorders>
            <w:shd w:val="clear" w:color="auto" w:fill="FFFFFF"/>
          </w:tcPr>
          <w:p w14:paraId="7CE07926" w14:textId="1258CADD" w:rsidR="008501D6" w:rsidRPr="008501D6" w:rsidRDefault="008501D6" w:rsidP="00952C43">
            <w:pPr>
              <w:spacing w:after="0" w:line="240" w:lineRule="auto"/>
              <w:rPr>
                <w:rFonts w:eastAsia="Times New Roman"/>
                <w:i/>
              </w:rPr>
            </w:pPr>
            <w:r>
              <w:rPr>
                <w:rFonts w:eastAsia="Times New Roman"/>
                <w:i/>
              </w:rPr>
              <w:t>Survey announced at AACR Meeting</w:t>
            </w:r>
          </w:p>
        </w:tc>
        <w:tc>
          <w:tcPr>
            <w:tcW w:w="2857" w:type="pct"/>
            <w:tcBorders>
              <w:top w:val="single" w:sz="6" w:space="0" w:color="auto"/>
              <w:left w:val="single" w:sz="6" w:space="0" w:color="auto"/>
              <w:right w:val="single" w:sz="4" w:space="0" w:color="auto"/>
            </w:tcBorders>
            <w:shd w:val="clear" w:color="auto" w:fill="FFFFFF"/>
          </w:tcPr>
          <w:p w14:paraId="4A94A9EE" w14:textId="1E0DF81B" w:rsidR="008501D6" w:rsidRPr="008501D6" w:rsidRDefault="008501D6" w:rsidP="00952C43">
            <w:pPr>
              <w:spacing w:after="0" w:line="240" w:lineRule="auto"/>
              <w:rPr>
                <w:rFonts w:eastAsia="Times New Roman"/>
                <w:i/>
              </w:rPr>
            </w:pPr>
            <w:r>
              <w:rPr>
                <w:rFonts w:eastAsia="Times New Roman"/>
                <w:i/>
              </w:rPr>
              <w:t>April 14, 2016</w:t>
            </w:r>
            <w:r w:rsidR="00500C83">
              <w:rPr>
                <w:rFonts w:eastAsia="Times New Roman"/>
                <w:i/>
              </w:rPr>
              <w:t xml:space="preserve"> (if approved at this time)</w:t>
            </w:r>
          </w:p>
        </w:tc>
      </w:tr>
      <w:tr w:rsidR="008501D6" w:rsidRPr="00864773" w14:paraId="6D3BE520" w14:textId="77777777" w:rsidTr="00952C43">
        <w:trPr>
          <w:cantSplit/>
          <w:trHeight w:val="403"/>
          <w:jc w:val="center"/>
        </w:trPr>
        <w:tc>
          <w:tcPr>
            <w:tcW w:w="2143" w:type="pct"/>
            <w:tcBorders>
              <w:top w:val="single" w:sz="6" w:space="0" w:color="auto"/>
              <w:left w:val="single" w:sz="4" w:space="0" w:color="auto"/>
            </w:tcBorders>
            <w:shd w:val="clear" w:color="auto" w:fill="FFFFFF"/>
          </w:tcPr>
          <w:p w14:paraId="151608ED" w14:textId="042B3F8C" w:rsidR="008501D6" w:rsidRPr="008501D6" w:rsidRDefault="008501D6" w:rsidP="00952C43">
            <w:pPr>
              <w:spacing w:after="0" w:line="240" w:lineRule="auto"/>
              <w:rPr>
                <w:rFonts w:eastAsia="Times New Roman"/>
                <w:i/>
              </w:rPr>
            </w:pPr>
            <w:r>
              <w:rPr>
                <w:rFonts w:eastAsia="Times New Roman"/>
                <w:i/>
              </w:rPr>
              <w:t>Notice of survey tweeted</w:t>
            </w:r>
          </w:p>
        </w:tc>
        <w:tc>
          <w:tcPr>
            <w:tcW w:w="2857" w:type="pct"/>
            <w:tcBorders>
              <w:top w:val="single" w:sz="6" w:space="0" w:color="auto"/>
              <w:left w:val="single" w:sz="6" w:space="0" w:color="auto"/>
              <w:right w:val="single" w:sz="4" w:space="0" w:color="auto"/>
            </w:tcBorders>
            <w:shd w:val="clear" w:color="auto" w:fill="FFFFFF"/>
          </w:tcPr>
          <w:p w14:paraId="09611A55" w14:textId="18F3EFCA" w:rsidR="008501D6" w:rsidRPr="008501D6" w:rsidRDefault="008501D6" w:rsidP="00952C43">
            <w:pPr>
              <w:spacing w:after="0" w:line="240" w:lineRule="auto"/>
              <w:rPr>
                <w:rFonts w:eastAsia="Times New Roman"/>
                <w:i/>
              </w:rPr>
            </w:pPr>
            <w:r>
              <w:rPr>
                <w:rFonts w:eastAsia="Times New Roman"/>
                <w:i/>
              </w:rPr>
              <w:t>Following AACR Meeting</w:t>
            </w:r>
            <w:r w:rsidR="00500C83">
              <w:rPr>
                <w:rFonts w:eastAsia="Times New Roman"/>
                <w:i/>
              </w:rPr>
              <w:t xml:space="preserve"> (or approval, if after April 14, 2016)</w:t>
            </w:r>
          </w:p>
        </w:tc>
      </w:tr>
      <w:tr w:rsidR="008501D6" w:rsidRPr="00864773" w14:paraId="719C142B" w14:textId="77777777" w:rsidTr="00952C43">
        <w:trPr>
          <w:cantSplit/>
          <w:trHeight w:val="403"/>
          <w:jc w:val="center"/>
        </w:trPr>
        <w:tc>
          <w:tcPr>
            <w:tcW w:w="2143" w:type="pct"/>
            <w:tcBorders>
              <w:top w:val="single" w:sz="6" w:space="0" w:color="auto"/>
              <w:left w:val="single" w:sz="4" w:space="0" w:color="auto"/>
            </w:tcBorders>
            <w:shd w:val="clear" w:color="auto" w:fill="FFFFFF"/>
          </w:tcPr>
          <w:p w14:paraId="13887DA7" w14:textId="0BBEA0FF" w:rsidR="008501D6" w:rsidRDefault="008501D6" w:rsidP="00952C43">
            <w:pPr>
              <w:spacing w:after="0" w:line="240" w:lineRule="auto"/>
              <w:rPr>
                <w:rFonts w:eastAsia="Times New Roman"/>
                <w:i/>
              </w:rPr>
            </w:pPr>
            <w:r>
              <w:rPr>
                <w:rFonts w:eastAsia="Times New Roman"/>
                <w:i/>
              </w:rPr>
              <w:t>Notice of survey added to cancer.gov site</w:t>
            </w:r>
          </w:p>
        </w:tc>
        <w:tc>
          <w:tcPr>
            <w:tcW w:w="2857" w:type="pct"/>
            <w:tcBorders>
              <w:top w:val="single" w:sz="6" w:space="0" w:color="auto"/>
              <w:left w:val="single" w:sz="6" w:space="0" w:color="auto"/>
              <w:right w:val="single" w:sz="4" w:space="0" w:color="auto"/>
            </w:tcBorders>
            <w:shd w:val="clear" w:color="auto" w:fill="FFFFFF"/>
          </w:tcPr>
          <w:p w14:paraId="764935A6" w14:textId="607155FE" w:rsidR="008501D6" w:rsidRDefault="008501D6" w:rsidP="00952C43">
            <w:pPr>
              <w:spacing w:after="0" w:line="240" w:lineRule="auto"/>
              <w:rPr>
                <w:rFonts w:eastAsia="Times New Roman"/>
                <w:i/>
              </w:rPr>
            </w:pPr>
            <w:r>
              <w:rPr>
                <w:rFonts w:eastAsia="Times New Roman"/>
                <w:i/>
              </w:rPr>
              <w:t>Following AACR Meeting</w:t>
            </w:r>
            <w:r w:rsidR="00500C83">
              <w:rPr>
                <w:rFonts w:eastAsia="Times New Roman"/>
                <w:i/>
              </w:rPr>
              <w:t>, (or approval, if after April 14, 2016)</w:t>
            </w:r>
          </w:p>
        </w:tc>
      </w:tr>
      <w:tr w:rsidR="008501D6" w:rsidRPr="00864773" w14:paraId="7FAAD1D1" w14:textId="77777777" w:rsidTr="00952C43">
        <w:trPr>
          <w:cantSplit/>
          <w:trHeight w:val="403"/>
          <w:jc w:val="center"/>
        </w:trPr>
        <w:tc>
          <w:tcPr>
            <w:tcW w:w="2143" w:type="pct"/>
            <w:tcBorders>
              <w:top w:val="single" w:sz="6" w:space="0" w:color="auto"/>
              <w:left w:val="single" w:sz="4" w:space="0" w:color="auto"/>
            </w:tcBorders>
            <w:shd w:val="clear" w:color="auto" w:fill="FFFFFF"/>
          </w:tcPr>
          <w:p w14:paraId="2EB11495" w14:textId="57402C3F" w:rsidR="008501D6" w:rsidRDefault="008501D6" w:rsidP="00952C43">
            <w:pPr>
              <w:spacing w:after="0" w:line="240" w:lineRule="auto"/>
              <w:rPr>
                <w:rFonts w:eastAsia="Times New Roman"/>
                <w:i/>
              </w:rPr>
            </w:pPr>
            <w:r>
              <w:rPr>
                <w:rFonts w:eastAsia="Times New Roman"/>
                <w:i/>
              </w:rPr>
              <w:lastRenderedPageBreak/>
              <w:t>Notice of survey emailed to listserv members</w:t>
            </w:r>
          </w:p>
        </w:tc>
        <w:tc>
          <w:tcPr>
            <w:tcW w:w="2857" w:type="pct"/>
            <w:tcBorders>
              <w:top w:val="single" w:sz="6" w:space="0" w:color="auto"/>
              <w:left w:val="single" w:sz="6" w:space="0" w:color="auto"/>
              <w:right w:val="single" w:sz="4" w:space="0" w:color="auto"/>
            </w:tcBorders>
            <w:shd w:val="clear" w:color="auto" w:fill="FFFFFF"/>
          </w:tcPr>
          <w:p w14:paraId="5A6F6CB9" w14:textId="5BE91F1E" w:rsidR="008501D6" w:rsidRDefault="008501D6" w:rsidP="00952C43">
            <w:pPr>
              <w:spacing w:after="0" w:line="240" w:lineRule="auto"/>
              <w:rPr>
                <w:rFonts w:eastAsia="Times New Roman"/>
                <w:i/>
              </w:rPr>
            </w:pPr>
            <w:r>
              <w:rPr>
                <w:rFonts w:eastAsia="Times New Roman"/>
                <w:i/>
              </w:rPr>
              <w:t>Following AACR Meeting</w:t>
            </w:r>
            <w:r w:rsidR="00500C83">
              <w:rPr>
                <w:rFonts w:eastAsia="Times New Roman"/>
                <w:i/>
              </w:rPr>
              <w:t>, (or approval, if after April 14, 2016)</w:t>
            </w:r>
          </w:p>
        </w:tc>
      </w:tr>
      <w:tr w:rsidR="008501D6" w:rsidRPr="00864773" w14:paraId="4DC4DD5D" w14:textId="77777777" w:rsidTr="00952C43">
        <w:trPr>
          <w:cantSplit/>
          <w:trHeight w:val="403"/>
          <w:jc w:val="center"/>
        </w:trPr>
        <w:tc>
          <w:tcPr>
            <w:tcW w:w="2143" w:type="pct"/>
            <w:tcBorders>
              <w:top w:val="single" w:sz="6" w:space="0" w:color="auto"/>
              <w:left w:val="single" w:sz="4" w:space="0" w:color="auto"/>
            </w:tcBorders>
            <w:shd w:val="clear" w:color="auto" w:fill="FFFFFF"/>
          </w:tcPr>
          <w:p w14:paraId="2CDE14EF" w14:textId="77777777" w:rsidR="008501D6" w:rsidRPr="008501D6" w:rsidRDefault="008501D6" w:rsidP="00952C43">
            <w:pPr>
              <w:spacing w:after="0" w:line="240" w:lineRule="auto"/>
              <w:rPr>
                <w:rFonts w:eastAsia="Times New Roman"/>
                <w:i/>
              </w:rPr>
            </w:pPr>
            <w:r w:rsidRPr="008501D6">
              <w:rPr>
                <w:rFonts w:eastAsia="Times New Roman"/>
                <w:i/>
              </w:rPr>
              <w:t>Analyses</w:t>
            </w:r>
          </w:p>
        </w:tc>
        <w:tc>
          <w:tcPr>
            <w:tcW w:w="2857" w:type="pct"/>
            <w:tcBorders>
              <w:top w:val="single" w:sz="6" w:space="0" w:color="auto"/>
              <w:left w:val="single" w:sz="6" w:space="0" w:color="auto"/>
              <w:right w:val="single" w:sz="4" w:space="0" w:color="auto"/>
            </w:tcBorders>
            <w:shd w:val="clear" w:color="auto" w:fill="FFFFFF"/>
          </w:tcPr>
          <w:p w14:paraId="5ED5DE7A" w14:textId="5D9A7D72" w:rsidR="008501D6" w:rsidRPr="008501D6" w:rsidRDefault="008501D6" w:rsidP="00952C43">
            <w:pPr>
              <w:spacing w:after="0" w:line="240" w:lineRule="auto"/>
              <w:rPr>
                <w:rFonts w:eastAsia="Times New Roman"/>
                <w:i/>
              </w:rPr>
            </w:pPr>
            <w:r>
              <w:rPr>
                <w:rFonts w:eastAsia="Times New Roman"/>
                <w:i/>
              </w:rPr>
              <w:t>10 - 12</w:t>
            </w:r>
            <w:r w:rsidRPr="008501D6">
              <w:rPr>
                <w:rFonts w:eastAsia="Times New Roman"/>
                <w:i/>
              </w:rPr>
              <w:t xml:space="preserve"> months after OMB approval</w:t>
            </w:r>
          </w:p>
        </w:tc>
      </w:tr>
      <w:tr w:rsidR="008501D6" w:rsidRPr="00864773" w14:paraId="228CD5C9" w14:textId="77777777" w:rsidTr="00952C43">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146D19F8" w14:textId="77777777" w:rsidR="008501D6" w:rsidRPr="008501D6" w:rsidRDefault="008501D6" w:rsidP="00952C43">
            <w:pPr>
              <w:spacing w:after="0" w:line="240" w:lineRule="auto"/>
              <w:rPr>
                <w:rFonts w:eastAsia="Times New Roman"/>
                <w:i/>
              </w:rPr>
            </w:pPr>
            <w:r w:rsidRPr="008501D6">
              <w:rPr>
                <w:rFonts w:eastAsia="Times New Roman"/>
                <w:i/>
              </w:rPr>
              <w:t>Publication</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388A0920" w14:textId="0A27E4A4" w:rsidR="008501D6" w:rsidRPr="008501D6" w:rsidRDefault="008501D6" w:rsidP="00952C43">
            <w:pPr>
              <w:spacing w:after="0" w:line="240" w:lineRule="auto"/>
              <w:rPr>
                <w:rFonts w:eastAsia="Times New Roman"/>
                <w:i/>
              </w:rPr>
            </w:pPr>
            <w:r>
              <w:rPr>
                <w:rFonts w:eastAsia="Times New Roman"/>
                <w:i/>
              </w:rPr>
              <w:t xml:space="preserve">12 - </w:t>
            </w:r>
            <w:r w:rsidRPr="008501D6">
              <w:rPr>
                <w:rFonts w:eastAsia="Times New Roman"/>
                <w:i/>
              </w:rPr>
              <w:t>18 months after OMB approval</w:t>
            </w:r>
          </w:p>
        </w:tc>
      </w:tr>
    </w:tbl>
    <w:p w14:paraId="5E568003" w14:textId="77777777" w:rsidR="008501D6" w:rsidRPr="00864773" w:rsidRDefault="008501D6" w:rsidP="00FF72FC">
      <w:pPr>
        <w:rPr>
          <w:color w:val="C0504D" w:themeColor="accent2"/>
        </w:rPr>
      </w:pPr>
    </w:p>
    <w:p w14:paraId="037A5473" w14:textId="721676EC" w:rsidR="00FF72FC" w:rsidRPr="00AE544E" w:rsidRDefault="00FF72FC" w:rsidP="00C4399C">
      <w:pPr>
        <w:pStyle w:val="Heading2"/>
        <w:tabs>
          <w:tab w:val="clear" w:pos="1152"/>
        </w:tabs>
      </w:pPr>
      <w:bookmarkStart w:id="45" w:name="_Toc439761726"/>
      <w:r w:rsidRPr="00AE544E">
        <w:t>A.17</w:t>
      </w:r>
      <w:r w:rsidRPr="00AE544E">
        <w:tab/>
      </w:r>
      <w:r w:rsidR="00C4399C">
        <w:tab/>
      </w:r>
      <w:r w:rsidRPr="00AE544E">
        <w:t>Reason(s) Display of OMB Expiration Date is Inappropriate</w:t>
      </w:r>
      <w:bookmarkEnd w:id="45"/>
    </w:p>
    <w:p w14:paraId="1AABF6E1" w14:textId="3582B58F" w:rsidR="000171C0" w:rsidRPr="00E35DD1" w:rsidRDefault="00CE6870" w:rsidP="00FF72FC">
      <w:r>
        <w:t>The expiration date will be displayed.</w:t>
      </w:r>
    </w:p>
    <w:p w14:paraId="522ACB76" w14:textId="0E58F800" w:rsidR="00FF72FC" w:rsidRPr="00E35DD1" w:rsidRDefault="00FF72FC" w:rsidP="00C4399C">
      <w:pPr>
        <w:pStyle w:val="Heading2"/>
        <w:tabs>
          <w:tab w:val="clear" w:pos="1152"/>
        </w:tabs>
      </w:pPr>
      <w:bookmarkStart w:id="46" w:name="_Toc439761727"/>
      <w:r w:rsidRPr="00024899">
        <w:t>A.18</w:t>
      </w:r>
      <w:r w:rsidRPr="00024899">
        <w:tab/>
      </w:r>
      <w:r w:rsidR="00C4399C">
        <w:tab/>
      </w:r>
      <w:r w:rsidRPr="00024899">
        <w:t>Exceptions to Certification for Paperwork Reduction Act Submissions</w:t>
      </w:r>
      <w:r w:rsidR="005F4A54" w:rsidRPr="00024899">
        <w:t>: None</w:t>
      </w:r>
      <w:bookmarkEnd w:id="46"/>
    </w:p>
    <w:p w14:paraId="4ECC50C6" w14:textId="51C86A23" w:rsidR="009A69D6" w:rsidRDefault="00CE6870" w:rsidP="00767C53">
      <w:pPr>
        <w:rPr>
          <w:color w:val="000000"/>
        </w:rPr>
      </w:pPr>
      <w:r>
        <w:rPr>
          <w:color w:val="000000"/>
        </w:rPr>
        <w:t>There are no exceptions.</w:t>
      </w:r>
    </w:p>
    <w:sectPr w:rsidR="009A69D6" w:rsidSect="00FE6EA5">
      <w:footerReference w:type="even" r:id="rId11"/>
      <w:footerReference w:type="default" r:id="rId12"/>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E8180" w14:textId="77777777" w:rsidR="00B821AC" w:rsidRDefault="00B821AC">
      <w:pPr>
        <w:spacing w:after="0" w:line="240" w:lineRule="auto"/>
      </w:pPr>
      <w:r>
        <w:separator/>
      </w:r>
    </w:p>
  </w:endnote>
  <w:endnote w:type="continuationSeparator" w:id="0">
    <w:p w14:paraId="1601CD1D" w14:textId="77777777" w:rsidR="00B821AC" w:rsidRDefault="00B8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23F0" w14:textId="77777777"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6A8CD2" w14:textId="77777777" w:rsidR="009667B2" w:rsidRDefault="009667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FE86" w14:textId="0E516066"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6007">
      <w:rPr>
        <w:rStyle w:val="PageNumber"/>
        <w:noProof/>
      </w:rPr>
      <w:t>2</w:t>
    </w:r>
    <w:r>
      <w:rPr>
        <w:rStyle w:val="PageNumber"/>
      </w:rPr>
      <w:fldChar w:fldCharType="end"/>
    </w:r>
  </w:p>
  <w:p w14:paraId="2F662875" w14:textId="77777777" w:rsidR="009667B2" w:rsidRDefault="009667B2" w:rsidP="009667B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558CB" w14:textId="77777777" w:rsidR="00B821AC" w:rsidRDefault="00B821AC">
      <w:pPr>
        <w:spacing w:after="0" w:line="240" w:lineRule="auto"/>
      </w:pPr>
      <w:r>
        <w:separator/>
      </w:r>
    </w:p>
  </w:footnote>
  <w:footnote w:type="continuationSeparator" w:id="0">
    <w:p w14:paraId="55E6F285" w14:textId="77777777" w:rsidR="00B821AC" w:rsidRDefault="00B82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81B0A"/>
    <w:multiLevelType w:val="hybridMultilevel"/>
    <w:tmpl w:val="AEE27EEC"/>
    <w:lvl w:ilvl="0" w:tplc="6DE2D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4608D"/>
    <w:multiLevelType w:val="hybridMultilevel"/>
    <w:tmpl w:val="20DAB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894A1C"/>
    <w:multiLevelType w:val="hybridMultilevel"/>
    <w:tmpl w:val="B900C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86586"/>
    <w:multiLevelType w:val="hybridMultilevel"/>
    <w:tmpl w:val="3E26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37170"/>
    <w:multiLevelType w:val="hybridMultilevel"/>
    <w:tmpl w:val="09DA3A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2"/>
  </w:num>
  <w:num w:numId="4">
    <w:abstractNumId w:val="0"/>
  </w:num>
  <w:num w:numId="5">
    <w:abstractNumId w:val="5"/>
  </w:num>
  <w:num w:numId="6">
    <w:abstractNumId w:val="4"/>
  </w:num>
  <w:num w:numId="7">
    <w:abstractNumId w:val="8"/>
  </w:num>
  <w:num w:numId="8">
    <w:abstractNumId w:val="10"/>
  </w:num>
  <w:num w:numId="9">
    <w:abstractNumId w:val="9"/>
  </w:num>
  <w:num w:numId="10">
    <w:abstractNumId w:val="13"/>
  </w:num>
  <w:num w:numId="11">
    <w:abstractNumId w:val="1"/>
  </w:num>
  <w:num w:numId="12">
    <w:abstractNumId w:val="6"/>
  </w:num>
  <w:num w:numId="13">
    <w:abstractNumId w:val="11"/>
  </w:num>
  <w:num w:numId="14">
    <w:abstractNumId w:val="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YDEhZmZgbmRkZGFko6SsGpxcWZ+XkgBYYGtQC8+6lELQAAAA=="/>
  </w:docVars>
  <w:rsids>
    <w:rsidRoot w:val="000F3043"/>
    <w:rsid w:val="00016328"/>
    <w:rsid w:val="000171C0"/>
    <w:rsid w:val="00024899"/>
    <w:rsid w:val="00051406"/>
    <w:rsid w:val="00060FE1"/>
    <w:rsid w:val="00062372"/>
    <w:rsid w:val="00070AF0"/>
    <w:rsid w:val="00084D57"/>
    <w:rsid w:val="000F3043"/>
    <w:rsid w:val="001027A0"/>
    <w:rsid w:val="001636E0"/>
    <w:rsid w:val="00170EC9"/>
    <w:rsid w:val="001803D2"/>
    <w:rsid w:val="001A5ACB"/>
    <w:rsid w:val="001B06A2"/>
    <w:rsid w:val="001B7EDC"/>
    <w:rsid w:val="002007FD"/>
    <w:rsid w:val="002039B6"/>
    <w:rsid w:val="00245089"/>
    <w:rsid w:val="00255F7C"/>
    <w:rsid w:val="002670CD"/>
    <w:rsid w:val="0027453E"/>
    <w:rsid w:val="002779A5"/>
    <w:rsid w:val="00294867"/>
    <w:rsid w:val="002A044E"/>
    <w:rsid w:val="002B1D41"/>
    <w:rsid w:val="002D0441"/>
    <w:rsid w:val="002D3CA0"/>
    <w:rsid w:val="002F1480"/>
    <w:rsid w:val="002F4317"/>
    <w:rsid w:val="00312856"/>
    <w:rsid w:val="003437BC"/>
    <w:rsid w:val="0036208F"/>
    <w:rsid w:val="003620D5"/>
    <w:rsid w:val="003B21EF"/>
    <w:rsid w:val="003D074A"/>
    <w:rsid w:val="003E5C04"/>
    <w:rsid w:val="0040282E"/>
    <w:rsid w:val="004716CF"/>
    <w:rsid w:val="00497B81"/>
    <w:rsid w:val="004A77FE"/>
    <w:rsid w:val="004B551D"/>
    <w:rsid w:val="004D15CF"/>
    <w:rsid w:val="004E6A9A"/>
    <w:rsid w:val="00500C83"/>
    <w:rsid w:val="005150E7"/>
    <w:rsid w:val="00521199"/>
    <w:rsid w:val="00521FDE"/>
    <w:rsid w:val="005410EA"/>
    <w:rsid w:val="0056040D"/>
    <w:rsid w:val="005F4A54"/>
    <w:rsid w:val="005F5948"/>
    <w:rsid w:val="005F6D40"/>
    <w:rsid w:val="00632B4F"/>
    <w:rsid w:val="006413BF"/>
    <w:rsid w:val="00643D2B"/>
    <w:rsid w:val="00650373"/>
    <w:rsid w:val="006760FD"/>
    <w:rsid w:val="006825BB"/>
    <w:rsid w:val="00685B30"/>
    <w:rsid w:val="006941B9"/>
    <w:rsid w:val="006A45F9"/>
    <w:rsid w:val="006E554D"/>
    <w:rsid w:val="007063F8"/>
    <w:rsid w:val="00714896"/>
    <w:rsid w:val="00717158"/>
    <w:rsid w:val="0073613E"/>
    <w:rsid w:val="0074355A"/>
    <w:rsid w:val="00766007"/>
    <w:rsid w:val="00767C53"/>
    <w:rsid w:val="007D11BF"/>
    <w:rsid w:val="007D20FB"/>
    <w:rsid w:val="007E0F97"/>
    <w:rsid w:val="00824D7E"/>
    <w:rsid w:val="008359FA"/>
    <w:rsid w:val="0083614C"/>
    <w:rsid w:val="008501D6"/>
    <w:rsid w:val="0086248B"/>
    <w:rsid w:val="00864773"/>
    <w:rsid w:val="008942E9"/>
    <w:rsid w:val="00894FF4"/>
    <w:rsid w:val="00896069"/>
    <w:rsid w:val="008B476C"/>
    <w:rsid w:val="008E00DB"/>
    <w:rsid w:val="008E1A58"/>
    <w:rsid w:val="00941822"/>
    <w:rsid w:val="009667B2"/>
    <w:rsid w:val="009677AF"/>
    <w:rsid w:val="009810A0"/>
    <w:rsid w:val="009A69D6"/>
    <w:rsid w:val="009C3E9D"/>
    <w:rsid w:val="009E05D0"/>
    <w:rsid w:val="00A00CF8"/>
    <w:rsid w:val="00A7496C"/>
    <w:rsid w:val="00A86220"/>
    <w:rsid w:val="00AB5D88"/>
    <w:rsid w:val="00AC5E11"/>
    <w:rsid w:val="00AE544E"/>
    <w:rsid w:val="00B00EB3"/>
    <w:rsid w:val="00B03736"/>
    <w:rsid w:val="00B31EEE"/>
    <w:rsid w:val="00B61623"/>
    <w:rsid w:val="00B821AC"/>
    <w:rsid w:val="00BD499D"/>
    <w:rsid w:val="00BE5EFA"/>
    <w:rsid w:val="00BE76A7"/>
    <w:rsid w:val="00BF0791"/>
    <w:rsid w:val="00BF0C39"/>
    <w:rsid w:val="00BF491C"/>
    <w:rsid w:val="00C039FB"/>
    <w:rsid w:val="00C37E21"/>
    <w:rsid w:val="00C40C40"/>
    <w:rsid w:val="00C4399C"/>
    <w:rsid w:val="00C87100"/>
    <w:rsid w:val="00CB411A"/>
    <w:rsid w:val="00CE6870"/>
    <w:rsid w:val="00CF1E0D"/>
    <w:rsid w:val="00CF3B64"/>
    <w:rsid w:val="00CF604F"/>
    <w:rsid w:val="00D233BF"/>
    <w:rsid w:val="00D34BE5"/>
    <w:rsid w:val="00D7280E"/>
    <w:rsid w:val="00D804AF"/>
    <w:rsid w:val="00D84301"/>
    <w:rsid w:val="00DB1217"/>
    <w:rsid w:val="00DC0F84"/>
    <w:rsid w:val="00DD3347"/>
    <w:rsid w:val="00DE5570"/>
    <w:rsid w:val="00DF28DD"/>
    <w:rsid w:val="00E03967"/>
    <w:rsid w:val="00E26338"/>
    <w:rsid w:val="00E35DD1"/>
    <w:rsid w:val="00E4153B"/>
    <w:rsid w:val="00E446A8"/>
    <w:rsid w:val="00E56374"/>
    <w:rsid w:val="00E67B10"/>
    <w:rsid w:val="00E72390"/>
    <w:rsid w:val="00E9372C"/>
    <w:rsid w:val="00EA13DB"/>
    <w:rsid w:val="00EB05B4"/>
    <w:rsid w:val="00EB1AEC"/>
    <w:rsid w:val="00EC004A"/>
    <w:rsid w:val="00EE245F"/>
    <w:rsid w:val="00EE6251"/>
    <w:rsid w:val="00EF688C"/>
    <w:rsid w:val="00EF7F62"/>
    <w:rsid w:val="00F23B15"/>
    <w:rsid w:val="00F33485"/>
    <w:rsid w:val="00F52557"/>
    <w:rsid w:val="00F64789"/>
    <w:rsid w:val="00FA09A9"/>
    <w:rsid w:val="00FB346E"/>
    <w:rsid w:val="00FE6EA5"/>
    <w:rsid w:val="00FF233C"/>
    <w:rsid w:val="00FF72FC"/>
    <w:rsid w:val="00FF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1DF3FF3"/>
  <w15:docId w15:val="{A97B23D7-DB72-46AA-92DF-606D9F22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FF73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C4399C"/>
    <w:pPr>
      <w:keepNext/>
      <w:tabs>
        <w:tab w:val="left" w:pos="1152"/>
      </w:tabs>
      <w:spacing w:after="360" w:line="360" w:lineRule="atLeast"/>
      <w:ind w:left="432" w:hanging="432"/>
      <w:jc w:val="both"/>
      <w:outlineLvl w:val="1"/>
    </w:pPr>
    <w:rPr>
      <w:rFonts w:asciiTheme="minorHAnsi" w:eastAsia="Times New Roman" w:hAnsiTheme="minorHAns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C4399C"/>
    <w:rPr>
      <w:rFonts w:asciiTheme="minorHAnsi" w:eastAsia="Times New Roman" w:hAnsiTheme="minorHAnsi"/>
      <w:b/>
      <w:sz w:val="22"/>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040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6040D"/>
    <w:rPr>
      <w:b/>
      <w:bCs/>
    </w:rPr>
  </w:style>
  <w:style w:type="character" w:styleId="CommentReference">
    <w:name w:val="annotation reference"/>
    <w:basedOn w:val="DefaultParagraphFont"/>
    <w:uiPriority w:val="99"/>
    <w:semiHidden/>
    <w:unhideWhenUsed/>
    <w:rsid w:val="006E554D"/>
    <w:rPr>
      <w:sz w:val="16"/>
      <w:szCs w:val="16"/>
    </w:rPr>
  </w:style>
  <w:style w:type="paragraph" w:styleId="CommentText">
    <w:name w:val="annotation text"/>
    <w:basedOn w:val="Normal"/>
    <w:link w:val="CommentTextChar"/>
    <w:uiPriority w:val="99"/>
    <w:semiHidden/>
    <w:unhideWhenUsed/>
    <w:rsid w:val="006E554D"/>
    <w:pPr>
      <w:spacing w:line="240" w:lineRule="auto"/>
    </w:pPr>
    <w:rPr>
      <w:sz w:val="20"/>
      <w:szCs w:val="20"/>
    </w:rPr>
  </w:style>
  <w:style w:type="character" w:customStyle="1" w:styleId="CommentTextChar">
    <w:name w:val="Comment Text Char"/>
    <w:basedOn w:val="DefaultParagraphFont"/>
    <w:link w:val="CommentText"/>
    <w:uiPriority w:val="99"/>
    <w:semiHidden/>
    <w:rsid w:val="006E554D"/>
  </w:style>
  <w:style w:type="paragraph" w:styleId="CommentSubject">
    <w:name w:val="annotation subject"/>
    <w:basedOn w:val="CommentText"/>
    <w:next w:val="CommentText"/>
    <w:link w:val="CommentSubjectChar"/>
    <w:uiPriority w:val="99"/>
    <w:semiHidden/>
    <w:unhideWhenUsed/>
    <w:rsid w:val="006E554D"/>
    <w:rPr>
      <w:b/>
      <w:bCs/>
    </w:rPr>
  </w:style>
  <w:style w:type="character" w:customStyle="1" w:styleId="CommentSubjectChar">
    <w:name w:val="Comment Subject Char"/>
    <w:basedOn w:val="CommentTextChar"/>
    <w:link w:val="CommentSubject"/>
    <w:uiPriority w:val="99"/>
    <w:semiHidden/>
    <w:rsid w:val="006E554D"/>
    <w:rPr>
      <w:b/>
      <w:bCs/>
    </w:rPr>
  </w:style>
  <w:style w:type="paragraph" w:styleId="TOC2">
    <w:name w:val="toc 2"/>
    <w:basedOn w:val="Normal"/>
    <w:next w:val="Normal"/>
    <w:autoRedefine/>
    <w:uiPriority w:val="39"/>
    <w:unhideWhenUsed/>
    <w:rsid w:val="00DF28DD"/>
    <w:pPr>
      <w:tabs>
        <w:tab w:val="left" w:pos="900"/>
        <w:tab w:val="right" w:pos="9638"/>
      </w:tabs>
      <w:spacing w:after="100"/>
      <w:ind w:left="220"/>
    </w:pPr>
  </w:style>
  <w:style w:type="character" w:customStyle="1" w:styleId="enumbell">
    <w:name w:val="enumbell"/>
    <w:basedOn w:val="DefaultParagraphFont"/>
    <w:rsid w:val="00D84301"/>
  </w:style>
  <w:style w:type="character" w:customStyle="1" w:styleId="ptext-">
    <w:name w:val="ptext-"/>
    <w:basedOn w:val="DefaultParagraphFont"/>
    <w:rsid w:val="00D84301"/>
  </w:style>
  <w:style w:type="character" w:customStyle="1" w:styleId="Heading1Char">
    <w:name w:val="Heading 1 Char"/>
    <w:basedOn w:val="DefaultParagraphFont"/>
    <w:link w:val="Heading1"/>
    <w:uiPriority w:val="9"/>
    <w:rsid w:val="00FF73D2"/>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C4399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9768">
      <w:bodyDiv w:val="1"/>
      <w:marLeft w:val="0"/>
      <w:marRight w:val="0"/>
      <w:marTop w:val="0"/>
      <w:marBottom w:val="0"/>
      <w:divBdr>
        <w:top w:val="none" w:sz="0" w:space="0" w:color="auto"/>
        <w:left w:val="none" w:sz="0" w:space="0" w:color="auto"/>
        <w:bottom w:val="none" w:sz="0" w:space="0" w:color="auto"/>
        <w:right w:val="none" w:sz="0" w:space="0" w:color="auto"/>
      </w:divBdr>
    </w:div>
    <w:div w:id="727416591">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58183996">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191029.htm" TargetMode="External"/><Relationship Id="rId4" Type="http://schemas.openxmlformats.org/officeDocument/2006/relationships/styles" Target="styles.xml"/><Relationship Id="rId9" Type="http://schemas.openxmlformats.org/officeDocument/2006/relationships/hyperlink" Target="http://cbiit.nci.nih.gov/ncip/nci-cancer-genomics-cloud-pilots/nci-cloud-initiat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400436-8274-4517-80FF-21DDF6F8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16625</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Bailey, Karla (NIH/NCI) [E]</cp:lastModifiedBy>
  <cp:revision>3</cp:revision>
  <dcterms:created xsi:type="dcterms:W3CDTF">2016-03-14T20:29:00Z</dcterms:created>
  <dcterms:modified xsi:type="dcterms:W3CDTF">2016-03-14T20:34:00Z</dcterms:modified>
</cp:coreProperties>
</file>