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DC2" w:rsidRDefault="005C3DC2" w:rsidP="005C3DC2">
      <w:pPr>
        <w:ind w:left="1440" w:firstLine="720"/>
      </w:pPr>
    </w:p>
    <w:p w:rsidR="005C3DC2" w:rsidRDefault="005C3DC2" w:rsidP="005C3DC2">
      <w:pPr>
        <w:ind w:left="1440" w:firstLine="720"/>
      </w:pPr>
    </w:p>
    <w:p w:rsidR="005C3DC2" w:rsidRDefault="005C3DC2" w:rsidP="005C3DC2">
      <w:pPr>
        <w:ind w:left="1440" w:firstLine="720"/>
      </w:pPr>
    </w:p>
    <w:p w:rsidR="005C3DC2" w:rsidRPr="002F67B5" w:rsidRDefault="005C3DC2" w:rsidP="007A385F">
      <w:pPr>
        <w:jc w:val="center"/>
      </w:pPr>
      <w:r w:rsidRPr="002F67B5">
        <w:t>Supporting Statement A for</w:t>
      </w:r>
    </w:p>
    <w:p w:rsidR="005C3DC2" w:rsidRPr="002F67B5" w:rsidRDefault="005C3DC2" w:rsidP="007A385F">
      <w:pPr>
        <w:jc w:val="center"/>
      </w:pPr>
    </w:p>
    <w:p w:rsidR="00CA02BF" w:rsidRPr="002F67B5" w:rsidRDefault="00603F00" w:rsidP="007A385F">
      <w:pPr>
        <w:jc w:val="center"/>
      </w:pPr>
      <w:r w:rsidRPr="00C026D0">
        <w:rPr>
          <w:rFonts w:eastAsia="MS Mincho"/>
          <w:b/>
          <w:bCs/>
          <w:sz w:val="21"/>
          <w:szCs w:val="21"/>
          <w:lang w:eastAsia="ja-JP"/>
        </w:rPr>
        <w:t>Impact of Clinical</w:t>
      </w:r>
      <w:r>
        <w:rPr>
          <w:rFonts w:eastAsia="MS Mincho"/>
          <w:b/>
          <w:bCs/>
          <w:sz w:val="21"/>
          <w:szCs w:val="21"/>
          <w:lang w:eastAsia="ja-JP"/>
        </w:rPr>
        <w:t xml:space="preserve"> </w:t>
      </w:r>
      <w:r w:rsidRPr="00C026D0">
        <w:rPr>
          <w:rFonts w:eastAsia="MS Mincho"/>
          <w:b/>
          <w:bCs/>
          <w:sz w:val="21"/>
          <w:szCs w:val="21"/>
          <w:lang w:eastAsia="ja-JP"/>
        </w:rPr>
        <w:t>Research Training and Medical</w:t>
      </w:r>
      <w:r>
        <w:rPr>
          <w:rFonts w:eastAsia="MS Mincho"/>
          <w:b/>
          <w:bCs/>
          <w:sz w:val="21"/>
          <w:szCs w:val="21"/>
          <w:lang w:eastAsia="ja-JP"/>
        </w:rPr>
        <w:t xml:space="preserve"> </w:t>
      </w:r>
      <w:r w:rsidRPr="00C026D0">
        <w:rPr>
          <w:rFonts w:eastAsia="MS Mincho"/>
          <w:b/>
          <w:bCs/>
          <w:sz w:val="21"/>
          <w:szCs w:val="21"/>
          <w:lang w:eastAsia="ja-JP"/>
        </w:rPr>
        <w:t xml:space="preserve">Education at the </w:t>
      </w:r>
      <w:r w:rsidR="00184E3C">
        <w:rPr>
          <w:rFonts w:eastAsia="MS Mincho"/>
          <w:b/>
          <w:bCs/>
          <w:sz w:val="21"/>
          <w:szCs w:val="21"/>
          <w:lang w:eastAsia="ja-JP"/>
        </w:rPr>
        <w:t xml:space="preserve">NIH </w:t>
      </w:r>
      <w:r w:rsidRPr="00C026D0">
        <w:rPr>
          <w:rFonts w:eastAsia="MS Mincho"/>
          <w:b/>
          <w:bCs/>
          <w:sz w:val="21"/>
          <w:szCs w:val="21"/>
          <w:lang w:eastAsia="ja-JP"/>
        </w:rPr>
        <w:t xml:space="preserve">Clinical Center </w:t>
      </w:r>
      <w:r w:rsidR="00184E3C">
        <w:rPr>
          <w:rFonts w:eastAsia="MS Mincho"/>
          <w:b/>
          <w:bCs/>
          <w:sz w:val="21"/>
          <w:szCs w:val="21"/>
          <w:lang w:eastAsia="ja-JP"/>
        </w:rPr>
        <w:t xml:space="preserve">(CC) </w:t>
      </w:r>
      <w:r w:rsidRPr="00C026D0">
        <w:rPr>
          <w:rFonts w:eastAsia="MS Mincho"/>
          <w:b/>
          <w:bCs/>
          <w:sz w:val="21"/>
          <w:szCs w:val="21"/>
          <w:lang w:eastAsia="ja-JP"/>
        </w:rPr>
        <w:t>on</w:t>
      </w:r>
      <w:r>
        <w:rPr>
          <w:rFonts w:eastAsia="MS Mincho"/>
          <w:b/>
          <w:bCs/>
          <w:sz w:val="21"/>
          <w:szCs w:val="21"/>
          <w:lang w:eastAsia="ja-JP"/>
        </w:rPr>
        <w:t xml:space="preserve"> </w:t>
      </w:r>
      <w:r w:rsidRPr="00C026D0">
        <w:rPr>
          <w:rFonts w:eastAsia="MS Mincho"/>
          <w:b/>
          <w:bCs/>
          <w:sz w:val="21"/>
          <w:szCs w:val="21"/>
          <w:lang w:eastAsia="ja-JP"/>
        </w:rPr>
        <w:t>Physician Careers in Academia and</w:t>
      </w:r>
      <w:r>
        <w:rPr>
          <w:rFonts w:eastAsia="MS Mincho"/>
          <w:b/>
          <w:bCs/>
          <w:sz w:val="21"/>
          <w:szCs w:val="21"/>
          <w:lang w:eastAsia="ja-JP"/>
        </w:rPr>
        <w:t xml:space="preserve"> </w:t>
      </w:r>
      <w:r w:rsidRPr="00C026D0">
        <w:rPr>
          <w:rFonts w:eastAsia="MS Mincho"/>
          <w:b/>
          <w:bCs/>
          <w:sz w:val="21"/>
          <w:szCs w:val="21"/>
          <w:lang w:eastAsia="ja-JP"/>
        </w:rPr>
        <w:t>Clinical Research</w:t>
      </w:r>
    </w:p>
    <w:p w:rsidR="00CA02BF" w:rsidRPr="002F67B5" w:rsidRDefault="00CA02BF" w:rsidP="007A385F">
      <w:pPr>
        <w:jc w:val="center"/>
      </w:pPr>
    </w:p>
    <w:p w:rsidR="00CA02BF" w:rsidRDefault="00184E3C" w:rsidP="007A385F">
      <w:pPr>
        <w:jc w:val="center"/>
      </w:pPr>
      <w:r w:rsidRPr="00184E3C">
        <w:t>OMB #0925-0602; expires 3/31/2016</w:t>
      </w:r>
    </w:p>
    <w:p w:rsidR="00184E3C" w:rsidRDefault="00184E3C" w:rsidP="007A385F">
      <w:pPr>
        <w:jc w:val="center"/>
      </w:pPr>
    </w:p>
    <w:p w:rsidR="00184E3C" w:rsidRPr="002F67B5" w:rsidRDefault="00184E3C" w:rsidP="007A385F">
      <w:pPr>
        <w:jc w:val="center"/>
      </w:pPr>
      <w:r w:rsidRPr="0091069F">
        <w:t xml:space="preserve">Request for </w:t>
      </w:r>
      <w:r w:rsidR="005B7380" w:rsidRPr="0091069F">
        <w:t>Revision</w:t>
      </w:r>
    </w:p>
    <w:p w:rsidR="005C3DC2" w:rsidRPr="002F67B5" w:rsidRDefault="005C3DC2" w:rsidP="007A385F">
      <w:pPr>
        <w:jc w:val="center"/>
      </w:pPr>
    </w:p>
    <w:p w:rsidR="00967AAE" w:rsidRPr="002F67B5" w:rsidRDefault="00967AAE" w:rsidP="007A385F">
      <w:pPr>
        <w:jc w:val="center"/>
      </w:pPr>
      <w:r w:rsidRPr="002F67B5">
        <w:t>Date</w:t>
      </w:r>
    </w:p>
    <w:p w:rsidR="00967AAE" w:rsidRPr="002F67B5" w:rsidRDefault="00967AAE" w:rsidP="007A385F">
      <w:pPr>
        <w:jc w:val="center"/>
      </w:pPr>
    </w:p>
    <w:p w:rsidR="009D3B5D" w:rsidRPr="009E25E1" w:rsidRDefault="009E25E1" w:rsidP="007A385F">
      <w:pPr>
        <w:jc w:val="center"/>
      </w:pPr>
      <w:r w:rsidRPr="009E25E1">
        <w:t>8/26/2016</w:t>
      </w:r>
    </w:p>
    <w:p w:rsidR="009D3B5D" w:rsidRDefault="009D3B5D" w:rsidP="007A385F">
      <w:pPr>
        <w:jc w:val="center"/>
        <w:rPr>
          <w:color w:val="0000FF"/>
        </w:rPr>
      </w:pPr>
    </w:p>
    <w:p w:rsidR="009D3B5D" w:rsidRDefault="009D3B5D" w:rsidP="007A385F">
      <w:pPr>
        <w:jc w:val="center"/>
        <w:rPr>
          <w:color w:val="0000FF"/>
        </w:rPr>
      </w:pPr>
    </w:p>
    <w:p w:rsidR="009D3B5D" w:rsidRDefault="009D3B5D" w:rsidP="007A385F">
      <w:pPr>
        <w:jc w:val="center"/>
        <w:rPr>
          <w:color w:val="0000FF"/>
        </w:rPr>
      </w:pPr>
    </w:p>
    <w:p w:rsidR="009D3B5D" w:rsidRPr="002F67B5" w:rsidRDefault="009D3B5D"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5C3DC2" w:rsidP="007A385F">
      <w:pPr>
        <w:jc w:val="center"/>
        <w:rPr>
          <w:color w:val="0000FF"/>
        </w:rPr>
      </w:pPr>
    </w:p>
    <w:p w:rsidR="005C3DC2" w:rsidRPr="002F67B5" w:rsidRDefault="002D6FEE" w:rsidP="007A385F">
      <w:r w:rsidRPr="002F67B5">
        <w:t>Contact</w:t>
      </w:r>
      <w:r w:rsidR="005C3DC2" w:rsidRPr="002F67B5">
        <w:t>:</w:t>
      </w:r>
      <w:r w:rsidR="00A16BF6" w:rsidRPr="002F67B5">
        <w:t xml:space="preserve"> </w:t>
      </w:r>
      <w:r w:rsidR="00A16BF6" w:rsidRPr="002F67B5">
        <w:tab/>
      </w:r>
      <w:r w:rsidR="00BD0975">
        <w:t>Robert Lembo, MD</w:t>
      </w:r>
    </w:p>
    <w:p w:rsidR="005C3DC2" w:rsidRPr="002F67B5" w:rsidRDefault="005C3DC2" w:rsidP="007A385F">
      <w:r w:rsidRPr="002F67B5">
        <w:t>Address:</w:t>
      </w:r>
      <w:r w:rsidR="00BD0975">
        <w:t xml:space="preserve"> </w:t>
      </w:r>
      <w:r w:rsidR="00BD0975">
        <w:tab/>
        <w:t>10 Center Drive/1N252C</w:t>
      </w:r>
    </w:p>
    <w:p w:rsidR="00A16BF6" w:rsidRPr="002F67B5" w:rsidRDefault="00A16BF6" w:rsidP="002D6FEE">
      <w:pPr>
        <w:ind w:left="720" w:firstLine="720"/>
      </w:pPr>
      <w:smartTag w:uri="urn:schemas-microsoft-com:office:smarttags" w:element="place">
        <w:smartTag w:uri="urn:schemas-microsoft-com:office:smarttags" w:element="City">
          <w:r w:rsidRPr="002F67B5">
            <w:t>Bethesda</w:t>
          </w:r>
        </w:smartTag>
        <w:r w:rsidRPr="002F67B5">
          <w:t xml:space="preserve">, </w:t>
        </w:r>
        <w:smartTag w:uri="urn:schemas-microsoft-com:office:smarttags" w:element="State">
          <w:r w:rsidRPr="002F67B5">
            <w:t>MD</w:t>
          </w:r>
        </w:smartTag>
        <w:r w:rsidRPr="002F67B5">
          <w:t xml:space="preserve"> </w:t>
        </w:r>
        <w:smartTag w:uri="urn:schemas-microsoft-com:office:smarttags" w:element="PostalCode">
          <w:r w:rsidRPr="002F67B5">
            <w:t>20892-1352</w:t>
          </w:r>
        </w:smartTag>
      </w:smartTag>
    </w:p>
    <w:p w:rsidR="005C3DC2" w:rsidRPr="002F67B5" w:rsidRDefault="005C3DC2" w:rsidP="007A385F">
      <w:r w:rsidRPr="002F67B5">
        <w:t>Telephone:</w:t>
      </w:r>
      <w:r w:rsidR="00BD0975">
        <w:tab/>
        <w:t>301-496-2636</w:t>
      </w:r>
    </w:p>
    <w:p w:rsidR="005C3DC2" w:rsidRPr="002F67B5" w:rsidRDefault="005C3DC2" w:rsidP="007A385F">
      <w:r w:rsidRPr="002F67B5">
        <w:t>Fax:</w:t>
      </w:r>
      <w:r w:rsidR="00A16BF6" w:rsidRPr="002F67B5">
        <w:tab/>
      </w:r>
      <w:r w:rsidR="00A16BF6" w:rsidRPr="002F67B5">
        <w:tab/>
        <w:t>301-435-5275</w:t>
      </w:r>
    </w:p>
    <w:p w:rsidR="00A16BF6" w:rsidRPr="002F67B5" w:rsidRDefault="002A5B21" w:rsidP="007A385F">
      <w:r w:rsidRPr="002F67B5">
        <w:t>Email:</w:t>
      </w:r>
      <w:r w:rsidR="00A16BF6" w:rsidRPr="002F67B5">
        <w:tab/>
      </w:r>
      <w:r w:rsidR="00D553C7" w:rsidRPr="002F67B5">
        <w:tab/>
      </w:r>
      <w:hyperlink r:id="rId8" w:history="1">
        <w:r w:rsidR="00BD0975" w:rsidRPr="001E19CD">
          <w:rPr>
            <w:rStyle w:val="Hyperlink"/>
          </w:rPr>
          <w:t>robert.lembo@nih.gov</w:t>
        </w:r>
      </w:hyperlink>
    </w:p>
    <w:p w:rsidR="00A16BF6" w:rsidRPr="002F67B5" w:rsidRDefault="00A16BF6" w:rsidP="00A16BF6"/>
    <w:p w:rsidR="00013B7C" w:rsidRPr="002F67B5" w:rsidRDefault="007A385F" w:rsidP="00253C78">
      <w:pPr>
        <w:tabs>
          <w:tab w:val="left" w:pos="3510"/>
        </w:tabs>
        <w:jc w:val="center"/>
      </w:pPr>
      <w:r w:rsidRPr="002F67B5">
        <w:br w:type="page"/>
      </w:r>
      <w:bookmarkStart w:id="0" w:name="_GoBack"/>
      <w:bookmarkEnd w:id="0"/>
    </w:p>
    <w:p w:rsidR="00253C78" w:rsidRPr="002F67B5" w:rsidRDefault="00253C78" w:rsidP="00253C78">
      <w:pPr>
        <w:tabs>
          <w:tab w:val="left" w:pos="3510"/>
        </w:tabs>
        <w:jc w:val="center"/>
      </w:pPr>
      <w:r w:rsidRPr="002F67B5">
        <w:lastRenderedPageBreak/>
        <w:t>Table of contents</w:t>
      </w:r>
    </w:p>
    <w:p w:rsidR="00253C78" w:rsidRPr="002F67B5" w:rsidRDefault="00D032A4" w:rsidP="00253C78">
      <w:pPr>
        <w:pStyle w:val="TOC1"/>
      </w:pPr>
      <w:r w:rsidRPr="002F67B5">
        <w:fldChar w:fldCharType="begin"/>
      </w:r>
      <w:r w:rsidR="00253C78" w:rsidRPr="002F67B5">
        <w:instrText xml:space="preserve"> TOC \o "1-2" \u </w:instrText>
      </w:r>
      <w:r w:rsidRPr="002F67B5">
        <w:fldChar w:fldCharType="separate"/>
      </w:r>
      <w:r w:rsidR="00253C78" w:rsidRPr="002F67B5">
        <w:t>A.</w:t>
      </w:r>
      <w:r w:rsidR="00253C78" w:rsidRPr="002F67B5">
        <w:tab/>
        <w:t>JUSTIFICATION</w:t>
      </w:r>
      <w:r w:rsidR="00253C78" w:rsidRPr="002F67B5">
        <w:tab/>
      </w:r>
    </w:p>
    <w:p w:rsidR="00253C78" w:rsidRPr="002F67B5" w:rsidRDefault="00253C78" w:rsidP="00253C78">
      <w:pPr>
        <w:pStyle w:val="TOC2"/>
        <w:rPr>
          <w:noProof/>
          <w:sz w:val="24"/>
          <w:szCs w:val="24"/>
        </w:rPr>
      </w:pPr>
      <w:r w:rsidRPr="002F67B5">
        <w:rPr>
          <w:noProof/>
          <w:sz w:val="24"/>
          <w:szCs w:val="24"/>
        </w:rPr>
        <w:t>A.1</w:t>
      </w:r>
      <w:r w:rsidRPr="002F67B5">
        <w:rPr>
          <w:noProof/>
          <w:sz w:val="24"/>
          <w:szCs w:val="24"/>
        </w:rPr>
        <w:tab/>
        <w:t>Circumstances Making the Collection of Information Necessary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A.2.</w:t>
      </w:r>
      <w:r w:rsidRPr="002F67B5">
        <w:rPr>
          <w:noProof/>
          <w:sz w:val="24"/>
          <w:szCs w:val="24"/>
        </w:rPr>
        <w:tab/>
        <w:t>Purpose and Use of the Information COLLECTION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A.3</w:t>
      </w:r>
      <w:r w:rsidRPr="002F67B5">
        <w:rPr>
          <w:noProof/>
          <w:sz w:val="24"/>
          <w:szCs w:val="24"/>
        </w:rPr>
        <w:tab/>
        <w:t>Use of Information Technology and Burden Reduction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A.4</w:t>
      </w:r>
      <w:r w:rsidRPr="002F67B5">
        <w:rPr>
          <w:noProof/>
          <w:sz w:val="24"/>
          <w:szCs w:val="24"/>
        </w:rPr>
        <w:tab/>
        <w:t>Efforts to Identify Duplication and Use of Similar Information</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A.5</w:t>
      </w:r>
      <w:r w:rsidRPr="002F67B5">
        <w:rPr>
          <w:noProof/>
          <w:sz w:val="24"/>
          <w:szCs w:val="24"/>
        </w:rPr>
        <w:tab/>
        <w:t>Impact on Small Businesses or Other Small Entities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A.6</w:t>
      </w:r>
      <w:r w:rsidRPr="002F67B5">
        <w:rPr>
          <w:noProof/>
          <w:sz w:val="24"/>
          <w:szCs w:val="24"/>
        </w:rPr>
        <w:tab/>
        <w:t>Consequences of Collecting the Information Less Frequently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A.7</w:t>
      </w:r>
      <w:r w:rsidRPr="002F67B5">
        <w:rPr>
          <w:noProof/>
          <w:sz w:val="24"/>
          <w:szCs w:val="24"/>
        </w:rPr>
        <w:tab/>
        <w:t>Special Circumstances Relating to the Guidelines of 5 CFR 1320.5</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A.8</w:t>
      </w:r>
      <w:r w:rsidRPr="002F67B5">
        <w:rPr>
          <w:noProof/>
          <w:sz w:val="24"/>
          <w:szCs w:val="24"/>
        </w:rPr>
        <w:tab/>
        <w:t>Comments in Response to the Federal Register Notice and Efforts to Consult Outside Agency</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A.9</w:t>
      </w:r>
      <w:r w:rsidRPr="002F67B5">
        <w:rPr>
          <w:noProof/>
          <w:sz w:val="24"/>
          <w:szCs w:val="24"/>
        </w:rPr>
        <w:tab/>
        <w:t>Explanation of Any Payment of Gift to Respondents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A.10</w:t>
      </w:r>
      <w:r w:rsidRPr="002F67B5">
        <w:rPr>
          <w:noProof/>
          <w:sz w:val="24"/>
          <w:szCs w:val="24"/>
        </w:rPr>
        <w:tab/>
        <w:t>Assurance of Confidentiality Provided to Respondents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A.11</w:t>
      </w:r>
      <w:r w:rsidRPr="002F67B5">
        <w:rPr>
          <w:noProof/>
          <w:sz w:val="24"/>
          <w:szCs w:val="24"/>
        </w:rPr>
        <w:tab/>
        <w:t>Justification for Sensitive Questions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A.12</w:t>
      </w:r>
      <w:r w:rsidRPr="002F67B5">
        <w:rPr>
          <w:noProof/>
          <w:sz w:val="24"/>
          <w:szCs w:val="24"/>
        </w:rPr>
        <w:tab/>
        <w:t>Estimates of Hour Burden Including Annualized Hourly Costs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A.13</w:t>
      </w:r>
      <w:r w:rsidRPr="002F67B5">
        <w:rPr>
          <w:noProof/>
          <w:sz w:val="24"/>
          <w:szCs w:val="24"/>
        </w:rPr>
        <w:tab/>
        <w:t>Estimate of Other Total Annual Cost Burden to Respondents or Record</w:t>
      </w:r>
    </w:p>
    <w:p w:rsidR="00253C78" w:rsidRPr="002F67B5" w:rsidRDefault="00253C78" w:rsidP="00253C78">
      <w:pPr>
        <w:pStyle w:val="TOC2"/>
        <w:rPr>
          <w:noProof/>
          <w:sz w:val="24"/>
          <w:szCs w:val="24"/>
        </w:rPr>
      </w:pPr>
      <w:r w:rsidRPr="002F67B5">
        <w:rPr>
          <w:noProof/>
          <w:sz w:val="24"/>
          <w:szCs w:val="24"/>
        </w:rPr>
        <w:tab/>
        <w:t xml:space="preserve"> keepers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A.14</w:t>
      </w:r>
      <w:r w:rsidRPr="002F67B5">
        <w:rPr>
          <w:noProof/>
          <w:sz w:val="24"/>
          <w:szCs w:val="24"/>
        </w:rPr>
        <w:tab/>
        <w:t>Annualized Cost to the Federal Government</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A.15</w:t>
      </w:r>
      <w:r w:rsidRPr="002F67B5">
        <w:rPr>
          <w:noProof/>
          <w:sz w:val="24"/>
          <w:szCs w:val="24"/>
        </w:rPr>
        <w:tab/>
        <w:t>Explanation for Program Changes or Adjustments</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A.16</w:t>
      </w:r>
      <w:r w:rsidRPr="002F67B5">
        <w:rPr>
          <w:noProof/>
          <w:sz w:val="24"/>
          <w:szCs w:val="24"/>
        </w:rPr>
        <w:tab/>
        <w:t>Plans for Tabulation and Publication and Project Time Schedule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A.17</w:t>
      </w:r>
      <w:r w:rsidRPr="002F67B5">
        <w:rPr>
          <w:noProof/>
          <w:sz w:val="24"/>
          <w:szCs w:val="24"/>
        </w:rPr>
        <w:tab/>
        <w:t>Reason(s) Display of OMB Expiration Date is Inappropriate</w:t>
      </w:r>
      <w:r w:rsidRPr="002F67B5">
        <w:rPr>
          <w:noProof/>
          <w:sz w:val="24"/>
          <w:szCs w:val="24"/>
        </w:rPr>
        <w:tab/>
      </w:r>
    </w:p>
    <w:p w:rsidR="00253C78" w:rsidRPr="002F67B5" w:rsidRDefault="00253C78" w:rsidP="00253C78">
      <w:pPr>
        <w:pStyle w:val="TOC2"/>
        <w:rPr>
          <w:noProof/>
          <w:sz w:val="24"/>
          <w:szCs w:val="24"/>
        </w:rPr>
      </w:pPr>
      <w:r w:rsidRPr="002F67B5">
        <w:rPr>
          <w:noProof/>
          <w:sz w:val="24"/>
          <w:szCs w:val="24"/>
        </w:rPr>
        <w:t>A.18</w:t>
      </w:r>
      <w:r w:rsidRPr="002F67B5">
        <w:rPr>
          <w:noProof/>
          <w:sz w:val="24"/>
          <w:szCs w:val="24"/>
        </w:rPr>
        <w:tab/>
        <w:t>Exceptions to Certification for Paperwork Reduction Act Submissions</w:t>
      </w:r>
      <w:r w:rsidRPr="002F67B5">
        <w:rPr>
          <w:noProof/>
          <w:sz w:val="24"/>
          <w:szCs w:val="24"/>
        </w:rPr>
        <w:tab/>
      </w:r>
    </w:p>
    <w:p w:rsidR="005C3DC2" w:rsidRPr="002F67B5" w:rsidRDefault="00D032A4" w:rsidP="00253C78">
      <w:pPr>
        <w:rPr>
          <w:caps/>
          <w:noProof/>
        </w:rPr>
      </w:pPr>
      <w:r w:rsidRPr="002F67B5">
        <w:rPr>
          <w:caps/>
          <w:noProof/>
        </w:rPr>
        <w:fldChar w:fldCharType="end"/>
      </w:r>
    </w:p>
    <w:p w:rsidR="00F14774" w:rsidRDefault="00F14774" w:rsidP="00DE38C2">
      <w:pPr>
        <w:pStyle w:val="P1-StandPara"/>
        <w:ind w:right="-216" w:firstLine="0"/>
        <w:jc w:val="center"/>
        <w:rPr>
          <w:b/>
          <w:caps/>
          <w:noProof/>
          <w:sz w:val="24"/>
          <w:szCs w:val="24"/>
        </w:rPr>
      </w:pPr>
    </w:p>
    <w:p w:rsidR="00F14774" w:rsidRDefault="00F14774" w:rsidP="00DE38C2">
      <w:pPr>
        <w:pStyle w:val="P1-StandPara"/>
        <w:ind w:right="-216" w:firstLine="0"/>
        <w:jc w:val="center"/>
        <w:rPr>
          <w:b/>
          <w:caps/>
          <w:noProof/>
          <w:sz w:val="24"/>
          <w:szCs w:val="24"/>
        </w:rPr>
      </w:pPr>
    </w:p>
    <w:p w:rsidR="00F14774" w:rsidRDefault="00F14774" w:rsidP="00DE38C2">
      <w:pPr>
        <w:pStyle w:val="P1-StandPara"/>
        <w:ind w:right="-216" w:firstLine="0"/>
        <w:jc w:val="center"/>
        <w:rPr>
          <w:b/>
          <w:caps/>
          <w:noProof/>
          <w:sz w:val="24"/>
          <w:szCs w:val="24"/>
        </w:rPr>
      </w:pPr>
    </w:p>
    <w:p w:rsidR="00F14774" w:rsidRDefault="00F14774" w:rsidP="00DE38C2">
      <w:pPr>
        <w:pStyle w:val="P1-StandPara"/>
        <w:ind w:right="-216" w:firstLine="0"/>
        <w:jc w:val="center"/>
        <w:rPr>
          <w:b/>
          <w:caps/>
          <w:noProof/>
          <w:sz w:val="24"/>
          <w:szCs w:val="24"/>
        </w:rPr>
      </w:pPr>
    </w:p>
    <w:p w:rsidR="00F14774" w:rsidRDefault="00F14774" w:rsidP="00DE38C2">
      <w:pPr>
        <w:pStyle w:val="P1-StandPara"/>
        <w:ind w:right="-216" w:firstLine="0"/>
        <w:jc w:val="center"/>
        <w:rPr>
          <w:b/>
          <w:caps/>
          <w:noProof/>
          <w:sz w:val="24"/>
          <w:szCs w:val="24"/>
        </w:rPr>
      </w:pPr>
    </w:p>
    <w:p w:rsidR="00F14774" w:rsidRDefault="00F14774" w:rsidP="00DE38C2">
      <w:pPr>
        <w:pStyle w:val="P1-StandPara"/>
        <w:ind w:right="-216" w:firstLine="0"/>
        <w:jc w:val="center"/>
        <w:rPr>
          <w:b/>
          <w:caps/>
          <w:noProof/>
          <w:sz w:val="24"/>
          <w:szCs w:val="24"/>
        </w:rPr>
      </w:pPr>
    </w:p>
    <w:p w:rsidR="00F14774" w:rsidRDefault="00F14774" w:rsidP="00DE38C2">
      <w:pPr>
        <w:pStyle w:val="P1-StandPara"/>
        <w:ind w:right="-216" w:firstLine="0"/>
        <w:jc w:val="center"/>
        <w:rPr>
          <w:b/>
          <w:caps/>
          <w:noProof/>
          <w:sz w:val="24"/>
          <w:szCs w:val="24"/>
        </w:rPr>
      </w:pPr>
    </w:p>
    <w:p w:rsidR="00DE38C2" w:rsidRPr="00772C56" w:rsidRDefault="00DE38C2" w:rsidP="00DE38C2">
      <w:pPr>
        <w:pStyle w:val="P1-StandPara"/>
        <w:ind w:right="-216" w:firstLine="0"/>
        <w:jc w:val="center"/>
        <w:rPr>
          <w:sz w:val="24"/>
          <w:szCs w:val="24"/>
        </w:rPr>
      </w:pPr>
      <w:r w:rsidRPr="00772C56">
        <w:rPr>
          <w:b/>
          <w:caps/>
          <w:noProof/>
          <w:sz w:val="24"/>
          <w:szCs w:val="24"/>
        </w:rPr>
        <w:lastRenderedPageBreak/>
        <w:t>List of Attachments</w:t>
      </w:r>
      <w:r w:rsidRPr="00772C56">
        <w:rPr>
          <w:sz w:val="24"/>
          <w:szCs w:val="24"/>
        </w:rPr>
        <w:t>:</w:t>
      </w:r>
    </w:p>
    <w:p w:rsidR="00DE38C2" w:rsidRPr="00271640" w:rsidRDefault="00DE38C2" w:rsidP="000E686E">
      <w:pPr>
        <w:pStyle w:val="P1-StandPara"/>
        <w:numPr>
          <w:ilvl w:val="0"/>
          <w:numId w:val="32"/>
        </w:numPr>
        <w:spacing w:after="120" w:line="240" w:lineRule="auto"/>
        <w:ind w:left="720" w:right="-216" w:hanging="720"/>
        <w:rPr>
          <w:sz w:val="24"/>
          <w:szCs w:val="24"/>
        </w:rPr>
      </w:pPr>
      <w:r w:rsidRPr="00271640">
        <w:rPr>
          <w:sz w:val="24"/>
          <w:szCs w:val="24"/>
        </w:rPr>
        <w:t xml:space="preserve">Attachment </w:t>
      </w:r>
      <w:r w:rsidR="004B34A3">
        <w:rPr>
          <w:sz w:val="24"/>
          <w:szCs w:val="24"/>
        </w:rPr>
        <w:t>1</w:t>
      </w:r>
      <w:r w:rsidRPr="00271640">
        <w:rPr>
          <w:sz w:val="24"/>
          <w:szCs w:val="24"/>
        </w:rPr>
        <w:t xml:space="preserve">: Titled ‘Attach </w:t>
      </w:r>
      <w:r w:rsidR="004B34A3">
        <w:rPr>
          <w:sz w:val="24"/>
          <w:szCs w:val="24"/>
        </w:rPr>
        <w:t>1</w:t>
      </w:r>
      <w:r w:rsidRPr="00271640">
        <w:rPr>
          <w:sz w:val="24"/>
          <w:szCs w:val="24"/>
        </w:rPr>
        <w:t>’: Physician and Student Survey</w:t>
      </w:r>
      <w:r w:rsidR="00271640">
        <w:rPr>
          <w:sz w:val="24"/>
          <w:szCs w:val="24"/>
        </w:rPr>
        <w:t>s</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Medical Research Scholars Program (MSRP), formerly the Clinical Research Training Program (CRTP)</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Introduction to the Principles and Practice of Clinical Research (IPPCR)</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Principles of Clinical Pharmacology Course (PCP)</w:t>
      </w:r>
    </w:p>
    <w:p w:rsidR="009D2F7A" w:rsidRPr="009D2F7A" w:rsidRDefault="009D2F7A" w:rsidP="009D2F7A">
      <w:pPr>
        <w:pStyle w:val="P1-StandPara"/>
        <w:numPr>
          <w:ilvl w:val="0"/>
          <w:numId w:val="40"/>
        </w:numPr>
        <w:tabs>
          <w:tab w:val="clear" w:pos="1800"/>
          <w:tab w:val="num" w:pos="1980"/>
        </w:tabs>
        <w:spacing w:after="120" w:line="276" w:lineRule="auto"/>
        <w:ind w:left="1080" w:hanging="180"/>
        <w:rPr>
          <w:sz w:val="24"/>
          <w:szCs w:val="24"/>
        </w:rPr>
      </w:pPr>
      <w:r w:rsidRPr="009D2F7A">
        <w:rPr>
          <w:sz w:val="24"/>
          <w:szCs w:val="24"/>
        </w:rPr>
        <w:t>Clinical Electives Program (CEP)</w:t>
      </w:r>
    </w:p>
    <w:p w:rsidR="00DE38C2" w:rsidRPr="004B327C" w:rsidRDefault="00DE38C2" w:rsidP="00DE38C2">
      <w:pPr>
        <w:pStyle w:val="P1-StandPara"/>
        <w:spacing w:line="240" w:lineRule="auto"/>
        <w:ind w:right="-216" w:firstLine="0"/>
        <w:rPr>
          <w:sz w:val="24"/>
          <w:szCs w:val="24"/>
          <w:highlight w:val="yellow"/>
        </w:rPr>
      </w:pPr>
    </w:p>
    <w:p w:rsidR="00DE38C2" w:rsidRPr="00D1664F" w:rsidRDefault="00DE38C2" w:rsidP="00DE38C2">
      <w:pPr>
        <w:pStyle w:val="P1-StandPara"/>
        <w:numPr>
          <w:ilvl w:val="0"/>
          <w:numId w:val="32"/>
        </w:numPr>
        <w:spacing w:line="240" w:lineRule="auto"/>
        <w:ind w:left="720" w:right="-216" w:hanging="720"/>
        <w:rPr>
          <w:sz w:val="24"/>
          <w:szCs w:val="24"/>
        </w:rPr>
      </w:pPr>
      <w:r w:rsidRPr="00D1664F">
        <w:rPr>
          <w:sz w:val="24"/>
          <w:szCs w:val="24"/>
        </w:rPr>
        <w:t xml:space="preserve">Attachment </w:t>
      </w:r>
      <w:r w:rsidR="004B34A3" w:rsidRPr="00D1664F">
        <w:rPr>
          <w:sz w:val="24"/>
          <w:szCs w:val="24"/>
        </w:rPr>
        <w:t>2</w:t>
      </w:r>
      <w:r w:rsidRPr="00D1664F">
        <w:rPr>
          <w:sz w:val="24"/>
          <w:szCs w:val="24"/>
        </w:rPr>
        <w:t xml:space="preserve">: Titled ‘Attach </w:t>
      </w:r>
      <w:r w:rsidR="004B34A3" w:rsidRPr="00D1664F">
        <w:rPr>
          <w:sz w:val="24"/>
          <w:szCs w:val="24"/>
        </w:rPr>
        <w:t>2</w:t>
      </w:r>
      <w:r w:rsidRPr="00D1664F">
        <w:rPr>
          <w:sz w:val="24"/>
          <w:szCs w:val="24"/>
        </w:rPr>
        <w:t>’: Physician Survey</w:t>
      </w:r>
      <w:r w:rsidR="00271640" w:rsidRPr="00D1664F">
        <w:rPr>
          <w:sz w:val="24"/>
          <w:szCs w:val="24"/>
        </w:rPr>
        <w:t>s</w:t>
      </w:r>
    </w:p>
    <w:p w:rsidR="000E686E" w:rsidRPr="000E686E" w:rsidRDefault="000E686E" w:rsidP="000E686E">
      <w:pPr>
        <w:pStyle w:val="Heading2"/>
        <w:numPr>
          <w:ilvl w:val="1"/>
          <w:numId w:val="38"/>
        </w:numPr>
        <w:tabs>
          <w:tab w:val="clear" w:pos="1152"/>
        </w:tabs>
        <w:spacing w:after="120" w:line="276" w:lineRule="auto"/>
        <w:ind w:left="1080" w:hanging="360"/>
        <w:jc w:val="left"/>
        <w:rPr>
          <w:b w:val="0"/>
          <w:sz w:val="24"/>
          <w:szCs w:val="24"/>
        </w:rPr>
      </w:pPr>
      <w:r w:rsidRPr="000E686E">
        <w:rPr>
          <w:b w:val="0"/>
          <w:sz w:val="24"/>
          <w:szCs w:val="24"/>
        </w:rPr>
        <w:t>Graduate Medical Education (GME) Program</w:t>
      </w:r>
    </w:p>
    <w:p w:rsidR="000E686E" w:rsidRPr="000E686E" w:rsidRDefault="000E686E" w:rsidP="000E686E">
      <w:pPr>
        <w:pStyle w:val="P1-StandPara"/>
        <w:numPr>
          <w:ilvl w:val="1"/>
          <w:numId w:val="38"/>
        </w:numPr>
        <w:spacing w:after="120" w:line="276" w:lineRule="auto"/>
        <w:ind w:left="1080" w:hanging="360"/>
        <w:rPr>
          <w:sz w:val="24"/>
          <w:szCs w:val="24"/>
        </w:rPr>
      </w:pPr>
      <w:r w:rsidRPr="000E686E">
        <w:rPr>
          <w:sz w:val="24"/>
          <w:szCs w:val="24"/>
        </w:rPr>
        <w:t>NIH-Duke Training Program in Clinical Research</w:t>
      </w:r>
    </w:p>
    <w:p w:rsidR="000E686E" w:rsidRPr="00271640" w:rsidRDefault="000E686E" w:rsidP="000E686E">
      <w:pPr>
        <w:pStyle w:val="P1-StandPara"/>
        <w:spacing w:line="240" w:lineRule="auto"/>
        <w:ind w:left="720" w:right="-216" w:firstLine="0"/>
        <w:rPr>
          <w:sz w:val="24"/>
          <w:szCs w:val="24"/>
        </w:rPr>
      </w:pPr>
    </w:p>
    <w:p w:rsidR="00DE38C2" w:rsidRPr="00271640" w:rsidRDefault="00DE38C2" w:rsidP="000E686E">
      <w:pPr>
        <w:pStyle w:val="P1-StandPara"/>
        <w:numPr>
          <w:ilvl w:val="0"/>
          <w:numId w:val="32"/>
        </w:numPr>
        <w:spacing w:after="120" w:line="240" w:lineRule="auto"/>
        <w:ind w:left="720" w:right="-216" w:hanging="720"/>
        <w:rPr>
          <w:sz w:val="24"/>
          <w:szCs w:val="24"/>
        </w:rPr>
      </w:pPr>
      <w:r w:rsidRPr="00271640">
        <w:rPr>
          <w:sz w:val="24"/>
          <w:szCs w:val="24"/>
        </w:rPr>
        <w:t xml:space="preserve">Attachment </w:t>
      </w:r>
      <w:r w:rsidR="004B34A3">
        <w:rPr>
          <w:sz w:val="24"/>
          <w:szCs w:val="24"/>
        </w:rPr>
        <w:t>3</w:t>
      </w:r>
      <w:r w:rsidRPr="00271640">
        <w:rPr>
          <w:sz w:val="24"/>
          <w:szCs w:val="24"/>
        </w:rPr>
        <w:t xml:space="preserve">: Titled ‘Attach </w:t>
      </w:r>
      <w:r w:rsidR="004B34A3">
        <w:rPr>
          <w:sz w:val="24"/>
          <w:szCs w:val="24"/>
        </w:rPr>
        <w:t>3</w:t>
      </w:r>
      <w:r w:rsidRPr="00271640">
        <w:rPr>
          <w:sz w:val="24"/>
          <w:szCs w:val="24"/>
        </w:rPr>
        <w:t>’: Other Survey</w:t>
      </w:r>
      <w:r w:rsidR="00271640">
        <w:rPr>
          <w:sz w:val="24"/>
          <w:szCs w:val="24"/>
        </w:rPr>
        <w:t xml:space="preserve">s </w:t>
      </w:r>
    </w:p>
    <w:p w:rsidR="000E686E" w:rsidRPr="000E686E" w:rsidRDefault="000E686E" w:rsidP="000E686E">
      <w:pPr>
        <w:pStyle w:val="P1-StandPara"/>
        <w:numPr>
          <w:ilvl w:val="0"/>
          <w:numId w:val="41"/>
        </w:numPr>
        <w:tabs>
          <w:tab w:val="clear" w:pos="1800"/>
          <w:tab w:val="num" w:pos="1080"/>
        </w:tabs>
        <w:spacing w:after="120" w:line="276" w:lineRule="auto"/>
        <w:ind w:hanging="1080"/>
        <w:rPr>
          <w:sz w:val="24"/>
          <w:szCs w:val="24"/>
        </w:rPr>
      </w:pPr>
      <w:r w:rsidRPr="000E686E">
        <w:rPr>
          <w:sz w:val="24"/>
          <w:szCs w:val="24"/>
        </w:rPr>
        <w:t xml:space="preserve">Sabbatical in Clinical Research Management </w:t>
      </w:r>
    </w:p>
    <w:p w:rsidR="000E686E" w:rsidRPr="000E686E" w:rsidRDefault="000E686E" w:rsidP="000E686E">
      <w:pPr>
        <w:pStyle w:val="P1-StandPara"/>
        <w:numPr>
          <w:ilvl w:val="0"/>
          <w:numId w:val="41"/>
        </w:numPr>
        <w:tabs>
          <w:tab w:val="clear" w:pos="1800"/>
          <w:tab w:val="num" w:pos="1080"/>
        </w:tabs>
        <w:spacing w:after="120" w:line="276" w:lineRule="auto"/>
        <w:ind w:hanging="1080"/>
        <w:rPr>
          <w:sz w:val="24"/>
          <w:szCs w:val="24"/>
        </w:rPr>
      </w:pPr>
      <w:r w:rsidRPr="000E686E">
        <w:rPr>
          <w:iCs/>
          <w:sz w:val="24"/>
          <w:szCs w:val="24"/>
        </w:rPr>
        <w:t>Ph.D. Student Summer Course in Clinical and Translational Research</w:t>
      </w:r>
      <w:r w:rsidRPr="000E686E">
        <w:rPr>
          <w:sz w:val="24"/>
          <w:szCs w:val="24"/>
        </w:rPr>
        <w:t xml:space="preserve"> </w:t>
      </w:r>
    </w:p>
    <w:p w:rsidR="000E686E" w:rsidRPr="00D1664F" w:rsidRDefault="000E686E" w:rsidP="000E686E">
      <w:pPr>
        <w:pStyle w:val="P1-StandPara"/>
        <w:numPr>
          <w:ilvl w:val="0"/>
          <w:numId w:val="41"/>
        </w:numPr>
        <w:tabs>
          <w:tab w:val="clear" w:pos="1800"/>
          <w:tab w:val="num" w:pos="1080"/>
        </w:tabs>
        <w:spacing w:after="120" w:line="276" w:lineRule="auto"/>
        <w:ind w:hanging="1080"/>
        <w:rPr>
          <w:sz w:val="24"/>
          <w:szCs w:val="24"/>
        </w:rPr>
      </w:pPr>
      <w:r w:rsidRPr="00D1664F">
        <w:rPr>
          <w:sz w:val="24"/>
          <w:szCs w:val="24"/>
        </w:rPr>
        <w:t xml:space="preserve">Summer </w:t>
      </w:r>
      <w:r w:rsidR="007A6720" w:rsidRPr="00D1664F">
        <w:rPr>
          <w:sz w:val="24"/>
          <w:szCs w:val="24"/>
        </w:rPr>
        <w:t xml:space="preserve">Internship </w:t>
      </w:r>
      <w:r w:rsidRPr="00D1664F">
        <w:rPr>
          <w:sz w:val="24"/>
          <w:szCs w:val="24"/>
        </w:rPr>
        <w:t xml:space="preserve">Program </w:t>
      </w:r>
    </w:p>
    <w:p w:rsidR="000E686E" w:rsidRDefault="000E686E" w:rsidP="00F742DE">
      <w:pPr>
        <w:pStyle w:val="P1-StandPara"/>
        <w:tabs>
          <w:tab w:val="left" w:pos="720"/>
          <w:tab w:val="right" w:leader="dot" w:pos="9504"/>
        </w:tabs>
        <w:spacing w:line="240" w:lineRule="auto"/>
        <w:ind w:firstLine="0"/>
        <w:rPr>
          <w:sz w:val="24"/>
          <w:szCs w:val="24"/>
        </w:rPr>
      </w:pPr>
    </w:p>
    <w:p w:rsidR="009D3B5D" w:rsidRDefault="009D3B5D" w:rsidP="009D3B5D">
      <w:pPr>
        <w:pStyle w:val="P1-StandPara"/>
        <w:tabs>
          <w:tab w:val="left" w:pos="720"/>
          <w:tab w:val="right" w:leader="dot" w:pos="9504"/>
        </w:tabs>
        <w:spacing w:after="120" w:line="240" w:lineRule="auto"/>
        <w:ind w:firstLine="0"/>
        <w:rPr>
          <w:sz w:val="24"/>
          <w:szCs w:val="24"/>
        </w:rPr>
      </w:pPr>
      <w:r>
        <w:rPr>
          <w:sz w:val="24"/>
          <w:szCs w:val="24"/>
        </w:rPr>
        <w:t>4.</w:t>
      </w:r>
      <w:r>
        <w:rPr>
          <w:sz w:val="24"/>
          <w:szCs w:val="24"/>
        </w:rPr>
        <w:tab/>
        <w:t>Attachment 4: Titled ‘Attach 4’: Survey Modification Supplemental Document</w:t>
      </w:r>
    </w:p>
    <w:p w:rsidR="009D3B5D" w:rsidRPr="00B27398" w:rsidRDefault="009D3B5D" w:rsidP="009D3B5D">
      <w:pPr>
        <w:pStyle w:val="P1-StandPara"/>
        <w:numPr>
          <w:ilvl w:val="0"/>
          <w:numId w:val="42"/>
        </w:numPr>
        <w:spacing w:after="120" w:line="240" w:lineRule="auto"/>
        <w:ind w:left="1080"/>
        <w:rPr>
          <w:sz w:val="24"/>
          <w:szCs w:val="24"/>
        </w:rPr>
      </w:pPr>
      <w:r w:rsidRPr="00B27398">
        <w:rPr>
          <w:sz w:val="24"/>
          <w:szCs w:val="24"/>
        </w:rPr>
        <w:t>NIH-Duke Training Program in Clinical Research</w:t>
      </w:r>
      <w:r>
        <w:rPr>
          <w:sz w:val="24"/>
          <w:szCs w:val="24"/>
        </w:rPr>
        <w:t xml:space="preserve"> Outcomes Survey</w:t>
      </w:r>
    </w:p>
    <w:p w:rsidR="009D3B5D" w:rsidRPr="009D2F7A" w:rsidRDefault="009D3B5D" w:rsidP="009D3B5D">
      <w:pPr>
        <w:pStyle w:val="P1-StandPara"/>
        <w:numPr>
          <w:ilvl w:val="0"/>
          <w:numId w:val="42"/>
        </w:numPr>
        <w:tabs>
          <w:tab w:val="clear" w:pos="1800"/>
          <w:tab w:val="num" w:pos="1890"/>
        </w:tabs>
        <w:spacing w:after="120" w:line="276" w:lineRule="auto"/>
        <w:ind w:left="1080"/>
        <w:rPr>
          <w:sz w:val="24"/>
          <w:szCs w:val="24"/>
        </w:rPr>
      </w:pPr>
      <w:r w:rsidRPr="009D2F7A">
        <w:rPr>
          <w:sz w:val="24"/>
          <w:szCs w:val="24"/>
        </w:rPr>
        <w:t>Introduction to the Principles and Practice of Clinical Research (IPPCR)</w:t>
      </w:r>
      <w:r>
        <w:rPr>
          <w:sz w:val="24"/>
          <w:szCs w:val="24"/>
        </w:rPr>
        <w:t xml:space="preserve"> End-of-Course Participant Evaluation</w:t>
      </w:r>
    </w:p>
    <w:p w:rsidR="009D3B5D" w:rsidRDefault="009D3B5D" w:rsidP="009D3B5D">
      <w:pPr>
        <w:pStyle w:val="P1-StandPara"/>
        <w:numPr>
          <w:ilvl w:val="0"/>
          <w:numId w:val="42"/>
        </w:numPr>
        <w:spacing w:after="120" w:line="276" w:lineRule="auto"/>
        <w:ind w:left="1080"/>
        <w:rPr>
          <w:sz w:val="24"/>
          <w:szCs w:val="24"/>
        </w:rPr>
      </w:pPr>
      <w:r w:rsidRPr="009D2F7A">
        <w:rPr>
          <w:sz w:val="24"/>
          <w:szCs w:val="24"/>
        </w:rPr>
        <w:t>Principles of Clinical Pharmacology (PCP)</w:t>
      </w:r>
      <w:r>
        <w:rPr>
          <w:sz w:val="24"/>
          <w:szCs w:val="24"/>
        </w:rPr>
        <w:t xml:space="preserve"> End-of-</w:t>
      </w:r>
      <w:r w:rsidRPr="009D2F7A">
        <w:rPr>
          <w:sz w:val="24"/>
          <w:szCs w:val="24"/>
        </w:rPr>
        <w:t xml:space="preserve">Course </w:t>
      </w:r>
      <w:r>
        <w:rPr>
          <w:sz w:val="24"/>
          <w:szCs w:val="24"/>
        </w:rPr>
        <w:t>Participant Evaluation</w:t>
      </w:r>
    </w:p>
    <w:p w:rsidR="009D3B5D" w:rsidRDefault="009D3B5D" w:rsidP="009D3B5D">
      <w:pPr>
        <w:pStyle w:val="P1-StandPara"/>
        <w:tabs>
          <w:tab w:val="left" w:pos="720"/>
          <w:tab w:val="right" w:leader="dot" w:pos="9504"/>
        </w:tabs>
        <w:spacing w:line="240" w:lineRule="auto"/>
        <w:ind w:firstLine="0"/>
        <w:rPr>
          <w:sz w:val="24"/>
          <w:szCs w:val="24"/>
        </w:rPr>
      </w:pPr>
    </w:p>
    <w:p w:rsidR="009D3B5D" w:rsidRDefault="009D3B5D" w:rsidP="009D3B5D">
      <w:pPr>
        <w:pStyle w:val="P1-StandPara"/>
        <w:tabs>
          <w:tab w:val="left" w:pos="720"/>
          <w:tab w:val="right" w:leader="dot" w:pos="9504"/>
        </w:tabs>
        <w:spacing w:line="240" w:lineRule="auto"/>
        <w:ind w:firstLine="0"/>
        <w:rPr>
          <w:sz w:val="24"/>
          <w:szCs w:val="24"/>
        </w:rPr>
      </w:pPr>
      <w:r>
        <w:rPr>
          <w:sz w:val="24"/>
          <w:szCs w:val="24"/>
        </w:rPr>
        <w:t>5.</w:t>
      </w:r>
      <w:r>
        <w:rPr>
          <w:sz w:val="24"/>
          <w:szCs w:val="24"/>
        </w:rPr>
        <w:tab/>
        <w:t>Attachment 5: Titled ‘Attach 5’: Privacy Impact Assessment</w:t>
      </w:r>
    </w:p>
    <w:p w:rsidR="000E686E" w:rsidRDefault="000E686E"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764655" w:rsidRDefault="00764655" w:rsidP="00F742DE">
      <w:pPr>
        <w:pStyle w:val="P1-StandPara"/>
        <w:tabs>
          <w:tab w:val="left" w:pos="720"/>
          <w:tab w:val="right" w:leader="dot" w:pos="9504"/>
        </w:tabs>
        <w:spacing w:line="240" w:lineRule="auto"/>
        <w:ind w:firstLine="0"/>
        <w:rPr>
          <w:sz w:val="24"/>
          <w:szCs w:val="24"/>
        </w:rPr>
      </w:pPr>
    </w:p>
    <w:p w:rsidR="00D00E9E" w:rsidRDefault="00D00E9E" w:rsidP="00F742DE">
      <w:pPr>
        <w:pStyle w:val="P1-StandPara"/>
        <w:tabs>
          <w:tab w:val="left" w:pos="720"/>
          <w:tab w:val="right" w:leader="dot" w:pos="9504"/>
        </w:tabs>
        <w:spacing w:line="240" w:lineRule="auto"/>
        <w:ind w:firstLine="0"/>
        <w:rPr>
          <w:sz w:val="24"/>
          <w:szCs w:val="24"/>
        </w:rPr>
      </w:pPr>
      <w:r>
        <w:rPr>
          <w:sz w:val="24"/>
          <w:szCs w:val="24"/>
        </w:rPr>
        <w:lastRenderedPageBreak/>
        <w:t>Abstract</w:t>
      </w:r>
    </w:p>
    <w:p w:rsidR="00D00E9E" w:rsidRDefault="00D00E9E" w:rsidP="00F742DE">
      <w:pPr>
        <w:pStyle w:val="P1-StandPara"/>
        <w:tabs>
          <w:tab w:val="left" w:pos="720"/>
          <w:tab w:val="right" w:leader="dot" w:pos="9504"/>
        </w:tabs>
        <w:spacing w:line="240" w:lineRule="auto"/>
        <w:ind w:firstLine="0"/>
        <w:rPr>
          <w:sz w:val="24"/>
          <w:szCs w:val="24"/>
        </w:rPr>
      </w:pPr>
    </w:p>
    <w:p w:rsidR="001B34DE" w:rsidRDefault="00FC6460" w:rsidP="00FC6460">
      <w:pPr>
        <w:pStyle w:val="P1-StandPara"/>
        <w:spacing w:line="240" w:lineRule="auto"/>
        <w:ind w:left="720" w:firstLine="0"/>
        <w:rPr>
          <w:sz w:val="24"/>
          <w:szCs w:val="24"/>
        </w:rPr>
      </w:pPr>
      <w:r>
        <w:rPr>
          <w:sz w:val="24"/>
          <w:szCs w:val="24"/>
        </w:rPr>
        <w:t xml:space="preserve">The </w:t>
      </w:r>
      <w:r w:rsidR="00260E8D">
        <w:rPr>
          <w:sz w:val="24"/>
          <w:szCs w:val="24"/>
        </w:rPr>
        <w:t xml:space="preserve">existing </w:t>
      </w:r>
      <w:r>
        <w:rPr>
          <w:sz w:val="24"/>
          <w:szCs w:val="24"/>
        </w:rPr>
        <w:t xml:space="preserve">information collection proposed for revision allows on-going assessment of the long-term </w:t>
      </w:r>
      <w:r w:rsidR="001B34DE">
        <w:rPr>
          <w:sz w:val="24"/>
          <w:szCs w:val="24"/>
        </w:rPr>
        <w:t xml:space="preserve">impact and </w:t>
      </w:r>
      <w:r w:rsidR="00260E8D">
        <w:rPr>
          <w:sz w:val="24"/>
          <w:szCs w:val="24"/>
        </w:rPr>
        <w:t>outcomes</w:t>
      </w:r>
      <w:r>
        <w:rPr>
          <w:sz w:val="24"/>
          <w:szCs w:val="24"/>
        </w:rPr>
        <w:t xml:space="preserve"> of clinical research training programs provided by the Office of Clinical Research Training and Medical Education </w:t>
      </w:r>
      <w:r w:rsidR="001B34DE">
        <w:rPr>
          <w:sz w:val="24"/>
          <w:szCs w:val="24"/>
        </w:rPr>
        <w:t xml:space="preserve">located </w:t>
      </w:r>
      <w:r>
        <w:rPr>
          <w:sz w:val="24"/>
          <w:szCs w:val="24"/>
        </w:rPr>
        <w:t>in the NIH Clinical Center (CC) over a ten year follow-up period.</w:t>
      </w:r>
      <w:r w:rsidRPr="002F67B5">
        <w:rPr>
          <w:sz w:val="24"/>
          <w:szCs w:val="24"/>
        </w:rPr>
        <w:t xml:space="preserve">  The information </w:t>
      </w:r>
      <w:r w:rsidRPr="00DF1A26">
        <w:rPr>
          <w:sz w:val="24"/>
          <w:szCs w:val="24"/>
        </w:rPr>
        <w:t xml:space="preserve">received from respondents is evaluated </w:t>
      </w:r>
      <w:r w:rsidR="001B34DE">
        <w:rPr>
          <w:sz w:val="24"/>
          <w:szCs w:val="24"/>
        </w:rPr>
        <w:t xml:space="preserve">annually </w:t>
      </w:r>
      <w:r w:rsidRPr="00DF1A26">
        <w:rPr>
          <w:sz w:val="24"/>
          <w:szCs w:val="24"/>
        </w:rPr>
        <w:t>by</w:t>
      </w:r>
      <w:r w:rsidR="001B34DE">
        <w:rPr>
          <w:sz w:val="24"/>
          <w:szCs w:val="24"/>
        </w:rPr>
        <w:t xml:space="preserve">, </w:t>
      </w:r>
      <w:r w:rsidRPr="00DF1A26">
        <w:rPr>
          <w:sz w:val="24"/>
          <w:szCs w:val="24"/>
        </w:rPr>
        <w:t>and incorporated into</w:t>
      </w:r>
      <w:r w:rsidR="001B34DE">
        <w:rPr>
          <w:sz w:val="24"/>
          <w:szCs w:val="24"/>
        </w:rPr>
        <w:t>,</w:t>
      </w:r>
      <w:r w:rsidRPr="00DF1A26">
        <w:rPr>
          <w:sz w:val="24"/>
          <w:szCs w:val="24"/>
        </w:rPr>
        <w:t xml:space="preserve"> the ongoing operational improvement efforts of the Director of the Office of Clinical Research Training and Education, the </w:t>
      </w:r>
      <w:r w:rsidR="001B34DE">
        <w:rPr>
          <w:sz w:val="24"/>
          <w:szCs w:val="24"/>
        </w:rPr>
        <w:t>Director of the CC</w:t>
      </w:r>
      <w:r w:rsidRPr="00DF1A26">
        <w:rPr>
          <w:sz w:val="24"/>
          <w:szCs w:val="24"/>
        </w:rPr>
        <w:t>, and select NIH committees</w:t>
      </w:r>
      <w:r>
        <w:rPr>
          <w:sz w:val="24"/>
          <w:szCs w:val="24"/>
        </w:rPr>
        <w:t xml:space="preserve">, including the </w:t>
      </w:r>
      <w:r w:rsidR="001B34DE">
        <w:rPr>
          <w:sz w:val="24"/>
          <w:szCs w:val="24"/>
        </w:rPr>
        <w:t>trans-</w:t>
      </w:r>
      <w:r>
        <w:rPr>
          <w:sz w:val="24"/>
          <w:szCs w:val="24"/>
        </w:rPr>
        <w:t>NIH Graduate Medical Education Committee</w:t>
      </w:r>
      <w:r w:rsidRPr="00DF1A26">
        <w:rPr>
          <w:sz w:val="24"/>
          <w:szCs w:val="24"/>
        </w:rPr>
        <w:t>.</w:t>
      </w:r>
      <w:r>
        <w:rPr>
          <w:sz w:val="24"/>
          <w:szCs w:val="24"/>
        </w:rPr>
        <w:t xml:space="preserve"> The information </w:t>
      </w:r>
      <w:r w:rsidR="001B34DE">
        <w:rPr>
          <w:sz w:val="24"/>
          <w:szCs w:val="24"/>
        </w:rPr>
        <w:t xml:space="preserve">collected </w:t>
      </w:r>
      <w:r>
        <w:rPr>
          <w:sz w:val="24"/>
          <w:szCs w:val="24"/>
        </w:rPr>
        <w:t xml:space="preserve">is also required to validate the effectiveness of graduate medical education training programs </w:t>
      </w:r>
      <w:r w:rsidR="001B34DE">
        <w:rPr>
          <w:sz w:val="24"/>
          <w:szCs w:val="24"/>
        </w:rPr>
        <w:t>sponsored by the CC</w:t>
      </w:r>
      <w:r>
        <w:rPr>
          <w:sz w:val="24"/>
          <w:szCs w:val="24"/>
        </w:rPr>
        <w:t xml:space="preserve"> in accordance with requirements of external accrediting organizations, specifically the Accreditation Council for Graduate Medical Education located in Chicago, IL.</w:t>
      </w:r>
      <w:r w:rsidR="001B34DE">
        <w:rPr>
          <w:sz w:val="24"/>
          <w:szCs w:val="24"/>
        </w:rPr>
        <w:t xml:space="preserve"> </w:t>
      </w:r>
    </w:p>
    <w:p w:rsidR="001B34DE" w:rsidRDefault="001B34DE" w:rsidP="00FC6460">
      <w:pPr>
        <w:pStyle w:val="P1-StandPara"/>
        <w:spacing w:line="240" w:lineRule="auto"/>
        <w:ind w:left="720" w:firstLine="0"/>
        <w:rPr>
          <w:sz w:val="24"/>
          <w:szCs w:val="24"/>
        </w:rPr>
      </w:pPr>
    </w:p>
    <w:p w:rsidR="00FC6460" w:rsidRPr="00DF1A26" w:rsidRDefault="009D3B5D" w:rsidP="00FC6460">
      <w:pPr>
        <w:pStyle w:val="P1-StandPara"/>
        <w:spacing w:line="240" w:lineRule="auto"/>
        <w:ind w:left="720" w:firstLine="0"/>
        <w:rPr>
          <w:sz w:val="24"/>
          <w:szCs w:val="24"/>
        </w:rPr>
      </w:pPr>
      <w:r w:rsidRPr="004104D9">
        <w:rPr>
          <w:sz w:val="24"/>
          <w:szCs w:val="24"/>
        </w:rPr>
        <w:t xml:space="preserve">The request for revision of the information collection involves the discontinuation of </w:t>
      </w:r>
      <w:r>
        <w:rPr>
          <w:sz w:val="24"/>
          <w:szCs w:val="24"/>
        </w:rPr>
        <w:t xml:space="preserve">the Resident Electives Program Survey; </w:t>
      </w:r>
      <w:r w:rsidRPr="004104D9">
        <w:rPr>
          <w:sz w:val="24"/>
          <w:szCs w:val="24"/>
        </w:rPr>
        <w:t xml:space="preserve">the addition of </w:t>
      </w:r>
      <w:r>
        <w:rPr>
          <w:sz w:val="24"/>
          <w:szCs w:val="24"/>
        </w:rPr>
        <w:t>6</w:t>
      </w:r>
      <w:r w:rsidRPr="004104D9">
        <w:rPr>
          <w:sz w:val="24"/>
          <w:szCs w:val="24"/>
        </w:rPr>
        <w:t xml:space="preserve"> new surveys</w:t>
      </w:r>
      <w:r>
        <w:rPr>
          <w:sz w:val="24"/>
          <w:szCs w:val="24"/>
        </w:rPr>
        <w:t>, which include 3- and 5-year follow-up surveys for the PhD Summer Course, the Summer Internship Program and the Sabbatical Program participants;</w:t>
      </w:r>
      <w:r w:rsidRPr="004104D9">
        <w:rPr>
          <w:sz w:val="24"/>
          <w:szCs w:val="24"/>
        </w:rPr>
        <w:t xml:space="preserve"> and modification</w:t>
      </w:r>
      <w:r>
        <w:rPr>
          <w:sz w:val="24"/>
          <w:szCs w:val="24"/>
        </w:rPr>
        <w:t>s</w:t>
      </w:r>
      <w:r w:rsidRPr="004104D9">
        <w:rPr>
          <w:sz w:val="24"/>
          <w:szCs w:val="24"/>
        </w:rPr>
        <w:t xml:space="preserve"> </w:t>
      </w:r>
      <w:r>
        <w:rPr>
          <w:sz w:val="24"/>
          <w:szCs w:val="24"/>
        </w:rPr>
        <w:t>of</w:t>
      </w:r>
      <w:r w:rsidRPr="004104D9">
        <w:rPr>
          <w:sz w:val="24"/>
          <w:szCs w:val="24"/>
        </w:rPr>
        <w:t xml:space="preserve"> </w:t>
      </w:r>
      <w:r>
        <w:rPr>
          <w:sz w:val="24"/>
          <w:szCs w:val="24"/>
        </w:rPr>
        <w:t>three</w:t>
      </w:r>
      <w:r w:rsidRPr="004104D9">
        <w:rPr>
          <w:sz w:val="24"/>
          <w:szCs w:val="24"/>
        </w:rPr>
        <w:t xml:space="preserve"> existing survey</w:t>
      </w:r>
      <w:r>
        <w:rPr>
          <w:sz w:val="24"/>
          <w:szCs w:val="24"/>
        </w:rPr>
        <w:t>s. These requested changes are needed</w:t>
      </w:r>
      <w:r w:rsidRPr="004104D9">
        <w:rPr>
          <w:sz w:val="24"/>
          <w:szCs w:val="24"/>
        </w:rPr>
        <w:t xml:space="preserve"> in order to </w:t>
      </w:r>
      <w:r>
        <w:rPr>
          <w:sz w:val="24"/>
          <w:szCs w:val="24"/>
        </w:rPr>
        <w:t xml:space="preserve">streamline the evaluation process and </w:t>
      </w:r>
      <w:r w:rsidRPr="004104D9">
        <w:rPr>
          <w:sz w:val="24"/>
          <w:szCs w:val="24"/>
        </w:rPr>
        <w:t>capture additional data for more meaningful and more effective program outcome evaluations.</w:t>
      </w:r>
      <w:r w:rsidR="0091069F">
        <w:rPr>
          <w:sz w:val="24"/>
          <w:szCs w:val="24"/>
        </w:rPr>
        <w:t xml:space="preserve"> </w:t>
      </w:r>
      <w:r w:rsidR="00BB1265">
        <w:rPr>
          <w:sz w:val="24"/>
          <w:szCs w:val="24"/>
        </w:rPr>
        <w:t xml:space="preserve">Accordingly, these </w:t>
      </w:r>
      <w:r w:rsidR="00855C44">
        <w:rPr>
          <w:sz w:val="24"/>
          <w:szCs w:val="24"/>
        </w:rPr>
        <w:t xml:space="preserve">additions and </w:t>
      </w:r>
      <w:r w:rsidR="00BB1265">
        <w:rPr>
          <w:sz w:val="24"/>
          <w:szCs w:val="24"/>
        </w:rPr>
        <w:t>modifications will result in an increase in both the</w:t>
      </w:r>
      <w:r w:rsidR="00855C44">
        <w:rPr>
          <w:sz w:val="24"/>
          <w:szCs w:val="24"/>
        </w:rPr>
        <w:t xml:space="preserve"> annual</w:t>
      </w:r>
      <w:r w:rsidR="00BB1265">
        <w:rPr>
          <w:sz w:val="24"/>
          <w:szCs w:val="24"/>
        </w:rPr>
        <w:t xml:space="preserve"> </w:t>
      </w:r>
      <w:r w:rsidR="00855C44">
        <w:rPr>
          <w:sz w:val="24"/>
          <w:szCs w:val="24"/>
        </w:rPr>
        <w:t xml:space="preserve">total </w:t>
      </w:r>
      <w:r w:rsidR="00BB1265" w:rsidRPr="00BB1265">
        <w:rPr>
          <w:sz w:val="24"/>
          <w:szCs w:val="24"/>
        </w:rPr>
        <w:t xml:space="preserve">number of survey respondents and the estimated </w:t>
      </w:r>
      <w:r w:rsidR="00855C44">
        <w:rPr>
          <w:sz w:val="24"/>
          <w:szCs w:val="24"/>
        </w:rPr>
        <w:t xml:space="preserve">annual </w:t>
      </w:r>
      <w:r w:rsidR="00BB1265" w:rsidRPr="00BB1265">
        <w:rPr>
          <w:sz w:val="24"/>
          <w:szCs w:val="24"/>
        </w:rPr>
        <w:t>total burden hours, respectively</w:t>
      </w:r>
      <w:r w:rsidR="00BB1265">
        <w:rPr>
          <w:sz w:val="24"/>
          <w:szCs w:val="24"/>
        </w:rPr>
        <w:t>, for the existing information collection</w:t>
      </w:r>
      <w:r w:rsidR="00855C44">
        <w:rPr>
          <w:sz w:val="24"/>
          <w:szCs w:val="24"/>
        </w:rPr>
        <w:t xml:space="preserve"> as described in section A.12</w:t>
      </w:r>
      <w:r w:rsidR="00260E8D">
        <w:rPr>
          <w:sz w:val="24"/>
          <w:szCs w:val="24"/>
        </w:rPr>
        <w:t xml:space="preserve"> below</w:t>
      </w:r>
      <w:r w:rsidR="00BB1265" w:rsidRPr="00BB1265">
        <w:rPr>
          <w:sz w:val="24"/>
          <w:szCs w:val="24"/>
        </w:rPr>
        <w:t xml:space="preserve">.  </w:t>
      </w:r>
      <w:r w:rsidR="00FC6460" w:rsidRPr="00DF1A26">
        <w:rPr>
          <w:sz w:val="24"/>
          <w:szCs w:val="24"/>
        </w:rPr>
        <w:t xml:space="preserve"> </w:t>
      </w:r>
    </w:p>
    <w:p w:rsidR="00D00E9E" w:rsidRDefault="00D00E9E" w:rsidP="00F742DE">
      <w:pPr>
        <w:pStyle w:val="P1-StandPara"/>
        <w:tabs>
          <w:tab w:val="left" w:pos="720"/>
          <w:tab w:val="right" w:leader="dot" w:pos="9504"/>
        </w:tabs>
        <w:spacing w:line="240" w:lineRule="auto"/>
        <w:ind w:firstLine="0"/>
        <w:rPr>
          <w:sz w:val="24"/>
          <w:szCs w:val="24"/>
        </w:rPr>
      </w:pPr>
    </w:p>
    <w:p w:rsidR="00D90CFE" w:rsidRPr="002F67B5" w:rsidRDefault="00BF4042" w:rsidP="00F742DE">
      <w:pPr>
        <w:pStyle w:val="P1-StandPara"/>
        <w:tabs>
          <w:tab w:val="left" w:pos="720"/>
          <w:tab w:val="right" w:leader="dot" w:pos="9504"/>
        </w:tabs>
        <w:spacing w:line="240" w:lineRule="auto"/>
        <w:ind w:firstLine="0"/>
        <w:rPr>
          <w:sz w:val="24"/>
          <w:szCs w:val="24"/>
        </w:rPr>
      </w:pPr>
      <w:r w:rsidRPr="002F67B5">
        <w:rPr>
          <w:sz w:val="24"/>
          <w:szCs w:val="24"/>
        </w:rPr>
        <w:t>A.1</w:t>
      </w:r>
      <w:r w:rsidRPr="002F67B5">
        <w:rPr>
          <w:sz w:val="24"/>
          <w:szCs w:val="24"/>
        </w:rPr>
        <w:tab/>
      </w:r>
      <w:r w:rsidRPr="00991B66">
        <w:rPr>
          <w:b/>
          <w:sz w:val="24"/>
          <w:szCs w:val="24"/>
        </w:rPr>
        <w:t>Circumstances Making the Collection of Information Necessary</w:t>
      </w:r>
    </w:p>
    <w:p w:rsidR="00794568" w:rsidRPr="002F67B5" w:rsidRDefault="00794568" w:rsidP="00F742DE">
      <w:pPr>
        <w:pStyle w:val="P1-StandPara"/>
        <w:tabs>
          <w:tab w:val="left" w:pos="720"/>
          <w:tab w:val="right" w:leader="dot" w:pos="9504"/>
        </w:tabs>
        <w:spacing w:line="240" w:lineRule="auto"/>
        <w:ind w:firstLine="0"/>
        <w:rPr>
          <w:sz w:val="24"/>
          <w:szCs w:val="24"/>
        </w:rPr>
      </w:pPr>
    </w:p>
    <w:p w:rsidR="00D90CFE" w:rsidRPr="002F67B5" w:rsidRDefault="00D90CFE" w:rsidP="00F742DE">
      <w:pPr>
        <w:pStyle w:val="P1-StandPara"/>
        <w:tabs>
          <w:tab w:val="left" w:pos="720"/>
          <w:tab w:val="right" w:leader="dot" w:pos="9504"/>
        </w:tabs>
        <w:spacing w:line="240" w:lineRule="auto"/>
        <w:ind w:left="720" w:hanging="720"/>
        <w:rPr>
          <w:sz w:val="24"/>
          <w:szCs w:val="24"/>
        </w:rPr>
      </w:pPr>
      <w:r w:rsidRPr="002F67B5">
        <w:rPr>
          <w:sz w:val="24"/>
          <w:szCs w:val="24"/>
        </w:rPr>
        <w:tab/>
        <w:t xml:space="preserve">This survey </w:t>
      </w:r>
      <w:r w:rsidR="00F845DE">
        <w:rPr>
          <w:sz w:val="24"/>
          <w:szCs w:val="24"/>
        </w:rPr>
        <w:t>helps</w:t>
      </w:r>
      <w:r w:rsidRPr="002F67B5">
        <w:rPr>
          <w:sz w:val="24"/>
          <w:szCs w:val="24"/>
        </w:rPr>
        <w:t xml:space="preserve"> fulfill the requirements of:</w:t>
      </w:r>
    </w:p>
    <w:p w:rsidR="00794568" w:rsidRPr="002F67B5" w:rsidRDefault="00794568" w:rsidP="00F742DE">
      <w:pPr>
        <w:pStyle w:val="P1-StandPara"/>
        <w:tabs>
          <w:tab w:val="left" w:pos="720"/>
          <w:tab w:val="right" w:leader="dot" w:pos="9504"/>
        </w:tabs>
        <w:spacing w:line="240" w:lineRule="auto"/>
        <w:ind w:left="720" w:hanging="720"/>
        <w:rPr>
          <w:sz w:val="24"/>
          <w:szCs w:val="24"/>
        </w:rPr>
      </w:pPr>
    </w:p>
    <w:p w:rsidR="00D90CFE" w:rsidRPr="002F67B5" w:rsidRDefault="00D90CFE" w:rsidP="00F742DE">
      <w:pPr>
        <w:pStyle w:val="P1-StandPara"/>
        <w:numPr>
          <w:ilvl w:val="2"/>
          <w:numId w:val="5"/>
        </w:numPr>
        <w:tabs>
          <w:tab w:val="clear" w:pos="2880"/>
          <w:tab w:val="num" w:pos="900"/>
        </w:tabs>
        <w:spacing w:line="240" w:lineRule="auto"/>
        <w:ind w:left="900" w:hanging="180"/>
        <w:rPr>
          <w:sz w:val="24"/>
          <w:szCs w:val="24"/>
        </w:rPr>
      </w:pPr>
      <w:bookmarkStart w:id="1" w:name="OLE_LINK1"/>
      <w:bookmarkStart w:id="2" w:name="OLE_LINK2"/>
      <w:r w:rsidRPr="002F67B5">
        <w:rPr>
          <w:sz w:val="24"/>
          <w:szCs w:val="24"/>
        </w:rPr>
        <w:t>Executive Order 12862</w:t>
      </w:r>
      <w:bookmarkEnd w:id="1"/>
      <w:bookmarkEnd w:id="2"/>
      <w:r w:rsidRPr="002F67B5">
        <w:rPr>
          <w:sz w:val="24"/>
          <w:szCs w:val="24"/>
        </w:rPr>
        <w:t>, ‘Setting Customer Service Standards,” which directs Agencies to continually reform their management practices and operations to provide service to the public that matches or exceeds the best service available in the private sector; and</w:t>
      </w:r>
    </w:p>
    <w:p w:rsidR="00794568" w:rsidRPr="002F67B5" w:rsidRDefault="00794568" w:rsidP="00794568">
      <w:pPr>
        <w:pStyle w:val="P1-StandPara"/>
        <w:spacing w:line="240" w:lineRule="auto"/>
        <w:ind w:left="720" w:firstLine="0"/>
        <w:rPr>
          <w:sz w:val="24"/>
          <w:szCs w:val="24"/>
        </w:rPr>
      </w:pPr>
    </w:p>
    <w:p w:rsidR="00D90CFE" w:rsidRPr="002F67B5" w:rsidRDefault="00D90CFE" w:rsidP="00F742DE">
      <w:pPr>
        <w:pStyle w:val="P1-StandPara"/>
        <w:numPr>
          <w:ilvl w:val="2"/>
          <w:numId w:val="5"/>
        </w:numPr>
        <w:tabs>
          <w:tab w:val="clear" w:pos="2880"/>
          <w:tab w:val="num" w:pos="900"/>
        </w:tabs>
        <w:spacing w:line="240" w:lineRule="auto"/>
        <w:ind w:left="900" w:hanging="180"/>
        <w:rPr>
          <w:sz w:val="24"/>
          <w:szCs w:val="24"/>
        </w:rPr>
      </w:pPr>
      <w:r w:rsidRPr="002F67B5">
        <w:rPr>
          <w:sz w:val="24"/>
          <w:szCs w:val="24"/>
        </w:rPr>
        <w:t>The March 3, 1998 White House Memorandum, “Conducting Conversations with America to Further Improve Customer Service,’ which directs Agencies to determine the kind and quality of service its customers want as well as their level of satisfaction with existing services.</w:t>
      </w:r>
    </w:p>
    <w:p w:rsidR="00D90CFE" w:rsidRPr="002F67B5" w:rsidRDefault="00D90CFE" w:rsidP="00F742DE">
      <w:pPr>
        <w:pStyle w:val="P1-StandPara"/>
        <w:spacing w:line="240" w:lineRule="auto"/>
        <w:ind w:left="720" w:firstLine="0"/>
        <w:rPr>
          <w:sz w:val="24"/>
          <w:szCs w:val="24"/>
        </w:rPr>
      </w:pPr>
    </w:p>
    <w:p w:rsidR="00794568" w:rsidRPr="00361DF1" w:rsidRDefault="00361DF1" w:rsidP="00F742DE">
      <w:pPr>
        <w:pStyle w:val="P1-StandPara"/>
        <w:spacing w:line="240" w:lineRule="auto"/>
        <w:ind w:left="720" w:firstLine="0"/>
        <w:rPr>
          <w:sz w:val="24"/>
          <w:szCs w:val="24"/>
        </w:rPr>
      </w:pPr>
      <w:r>
        <w:rPr>
          <w:sz w:val="24"/>
          <w:szCs w:val="24"/>
        </w:rPr>
        <w:t xml:space="preserve">This </w:t>
      </w:r>
      <w:r w:rsidRPr="00361DF1">
        <w:rPr>
          <w:sz w:val="24"/>
          <w:szCs w:val="24"/>
        </w:rPr>
        <w:t xml:space="preserve">survey </w:t>
      </w:r>
      <w:r w:rsidR="00F845DE">
        <w:rPr>
          <w:sz w:val="24"/>
          <w:szCs w:val="24"/>
        </w:rPr>
        <w:t xml:space="preserve">also </w:t>
      </w:r>
      <w:r w:rsidR="0045146A">
        <w:rPr>
          <w:sz w:val="24"/>
          <w:szCs w:val="24"/>
        </w:rPr>
        <w:t xml:space="preserve">continues to </w:t>
      </w:r>
      <w:r w:rsidR="00F845DE">
        <w:rPr>
          <w:sz w:val="24"/>
          <w:szCs w:val="24"/>
        </w:rPr>
        <w:t>support</w:t>
      </w:r>
      <w:r w:rsidRPr="00361DF1">
        <w:rPr>
          <w:sz w:val="24"/>
          <w:szCs w:val="24"/>
        </w:rPr>
        <w:t xml:space="preserve"> the Office of Clinical Research Training and Medical Education’s </w:t>
      </w:r>
      <w:r w:rsidR="00F845DE">
        <w:rPr>
          <w:sz w:val="24"/>
          <w:szCs w:val="24"/>
        </w:rPr>
        <w:t xml:space="preserve">(OCRTME) </w:t>
      </w:r>
      <w:r w:rsidRPr="00361DF1">
        <w:rPr>
          <w:sz w:val="24"/>
          <w:szCs w:val="24"/>
        </w:rPr>
        <w:t xml:space="preserve">fulfillment of </w:t>
      </w:r>
      <w:r w:rsidRPr="00D1664F">
        <w:rPr>
          <w:sz w:val="24"/>
          <w:szCs w:val="24"/>
        </w:rPr>
        <w:t>the NIH Clinical Center</w:t>
      </w:r>
      <w:r w:rsidR="00184E3C" w:rsidRPr="00D1664F">
        <w:rPr>
          <w:sz w:val="24"/>
          <w:szCs w:val="24"/>
        </w:rPr>
        <w:t xml:space="preserve"> (CC)</w:t>
      </w:r>
      <w:r w:rsidRPr="00D1664F">
        <w:rPr>
          <w:sz w:val="24"/>
          <w:szCs w:val="24"/>
        </w:rPr>
        <w:t>’s mission</w:t>
      </w:r>
      <w:r w:rsidRPr="00361DF1">
        <w:rPr>
          <w:sz w:val="24"/>
          <w:szCs w:val="24"/>
        </w:rPr>
        <w:t>, which is:</w:t>
      </w:r>
    </w:p>
    <w:p w:rsidR="00BD0975" w:rsidRPr="00361DF1" w:rsidRDefault="00BD0975" w:rsidP="00361DF1">
      <w:pPr>
        <w:shd w:val="clear" w:color="auto" w:fill="FFFFFF"/>
        <w:spacing w:before="100" w:beforeAutospacing="1" w:after="100" w:afterAutospacing="1" w:line="225" w:lineRule="atLeast"/>
        <w:ind w:left="1080"/>
        <w:rPr>
          <w:color w:val="000000"/>
        </w:rPr>
      </w:pPr>
      <w:r w:rsidRPr="00361DF1">
        <w:rPr>
          <w:color w:val="000000"/>
        </w:rPr>
        <w:lastRenderedPageBreak/>
        <w:t>To provide a versatile clinical research environment enabling the NIH mission to improve human health by:</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investigating the pathogenesis of disease;</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conducting first-in-human clinical trials with an emphasis on rare diseases and diseases of high public health impact;</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61DF1">
        <w:rPr>
          <w:color w:val="000000"/>
        </w:rPr>
        <w:t>developing state-of-the-art diagnostic, preventive, and therapeutic interventions;</w:t>
      </w:r>
    </w:p>
    <w:p w:rsidR="00BD0975" w:rsidRPr="00361DF1" w:rsidRDefault="00BD0975"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sidRPr="003C1024">
        <w:rPr>
          <w:color w:val="000000"/>
        </w:rPr>
        <w:t xml:space="preserve">training the current and next generations of </w:t>
      </w:r>
      <w:r w:rsidR="003C1024">
        <w:rPr>
          <w:color w:val="000000"/>
        </w:rPr>
        <w:t xml:space="preserve">highly competent </w:t>
      </w:r>
      <w:r w:rsidRPr="003C1024">
        <w:rPr>
          <w:color w:val="000000"/>
        </w:rPr>
        <w:t>clinical</w:t>
      </w:r>
      <w:r w:rsidR="003C1024">
        <w:rPr>
          <w:color w:val="000000"/>
        </w:rPr>
        <w:t xml:space="preserve"> and translational</w:t>
      </w:r>
      <w:r w:rsidRPr="003C1024">
        <w:rPr>
          <w:color w:val="000000"/>
        </w:rPr>
        <w:t xml:space="preserve"> researchers</w:t>
      </w:r>
      <w:r w:rsidRPr="00361DF1">
        <w:rPr>
          <w:color w:val="000000"/>
        </w:rPr>
        <w:t>; and,</w:t>
      </w:r>
    </w:p>
    <w:p w:rsidR="00BD0975" w:rsidRPr="00361DF1" w:rsidRDefault="00B00732" w:rsidP="00361DF1">
      <w:pPr>
        <w:numPr>
          <w:ilvl w:val="0"/>
          <w:numId w:val="33"/>
        </w:numPr>
        <w:shd w:val="clear" w:color="auto" w:fill="FFFFFF"/>
        <w:tabs>
          <w:tab w:val="clear" w:pos="720"/>
          <w:tab w:val="num" w:pos="1800"/>
        </w:tabs>
        <w:spacing w:before="100" w:beforeAutospacing="1" w:after="100" w:afterAutospacing="1" w:line="225" w:lineRule="atLeast"/>
        <w:ind w:left="1800"/>
        <w:rPr>
          <w:color w:val="000000"/>
        </w:rPr>
      </w:pPr>
      <w:r>
        <w:rPr>
          <w:color w:val="000000"/>
        </w:rPr>
        <w:t>assuring</w:t>
      </w:r>
      <w:r w:rsidR="00BD0975" w:rsidRPr="00361DF1">
        <w:rPr>
          <w:color w:val="000000"/>
        </w:rPr>
        <w:t xml:space="preserve"> that clinical </w:t>
      </w:r>
      <w:r w:rsidR="003C1024">
        <w:rPr>
          <w:color w:val="000000"/>
        </w:rPr>
        <w:t xml:space="preserve">and translational </w:t>
      </w:r>
      <w:r w:rsidR="00BD0975" w:rsidRPr="00361DF1">
        <w:rPr>
          <w:color w:val="000000"/>
        </w:rPr>
        <w:t>research is ethical, efficient, and of high scientific quality.</w:t>
      </w:r>
    </w:p>
    <w:p w:rsidR="00794568" w:rsidRPr="00361DF1" w:rsidRDefault="00794568" w:rsidP="00794568">
      <w:pPr>
        <w:ind w:left="720"/>
      </w:pPr>
    </w:p>
    <w:p w:rsidR="00595572" w:rsidRPr="002F67B5" w:rsidRDefault="00434A59" w:rsidP="00434A59">
      <w:pPr>
        <w:pStyle w:val="NormalWeb"/>
        <w:shd w:val="clear" w:color="auto" w:fill="FFFFFF"/>
        <w:spacing w:before="0" w:beforeAutospacing="0" w:after="0" w:afterAutospacing="0"/>
        <w:ind w:left="720"/>
        <w:rPr>
          <w:rFonts w:ascii="Times New Roman" w:hAnsi="Times New Roman" w:cs="Times New Roman"/>
          <w:sz w:val="24"/>
          <w:szCs w:val="24"/>
        </w:rPr>
      </w:pPr>
      <w:r w:rsidRPr="00361DF1">
        <w:rPr>
          <w:rFonts w:ascii="Times New Roman" w:hAnsi="Times New Roman" w:cs="Times New Roman"/>
          <w:sz w:val="24"/>
          <w:szCs w:val="24"/>
        </w:rPr>
        <w:t xml:space="preserve">To </w:t>
      </w:r>
      <w:r w:rsidR="0045146A">
        <w:rPr>
          <w:rFonts w:ascii="Times New Roman" w:hAnsi="Times New Roman" w:cs="Times New Roman"/>
          <w:sz w:val="24"/>
          <w:szCs w:val="24"/>
        </w:rPr>
        <w:t xml:space="preserve">continue fulfillment of </w:t>
      </w:r>
      <w:r w:rsidRPr="00361DF1">
        <w:rPr>
          <w:rFonts w:ascii="Times New Roman" w:hAnsi="Times New Roman" w:cs="Times New Roman"/>
          <w:sz w:val="24"/>
          <w:szCs w:val="24"/>
        </w:rPr>
        <w:t xml:space="preserve">the mission of </w:t>
      </w:r>
      <w:r w:rsidR="00676AC5">
        <w:rPr>
          <w:rFonts w:ascii="Times New Roman" w:hAnsi="Times New Roman" w:cs="Times New Roman"/>
          <w:sz w:val="24"/>
          <w:szCs w:val="24"/>
        </w:rPr>
        <w:t>“</w:t>
      </w:r>
      <w:r w:rsidR="00361DF1" w:rsidRPr="00361DF1">
        <w:rPr>
          <w:rFonts w:ascii="Times New Roman" w:hAnsi="Times New Roman" w:cs="Times New Roman"/>
          <w:color w:val="000000"/>
          <w:sz w:val="24"/>
          <w:szCs w:val="24"/>
        </w:rPr>
        <w:t xml:space="preserve">training the current and next generations of clinical </w:t>
      </w:r>
      <w:r w:rsidR="00FD46F5">
        <w:rPr>
          <w:rFonts w:ascii="Times New Roman" w:hAnsi="Times New Roman" w:cs="Times New Roman"/>
          <w:color w:val="000000"/>
          <w:sz w:val="24"/>
          <w:szCs w:val="24"/>
        </w:rPr>
        <w:t xml:space="preserve">and translational </w:t>
      </w:r>
      <w:r w:rsidR="00361DF1" w:rsidRPr="00361DF1">
        <w:rPr>
          <w:rFonts w:ascii="Times New Roman" w:hAnsi="Times New Roman" w:cs="Times New Roman"/>
          <w:color w:val="000000"/>
          <w:sz w:val="24"/>
          <w:szCs w:val="24"/>
        </w:rPr>
        <w:t>researchers</w:t>
      </w:r>
      <w:r w:rsidR="00BD0975" w:rsidRPr="00361DF1">
        <w:rPr>
          <w:rFonts w:ascii="Times New Roman" w:hAnsi="Times New Roman" w:cs="Times New Roman"/>
          <w:sz w:val="24"/>
          <w:szCs w:val="24"/>
        </w:rPr>
        <w:t>,</w:t>
      </w:r>
      <w:r w:rsidRPr="00361DF1">
        <w:rPr>
          <w:rFonts w:ascii="Times New Roman" w:hAnsi="Times New Roman" w:cs="Times New Roman"/>
          <w:sz w:val="24"/>
          <w:szCs w:val="24"/>
        </w:rPr>
        <w:t xml:space="preserve">” </w:t>
      </w:r>
      <w:r w:rsidRPr="00D1664F">
        <w:rPr>
          <w:rFonts w:ascii="Times New Roman" w:hAnsi="Times New Roman" w:cs="Times New Roman"/>
          <w:sz w:val="24"/>
          <w:szCs w:val="24"/>
        </w:rPr>
        <w:t>t</w:t>
      </w:r>
      <w:r w:rsidR="00610F1E" w:rsidRPr="00D1664F">
        <w:rPr>
          <w:rFonts w:ascii="Times New Roman" w:hAnsi="Times New Roman" w:cs="Times New Roman"/>
          <w:sz w:val="24"/>
          <w:szCs w:val="24"/>
        </w:rPr>
        <w:t xml:space="preserve">he Office of Clinical Research Training and Medical Education </w:t>
      </w:r>
      <w:r w:rsidR="003555A3" w:rsidRPr="00D1664F">
        <w:rPr>
          <w:rFonts w:ascii="Times New Roman" w:hAnsi="Times New Roman" w:cs="Times New Roman"/>
          <w:sz w:val="24"/>
          <w:szCs w:val="24"/>
        </w:rPr>
        <w:t xml:space="preserve">(OCRTME) </w:t>
      </w:r>
      <w:r w:rsidR="00184E3C" w:rsidRPr="00D1664F">
        <w:rPr>
          <w:rFonts w:ascii="Times New Roman" w:hAnsi="Times New Roman" w:cs="Times New Roman"/>
          <w:sz w:val="24"/>
          <w:szCs w:val="24"/>
        </w:rPr>
        <w:t>in the CC</w:t>
      </w:r>
      <w:r w:rsidR="00184E3C" w:rsidRPr="00941EB5">
        <w:rPr>
          <w:rFonts w:ascii="Times New Roman" w:hAnsi="Times New Roman" w:cs="Times New Roman"/>
          <w:sz w:val="24"/>
          <w:szCs w:val="24"/>
        </w:rPr>
        <w:t xml:space="preserve"> </w:t>
      </w:r>
      <w:r w:rsidR="002246A6" w:rsidRPr="00941EB5">
        <w:rPr>
          <w:rFonts w:ascii="Times New Roman" w:hAnsi="Times New Roman" w:cs="Times New Roman"/>
          <w:sz w:val="24"/>
          <w:szCs w:val="24"/>
        </w:rPr>
        <w:t>administers and</w:t>
      </w:r>
      <w:r w:rsidR="002246A6" w:rsidRPr="002F67B5">
        <w:rPr>
          <w:rFonts w:ascii="Times New Roman" w:hAnsi="Times New Roman" w:cs="Times New Roman"/>
          <w:sz w:val="24"/>
          <w:szCs w:val="24"/>
        </w:rPr>
        <w:t xml:space="preserve"> evaluates a comprehensive portfolio of clinical research training and medical education initiatives</w:t>
      </w:r>
      <w:r w:rsidR="00794568" w:rsidRPr="002F67B5">
        <w:rPr>
          <w:rFonts w:ascii="Times New Roman" w:hAnsi="Times New Roman" w:cs="Times New Roman"/>
          <w:sz w:val="24"/>
          <w:szCs w:val="24"/>
        </w:rPr>
        <w:t xml:space="preserve">, </w:t>
      </w:r>
      <w:r w:rsidR="00595572" w:rsidRPr="002F67B5">
        <w:rPr>
          <w:rFonts w:ascii="Times New Roman" w:hAnsi="Times New Roman" w:cs="Times New Roman"/>
          <w:sz w:val="24"/>
          <w:szCs w:val="24"/>
        </w:rPr>
        <w:t xml:space="preserve">including: </w:t>
      </w:r>
    </w:p>
    <w:p w:rsidR="0057569E" w:rsidRPr="002F67B5" w:rsidRDefault="0057569E" w:rsidP="00F742DE">
      <w:pPr>
        <w:pStyle w:val="NormalWeb"/>
        <w:shd w:val="clear" w:color="auto" w:fill="FFFFFF"/>
        <w:spacing w:before="0" w:beforeAutospacing="0" w:after="0" w:afterAutospacing="0"/>
        <w:ind w:left="720"/>
        <w:rPr>
          <w:rFonts w:ascii="Times New Roman" w:hAnsi="Times New Roman" w:cs="Times New Roman"/>
          <w:sz w:val="24"/>
          <w:szCs w:val="24"/>
        </w:rPr>
      </w:pPr>
    </w:p>
    <w:p w:rsidR="00B15843"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2F67B5">
        <w:rPr>
          <w:rFonts w:ascii="Times New Roman" w:hAnsi="Times New Roman" w:cs="Times New Roman"/>
          <w:sz w:val="24"/>
          <w:szCs w:val="24"/>
        </w:rPr>
        <w:t>Clinical Electives Program (CEP)</w:t>
      </w:r>
    </w:p>
    <w:p w:rsidR="00B15843" w:rsidRPr="00652EBD" w:rsidRDefault="00A25E3A"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Introduction to the Principles and Practice of Clinical Research</w:t>
      </w:r>
      <w:r w:rsidR="00B15843" w:rsidRPr="00652EBD">
        <w:rPr>
          <w:rFonts w:ascii="Times New Roman" w:hAnsi="Times New Roman" w:cs="Times New Roman"/>
          <w:sz w:val="24"/>
          <w:szCs w:val="24"/>
        </w:rPr>
        <w:t xml:space="preserve"> (</w:t>
      </w:r>
      <w:r>
        <w:rPr>
          <w:rFonts w:ascii="Times New Roman" w:hAnsi="Times New Roman" w:cs="Times New Roman"/>
          <w:sz w:val="24"/>
          <w:szCs w:val="24"/>
        </w:rPr>
        <w:t>IPPCR</w:t>
      </w:r>
      <w:r w:rsidR="00B15843" w:rsidRPr="00652EBD">
        <w:rPr>
          <w:rFonts w:ascii="Times New Roman" w:hAnsi="Times New Roman" w:cs="Times New Roman"/>
          <w:sz w:val="24"/>
          <w:szCs w:val="24"/>
        </w:rPr>
        <w:t>)</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 xml:space="preserve">Graduate Medical Education </w:t>
      </w:r>
      <w:r w:rsidR="00FD46F5">
        <w:rPr>
          <w:rFonts w:ascii="Times New Roman" w:hAnsi="Times New Roman" w:cs="Times New Roman"/>
          <w:sz w:val="24"/>
          <w:szCs w:val="24"/>
        </w:rPr>
        <w:t xml:space="preserve">Program </w:t>
      </w:r>
      <w:r w:rsidRPr="00652EBD">
        <w:rPr>
          <w:rFonts w:ascii="Times New Roman" w:hAnsi="Times New Roman" w:cs="Times New Roman"/>
          <w:sz w:val="24"/>
          <w:szCs w:val="24"/>
        </w:rPr>
        <w:t>(GME)</w:t>
      </w:r>
    </w:p>
    <w:p w:rsidR="00D54AB5" w:rsidRPr="00D54AB5" w:rsidRDefault="00D54AB5" w:rsidP="00D54AB5">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 xml:space="preserve">Medical Research </w:t>
      </w:r>
      <w:r w:rsidR="00676AC5">
        <w:rPr>
          <w:rFonts w:ascii="Times New Roman" w:hAnsi="Times New Roman" w:cs="Times New Roman"/>
          <w:sz w:val="24"/>
          <w:szCs w:val="24"/>
        </w:rPr>
        <w:t>Scholars Program (MSRP) (launched</w:t>
      </w:r>
      <w:r>
        <w:rPr>
          <w:rFonts w:ascii="Times New Roman" w:hAnsi="Times New Roman" w:cs="Times New Roman"/>
          <w:sz w:val="24"/>
          <w:szCs w:val="24"/>
        </w:rPr>
        <w:t xml:space="preserve"> 201</w:t>
      </w:r>
      <w:r w:rsidR="00676AC5">
        <w:rPr>
          <w:rFonts w:ascii="Times New Roman" w:hAnsi="Times New Roman" w:cs="Times New Roman"/>
          <w:sz w:val="24"/>
          <w:szCs w:val="24"/>
        </w:rPr>
        <w:t>2</w:t>
      </w:r>
      <w:r>
        <w:rPr>
          <w:rFonts w:ascii="Times New Roman" w:hAnsi="Times New Roman" w:cs="Times New Roman"/>
          <w:sz w:val="24"/>
          <w:szCs w:val="24"/>
        </w:rPr>
        <w:t>), formerly the Clinical Research Training Program (CRTP) (1997-2012)</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NIH-Duke Training Program in Clinical Research (NIH-DUKE)</w:t>
      </w:r>
    </w:p>
    <w:p w:rsidR="00652EBD" w:rsidRP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iCs/>
          <w:sz w:val="24"/>
          <w:szCs w:val="24"/>
        </w:rPr>
        <w:t>Ph.D. Student Summer Course in Clinical and Translational Research</w:t>
      </w:r>
    </w:p>
    <w:p w:rsidR="00B15843" w:rsidRPr="00652EBD" w:rsidRDefault="00B15843"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652EBD">
        <w:rPr>
          <w:rFonts w:ascii="Times New Roman" w:hAnsi="Times New Roman" w:cs="Times New Roman"/>
          <w:sz w:val="24"/>
          <w:szCs w:val="24"/>
        </w:rPr>
        <w:t>Principles of Clinical Pharmacology Course (PCP)</w:t>
      </w:r>
    </w:p>
    <w:p w:rsidR="00652EBD" w:rsidRDefault="00652EBD"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Pr>
          <w:rFonts w:ascii="Times New Roman" w:hAnsi="Times New Roman" w:cs="Times New Roman"/>
          <w:sz w:val="24"/>
          <w:szCs w:val="24"/>
        </w:rPr>
        <w:t>Sabbatical in Clinical Research Management</w:t>
      </w:r>
    </w:p>
    <w:p w:rsidR="00676AC5" w:rsidRPr="00941EB5" w:rsidRDefault="00676AC5" w:rsidP="00B15843">
      <w:pPr>
        <w:pStyle w:val="NormalWeb"/>
        <w:numPr>
          <w:ilvl w:val="2"/>
          <w:numId w:val="14"/>
        </w:numPr>
        <w:shd w:val="clear" w:color="auto" w:fill="FFFFFF"/>
        <w:tabs>
          <w:tab w:val="clear" w:pos="2880"/>
          <w:tab w:val="num" w:pos="1440"/>
        </w:tabs>
        <w:spacing w:before="0" w:beforeAutospacing="0" w:after="0" w:afterAutospacing="0"/>
        <w:ind w:left="1440" w:hanging="720"/>
        <w:rPr>
          <w:rFonts w:ascii="Times New Roman" w:hAnsi="Times New Roman" w:cs="Times New Roman"/>
          <w:sz w:val="24"/>
          <w:szCs w:val="24"/>
        </w:rPr>
      </w:pPr>
      <w:r w:rsidRPr="00941EB5">
        <w:rPr>
          <w:rFonts w:ascii="Times New Roman" w:hAnsi="Times New Roman" w:cs="Times New Roman"/>
          <w:sz w:val="24"/>
          <w:szCs w:val="24"/>
        </w:rPr>
        <w:t xml:space="preserve">Summer </w:t>
      </w:r>
      <w:r w:rsidR="007A6720" w:rsidRPr="00D1664F">
        <w:rPr>
          <w:rFonts w:ascii="Times New Roman" w:hAnsi="Times New Roman" w:cs="Times New Roman"/>
          <w:sz w:val="24"/>
          <w:szCs w:val="24"/>
        </w:rPr>
        <w:t>Internship</w:t>
      </w:r>
      <w:r w:rsidR="007A6720" w:rsidRPr="00941EB5">
        <w:rPr>
          <w:rFonts w:ascii="Times New Roman" w:hAnsi="Times New Roman" w:cs="Times New Roman"/>
          <w:sz w:val="24"/>
          <w:szCs w:val="24"/>
        </w:rPr>
        <w:t xml:space="preserve"> </w:t>
      </w:r>
      <w:r w:rsidRPr="00941EB5">
        <w:rPr>
          <w:rFonts w:ascii="Times New Roman" w:hAnsi="Times New Roman" w:cs="Times New Roman"/>
          <w:sz w:val="24"/>
          <w:szCs w:val="24"/>
        </w:rPr>
        <w:t>Program</w:t>
      </w:r>
    </w:p>
    <w:p w:rsidR="00595572" w:rsidRPr="002F67B5" w:rsidRDefault="00595572" w:rsidP="00595572">
      <w:pPr>
        <w:pStyle w:val="NormalWeb"/>
        <w:shd w:val="clear" w:color="auto" w:fill="FFFFFF"/>
        <w:spacing w:before="0" w:beforeAutospacing="0" w:after="0" w:afterAutospacing="0"/>
        <w:ind w:left="720"/>
        <w:rPr>
          <w:rFonts w:ascii="Times New Roman" w:hAnsi="Times New Roman" w:cs="Times New Roman"/>
          <w:sz w:val="24"/>
          <w:szCs w:val="24"/>
        </w:rPr>
      </w:pPr>
    </w:p>
    <w:p w:rsidR="008259B4" w:rsidRPr="00D1664F" w:rsidRDefault="00F845DE" w:rsidP="00F845DE">
      <w:pPr>
        <w:ind w:left="720"/>
      </w:pPr>
      <w:r>
        <w:t>This</w:t>
      </w:r>
      <w:r w:rsidR="00361DF1">
        <w:t xml:space="preserve"> </w:t>
      </w:r>
      <w:r w:rsidR="0045146A">
        <w:t>information collection</w:t>
      </w:r>
      <w:r>
        <w:t>’s purpose</w:t>
      </w:r>
      <w:r w:rsidR="009D7945" w:rsidRPr="002F67B5">
        <w:t xml:space="preserve"> is to </w:t>
      </w:r>
      <w:r w:rsidR="0045146A">
        <w:t xml:space="preserve">continue to </w:t>
      </w:r>
      <w:r w:rsidR="00361DF1">
        <w:t>assess the degree of impact the</w:t>
      </w:r>
      <w:r w:rsidR="00676AC5">
        <w:t>se</w:t>
      </w:r>
      <w:r w:rsidR="00361DF1">
        <w:t xml:space="preserve"> NIH training </w:t>
      </w:r>
      <w:r w:rsidR="00676AC5">
        <w:t xml:space="preserve">programs have </w:t>
      </w:r>
      <w:r w:rsidR="00361DF1">
        <w:t>had on the short- and long-term outcomes of the</w:t>
      </w:r>
      <w:r w:rsidR="00676AC5">
        <w:t>ir</w:t>
      </w:r>
      <w:r w:rsidR="00361DF1">
        <w:t xml:space="preserve"> graduates</w:t>
      </w:r>
      <w:r w:rsidR="00652EBD">
        <w:t>.</w:t>
      </w:r>
      <w:r w:rsidR="009D7945" w:rsidRPr="002F67B5">
        <w:t xml:space="preserve">  </w:t>
      </w:r>
      <w:r w:rsidR="000C7C28" w:rsidRPr="002F67B5">
        <w:t xml:space="preserve">The </w:t>
      </w:r>
      <w:r w:rsidR="00BB1265">
        <w:t>CC</w:t>
      </w:r>
      <w:r w:rsidR="000C7C28" w:rsidRPr="002F67B5">
        <w:t xml:space="preserve"> is the nation’s largest hospital dedicated to clinical research.  </w:t>
      </w:r>
      <w:r w:rsidR="009D7945" w:rsidRPr="002F67B5">
        <w:t xml:space="preserve">As the </w:t>
      </w:r>
      <w:r w:rsidR="00BB1265">
        <w:t>CC</w:t>
      </w:r>
      <w:r w:rsidR="00652EBD">
        <w:t xml:space="preserve">’s central office for </w:t>
      </w:r>
      <w:r w:rsidR="000C7C28" w:rsidRPr="002F67B5">
        <w:t xml:space="preserve">clinical research training and </w:t>
      </w:r>
      <w:r w:rsidR="003555A3" w:rsidRPr="002F67B5">
        <w:t xml:space="preserve">medical </w:t>
      </w:r>
      <w:r w:rsidR="003555A3" w:rsidRPr="00941EB5">
        <w:t xml:space="preserve">education, </w:t>
      </w:r>
      <w:r w:rsidR="003555A3" w:rsidRPr="00D1664F">
        <w:t xml:space="preserve">it </w:t>
      </w:r>
      <w:r w:rsidR="0045146A">
        <w:t>remains</w:t>
      </w:r>
      <w:r w:rsidR="003555A3" w:rsidRPr="00D1664F">
        <w:t xml:space="preserve"> incumbent upon the </w:t>
      </w:r>
      <w:r w:rsidR="00184E3C" w:rsidRPr="00D1664F">
        <w:t>OCRTME</w:t>
      </w:r>
      <w:r w:rsidR="00184E3C" w:rsidRPr="00941EB5">
        <w:t xml:space="preserve"> </w:t>
      </w:r>
      <w:r w:rsidR="000C7C28" w:rsidRPr="00941EB5">
        <w:t xml:space="preserve">to </w:t>
      </w:r>
      <w:r w:rsidR="00652EBD" w:rsidRPr="00D1664F">
        <w:t>assess and modify</w:t>
      </w:r>
      <w:r w:rsidR="00361DF1" w:rsidRPr="00D1664F">
        <w:t>,</w:t>
      </w:r>
      <w:r w:rsidR="00652EBD" w:rsidRPr="00D1664F">
        <w:t xml:space="preserve"> as appropriate</w:t>
      </w:r>
      <w:r w:rsidR="00361DF1" w:rsidRPr="00D1664F">
        <w:t>,</w:t>
      </w:r>
      <w:r w:rsidR="00652EBD" w:rsidRPr="00D1664F">
        <w:t xml:space="preserve"> its program offerings based upon trainee feedback and outcomes</w:t>
      </w:r>
      <w:r w:rsidR="000C7C28" w:rsidRPr="00D1664F">
        <w:t>.</w:t>
      </w:r>
      <w:r w:rsidR="0044729B" w:rsidRPr="00D1664F">
        <w:t xml:space="preserve">  </w:t>
      </w:r>
    </w:p>
    <w:p w:rsidR="006E557B" w:rsidRPr="00D1664F" w:rsidRDefault="006E557B" w:rsidP="00F742DE">
      <w:pPr>
        <w:rPr>
          <w:color w:val="FF0000"/>
        </w:rPr>
      </w:pPr>
    </w:p>
    <w:p w:rsidR="00671598" w:rsidRPr="00D1664F" w:rsidRDefault="006E557B" w:rsidP="00F742DE">
      <w:pPr>
        <w:pStyle w:val="Heading2"/>
        <w:tabs>
          <w:tab w:val="clear" w:pos="1152"/>
        </w:tabs>
        <w:spacing w:after="0" w:line="240" w:lineRule="auto"/>
        <w:ind w:left="720" w:hanging="720"/>
        <w:jc w:val="left"/>
        <w:rPr>
          <w:sz w:val="24"/>
          <w:szCs w:val="24"/>
        </w:rPr>
      </w:pPr>
      <w:bookmarkStart w:id="3" w:name="_Toc443881743"/>
      <w:bookmarkStart w:id="4" w:name="_Toc451592232"/>
      <w:bookmarkStart w:id="5" w:name="_Toc5610273"/>
      <w:bookmarkStart w:id="6" w:name="_Toc99178779"/>
      <w:r w:rsidRPr="00D1664F">
        <w:rPr>
          <w:sz w:val="24"/>
          <w:szCs w:val="24"/>
        </w:rPr>
        <w:t>A.2</w:t>
      </w:r>
      <w:r w:rsidR="008259B4" w:rsidRPr="00D1664F">
        <w:rPr>
          <w:sz w:val="24"/>
          <w:szCs w:val="24"/>
        </w:rPr>
        <w:tab/>
      </w:r>
      <w:r w:rsidRPr="00D1664F">
        <w:rPr>
          <w:sz w:val="24"/>
          <w:szCs w:val="24"/>
        </w:rPr>
        <w:t>Purpose and Use of the Information</w:t>
      </w:r>
      <w:bookmarkEnd w:id="3"/>
      <w:bookmarkEnd w:id="4"/>
      <w:bookmarkEnd w:id="5"/>
      <w:bookmarkEnd w:id="6"/>
      <w:r w:rsidRPr="00D1664F">
        <w:rPr>
          <w:sz w:val="24"/>
          <w:szCs w:val="24"/>
        </w:rPr>
        <w:t xml:space="preserve"> Collection</w:t>
      </w:r>
    </w:p>
    <w:p w:rsidR="00C328C9" w:rsidRPr="00D1664F" w:rsidRDefault="002D30FE" w:rsidP="00466742">
      <w:pPr>
        <w:pStyle w:val="P1-StandPara"/>
        <w:spacing w:line="240" w:lineRule="auto"/>
        <w:ind w:left="720" w:firstLine="0"/>
        <w:rPr>
          <w:sz w:val="24"/>
          <w:szCs w:val="24"/>
        </w:rPr>
      </w:pPr>
      <w:r w:rsidRPr="00D1664F">
        <w:rPr>
          <w:sz w:val="24"/>
          <w:szCs w:val="24"/>
        </w:rPr>
        <w:t xml:space="preserve">The information collected </w:t>
      </w:r>
      <w:r w:rsidR="005B7380" w:rsidRPr="00D1664F">
        <w:rPr>
          <w:sz w:val="24"/>
          <w:szCs w:val="24"/>
        </w:rPr>
        <w:t xml:space="preserve">to date </w:t>
      </w:r>
      <w:r w:rsidR="00184E3C" w:rsidRPr="00D1664F">
        <w:rPr>
          <w:sz w:val="24"/>
          <w:szCs w:val="24"/>
        </w:rPr>
        <w:t xml:space="preserve">has </w:t>
      </w:r>
      <w:r w:rsidR="00DB41AB" w:rsidRPr="00D1664F">
        <w:rPr>
          <w:sz w:val="24"/>
          <w:szCs w:val="24"/>
        </w:rPr>
        <w:t>allow</w:t>
      </w:r>
      <w:r w:rsidR="00184E3C" w:rsidRPr="00D1664F">
        <w:rPr>
          <w:sz w:val="24"/>
          <w:szCs w:val="24"/>
        </w:rPr>
        <w:t>ed</w:t>
      </w:r>
      <w:r w:rsidR="00DB41AB" w:rsidRPr="00941EB5">
        <w:rPr>
          <w:sz w:val="24"/>
          <w:szCs w:val="24"/>
        </w:rPr>
        <w:t xml:space="preserve"> </w:t>
      </w:r>
      <w:r w:rsidR="0045146A">
        <w:rPr>
          <w:sz w:val="24"/>
          <w:szCs w:val="24"/>
        </w:rPr>
        <w:t xml:space="preserve"> the OCRTME</w:t>
      </w:r>
      <w:r w:rsidR="00DB41AB" w:rsidRPr="00941EB5">
        <w:rPr>
          <w:sz w:val="24"/>
          <w:szCs w:val="24"/>
        </w:rPr>
        <w:t xml:space="preserve"> to</w:t>
      </w:r>
      <w:r w:rsidR="009A3BFF" w:rsidRPr="00941EB5">
        <w:rPr>
          <w:sz w:val="24"/>
          <w:szCs w:val="24"/>
        </w:rPr>
        <w:t xml:space="preserve"> </w:t>
      </w:r>
      <w:r w:rsidR="00CF1D94">
        <w:rPr>
          <w:sz w:val="24"/>
          <w:szCs w:val="24"/>
        </w:rPr>
        <w:t xml:space="preserve">begin </w:t>
      </w:r>
      <w:r w:rsidRPr="00D1664F">
        <w:rPr>
          <w:sz w:val="24"/>
          <w:szCs w:val="24"/>
        </w:rPr>
        <w:t>assess</w:t>
      </w:r>
      <w:r w:rsidR="00CF1D94">
        <w:rPr>
          <w:sz w:val="24"/>
          <w:szCs w:val="24"/>
        </w:rPr>
        <w:t>ment of</w:t>
      </w:r>
      <w:r w:rsidRPr="00D1664F">
        <w:rPr>
          <w:sz w:val="24"/>
          <w:szCs w:val="24"/>
        </w:rPr>
        <w:t xml:space="preserve"> the </w:t>
      </w:r>
      <w:r w:rsidR="00F86C41" w:rsidRPr="00D1664F">
        <w:rPr>
          <w:sz w:val="24"/>
          <w:szCs w:val="24"/>
        </w:rPr>
        <w:t xml:space="preserve">long-term </w:t>
      </w:r>
      <w:r w:rsidRPr="00D1664F">
        <w:rPr>
          <w:sz w:val="24"/>
          <w:szCs w:val="24"/>
        </w:rPr>
        <w:t xml:space="preserve">value of the training provided by the OCRTME </w:t>
      </w:r>
      <w:r w:rsidR="00F86C41" w:rsidRPr="00D1664F">
        <w:rPr>
          <w:sz w:val="24"/>
          <w:szCs w:val="24"/>
        </w:rPr>
        <w:t xml:space="preserve">over </w:t>
      </w:r>
      <w:r w:rsidR="00CF1D94">
        <w:rPr>
          <w:sz w:val="24"/>
          <w:szCs w:val="24"/>
        </w:rPr>
        <w:t>a</w:t>
      </w:r>
      <w:r w:rsidR="005B7380" w:rsidRPr="00D1664F">
        <w:rPr>
          <w:sz w:val="24"/>
          <w:szCs w:val="24"/>
        </w:rPr>
        <w:t xml:space="preserve"> planned</w:t>
      </w:r>
      <w:r w:rsidR="00184E3C" w:rsidRPr="00941EB5">
        <w:rPr>
          <w:sz w:val="24"/>
          <w:szCs w:val="24"/>
        </w:rPr>
        <w:t xml:space="preserve"> </w:t>
      </w:r>
      <w:r w:rsidR="00F86C41" w:rsidRPr="00941EB5">
        <w:rPr>
          <w:sz w:val="24"/>
          <w:szCs w:val="24"/>
        </w:rPr>
        <w:t xml:space="preserve">ten year follow-up period, </w:t>
      </w:r>
      <w:r w:rsidRPr="00D1664F">
        <w:rPr>
          <w:sz w:val="24"/>
          <w:szCs w:val="24"/>
        </w:rPr>
        <w:t xml:space="preserve">and the extent to which this training </w:t>
      </w:r>
      <w:r w:rsidR="005B7380" w:rsidRPr="00D1664F">
        <w:rPr>
          <w:sz w:val="24"/>
          <w:szCs w:val="24"/>
        </w:rPr>
        <w:t xml:space="preserve">has </w:t>
      </w:r>
      <w:r w:rsidRPr="00D1664F">
        <w:rPr>
          <w:sz w:val="24"/>
          <w:szCs w:val="24"/>
        </w:rPr>
        <w:t>promote</w:t>
      </w:r>
      <w:r w:rsidR="005B7380" w:rsidRPr="00D1664F">
        <w:rPr>
          <w:sz w:val="24"/>
          <w:szCs w:val="24"/>
        </w:rPr>
        <w:t>d</w:t>
      </w:r>
      <w:r w:rsidRPr="00941EB5">
        <w:rPr>
          <w:sz w:val="24"/>
          <w:szCs w:val="24"/>
        </w:rPr>
        <w:t xml:space="preserve"> (a) </w:t>
      </w:r>
      <w:r w:rsidR="00565C60" w:rsidRPr="00941EB5">
        <w:rPr>
          <w:sz w:val="24"/>
          <w:szCs w:val="24"/>
        </w:rPr>
        <w:t>professional competence</w:t>
      </w:r>
      <w:r w:rsidRPr="00D1664F">
        <w:rPr>
          <w:sz w:val="24"/>
          <w:szCs w:val="24"/>
        </w:rPr>
        <w:t>; (b) research productivity and independence;</w:t>
      </w:r>
      <w:r w:rsidR="00361DF1" w:rsidRPr="00D1664F">
        <w:rPr>
          <w:sz w:val="24"/>
          <w:szCs w:val="24"/>
        </w:rPr>
        <w:t xml:space="preserve"> and</w:t>
      </w:r>
      <w:r w:rsidRPr="00D1664F">
        <w:rPr>
          <w:sz w:val="24"/>
          <w:szCs w:val="24"/>
        </w:rPr>
        <w:t xml:space="preserve"> (c) future career development within clinical, translational, and academic research settings.</w:t>
      </w:r>
      <w:r w:rsidR="00466742" w:rsidRPr="00D1664F">
        <w:rPr>
          <w:sz w:val="24"/>
          <w:szCs w:val="24"/>
        </w:rPr>
        <w:t xml:space="preserve">  The information </w:t>
      </w:r>
      <w:r w:rsidRPr="00D1664F">
        <w:rPr>
          <w:sz w:val="24"/>
          <w:szCs w:val="24"/>
        </w:rPr>
        <w:t xml:space="preserve">received from respondents </w:t>
      </w:r>
      <w:r w:rsidR="005B7380" w:rsidRPr="00D1664F">
        <w:rPr>
          <w:sz w:val="24"/>
          <w:szCs w:val="24"/>
        </w:rPr>
        <w:t>has been</w:t>
      </w:r>
      <w:r w:rsidR="005B7380" w:rsidRPr="00941EB5">
        <w:rPr>
          <w:sz w:val="24"/>
          <w:szCs w:val="24"/>
        </w:rPr>
        <w:t xml:space="preserve"> </w:t>
      </w:r>
      <w:r w:rsidRPr="00941EB5">
        <w:rPr>
          <w:sz w:val="24"/>
          <w:szCs w:val="24"/>
        </w:rPr>
        <w:t>presented to,</w:t>
      </w:r>
      <w:r w:rsidRPr="00DF1A26">
        <w:rPr>
          <w:sz w:val="24"/>
          <w:szCs w:val="24"/>
        </w:rPr>
        <w:t xml:space="preserve"> evaluated by, and </w:t>
      </w:r>
      <w:r w:rsidR="00361DF1" w:rsidRPr="00DF1A26">
        <w:rPr>
          <w:sz w:val="24"/>
          <w:szCs w:val="24"/>
        </w:rPr>
        <w:t xml:space="preserve">incorporated into </w:t>
      </w:r>
      <w:r w:rsidR="00676AC5" w:rsidRPr="00DF1A26">
        <w:rPr>
          <w:sz w:val="24"/>
          <w:szCs w:val="24"/>
        </w:rPr>
        <w:t xml:space="preserve">the ongoing </w:t>
      </w:r>
      <w:r w:rsidR="00361DF1" w:rsidRPr="00DF1A26">
        <w:rPr>
          <w:sz w:val="24"/>
          <w:szCs w:val="24"/>
        </w:rPr>
        <w:t xml:space="preserve">operational improvement efforts </w:t>
      </w:r>
      <w:r w:rsidR="00361DF1" w:rsidRPr="00DF1A26">
        <w:rPr>
          <w:sz w:val="24"/>
          <w:szCs w:val="24"/>
        </w:rPr>
        <w:lastRenderedPageBreak/>
        <w:t xml:space="preserve">of </w:t>
      </w:r>
      <w:r w:rsidRPr="00DF1A26">
        <w:rPr>
          <w:sz w:val="24"/>
          <w:szCs w:val="24"/>
        </w:rPr>
        <w:t xml:space="preserve">the Director of the </w:t>
      </w:r>
      <w:r w:rsidR="00466742" w:rsidRPr="00DF1A26">
        <w:rPr>
          <w:sz w:val="24"/>
          <w:szCs w:val="24"/>
        </w:rPr>
        <w:t xml:space="preserve">Office of Clinical Research Training and </w:t>
      </w:r>
      <w:r w:rsidR="00731157">
        <w:rPr>
          <w:sz w:val="24"/>
          <w:szCs w:val="24"/>
        </w:rPr>
        <w:t xml:space="preserve">Medical </w:t>
      </w:r>
      <w:r w:rsidR="00466742" w:rsidRPr="00DF1A26">
        <w:rPr>
          <w:sz w:val="24"/>
          <w:szCs w:val="24"/>
        </w:rPr>
        <w:t>Education, the Clinical Center Director</w:t>
      </w:r>
      <w:r w:rsidR="00DB41AB" w:rsidRPr="00DF1A26">
        <w:rPr>
          <w:sz w:val="24"/>
          <w:szCs w:val="24"/>
        </w:rPr>
        <w:t>, and select NIH committees</w:t>
      </w:r>
      <w:r w:rsidR="00F86C41">
        <w:rPr>
          <w:sz w:val="24"/>
          <w:szCs w:val="24"/>
        </w:rPr>
        <w:t xml:space="preserve">, including the NIH Graduate Medical </w:t>
      </w:r>
      <w:r w:rsidR="00F86C41" w:rsidRPr="00941EB5">
        <w:rPr>
          <w:sz w:val="24"/>
          <w:szCs w:val="24"/>
        </w:rPr>
        <w:t>Education Committee</w:t>
      </w:r>
      <w:r w:rsidR="00466742" w:rsidRPr="00D1664F">
        <w:rPr>
          <w:sz w:val="24"/>
          <w:szCs w:val="24"/>
        </w:rPr>
        <w:t>.</w:t>
      </w:r>
      <w:r w:rsidR="00F86C41" w:rsidRPr="00D1664F">
        <w:rPr>
          <w:sz w:val="24"/>
          <w:szCs w:val="24"/>
        </w:rPr>
        <w:t xml:space="preserve"> The information </w:t>
      </w:r>
      <w:r w:rsidR="005B7380" w:rsidRPr="00D1664F">
        <w:rPr>
          <w:sz w:val="24"/>
          <w:szCs w:val="24"/>
        </w:rPr>
        <w:t>collected continues to be</w:t>
      </w:r>
      <w:r w:rsidR="00F86C41" w:rsidRPr="00941EB5">
        <w:rPr>
          <w:sz w:val="24"/>
          <w:szCs w:val="24"/>
        </w:rPr>
        <w:t xml:space="preserve"> required </w:t>
      </w:r>
      <w:r w:rsidR="005B7380" w:rsidRPr="00D1664F">
        <w:rPr>
          <w:sz w:val="24"/>
          <w:szCs w:val="24"/>
        </w:rPr>
        <w:t>in order</w:t>
      </w:r>
      <w:r w:rsidR="005B7380" w:rsidRPr="00941EB5">
        <w:rPr>
          <w:sz w:val="24"/>
          <w:szCs w:val="24"/>
        </w:rPr>
        <w:t xml:space="preserve"> </w:t>
      </w:r>
      <w:r w:rsidR="00F86C41" w:rsidRPr="00D1664F">
        <w:rPr>
          <w:sz w:val="24"/>
          <w:szCs w:val="24"/>
        </w:rPr>
        <w:t>to validate the effectiveness of graduate medical education training programs at the NIH in accordance with requirements of external accrediting organizations, specifically the Accreditation Council for Graduate Medical Education located in Chicago, IL.</w:t>
      </w:r>
      <w:r w:rsidR="00466742" w:rsidRPr="00D1664F">
        <w:rPr>
          <w:sz w:val="24"/>
          <w:szCs w:val="24"/>
        </w:rPr>
        <w:t xml:space="preserve">  </w:t>
      </w:r>
    </w:p>
    <w:p w:rsidR="00DB41AB" w:rsidRPr="00D1664F" w:rsidRDefault="00DB41AB" w:rsidP="00466742">
      <w:pPr>
        <w:pStyle w:val="P1-StandPara"/>
        <w:spacing w:line="240" w:lineRule="auto"/>
        <w:ind w:left="720" w:firstLine="0"/>
        <w:rPr>
          <w:sz w:val="24"/>
          <w:szCs w:val="24"/>
        </w:rPr>
      </w:pPr>
    </w:p>
    <w:p w:rsidR="00B17874" w:rsidRPr="00D1664F" w:rsidRDefault="00553C35" w:rsidP="009D3B5D">
      <w:pPr>
        <w:pStyle w:val="P1-StandPara"/>
        <w:spacing w:line="240" w:lineRule="auto"/>
        <w:ind w:left="720" w:firstLine="0"/>
      </w:pPr>
      <w:r w:rsidRPr="0091069F">
        <w:rPr>
          <w:sz w:val="24"/>
          <w:szCs w:val="24"/>
        </w:rPr>
        <w:t xml:space="preserve">Since our last submission for OMB clearance, we </w:t>
      </w:r>
      <w:r w:rsidR="005B7380" w:rsidRPr="0091069F">
        <w:rPr>
          <w:sz w:val="24"/>
          <w:szCs w:val="24"/>
        </w:rPr>
        <w:t xml:space="preserve">have </w:t>
      </w:r>
      <w:r w:rsidR="00DE6339" w:rsidRPr="0091069F">
        <w:rPr>
          <w:sz w:val="24"/>
          <w:szCs w:val="24"/>
        </w:rPr>
        <w:t>continue</w:t>
      </w:r>
      <w:r w:rsidR="005B7380" w:rsidRPr="0091069F">
        <w:rPr>
          <w:sz w:val="24"/>
          <w:szCs w:val="24"/>
        </w:rPr>
        <w:t>d</w:t>
      </w:r>
      <w:r w:rsidR="00DE6339" w:rsidRPr="0091069F">
        <w:rPr>
          <w:sz w:val="24"/>
          <w:szCs w:val="24"/>
        </w:rPr>
        <w:t xml:space="preserve"> to survey</w:t>
      </w:r>
      <w:r w:rsidR="00764655" w:rsidRPr="0091069F">
        <w:rPr>
          <w:sz w:val="24"/>
          <w:szCs w:val="24"/>
        </w:rPr>
        <w:t xml:space="preserve"> </w:t>
      </w:r>
      <w:r w:rsidR="00DE6339" w:rsidRPr="0091069F">
        <w:rPr>
          <w:sz w:val="24"/>
          <w:szCs w:val="24"/>
        </w:rPr>
        <w:t>participants who have completed the training initiatives and</w:t>
      </w:r>
      <w:r w:rsidRPr="0091069F">
        <w:rPr>
          <w:sz w:val="24"/>
          <w:szCs w:val="24"/>
        </w:rPr>
        <w:t xml:space="preserve"> programs</w:t>
      </w:r>
      <w:r w:rsidR="00DE6339" w:rsidRPr="0091069F">
        <w:rPr>
          <w:sz w:val="24"/>
          <w:szCs w:val="24"/>
        </w:rPr>
        <w:t xml:space="preserve"> cited above</w:t>
      </w:r>
      <w:r w:rsidRPr="0091069F">
        <w:rPr>
          <w:sz w:val="24"/>
          <w:szCs w:val="24"/>
        </w:rPr>
        <w:t xml:space="preserve">.   The data received from </w:t>
      </w:r>
      <w:r w:rsidR="00DE6339" w:rsidRPr="0091069F">
        <w:rPr>
          <w:sz w:val="24"/>
          <w:szCs w:val="24"/>
        </w:rPr>
        <w:t xml:space="preserve">these </w:t>
      </w:r>
      <w:r w:rsidR="00565C60" w:rsidRPr="0091069F">
        <w:rPr>
          <w:sz w:val="24"/>
          <w:szCs w:val="24"/>
        </w:rPr>
        <w:t xml:space="preserve">surveys </w:t>
      </w:r>
      <w:r w:rsidR="00731157" w:rsidRPr="0091069F">
        <w:rPr>
          <w:sz w:val="24"/>
          <w:szCs w:val="24"/>
        </w:rPr>
        <w:t>have</w:t>
      </w:r>
      <w:r w:rsidRPr="0091069F">
        <w:rPr>
          <w:sz w:val="24"/>
          <w:szCs w:val="24"/>
        </w:rPr>
        <w:t xml:space="preserve"> been presented to Clinical Center leadership, as well as the </w:t>
      </w:r>
      <w:r w:rsidR="00B17874" w:rsidRPr="0091069F">
        <w:rPr>
          <w:sz w:val="24"/>
          <w:szCs w:val="24"/>
        </w:rPr>
        <w:t xml:space="preserve">training </w:t>
      </w:r>
      <w:r w:rsidRPr="0091069F">
        <w:rPr>
          <w:sz w:val="24"/>
          <w:szCs w:val="24"/>
        </w:rPr>
        <w:t xml:space="preserve">directors of the surveyed programs.  </w:t>
      </w:r>
      <w:r w:rsidR="00DE6339" w:rsidRPr="0091069F">
        <w:rPr>
          <w:sz w:val="24"/>
          <w:szCs w:val="24"/>
        </w:rPr>
        <w:t>Leadership has</w:t>
      </w:r>
      <w:r w:rsidR="00565C60" w:rsidRPr="0091069F">
        <w:rPr>
          <w:sz w:val="24"/>
          <w:szCs w:val="24"/>
        </w:rPr>
        <w:t xml:space="preserve"> </w:t>
      </w:r>
      <w:r w:rsidRPr="0091069F">
        <w:rPr>
          <w:sz w:val="24"/>
          <w:szCs w:val="24"/>
        </w:rPr>
        <w:t>affirmed the value of the</w:t>
      </w:r>
      <w:r w:rsidR="00565C60" w:rsidRPr="0091069F">
        <w:rPr>
          <w:sz w:val="24"/>
          <w:szCs w:val="24"/>
        </w:rPr>
        <w:t>se</w:t>
      </w:r>
      <w:r w:rsidRPr="0091069F">
        <w:rPr>
          <w:sz w:val="24"/>
          <w:szCs w:val="24"/>
        </w:rPr>
        <w:t xml:space="preserve"> survey</w:t>
      </w:r>
      <w:r w:rsidR="00565C60" w:rsidRPr="0091069F">
        <w:rPr>
          <w:sz w:val="24"/>
          <w:szCs w:val="24"/>
        </w:rPr>
        <w:t>s</w:t>
      </w:r>
      <w:r w:rsidRPr="0091069F">
        <w:rPr>
          <w:sz w:val="24"/>
          <w:szCs w:val="24"/>
        </w:rPr>
        <w:t xml:space="preserve"> and the data generated from </w:t>
      </w:r>
      <w:r w:rsidR="00565C60" w:rsidRPr="0091069F">
        <w:rPr>
          <w:sz w:val="24"/>
          <w:szCs w:val="24"/>
        </w:rPr>
        <w:t>them.</w:t>
      </w:r>
      <w:r w:rsidR="00B17874" w:rsidRPr="0091069F">
        <w:rPr>
          <w:sz w:val="24"/>
          <w:szCs w:val="24"/>
        </w:rPr>
        <w:t xml:space="preserve">  </w:t>
      </w:r>
      <w:r w:rsidR="009D3B5D" w:rsidRPr="0091069F">
        <w:rPr>
          <w:sz w:val="24"/>
          <w:szCs w:val="24"/>
        </w:rPr>
        <w:t>However,</w:t>
      </w:r>
      <w:r w:rsidR="009D3B5D" w:rsidRPr="00EF209A">
        <w:rPr>
          <w:sz w:val="24"/>
          <w:szCs w:val="24"/>
        </w:rPr>
        <w:t xml:space="preserve"> leadership has also identified the need for modifications of selected survey instruments and the expansion </w:t>
      </w:r>
      <w:r w:rsidR="009D3B5D">
        <w:rPr>
          <w:sz w:val="24"/>
          <w:szCs w:val="24"/>
        </w:rPr>
        <w:t xml:space="preserve">or discontinuation </w:t>
      </w:r>
      <w:r w:rsidR="009D3B5D" w:rsidRPr="00EF209A">
        <w:rPr>
          <w:sz w:val="24"/>
          <w:szCs w:val="24"/>
        </w:rPr>
        <w:t xml:space="preserve">of others. As a result, </w:t>
      </w:r>
      <w:r w:rsidR="009D3B5D">
        <w:rPr>
          <w:sz w:val="24"/>
          <w:szCs w:val="24"/>
        </w:rPr>
        <w:t>t</w:t>
      </w:r>
      <w:r w:rsidR="009D3B5D" w:rsidRPr="00EF209A">
        <w:rPr>
          <w:sz w:val="24"/>
          <w:szCs w:val="24"/>
        </w:rPr>
        <w:t>he NIH-Duke Training Program Survey</w:t>
      </w:r>
      <w:r w:rsidR="009D3B5D">
        <w:rPr>
          <w:sz w:val="24"/>
          <w:szCs w:val="24"/>
        </w:rPr>
        <w:t xml:space="preserve">, will be modified [Attachment 4], and both 3- and 5-year follow-up surveys will be added for the </w:t>
      </w:r>
      <w:r w:rsidR="009D3B5D" w:rsidRPr="00EF209A">
        <w:rPr>
          <w:sz w:val="24"/>
          <w:szCs w:val="24"/>
        </w:rPr>
        <w:t xml:space="preserve">Ph.D. Student Summer Course in Clinical and Translational Research, the Summer Internship Program and the Sabbatical Program to reflect the current information needs of program administrators and program needs to capture additional data for meaningful evaluation more effectively. </w:t>
      </w:r>
      <w:r w:rsidR="009D3B5D">
        <w:rPr>
          <w:sz w:val="24"/>
          <w:szCs w:val="24"/>
        </w:rPr>
        <w:t xml:space="preserve">The Introduction to the Principles and Practice of Clinical Research Course and the Principles of Clinical Pharmacology Course 1-year post-completion follow up surveys will be discontinued and replaced by modified, end-of-course on-line evaluations that will be submitted by participants at the time of course completion annually [Attachment 4]. </w:t>
      </w:r>
      <w:r w:rsidR="009D3B5D" w:rsidRPr="00EF209A">
        <w:rPr>
          <w:sz w:val="24"/>
          <w:szCs w:val="24"/>
        </w:rPr>
        <w:t xml:space="preserve"> </w:t>
      </w:r>
    </w:p>
    <w:p w:rsidR="009D3B5D" w:rsidRPr="008B1497" w:rsidRDefault="009D3B5D" w:rsidP="009D3B5D">
      <w:pPr>
        <w:pStyle w:val="P1-StandPara"/>
        <w:spacing w:line="240" w:lineRule="auto"/>
        <w:ind w:left="720" w:firstLine="0"/>
        <w:rPr>
          <w:sz w:val="24"/>
          <w:szCs w:val="24"/>
        </w:rPr>
      </w:pPr>
      <w:r w:rsidRPr="00EF209A">
        <w:rPr>
          <w:sz w:val="24"/>
          <w:szCs w:val="24"/>
        </w:rPr>
        <w:t>In addition</w:t>
      </w:r>
      <w:r>
        <w:rPr>
          <w:sz w:val="24"/>
          <w:szCs w:val="24"/>
        </w:rPr>
        <w:t xml:space="preserve"> and as stated previously</w:t>
      </w:r>
      <w:r w:rsidRPr="00EF209A">
        <w:rPr>
          <w:sz w:val="24"/>
          <w:szCs w:val="24"/>
        </w:rPr>
        <w:t xml:space="preserve">, the one-year </w:t>
      </w:r>
      <w:r>
        <w:rPr>
          <w:sz w:val="24"/>
          <w:szCs w:val="24"/>
        </w:rPr>
        <w:t>post-completion</w:t>
      </w:r>
      <w:r w:rsidRPr="00EF209A">
        <w:rPr>
          <w:sz w:val="24"/>
          <w:szCs w:val="24"/>
        </w:rPr>
        <w:t xml:space="preserve"> survey for the Resident Elective Program will be discontinued. </w:t>
      </w:r>
    </w:p>
    <w:p w:rsidR="00764273" w:rsidRDefault="00764273" w:rsidP="00764273">
      <w:pPr>
        <w:pStyle w:val="P1-StandPara"/>
        <w:spacing w:line="240" w:lineRule="auto"/>
        <w:ind w:left="720" w:firstLine="0"/>
        <w:rPr>
          <w:color w:val="000000"/>
          <w:sz w:val="24"/>
          <w:szCs w:val="24"/>
        </w:rPr>
      </w:pPr>
    </w:p>
    <w:p w:rsidR="00C84856" w:rsidRPr="002F67B5" w:rsidRDefault="00764273" w:rsidP="00764273">
      <w:pPr>
        <w:pStyle w:val="P1-StandPara"/>
        <w:numPr>
          <w:ilvl w:val="1"/>
          <w:numId w:val="33"/>
        </w:numPr>
        <w:spacing w:line="240" w:lineRule="auto"/>
        <w:rPr>
          <w:sz w:val="24"/>
          <w:szCs w:val="24"/>
        </w:rPr>
      </w:pPr>
      <w:r>
        <w:rPr>
          <w:sz w:val="24"/>
          <w:szCs w:val="24"/>
        </w:rPr>
        <w:t xml:space="preserve"> </w:t>
      </w:r>
      <w:r w:rsidR="00B15843" w:rsidRPr="00764273">
        <w:rPr>
          <w:b/>
          <w:sz w:val="24"/>
          <w:szCs w:val="24"/>
        </w:rPr>
        <w:t>Clinical Electives Program (CEP)</w:t>
      </w:r>
      <w:r w:rsidR="009D3B5D">
        <w:rPr>
          <w:b/>
          <w:sz w:val="24"/>
          <w:szCs w:val="24"/>
        </w:rPr>
        <w:t xml:space="preserve"> [Attachment 1]</w:t>
      </w:r>
      <w:r w:rsidR="009D3B5D" w:rsidRPr="00764273">
        <w:rPr>
          <w:b/>
          <w:sz w:val="24"/>
          <w:szCs w:val="24"/>
        </w:rPr>
        <w:br w:type="textWrapping" w:clear="all"/>
      </w:r>
      <w:r w:rsidR="00780666" w:rsidRPr="00764273">
        <w:rPr>
          <w:b/>
          <w:sz w:val="24"/>
          <w:szCs w:val="24"/>
        </w:rPr>
        <w:br w:type="textWrapping" w:clear="all"/>
      </w:r>
    </w:p>
    <w:p w:rsidR="00676AC5" w:rsidRPr="00676AC5" w:rsidRDefault="00676AC5" w:rsidP="006C4759">
      <w:pPr>
        <w:ind w:left="720"/>
      </w:pPr>
      <w:r w:rsidRPr="00676AC5">
        <w:t>The National Institutes o</w:t>
      </w:r>
      <w:r w:rsidR="00B17874">
        <w:t>f Health (NIH) offers four- to twelve-</w:t>
      </w:r>
      <w:r w:rsidRPr="00676AC5">
        <w:t xml:space="preserve">week clinical </w:t>
      </w:r>
      <w:r w:rsidR="006547B0">
        <w:t xml:space="preserve">research oriented </w:t>
      </w:r>
      <w:r w:rsidRPr="00676AC5">
        <w:t xml:space="preserve">elective rotations to senior medical and dental students in a multitude of specialty fields and biomedical disciplines at the </w:t>
      </w:r>
      <w:r w:rsidR="00BB1265">
        <w:t>CC</w:t>
      </w:r>
      <w:r w:rsidRPr="00676AC5">
        <w:t>.</w:t>
      </w:r>
      <w:r w:rsidR="00B963F4">
        <w:t xml:space="preserve"> The purpose of these elective rotations is to introduce these students to the conduct of well</w:t>
      </w:r>
      <w:r w:rsidR="006547B0">
        <w:t>-</w:t>
      </w:r>
      <w:r w:rsidR="00B963F4">
        <w:t>designed clinical and translational research, to teach clinical skills requisite for the care of patients enrolled in human investigational protocols at the NIH Clinical Center, and to promote research career development among participants.</w:t>
      </w:r>
      <w:r w:rsidR="006C41AE">
        <w:t xml:space="preserve"> The Program </w:t>
      </w:r>
      <w:r w:rsidR="001B34DE">
        <w:t xml:space="preserve">continues to </w:t>
      </w:r>
      <w:r w:rsidR="006C41AE">
        <w:t>track the short term career placements of participants to assess the effectiveness of this clinical</w:t>
      </w:r>
      <w:r w:rsidR="006547B0">
        <w:t xml:space="preserve"> research oriented</w:t>
      </w:r>
      <w:r w:rsidR="006C41AE">
        <w:t xml:space="preserve"> experience.</w:t>
      </w:r>
    </w:p>
    <w:p w:rsidR="00FE3727" w:rsidRPr="002F67B5" w:rsidRDefault="00FE3727" w:rsidP="00780666">
      <w:pPr>
        <w:pStyle w:val="Heading2"/>
        <w:tabs>
          <w:tab w:val="clear" w:pos="1152"/>
        </w:tabs>
        <w:spacing w:after="0" w:line="240" w:lineRule="auto"/>
        <w:ind w:left="720" w:firstLine="0"/>
        <w:jc w:val="left"/>
        <w:rPr>
          <w:b w:val="0"/>
          <w:color w:val="000000"/>
          <w:sz w:val="24"/>
          <w:szCs w:val="24"/>
        </w:rPr>
      </w:pPr>
    </w:p>
    <w:p w:rsidR="00C10CD2" w:rsidRPr="00217208" w:rsidRDefault="00B963F4" w:rsidP="00217208">
      <w:pPr>
        <w:pStyle w:val="Heading2"/>
        <w:numPr>
          <w:ilvl w:val="1"/>
          <w:numId w:val="33"/>
        </w:numPr>
        <w:tabs>
          <w:tab w:val="clear" w:pos="1152"/>
        </w:tabs>
        <w:spacing w:after="0" w:line="240" w:lineRule="auto"/>
        <w:jc w:val="left"/>
        <w:rPr>
          <w:sz w:val="24"/>
          <w:szCs w:val="24"/>
        </w:rPr>
      </w:pPr>
      <w:r>
        <w:rPr>
          <w:sz w:val="24"/>
          <w:szCs w:val="24"/>
        </w:rPr>
        <w:t>Introduction to the Principles and Practice of Clinical Research (IPPCR)</w:t>
      </w:r>
      <w:r w:rsidR="00217208">
        <w:rPr>
          <w:sz w:val="24"/>
          <w:szCs w:val="24"/>
        </w:rPr>
        <w:t xml:space="preserve"> [Attachments 1 and 4]</w:t>
      </w:r>
    </w:p>
    <w:p w:rsidR="006C41AE" w:rsidRPr="00D1664F" w:rsidRDefault="00090D48" w:rsidP="006C4759">
      <w:pPr>
        <w:pStyle w:val="NormalWeb"/>
        <w:ind w:left="720"/>
        <w:rPr>
          <w:rFonts w:ascii="Times New Roman" w:hAnsi="Times New Roman" w:cs="Times New Roman"/>
          <w:sz w:val="24"/>
          <w:szCs w:val="24"/>
        </w:rPr>
      </w:pPr>
      <w:r w:rsidRPr="00941EB5">
        <w:rPr>
          <w:rFonts w:ascii="Times New Roman" w:hAnsi="Times New Roman" w:cs="Times New Roman"/>
          <w:sz w:val="24"/>
          <w:szCs w:val="24"/>
        </w:rPr>
        <w:t xml:space="preserve">The </w:t>
      </w:r>
      <w:r w:rsidR="00B963F4" w:rsidRPr="00D1664F">
        <w:rPr>
          <w:rFonts w:ascii="Times New Roman" w:hAnsi="Times New Roman" w:cs="Times New Roman"/>
          <w:sz w:val="24"/>
          <w:szCs w:val="24"/>
        </w:rPr>
        <w:t xml:space="preserve">Introduction to the Principles and Practice of Clinical Research </w:t>
      </w:r>
      <w:r w:rsidR="00953BBC" w:rsidRPr="00D1664F">
        <w:rPr>
          <w:rFonts w:ascii="Times New Roman" w:hAnsi="Times New Roman" w:cs="Times New Roman"/>
          <w:sz w:val="24"/>
          <w:szCs w:val="24"/>
        </w:rPr>
        <w:t>course</w:t>
      </w:r>
      <w:r w:rsidRPr="00941EB5">
        <w:rPr>
          <w:rFonts w:ascii="Times New Roman" w:hAnsi="Times New Roman" w:cs="Times New Roman"/>
          <w:sz w:val="24"/>
          <w:szCs w:val="24"/>
        </w:rPr>
        <w:t xml:space="preserve"> was developed </w:t>
      </w:r>
      <w:r w:rsidR="00131FC5" w:rsidRPr="00D1664F">
        <w:rPr>
          <w:rFonts w:ascii="Times New Roman" w:hAnsi="Times New Roman" w:cs="Times New Roman"/>
          <w:sz w:val="24"/>
          <w:szCs w:val="24"/>
        </w:rPr>
        <w:t xml:space="preserve">initially </w:t>
      </w:r>
      <w:r w:rsidRPr="00D1664F">
        <w:rPr>
          <w:rFonts w:ascii="Times New Roman" w:hAnsi="Times New Roman" w:cs="Times New Roman"/>
          <w:sz w:val="24"/>
          <w:szCs w:val="24"/>
        </w:rPr>
        <w:t xml:space="preserve">for individuals currently </w:t>
      </w:r>
      <w:r w:rsidR="007446DB" w:rsidRPr="00D1664F">
        <w:rPr>
          <w:rFonts w:ascii="Times New Roman" w:hAnsi="Times New Roman" w:cs="Times New Roman"/>
          <w:sz w:val="24"/>
          <w:szCs w:val="24"/>
        </w:rPr>
        <w:t xml:space="preserve">working at NIH and </w:t>
      </w:r>
      <w:r w:rsidR="00953BBC" w:rsidRPr="00D1664F">
        <w:rPr>
          <w:rFonts w:ascii="Times New Roman" w:hAnsi="Times New Roman" w:cs="Times New Roman"/>
          <w:sz w:val="24"/>
          <w:szCs w:val="24"/>
        </w:rPr>
        <w:t xml:space="preserve">who were </w:t>
      </w:r>
      <w:r w:rsidRPr="00D1664F">
        <w:rPr>
          <w:rFonts w:ascii="Times New Roman" w:hAnsi="Times New Roman" w:cs="Times New Roman"/>
          <w:sz w:val="24"/>
          <w:szCs w:val="24"/>
        </w:rPr>
        <w:lastRenderedPageBreak/>
        <w:t xml:space="preserve">engaged or planning to become engaged in, clinical or translational research and wishing to acquire in-depth knowledge of clinical trial design, ethical concerns and human subject protection requirements, regulatory aspects of clinical research and the investigational new drug application (IND) process, </w:t>
      </w:r>
      <w:r w:rsidR="00131FC5" w:rsidRPr="00D1664F">
        <w:rPr>
          <w:rFonts w:ascii="Times New Roman" w:hAnsi="Times New Roman" w:cs="Times New Roman"/>
          <w:sz w:val="24"/>
          <w:szCs w:val="24"/>
        </w:rPr>
        <w:t>including</w:t>
      </w:r>
      <w:r w:rsidRPr="00D1664F">
        <w:rPr>
          <w:rFonts w:ascii="Times New Roman" w:hAnsi="Times New Roman" w:cs="Times New Roman"/>
          <w:sz w:val="24"/>
          <w:szCs w:val="24"/>
        </w:rPr>
        <w:t xml:space="preserve"> responsibilities of the clinical investigator. </w:t>
      </w:r>
      <w:r w:rsidR="00B963F4" w:rsidRPr="00D1664F">
        <w:rPr>
          <w:rFonts w:ascii="Times New Roman" w:hAnsi="Times New Roman" w:cs="Times New Roman"/>
          <w:sz w:val="24"/>
          <w:szCs w:val="24"/>
        </w:rPr>
        <w:t xml:space="preserve">The </w:t>
      </w:r>
      <w:r w:rsidR="00953BBC" w:rsidRPr="00D1664F">
        <w:rPr>
          <w:rFonts w:ascii="Times New Roman" w:hAnsi="Times New Roman" w:cs="Times New Roman"/>
          <w:sz w:val="24"/>
          <w:szCs w:val="24"/>
        </w:rPr>
        <w:t>course</w:t>
      </w:r>
      <w:r w:rsidR="00B963F4" w:rsidRPr="00941EB5">
        <w:rPr>
          <w:rFonts w:ascii="Times New Roman" w:hAnsi="Times New Roman" w:cs="Times New Roman"/>
          <w:sz w:val="24"/>
          <w:szCs w:val="24"/>
        </w:rPr>
        <w:t xml:space="preserve"> has expanded </w:t>
      </w:r>
      <w:r w:rsidR="00131FC5" w:rsidRPr="00D1664F">
        <w:rPr>
          <w:rFonts w:ascii="Times New Roman" w:hAnsi="Times New Roman" w:cs="Times New Roman"/>
          <w:sz w:val="24"/>
          <w:szCs w:val="24"/>
        </w:rPr>
        <w:t>and is offered to</w:t>
      </w:r>
      <w:r w:rsidR="00B963F4" w:rsidRPr="00D1664F">
        <w:rPr>
          <w:rFonts w:ascii="Times New Roman" w:hAnsi="Times New Roman" w:cs="Times New Roman"/>
          <w:sz w:val="24"/>
          <w:szCs w:val="24"/>
        </w:rPr>
        <w:t xml:space="preserve"> qualified biomedical trainees at extramural domestic and international sites who enroll and participate in the </w:t>
      </w:r>
      <w:r w:rsidR="00EC5958" w:rsidRPr="00D1664F">
        <w:rPr>
          <w:rFonts w:ascii="Times New Roman" w:hAnsi="Times New Roman" w:cs="Times New Roman"/>
          <w:sz w:val="24"/>
          <w:szCs w:val="24"/>
        </w:rPr>
        <w:t>lectures and presentations</w:t>
      </w:r>
      <w:r w:rsidR="00B963F4" w:rsidRPr="00D1664F">
        <w:rPr>
          <w:rFonts w:ascii="Times New Roman" w:hAnsi="Times New Roman" w:cs="Times New Roman"/>
          <w:sz w:val="24"/>
          <w:szCs w:val="24"/>
        </w:rPr>
        <w:t xml:space="preserve"> through distance learning technologies supported by the </w:t>
      </w:r>
      <w:r w:rsidR="00BB1265">
        <w:rPr>
          <w:rFonts w:ascii="Times New Roman" w:hAnsi="Times New Roman" w:cs="Times New Roman"/>
          <w:sz w:val="24"/>
          <w:szCs w:val="24"/>
        </w:rPr>
        <w:t>CC</w:t>
      </w:r>
      <w:r w:rsidR="00B963F4" w:rsidRPr="00D1664F">
        <w:rPr>
          <w:rFonts w:ascii="Times New Roman" w:hAnsi="Times New Roman" w:cs="Times New Roman"/>
          <w:sz w:val="24"/>
          <w:szCs w:val="24"/>
        </w:rPr>
        <w:t>.</w:t>
      </w:r>
      <w:r w:rsidR="006C41AE" w:rsidRPr="00D1664F">
        <w:rPr>
          <w:rFonts w:ascii="Times New Roman" w:hAnsi="Times New Roman" w:cs="Times New Roman"/>
          <w:sz w:val="24"/>
          <w:szCs w:val="24"/>
        </w:rPr>
        <w:t xml:space="preserve"> The course administrators </w:t>
      </w:r>
      <w:r w:rsidR="001B34DE">
        <w:rPr>
          <w:rFonts w:ascii="Times New Roman" w:hAnsi="Times New Roman" w:cs="Times New Roman"/>
          <w:sz w:val="24"/>
          <w:szCs w:val="24"/>
        </w:rPr>
        <w:t xml:space="preserve">continue to </w:t>
      </w:r>
      <w:r w:rsidR="006C41AE" w:rsidRPr="00D1664F">
        <w:rPr>
          <w:rFonts w:ascii="Times New Roman" w:hAnsi="Times New Roman" w:cs="Times New Roman"/>
          <w:sz w:val="24"/>
          <w:szCs w:val="24"/>
        </w:rPr>
        <w:t xml:space="preserve">track the impact of the curriculum on participants’ ability to </w:t>
      </w:r>
      <w:r w:rsidR="006C41AE" w:rsidRPr="00D1664F">
        <w:rPr>
          <w:rFonts w:ascii="Times New Roman" w:hAnsi="Times New Roman" w:cs="Times New Roman"/>
          <w:color w:val="000000"/>
          <w:sz w:val="24"/>
          <w:szCs w:val="24"/>
        </w:rPr>
        <w:t>perform successfully in an academic or research setting and perform successfully in a nonacademic or non-research setting, in order to assess effectiveness.</w:t>
      </w:r>
    </w:p>
    <w:p w:rsidR="006E557B" w:rsidRPr="00D1664F" w:rsidRDefault="00B17874" w:rsidP="00764273">
      <w:pPr>
        <w:pStyle w:val="Heading2"/>
        <w:numPr>
          <w:ilvl w:val="1"/>
          <w:numId w:val="33"/>
        </w:numPr>
        <w:tabs>
          <w:tab w:val="clear" w:pos="1152"/>
        </w:tabs>
        <w:spacing w:after="0" w:line="240" w:lineRule="auto"/>
        <w:jc w:val="left"/>
        <w:rPr>
          <w:sz w:val="24"/>
          <w:szCs w:val="24"/>
        </w:rPr>
      </w:pPr>
      <w:r w:rsidRPr="00D1664F">
        <w:rPr>
          <w:sz w:val="24"/>
          <w:szCs w:val="24"/>
        </w:rPr>
        <w:t xml:space="preserve">  </w:t>
      </w:r>
      <w:r w:rsidR="009E2893" w:rsidRPr="00D1664F">
        <w:rPr>
          <w:sz w:val="24"/>
          <w:szCs w:val="24"/>
        </w:rPr>
        <w:t>G</w:t>
      </w:r>
      <w:r w:rsidR="002D0FBB" w:rsidRPr="00D1664F">
        <w:rPr>
          <w:sz w:val="24"/>
          <w:szCs w:val="24"/>
        </w:rPr>
        <w:t xml:space="preserve">raduate Medical Education (GME) </w:t>
      </w:r>
      <w:r w:rsidR="0097719F" w:rsidRPr="00D1664F">
        <w:rPr>
          <w:sz w:val="24"/>
          <w:szCs w:val="24"/>
        </w:rPr>
        <w:t xml:space="preserve">Training </w:t>
      </w:r>
      <w:r w:rsidR="002D0FBB" w:rsidRPr="00D1664F">
        <w:rPr>
          <w:sz w:val="24"/>
          <w:szCs w:val="24"/>
        </w:rPr>
        <w:t>Program</w:t>
      </w:r>
    </w:p>
    <w:p w:rsidR="003A6E00" w:rsidRPr="0091069F" w:rsidRDefault="00217208" w:rsidP="0091069F">
      <w:pPr>
        <w:pStyle w:val="P1-StandPara"/>
        <w:spacing w:after="120" w:line="240" w:lineRule="auto"/>
        <w:rPr>
          <w:b/>
          <w:sz w:val="24"/>
          <w:szCs w:val="24"/>
        </w:rPr>
      </w:pPr>
      <w:r>
        <w:rPr>
          <w:sz w:val="24"/>
          <w:szCs w:val="24"/>
        </w:rPr>
        <w:tab/>
      </w:r>
      <w:r w:rsidRPr="0091069F">
        <w:rPr>
          <w:b/>
          <w:sz w:val="24"/>
          <w:szCs w:val="24"/>
        </w:rPr>
        <w:t xml:space="preserve">        [Attachment 2]</w:t>
      </w:r>
    </w:p>
    <w:p w:rsidR="003A6E00" w:rsidRPr="002F67B5" w:rsidRDefault="00B963F4" w:rsidP="006C4759">
      <w:pPr>
        <w:ind w:left="720"/>
        <w:rPr>
          <w:color w:val="000000"/>
        </w:rPr>
      </w:pPr>
      <w:r w:rsidRPr="00D1664F">
        <w:rPr>
          <w:color w:val="000000"/>
        </w:rPr>
        <w:t>Physician t</w:t>
      </w:r>
      <w:r w:rsidR="004A64B7" w:rsidRPr="00D1664F">
        <w:rPr>
          <w:color w:val="000000"/>
        </w:rPr>
        <w:t xml:space="preserve">rainees </w:t>
      </w:r>
      <w:r w:rsidRPr="00D1664F">
        <w:rPr>
          <w:color w:val="000000"/>
        </w:rPr>
        <w:t xml:space="preserve">enrolled in NIH graduate medical education </w:t>
      </w:r>
      <w:r w:rsidR="0097719F" w:rsidRPr="00D1664F">
        <w:rPr>
          <w:color w:val="000000"/>
        </w:rPr>
        <w:t xml:space="preserve">training </w:t>
      </w:r>
      <w:r w:rsidRPr="00D1664F">
        <w:rPr>
          <w:color w:val="000000"/>
        </w:rPr>
        <w:t xml:space="preserve">programs </w:t>
      </w:r>
      <w:r w:rsidR="004A64B7" w:rsidRPr="00D1664F">
        <w:rPr>
          <w:color w:val="000000"/>
        </w:rPr>
        <w:t>develop skills in diagnosis, disease management, and clinical investigation at the cutting edge of modern medicine by seeing patients and working with internationally-renowned physician investigators at the world’s largest hospital dedicated to human subject research</w:t>
      </w:r>
      <w:r w:rsidR="00BB1265">
        <w:rPr>
          <w:color w:val="000000"/>
        </w:rPr>
        <w:t xml:space="preserve"> (</w:t>
      </w:r>
      <w:r w:rsidR="004A64B7" w:rsidRPr="00D1664F">
        <w:rPr>
          <w:color w:val="000000"/>
        </w:rPr>
        <w:t>the NIH Clinical Center</w:t>
      </w:r>
      <w:r w:rsidR="00BB1265">
        <w:rPr>
          <w:color w:val="000000"/>
        </w:rPr>
        <w:t>)</w:t>
      </w:r>
      <w:r w:rsidR="004A64B7" w:rsidRPr="00D1664F">
        <w:rPr>
          <w:color w:val="000000"/>
        </w:rPr>
        <w:t xml:space="preserve">.  The intent of these </w:t>
      </w:r>
      <w:r w:rsidR="0097719F" w:rsidRPr="00D1664F">
        <w:rPr>
          <w:color w:val="000000"/>
        </w:rPr>
        <w:t xml:space="preserve">training </w:t>
      </w:r>
      <w:r w:rsidR="004A64B7" w:rsidRPr="00D1664F">
        <w:rPr>
          <w:color w:val="000000"/>
        </w:rPr>
        <w:t xml:space="preserve">programs is to educate </w:t>
      </w:r>
      <w:r w:rsidRPr="00D1664F">
        <w:rPr>
          <w:color w:val="000000"/>
        </w:rPr>
        <w:t xml:space="preserve">and promote the career development of </w:t>
      </w:r>
      <w:r w:rsidR="004A64B7" w:rsidRPr="00D1664F">
        <w:rPr>
          <w:color w:val="000000"/>
        </w:rPr>
        <w:t xml:space="preserve">highly-competent academic </w:t>
      </w:r>
      <w:r w:rsidR="00676AC5" w:rsidRPr="00D1664F">
        <w:rPr>
          <w:color w:val="000000"/>
        </w:rPr>
        <w:t>physicians</w:t>
      </w:r>
      <w:r w:rsidRPr="00D1664F">
        <w:rPr>
          <w:color w:val="000000"/>
        </w:rPr>
        <w:t xml:space="preserve"> who will make</w:t>
      </w:r>
      <w:r>
        <w:rPr>
          <w:color w:val="000000"/>
        </w:rPr>
        <w:t xml:space="preserve"> meaningful contributions to improving the health of the nation</w:t>
      </w:r>
      <w:r w:rsidR="0097719F">
        <w:rPr>
          <w:color w:val="000000"/>
        </w:rPr>
        <w:t xml:space="preserve"> through biomedical research</w:t>
      </w:r>
      <w:r w:rsidR="004A64B7">
        <w:rPr>
          <w:color w:val="000000"/>
        </w:rPr>
        <w:t>.</w:t>
      </w:r>
      <w:r w:rsidR="006C41AE">
        <w:rPr>
          <w:color w:val="000000"/>
        </w:rPr>
        <w:t xml:space="preserve"> The Program </w:t>
      </w:r>
      <w:r w:rsidR="001B34DE">
        <w:rPr>
          <w:color w:val="000000"/>
        </w:rPr>
        <w:t xml:space="preserve">continues to </w:t>
      </w:r>
      <w:r w:rsidR="006C41AE">
        <w:rPr>
          <w:color w:val="000000"/>
        </w:rPr>
        <w:t>longitudinally track</w:t>
      </w:r>
      <w:r w:rsidR="001B34DE">
        <w:rPr>
          <w:color w:val="000000"/>
        </w:rPr>
        <w:t xml:space="preserve"> the</w:t>
      </w:r>
      <w:r w:rsidR="006C41AE">
        <w:rPr>
          <w:color w:val="000000"/>
        </w:rPr>
        <w:t xml:space="preserve"> perception of clinical competence as well as </w:t>
      </w:r>
      <w:r w:rsidR="001B34DE">
        <w:rPr>
          <w:color w:val="000000"/>
        </w:rPr>
        <w:t xml:space="preserve">the details of </w:t>
      </w:r>
      <w:r w:rsidR="006C41AE">
        <w:rPr>
          <w:color w:val="000000"/>
        </w:rPr>
        <w:t>career paths and long-term academic outcomes of graduates, including academic appointments, tenure, grants</w:t>
      </w:r>
      <w:r w:rsidR="0097719F">
        <w:rPr>
          <w:color w:val="000000"/>
        </w:rPr>
        <w:t>,</w:t>
      </w:r>
      <w:r w:rsidR="006C41AE">
        <w:rPr>
          <w:color w:val="000000"/>
        </w:rPr>
        <w:t xml:space="preserve"> and publications </w:t>
      </w:r>
      <w:r w:rsidR="001B34DE">
        <w:rPr>
          <w:color w:val="000000"/>
        </w:rPr>
        <w:t xml:space="preserve">in order </w:t>
      </w:r>
      <w:r w:rsidR="006C41AE">
        <w:rPr>
          <w:color w:val="000000"/>
        </w:rPr>
        <w:t>to assess effectiveness of training.</w:t>
      </w:r>
    </w:p>
    <w:p w:rsidR="003A6E00" w:rsidRPr="002F67B5" w:rsidRDefault="003A6E00" w:rsidP="006C4759">
      <w:pPr>
        <w:ind w:left="720"/>
        <w:rPr>
          <w:color w:val="000000"/>
        </w:rPr>
      </w:pPr>
    </w:p>
    <w:p w:rsidR="00D54AB5" w:rsidRPr="00D54AB5" w:rsidRDefault="00D54AB5" w:rsidP="00764273">
      <w:pPr>
        <w:pStyle w:val="P1-StandPara"/>
        <w:numPr>
          <w:ilvl w:val="1"/>
          <w:numId w:val="33"/>
        </w:numPr>
        <w:spacing w:line="240" w:lineRule="auto"/>
        <w:rPr>
          <w:b/>
          <w:sz w:val="24"/>
          <w:szCs w:val="24"/>
        </w:rPr>
      </w:pPr>
      <w:r w:rsidRPr="00D54AB5">
        <w:rPr>
          <w:b/>
          <w:sz w:val="24"/>
          <w:szCs w:val="24"/>
        </w:rPr>
        <w:t>Medical Research Scholars Program (MSRP)</w:t>
      </w:r>
      <w:r w:rsidR="004A64B7">
        <w:rPr>
          <w:b/>
          <w:sz w:val="24"/>
          <w:szCs w:val="24"/>
        </w:rPr>
        <w:t>, formerly the Clinical Research Training Program (CRTP)</w:t>
      </w:r>
      <w:r w:rsidR="00217208" w:rsidRPr="00217208">
        <w:rPr>
          <w:b/>
          <w:sz w:val="24"/>
          <w:szCs w:val="24"/>
        </w:rPr>
        <w:t xml:space="preserve"> </w:t>
      </w:r>
      <w:r w:rsidR="00217208">
        <w:rPr>
          <w:b/>
          <w:sz w:val="24"/>
          <w:szCs w:val="24"/>
        </w:rPr>
        <w:t>[Attachment 1]</w:t>
      </w:r>
    </w:p>
    <w:p w:rsidR="00D54AB5" w:rsidRPr="00D54AB5" w:rsidRDefault="00D54AB5" w:rsidP="00D54AB5">
      <w:pPr>
        <w:pStyle w:val="P1-StandPara"/>
        <w:spacing w:line="240" w:lineRule="auto"/>
        <w:ind w:left="720" w:firstLine="0"/>
        <w:rPr>
          <w:color w:val="000000"/>
          <w:sz w:val="24"/>
          <w:szCs w:val="24"/>
        </w:rPr>
      </w:pPr>
    </w:p>
    <w:p w:rsidR="00D54AB5" w:rsidRPr="00D54AB5" w:rsidRDefault="00D54AB5" w:rsidP="006C4759">
      <w:pPr>
        <w:pStyle w:val="P1-StandPara"/>
        <w:spacing w:line="240" w:lineRule="auto"/>
        <w:ind w:left="720" w:firstLine="0"/>
        <w:rPr>
          <w:sz w:val="24"/>
          <w:szCs w:val="24"/>
        </w:rPr>
      </w:pPr>
      <w:r w:rsidRPr="00D54AB5">
        <w:rPr>
          <w:color w:val="000000"/>
          <w:sz w:val="24"/>
          <w:szCs w:val="24"/>
          <w:shd w:val="clear" w:color="auto" w:fill="FFFFFF"/>
        </w:rPr>
        <w:t>The National Institutes of Health (NIH) Medical Research Scholars Program</w:t>
      </w:r>
      <w:r w:rsidR="00B17874">
        <w:rPr>
          <w:color w:val="000000"/>
          <w:sz w:val="24"/>
          <w:szCs w:val="24"/>
          <w:shd w:val="clear" w:color="auto" w:fill="FFFFFF"/>
        </w:rPr>
        <w:t>, formerly known as the Clinical Research Training Programs,</w:t>
      </w:r>
      <w:r w:rsidRPr="00D54AB5">
        <w:rPr>
          <w:color w:val="000000"/>
          <w:sz w:val="24"/>
          <w:szCs w:val="24"/>
          <w:shd w:val="clear" w:color="auto" w:fill="FFFFFF"/>
        </w:rPr>
        <w:t xml:space="preserve"> is a comprehensive, year-long research enrichment program designed to attract the most creative, research-oriented medical, osteopathic, dental, and veterinary students to the intramural campus of the NIH in Bethesda, M</w:t>
      </w:r>
      <w:r w:rsidR="007446DB">
        <w:rPr>
          <w:color w:val="000000"/>
          <w:sz w:val="24"/>
          <w:szCs w:val="24"/>
          <w:shd w:val="clear" w:color="auto" w:fill="FFFFFF"/>
        </w:rPr>
        <w:t>D</w:t>
      </w:r>
      <w:r w:rsidRPr="00D54AB5">
        <w:rPr>
          <w:color w:val="000000"/>
          <w:sz w:val="24"/>
          <w:szCs w:val="24"/>
          <w:shd w:val="clear" w:color="auto" w:fill="FFFFFF"/>
        </w:rPr>
        <w:t>. Scholars</w:t>
      </w:r>
      <w:r w:rsidR="003762B8">
        <w:rPr>
          <w:color w:val="000000"/>
          <w:sz w:val="24"/>
          <w:szCs w:val="24"/>
          <w:shd w:val="clear" w:color="auto" w:fill="FFFFFF"/>
        </w:rPr>
        <w:t xml:space="preserve"> learn the principles of basic science, translational, or clinical research design, and then apply their knowledge through direct participation</w:t>
      </w:r>
      <w:r w:rsidRPr="00D54AB5">
        <w:rPr>
          <w:color w:val="000000"/>
          <w:sz w:val="24"/>
          <w:szCs w:val="24"/>
          <w:shd w:val="clear" w:color="auto" w:fill="FFFFFF"/>
        </w:rPr>
        <w:t xml:space="preserve"> in a mentored basic, clinical, or translational research project in an area that matches their personal interests and </w:t>
      </w:r>
      <w:r w:rsidR="003762B8">
        <w:rPr>
          <w:color w:val="000000"/>
          <w:sz w:val="24"/>
          <w:szCs w:val="24"/>
          <w:shd w:val="clear" w:color="auto" w:fill="FFFFFF"/>
        </w:rPr>
        <w:t xml:space="preserve">professional career </w:t>
      </w:r>
      <w:r w:rsidRPr="00D54AB5">
        <w:rPr>
          <w:color w:val="000000"/>
          <w:sz w:val="24"/>
          <w:szCs w:val="24"/>
          <w:shd w:val="clear" w:color="auto" w:fill="FFFFFF"/>
        </w:rPr>
        <w:t>goals. </w:t>
      </w:r>
      <w:r w:rsidR="00131FC5">
        <w:rPr>
          <w:color w:val="000000"/>
          <w:sz w:val="24"/>
          <w:szCs w:val="24"/>
          <w:shd w:val="clear" w:color="auto" w:fill="FFFFFF"/>
        </w:rPr>
        <w:t xml:space="preserve">The Program is designed to promote the early academic development of students with strong potential for careers as physician scientists or clinician investigators.  The career paths and outcomes of graduates of the former CRTP and the current MRSP </w:t>
      </w:r>
      <w:r w:rsidR="001B34DE">
        <w:rPr>
          <w:color w:val="000000"/>
          <w:sz w:val="24"/>
          <w:szCs w:val="24"/>
          <w:shd w:val="clear" w:color="auto" w:fill="FFFFFF"/>
        </w:rPr>
        <w:t>continue to be t</w:t>
      </w:r>
      <w:r w:rsidR="00131FC5">
        <w:rPr>
          <w:color w:val="000000"/>
          <w:sz w:val="24"/>
          <w:szCs w:val="24"/>
          <w:shd w:val="clear" w:color="auto" w:fill="FFFFFF"/>
        </w:rPr>
        <w:t xml:space="preserve">racked longitudinally to determine the effectiveness of this </w:t>
      </w:r>
      <w:r w:rsidR="002158A2">
        <w:rPr>
          <w:color w:val="000000"/>
          <w:sz w:val="24"/>
          <w:szCs w:val="24"/>
          <w:shd w:val="clear" w:color="auto" w:fill="FFFFFF"/>
        </w:rPr>
        <w:t>pre-doctoral</w:t>
      </w:r>
      <w:r w:rsidR="00131FC5">
        <w:rPr>
          <w:color w:val="000000"/>
          <w:sz w:val="24"/>
          <w:szCs w:val="24"/>
          <w:shd w:val="clear" w:color="auto" w:fill="FFFFFF"/>
        </w:rPr>
        <w:t xml:space="preserve"> medical education </w:t>
      </w:r>
      <w:r w:rsidR="002158A2">
        <w:rPr>
          <w:color w:val="000000"/>
          <w:sz w:val="24"/>
          <w:szCs w:val="24"/>
          <w:shd w:val="clear" w:color="auto" w:fill="FFFFFF"/>
        </w:rPr>
        <w:t xml:space="preserve">training </w:t>
      </w:r>
      <w:r w:rsidR="00131FC5">
        <w:rPr>
          <w:color w:val="000000"/>
          <w:sz w:val="24"/>
          <w:szCs w:val="24"/>
          <w:shd w:val="clear" w:color="auto" w:fill="FFFFFF"/>
        </w:rPr>
        <w:t>program in promoting both early and mid-career academic success.</w:t>
      </w:r>
    </w:p>
    <w:p w:rsidR="00D54AB5" w:rsidRDefault="00D54AB5" w:rsidP="00D54AB5">
      <w:pPr>
        <w:pStyle w:val="P1-StandPara"/>
        <w:spacing w:line="240" w:lineRule="auto"/>
        <w:ind w:left="1440" w:firstLine="0"/>
        <w:rPr>
          <w:b/>
          <w:sz w:val="24"/>
          <w:szCs w:val="24"/>
        </w:rPr>
      </w:pPr>
    </w:p>
    <w:p w:rsidR="00C84856" w:rsidRPr="002F67B5" w:rsidRDefault="003A6E00" w:rsidP="00764273">
      <w:pPr>
        <w:pStyle w:val="P1-StandPara"/>
        <w:numPr>
          <w:ilvl w:val="1"/>
          <w:numId w:val="33"/>
        </w:numPr>
        <w:spacing w:line="240" w:lineRule="auto"/>
        <w:rPr>
          <w:b/>
          <w:sz w:val="24"/>
          <w:szCs w:val="24"/>
        </w:rPr>
      </w:pPr>
      <w:r w:rsidRPr="002F67B5">
        <w:rPr>
          <w:b/>
          <w:sz w:val="24"/>
          <w:szCs w:val="24"/>
        </w:rPr>
        <w:lastRenderedPageBreak/>
        <w:t>NIH-Duke Training Program in Clinical Research (NIH-DUKE)</w:t>
      </w:r>
      <w:r w:rsidR="00217208" w:rsidRPr="00217208">
        <w:rPr>
          <w:b/>
          <w:sz w:val="24"/>
          <w:szCs w:val="24"/>
        </w:rPr>
        <w:t xml:space="preserve"> </w:t>
      </w:r>
      <w:r w:rsidR="00217208">
        <w:rPr>
          <w:b/>
          <w:sz w:val="24"/>
          <w:szCs w:val="24"/>
        </w:rPr>
        <w:t>[Attachment 2 and 4]</w:t>
      </w:r>
    </w:p>
    <w:p w:rsidR="00EB3CDF" w:rsidRPr="002F67B5" w:rsidRDefault="00EB3CDF" w:rsidP="00EB3CDF">
      <w:pPr>
        <w:pStyle w:val="P1-StandPara"/>
        <w:spacing w:line="240" w:lineRule="auto"/>
        <w:rPr>
          <w:b/>
          <w:sz w:val="24"/>
          <w:szCs w:val="24"/>
        </w:rPr>
      </w:pPr>
    </w:p>
    <w:p w:rsidR="00FA39F0" w:rsidRPr="002F67B5" w:rsidRDefault="00EB3CDF" w:rsidP="006C4759">
      <w:pPr>
        <w:pStyle w:val="P1-StandPara"/>
        <w:spacing w:line="240" w:lineRule="auto"/>
        <w:ind w:left="720" w:firstLine="0"/>
        <w:rPr>
          <w:color w:val="000000"/>
          <w:sz w:val="24"/>
          <w:szCs w:val="24"/>
        </w:rPr>
      </w:pPr>
      <w:r w:rsidRPr="002F67B5">
        <w:rPr>
          <w:color w:val="000000"/>
          <w:sz w:val="24"/>
          <w:szCs w:val="24"/>
        </w:rPr>
        <w:t xml:space="preserve">This collaborative training program between the </w:t>
      </w:r>
      <w:r w:rsidR="00BB1265">
        <w:rPr>
          <w:color w:val="000000"/>
          <w:sz w:val="24"/>
          <w:szCs w:val="24"/>
        </w:rPr>
        <w:t>CC</w:t>
      </w:r>
      <w:r w:rsidRPr="002F67B5">
        <w:rPr>
          <w:color w:val="000000"/>
          <w:sz w:val="24"/>
          <w:szCs w:val="24"/>
        </w:rPr>
        <w:t xml:space="preserve"> and the Duke University School of Medicine provides formalized academic training in the quantitative and methodological principles of clinical research for health professionals at the NIH. Designed primarily for physicians who are training for careers in clinical research, the program offers formal courses in research design, research management, medical genomics, and statistical analysis</w:t>
      </w:r>
      <w:r w:rsidR="003762B8">
        <w:rPr>
          <w:color w:val="000000"/>
          <w:sz w:val="24"/>
          <w:szCs w:val="24"/>
        </w:rPr>
        <w:t xml:space="preserve"> leading to a </w:t>
      </w:r>
      <w:r w:rsidR="003762B8" w:rsidRPr="003762B8">
        <w:rPr>
          <w:color w:val="000000"/>
          <w:sz w:val="24"/>
          <w:szCs w:val="24"/>
        </w:rPr>
        <w:t>Master of Health Sciences in Clinical Research</w:t>
      </w:r>
      <w:r w:rsidR="003762B8">
        <w:rPr>
          <w:color w:val="000000"/>
        </w:rPr>
        <w:t xml:space="preserve"> </w:t>
      </w:r>
      <w:r w:rsidR="003762B8">
        <w:rPr>
          <w:color w:val="000000"/>
          <w:sz w:val="24"/>
          <w:szCs w:val="24"/>
        </w:rPr>
        <w:t>degree awarded by Duke University</w:t>
      </w:r>
      <w:r w:rsidRPr="002F67B5">
        <w:rPr>
          <w:color w:val="000000"/>
          <w:sz w:val="24"/>
          <w:szCs w:val="24"/>
        </w:rPr>
        <w:t>.</w:t>
      </w:r>
      <w:r w:rsidR="006F41B3">
        <w:rPr>
          <w:color w:val="000000"/>
          <w:sz w:val="24"/>
          <w:szCs w:val="24"/>
        </w:rPr>
        <w:t xml:space="preserve"> The Program </w:t>
      </w:r>
      <w:r w:rsidR="001B34DE">
        <w:rPr>
          <w:color w:val="000000"/>
          <w:sz w:val="24"/>
          <w:szCs w:val="24"/>
        </w:rPr>
        <w:t xml:space="preserve">continues to </w:t>
      </w:r>
      <w:r w:rsidR="006F41B3">
        <w:rPr>
          <w:color w:val="000000"/>
          <w:sz w:val="24"/>
          <w:szCs w:val="24"/>
        </w:rPr>
        <w:t xml:space="preserve">track career placements and academic outcomes </w:t>
      </w:r>
      <w:r w:rsidR="001B34DE">
        <w:rPr>
          <w:color w:val="000000"/>
          <w:sz w:val="24"/>
          <w:szCs w:val="24"/>
        </w:rPr>
        <w:t xml:space="preserve">of graduates </w:t>
      </w:r>
      <w:r w:rsidR="006F41B3">
        <w:rPr>
          <w:color w:val="000000"/>
          <w:sz w:val="24"/>
          <w:szCs w:val="24"/>
        </w:rPr>
        <w:t>to assess effectiveness.</w:t>
      </w:r>
    </w:p>
    <w:p w:rsidR="006E7CF2" w:rsidRPr="002F67B5" w:rsidRDefault="006E7CF2" w:rsidP="003A6E00">
      <w:pPr>
        <w:pStyle w:val="P1-StandPara"/>
        <w:spacing w:line="240" w:lineRule="auto"/>
        <w:ind w:left="720" w:firstLine="0"/>
        <w:rPr>
          <w:b/>
          <w:sz w:val="24"/>
          <w:szCs w:val="24"/>
        </w:rPr>
      </w:pPr>
    </w:p>
    <w:p w:rsidR="00D54AB5" w:rsidRPr="00217208" w:rsidRDefault="00D54AB5" w:rsidP="0091069F">
      <w:pPr>
        <w:pStyle w:val="P1-StandPara"/>
        <w:numPr>
          <w:ilvl w:val="1"/>
          <w:numId w:val="33"/>
        </w:numPr>
        <w:spacing w:after="120" w:line="240" w:lineRule="auto"/>
        <w:rPr>
          <w:b/>
          <w:sz w:val="24"/>
          <w:szCs w:val="24"/>
        </w:rPr>
      </w:pPr>
      <w:r w:rsidRPr="00B83D66">
        <w:rPr>
          <w:b/>
          <w:iCs/>
          <w:sz w:val="24"/>
          <w:szCs w:val="24"/>
        </w:rPr>
        <w:t>Ph.D. Student Summer Course in Clinical and Translational Research</w:t>
      </w:r>
      <w:r w:rsidRPr="00B83D66">
        <w:rPr>
          <w:b/>
          <w:sz w:val="24"/>
          <w:szCs w:val="24"/>
        </w:rPr>
        <w:t xml:space="preserve"> </w:t>
      </w:r>
      <w:r w:rsidR="00217208">
        <w:rPr>
          <w:b/>
          <w:iCs/>
          <w:sz w:val="24"/>
          <w:szCs w:val="24"/>
        </w:rPr>
        <w:t>[Attachment 3]</w:t>
      </w:r>
    </w:p>
    <w:p w:rsidR="00D54AB5" w:rsidRPr="00B83D66" w:rsidRDefault="00D54AB5" w:rsidP="006C4759">
      <w:pPr>
        <w:pStyle w:val="P1-StandPara"/>
        <w:spacing w:line="240" w:lineRule="auto"/>
        <w:ind w:left="720" w:firstLine="0"/>
        <w:rPr>
          <w:sz w:val="24"/>
          <w:szCs w:val="24"/>
        </w:rPr>
      </w:pPr>
      <w:r w:rsidRPr="00B83D66">
        <w:rPr>
          <w:sz w:val="24"/>
          <w:szCs w:val="24"/>
        </w:rPr>
        <w:t xml:space="preserve">The </w:t>
      </w:r>
      <w:r w:rsidRPr="00B83D66">
        <w:rPr>
          <w:iCs/>
          <w:sz w:val="24"/>
          <w:szCs w:val="24"/>
        </w:rPr>
        <w:t>Ph.D. Student Summer Course in Clinical and Translational Research</w:t>
      </w:r>
      <w:r w:rsidRPr="00B83D66">
        <w:rPr>
          <w:sz w:val="24"/>
          <w:szCs w:val="24"/>
        </w:rPr>
        <w:t xml:space="preserve"> is a 2-week introductory course for graduate students in the basic sciences</w:t>
      </w:r>
      <w:r w:rsidR="003762B8">
        <w:rPr>
          <w:sz w:val="24"/>
          <w:szCs w:val="24"/>
        </w:rPr>
        <w:t xml:space="preserve"> </w:t>
      </w:r>
      <w:r w:rsidR="00EF7CF3">
        <w:rPr>
          <w:sz w:val="24"/>
          <w:szCs w:val="24"/>
        </w:rPr>
        <w:t xml:space="preserve">that is </w:t>
      </w:r>
      <w:r w:rsidR="00EF7CF3" w:rsidRPr="00941EB5">
        <w:rPr>
          <w:sz w:val="24"/>
          <w:szCs w:val="24"/>
        </w:rPr>
        <w:t xml:space="preserve">offered </w:t>
      </w:r>
      <w:r w:rsidR="00196BC6" w:rsidRPr="00D1664F">
        <w:rPr>
          <w:sz w:val="24"/>
          <w:szCs w:val="24"/>
        </w:rPr>
        <w:t xml:space="preserve">early in the course of their </w:t>
      </w:r>
      <w:r w:rsidR="00EF7CF3" w:rsidRPr="00D1664F">
        <w:rPr>
          <w:sz w:val="24"/>
          <w:szCs w:val="24"/>
        </w:rPr>
        <w:t xml:space="preserve">university’s </w:t>
      </w:r>
      <w:r w:rsidR="00196BC6" w:rsidRPr="00D1664F">
        <w:rPr>
          <w:sz w:val="24"/>
          <w:szCs w:val="24"/>
        </w:rPr>
        <w:t>graduate degree program</w:t>
      </w:r>
      <w:r w:rsidRPr="00D1664F">
        <w:rPr>
          <w:sz w:val="24"/>
          <w:szCs w:val="24"/>
        </w:rPr>
        <w:t xml:space="preserve">. The course aims to expose </w:t>
      </w:r>
      <w:r w:rsidR="00EF7CF3" w:rsidRPr="00D1664F">
        <w:rPr>
          <w:sz w:val="24"/>
          <w:szCs w:val="24"/>
        </w:rPr>
        <w:t xml:space="preserve">these pre-doctoral </w:t>
      </w:r>
      <w:r w:rsidRPr="00D1664F">
        <w:rPr>
          <w:sz w:val="24"/>
          <w:szCs w:val="24"/>
        </w:rPr>
        <w:t xml:space="preserve">students to Ph.D. role models and showcase the many roles scientists have in clinical and translational research. Of equal importance, the course aims to equip </w:t>
      </w:r>
      <w:r w:rsidR="00EF7CF3" w:rsidRPr="00D1664F">
        <w:rPr>
          <w:sz w:val="24"/>
          <w:szCs w:val="24"/>
        </w:rPr>
        <w:t xml:space="preserve">these </w:t>
      </w:r>
      <w:r w:rsidRPr="00D1664F">
        <w:rPr>
          <w:sz w:val="24"/>
          <w:szCs w:val="24"/>
        </w:rPr>
        <w:t>students with the fundamentals of clinical and translational research and offer practical experiences such as guidance on preparing grant applications, learning about team science and their critical roles</w:t>
      </w:r>
      <w:r w:rsidR="00EF7CF3" w:rsidRPr="00D1664F">
        <w:rPr>
          <w:sz w:val="24"/>
          <w:szCs w:val="24"/>
        </w:rPr>
        <w:t xml:space="preserve"> as participants in such teams</w:t>
      </w:r>
      <w:r w:rsidRPr="00941EB5">
        <w:rPr>
          <w:sz w:val="24"/>
          <w:szCs w:val="24"/>
        </w:rPr>
        <w:t xml:space="preserve">, as well as many other functionally useful tools. </w:t>
      </w:r>
      <w:r w:rsidR="006F41B3" w:rsidRPr="00D1664F">
        <w:rPr>
          <w:sz w:val="24"/>
          <w:szCs w:val="24"/>
        </w:rPr>
        <w:t xml:space="preserve">The course administrators </w:t>
      </w:r>
      <w:r w:rsidR="001B34DE">
        <w:rPr>
          <w:sz w:val="24"/>
          <w:szCs w:val="24"/>
        </w:rPr>
        <w:t xml:space="preserve">continue to </w:t>
      </w:r>
      <w:r w:rsidR="006F41B3" w:rsidRPr="00D1664F">
        <w:rPr>
          <w:sz w:val="24"/>
          <w:szCs w:val="24"/>
        </w:rPr>
        <w:t>track subsequent involvement of participants in clinical or translational research to assess effectiveness.</w:t>
      </w:r>
      <w:r w:rsidR="006F41B3">
        <w:rPr>
          <w:sz w:val="24"/>
          <w:szCs w:val="24"/>
        </w:rPr>
        <w:t xml:space="preserve"> </w:t>
      </w:r>
    </w:p>
    <w:p w:rsidR="00D54AB5" w:rsidRPr="00D54AB5" w:rsidRDefault="00D54AB5" w:rsidP="00D54AB5">
      <w:pPr>
        <w:pStyle w:val="P1-StandPara"/>
        <w:spacing w:line="240" w:lineRule="auto"/>
        <w:ind w:left="1440" w:firstLine="0"/>
        <w:rPr>
          <w:b/>
          <w:sz w:val="24"/>
          <w:szCs w:val="24"/>
        </w:rPr>
      </w:pPr>
    </w:p>
    <w:p w:rsidR="00C84856" w:rsidRPr="00217208" w:rsidRDefault="003A6E00" w:rsidP="00217208">
      <w:pPr>
        <w:pStyle w:val="P1-StandPara"/>
        <w:numPr>
          <w:ilvl w:val="1"/>
          <w:numId w:val="33"/>
        </w:numPr>
        <w:spacing w:line="240" w:lineRule="auto"/>
        <w:rPr>
          <w:b/>
          <w:sz w:val="24"/>
          <w:szCs w:val="24"/>
        </w:rPr>
      </w:pPr>
      <w:r w:rsidRPr="002F67B5">
        <w:rPr>
          <w:b/>
          <w:sz w:val="24"/>
          <w:szCs w:val="24"/>
        </w:rPr>
        <w:t>Principles of Clinical Pharmacology Course (PCP)</w:t>
      </w:r>
      <w:r w:rsidR="00217208" w:rsidRPr="00217208">
        <w:rPr>
          <w:b/>
          <w:sz w:val="24"/>
          <w:szCs w:val="24"/>
        </w:rPr>
        <w:t xml:space="preserve"> </w:t>
      </w:r>
      <w:r w:rsidR="00217208">
        <w:rPr>
          <w:b/>
          <w:sz w:val="24"/>
          <w:szCs w:val="24"/>
        </w:rPr>
        <w:t>[Attachments 1 and 4]</w:t>
      </w:r>
    </w:p>
    <w:p w:rsidR="002D5237" w:rsidRPr="002F67B5" w:rsidRDefault="002D5237" w:rsidP="00FA39F0">
      <w:pPr>
        <w:pStyle w:val="NormalWeb"/>
        <w:shd w:val="clear" w:color="auto" w:fill="FFFFFF"/>
        <w:spacing w:before="0" w:beforeAutospacing="0" w:after="0" w:afterAutospacing="0"/>
        <w:ind w:left="720"/>
        <w:rPr>
          <w:rFonts w:ascii="Times New Roman" w:hAnsi="Times New Roman" w:cs="Times New Roman"/>
          <w:color w:val="000000"/>
          <w:sz w:val="24"/>
          <w:szCs w:val="24"/>
        </w:rPr>
      </w:pPr>
    </w:p>
    <w:p w:rsidR="00FA39F0" w:rsidRPr="002F67B5" w:rsidRDefault="00FA39F0" w:rsidP="006C4759">
      <w:pPr>
        <w:pStyle w:val="NormalWeb"/>
        <w:shd w:val="clear" w:color="auto" w:fill="FFFFFF"/>
        <w:spacing w:before="0" w:beforeAutospacing="0" w:after="0" w:afterAutospacing="0"/>
        <w:ind w:left="720"/>
        <w:rPr>
          <w:rFonts w:ascii="Times New Roman" w:hAnsi="Times New Roman" w:cs="Times New Roman"/>
          <w:color w:val="000000"/>
          <w:sz w:val="24"/>
          <w:szCs w:val="24"/>
        </w:rPr>
      </w:pPr>
      <w:r w:rsidRPr="002F67B5">
        <w:rPr>
          <w:rFonts w:ascii="Times New Roman" w:hAnsi="Times New Roman" w:cs="Times New Roman"/>
          <w:color w:val="000000"/>
          <w:sz w:val="24"/>
          <w:szCs w:val="24"/>
        </w:rPr>
        <w:t xml:space="preserve">Because most medical schools lack a formal course in clinical pharmacology, and physicians, pharmacists, and other scientists in training may not have access to a formal educational curriculum in this discipline, this course was designed to assist interested individuals who are preparing to take the certifying examinations of the American Board of Clinical Pharmacology. Likewise, this course is offered to meet the needs of researchers with an interest in the pharmacologic aspects of contemporary </w:t>
      </w:r>
      <w:r w:rsidR="00196BC6">
        <w:rPr>
          <w:rFonts w:ascii="Times New Roman" w:hAnsi="Times New Roman" w:cs="Times New Roman"/>
          <w:color w:val="000000"/>
          <w:sz w:val="24"/>
          <w:szCs w:val="24"/>
        </w:rPr>
        <w:t xml:space="preserve">clinical </w:t>
      </w:r>
      <w:r w:rsidRPr="002F67B5">
        <w:rPr>
          <w:rFonts w:ascii="Times New Roman" w:hAnsi="Times New Roman" w:cs="Times New Roman"/>
          <w:color w:val="000000"/>
          <w:sz w:val="24"/>
          <w:szCs w:val="24"/>
        </w:rPr>
        <w:t>drug development and utilization.</w:t>
      </w:r>
      <w:r w:rsidR="00131FC5">
        <w:rPr>
          <w:rFonts w:ascii="Times New Roman" w:hAnsi="Times New Roman" w:cs="Times New Roman"/>
          <w:color w:val="000000"/>
          <w:sz w:val="24"/>
          <w:szCs w:val="24"/>
        </w:rPr>
        <w:t xml:space="preserve"> The </w:t>
      </w:r>
      <w:r w:rsidR="001A2DD3">
        <w:rPr>
          <w:rFonts w:ascii="Times New Roman" w:hAnsi="Times New Roman" w:cs="Times New Roman"/>
          <w:color w:val="000000"/>
          <w:sz w:val="24"/>
          <w:szCs w:val="24"/>
        </w:rPr>
        <w:t xml:space="preserve">course administrators </w:t>
      </w:r>
      <w:r w:rsidR="001B34DE">
        <w:rPr>
          <w:rFonts w:ascii="Times New Roman" w:hAnsi="Times New Roman" w:cs="Times New Roman"/>
          <w:color w:val="000000"/>
          <w:sz w:val="24"/>
          <w:szCs w:val="24"/>
        </w:rPr>
        <w:t xml:space="preserve">continue to </w:t>
      </w:r>
      <w:r w:rsidR="00131FC5">
        <w:rPr>
          <w:rFonts w:ascii="Times New Roman" w:hAnsi="Times New Roman" w:cs="Times New Roman"/>
          <w:color w:val="000000"/>
          <w:sz w:val="24"/>
          <w:szCs w:val="24"/>
        </w:rPr>
        <w:t>track the impact of th</w:t>
      </w:r>
      <w:r w:rsidR="001A2DD3">
        <w:rPr>
          <w:rFonts w:ascii="Times New Roman" w:hAnsi="Times New Roman" w:cs="Times New Roman"/>
          <w:color w:val="000000"/>
          <w:sz w:val="24"/>
          <w:szCs w:val="24"/>
        </w:rPr>
        <w:t>e curriculum</w:t>
      </w:r>
      <w:r w:rsidR="00131FC5">
        <w:rPr>
          <w:rFonts w:ascii="Times New Roman" w:hAnsi="Times New Roman" w:cs="Times New Roman"/>
          <w:color w:val="000000"/>
          <w:sz w:val="24"/>
          <w:szCs w:val="24"/>
        </w:rPr>
        <w:t xml:space="preserve"> on </w:t>
      </w:r>
      <w:r w:rsidR="001A2DD3">
        <w:rPr>
          <w:rFonts w:ascii="Times New Roman" w:hAnsi="Times New Roman" w:cs="Times New Roman"/>
          <w:color w:val="000000"/>
          <w:sz w:val="24"/>
          <w:szCs w:val="24"/>
        </w:rPr>
        <w:t xml:space="preserve">the </w:t>
      </w:r>
      <w:r w:rsidR="002D155A">
        <w:rPr>
          <w:rFonts w:ascii="Times New Roman" w:hAnsi="Times New Roman" w:cs="Times New Roman"/>
          <w:color w:val="000000"/>
          <w:sz w:val="24"/>
          <w:szCs w:val="24"/>
        </w:rPr>
        <w:t xml:space="preserve">research and professional </w:t>
      </w:r>
      <w:r w:rsidR="00131FC5">
        <w:rPr>
          <w:rFonts w:ascii="Times New Roman" w:hAnsi="Times New Roman" w:cs="Times New Roman"/>
          <w:color w:val="000000"/>
          <w:sz w:val="24"/>
          <w:szCs w:val="24"/>
        </w:rPr>
        <w:t>career development</w:t>
      </w:r>
      <w:r w:rsidR="001A2DD3">
        <w:rPr>
          <w:rFonts w:ascii="Times New Roman" w:hAnsi="Times New Roman" w:cs="Times New Roman"/>
          <w:color w:val="000000"/>
          <w:sz w:val="24"/>
          <w:szCs w:val="24"/>
        </w:rPr>
        <w:t xml:space="preserve"> of participants</w:t>
      </w:r>
      <w:r w:rsidR="006F41B3">
        <w:rPr>
          <w:rFonts w:ascii="Times New Roman" w:hAnsi="Times New Roman" w:cs="Times New Roman"/>
          <w:color w:val="000000"/>
          <w:sz w:val="24"/>
          <w:szCs w:val="24"/>
        </w:rPr>
        <w:t xml:space="preserve"> to assess </w:t>
      </w:r>
      <w:r w:rsidR="001B34DE">
        <w:rPr>
          <w:rFonts w:ascii="Times New Roman" w:hAnsi="Times New Roman" w:cs="Times New Roman"/>
          <w:color w:val="000000"/>
          <w:sz w:val="24"/>
          <w:szCs w:val="24"/>
        </w:rPr>
        <w:t xml:space="preserve">course </w:t>
      </w:r>
      <w:r w:rsidR="006F41B3">
        <w:rPr>
          <w:rFonts w:ascii="Times New Roman" w:hAnsi="Times New Roman" w:cs="Times New Roman"/>
          <w:color w:val="000000"/>
          <w:sz w:val="24"/>
          <w:szCs w:val="24"/>
        </w:rPr>
        <w:t>effectiveness</w:t>
      </w:r>
      <w:r w:rsidR="00131FC5">
        <w:rPr>
          <w:rFonts w:ascii="Times New Roman" w:hAnsi="Times New Roman" w:cs="Times New Roman"/>
          <w:color w:val="000000"/>
          <w:sz w:val="24"/>
          <w:szCs w:val="24"/>
        </w:rPr>
        <w:t>.</w:t>
      </w:r>
    </w:p>
    <w:p w:rsidR="00FA39F0" w:rsidRPr="002F67B5" w:rsidRDefault="00FA39F0" w:rsidP="00FA39F0">
      <w:pPr>
        <w:pStyle w:val="P1-StandPara"/>
        <w:spacing w:line="240" w:lineRule="auto"/>
        <w:ind w:left="720" w:firstLine="0"/>
        <w:rPr>
          <w:b/>
          <w:sz w:val="24"/>
          <w:szCs w:val="24"/>
        </w:rPr>
      </w:pPr>
    </w:p>
    <w:p w:rsidR="00D54AB5" w:rsidRPr="00D54AB5" w:rsidRDefault="00D54AB5" w:rsidP="00D54AB5">
      <w:pPr>
        <w:pStyle w:val="P1-StandPara"/>
        <w:spacing w:line="240" w:lineRule="auto"/>
        <w:ind w:left="1440" w:firstLine="0"/>
        <w:rPr>
          <w:b/>
          <w:sz w:val="24"/>
          <w:szCs w:val="24"/>
        </w:rPr>
      </w:pPr>
    </w:p>
    <w:p w:rsidR="00D54AB5" w:rsidRPr="00217208" w:rsidRDefault="005E2928" w:rsidP="00217208">
      <w:pPr>
        <w:pStyle w:val="P1-StandPara"/>
        <w:numPr>
          <w:ilvl w:val="1"/>
          <w:numId w:val="33"/>
        </w:numPr>
        <w:spacing w:line="240" w:lineRule="auto"/>
        <w:rPr>
          <w:b/>
          <w:sz w:val="24"/>
          <w:szCs w:val="24"/>
        </w:rPr>
      </w:pPr>
      <w:r>
        <w:rPr>
          <w:b/>
          <w:sz w:val="24"/>
          <w:szCs w:val="24"/>
        </w:rPr>
        <w:t xml:space="preserve">Sabbatical in Clinical Research Management </w:t>
      </w:r>
      <w:r w:rsidR="00217208">
        <w:rPr>
          <w:b/>
          <w:sz w:val="24"/>
          <w:szCs w:val="24"/>
        </w:rPr>
        <w:t>[Attachment 3]</w:t>
      </w:r>
    </w:p>
    <w:p w:rsidR="00D54AB5" w:rsidRPr="00D54AB5" w:rsidRDefault="00D54AB5" w:rsidP="00D54AB5">
      <w:pPr>
        <w:pStyle w:val="P1-StandPara"/>
        <w:spacing w:line="240" w:lineRule="auto"/>
        <w:ind w:left="720" w:firstLine="0"/>
        <w:rPr>
          <w:color w:val="000000"/>
          <w:sz w:val="24"/>
          <w:szCs w:val="24"/>
        </w:rPr>
      </w:pPr>
    </w:p>
    <w:p w:rsidR="006D223E" w:rsidRDefault="005E2928" w:rsidP="006C4759">
      <w:pPr>
        <w:pStyle w:val="P1-StandPara"/>
        <w:spacing w:line="240" w:lineRule="auto"/>
        <w:ind w:left="720" w:firstLine="0"/>
        <w:rPr>
          <w:color w:val="000000"/>
          <w:sz w:val="24"/>
          <w:szCs w:val="24"/>
          <w:shd w:val="clear" w:color="auto" w:fill="FFFFFF"/>
        </w:rPr>
      </w:pPr>
      <w:r w:rsidRPr="005E2928">
        <w:rPr>
          <w:color w:val="000000"/>
          <w:sz w:val="24"/>
          <w:szCs w:val="24"/>
          <w:shd w:val="clear" w:color="auto" w:fill="FFFFFF"/>
        </w:rPr>
        <w:t>The Clinical Research Management Sabbatical at the</w:t>
      </w:r>
      <w:r w:rsidRPr="005E2928">
        <w:rPr>
          <w:rStyle w:val="apple-converted-space"/>
          <w:color w:val="000000"/>
          <w:sz w:val="24"/>
          <w:szCs w:val="24"/>
          <w:shd w:val="clear" w:color="auto" w:fill="FFFFFF"/>
        </w:rPr>
        <w:t> </w:t>
      </w:r>
      <w:r w:rsidR="00C02F98">
        <w:rPr>
          <w:sz w:val="24"/>
          <w:szCs w:val="24"/>
          <w:shd w:val="clear" w:color="auto" w:fill="FFFFFF"/>
        </w:rPr>
        <w:t>NIH</w:t>
      </w:r>
      <w:r w:rsidRPr="005E2928">
        <w:rPr>
          <w:sz w:val="24"/>
          <w:szCs w:val="24"/>
          <w:shd w:val="clear" w:color="auto" w:fill="FFFFFF"/>
        </w:rPr>
        <w:t xml:space="preserve"> Clinical Center</w:t>
      </w:r>
      <w:r w:rsidRPr="005E2928">
        <w:rPr>
          <w:rStyle w:val="apple-converted-space"/>
          <w:color w:val="000000"/>
          <w:sz w:val="24"/>
          <w:szCs w:val="24"/>
          <w:shd w:val="clear" w:color="auto" w:fill="FFFFFF"/>
        </w:rPr>
        <w:t> </w:t>
      </w:r>
      <w:r w:rsidRPr="005E2928">
        <w:rPr>
          <w:color w:val="000000"/>
          <w:sz w:val="24"/>
          <w:szCs w:val="24"/>
          <w:shd w:val="clear" w:color="auto" w:fill="FFFFFF"/>
        </w:rPr>
        <w:t xml:space="preserve">is designed for experienced clinical investigators and others working in domestic and international clinical research settings. Participants have the opportunity to </w:t>
      </w:r>
      <w:r w:rsidRPr="005E2928">
        <w:rPr>
          <w:color w:val="000000"/>
          <w:sz w:val="24"/>
          <w:szCs w:val="24"/>
          <w:shd w:val="clear" w:color="auto" w:fill="FFFFFF"/>
        </w:rPr>
        <w:lastRenderedPageBreak/>
        <w:t xml:space="preserve">come to the </w:t>
      </w:r>
      <w:r w:rsidR="00BB1265">
        <w:rPr>
          <w:color w:val="000000"/>
          <w:sz w:val="24"/>
          <w:szCs w:val="24"/>
          <w:shd w:val="clear" w:color="auto" w:fill="FFFFFF"/>
        </w:rPr>
        <w:t>CC</w:t>
      </w:r>
      <w:r w:rsidRPr="005E2928">
        <w:rPr>
          <w:color w:val="000000"/>
          <w:sz w:val="24"/>
          <w:szCs w:val="24"/>
          <w:shd w:val="clear" w:color="auto" w:fill="FFFFFF"/>
        </w:rPr>
        <w:t xml:space="preserve"> for varying lengths of time, depend</w:t>
      </w:r>
      <w:r w:rsidR="007446DB">
        <w:rPr>
          <w:color w:val="000000"/>
          <w:sz w:val="24"/>
          <w:szCs w:val="24"/>
          <w:shd w:val="clear" w:color="auto" w:fill="FFFFFF"/>
        </w:rPr>
        <w:t>ing</w:t>
      </w:r>
      <w:r w:rsidRPr="005E2928">
        <w:rPr>
          <w:color w:val="000000"/>
          <w:sz w:val="24"/>
          <w:szCs w:val="24"/>
          <w:shd w:val="clear" w:color="auto" w:fill="FFFFFF"/>
        </w:rPr>
        <w:t xml:space="preserve"> on each individual's </w:t>
      </w:r>
      <w:r w:rsidR="00C02F98">
        <w:rPr>
          <w:color w:val="000000"/>
          <w:sz w:val="24"/>
          <w:szCs w:val="24"/>
          <w:shd w:val="clear" w:color="auto" w:fill="FFFFFF"/>
        </w:rPr>
        <w:t xml:space="preserve">specific </w:t>
      </w:r>
      <w:r w:rsidRPr="005E2928">
        <w:rPr>
          <w:color w:val="000000"/>
          <w:sz w:val="24"/>
          <w:szCs w:val="24"/>
          <w:shd w:val="clear" w:color="auto" w:fill="FFFFFF"/>
        </w:rPr>
        <w:t>interests, to learn about the foundational elements required to manage a clinical or translational research enterprise. The program provide</w:t>
      </w:r>
      <w:r w:rsidR="00C02F98">
        <w:rPr>
          <w:color w:val="000000"/>
          <w:sz w:val="24"/>
          <w:szCs w:val="24"/>
          <w:shd w:val="clear" w:color="auto" w:fill="FFFFFF"/>
        </w:rPr>
        <w:t>s</w:t>
      </w:r>
      <w:r w:rsidRPr="005E2928">
        <w:rPr>
          <w:color w:val="000000"/>
          <w:sz w:val="24"/>
          <w:szCs w:val="24"/>
          <w:shd w:val="clear" w:color="auto" w:fill="FFFFFF"/>
        </w:rPr>
        <w:t xml:space="preserve"> participants with training in the country's largest hospital dedicated to clinical </w:t>
      </w:r>
      <w:r w:rsidR="00C02F98">
        <w:rPr>
          <w:color w:val="000000"/>
          <w:sz w:val="24"/>
          <w:szCs w:val="24"/>
          <w:shd w:val="clear" w:color="auto" w:fill="FFFFFF"/>
        </w:rPr>
        <w:t xml:space="preserve">and translational </w:t>
      </w:r>
      <w:r w:rsidRPr="005E2928">
        <w:rPr>
          <w:color w:val="000000"/>
          <w:sz w:val="24"/>
          <w:szCs w:val="24"/>
          <w:shd w:val="clear" w:color="auto" w:fill="FFFFFF"/>
        </w:rPr>
        <w:t xml:space="preserve">research and </w:t>
      </w:r>
      <w:r w:rsidR="00C02F98">
        <w:rPr>
          <w:color w:val="000000"/>
          <w:sz w:val="24"/>
          <w:szCs w:val="24"/>
          <w:shd w:val="clear" w:color="auto" w:fill="FFFFFF"/>
        </w:rPr>
        <w:t xml:space="preserve">provides </w:t>
      </w:r>
      <w:r w:rsidRPr="005E2928">
        <w:rPr>
          <w:color w:val="000000"/>
          <w:sz w:val="24"/>
          <w:szCs w:val="24"/>
          <w:shd w:val="clear" w:color="auto" w:fill="FFFFFF"/>
        </w:rPr>
        <w:t xml:space="preserve">a unique opportunity </w:t>
      </w:r>
      <w:r w:rsidR="00C02F98">
        <w:rPr>
          <w:color w:val="000000"/>
          <w:sz w:val="24"/>
          <w:szCs w:val="24"/>
          <w:shd w:val="clear" w:color="auto" w:fill="FFFFFF"/>
        </w:rPr>
        <w:t>for participants to</w:t>
      </w:r>
      <w:r w:rsidRPr="005E2928">
        <w:rPr>
          <w:color w:val="000000"/>
          <w:sz w:val="24"/>
          <w:szCs w:val="24"/>
          <w:shd w:val="clear" w:color="auto" w:fill="FFFFFF"/>
        </w:rPr>
        <w:t xml:space="preserve"> learn first-hand the essential functions of the federal government in oversight of the clinical research process.</w:t>
      </w:r>
      <w:r w:rsidR="001A2DD3">
        <w:rPr>
          <w:color w:val="000000"/>
          <w:sz w:val="24"/>
          <w:szCs w:val="24"/>
          <w:shd w:val="clear" w:color="auto" w:fill="FFFFFF"/>
        </w:rPr>
        <w:t xml:space="preserve"> The program </w:t>
      </w:r>
      <w:r w:rsidR="001B34DE">
        <w:rPr>
          <w:color w:val="000000"/>
          <w:sz w:val="24"/>
          <w:szCs w:val="24"/>
          <w:shd w:val="clear" w:color="auto" w:fill="FFFFFF"/>
        </w:rPr>
        <w:t xml:space="preserve">continues to </w:t>
      </w:r>
      <w:r w:rsidR="001A2DD3">
        <w:rPr>
          <w:color w:val="000000"/>
          <w:sz w:val="24"/>
          <w:szCs w:val="24"/>
          <w:shd w:val="clear" w:color="auto" w:fill="FFFFFF"/>
        </w:rPr>
        <w:t>track</w:t>
      </w:r>
      <w:r w:rsidR="001B34DE">
        <w:rPr>
          <w:color w:val="000000"/>
          <w:sz w:val="24"/>
          <w:szCs w:val="24"/>
          <w:shd w:val="clear" w:color="auto" w:fill="FFFFFF"/>
        </w:rPr>
        <w:t xml:space="preserve"> the subsequent</w:t>
      </w:r>
      <w:r w:rsidR="00EA4EB7">
        <w:rPr>
          <w:color w:val="000000"/>
          <w:sz w:val="24"/>
          <w:szCs w:val="24"/>
          <w:shd w:val="clear" w:color="auto" w:fill="FFFFFF"/>
        </w:rPr>
        <w:t xml:space="preserve"> </w:t>
      </w:r>
      <w:r w:rsidR="006F41B3">
        <w:rPr>
          <w:color w:val="000000"/>
          <w:sz w:val="24"/>
          <w:szCs w:val="24"/>
          <w:shd w:val="clear" w:color="auto" w:fill="FFFFFF"/>
        </w:rPr>
        <w:t xml:space="preserve">short-term </w:t>
      </w:r>
      <w:r w:rsidR="00EA4EB7">
        <w:rPr>
          <w:color w:val="000000"/>
          <w:sz w:val="24"/>
          <w:szCs w:val="24"/>
          <w:shd w:val="clear" w:color="auto" w:fill="FFFFFF"/>
        </w:rPr>
        <w:t>professional and career path outcomes of participants</w:t>
      </w:r>
      <w:r w:rsidR="006F41B3">
        <w:rPr>
          <w:color w:val="000000"/>
          <w:sz w:val="24"/>
          <w:szCs w:val="24"/>
          <w:shd w:val="clear" w:color="auto" w:fill="FFFFFF"/>
        </w:rPr>
        <w:t xml:space="preserve"> </w:t>
      </w:r>
      <w:r w:rsidR="001B34DE">
        <w:rPr>
          <w:color w:val="000000"/>
          <w:sz w:val="24"/>
          <w:szCs w:val="24"/>
          <w:shd w:val="clear" w:color="auto" w:fill="FFFFFF"/>
        </w:rPr>
        <w:t xml:space="preserve">in order </w:t>
      </w:r>
      <w:r w:rsidR="006F41B3">
        <w:rPr>
          <w:color w:val="000000"/>
          <w:sz w:val="24"/>
          <w:szCs w:val="24"/>
          <w:shd w:val="clear" w:color="auto" w:fill="FFFFFF"/>
        </w:rPr>
        <w:t xml:space="preserve">to assess </w:t>
      </w:r>
      <w:r w:rsidR="001B34DE">
        <w:rPr>
          <w:color w:val="000000"/>
          <w:sz w:val="24"/>
          <w:szCs w:val="24"/>
          <w:shd w:val="clear" w:color="auto" w:fill="FFFFFF"/>
        </w:rPr>
        <w:t xml:space="preserve">program </w:t>
      </w:r>
      <w:r w:rsidR="006F41B3">
        <w:rPr>
          <w:color w:val="000000"/>
          <w:sz w:val="24"/>
          <w:szCs w:val="24"/>
          <w:shd w:val="clear" w:color="auto" w:fill="FFFFFF"/>
        </w:rPr>
        <w:t>effectiveness</w:t>
      </w:r>
      <w:r w:rsidR="00EA4EB7">
        <w:rPr>
          <w:color w:val="000000"/>
          <w:sz w:val="24"/>
          <w:szCs w:val="24"/>
          <w:shd w:val="clear" w:color="auto" w:fill="FFFFFF"/>
        </w:rPr>
        <w:t>.</w:t>
      </w:r>
      <w:r w:rsidR="001A2DD3">
        <w:rPr>
          <w:color w:val="000000"/>
          <w:sz w:val="24"/>
          <w:szCs w:val="24"/>
          <w:shd w:val="clear" w:color="auto" w:fill="FFFFFF"/>
        </w:rPr>
        <w:t xml:space="preserve"> </w:t>
      </w:r>
    </w:p>
    <w:p w:rsidR="00676AC5" w:rsidRDefault="00676AC5" w:rsidP="00676AC5">
      <w:pPr>
        <w:pStyle w:val="P1-StandPara"/>
        <w:spacing w:line="240" w:lineRule="auto"/>
        <w:ind w:left="1440" w:firstLine="0"/>
        <w:rPr>
          <w:b/>
          <w:sz w:val="24"/>
          <w:szCs w:val="24"/>
        </w:rPr>
      </w:pPr>
    </w:p>
    <w:p w:rsidR="00676AC5" w:rsidRPr="00D1664F" w:rsidRDefault="00676AC5" w:rsidP="00FE4679">
      <w:pPr>
        <w:pStyle w:val="P1-StandPara"/>
        <w:numPr>
          <w:ilvl w:val="1"/>
          <w:numId w:val="33"/>
        </w:numPr>
        <w:spacing w:line="240" w:lineRule="auto"/>
        <w:rPr>
          <w:b/>
          <w:sz w:val="24"/>
          <w:szCs w:val="24"/>
        </w:rPr>
      </w:pPr>
      <w:r w:rsidRPr="00D1664F">
        <w:rPr>
          <w:b/>
          <w:sz w:val="24"/>
          <w:szCs w:val="24"/>
        </w:rPr>
        <w:t xml:space="preserve">Summer </w:t>
      </w:r>
      <w:r w:rsidR="00565C60" w:rsidRPr="00D1664F">
        <w:rPr>
          <w:b/>
          <w:sz w:val="24"/>
          <w:szCs w:val="24"/>
        </w:rPr>
        <w:t xml:space="preserve">Internship </w:t>
      </w:r>
      <w:r w:rsidRPr="00D1664F">
        <w:rPr>
          <w:b/>
          <w:sz w:val="24"/>
          <w:szCs w:val="24"/>
        </w:rPr>
        <w:t xml:space="preserve">Program </w:t>
      </w:r>
      <w:r w:rsidR="00217208">
        <w:rPr>
          <w:b/>
          <w:sz w:val="24"/>
          <w:szCs w:val="24"/>
        </w:rPr>
        <w:t>[Attachment 3]</w:t>
      </w:r>
    </w:p>
    <w:p w:rsidR="00676AC5" w:rsidRPr="00D54AB5" w:rsidRDefault="00676AC5" w:rsidP="00676AC5">
      <w:pPr>
        <w:pStyle w:val="P1-StandPara"/>
        <w:spacing w:line="240" w:lineRule="auto"/>
        <w:ind w:left="720" w:firstLine="0"/>
        <w:rPr>
          <w:color w:val="000000"/>
          <w:sz w:val="24"/>
          <w:szCs w:val="24"/>
        </w:rPr>
      </w:pPr>
    </w:p>
    <w:p w:rsidR="006D223E" w:rsidRDefault="00C02F98" w:rsidP="006C4759">
      <w:pPr>
        <w:pStyle w:val="P1-StandPara"/>
        <w:spacing w:line="240" w:lineRule="auto"/>
        <w:ind w:left="720" w:firstLine="0"/>
        <w:rPr>
          <w:sz w:val="24"/>
          <w:szCs w:val="24"/>
          <w:shd w:val="clear" w:color="auto" w:fill="FFFFFF"/>
        </w:rPr>
      </w:pPr>
      <w:r>
        <w:rPr>
          <w:sz w:val="24"/>
          <w:szCs w:val="24"/>
          <w:shd w:val="clear" w:color="auto" w:fill="FFFFFF"/>
        </w:rPr>
        <w:t>S</w:t>
      </w:r>
      <w:r w:rsidR="00676AC5" w:rsidRPr="00676AC5">
        <w:rPr>
          <w:sz w:val="24"/>
          <w:szCs w:val="24"/>
          <w:shd w:val="clear" w:color="auto" w:fill="FFFFFF"/>
        </w:rPr>
        <w:t xml:space="preserve">tudents in high school, college, graduate programs, and nursing and medical schools </w:t>
      </w:r>
      <w:r>
        <w:rPr>
          <w:sz w:val="24"/>
          <w:szCs w:val="24"/>
          <w:shd w:val="clear" w:color="auto" w:fill="FFFFFF"/>
        </w:rPr>
        <w:t xml:space="preserve">meeting specified eligibility criteria are selected annually through a nationwide application process to </w:t>
      </w:r>
      <w:r w:rsidR="00B17874">
        <w:rPr>
          <w:sz w:val="24"/>
          <w:szCs w:val="24"/>
          <w:shd w:val="clear" w:color="auto" w:fill="FFFFFF"/>
        </w:rPr>
        <w:t>participate in</w:t>
      </w:r>
      <w:r w:rsidR="00676AC5" w:rsidRPr="00676AC5">
        <w:rPr>
          <w:sz w:val="24"/>
          <w:szCs w:val="24"/>
          <w:shd w:val="clear" w:color="auto" w:fill="FFFFFF"/>
        </w:rPr>
        <w:t xml:space="preserve"> </w:t>
      </w:r>
      <w:r w:rsidR="008A225E">
        <w:rPr>
          <w:sz w:val="24"/>
          <w:szCs w:val="24"/>
          <w:shd w:val="clear" w:color="auto" w:fill="FFFFFF"/>
        </w:rPr>
        <w:t>stipend supported</w:t>
      </w:r>
      <w:r w:rsidR="00676AC5" w:rsidRPr="00676AC5">
        <w:rPr>
          <w:sz w:val="24"/>
          <w:szCs w:val="24"/>
          <w:shd w:val="clear" w:color="auto" w:fill="FFFFFF"/>
        </w:rPr>
        <w:t xml:space="preserve"> summer research opportunities at the </w:t>
      </w:r>
      <w:r w:rsidR="00BB1265">
        <w:rPr>
          <w:sz w:val="24"/>
          <w:szCs w:val="24"/>
          <w:shd w:val="clear" w:color="auto" w:fill="FFFFFF"/>
        </w:rPr>
        <w:t>CC</w:t>
      </w:r>
      <w:r w:rsidR="00676AC5" w:rsidRPr="00676AC5">
        <w:rPr>
          <w:sz w:val="24"/>
          <w:szCs w:val="24"/>
          <w:shd w:val="clear" w:color="auto" w:fill="FFFFFF"/>
        </w:rPr>
        <w:t>.</w:t>
      </w:r>
      <w:r>
        <w:rPr>
          <w:sz w:val="24"/>
          <w:szCs w:val="24"/>
          <w:shd w:val="clear" w:color="auto" w:fill="FFFFFF"/>
        </w:rPr>
        <w:t xml:space="preserve"> The Program is designed to promote career development in the basic </w:t>
      </w:r>
      <w:r w:rsidR="00742C36">
        <w:rPr>
          <w:sz w:val="24"/>
          <w:szCs w:val="24"/>
          <w:shd w:val="clear" w:color="auto" w:fill="FFFFFF"/>
        </w:rPr>
        <w:t xml:space="preserve">and biomedical </w:t>
      </w:r>
      <w:r>
        <w:rPr>
          <w:sz w:val="24"/>
          <w:szCs w:val="24"/>
          <w:shd w:val="clear" w:color="auto" w:fill="FFFFFF"/>
        </w:rPr>
        <w:t xml:space="preserve">sciences </w:t>
      </w:r>
      <w:r w:rsidR="00742C36">
        <w:rPr>
          <w:sz w:val="24"/>
          <w:szCs w:val="24"/>
          <w:shd w:val="clear" w:color="auto" w:fill="FFFFFF"/>
        </w:rPr>
        <w:t xml:space="preserve">among participants </w:t>
      </w:r>
      <w:r>
        <w:rPr>
          <w:sz w:val="24"/>
          <w:szCs w:val="24"/>
          <w:shd w:val="clear" w:color="auto" w:fill="FFFFFF"/>
        </w:rPr>
        <w:t xml:space="preserve">at formative </w:t>
      </w:r>
      <w:r w:rsidR="00742C36">
        <w:rPr>
          <w:sz w:val="24"/>
          <w:szCs w:val="24"/>
          <w:shd w:val="clear" w:color="auto" w:fill="FFFFFF"/>
        </w:rPr>
        <w:t>educational stages.</w:t>
      </w:r>
      <w:r>
        <w:rPr>
          <w:sz w:val="24"/>
          <w:szCs w:val="24"/>
          <w:shd w:val="clear" w:color="auto" w:fill="FFFFFF"/>
        </w:rPr>
        <w:t xml:space="preserve"> </w:t>
      </w:r>
      <w:r w:rsidR="00EA4EB7">
        <w:rPr>
          <w:sz w:val="24"/>
          <w:szCs w:val="24"/>
          <w:shd w:val="clear" w:color="auto" w:fill="FFFFFF"/>
        </w:rPr>
        <w:t>The Program tracks short-term career placements and outcomes</w:t>
      </w:r>
      <w:r w:rsidR="006F41B3">
        <w:rPr>
          <w:sz w:val="24"/>
          <w:szCs w:val="24"/>
          <w:shd w:val="clear" w:color="auto" w:fill="FFFFFF"/>
        </w:rPr>
        <w:t xml:space="preserve"> to assess effectiv</w:t>
      </w:r>
      <w:r w:rsidR="00746754">
        <w:rPr>
          <w:sz w:val="24"/>
          <w:szCs w:val="24"/>
          <w:shd w:val="clear" w:color="auto" w:fill="FFFFFF"/>
        </w:rPr>
        <w:t>e</w:t>
      </w:r>
      <w:r w:rsidR="006F41B3">
        <w:rPr>
          <w:sz w:val="24"/>
          <w:szCs w:val="24"/>
          <w:shd w:val="clear" w:color="auto" w:fill="FFFFFF"/>
        </w:rPr>
        <w:t>ness</w:t>
      </w:r>
      <w:r w:rsidR="00EA4EB7">
        <w:rPr>
          <w:sz w:val="24"/>
          <w:szCs w:val="24"/>
          <w:shd w:val="clear" w:color="auto" w:fill="FFFFFF"/>
        </w:rPr>
        <w:t>.</w:t>
      </w:r>
    </w:p>
    <w:p w:rsidR="00676AC5" w:rsidRPr="00676AC5" w:rsidRDefault="00676AC5" w:rsidP="00676AC5">
      <w:pPr>
        <w:pStyle w:val="P1-StandPara"/>
        <w:spacing w:line="240" w:lineRule="auto"/>
        <w:ind w:left="720" w:firstLine="0"/>
        <w:rPr>
          <w:sz w:val="24"/>
          <w:szCs w:val="24"/>
        </w:rPr>
      </w:pPr>
    </w:p>
    <w:p w:rsidR="006E557B" w:rsidRPr="002F67B5" w:rsidRDefault="006E557B" w:rsidP="00F742DE">
      <w:pPr>
        <w:pStyle w:val="Heading2"/>
        <w:spacing w:after="0" w:line="240" w:lineRule="auto"/>
        <w:ind w:left="0" w:firstLine="0"/>
        <w:rPr>
          <w:sz w:val="24"/>
          <w:szCs w:val="24"/>
        </w:rPr>
      </w:pPr>
      <w:bookmarkStart w:id="7" w:name="_Toc443881744"/>
      <w:bookmarkStart w:id="8" w:name="_Toc451592233"/>
      <w:bookmarkStart w:id="9" w:name="_Toc5610274"/>
      <w:bookmarkStart w:id="10" w:name="_Toc99178780"/>
      <w:r w:rsidRPr="002F67B5">
        <w:rPr>
          <w:sz w:val="24"/>
          <w:szCs w:val="24"/>
        </w:rPr>
        <w:t>A.3     Use of Information Technology and Burden Reduction</w:t>
      </w:r>
      <w:bookmarkEnd w:id="7"/>
      <w:bookmarkEnd w:id="8"/>
      <w:bookmarkEnd w:id="9"/>
      <w:bookmarkEnd w:id="10"/>
    </w:p>
    <w:p w:rsidR="00936100" w:rsidRPr="002F67B5" w:rsidRDefault="00936100" w:rsidP="00F742DE"/>
    <w:p w:rsidR="006E557B" w:rsidRDefault="006C1FBB" w:rsidP="00E42B7D">
      <w:pPr>
        <w:ind w:left="720"/>
      </w:pPr>
      <w:r w:rsidRPr="002F67B5">
        <w:t xml:space="preserve">All information will </w:t>
      </w:r>
      <w:r>
        <w:t xml:space="preserve">continue to </w:t>
      </w:r>
      <w:r w:rsidRPr="002F67B5">
        <w:t>be collected ele</w:t>
      </w:r>
      <w:r w:rsidR="007C5CAF">
        <w:t>ctronically to</w:t>
      </w:r>
      <w:r w:rsidR="00D335FA">
        <w:t xml:space="preserve"> minimize participant time and survey burden</w:t>
      </w:r>
      <w:r w:rsidRPr="002F67B5">
        <w:t xml:space="preserve">.  </w:t>
      </w:r>
      <w:r w:rsidRPr="00E42B7D">
        <w:t xml:space="preserve">A Systems of Record Notice (SORN) and a Privacy Impact Assessment </w:t>
      </w:r>
      <w:r w:rsidR="001A2DD3" w:rsidRPr="00E42B7D">
        <w:t>have</w:t>
      </w:r>
      <w:r w:rsidRPr="00E42B7D">
        <w:t xml:space="preserve"> been </w:t>
      </w:r>
      <w:r w:rsidR="00B17874" w:rsidRPr="00E42B7D">
        <w:t>conducted by t</w:t>
      </w:r>
      <w:r w:rsidRPr="00E42B7D">
        <w:t>he Clinical Center Privacy Officer and the Clinical Center Information Systems Security Officer (ISSO).</w:t>
      </w:r>
      <w:r w:rsidR="00E42B7D" w:rsidRPr="00E42B7D">
        <w:t xml:space="preserve"> </w:t>
      </w:r>
      <w:r w:rsidR="00E42B7D">
        <w:t xml:space="preserve">NIH Privacy Act Systems of Record Notice (SORN) 09-25-0014 entitled </w:t>
      </w:r>
      <w:r w:rsidR="00E42B7D">
        <w:rPr>
          <w:i/>
          <w:iCs/>
        </w:rPr>
        <w:t>Clinical Research: Student Records, HHS/NIH/OD/OIR/OE</w:t>
      </w:r>
      <w:r w:rsidR="00E42B7D">
        <w:t xml:space="preserve"> was last published in the Federal Register, Vol. 67, No. 187/</w:t>
      </w:r>
      <w:r w:rsidR="00E42B7D" w:rsidRPr="00E42B7D">
        <w:t xml:space="preserve"> </w:t>
      </w:r>
      <w:r w:rsidR="00E42B7D">
        <w:t xml:space="preserve">September 26, 2002, Pages 60741-60794. </w:t>
      </w:r>
      <w:r w:rsidR="007B3C91">
        <w:t>In addition, a Privacy Impact Assessment has been completed for this information collection</w:t>
      </w:r>
      <w:r w:rsidR="00217208">
        <w:t xml:space="preserve"> [Attachment 5]</w:t>
      </w:r>
      <w:r w:rsidR="007B3C91">
        <w:t>.</w:t>
      </w:r>
    </w:p>
    <w:p w:rsidR="00E42B7D" w:rsidRPr="002F67B5" w:rsidRDefault="00E42B7D" w:rsidP="00E42B7D">
      <w:pPr>
        <w:ind w:left="720"/>
        <w:rPr>
          <w:color w:val="FF0000"/>
        </w:rPr>
      </w:pPr>
    </w:p>
    <w:p w:rsidR="006E557B" w:rsidRPr="002F67B5" w:rsidRDefault="006E557B" w:rsidP="00F742DE">
      <w:pPr>
        <w:pStyle w:val="Heading2"/>
        <w:spacing w:after="0" w:line="240" w:lineRule="auto"/>
        <w:ind w:left="720" w:hanging="720"/>
        <w:rPr>
          <w:sz w:val="24"/>
          <w:szCs w:val="24"/>
        </w:rPr>
      </w:pPr>
      <w:bookmarkStart w:id="11" w:name="_Toc443881745"/>
      <w:bookmarkStart w:id="12" w:name="_Toc451592234"/>
      <w:bookmarkStart w:id="13" w:name="_Toc5610275"/>
      <w:bookmarkStart w:id="14" w:name="_Toc99178781"/>
      <w:r w:rsidRPr="002F67B5">
        <w:rPr>
          <w:sz w:val="24"/>
          <w:szCs w:val="24"/>
        </w:rPr>
        <w:t>A.4</w:t>
      </w:r>
      <w:r w:rsidRPr="002F67B5">
        <w:rPr>
          <w:sz w:val="24"/>
          <w:szCs w:val="24"/>
        </w:rPr>
        <w:tab/>
        <w:t>Efforts to Identify Duplication and Use of Similar Information</w:t>
      </w:r>
      <w:bookmarkEnd w:id="11"/>
      <w:bookmarkEnd w:id="12"/>
      <w:bookmarkEnd w:id="13"/>
      <w:bookmarkEnd w:id="14"/>
    </w:p>
    <w:p w:rsidR="006E557B" w:rsidRPr="002F67B5" w:rsidRDefault="006E557B" w:rsidP="00F742DE"/>
    <w:p w:rsidR="00874FC5" w:rsidRPr="002F67B5" w:rsidRDefault="00D335FA" w:rsidP="006B650D">
      <w:pPr>
        <w:ind w:left="720"/>
      </w:pPr>
      <w:r>
        <w:t>Currently there are</w:t>
      </w:r>
      <w:r w:rsidR="00874FC5" w:rsidRPr="002F67B5">
        <w:t xml:space="preserve"> no </w:t>
      </w:r>
      <w:r>
        <w:t xml:space="preserve">other </w:t>
      </w:r>
      <w:r w:rsidR="00874FC5" w:rsidRPr="002F67B5">
        <w:t>similar</w:t>
      </w:r>
      <w:r>
        <w:t xml:space="preserve"> efforts underway at the NIH to prospectively track and assess the outcomes of its clinical</w:t>
      </w:r>
      <w:r w:rsidR="00E829AC">
        <w:t xml:space="preserve"> research</w:t>
      </w:r>
      <w:r>
        <w:t xml:space="preserve"> trainees and their accomplishment</w:t>
      </w:r>
      <w:r w:rsidR="00E829AC">
        <w:t xml:space="preserve">s in fulfillment </w:t>
      </w:r>
      <w:r>
        <w:t>of the Clinical Center’s training mission</w:t>
      </w:r>
      <w:r w:rsidR="00874FC5" w:rsidRPr="002F67B5">
        <w:t>.</w:t>
      </w:r>
    </w:p>
    <w:p w:rsidR="006E557B" w:rsidRPr="002F67B5" w:rsidRDefault="006E557B" w:rsidP="00F742DE"/>
    <w:p w:rsidR="00B41EC6" w:rsidRPr="002F67B5" w:rsidRDefault="00B41EC6" w:rsidP="00F742DE">
      <w:pPr>
        <w:pStyle w:val="Heading2"/>
        <w:spacing w:after="0" w:line="240" w:lineRule="auto"/>
        <w:ind w:left="720" w:hanging="720"/>
        <w:rPr>
          <w:sz w:val="24"/>
          <w:szCs w:val="24"/>
        </w:rPr>
      </w:pPr>
      <w:bookmarkStart w:id="15" w:name="_Toc443881746"/>
      <w:bookmarkStart w:id="16" w:name="_Toc451592235"/>
      <w:bookmarkStart w:id="17" w:name="_Toc5610276"/>
      <w:bookmarkStart w:id="18" w:name="_Toc99178782"/>
      <w:r w:rsidRPr="002F67B5">
        <w:rPr>
          <w:sz w:val="24"/>
          <w:szCs w:val="24"/>
        </w:rPr>
        <w:t>A.5</w:t>
      </w:r>
      <w:r w:rsidRPr="002F67B5">
        <w:rPr>
          <w:sz w:val="24"/>
          <w:szCs w:val="24"/>
        </w:rPr>
        <w:tab/>
        <w:t>Impact on Small Businesses or Other Small Entities</w:t>
      </w:r>
      <w:bookmarkEnd w:id="15"/>
      <w:bookmarkEnd w:id="16"/>
      <w:bookmarkEnd w:id="17"/>
      <w:bookmarkEnd w:id="18"/>
    </w:p>
    <w:p w:rsidR="00B41EC6" w:rsidRPr="002F67B5" w:rsidRDefault="00B41EC6" w:rsidP="00F742DE"/>
    <w:p w:rsidR="004344F6" w:rsidRDefault="00CD0548" w:rsidP="006B650D">
      <w:pPr>
        <w:ind w:left="720"/>
      </w:pPr>
      <w:r>
        <w:t>The respondents are primarily physicians</w:t>
      </w:r>
      <w:r w:rsidR="00413398">
        <w:t xml:space="preserve">, </w:t>
      </w:r>
      <w:r>
        <w:t>dentists</w:t>
      </w:r>
      <w:r w:rsidR="006B650D">
        <w:t xml:space="preserve">, </w:t>
      </w:r>
      <w:r w:rsidR="00FD46F5">
        <w:t xml:space="preserve">medical scientists, </w:t>
      </w:r>
      <w:r w:rsidR="006B650D">
        <w:t xml:space="preserve">and medical, PhD, and dental </w:t>
      </w:r>
      <w:r w:rsidR="00413398">
        <w:t>students</w:t>
      </w:r>
      <w:r w:rsidR="006C1FBB">
        <w:t>.</w:t>
      </w:r>
      <w:r w:rsidR="006B650D">
        <w:t xml:space="preserve">  </w:t>
      </w:r>
      <w:r>
        <w:t xml:space="preserve">The impact </w:t>
      </w:r>
      <w:r w:rsidR="00060549">
        <w:t xml:space="preserve">of the survey on respondents </w:t>
      </w:r>
      <w:r>
        <w:t>is minimal because t</w:t>
      </w:r>
      <w:r w:rsidR="006C1FBB">
        <w:t>he format for submission of th</w:t>
      </w:r>
      <w:r w:rsidR="006B650D">
        <w:t>e information</w:t>
      </w:r>
      <w:r w:rsidR="00B17874">
        <w:t xml:space="preserve"> is</w:t>
      </w:r>
      <w:r>
        <w:t xml:space="preserve"> electronic.</w:t>
      </w:r>
    </w:p>
    <w:p w:rsidR="00B41EC6" w:rsidRPr="002F67B5" w:rsidRDefault="00B41EC6" w:rsidP="00F742DE">
      <w:pPr>
        <w:rPr>
          <w:color w:val="FF0000"/>
        </w:rPr>
      </w:pPr>
    </w:p>
    <w:p w:rsidR="00B41EC6" w:rsidRPr="002F67B5" w:rsidRDefault="00B41EC6" w:rsidP="00F742DE">
      <w:pPr>
        <w:pStyle w:val="Heading2"/>
        <w:spacing w:after="0" w:line="240" w:lineRule="auto"/>
        <w:ind w:left="720" w:hanging="720"/>
        <w:rPr>
          <w:sz w:val="24"/>
          <w:szCs w:val="24"/>
        </w:rPr>
      </w:pPr>
      <w:bookmarkStart w:id="19" w:name="_Toc443881747"/>
      <w:bookmarkStart w:id="20" w:name="_Toc451592236"/>
      <w:bookmarkStart w:id="21" w:name="_Toc5610277"/>
      <w:bookmarkStart w:id="22" w:name="_Toc99178783"/>
      <w:r w:rsidRPr="002F67B5">
        <w:rPr>
          <w:sz w:val="24"/>
          <w:szCs w:val="24"/>
        </w:rPr>
        <w:t>A.6</w:t>
      </w:r>
      <w:r w:rsidRPr="002F67B5">
        <w:rPr>
          <w:sz w:val="24"/>
          <w:szCs w:val="24"/>
        </w:rPr>
        <w:tab/>
        <w:t>Consequences of Collecting the Information Less Frequently</w:t>
      </w:r>
      <w:bookmarkEnd w:id="19"/>
      <w:bookmarkEnd w:id="20"/>
      <w:bookmarkEnd w:id="21"/>
      <w:bookmarkEnd w:id="22"/>
    </w:p>
    <w:p w:rsidR="00B41EC6" w:rsidRPr="002F67B5" w:rsidRDefault="00B41EC6" w:rsidP="00F742DE"/>
    <w:p w:rsidR="00BA7C38" w:rsidRDefault="009D2071" w:rsidP="006B650D">
      <w:pPr>
        <w:ind w:left="720"/>
      </w:pPr>
      <w:r>
        <w:lastRenderedPageBreak/>
        <w:t>These surveys are distributed annually, and no</w:t>
      </w:r>
      <w:r w:rsidR="00B00732">
        <w:t>t</w:t>
      </w:r>
      <w:r>
        <w:t xml:space="preserve"> more frequently, to former program participants. Less frequent distribution would not permit meaningful longitudinal assessment </w:t>
      </w:r>
      <w:r w:rsidR="00FD46F5">
        <w:t xml:space="preserve">and validation </w:t>
      </w:r>
      <w:r>
        <w:t xml:space="preserve">of program quality and effectiveness </w:t>
      </w:r>
      <w:r w:rsidR="007E3D8A">
        <w:t>in accordance</w:t>
      </w:r>
      <w:r>
        <w:t xml:space="preserve"> with</w:t>
      </w:r>
      <w:r w:rsidR="00D06360">
        <w:t xml:space="preserve"> the NIH Clinical Center’s training mission.</w:t>
      </w:r>
    </w:p>
    <w:p w:rsidR="00B41EC6" w:rsidRPr="002F67B5" w:rsidRDefault="00B41EC6" w:rsidP="00F742DE"/>
    <w:p w:rsidR="00B41EC6" w:rsidRDefault="00B41EC6" w:rsidP="004344F6">
      <w:pPr>
        <w:pStyle w:val="Heading2"/>
        <w:tabs>
          <w:tab w:val="left" w:pos="720"/>
        </w:tabs>
        <w:spacing w:after="0" w:line="240" w:lineRule="auto"/>
        <w:ind w:left="0" w:firstLine="0"/>
        <w:rPr>
          <w:sz w:val="24"/>
          <w:szCs w:val="24"/>
        </w:rPr>
      </w:pPr>
      <w:bookmarkStart w:id="23" w:name="_Toc443881748"/>
      <w:bookmarkStart w:id="24" w:name="_Toc451592237"/>
      <w:bookmarkStart w:id="25" w:name="_Toc5610278"/>
      <w:bookmarkStart w:id="26" w:name="_Toc99178784"/>
      <w:r w:rsidRPr="002F67B5">
        <w:rPr>
          <w:sz w:val="24"/>
          <w:szCs w:val="24"/>
        </w:rPr>
        <w:t>A.7</w:t>
      </w:r>
      <w:r w:rsidR="004344F6">
        <w:rPr>
          <w:sz w:val="24"/>
          <w:szCs w:val="24"/>
        </w:rPr>
        <w:t xml:space="preserve"> </w:t>
      </w:r>
      <w:r w:rsidRPr="002F67B5">
        <w:rPr>
          <w:sz w:val="24"/>
          <w:szCs w:val="24"/>
        </w:rPr>
        <w:tab/>
        <w:t xml:space="preserve">Special Circumstances Relating to the Guidelines of 5 </w:t>
      </w:r>
      <w:smartTag w:uri="urn:schemas-microsoft-com:office:smarttags" w:element="stockticker">
        <w:r w:rsidRPr="002F67B5">
          <w:rPr>
            <w:sz w:val="24"/>
            <w:szCs w:val="24"/>
          </w:rPr>
          <w:t>CFR</w:t>
        </w:r>
      </w:smartTag>
      <w:r w:rsidRPr="002F67B5">
        <w:rPr>
          <w:sz w:val="24"/>
          <w:szCs w:val="24"/>
        </w:rPr>
        <w:t xml:space="preserve"> 1320.5</w:t>
      </w:r>
      <w:bookmarkEnd w:id="23"/>
      <w:bookmarkEnd w:id="24"/>
      <w:bookmarkEnd w:id="25"/>
      <w:bookmarkEnd w:id="26"/>
    </w:p>
    <w:p w:rsidR="004344F6" w:rsidRPr="007E3D8A" w:rsidRDefault="004808D5" w:rsidP="007E3D8A">
      <w:pPr>
        <w:pStyle w:val="P1-StandPara"/>
        <w:rPr>
          <w:sz w:val="24"/>
          <w:szCs w:val="24"/>
        </w:rPr>
      </w:pPr>
      <w:r w:rsidRPr="007E3D8A">
        <w:rPr>
          <w:sz w:val="24"/>
          <w:szCs w:val="24"/>
        </w:rPr>
        <w:t xml:space="preserve">The proposed data collection is consistent with 5 </w:t>
      </w:r>
      <w:smartTag w:uri="urn:schemas-microsoft-com:office:smarttags" w:element="stockticker">
        <w:r w:rsidRPr="007E3D8A">
          <w:rPr>
            <w:sz w:val="24"/>
            <w:szCs w:val="24"/>
          </w:rPr>
          <w:t>CFR</w:t>
        </w:r>
      </w:smartTag>
      <w:r w:rsidRPr="007E3D8A">
        <w:rPr>
          <w:sz w:val="24"/>
          <w:szCs w:val="24"/>
        </w:rPr>
        <w:t xml:space="preserve"> 1320.5</w:t>
      </w:r>
    </w:p>
    <w:p w:rsidR="0005035B" w:rsidRDefault="0005035B" w:rsidP="00F742DE">
      <w:pPr>
        <w:pStyle w:val="Heading2"/>
        <w:spacing w:after="0" w:line="240" w:lineRule="auto"/>
        <w:ind w:left="720" w:hanging="720"/>
        <w:rPr>
          <w:sz w:val="24"/>
          <w:szCs w:val="24"/>
        </w:rPr>
      </w:pPr>
      <w:bookmarkStart w:id="27" w:name="_Toc443881749"/>
      <w:bookmarkStart w:id="28" w:name="_Toc451592238"/>
      <w:bookmarkStart w:id="29" w:name="_Toc5610279"/>
      <w:bookmarkStart w:id="30" w:name="_Toc99178785"/>
      <w:r w:rsidRPr="002F67B5">
        <w:rPr>
          <w:sz w:val="24"/>
          <w:szCs w:val="24"/>
        </w:rPr>
        <w:t>A.8</w:t>
      </w:r>
      <w:r w:rsidRPr="002F67B5">
        <w:rPr>
          <w:sz w:val="24"/>
          <w:szCs w:val="24"/>
        </w:rPr>
        <w:tab/>
        <w:t>Comments in Response to the Federal Register Notice and Efforts to Consult Outside Agency</w:t>
      </w:r>
      <w:bookmarkEnd w:id="27"/>
      <w:bookmarkEnd w:id="28"/>
      <w:bookmarkEnd w:id="29"/>
      <w:bookmarkEnd w:id="30"/>
    </w:p>
    <w:p w:rsidR="00066412" w:rsidRDefault="00D8205A" w:rsidP="007E3D8A">
      <w:pPr>
        <w:spacing w:after="120"/>
        <w:ind w:left="720" w:hanging="720"/>
      </w:pPr>
      <w:r w:rsidRPr="002F67B5">
        <w:tab/>
      </w:r>
      <w:r w:rsidR="009D2071">
        <w:t>N</w:t>
      </w:r>
      <w:r w:rsidR="00066412">
        <w:t xml:space="preserve">o consultation with persons outside the agency </w:t>
      </w:r>
      <w:r w:rsidR="007E3D8A">
        <w:t>was</w:t>
      </w:r>
      <w:r w:rsidR="00066412">
        <w:t xml:space="preserve"> </w:t>
      </w:r>
      <w:r w:rsidR="009D2071">
        <w:t xml:space="preserve">necessary to </w:t>
      </w:r>
      <w:r w:rsidR="007E3D8A">
        <w:t>create</w:t>
      </w:r>
      <w:r w:rsidR="009D2071">
        <w:t xml:space="preserve"> or develop </w:t>
      </w:r>
      <w:r w:rsidR="007E3D8A">
        <w:t xml:space="preserve">the content of any of </w:t>
      </w:r>
      <w:r w:rsidR="009D2071">
        <w:t xml:space="preserve">the surveys </w:t>
      </w:r>
      <w:r w:rsidR="007E3D8A">
        <w:t>referenced herein</w:t>
      </w:r>
      <w:r w:rsidR="009D2071">
        <w:t xml:space="preserve">.   </w:t>
      </w:r>
      <w:r w:rsidR="00066412">
        <w:t xml:space="preserve">  </w:t>
      </w:r>
    </w:p>
    <w:p w:rsidR="00D8205A" w:rsidRDefault="00B65BAB" w:rsidP="007E3D8A">
      <w:pPr>
        <w:ind w:left="720"/>
      </w:pPr>
      <w:r w:rsidRPr="00E26AC6">
        <w:t xml:space="preserve">Notice was published in the </w:t>
      </w:r>
      <w:r w:rsidR="00D8205A" w:rsidRPr="00E26AC6">
        <w:t>Federal Register,</w:t>
      </w:r>
      <w:r w:rsidR="004422C2">
        <w:t xml:space="preserve"> Volume 80, No. 240/Tuesday, December 15, 2015, page 77647-77648</w:t>
      </w:r>
      <w:r w:rsidR="00764655" w:rsidRPr="00E26AC6">
        <w:t xml:space="preserve">. </w:t>
      </w:r>
      <w:r w:rsidR="00D8205A" w:rsidRPr="00E26AC6">
        <w:t>No comments were gene</w:t>
      </w:r>
      <w:r w:rsidR="009F19F9" w:rsidRPr="00E26AC6">
        <w:t xml:space="preserve">rated </w:t>
      </w:r>
      <w:r w:rsidRPr="00E26AC6">
        <w:t>as a result of</w:t>
      </w:r>
      <w:r w:rsidR="007E3D8A" w:rsidRPr="00E26AC6">
        <w:t>,</w:t>
      </w:r>
      <w:r w:rsidR="00E42B7D" w:rsidRPr="00E26AC6">
        <w:t xml:space="preserve"> </w:t>
      </w:r>
      <w:r w:rsidRPr="00E26AC6">
        <w:t>or in response to</w:t>
      </w:r>
      <w:r w:rsidR="007E3D8A" w:rsidRPr="00E26AC6">
        <w:t>,</w:t>
      </w:r>
      <w:r w:rsidRPr="00E26AC6">
        <w:t xml:space="preserve"> the </w:t>
      </w:r>
      <w:r w:rsidR="009F19F9" w:rsidRPr="00E26AC6">
        <w:t>Federal Register Notice.</w:t>
      </w:r>
    </w:p>
    <w:p w:rsidR="007E3D8A" w:rsidRPr="002F67B5" w:rsidRDefault="007E3D8A" w:rsidP="007E3D8A">
      <w:pPr>
        <w:ind w:left="720"/>
      </w:pPr>
    </w:p>
    <w:p w:rsidR="0005035B" w:rsidRPr="002F67B5" w:rsidRDefault="0005035B" w:rsidP="00F742DE">
      <w:pPr>
        <w:pStyle w:val="Heading2"/>
        <w:spacing w:after="0" w:line="240" w:lineRule="auto"/>
        <w:ind w:left="720" w:hanging="720"/>
        <w:rPr>
          <w:sz w:val="24"/>
          <w:szCs w:val="24"/>
        </w:rPr>
      </w:pPr>
      <w:bookmarkStart w:id="31" w:name="_Toc443881750"/>
      <w:bookmarkStart w:id="32" w:name="_Toc451592239"/>
      <w:bookmarkStart w:id="33" w:name="_Toc5610280"/>
      <w:bookmarkStart w:id="34" w:name="_Toc99178786"/>
      <w:r w:rsidRPr="002F67B5">
        <w:rPr>
          <w:sz w:val="24"/>
          <w:szCs w:val="24"/>
        </w:rPr>
        <w:t>A.9</w:t>
      </w:r>
      <w:r w:rsidRPr="002F67B5">
        <w:rPr>
          <w:sz w:val="24"/>
          <w:szCs w:val="24"/>
        </w:rPr>
        <w:tab/>
        <w:t>Explanation of Any Payment of Gift to Respondents</w:t>
      </w:r>
      <w:bookmarkEnd w:id="31"/>
      <w:bookmarkEnd w:id="32"/>
      <w:bookmarkEnd w:id="33"/>
      <w:bookmarkEnd w:id="34"/>
    </w:p>
    <w:p w:rsidR="0005035B" w:rsidRDefault="00D9775C" w:rsidP="006B650D">
      <w:pPr>
        <w:ind w:firstLine="720"/>
      </w:pPr>
      <w:r>
        <w:t xml:space="preserve">No incentives are offered. </w:t>
      </w:r>
      <w:r w:rsidR="007E3D8A">
        <w:t>Neither p</w:t>
      </w:r>
      <w:r w:rsidR="00D8205A" w:rsidRPr="002F67B5">
        <w:t>ayment</w:t>
      </w:r>
      <w:r w:rsidR="004F653E">
        <w:t xml:space="preserve"> </w:t>
      </w:r>
      <w:r w:rsidR="007E3D8A">
        <w:t>nor</w:t>
      </w:r>
      <w:r w:rsidR="00D8205A" w:rsidRPr="002F67B5">
        <w:t xml:space="preserve"> gifts</w:t>
      </w:r>
      <w:r w:rsidR="004F653E">
        <w:t xml:space="preserve"> are </w:t>
      </w:r>
      <w:r w:rsidR="00D8205A" w:rsidRPr="002F67B5">
        <w:t xml:space="preserve">given to respondents. </w:t>
      </w:r>
    </w:p>
    <w:p w:rsidR="006B650D" w:rsidRPr="002F67B5" w:rsidRDefault="006B650D" w:rsidP="006B650D">
      <w:pPr>
        <w:ind w:firstLine="720"/>
      </w:pPr>
    </w:p>
    <w:p w:rsidR="0005035B" w:rsidRPr="004F16F2" w:rsidRDefault="0005035B" w:rsidP="00F742DE">
      <w:pPr>
        <w:pStyle w:val="Heading2"/>
        <w:spacing w:after="0" w:line="240" w:lineRule="auto"/>
        <w:ind w:left="720" w:hanging="720"/>
        <w:rPr>
          <w:sz w:val="24"/>
          <w:szCs w:val="24"/>
        </w:rPr>
      </w:pPr>
      <w:bookmarkStart w:id="35" w:name="_Toc443881751"/>
      <w:bookmarkStart w:id="36" w:name="_Toc451592240"/>
      <w:bookmarkStart w:id="37" w:name="_Toc5610281"/>
      <w:bookmarkStart w:id="38" w:name="_Toc99178787"/>
      <w:r w:rsidRPr="004F16F2">
        <w:rPr>
          <w:sz w:val="24"/>
          <w:szCs w:val="24"/>
        </w:rPr>
        <w:t>A.10</w:t>
      </w:r>
      <w:r w:rsidRPr="004F16F2">
        <w:rPr>
          <w:sz w:val="24"/>
          <w:szCs w:val="24"/>
        </w:rPr>
        <w:tab/>
        <w:t>Assurance of Confidentiality Provided to Respondents</w:t>
      </w:r>
      <w:bookmarkEnd w:id="35"/>
      <w:bookmarkEnd w:id="36"/>
      <w:bookmarkEnd w:id="37"/>
      <w:bookmarkEnd w:id="38"/>
    </w:p>
    <w:p w:rsidR="004F16F2" w:rsidRPr="002F67B5" w:rsidRDefault="004F16F2" w:rsidP="006B650D">
      <w:pPr>
        <w:ind w:left="720"/>
      </w:pPr>
      <w:r>
        <w:t>The Performance Work Statement for the contractors that host the database has included the NIH contract requirements for personally identifiable information as identified by the Clinical Center Information Systems Security Officer (CC/ISSO).  Additionally, the Performance Work Statement and</w:t>
      </w:r>
      <w:r w:rsidR="00D06360">
        <w:t xml:space="preserve"> the contractor proposal has been</w:t>
      </w:r>
      <w:r>
        <w:t xml:space="preserve"> reviewed and approved by the CC/ISSO.</w:t>
      </w:r>
    </w:p>
    <w:p w:rsidR="0005035B" w:rsidRPr="002F67B5" w:rsidRDefault="0005035B" w:rsidP="00F742DE"/>
    <w:p w:rsidR="0005035B" w:rsidRPr="002F67B5" w:rsidRDefault="006B650D" w:rsidP="001C3BC9">
      <w:pPr>
        <w:pStyle w:val="Heading2"/>
        <w:tabs>
          <w:tab w:val="left" w:pos="1080"/>
        </w:tabs>
        <w:spacing w:after="0" w:line="240" w:lineRule="auto"/>
        <w:ind w:left="0" w:firstLine="0"/>
        <w:rPr>
          <w:sz w:val="24"/>
          <w:szCs w:val="24"/>
        </w:rPr>
      </w:pPr>
      <w:bookmarkStart w:id="39" w:name="_Toc443881752"/>
      <w:bookmarkStart w:id="40" w:name="_Toc451592241"/>
      <w:bookmarkStart w:id="41" w:name="_Toc5610282"/>
      <w:bookmarkStart w:id="42" w:name="_Toc99178788"/>
      <w:r>
        <w:rPr>
          <w:sz w:val="24"/>
          <w:szCs w:val="24"/>
        </w:rPr>
        <w:t xml:space="preserve">A.11    </w:t>
      </w:r>
      <w:r w:rsidR="0005035B" w:rsidRPr="002F67B5">
        <w:rPr>
          <w:sz w:val="24"/>
          <w:szCs w:val="24"/>
        </w:rPr>
        <w:t>Justification for Sensitive Questions</w:t>
      </w:r>
      <w:bookmarkEnd w:id="39"/>
      <w:bookmarkEnd w:id="40"/>
      <w:bookmarkEnd w:id="41"/>
      <w:bookmarkEnd w:id="42"/>
    </w:p>
    <w:p w:rsidR="0005035B" w:rsidRPr="002F67B5" w:rsidRDefault="006B650D" w:rsidP="006B650D">
      <w:r>
        <w:t xml:space="preserve">            </w:t>
      </w:r>
      <w:r w:rsidR="004F653E">
        <w:t>S</w:t>
      </w:r>
      <w:r w:rsidR="001C3BC9" w:rsidRPr="002F67B5">
        <w:t xml:space="preserve">ensitive questions </w:t>
      </w:r>
      <w:r w:rsidR="007E3D8A">
        <w:t xml:space="preserve">are not relevant to </w:t>
      </w:r>
      <w:r w:rsidR="00CF1D94">
        <w:t xml:space="preserve">course or training </w:t>
      </w:r>
      <w:r w:rsidR="007E3D8A">
        <w:t xml:space="preserve">program assessment and </w:t>
      </w:r>
      <w:r w:rsidR="00CF1D94">
        <w:tab/>
      </w:r>
      <w:r w:rsidR="004F653E">
        <w:t>are not</w:t>
      </w:r>
      <w:r w:rsidR="001C3BC9" w:rsidRPr="002F67B5">
        <w:t xml:space="preserve"> asked.</w:t>
      </w:r>
    </w:p>
    <w:p w:rsidR="0005035B" w:rsidRPr="002F67B5" w:rsidRDefault="0005035B" w:rsidP="00F742DE">
      <w:pPr>
        <w:rPr>
          <w:color w:val="FF0000"/>
        </w:rPr>
      </w:pPr>
    </w:p>
    <w:p w:rsidR="007C16BD" w:rsidRPr="009371C1" w:rsidRDefault="007C16BD" w:rsidP="004344F6">
      <w:pPr>
        <w:rPr>
          <w:b/>
        </w:rPr>
      </w:pPr>
      <w:r w:rsidRPr="009371C1">
        <w:rPr>
          <w:b/>
        </w:rPr>
        <w:t>A.12</w:t>
      </w:r>
      <w:r w:rsidRPr="009371C1">
        <w:rPr>
          <w:b/>
        </w:rPr>
        <w:tab/>
      </w:r>
      <w:r w:rsidRPr="00D1664F">
        <w:rPr>
          <w:b/>
        </w:rPr>
        <w:t>Estimates of Hour Burden Including Annualized Hourly Costs</w:t>
      </w:r>
      <w:r w:rsidRPr="009371C1">
        <w:rPr>
          <w:b/>
        </w:rPr>
        <w:t xml:space="preserve"> </w:t>
      </w:r>
    </w:p>
    <w:p w:rsidR="001C3BC9" w:rsidRPr="002F67B5" w:rsidRDefault="00217208" w:rsidP="006B650D">
      <w:pPr>
        <w:ind w:left="720"/>
      </w:pPr>
      <w:r>
        <w:t xml:space="preserve">Based on </w:t>
      </w:r>
      <w:r w:rsidR="00415C30">
        <w:t>Office of Clinical Research Training and Medical Education (</w:t>
      </w:r>
      <w:r>
        <w:t>OCRTME</w:t>
      </w:r>
      <w:r w:rsidR="00415C30">
        <w:t>)</w:t>
      </w:r>
      <w:r>
        <w:t xml:space="preserve"> program participation data for calendar year 2015, t</w:t>
      </w:r>
      <w:r w:rsidRPr="00AF145C">
        <w:t xml:space="preserve">he estimated number of respondents per year to all surveys </w:t>
      </w:r>
      <w:r>
        <w:t>included in this request for revision will</w:t>
      </w:r>
      <w:r w:rsidRPr="00AF145C">
        <w:t xml:space="preserve"> </w:t>
      </w:r>
      <w:r>
        <w:t>now increase from approximately 785 to 960</w:t>
      </w:r>
      <w:r w:rsidRPr="007D7E3D">
        <w:t>.</w:t>
      </w:r>
      <w:r>
        <w:t xml:space="preserve"> </w:t>
      </w:r>
      <w:r w:rsidR="00CF1D94">
        <w:t xml:space="preserve"> </w:t>
      </w:r>
      <w:r w:rsidR="00AF145C">
        <w:t xml:space="preserve">While </w:t>
      </w:r>
      <w:r w:rsidR="001C3BC9" w:rsidRPr="002F67B5">
        <w:t xml:space="preserve">response </w:t>
      </w:r>
      <w:r w:rsidR="00AF145C">
        <w:t xml:space="preserve">rates </w:t>
      </w:r>
      <w:r w:rsidR="00CF1D94">
        <w:t xml:space="preserve">of </w:t>
      </w:r>
      <w:r>
        <w:t xml:space="preserve">program </w:t>
      </w:r>
      <w:r w:rsidR="00CF1D94">
        <w:t xml:space="preserve">graduates </w:t>
      </w:r>
      <w:r>
        <w:t xml:space="preserve">or course completers </w:t>
      </w:r>
      <w:r w:rsidR="006B650D">
        <w:t xml:space="preserve">vary </w:t>
      </w:r>
      <w:r w:rsidR="00AF145C">
        <w:t xml:space="preserve">annually </w:t>
      </w:r>
      <w:r w:rsidR="006B650D">
        <w:t xml:space="preserve">by </w:t>
      </w:r>
      <w:r w:rsidR="00AF145C">
        <w:t xml:space="preserve">course or </w:t>
      </w:r>
      <w:r w:rsidR="00E74150">
        <w:t xml:space="preserve">training </w:t>
      </w:r>
      <w:r w:rsidR="006B650D">
        <w:t xml:space="preserve">program, </w:t>
      </w:r>
      <w:r w:rsidR="00A17361">
        <w:t xml:space="preserve">an </w:t>
      </w:r>
      <w:r w:rsidR="00AF145C">
        <w:t>analysis of previous response</w:t>
      </w:r>
      <w:r w:rsidR="00F5073F">
        <w:t>s</w:t>
      </w:r>
      <w:r w:rsidR="00AF145C">
        <w:t xml:space="preserve"> to the surveys cited above by type of respondent </w:t>
      </w:r>
      <w:r w:rsidR="00A17361">
        <w:t xml:space="preserve">indicated </w:t>
      </w:r>
      <w:r w:rsidR="00AF145C">
        <w:t xml:space="preserve">a 50% response rate among doctoral level </w:t>
      </w:r>
      <w:r w:rsidR="00E74150">
        <w:t xml:space="preserve">course </w:t>
      </w:r>
      <w:r w:rsidR="00AF145C">
        <w:t>participants</w:t>
      </w:r>
      <w:r w:rsidR="00F5073F">
        <w:t>/</w:t>
      </w:r>
      <w:r w:rsidR="00E74150">
        <w:t>training p</w:t>
      </w:r>
      <w:r w:rsidR="00F5073F">
        <w:t>rogram graduates</w:t>
      </w:r>
      <w:r w:rsidR="00AF145C">
        <w:t xml:space="preserve"> (MD, </w:t>
      </w:r>
      <w:r w:rsidR="006F2AD5">
        <w:t xml:space="preserve">DDS, DVM, </w:t>
      </w:r>
      <w:r w:rsidR="00AF145C">
        <w:t xml:space="preserve">PhD holders), 75% among student </w:t>
      </w:r>
      <w:r w:rsidR="00F5073F">
        <w:t xml:space="preserve">course </w:t>
      </w:r>
      <w:r w:rsidR="00AF145C">
        <w:t>participants</w:t>
      </w:r>
      <w:r w:rsidR="00F5073F">
        <w:t>/</w:t>
      </w:r>
      <w:r w:rsidR="00E74150">
        <w:t>training p</w:t>
      </w:r>
      <w:r w:rsidR="00F5073F">
        <w:t>rogram graduates</w:t>
      </w:r>
      <w:r w:rsidR="00AF145C">
        <w:t xml:space="preserve"> (</w:t>
      </w:r>
      <w:r w:rsidR="006F2AD5">
        <w:t xml:space="preserve">undergraduate, </w:t>
      </w:r>
      <w:r w:rsidR="00AF145C">
        <w:t xml:space="preserve">post-baccalaureate, </w:t>
      </w:r>
      <w:r w:rsidR="006F2AD5">
        <w:t xml:space="preserve">and </w:t>
      </w:r>
      <w:r w:rsidR="00AF145C">
        <w:t>graduate students), and 66% among other participants</w:t>
      </w:r>
      <w:r w:rsidR="00F5073F">
        <w:t>/graduates</w:t>
      </w:r>
      <w:r w:rsidR="00AF145C">
        <w:t xml:space="preserve"> (nurses</w:t>
      </w:r>
      <w:r w:rsidR="00B858E4">
        <w:t xml:space="preserve"> and other health c</w:t>
      </w:r>
      <w:r w:rsidR="006F2AD5">
        <w:t xml:space="preserve">are </w:t>
      </w:r>
      <w:r w:rsidR="00B858E4">
        <w:t xml:space="preserve">administrators or </w:t>
      </w:r>
      <w:r w:rsidR="006F2AD5">
        <w:t>providers</w:t>
      </w:r>
      <w:r w:rsidR="00B858E4">
        <w:t>)</w:t>
      </w:r>
      <w:r w:rsidR="00AF145C">
        <w:t xml:space="preserve">.  </w:t>
      </w:r>
    </w:p>
    <w:p w:rsidR="00AF145C" w:rsidRDefault="00AF145C" w:rsidP="006B650D">
      <w:pPr>
        <w:ind w:left="720"/>
      </w:pPr>
    </w:p>
    <w:p w:rsidR="001C3BC9" w:rsidRDefault="00AF145C" w:rsidP="006B650D">
      <w:pPr>
        <w:ind w:left="720"/>
      </w:pPr>
      <w:r>
        <w:t>The a</w:t>
      </w:r>
      <w:r w:rsidRPr="002F67B5">
        <w:t xml:space="preserve">nnual burden hours </w:t>
      </w:r>
      <w:r w:rsidR="00CF1D94">
        <w:t xml:space="preserve">for this request for revision </w:t>
      </w:r>
      <w:r w:rsidRPr="002F67B5">
        <w:t>were</w:t>
      </w:r>
      <w:r w:rsidR="001C3BC9" w:rsidRPr="002F67B5">
        <w:t xml:space="preserve"> calculated using </w:t>
      </w:r>
      <w:r w:rsidR="000B2999">
        <w:t xml:space="preserve">a maximum </w:t>
      </w:r>
      <w:r>
        <w:t xml:space="preserve">time allotment </w:t>
      </w:r>
      <w:r w:rsidR="000B2999">
        <w:t xml:space="preserve">of </w:t>
      </w:r>
      <w:r w:rsidR="006B650D">
        <w:t>2</w:t>
      </w:r>
      <w:r w:rsidR="000B2999">
        <w:t>0</w:t>
      </w:r>
      <w:r w:rsidR="006B650D">
        <w:t xml:space="preserve"> minutes </w:t>
      </w:r>
      <w:r w:rsidR="00624ACD" w:rsidRPr="002F67B5">
        <w:t xml:space="preserve">for </w:t>
      </w:r>
      <w:r w:rsidR="00F5073F">
        <w:t xml:space="preserve">completion of </w:t>
      </w:r>
      <w:r w:rsidR="00624ACD" w:rsidRPr="002F67B5">
        <w:t xml:space="preserve">each </w:t>
      </w:r>
      <w:r w:rsidR="000B2999">
        <w:t>survey</w:t>
      </w:r>
      <w:r w:rsidR="00217208">
        <w:t>, including new and modified surveys</w:t>
      </w:r>
      <w:r w:rsidR="00624ACD" w:rsidRPr="002F67B5">
        <w:t xml:space="preserve">. </w:t>
      </w:r>
      <w:r w:rsidR="006F2AD5">
        <w:t xml:space="preserve">The maximum time allotment was </w:t>
      </w:r>
      <w:r w:rsidR="00A17361">
        <w:t xml:space="preserve">established </w:t>
      </w:r>
      <w:r w:rsidR="00A17361">
        <w:lastRenderedPageBreak/>
        <w:t xml:space="preserve">previously </w:t>
      </w:r>
      <w:r w:rsidR="006F2AD5">
        <w:t xml:space="preserve">by direct assessment of doctoral level respondents to the GME </w:t>
      </w:r>
      <w:r w:rsidR="00F32914">
        <w:t xml:space="preserve">training </w:t>
      </w:r>
      <w:r w:rsidR="006F2AD5">
        <w:t xml:space="preserve">program survey, which </w:t>
      </w:r>
      <w:r w:rsidR="00217208">
        <w:t>was and continues to be</w:t>
      </w:r>
      <w:r w:rsidR="006F2AD5">
        <w:t xml:space="preserve"> the most detailed of the surveys cited above. The estimated total burden hours requested, therefore, is </w:t>
      </w:r>
      <w:r w:rsidR="007D7E3D">
        <w:t>320</w:t>
      </w:r>
      <w:r w:rsidR="006F2AD5" w:rsidRPr="007D7E3D">
        <w:t>.</w:t>
      </w:r>
    </w:p>
    <w:p w:rsidR="00CF1D94" w:rsidRDefault="00CF1D94" w:rsidP="00553C35">
      <w:pPr>
        <w:jc w:val="center"/>
        <w:rPr>
          <w:b/>
        </w:rPr>
      </w:pPr>
    </w:p>
    <w:p w:rsidR="00624ACD" w:rsidRPr="00553C35" w:rsidRDefault="004F653E" w:rsidP="00553C35">
      <w:pPr>
        <w:jc w:val="center"/>
        <w:rPr>
          <w:b/>
        </w:rPr>
      </w:pPr>
      <w:r w:rsidRPr="00D1664F">
        <w:rPr>
          <w:b/>
        </w:rPr>
        <w:t>A.</w:t>
      </w:r>
      <w:r w:rsidR="00553C35" w:rsidRPr="00D1664F">
        <w:rPr>
          <w:b/>
        </w:rPr>
        <w:t xml:space="preserve">12-1:  </w:t>
      </w:r>
      <w:r w:rsidRPr="00D1664F">
        <w:rPr>
          <w:b/>
        </w:rPr>
        <w:t>ESTIMATES OF HOUR BURDEN</w:t>
      </w:r>
      <w:r w:rsidR="00217208">
        <w:rPr>
          <w:b/>
        </w:rPr>
        <w:t xml:space="preserve"> BY RESPONDENT TYPE</w:t>
      </w:r>
    </w:p>
    <w:tbl>
      <w:tblPr>
        <w:tblW w:w="1094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23"/>
        <w:gridCol w:w="2376"/>
        <w:gridCol w:w="2376"/>
        <w:gridCol w:w="2376"/>
        <w:gridCol w:w="2290"/>
      </w:tblGrid>
      <w:tr w:rsidR="00037B62" w:rsidRPr="002F67B5" w:rsidTr="006F2AD5">
        <w:trPr>
          <w:trHeight w:val="960"/>
          <w:jc w:val="center"/>
        </w:trPr>
        <w:tc>
          <w:tcPr>
            <w:tcW w:w="1523" w:type="dxa"/>
            <w:shd w:val="clear" w:color="auto" w:fill="auto"/>
            <w:vAlign w:val="center"/>
          </w:tcPr>
          <w:p w:rsidR="00037B62" w:rsidRPr="002F67B5" w:rsidRDefault="00037B62" w:rsidP="00A660D3">
            <w:pPr>
              <w:jc w:val="center"/>
              <w:rPr>
                <w:b/>
                <w:bCs/>
              </w:rPr>
            </w:pPr>
            <w:r w:rsidRPr="002F67B5">
              <w:rPr>
                <w:b/>
                <w:bCs/>
              </w:rPr>
              <w:t>Type of Respondents</w:t>
            </w:r>
          </w:p>
        </w:tc>
        <w:tc>
          <w:tcPr>
            <w:tcW w:w="2376" w:type="dxa"/>
            <w:shd w:val="clear" w:color="auto" w:fill="auto"/>
            <w:vAlign w:val="center"/>
          </w:tcPr>
          <w:p w:rsidR="00037B62" w:rsidRPr="002F67B5" w:rsidRDefault="00037B62" w:rsidP="00A660D3">
            <w:pPr>
              <w:jc w:val="center"/>
              <w:rPr>
                <w:b/>
                <w:bCs/>
              </w:rPr>
            </w:pPr>
            <w:r w:rsidRPr="002F67B5">
              <w:rPr>
                <w:b/>
                <w:bCs/>
              </w:rPr>
              <w:t>Estimated Number of Respondents</w:t>
            </w:r>
          </w:p>
        </w:tc>
        <w:tc>
          <w:tcPr>
            <w:tcW w:w="2376" w:type="dxa"/>
            <w:shd w:val="clear" w:color="auto" w:fill="auto"/>
            <w:vAlign w:val="center"/>
          </w:tcPr>
          <w:p w:rsidR="00037B62" w:rsidRPr="002F67B5" w:rsidRDefault="00037B62" w:rsidP="00A660D3">
            <w:pPr>
              <w:jc w:val="center"/>
              <w:rPr>
                <w:b/>
                <w:bCs/>
              </w:rPr>
            </w:pPr>
            <w:r w:rsidRPr="002F67B5">
              <w:rPr>
                <w:b/>
                <w:bCs/>
              </w:rPr>
              <w:t>Number of Responses per Respondent</w:t>
            </w:r>
          </w:p>
        </w:tc>
        <w:tc>
          <w:tcPr>
            <w:tcW w:w="2376" w:type="dxa"/>
            <w:shd w:val="clear" w:color="auto" w:fill="auto"/>
            <w:vAlign w:val="center"/>
          </w:tcPr>
          <w:p w:rsidR="00037B62" w:rsidRPr="002F67B5" w:rsidRDefault="006F2AD5" w:rsidP="00A660D3">
            <w:pPr>
              <w:jc w:val="center"/>
              <w:rPr>
                <w:b/>
                <w:bCs/>
              </w:rPr>
            </w:pPr>
            <w:r>
              <w:rPr>
                <w:b/>
                <w:bCs/>
              </w:rPr>
              <w:t>Maximum</w:t>
            </w:r>
            <w:r w:rsidR="00037B62" w:rsidRPr="002F67B5">
              <w:rPr>
                <w:b/>
                <w:bCs/>
              </w:rPr>
              <w:t xml:space="preserve"> Burden Hours Per Response</w:t>
            </w:r>
          </w:p>
        </w:tc>
        <w:tc>
          <w:tcPr>
            <w:tcW w:w="2290" w:type="dxa"/>
            <w:shd w:val="clear" w:color="auto" w:fill="auto"/>
            <w:vAlign w:val="center"/>
          </w:tcPr>
          <w:p w:rsidR="00037B62" w:rsidRPr="002F67B5" w:rsidRDefault="00037B62" w:rsidP="00A660D3">
            <w:pPr>
              <w:jc w:val="center"/>
              <w:rPr>
                <w:b/>
                <w:bCs/>
              </w:rPr>
            </w:pPr>
            <w:r w:rsidRPr="002F67B5">
              <w:rPr>
                <w:b/>
                <w:bCs/>
              </w:rPr>
              <w:t>Estimated Total Annual Burden Hours Requested</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rsidRPr="002F67B5">
              <w:t>Doctoral Level</w:t>
            </w:r>
          </w:p>
        </w:tc>
        <w:tc>
          <w:tcPr>
            <w:tcW w:w="2376" w:type="dxa"/>
            <w:shd w:val="clear" w:color="auto" w:fill="auto"/>
            <w:vAlign w:val="center"/>
          </w:tcPr>
          <w:p w:rsidR="006F2AD5" w:rsidRPr="002F67B5" w:rsidRDefault="007D7E3D" w:rsidP="00A660D3">
            <w:pPr>
              <w:jc w:val="center"/>
            </w:pPr>
            <w:r>
              <w:t>515</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7D7E3D" w:rsidP="00F82721">
            <w:pPr>
              <w:jc w:val="center"/>
              <w:rPr>
                <w:color w:val="000000"/>
              </w:rPr>
            </w:pPr>
            <w:r>
              <w:rPr>
                <w:color w:val="000000"/>
              </w:rPr>
              <w:t>172</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rsidRPr="002F67B5">
              <w:t>Students</w:t>
            </w:r>
          </w:p>
        </w:tc>
        <w:tc>
          <w:tcPr>
            <w:tcW w:w="2376" w:type="dxa"/>
            <w:shd w:val="clear" w:color="auto" w:fill="auto"/>
            <w:vAlign w:val="center"/>
          </w:tcPr>
          <w:p w:rsidR="006F2AD5" w:rsidRPr="002F67B5" w:rsidRDefault="007D7E3D" w:rsidP="00A660D3">
            <w:pPr>
              <w:jc w:val="center"/>
            </w:pPr>
            <w:r>
              <w:t>415</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7D7E3D" w:rsidP="00F82721">
            <w:pPr>
              <w:jc w:val="center"/>
              <w:rPr>
                <w:color w:val="000000"/>
              </w:rPr>
            </w:pPr>
            <w:r>
              <w:rPr>
                <w:color w:val="000000"/>
              </w:rPr>
              <w:t>138</w:t>
            </w:r>
          </w:p>
        </w:tc>
      </w:tr>
      <w:tr w:rsidR="006F2AD5" w:rsidRPr="002F67B5" w:rsidTr="006F2AD5">
        <w:trPr>
          <w:trHeight w:val="330"/>
          <w:jc w:val="center"/>
        </w:trPr>
        <w:tc>
          <w:tcPr>
            <w:tcW w:w="1523" w:type="dxa"/>
            <w:shd w:val="clear" w:color="auto" w:fill="auto"/>
            <w:vAlign w:val="center"/>
          </w:tcPr>
          <w:p w:rsidR="006F2AD5" w:rsidRPr="002F67B5" w:rsidRDefault="006F2AD5" w:rsidP="00A660D3">
            <w:pPr>
              <w:jc w:val="center"/>
            </w:pPr>
            <w:r>
              <w:t>Other</w:t>
            </w:r>
            <w:r w:rsidR="00217208">
              <w:t xml:space="preserve"> Respondent Types</w:t>
            </w:r>
          </w:p>
        </w:tc>
        <w:tc>
          <w:tcPr>
            <w:tcW w:w="2376" w:type="dxa"/>
            <w:shd w:val="clear" w:color="auto" w:fill="auto"/>
            <w:vAlign w:val="center"/>
          </w:tcPr>
          <w:p w:rsidR="006F2AD5" w:rsidRPr="002F67B5" w:rsidRDefault="007D7E3D" w:rsidP="00A660D3">
            <w:pPr>
              <w:jc w:val="center"/>
            </w:pPr>
            <w:r>
              <w:t>30</w:t>
            </w:r>
          </w:p>
        </w:tc>
        <w:tc>
          <w:tcPr>
            <w:tcW w:w="2376" w:type="dxa"/>
            <w:shd w:val="clear" w:color="auto" w:fill="auto"/>
            <w:vAlign w:val="center"/>
          </w:tcPr>
          <w:p w:rsidR="006F2AD5" w:rsidRPr="002F67B5" w:rsidRDefault="006F2AD5" w:rsidP="00A660D3">
            <w:pPr>
              <w:jc w:val="center"/>
            </w:pPr>
            <w:r w:rsidRPr="002F67B5">
              <w:t>1</w:t>
            </w:r>
          </w:p>
        </w:tc>
        <w:tc>
          <w:tcPr>
            <w:tcW w:w="2376" w:type="dxa"/>
            <w:shd w:val="clear" w:color="auto" w:fill="auto"/>
            <w:vAlign w:val="center"/>
          </w:tcPr>
          <w:p w:rsidR="006F2AD5" w:rsidRPr="002F67B5" w:rsidRDefault="00606BCC" w:rsidP="006F2AD5">
            <w:pPr>
              <w:jc w:val="center"/>
            </w:pPr>
            <w:r>
              <w:t>20/60</w:t>
            </w:r>
          </w:p>
        </w:tc>
        <w:tc>
          <w:tcPr>
            <w:tcW w:w="2290" w:type="dxa"/>
            <w:shd w:val="clear" w:color="auto" w:fill="auto"/>
            <w:vAlign w:val="bottom"/>
          </w:tcPr>
          <w:p w:rsidR="006F2AD5" w:rsidRPr="006F2AD5" w:rsidRDefault="007D7E3D" w:rsidP="00F82721">
            <w:pPr>
              <w:jc w:val="center"/>
              <w:rPr>
                <w:color w:val="000000"/>
              </w:rPr>
            </w:pPr>
            <w:r>
              <w:rPr>
                <w:color w:val="000000"/>
              </w:rPr>
              <w:t>10</w:t>
            </w:r>
          </w:p>
        </w:tc>
      </w:tr>
      <w:tr w:rsidR="00037B62" w:rsidRPr="00D1664F" w:rsidTr="006F2AD5">
        <w:trPr>
          <w:trHeight w:val="315"/>
          <w:jc w:val="center"/>
        </w:trPr>
        <w:tc>
          <w:tcPr>
            <w:tcW w:w="1523" w:type="dxa"/>
            <w:shd w:val="clear" w:color="auto" w:fill="auto"/>
            <w:vAlign w:val="center"/>
          </w:tcPr>
          <w:p w:rsidR="00037B62" w:rsidRPr="006C4759" w:rsidRDefault="00037B62" w:rsidP="00A660D3">
            <w:pPr>
              <w:jc w:val="center"/>
              <w:rPr>
                <w:b/>
              </w:rPr>
            </w:pPr>
            <w:r w:rsidRPr="006C4759">
              <w:rPr>
                <w:b/>
              </w:rPr>
              <w:t>Total</w:t>
            </w:r>
          </w:p>
        </w:tc>
        <w:tc>
          <w:tcPr>
            <w:tcW w:w="2376" w:type="dxa"/>
            <w:shd w:val="clear" w:color="auto" w:fill="auto"/>
            <w:noWrap/>
            <w:vAlign w:val="center"/>
          </w:tcPr>
          <w:p w:rsidR="00037B62" w:rsidRPr="006C4759" w:rsidRDefault="007D7E3D" w:rsidP="00A660D3">
            <w:pPr>
              <w:jc w:val="center"/>
              <w:rPr>
                <w:b/>
              </w:rPr>
            </w:pPr>
            <w:r w:rsidRPr="006C4759">
              <w:rPr>
                <w:b/>
              </w:rPr>
              <w:t>960</w:t>
            </w:r>
          </w:p>
        </w:tc>
        <w:tc>
          <w:tcPr>
            <w:tcW w:w="2376" w:type="dxa"/>
            <w:shd w:val="clear" w:color="auto" w:fill="auto"/>
            <w:noWrap/>
            <w:vAlign w:val="center"/>
          </w:tcPr>
          <w:p w:rsidR="00037B62" w:rsidRPr="006C4759" w:rsidRDefault="00E848FC" w:rsidP="00A660D3">
            <w:pPr>
              <w:jc w:val="center"/>
              <w:rPr>
                <w:b/>
              </w:rPr>
            </w:pPr>
            <w:r w:rsidRPr="00D1664F">
              <w:t>………………………</w:t>
            </w:r>
          </w:p>
        </w:tc>
        <w:tc>
          <w:tcPr>
            <w:tcW w:w="2376" w:type="dxa"/>
            <w:shd w:val="clear" w:color="auto" w:fill="auto"/>
            <w:noWrap/>
            <w:vAlign w:val="center"/>
          </w:tcPr>
          <w:p w:rsidR="00037B62" w:rsidRPr="00D1664F" w:rsidRDefault="00037B62" w:rsidP="00A660D3">
            <w:pPr>
              <w:jc w:val="center"/>
            </w:pPr>
            <w:r w:rsidRPr="00D1664F">
              <w:t>………………………</w:t>
            </w:r>
          </w:p>
        </w:tc>
        <w:tc>
          <w:tcPr>
            <w:tcW w:w="2290" w:type="dxa"/>
            <w:shd w:val="clear" w:color="auto" w:fill="auto"/>
            <w:noWrap/>
            <w:vAlign w:val="center"/>
          </w:tcPr>
          <w:p w:rsidR="00037B62" w:rsidRPr="006C4759" w:rsidRDefault="007D7E3D" w:rsidP="00A660D3">
            <w:pPr>
              <w:jc w:val="center"/>
              <w:rPr>
                <w:b/>
              </w:rPr>
            </w:pPr>
            <w:r w:rsidRPr="006C4759">
              <w:rPr>
                <w:b/>
              </w:rPr>
              <w:t>320</w:t>
            </w:r>
          </w:p>
        </w:tc>
      </w:tr>
    </w:tbl>
    <w:p w:rsidR="00DF4E0C" w:rsidRPr="00D1664F" w:rsidRDefault="00DF4E0C" w:rsidP="00F742DE">
      <w:pPr>
        <w:pStyle w:val="a"/>
        <w:tabs>
          <w:tab w:val="left" w:pos="720"/>
        </w:tabs>
        <w:ind w:hanging="720"/>
        <w:rPr>
          <w:szCs w:val="24"/>
        </w:rPr>
      </w:pPr>
    </w:p>
    <w:p w:rsidR="0040308B" w:rsidRDefault="0040308B" w:rsidP="00F742DE">
      <w:pPr>
        <w:pStyle w:val="a"/>
        <w:tabs>
          <w:tab w:val="left" w:pos="720"/>
        </w:tabs>
        <w:ind w:hanging="720"/>
        <w:rPr>
          <w:szCs w:val="24"/>
        </w:rPr>
      </w:pPr>
      <w:r w:rsidRPr="00D1664F">
        <w:rPr>
          <w:szCs w:val="24"/>
        </w:rPr>
        <w:tab/>
      </w:r>
      <w:r w:rsidR="00CF1D94">
        <w:rPr>
          <w:szCs w:val="24"/>
        </w:rPr>
        <w:t>The a</w:t>
      </w:r>
      <w:r w:rsidRPr="00D1664F">
        <w:rPr>
          <w:szCs w:val="24"/>
        </w:rPr>
        <w:t xml:space="preserve">nnualized cost to respondents </w:t>
      </w:r>
      <w:r w:rsidR="00CF1D94">
        <w:rPr>
          <w:szCs w:val="24"/>
        </w:rPr>
        <w:t xml:space="preserve">in table A.12-2 </w:t>
      </w:r>
      <w:r w:rsidRPr="00D1664F">
        <w:rPr>
          <w:szCs w:val="24"/>
        </w:rPr>
        <w:t xml:space="preserve">was calculated using median weekly wage data from the </w:t>
      </w:r>
      <w:r w:rsidR="00565C60" w:rsidRPr="00D1664F">
        <w:rPr>
          <w:szCs w:val="24"/>
        </w:rPr>
        <w:t xml:space="preserve">2014 </w:t>
      </w:r>
      <w:r w:rsidRPr="00D1664F">
        <w:rPr>
          <w:szCs w:val="24"/>
        </w:rPr>
        <w:t>Current Population Survey obtained from the Bureau of Labor Statistics</w:t>
      </w:r>
      <w:r w:rsidR="00D97773" w:rsidRPr="00D1664F">
        <w:rPr>
          <w:szCs w:val="24"/>
        </w:rPr>
        <w:t xml:space="preserve"> </w:t>
      </w:r>
      <w:r w:rsidR="00C81031">
        <w:rPr>
          <w:szCs w:val="24"/>
        </w:rPr>
        <w:t xml:space="preserve">[BLS] </w:t>
      </w:r>
      <w:r w:rsidR="00642938" w:rsidRPr="00D1664F">
        <w:rPr>
          <w:szCs w:val="24"/>
        </w:rPr>
        <w:t>(http://www.bls.gov/cps/cpsaat39.pdf)</w:t>
      </w:r>
      <w:r w:rsidRPr="00D1664F">
        <w:rPr>
          <w:szCs w:val="24"/>
        </w:rPr>
        <w:t xml:space="preserve">, and annual student stipend data </w:t>
      </w:r>
      <w:r w:rsidR="00DC3B0A" w:rsidRPr="00D1664F">
        <w:rPr>
          <w:szCs w:val="24"/>
        </w:rPr>
        <w:t>obtained from</w:t>
      </w:r>
      <w:r w:rsidRPr="00D1664F">
        <w:rPr>
          <w:szCs w:val="24"/>
        </w:rPr>
        <w:t xml:space="preserve"> the </w:t>
      </w:r>
      <w:r w:rsidR="007C1249" w:rsidRPr="00D1664F">
        <w:rPr>
          <w:szCs w:val="24"/>
        </w:rPr>
        <w:t xml:space="preserve">pre-doctoral </w:t>
      </w:r>
      <w:r w:rsidRPr="00D1664F">
        <w:rPr>
          <w:szCs w:val="24"/>
        </w:rPr>
        <w:t>NIH Medical Research Scholars Program</w:t>
      </w:r>
      <w:r w:rsidR="00CF1D94">
        <w:rPr>
          <w:szCs w:val="24"/>
        </w:rPr>
        <w:t xml:space="preserve"> reflecting the </w:t>
      </w:r>
      <w:r w:rsidR="00CF1D94" w:rsidRPr="00D1664F">
        <w:rPr>
          <w:szCs w:val="24"/>
        </w:rPr>
        <w:t>2015 NIH pre-doctoral stipend levels for graduate students</w:t>
      </w:r>
      <w:r w:rsidR="00CF1D94">
        <w:rPr>
          <w:szCs w:val="24"/>
        </w:rPr>
        <w:t xml:space="preserve"> (see: </w:t>
      </w:r>
      <w:hyperlink r:id="rId9" w:history="1">
        <w:r w:rsidR="00CF1D94" w:rsidRPr="00D1664F">
          <w:rPr>
            <w:rStyle w:val="Hyperlink"/>
            <w:szCs w:val="24"/>
          </w:rPr>
          <w:t>https://oma1.od.nih.gov/Manualchapters/person/2300-320-7/Appendices/Predoc15.PDF?PHPSESSID=6207461d0b4f0fea0eeaa4e400af15e4</w:t>
        </w:r>
      </w:hyperlink>
      <w:r w:rsidR="00CF1D94">
        <w:rPr>
          <w:rStyle w:val="Hyperlink"/>
          <w:szCs w:val="24"/>
        </w:rPr>
        <w:t>)</w:t>
      </w:r>
      <w:r w:rsidRPr="00D1664F">
        <w:rPr>
          <w:szCs w:val="24"/>
        </w:rPr>
        <w:t xml:space="preserve">. Hourly wages were calculated assuming a 40 hour work week. Doctoral level respondents included </w:t>
      </w:r>
      <w:r w:rsidR="000E273D" w:rsidRPr="00D1664F">
        <w:rPr>
          <w:szCs w:val="24"/>
        </w:rPr>
        <w:t xml:space="preserve">the following categories from the </w:t>
      </w:r>
      <w:r w:rsidR="00C81031">
        <w:rPr>
          <w:szCs w:val="24"/>
        </w:rPr>
        <w:t xml:space="preserve">BLS </w:t>
      </w:r>
      <w:r w:rsidR="000E273D" w:rsidRPr="00D1664F">
        <w:rPr>
          <w:szCs w:val="24"/>
        </w:rPr>
        <w:t xml:space="preserve">Current Population Survey: </w:t>
      </w:r>
      <w:r w:rsidRPr="00D1664F">
        <w:rPr>
          <w:szCs w:val="24"/>
        </w:rPr>
        <w:t xml:space="preserve">physicians, surgeons, dentists, and medical scientists. Other respondents included the following categories from the </w:t>
      </w:r>
      <w:r w:rsidR="00C81031">
        <w:rPr>
          <w:szCs w:val="24"/>
        </w:rPr>
        <w:t xml:space="preserve">BLS </w:t>
      </w:r>
      <w:r w:rsidRPr="00D1664F">
        <w:rPr>
          <w:szCs w:val="24"/>
        </w:rPr>
        <w:t xml:space="preserve">Current Population Survey: nurses, </w:t>
      </w:r>
      <w:r w:rsidR="00565C60" w:rsidRPr="00D1664F">
        <w:rPr>
          <w:szCs w:val="24"/>
        </w:rPr>
        <w:t xml:space="preserve">nurse practitioners, and </w:t>
      </w:r>
      <w:r w:rsidRPr="00D1664F">
        <w:rPr>
          <w:szCs w:val="24"/>
        </w:rPr>
        <w:t>physician assistants</w:t>
      </w:r>
      <w:r w:rsidR="00565C60" w:rsidRPr="00D1664F">
        <w:rPr>
          <w:szCs w:val="24"/>
        </w:rPr>
        <w:t>.</w:t>
      </w:r>
      <w:r>
        <w:rPr>
          <w:szCs w:val="24"/>
        </w:rPr>
        <w:t xml:space="preserve">  </w:t>
      </w:r>
    </w:p>
    <w:p w:rsidR="00553C35" w:rsidRDefault="0040308B" w:rsidP="00F742DE">
      <w:pPr>
        <w:pStyle w:val="a"/>
        <w:tabs>
          <w:tab w:val="left" w:pos="720"/>
        </w:tabs>
        <w:ind w:hanging="720"/>
        <w:rPr>
          <w:szCs w:val="24"/>
        </w:rPr>
      </w:pPr>
      <w:r>
        <w:rPr>
          <w:szCs w:val="24"/>
        </w:rPr>
        <w:t xml:space="preserve"> </w:t>
      </w:r>
    </w:p>
    <w:p w:rsidR="00553C35" w:rsidRPr="00553C35" w:rsidRDefault="004F653E" w:rsidP="00553C35">
      <w:pPr>
        <w:pStyle w:val="a"/>
        <w:tabs>
          <w:tab w:val="left" w:pos="720"/>
        </w:tabs>
        <w:ind w:hanging="720"/>
        <w:jc w:val="center"/>
        <w:rPr>
          <w:b/>
          <w:szCs w:val="24"/>
        </w:rPr>
      </w:pPr>
      <w:r w:rsidRPr="00D1664F">
        <w:rPr>
          <w:b/>
          <w:szCs w:val="24"/>
        </w:rPr>
        <w:t>A.</w:t>
      </w:r>
      <w:r w:rsidR="00553C35" w:rsidRPr="00D1664F">
        <w:rPr>
          <w:b/>
          <w:szCs w:val="24"/>
        </w:rPr>
        <w:t xml:space="preserve">12-2:  </w:t>
      </w:r>
      <w:r w:rsidRPr="00D1664F">
        <w:rPr>
          <w:b/>
          <w:szCs w:val="24"/>
        </w:rPr>
        <w:t xml:space="preserve">ANNUALIZED </w:t>
      </w:r>
      <w:r w:rsidR="00553C35" w:rsidRPr="00D1664F">
        <w:rPr>
          <w:b/>
          <w:szCs w:val="24"/>
        </w:rPr>
        <w:t>COST</w:t>
      </w:r>
      <w:r w:rsidRPr="00D1664F">
        <w:rPr>
          <w:b/>
          <w:szCs w:val="24"/>
        </w:rPr>
        <w:t xml:space="preserve"> TO RESPONDENTS</w:t>
      </w:r>
      <w:r w:rsidR="00C81031">
        <w:rPr>
          <w:b/>
          <w:szCs w:val="24"/>
        </w:rPr>
        <w:t xml:space="preserve"> BY TYPE</w:t>
      </w:r>
    </w:p>
    <w:tbl>
      <w:tblPr>
        <w:tblW w:w="9220" w:type="dxa"/>
        <w:jc w:val="center"/>
        <w:tblLayout w:type="fixed"/>
        <w:tblLook w:val="0000" w:firstRow="0" w:lastRow="0" w:firstColumn="0" w:lastColumn="0" w:noHBand="0" w:noVBand="0"/>
      </w:tblPr>
      <w:tblGrid>
        <w:gridCol w:w="1815"/>
        <w:gridCol w:w="1626"/>
        <w:gridCol w:w="1474"/>
        <w:gridCol w:w="1620"/>
        <w:gridCol w:w="1184"/>
        <w:gridCol w:w="1501"/>
      </w:tblGrid>
      <w:tr w:rsidR="00DF4E0C" w:rsidRPr="002F67B5" w:rsidTr="00DF4E0C">
        <w:trPr>
          <w:trHeight w:val="315"/>
          <w:jc w:val="center"/>
        </w:trPr>
        <w:tc>
          <w:tcPr>
            <w:tcW w:w="181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Type of Respondents</w:t>
            </w:r>
          </w:p>
        </w:tc>
        <w:tc>
          <w:tcPr>
            <w:tcW w:w="162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Number of Respondents</w:t>
            </w:r>
          </w:p>
        </w:tc>
        <w:tc>
          <w:tcPr>
            <w:tcW w:w="147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Frequency of Response</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F5073F" w:rsidP="00F5073F">
            <w:pPr>
              <w:jc w:val="center"/>
              <w:rPr>
                <w:rFonts w:eastAsia="MS Mincho"/>
                <w:b/>
                <w:bCs/>
                <w:lang w:eastAsia="ja-JP"/>
              </w:rPr>
            </w:pPr>
            <w:r>
              <w:rPr>
                <w:rFonts w:eastAsia="MS Mincho"/>
                <w:b/>
                <w:bCs/>
                <w:lang w:eastAsia="ja-JP"/>
              </w:rPr>
              <w:t>Maximum</w:t>
            </w:r>
            <w:r w:rsidR="00DF4E0C" w:rsidRPr="002F67B5">
              <w:rPr>
                <w:rFonts w:eastAsia="MS Mincho"/>
                <w:b/>
                <w:bCs/>
                <w:lang w:eastAsia="ja-JP"/>
              </w:rPr>
              <w:t xml:space="preserve"> Time per Respondent</w:t>
            </w:r>
            <w:r w:rsidR="008D525B">
              <w:rPr>
                <w:rFonts w:eastAsia="MS Mincho"/>
                <w:b/>
                <w:bCs/>
                <w:lang w:eastAsia="ja-JP"/>
              </w:rPr>
              <w:t xml:space="preserve"> (hours)</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Hourly Wage Rate</w:t>
            </w:r>
          </w:p>
        </w:tc>
        <w:tc>
          <w:tcPr>
            <w:tcW w:w="1501" w:type="dxa"/>
            <w:tcBorders>
              <w:top w:val="single" w:sz="8" w:space="0" w:color="auto"/>
              <w:left w:val="nil"/>
              <w:bottom w:val="nil"/>
              <w:right w:val="single" w:sz="8" w:space="0" w:color="auto"/>
            </w:tcBorders>
            <w:shd w:val="clear" w:color="auto" w:fill="auto"/>
            <w:vAlign w:val="center"/>
          </w:tcPr>
          <w:p w:rsidR="00DE7C74" w:rsidRDefault="00DE7C74" w:rsidP="00DF4E0C">
            <w:pPr>
              <w:jc w:val="center"/>
              <w:rPr>
                <w:rFonts w:eastAsia="MS Mincho"/>
                <w:b/>
                <w:bCs/>
                <w:lang w:eastAsia="ja-JP"/>
              </w:rPr>
            </w:pPr>
          </w:p>
          <w:p w:rsidR="00DF4E0C" w:rsidRPr="002F67B5" w:rsidRDefault="00DF4E0C" w:rsidP="00DF4E0C">
            <w:pPr>
              <w:jc w:val="center"/>
              <w:rPr>
                <w:rFonts w:eastAsia="MS Mincho"/>
                <w:b/>
                <w:bCs/>
                <w:lang w:eastAsia="ja-JP"/>
              </w:rPr>
            </w:pPr>
            <w:r w:rsidRPr="002F67B5">
              <w:rPr>
                <w:rFonts w:eastAsia="MS Mincho"/>
                <w:b/>
                <w:bCs/>
                <w:lang w:eastAsia="ja-JP"/>
              </w:rPr>
              <w:t>Respondent</w:t>
            </w:r>
          </w:p>
        </w:tc>
      </w:tr>
      <w:tr w:rsidR="00DF4E0C" w:rsidRPr="002F67B5" w:rsidTr="00DF4E0C">
        <w:trPr>
          <w:trHeight w:val="330"/>
          <w:jc w:val="center"/>
        </w:trPr>
        <w:tc>
          <w:tcPr>
            <w:tcW w:w="1815"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626"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474"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620"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184" w:type="dxa"/>
            <w:vMerge/>
            <w:tcBorders>
              <w:top w:val="single" w:sz="8" w:space="0" w:color="auto"/>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b/>
                <w:bCs/>
                <w:lang w:eastAsia="ja-JP"/>
              </w:rPr>
            </w:pPr>
          </w:p>
        </w:tc>
        <w:tc>
          <w:tcPr>
            <w:tcW w:w="1501" w:type="dxa"/>
            <w:tcBorders>
              <w:top w:val="nil"/>
              <w:left w:val="nil"/>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b/>
                <w:bCs/>
                <w:lang w:eastAsia="ja-JP"/>
              </w:rPr>
            </w:pPr>
            <w:r w:rsidRPr="002F67B5">
              <w:rPr>
                <w:rFonts w:eastAsia="MS Mincho"/>
                <w:b/>
                <w:bCs/>
                <w:lang w:eastAsia="ja-JP"/>
              </w:rPr>
              <w:t>Cost</w:t>
            </w:r>
          </w:p>
        </w:tc>
      </w:tr>
      <w:tr w:rsidR="00DF4E0C" w:rsidRPr="002F67B5" w:rsidTr="00DF4E0C">
        <w:trPr>
          <w:trHeight w:val="315"/>
          <w:jc w:val="center"/>
        </w:trPr>
        <w:tc>
          <w:tcPr>
            <w:tcW w:w="1815" w:type="dxa"/>
            <w:tcBorders>
              <w:top w:val="nil"/>
              <w:left w:val="single" w:sz="8" w:space="0" w:color="auto"/>
              <w:bottom w:val="nil"/>
              <w:right w:val="single" w:sz="8" w:space="0" w:color="auto"/>
            </w:tcBorders>
            <w:shd w:val="clear" w:color="auto" w:fill="auto"/>
            <w:vAlign w:val="center"/>
          </w:tcPr>
          <w:p w:rsidR="00DF4E0C" w:rsidRPr="002F67B5" w:rsidRDefault="00DF4E0C" w:rsidP="00DF4E0C">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7D7E3D" w:rsidP="00DF4E0C">
            <w:pPr>
              <w:jc w:val="center"/>
              <w:rPr>
                <w:rFonts w:eastAsia="MS Mincho"/>
                <w:lang w:eastAsia="ja-JP"/>
              </w:rPr>
            </w:pPr>
            <w:r>
              <w:rPr>
                <w:rFonts w:eastAsia="MS Mincho"/>
                <w:lang w:eastAsia="ja-JP"/>
              </w:rPr>
              <w:t>515</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565C60" w:rsidP="000E273D">
            <w:pPr>
              <w:jc w:val="center"/>
              <w:rPr>
                <w:rFonts w:eastAsia="MS Mincho"/>
                <w:lang w:eastAsia="ja-JP"/>
              </w:rPr>
            </w:pPr>
            <w:r>
              <w:rPr>
                <w:rFonts w:eastAsia="MS Mincho"/>
                <w:lang w:eastAsia="ja-JP"/>
              </w:rPr>
              <w:t>$40.30</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7D7E3D" w:rsidP="00992B76">
            <w:pPr>
              <w:jc w:val="center"/>
              <w:rPr>
                <w:rFonts w:eastAsia="MS Mincho"/>
                <w:lang w:eastAsia="ja-JP"/>
              </w:rPr>
            </w:pPr>
            <w:r>
              <w:rPr>
                <w:rFonts w:eastAsia="MS Mincho"/>
                <w:lang w:eastAsia="ja-JP"/>
              </w:rPr>
              <w:t>$6</w:t>
            </w:r>
            <w:r w:rsidR="00764655">
              <w:rPr>
                <w:rFonts w:eastAsia="MS Mincho"/>
                <w:lang w:eastAsia="ja-JP"/>
              </w:rPr>
              <w:t>,</w:t>
            </w:r>
            <w:r>
              <w:rPr>
                <w:rFonts w:eastAsia="MS Mincho"/>
                <w:lang w:eastAsia="ja-JP"/>
              </w:rPr>
              <w:t>918.17</w:t>
            </w: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Doctoral Level</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2F67B5" w:rsidTr="00DF4E0C">
        <w:trPr>
          <w:trHeight w:val="315"/>
          <w:jc w:val="center"/>
        </w:trPr>
        <w:tc>
          <w:tcPr>
            <w:tcW w:w="1815" w:type="dxa"/>
            <w:tcBorders>
              <w:top w:val="nil"/>
              <w:left w:val="single" w:sz="8" w:space="0" w:color="auto"/>
              <w:bottom w:val="nil"/>
              <w:right w:val="single" w:sz="8" w:space="0" w:color="auto"/>
            </w:tcBorders>
            <w:shd w:val="clear" w:color="auto" w:fill="auto"/>
            <w:vAlign w:val="center"/>
          </w:tcPr>
          <w:p w:rsidR="00DF4E0C" w:rsidRPr="002F67B5" w:rsidRDefault="00DF4E0C" w:rsidP="00DF4E0C">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7D7E3D" w:rsidP="00DF4E0C">
            <w:pPr>
              <w:jc w:val="center"/>
              <w:rPr>
                <w:rFonts w:eastAsia="MS Mincho"/>
                <w:lang w:eastAsia="ja-JP"/>
              </w:rPr>
            </w:pPr>
            <w:r>
              <w:rPr>
                <w:rFonts w:eastAsia="MS Mincho"/>
                <w:lang w:eastAsia="ja-JP"/>
              </w:rPr>
              <w:t>415</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565C60" w:rsidP="00DF4E0C">
            <w:pPr>
              <w:jc w:val="center"/>
              <w:rPr>
                <w:rFonts w:eastAsia="MS Mincho"/>
                <w:lang w:eastAsia="ja-JP"/>
              </w:rPr>
            </w:pPr>
            <w:r>
              <w:rPr>
                <w:rFonts w:eastAsia="MS Mincho"/>
                <w:lang w:eastAsia="ja-JP"/>
              </w:rPr>
              <w:t>$16.54</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9E169B" w:rsidRPr="002F67B5" w:rsidRDefault="007D7E3D" w:rsidP="00992B76">
            <w:pPr>
              <w:jc w:val="center"/>
              <w:rPr>
                <w:rFonts w:eastAsia="MS Mincho"/>
                <w:lang w:eastAsia="ja-JP"/>
              </w:rPr>
            </w:pPr>
            <w:r>
              <w:rPr>
                <w:rFonts w:eastAsia="MS Mincho"/>
                <w:lang w:eastAsia="ja-JP"/>
              </w:rPr>
              <w:t>$2</w:t>
            </w:r>
            <w:r w:rsidR="00764655">
              <w:rPr>
                <w:rFonts w:eastAsia="MS Mincho"/>
                <w:lang w:eastAsia="ja-JP"/>
              </w:rPr>
              <w:t>,</w:t>
            </w:r>
            <w:r>
              <w:rPr>
                <w:rFonts w:eastAsia="MS Mincho"/>
                <w:lang w:eastAsia="ja-JP"/>
              </w:rPr>
              <w:t>288.03</w:t>
            </w:r>
          </w:p>
        </w:tc>
      </w:tr>
      <w:tr w:rsidR="00DF4E0C" w:rsidRPr="002F67B5"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Students</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2F67B5" w:rsidTr="00F32914">
        <w:trPr>
          <w:trHeight w:val="315"/>
          <w:jc w:val="center"/>
        </w:trPr>
        <w:tc>
          <w:tcPr>
            <w:tcW w:w="1815" w:type="dxa"/>
            <w:tcBorders>
              <w:top w:val="nil"/>
              <w:left w:val="single" w:sz="8" w:space="0" w:color="auto"/>
              <w:bottom w:val="nil"/>
              <w:right w:val="single" w:sz="8" w:space="0" w:color="auto"/>
            </w:tcBorders>
            <w:shd w:val="clear" w:color="auto" w:fill="auto"/>
            <w:vAlign w:val="bottom"/>
          </w:tcPr>
          <w:p w:rsidR="00DF4E0C" w:rsidRPr="002F67B5" w:rsidRDefault="00DF4E0C" w:rsidP="00F32914">
            <w:pPr>
              <w:jc w:val="center"/>
              <w:rPr>
                <w:rFonts w:eastAsia="MS Mincho"/>
                <w:lang w:eastAsia="ja-JP"/>
              </w:rPr>
            </w:pPr>
          </w:p>
        </w:tc>
        <w:tc>
          <w:tcPr>
            <w:tcW w:w="1626"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7D7E3D" w:rsidP="00DF4E0C">
            <w:pPr>
              <w:jc w:val="center"/>
              <w:rPr>
                <w:rFonts w:eastAsia="MS Mincho"/>
                <w:lang w:eastAsia="ja-JP"/>
              </w:rPr>
            </w:pPr>
            <w:r>
              <w:rPr>
                <w:rFonts w:eastAsia="MS Mincho"/>
                <w:lang w:eastAsia="ja-JP"/>
              </w:rPr>
              <w:t>30</w:t>
            </w:r>
          </w:p>
        </w:tc>
        <w:tc>
          <w:tcPr>
            <w:tcW w:w="147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DF4E0C" w:rsidP="00DF4E0C">
            <w:pPr>
              <w:jc w:val="center"/>
              <w:rPr>
                <w:rFonts w:eastAsia="MS Mincho"/>
                <w:lang w:eastAsia="ja-JP"/>
              </w:rPr>
            </w:pPr>
            <w:r w:rsidRPr="002F67B5">
              <w:rPr>
                <w:rFonts w:eastAsia="MS Mincho"/>
                <w:lang w:eastAsia="ja-JP"/>
              </w:rPr>
              <w:t>1</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E469BE" w:rsidP="00F5073F">
            <w:pPr>
              <w:jc w:val="center"/>
              <w:rPr>
                <w:rFonts w:eastAsia="MS Mincho"/>
                <w:lang w:eastAsia="ja-JP"/>
              </w:rPr>
            </w:pPr>
            <w:r>
              <w:rPr>
                <w:rFonts w:eastAsia="MS Mincho"/>
                <w:lang w:eastAsia="ja-JP"/>
              </w:rPr>
              <w:t>20/60</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764655" w:rsidP="000E273D">
            <w:pPr>
              <w:jc w:val="center"/>
              <w:rPr>
                <w:rFonts w:eastAsia="MS Mincho"/>
                <w:lang w:eastAsia="ja-JP"/>
              </w:rPr>
            </w:pPr>
            <w:r>
              <w:rPr>
                <w:rFonts w:eastAsia="MS Mincho"/>
                <w:lang w:eastAsia="ja-JP"/>
              </w:rPr>
              <w:t>$</w:t>
            </w:r>
            <w:r w:rsidR="00565C60">
              <w:rPr>
                <w:rFonts w:eastAsia="MS Mincho"/>
                <w:lang w:eastAsia="ja-JP"/>
              </w:rPr>
              <w:t>36.60</w:t>
            </w:r>
          </w:p>
        </w:tc>
        <w:tc>
          <w:tcPr>
            <w:tcW w:w="1501" w:type="dxa"/>
            <w:vMerge w:val="restart"/>
            <w:tcBorders>
              <w:top w:val="nil"/>
              <w:left w:val="single" w:sz="8" w:space="0" w:color="auto"/>
              <w:bottom w:val="single" w:sz="8" w:space="0" w:color="000000"/>
              <w:right w:val="single" w:sz="8" w:space="0" w:color="auto"/>
            </w:tcBorders>
            <w:shd w:val="clear" w:color="auto" w:fill="auto"/>
            <w:vAlign w:val="center"/>
          </w:tcPr>
          <w:p w:rsidR="00DF4E0C" w:rsidRPr="002F67B5" w:rsidRDefault="007D7E3D" w:rsidP="00992B76">
            <w:pPr>
              <w:jc w:val="center"/>
              <w:rPr>
                <w:rFonts w:eastAsia="MS Mincho"/>
                <w:lang w:eastAsia="ja-JP"/>
              </w:rPr>
            </w:pPr>
            <w:r>
              <w:rPr>
                <w:rFonts w:eastAsia="MS Mincho"/>
                <w:lang w:eastAsia="ja-JP"/>
              </w:rPr>
              <w:t>$366.00</w:t>
            </w:r>
          </w:p>
        </w:tc>
      </w:tr>
      <w:tr w:rsidR="00DF4E0C" w:rsidRPr="002F67B5" w:rsidTr="00F32914">
        <w:trPr>
          <w:trHeight w:val="330"/>
          <w:jc w:val="center"/>
        </w:trPr>
        <w:tc>
          <w:tcPr>
            <w:tcW w:w="1815" w:type="dxa"/>
            <w:tcBorders>
              <w:top w:val="nil"/>
              <w:left w:val="single" w:sz="8" w:space="0" w:color="auto"/>
              <w:bottom w:val="single" w:sz="8" w:space="0" w:color="auto"/>
              <w:right w:val="single" w:sz="8" w:space="0" w:color="auto"/>
            </w:tcBorders>
            <w:shd w:val="clear" w:color="auto" w:fill="auto"/>
          </w:tcPr>
          <w:p w:rsidR="00DF4E0C" w:rsidRPr="002F67B5" w:rsidRDefault="00F32914" w:rsidP="00F32914">
            <w:pPr>
              <w:jc w:val="center"/>
              <w:rPr>
                <w:rFonts w:eastAsia="MS Mincho"/>
                <w:lang w:eastAsia="ja-JP"/>
              </w:rPr>
            </w:pPr>
            <w:r w:rsidRPr="00F32914">
              <w:rPr>
                <w:rFonts w:eastAsia="MS Mincho"/>
                <w:lang w:eastAsia="ja-JP"/>
              </w:rPr>
              <w:t>Other</w:t>
            </w:r>
            <w:r w:rsidR="00C81031">
              <w:rPr>
                <w:rFonts w:eastAsia="MS Mincho"/>
                <w:lang w:eastAsia="ja-JP"/>
              </w:rPr>
              <w:t xml:space="preserve"> Respondent Types</w:t>
            </w:r>
          </w:p>
        </w:tc>
        <w:tc>
          <w:tcPr>
            <w:tcW w:w="1626"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47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620"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184"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c>
          <w:tcPr>
            <w:tcW w:w="1501" w:type="dxa"/>
            <w:vMerge/>
            <w:tcBorders>
              <w:top w:val="nil"/>
              <w:left w:val="single" w:sz="8" w:space="0" w:color="auto"/>
              <w:bottom w:val="single" w:sz="8" w:space="0" w:color="000000"/>
              <w:right w:val="single" w:sz="8" w:space="0" w:color="auto"/>
            </w:tcBorders>
            <w:vAlign w:val="center"/>
          </w:tcPr>
          <w:p w:rsidR="00DF4E0C" w:rsidRPr="002F67B5" w:rsidRDefault="00DF4E0C" w:rsidP="00DF4E0C">
            <w:pPr>
              <w:jc w:val="center"/>
              <w:rPr>
                <w:rFonts w:eastAsia="MS Mincho"/>
                <w:lang w:eastAsia="ja-JP"/>
              </w:rPr>
            </w:pPr>
          </w:p>
        </w:tc>
      </w:tr>
      <w:tr w:rsidR="00DF4E0C" w:rsidRPr="00D1664F" w:rsidTr="00DF4E0C">
        <w:trPr>
          <w:trHeight w:val="330"/>
          <w:jc w:val="center"/>
        </w:trPr>
        <w:tc>
          <w:tcPr>
            <w:tcW w:w="1815" w:type="dxa"/>
            <w:tcBorders>
              <w:top w:val="nil"/>
              <w:left w:val="single" w:sz="8" w:space="0" w:color="auto"/>
              <w:bottom w:val="single" w:sz="8" w:space="0" w:color="auto"/>
              <w:right w:val="single" w:sz="8" w:space="0" w:color="auto"/>
            </w:tcBorders>
            <w:shd w:val="clear" w:color="auto" w:fill="auto"/>
            <w:vAlign w:val="center"/>
          </w:tcPr>
          <w:p w:rsidR="00DF4E0C" w:rsidRPr="00941EB5" w:rsidRDefault="00DF4E0C" w:rsidP="00DF4E0C">
            <w:pPr>
              <w:jc w:val="center"/>
              <w:rPr>
                <w:rFonts w:eastAsia="MS Mincho"/>
                <w:b/>
                <w:bCs/>
                <w:lang w:eastAsia="ja-JP"/>
              </w:rPr>
            </w:pPr>
            <w:r w:rsidRPr="00941EB5">
              <w:rPr>
                <w:rFonts w:eastAsia="MS Mincho"/>
                <w:b/>
                <w:bCs/>
                <w:lang w:eastAsia="ja-JP"/>
              </w:rPr>
              <w:t>Totals</w:t>
            </w:r>
          </w:p>
        </w:tc>
        <w:tc>
          <w:tcPr>
            <w:tcW w:w="1626" w:type="dxa"/>
            <w:tcBorders>
              <w:top w:val="nil"/>
              <w:left w:val="nil"/>
              <w:bottom w:val="single" w:sz="8" w:space="0" w:color="auto"/>
              <w:right w:val="single" w:sz="8" w:space="0" w:color="auto"/>
            </w:tcBorders>
            <w:shd w:val="clear" w:color="auto" w:fill="auto"/>
            <w:vAlign w:val="center"/>
          </w:tcPr>
          <w:p w:rsidR="00DF4E0C" w:rsidRPr="00941EB5" w:rsidRDefault="00C81031" w:rsidP="00DF4E0C">
            <w:pPr>
              <w:jc w:val="center"/>
              <w:rPr>
                <w:rFonts w:eastAsia="MS Mincho"/>
                <w:b/>
                <w:bCs/>
                <w:lang w:eastAsia="ja-JP"/>
              </w:rPr>
            </w:pPr>
            <w:r>
              <w:rPr>
                <w:rFonts w:eastAsia="MS Mincho"/>
                <w:b/>
                <w:bCs/>
                <w:lang w:eastAsia="ja-JP"/>
              </w:rPr>
              <w:t>960</w:t>
            </w:r>
          </w:p>
        </w:tc>
        <w:tc>
          <w:tcPr>
            <w:tcW w:w="1474" w:type="dxa"/>
            <w:tcBorders>
              <w:top w:val="nil"/>
              <w:left w:val="nil"/>
              <w:bottom w:val="single" w:sz="8" w:space="0" w:color="auto"/>
              <w:right w:val="single" w:sz="8" w:space="0" w:color="auto"/>
            </w:tcBorders>
            <w:shd w:val="clear" w:color="auto" w:fill="auto"/>
            <w:vAlign w:val="center"/>
          </w:tcPr>
          <w:p w:rsidR="00DF4E0C" w:rsidRPr="00D1664F" w:rsidRDefault="008B447D" w:rsidP="00DF4E0C">
            <w:pPr>
              <w:jc w:val="center"/>
              <w:rPr>
                <w:rFonts w:eastAsia="MS Mincho"/>
                <w:b/>
                <w:bCs/>
                <w:lang w:eastAsia="ja-JP"/>
              </w:rPr>
            </w:pPr>
            <w:r w:rsidRPr="00D1664F">
              <w:t>…………</w:t>
            </w:r>
          </w:p>
        </w:tc>
        <w:tc>
          <w:tcPr>
            <w:tcW w:w="1620" w:type="dxa"/>
            <w:tcBorders>
              <w:top w:val="nil"/>
              <w:left w:val="nil"/>
              <w:bottom w:val="single" w:sz="8" w:space="0" w:color="auto"/>
              <w:right w:val="single" w:sz="8" w:space="0" w:color="auto"/>
            </w:tcBorders>
            <w:shd w:val="clear" w:color="auto" w:fill="auto"/>
            <w:vAlign w:val="center"/>
          </w:tcPr>
          <w:p w:rsidR="00DF4E0C" w:rsidRPr="00D1664F" w:rsidRDefault="008B447D" w:rsidP="00DF4E0C">
            <w:pPr>
              <w:jc w:val="center"/>
              <w:rPr>
                <w:rFonts w:eastAsia="MS Mincho"/>
                <w:b/>
                <w:bCs/>
                <w:lang w:eastAsia="ja-JP"/>
              </w:rPr>
            </w:pPr>
            <w:r w:rsidRPr="00D1664F">
              <w:t>…………</w:t>
            </w:r>
          </w:p>
        </w:tc>
        <w:tc>
          <w:tcPr>
            <w:tcW w:w="1184" w:type="dxa"/>
            <w:tcBorders>
              <w:top w:val="nil"/>
              <w:left w:val="nil"/>
              <w:bottom w:val="single" w:sz="8" w:space="0" w:color="auto"/>
              <w:right w:val="single" w:sz="8" w:space="0" w:color="auto"/>
            </w:tcBorders>
            <w:shd w:val="clear" w:color="auto" w:fill="auto"/>
            <w:vAlign w:val="center"/>
          </w:tcPr>
          <w:p w:rsidR="00DF4E0C" w:rsidRPr="00D1664F" w:rsidRDefault="008B447D" w:rsidP="00DF4E0C">
            <w:pPr>
              <w:jc w:val="center"/>
              <w:rPr>
                <w:rFonts w:eastAsia="MS Mincho"/>
                <w:b/>
                <w:bCs/>
                <w:lang w:eastAsia="ja-JP"/>
              </w:rPr>
            </w:pPr>
            <w:r w:rsidRPr="00D1664F">
              <w:t>…………</w:t>
            </w:r>
          </w:p>
        </w:tc>
        <w:tc>
          <w:tcPr>
            <w:tcW w:w="1501" w:type="dxa"/>
            <w:tcBorders>
              <w:top w:val="nil"/>
              <w:left w:val="nil"/>
              <w:bottom w:val="single" w:sz="8" w:space="0" w:color="auto"/>
              <w:right w:val="single" w:sz="8" w:space="0" w:color="auto"/>
            </w:tcBorders>
            <w:shd w:val="clear" w:color="auto" w:fill="auto"/>
            <w:vAlign w:val="center"/>
          </w:tcPr>
          <w:p w:rsidR="00DF4E0C" w:rsidRPr="00941EB5" w:rsidRDefault="007D7E3D" w:rsidP="00992B76">
            <w:pPr>
              <w:jc w:val="center"/>
              <w:rPr>
                <w:rFonts w:eastAsia="MS Mincho"/>
                <w:b/>
                <w:bCs/>
                <w:lang w:eastAsia="ja-JP"/>
              </w:rPr>
            </w:pPr>
            <w:r w:rsidRPr="00D1664F">
              <w:rPr>
                <w:rFonts w:eastAsia="MS Mincho"/>
                <w:b/>
                <w:bCs/>
                <w:lang w:eastAsia="ja-JP"/>
              </w:rPr>
              <w:t>$9</w:t>
            </w:r>
            <w:r w:rsidR="00764655" w:rsidRPr="00D1664F">
              <w:rPr>
                <w:rFonts w:eastAsia="MS Mincho"/>
                <w:b/>
                <w:bCs/>
                <w:lang w:eastAsia="ja-JP"/>
              </w:rPr>
              <w:t>,</w:t>
            </w:r>
            <w:r w:rsidRPr="00D1664F">
              <w:rPr>
                <w:rFonts w:eastAsia="MS Mincho"/>
                <w:b/>
                <w:bCs/>
                <w:lang w:eastAsia="ja-JP"/>
              </w:rPr>
              <w:t>572.20</w:t>
            </w:r>
          </w:p>
        </w:tc>
      </w:tr>
    </w:tbl>
    <w:p w:rsidR="006C4759" w:rsidRDefault="007C16BD" w:rsidP="00F742DE">
      <w:pPr>
        <w:pStyle w:val="a"/>
        <w:tabs>
          <w:tab w:val="left" w:pos="720"/>
        </w:tabs>
        <w:ind w:hanging="720"/>
        <w:rPr>
          <w:szCs w:val="24"/>
        </w:rPr>
      </w:pPr>
      <w:r w:rsidRPr="00D1664F">
        <w:rPr>
          <w:szCs w:val="24"/>
        </w:rPr>
        <w:tab/>
      </w:r>
    </w:p>
    <w:p w:rsidR="00DF4E0C" w:rsidRPr="002F67B5" w:rsidRDefault="006C4759" w:rsidP="00F742DE">
      <w:pPr>
        <w:pStyle w:val="a"/>
        <w:tabs>
          <w:tab w:val="left" w:pos="720"/>
        </w:tabs>
        <w:ind w:hanging="720"/>
        <w:rPr>
          <w:szCs w:val="24"/>
        </w:rPr>
      </w:pPr>
      <w:r>
        <w:rPr>
          <w:szCs w:val="24"/>
        </w:rPr>
        <w:lastRenderedPageBreak/>
        <w:tab/>
      </w:r>
      <w:r w:rsidR="00642938" w:rsidRPr="00D1664F">
        <w:rPr>
          <w:szCs w:val="24"/>
        </w:rPr>
        <w:t xml:space="preserve">Wages </w:t>
      </w:r>
      <w:r w:rsidR="009C5E3A" w:rsidRPr="00D1664F">
        <w:rPr>
          <w:szCs w:val="24"/>
        </w:rPr>
        <w:t xml:space="preserve">included for each category of respondents in this table </w:t>
      </w:r>
      <w:r w:rsidR="00642938" w:rsidRPr="00D1664F">
        <w:rPr>
          <w:szCs w:val="24"/>
        </w:rPr>
        <w:t xml:space="preserve">were calculated as averages </w:t>
      </w:r>
      <w:r w:rsidR="009C5E3A" w:rsidRPr="00D1664F">
        <w:rPr>
          <w:szCs w:val="24"/>
        </w:rPr>
        <w:t>for the</w:t>
      </w:r>
      <w:r w:rsidR="00642938" w:rsidRPr="00D1664F">
        <w:rPr>
          <w:szCs w:val="24"/>
        </w:rPr>
        <w:t xml:space="preserve"> </w:t>
      </w:r>
      <w:r w:rsidR="009C5E3A" w:rsidRPr="00D1664F">
        <w:rPr>
          <w:szCs w:val="24"/>
        </w:rPr>
        <w:t xml:space="preserve">aggregate </w:t>
      </w:r>
      <w:r w:rsidR="00642938" w:rsidRPr="00D1664F">
        <w:rPr>
          <w:szCs w:val="24"/>
        </w:rPr>
        <w:t>respondent</w:t>
      </w:r>
      <w:r w:rsidR="009C5E3A" w:rsidRPr="00D1664F">
        <w:rPr>
          <w:szCs w:val="24"/>
        </w:rPr>
        <w:t>s</w:t>
      </w:r>
      <w:r w:rsidR="00642938" w:rsidRPr="00D1664F">
        <w:rPr>
          <w:szCs w:val="24"/>
        </w:rPr>
        <w:t xml:space="preserve"> listed above based on data obtained from the </w:t>
      </w:r>
      <w:r w:rsidR="009C5E3A" w:rsidRPr="00D1664F">
        <w:rPr>
          <w:szCs w:val="24"/>
        </w:rPr>
        <w:t xml:space="preserve">2014 Current Population Survey obtained from the Bureau of Labor Statistics at </w:t>
      </w:r>
      <w:hyperlink r:id="rId10" w:history="1">
        <w:r w:rsidR="009C5E3A" w:rsidRPr="00D1664F">
          <w:rPr>
            <w:rStyle w:val="Hyperlink"/>
            <w:szCs w:val="24"/>
          </w:rPr>
          <w:t>http://www.bls.gov/cps/cpsaat39.pdf</w:t>
        </w:r>
      </w:hyperlink>
      <w:r w:rsidR="009C5E3A" w:rsidRPr="00D1664F">
        <w:rPr>
          <w:szCs w:val="24"/>
        </w:rPr>
        <w:t xml:space="preserve"> and</w:t>
      </w:r>
      <w:r w:rsidR="007C1249" w:rsidRPr="00D1664F">
        <w:rPr>
          <w:szCs w:val="24"/>
        </w:rPr>
        <w:t xml:space="preserve"> from</w:t>
      </w:r>
      <w:r w:rsidR="009C5E3A" w:rsidRPr="00D1664F">
        <w:rPr>
          <w:szCs w:val="24"/>
        </w:rPr>
        <w:t xml:space="preserve"> the 2015 NIH pre-doctoral stipend levels for </w:t>
      </w:r>
      <w:r w:rsidR="007C1249" w:rsidRPr="00D1664F">
        <w:rPr>
          <w:szCs w:val="24"/>
        </w:rPr>
        <w:t xml:space="preserve">graduate </w:t>
      </w:r>
      <w:r w:rsidR="009C5E3A" w:rsidRPr="00D1664F">
        <w:rPr>
          <w:szCs w:val="24"/>
        </w:rPr>
        <w:t xml:space="preserve">students available at: </w:t>
      </w:r>
      <w:hyperlink r:id="rId11" w:history="1">
        <w:r w:rsidR="009C5E3A" w:rsidRPr="00D1664F">
          <w:rPr>
            <w:rStyle w:val="Hyperlink"/>
            <w:szCs w:val="24"/>
          </w:rPr>
          <w:t>https://oma1.od.nih.gov/Manualchapters/person/2300-320-7/Appendices/Predoc15.PDF?PHPSESSID=6207461d0b4f0fea0eeaa4e400af15e4</w:t>
        </w:r>
      </w:hyperlink>
      <w:r w:rsidR="009C5E3A">
        <w:rPr>
          <w:szCs w:val="24"/>
        </w:rPr>
        <w:t xml:space="preserve"> </w:t>
      </w:r>
    </w:p>
    <w:p w:rsidR="007C16BD" w:rsidRPr="002F67B5" w:rsidRDefault="007C16BD" w:rsidP="00F742DE">
      <w:pPr>
        <w:rPr>
          <w:smallCaps/>
          <w:color w:val="FF0000"/>
        </w:rPr>
      </w:pPr>
    </w:p>
    <w:p w:rsidR="00DF4E0C" w:rsidRPr="002F67B5" w:rsidRDefault="0093431F" w:rsidP="00415C30">
      <w:pPr>
        <w:pStyle w:val="Heading2"/>
        <w:tabs>
          <w:tab w:val="clear" w:pos="1152"/>
          <w:tab w:val="left" w:pos="720"/>
        </w:tabs>
        <w:spacing w:after="0" w:line="240" w:lineRule="auto"/>
        <w:ind w:left="0" w:firstLine="0"/>
        <w:rPr>
          <w:i/>
        </w:rPr>
      </w:pPr>
      <w:bookmarkStart w:id="43" w:name="_Toc443881756"/>
      <w:bookmarkStart w:id="44" w:name="_Toc451592243"/>
      <w:bookmarkStart w:id="45" w:name="_Toc5610284"/>
      <w:bookmarkStart w:id="46" w:name="_Toc99178790"/>
      <w:r w:rsidRPr="002F67B5">
        <w:rPr>
          <w:sz w:val="24"/>
          <w:szCs w:val="24"/>
        </w:rPr>
        <w:t>A.13</w:t>
      </w:r>
      <w:r w:rsidRPr="002F67B5">
        <w:rPr>
          <w:sz w:val="24"/>
          <w:szCs w:val="24"/>
        </w:rPr>
        <w:tab/>
        <w:t>Estimate of Other Total Annual Cost</w:t>
      </w:r>
      <w:r w:rsidR="00BC4E67" w:rsidRPr="002F67B5">
        <w:rPr>
          <w:sz w:val="24"/>
          <w:szCs w:val="24"/>
        </w:rPr>
        <w:t xml:space="preserve"> Burden to Respondents or Record </w:t>
      </w:r>
      <w:r w:rsidRPr="002F67B5">
        <w:rPr>
          <w:sz w:val="24"/>
          <w:szCs w:val="24"/>
        </w:rPr>
        <w:t>Keepers</w:t>
      </w:r>
      <w:bookmarkEnd w:id="43"/>
      <w:bookmarkEnd w:id="44"/>
      <w:bookmarkEnd w:id="45"/>
      <w:bookmarkEnd w:id="46"/>
    </w:p>
    <w:p w:rsidR="00DF4E0C" w:rsidRPr="002F67B5" w:rsidRDefault="003054A3" w:rsidP="003054A3">
      <w:pPr>
        <w:ind w:left="720"/>
      </w:pPr>
      <w:r>
        <w:t>The</w:t>
      </w:r>
      <w:r w:rsidR="00B858E4">
        <w:t>re is no additional cost burden to the respondents or record keepers.</w:t>
      </w:r>
    </w:p>
    <w:p w:rsidR="0093431F" w:rsidRPr="002F67B5" w:rsidRDefault="0093431F" w:rsidP="00F742DE"/>
    <w:p w:rsidR="00E36A07" w:rsidRDefault="00E36A07" w:rsidP="00F742DE">
      <w:pPr>
        <w:pStyle w:val="Heading2"/>
        <w:tabs>
          <w:tab w:val="clear" w:pos="1152"/>
          <w:tab w:val="left" w:pos="720"/>
        </w:tabs>
        <w:spacing w:after="0" w:line="240" w:lineRule="auto"/>
        <w:ind w:left="0" w:firstLine="0"/>
        <w:rPr>
          <w:sz w:val="24"/>
          <w:szCs w:val="24"/>
        </w:rPr>
      </w:pPr>
      <w:bookmarkStart w:id="47" w:name="_Toc443881757"/>
      <w:bookmarkStart w:id="48" w:name="_Toc451592244"/>
      <w:bookmarkStart w:id="49" w:name="_Toc5610285"/>
      <w:bookmarkStart w:id="50" w:name="_Toc99178791"/>
      <w:r w:rsidRPr="00D1664F">
        <w:rPr>
          <w:sz w:val="24"/>
          <w:szCs w:val="24"/>
        </w:rPr>
        <w:t>A.14</w:t>
      </w:r>
      <w:r w:rsidRPr="00D1664F">
        <w:rPr>
          <w:sz w:val="24"/>
          <w:szCs w:val="24"/>
        </w:rPr>
        <w:tab/>
        <w:t>Annualized Cost to the Federal Government</w:t>
      </w:r>
      <w:bookmarkEnd w:id="47"/>
      <w:bookmarkEnd w:id="48"/>
      <w:bookmarkEnd w:id="49"/>
      <w:bookmarkEnd w:id="50"/>
      <w:r w:rsidRPr="002F67B5">
        <w:rPr>
          <w:sz w:val="24"/>
          <w:szCs w:val="24"/>
        </w:rPr>
        <w:t xml:space="preserve">  </w:t>
      </w:r>
    </w:p>
    <w:tbl>
      <w:tblPr>
        <w:tblW w:w="9522" w:type="dxa"/>
        <w:tblInd w:w="-465"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565C60" w:rsidRPr="001249FF" w:rsidTr="00DD35EC">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565C60" w:rsidRPr="001249FF" w:rsidRDefault="00565C60" w:rsidP="00DD35EC">
            <w:pPr>
              <w:jc w:val="center"/>
              <w:rPr>
                <w:rFonts w:eastAsia="Calibri"/>
                <w:b/>
                <w:bCs/>
                <w:color w:val="000000"/>
                <w:sz w:val="22"/>
                <w:szCs w:val="22"/>
              </w:rPr>
            </w:pPr>
            <w:r>
              <w:rPr>
                <w:b/>
                <w:bCs/>
                <w:color w:val="000000"/>
                <w:sz w:val="22"/>
                <w:szCs w:val="22"/>
              </w:rPr>
              <w:t>Cost Descriptions</w:t>
            </w:r>
          </w:p>
        </w:tc>
        <w:tc>
          <w:tcPr>
            <w:tcW w:w="1440" w:type="dxa"/>
            <w:tcBorders>
              <w:top w:val="single" w:sz="8" w:space="0" w:color="auto"/>
              <w:left w:val="nil"/>
              <w:bottom w:val="single" w:sz="8" w:space="0" w:color="auto"/>
              <w:right w:val="single" w:sz="8" w:space="0" w:color="auto"/>
            </w:tcBorders>
            <w:shd w:val="clear" w:color="auto" w:fill="auto"/>
            <w:vAlign w:val="bottom"/>
          </w:tcPr>
          <w:p w:rsidR="00565C60" w:rsidRPr="001249FF" w:rsidRDefault="00565C60" w:rsidP="00DD35EC">
            <w:pPr>
              <w:jc w:val="center"/>
              <w:rPr>
                <w:rFonts w:eastAsia="Calibri"/>
                <w:b/>
                <w:bCs/>
                <w:color w:val="1F497D"/>
                <w:sz w:val="22"/>
                <w:szCs w:val="22"/>
              </w:rPr>
            </w:pPr>
          </w:p>
          <w:p w:rsidR="00565C60" w:rsidRPr="001249FF" w:rsidRDefault="00565C60" w:rsidP="00DD35EC">
            <w:pPr>
              <w:jc w:val="center"/>
              <w:rPr>
                <w:rFonts w:eastAsia="Calibri"/>
                <w:b/>
                <w:bCs/>
                <w:color w:val="000000"/>
                <w:sz w:val="22"/>
                <w:szCs w:val="22"/>
              </w:rPr>
            </w:pPr>
            <w:r w:rsidRPr="001249FF">
              <w:rPr>
                <w:b/>
                <w:bCs/>
                <w:color w:val="000000"/>
                <w:sz w:val="22"/>
                <w:szCs w:val="22"/>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1249FF" w:rsidRDefault="00565C60" w:rsidP="00DD35EC">
            <w:pPr>
              <w:jc w:val="center"/>
              <w:rPr>
                <w:rFonts w:eastAsia="Calibri"/>
                <w:b/>
                <w:bCs/>
                <w:sz w:val="22"/>
                <w:szCs w:val="22"/>
              </w:rPr>
            </w:pPr>
            <w:r w:rsidRPr="001249FF">
              <w:rPr>
                <w:b/>
                <w:bCs/>
                <w:sz w:val="22"/>
                <w:szCs w:val="22"/>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565C60" w:rsidRPr="001249FF" w:rsidRDefault="00565C60" w:rsidP="00DD35EC">
            <w:pPr>
              <w:jc w:val="center"/>
              <w:rPr>
                <w:rFonts w:eastAsia="Calibri"/>
                <w:b/>
                <w:bCs/>
                <w:sz w:val="22"/>
                <w:szCs w:val="22"/>
              </w:rPr>
            </w:pPr>
            <w:r w:rsidRPr="001249FF">
              <w:rPr>
                <w:b/>
                <w:bCs/>
                <w:sz w:val="22"/>
                <w:szCs w:val="22"/>
              </w:rPr>
              <w:t>% of Effort</w:t>
            </w:r>
          </w:p>
        </w:tc>
        <w:tc>
          <w:tcPr>
            <w:tcW w:w="1363" w:type="dxa"/>
            <w:tcBorders>
              <w:top w:val="single" w:sz="8" w:space="0" w:color="auto"/>
              <w:left w:val="nil"/>
              <w:bottom w:val="single" w:sz="8" w:space="0" w:color="auto"/>
              <w:right w:val="single" w:sz="8" w:space="0" w:color="auto"/>
            </w:tcBorders>
            <w:shd w:val="clear" w:color="auto" w:fill="auto"/>
          </w:tcPr>
          <w:p w:rsidR="00565C60" w:rsidRPr="001249FF" w:rsidRDefault="00565C60" w:rsidP="00DD35EC">
            <w:pPr>
              <w:jc w:val="center"/>
              <w:rPr>
                <w:b/>
                <w:bCs/>
                <w:sz w:val="22"/>
                <w:szCs w:val="22"/>
              </w:rPr>
            </w:pPr>
            <w:r w:rsidRPr="001249FF">
              <w:rPr>
                <w:b/>
                <w:bCs/>
                <w:sz w:val="22"/>
                <w:szCs w:val="22"/>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565C60" w:rsidRPr="001249FF" w:rsidRDefault="00565C60" w:rsidP="00DD35EC">
            <w:pPr>
              <w:jc w:val="center"/>
              <w:rPr>
                <w:b/>
                <w:bCs/>
                <w:sz w:val="22"/>
                <w:szCs w:val="22"/>
              </w:rPr>
            </w:pPr>
            <w:r>
              <w:rPr>
                <w:b/>
                <w:bCs/>
                <w:sz w:val="22"/>
                <w:szCs w:val="22"/>
              </w:rPr>
              <w:t>Total C</w:t>
            </w:r>
            <w:r w:rsidRPr="001249FF">
              <w:rPr>
                <w:b/>
                <w:bCs/>
                <w:sz w:val="22"/>
                <w:szCs w:val="22"/>
              </w:rPr>
              <w:t>ost to Gov’t</w:t>
            </w:r>
          </w:p>
        </w:tc>
      </w:tr>
      <w:tr w:rsidR="00565C60" w:rsidRPr="001249FF"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b/>
                <w:color w:val="000000"/>
                <w:sz w:val="22"/>
                <w:szCs w:val="22"/>
                <w:highlight w:val="yellow"/>
              </w:rPr>
            </w:pPr>
            <w:r w:rsidRPr="001249FF">
              <w:rPr>
                <w:rFonts w:eastAsia="Calibri"/>
                <w:b/>
                <w:color w:val="000000"/>
                <w:sz w:val="22"/>
                <w:szCs w:val="22"/>
              </w:rPr>
              <w:t>Federal Oversight</w:t>
            </w:r>
          </w:p>
        </w:tc>
        <w:tc>
          <w:tcPr>
            <w:tcW w:w="1440" w:type="dxa"/>
            <w:tcBorders>
              <w:top w:val="nil"/>
              <w:left w:val="nil"/>
              <w:bottom w:val="single" w:sz="8" w:space="0" w:color="auto"/>
              <w:right w:val="single" w:sz="8" w:space="0" w:color="auto"/>
            </w:tcBorders>
            <w:shd w:val="pct20" w:color="auto" w:fill="auto"/>
          </w:tcPr>
          <w:p w:rsidR="00565C60" w:rsidRPr="001249FF" w:rsidRDefault="00565C60" w:rsidP="00DD35EC">
            <w:pPr>
              <w:jc w:val="right"/>
              <w:rPr>
                <w:rFonts w:eastAsia="Calibri"/>
                <w:color w:val="000000"/>
                <w:sz w:val="22"/>
                <w:szCs w:val="22"/>
                <w:highlight w:val="yellow"/>
              </w:rPr>
            </w:pPr>
          </w:p>
        </w:tc>
        <w:tc>
          <w:tcPr>
            <w:tcW w:w="126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shd w:val="clear" w:color="auto" w:fill="BFBFBF"/>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shd w:val="pct20" w:color="auto" w:fill="auto"/>
          </w:tcPr>
          <w:p w:rsidR="00565C60" w:rsidRPr="001249FF" w:rsidRDefault="00565C60" w:rsidP="00DD35EC">
            <w:pPr>
              <w:rPr>
                <w:sz w:val="22"/>
                <w:szCs w:val="22"/>
              </w:rPr>
            </w:pPr>
          </w:p>
        </w:tc>
      </w:tr>
      <w:tr w:rsidR="00565C60" w:rsidRPr="001249FF"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r>
              <w:rPr>
                <w:rFonts w:eastAsia="Calibri"/>
                <w:sz w:val="22"/>
                <w:szCs w:val="22"/>
              </w:rPr>
              <w:t>Survey Administrator</w:t>
            </w:r>
          </w:p>
        </w:tc>
        <w:tc>
          <w:tcPr>
            <w:tcW w:w="1440" w:type="dxa"/>
            <w:tcBorders>
              <w:top w:val="nil"/>
              <w:left w:val="nil"/>
              <w:bottom w:val="single" w:sz="8" w:space="0" w:color="auto"/>
              <w:right w:val="single" w:sz="8" w:space="0" w:color="auto"/>
            </w:tcBorders>
          </w:tcPr>
          <w:p w:rsidR="00565C60" w:rsidRPr="001249FF" w:rsidRDefault="00565C60" w:rsidP="00764655">
            <w:pPr>
              <w:rPr>
                <w:rFonts w:eastAsia="Calibri"/>
                <w:sz w:val="22"/>
                <w:szCs w:val="22"/>
              </w:rPr>
            </w:pPr>
            <w:r>
              <w:rPr>
                <w:rFonts w:eastAsia="Calibri"/>
                <w:sz w:val="22"/>
                <w:szCs w:val="22"/>
              </w:rPr>
              <w:t>GS 09</w:t>
            </w:r>
            <w:r w:rsidR="00764655">
              <w:rPr>
                <w:rFonts w:eastAsia="Calibri"/>
                <w:sz w:val="22"/>
                <w:szCs w:val="22"/>
              </w:rPr>
              <w:t>/0</w:t>
            </w:r>
            <w:r>
              <w:rPr>
                <w:rFonts w:eastAsia="Calibri"/>
                <w:sz w:val="22"/>
                <w:szCs w:val="22"/>
              </w:rP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r>
              <w:rPr>
                <w:rFonts w:eastAsia="Calibri"/>
                <w:sz w:val="22"/>
                <w:szCs w:val="22"/>
              </w:rPr>
              <w:t>$52,668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r>
              <w:rPr>
                <w:rFonts w:eastAsia="Calibri"/>
                <w:sz w:val="22"/>
                <w:szCs w:val="22"/>
              </w:rPr>
              <w:t>10</w:t>
            </w:r>
          </w:p>
        </w:tc>
        <w:tc>
          <w:tcPr>
            <w:tcW w:w="1363" w:type="dxa"/>
            <w:tcBorders>
              <w:top w:val="nil"/>
              <w:left w:val="nil"/>
              <w:bottom w:val="single" w:sz="8" w:space="0" w:color="auto"/>
              <w:right w:val="single" w:sz="8" w:space="0" w:color="auto"/>
            </w:tcBorders>
            <w:shd w:val="clear" w:color="auto" w:fill="BFBFBF"/>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tcPr>
          <w:p w:rsidR="00565C60" w:rsidRPr="001249FF" w:rsidRDefault="00565C60" w:rsidP="00DD35EC">
            <w:pPr>
              <w:rPr>
                <w:sz w:val="22"/>
                <w:szCs w:val="22"/>
              </w:rPr>
            </w:pPr>
            <w:r>
              <w:rPr>
                <w:sz w:val="22"/>
                <w:szCs w:val="22"/>
              </w:rPr>
              <w:t>$5, 267</w:t>
            </w:r>
          </w:p>
        </w:tc>
      </w:tr>
      <w:tr w:rsidR="00565C60" w:rsidRPr="001249FF"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440" w:type="dxa"/>
            <w:tcBorders>
              <w:top w:val="nil"/>
              <w:left w:val="nil"/>
              <w:bottom w:val="single" w:sz="8" w:space="0" w:color="auto"/>
              <w:right w:val="single" w:sz="8" w:space="0" w:color="auto"/>
            </w:tcBorders>
          </w:tcPr>
          <w:p w:rsidR="00565C60" w:rsidRPr="001249FF" w:rsidRDefault="00565C60" w:rsidP="00DD35EC">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jc w:val="both"/>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tcPr>
          <w:p w:rsidR="00565C60" w:rsidRPr="001249FF" w:rsidRDefault="00565C60" w:rsidP="00DD35EC">
            <w:pPr>
              <w:rPr>
                <w:sz w:val="22"/>
                <w:szCs w:val="22"/>
              </w:rPr>
            </w:pPr>
          </w:p>
        </w:tc>
      </w:tr>
      <w:tr w:rsidR="00565C60" w:rsidRPr="001249FF"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440" w:type="dxa"/>
            <w:tcBorders>
              <w:top w:val="nil"/>
              <w:left w:val="nil"/>
              <w:bottom w:val="single" w:sz="8" w:space="0" w:color="auto"/>
              <w:right w:val="single" w:sz="8" w:space="0" w:color="auto"/>
            </w:tcBorders>
          </w:tcPr>
          <w:p w:rsidR="00565C60" w:rsidRPr="001249FF" w:rsidRDefault="00565C60" w:rsidP="00DD35EC">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tcPr>
          <w:p w:rsidR="00565C60" w:rsidRPr="001249FF" w:rsidRDefault="00565C60" w:rsidP="00DD35EC">
            <w:pPr>
              <w:rPr>
                <w:sz w:val="22"/>
                <w:szCs w:val="22"/>
              </w:rPr>
            </w:pPr>
          </w:p>
        </w:tc>
      </w:tr>
      <w:tr w:rsidR="00565C60" w:rsidRPr="001249FF"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b/>
                <w:sz w:val="22"/>
                <w:szCs w:val="22"/>
              </w:rPr>
            </w:pPr>
            <w:r>
              <w:rPr>
                <w:rFonts w:eastAsia="Calibri"/>
                <w:b/>
                <w:sz w:val="22"/>
                <w:szCs w:val="22"/>
              </w:rPr>
              <w:t>Contractor C</w:t>
            </w:r>
            <w:r w:rsidRPr="001249FF">
              <w:rPr>
                <w:rFonts w:eastAsia="Calibri"/>
                <w:b/>
                <w:sz w:val="22"/>
                <w:szCs w:val="22"/>
              </w:rPr>
              <w:t>ost</w:t>
            </w:r>
          </w:p>
        </w:tc>
        <w:tc>
          <w:tcPr>
            <w:tcW w:w="1440" w:type="dxa"/>
            <w:tcBorders>
              <w:top w:val="nil"/>
              <w:left w:val="nil"/>
              <w:bottom w:val="single" w:sz="8" w:space="0" w:color="auto"/>
              <w:right w:val="single" w:sz="8" w:space="0" w:color="auto"/>
            </w:tcBorders>
            <w:shd w:val="clear" w:color="auto" w:fill="BFBFBF"/>
          </w:tcPr>
          <w:p w:rsidR="00565C60" w:rsidRPr="001249FF" w:rsidRDefault="00565C60" w:rsidP="00DD35EC">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764655" w:rsidP="00DD35EC">
            <w:pPr>
              <w:rPr>
                <w:rFonts w:eastAsia="Calibri"/>
                <w:sz w:val="22"/>
                <w:szCs w:val="22"/>
              </w:rPr>
            </w:pPr>
            <w:r>
              <w:rPr>
                <w:rFonts w:eastAsia="Calibri"/>
                <w:sz w:val="22"/>
                <w:szCs w:val="22"/>
              </w:rPr>
              <w:t>$0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363" w:type="dxa"/>
            <w:tcBorders>
              <w:top w:val="nil"/>
              <w:left w:val="nil"/>
              <w:bottom w:val="single" w:sz="8" w:space="0" w:color="auto"/>
              <w:right w:val="single" w:sz="8" w:space="0" w:color="auto"/>
            </w:tcBorders>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tcPr>
          <w:p w:rsidR="00565C60" w:rsidRPr="001249FF" w:rsidRDefault="00565C60" w:rsidP="00DD35EC">
            <w:pPr>
              <w:rPr>
                <w:sz w:val="22"/>
                <w:szCs w:val="22"/>
              </w:rPr>
            </w:pPr>
          </w:p>
        </w:tc>
      </w:tr>
      <w:tr w:rsidR="00565C60" w:rsidRPr="001249FF"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440" w:type="dxa"/>
            <w:tcBorders>
              <w:top w:val="nil"/>
              <w:left w:val="nil"/>
              <w:bottom w:val="single" w:sz="8" w:space="0" w:color="auto"/>
              <w:right w:val="single" w:sz="8" w:space="0" w:color="auto"/>
            </w:tcBorders>
          </w:tcPr>
          <w:p w:rsidR="00565C60" w:rsidRPr="001249FF" w:rsidRDefault="00565C60" w:rsidP="00DD35EC">
            <w:pPr>
              <w:rPr>
                <w:rFonts w:eastAsia="Calibri"/>
                <w:sz w:val="22"/>
                <w:szCs w:val="22"/>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363" w:type="dxa"/>
            <w:tcBorders>
              <w:top w:val="nil"/>
              <w:left w:val="nil"/>
              <w:bottom w:val="single" w:sz="8" w:space="0" w:color="auto"/>
              <w:right w:val="single" w:sz="8" w:space="0" w:color="auto"/>
            </w:tcBorders>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tcPr>
          <w:p w:rsidR="00565C60" w:rsidRPr="001249FF" w:rsidRDefault="00565C60" w:rsidP="00DD35EC">
            <w:pPr>
              <w:rPr>
                <w:sz w:val="22"/>
                <w:szCs w:val="22"/>
              </w:rPr>
            </w:pPr>
          </w:p>
        </w:tc>
      </w:tr>
      <w:tr w:rsidR="00565C60" w:rsidRPr="001249FF"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65C60" w:rsidRPr="001249FF" w:rsidRDefault="00565C60" w:rsidP="00DD35EC">
            <w:pPr>
              <w:rPr>
                <w:rFonts w:eastAsia="Calibri"/>
                <w:sz w:val="22"/>
                <w:szCs w:val="22"/>
              </w:rPr>
            </w:pPr>
            <w:r>
              <w:rPr>
                <w:rFonts w:eastAsia="Calibri"/>
                <w:sz w:val="22"/>
                <w:szCs w:val="22"/>
              </w:rPr>
              <w:t>Travel</w:t>
            </w:r>
          </w:p>
        </w:tc>
        <w:tc>
          <w:tcPr>
            <w:tcW w:w="1440" w:type="dxa"/>
            <w:tcBorders>
              <w:top w:val="nil"/>
              <w:left w:val="nil"/>
              <w:bottom w:val="single" w:sz="8" w:space="0" w:color="auto"/>
              <w:right w:val="single" w:sz="8" w:space="0" w:color="auto"/>
            </w:tcBorders>
            <w:shd w:val="clear" w:color="auto" w:fill="BFBFBF"/>
          </w:tcPr>
          <w:p w:rsidR="00565C60" w:rsidRPr="001249FF" w:rsidRDefault="00565C60" w:rsidP="00DD35EC">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1249FF" w:rsidRDefault="00565C60" w:rsidP="00DD35EC">
            <w:pPr>
              <w:rPr>
                <w:rFonts w:eastAsia="Calibri"/>
                <w:sz w:val="22"/>
                <w:szCs w:val="22"/>
              </w:rPr>
            </w:pPr>
          </w:p>
        </w:tc>
        <w:tc>
          <w:tcPr>
            <w:tcW w:w="1363" w:type="dxa"/>
            <w:tcBorders>
              <w:top w:val="nil"/>
              <w:left w:val="nil"/>
              <w:bottom w:val="single" w:sz="8" w:space="0" w:color="auto"/>
              <w:right w:val="single" w:sz="8" w:space="0" w:color="auto"/>
            </w:tcBorders>
            <w:shd w:val="clear" w:color="auto" w:fill="BFBFBF"/>
          </w:tcPr>
          <w:p w:rsidR="00565C60" w:rsidRPr="001249FF" w:rsidRDefault="00565C60" w:rsidP="00DD35EC">
            <w:pPr>
              <w:rPr>
                <w:sz w:val="22"/>
                <w:szCs w:val="22"/>
              </w:rPr>
            </w:pPr>
          </w:p>
        </w:tc>
        <w:tc>
          <w:tcPr>
            <w:tcW w:w="1363" w:type="dxa"/>
            <w:tcBorders>
              <w:top w:val="nil"/>
              <w:left w:val="nil"/>
              <w:bottom w:val="single" w:sz="8" w:space="0" w:color="auto"/>
              <w:right w:val="single" w:sz="8" w:space="0" w:color="auto"/>
            </w:tcBorders>
          </w:tcPr>
          <w:p w:rsidR="00565C60" w:rsidRPr="001249FF" w:rsidRDefault="00565C60" w:rsidP="00DD35EC">
            <w:pPr>
              <w:rPr>
                <w:sz w:val="22"/>
                <w:szCs w:val="22"/>
              </w:rPr>
            </w:pPr>
          </w:p>
        </w:tc>
      </w:tr>
      <w:tr w:rsidR="00565C60" w:rsidRPr="00D1664F" w:rsidTr="00DD35EC">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565C60" w:rsidRPr="00D1664F" w:rsidRDefault="004A00FA" w:rsidP="004A00FA">
            <w:pPr>
              <w:rPr>
                <w:rFonts w:eastAsia="Calibri"/>
                <w:bCs/>
                <w:color w:val="000000"/>
                <w:sz w:val="22"/>
                <w:szCs w:val="22"/>
              </w:rPr>
            </w:pPr>
            <w:r w:rsidRPr="00941EB5">
              <w:rPr>
                <w:b/>
                <w:bCs/>
                <w:color w:val="000000"/>
              </w:rPr>
              <w:t>Other operational costs</w:t>
            </w:r>
            <w:r w:rsidRPr="00941EB5">
              <w:rPr>
                <w:color w:val="000000"/>
              </w:rPr>
              <w:t xml:space="preserve"> – technology fees, on-line survey maintenance and distribution</w:t>
            </w:r>
            <w:r w:rsidR="00764655" w:rsidRPr="00D1664F">
              <w:rPr>
                <w:color w:val="000000"/>
              </w:rPr>
              <w:t xml:space="preserve"> costs</w:t>
            </w:r>
            <w:r w:rsidRPr="00D1664F">
              <w:rPr>
                <w:color w:val="000000"/>
              </w:rPr>
              <w:t>, and data analysis</w:t>
            </w:r>
            <w:r w:rsidR="00764655" w:rsidRPr="00D1664F">
              <w:rPr>
                <w:color w:val="000000"/>
              </w:rPr>
              <w:t xml:space="preserve"> costs</w:t>
            </w:r>
          </w:p>
        </w:tc>
        <w:tc>
          <w:tcPr>
            <w:tcW w:w="1440" w:type="dxa"/>
            <w:tcBorders>
              <w:top w:val="nil"/>
              <w:left w:val="nil"/>
              <w:bottom w:val="single" w:sz="8" w:space="0" w:color="auto"/>
              <w:right w:val="single" w:sz="8" w:space="0" w:color="auto"/>
            </w:tcBorders>
            <w:shd w:val="clear" w:color="auto" w:fill="BFBFBF"/>
          </w:tcPr>
          <w:p w:rsidR="00565C60" w:rsidRPr="00D1664F" w:rsidRDefault="00565C60" w:rsidP="00DD35EC">
            <w:pPr>
              <w:rPr>
                <w:rFonts w:eastAsia="Calibri"/>
                <w:sz w:val="22"/>
                <w:szCs w:val="22"/>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565C60" w:rsidRPr="00D1664F" w:rsidRDefault="00565C60" w:rsidP="00DD35EC">
            <w:pPr>
              <w:rPr>
                <w:sz w:val="22"/>
                <w:szCs w:val="22"/>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565C60" w:rsidRPr="00D1664F" w:rsidRDefault="00565C60" w:rsidP="00DD35EC">
            <w:pPr>
              <w:rPr>
                <w:rFonts w:eastAsia="Calibri"/>
                <w:b/>
                <w:sz w:val="22"/>
                <w:szCs w:val="22"/>
              </w:rPr>
            </w:pPr>
          </w:p>
        </w:tc>
        <w:tc>
          <w:tcPr>
            <w:tcW w:w="1363" w:type="dxa"/>
            <w:tcBorders>
              <w:top w:val="nil"/>
              <w:left w:val="nil"/>
              <w:bottom w:val="single" w:sz="8" w:space="0" w:color="auto"/>
              <w:right w:val="single" w:sz="8" w:space="0" w:color="auto"/>
            </w:tcBorders>
            <w:shd w:val="clear" w:color="auto" w:fill="BFBFBF"/>
          </w:tcPr>
          <w:p w:rsidR="00565C60" w:rsidRPr="00D1664F" w:rsidRDefault="00565C60" w:rsidP="00DD35EC">
            <w:pPr>
              <w:rPr>
                <w:b/>
                <w:sz w:val="22"/>
                <w:szCs w:val="22"/>
              </w:rPr>
            </w:pPr>
          </w:p>
        </w:tc>
        <w:tc>
          <w:tcPr>
            <w:tcW w:w="1363" w:type="dxa"/>
            <w:tcBorders>
              <w:top w:val="nil"/>
              <w:left w:val="nil"/>
              <w:bottom w:val="single" w:sz="8" w:space="0" w:color="auto"/>
              <w:right w:val="single" w:sz="8" w:space="0" w:color="auto"/>
            </w:tcBorders>
          </w:tcPr>
          <w:p w:rsidR="00565C60" w:rsidRPr="00D1664F" w:rsidRDefault="00565C60" w:rsidP="00DD35EC">
            <w:pPr>
              <w:rPr>
                <w:b/>
                <w:sz w:val="22"/>
                <w:szCs w:val="22"/>
              </w:rPr>
            </w:pPr>
          </w:p>
          <w:p w:rsidR="004A00FA" w:rsidRPr="00D1664F" w:rsidRDefault="004A00FA" w:rsidP="00DD35EC">
            <w:pPr>
              <w:rPr>
                <w:b/>
                <w:sz w:val="22"/>
                <w:szCs w:val="22"/>
              </w:rPr>
            </w:pPr>
          </w:p>
          <w:p w:rsidR="004A00FA" w:rsidRPr="00941EB5" w:rsidRDefault="004A00FA" w:rsidP="00DD35EC">
            <w:pPr>
              <w:rPr>
                <w:b/>
                <w:sz w:val="22"/>
                <w:szCs w:val="22"/>
              </w:rPr>
            </w:pPr>
            <w:r w:rsidRPr="00D1664F">
              <w:rPr>
                <w:b/>
                <w:sz w:val="22"/>
                <w:szCs w:val="22"/>
              </w:rPr>
              <w:t>$57,695</w:t>
            </w:r>
          </w:p>
        </w:tc>
      </w:tr>
      <w:tr w:rsidR="004A00FA" w:rsidTr="00764655">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4A00FA" w:rsidRPr="00D1664F" w:rsidRDefault="004A00FA" w:rsidP="00DD35EC">
            <w:pPr>
              <w:rPr>
                <w:sz w:val="20"/>
                <w:szCs w:val="20"/>
              </w:rPr>
            </w:pPr>
            <w:r w:rsidRPr="00D1664F">
              <w:rPr>
                <w:b/>
                <w:bCs/>
              </w:rPr>
              <w:t>Total</w:t>
            </w:r>
          </w:p>
        </w:tc>
        <w:tc>
          <w:tcPr>
            <w:tcW w:w="1440" w:type="dxa"/>
            <w:tcBorders>
              <w:top w:val="nil"/>
              <w:left w:val="nil"/>
              <w:bottom w:val="single" w:sz="8" w:space="0" w:color="auto"/>
              <w:right w:val="single" w:sz="8" w:space="0" w:color="auto"/>
            </w:tcBorders>
          </w:tcPr>
          <w:p w:rsidR="004A00FA" w:rsidRPr="00D1664F" w:rsidRDefault="004A00FA" w:rsidP="00DD35EC">
            <w:pPr>
              <w:rPr>
                <w:rFonts w:eastAsia="Calibr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hideMark/>
          </w:tcPr>
          <w:p w:rsidR="004A00FA" w:rsidRPr="00D1664F" w:rsidRDefault="004A00FA" w:rsidP="00DD35EC">
            <w:pPr>
              <w:rPr>
                <w:sz w:val="20"/>
                <w:szCs w:val="20"/>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hideMark/>
          </w:tcPr>
          <w:p w:rsidR="004A00FA" w:rsidRPr="00D1664F" w:rsidRDefault="004A00FA" w:rsidP="00DD35EC">
            <w:pPr>
              <w:rPr>
                <w:sz w:val="20"/>
                <w:szCs w:val="20"/>
              </w:rPr>
            </w:pPr>
          </w:p>
        </w:tc>
        <w:tc>
          <w:tcPr>
            <w:tcW w:w="1363" w:type="dxa"/>
            <w:tcBorders>
              <w:top w:val="nil"/>
              <w:left w:val="nil"/>
              <w:bottom w:val="single" w:sz="8" w:space="0" w:color="auto"/>
              <w:right w:val="single" w:sz="8" w:space="0" w:color="auto"/>
            </w:tcBorders>
          </w:tcPr>
          <w:p w:rsidR="004A00FA" w:rsidRPr="00D1664F" w:rsidRDefault="004A00FA" w:rsidP="00DD35EC">
            <w:pPr>
              <w:rPr>
                <w:sz w:val="20"/>
                <w:szCs w:val="20"/>
              </w:rPr>
            </w:pPr>
          </w:p>
        </w:tc>
        <w:tc>
          <w:tcPr>
            <w:tcW w:w="1363" w:type="dxa"/>
            <w:tcBorders>
              <w:top w:val="nil"/>
              <w:left w:val="nil"/>
              <w:bottom w:val="single" w:sz="8" w:space="0" w:color="auto"/>
              <w:right w:val="single" w:sz="8" w:space="0" w:color="auto"/>
            </w:tcBorders>
          </w:tcPr>
          <w:p w:rsidR="004A00FA" w:rsidRDefault="004A00FA" w:rsidP="004A00FA">
            <w:pPr>
              <w:rPr>
                <w:sz w:val="20"/>
                <w:szCs w:val="20"/>
              </w:rPr>
            </w:pPr>
            <w:r w:rsidRPr="00D1664F">
              <w:rPr>
                <w:b/>
                <w:bCs/>
              </w:rPr>
              <w:t>$62,962</w:t>
            </w:r>
          </w:p>
        </w:tc>
      </w:tr>
    </w:tbl>
    <w:p w:rsidR="006C4759" w:rsidRDefault="006C4759" w:rsidP="00F742DE">
      <w:pPr>
        <w:pStyle w:val="Heading2"/>
        <w:tabs>
          <w:tab w:val="clear" w:pos="1152"/>
          <w:tab w:val="left" w:pos="720"/>
        </w:tabs>
        <w:spacing w:after="0" w:line="240" w:lineRule="auto"/>
        <w:ind w:left="0" w:firstLine="0"/>
        <w:rPr>
          <w:sz w:val="24"/>
          <w:szCs w:val="24"/>
        </w:rPr>
      </w:pPr>
      <w:bookmarkStart w:id="51" w:name="_Toc443881758"/>
      <w:bookmarkStart w:id="52" w:name="_Toc451592245"/>
      <w:bookmarkStart w:id="53" w:name="_Toc5610286"/>
      <w:bookmarkStart w:id="54" w:name="_Toc99178792"/>
    </w:p>
    <w:p w:rsidR="00E36A07" w:rsidRPr="00D1664F" w:rsidRDefault="00E36A07" w:rsidP="00F742DE">
      <w:pPr>
        <w:pStyle w:val="Heading2"/>
        <w:tabs>
          <w:tab w:val="clear" w:pos="1152"/>
          <w:tab w:val="left" w:pos="720"/>
        </w:tabs>
        <w:spacing w:after="0" w:line="240" w:lineRule="auto"/>
        <w:ind w:left="0" w:firstLine="0"/>
        <w:rPr>
          <w:sz w:val="24"/>
          <w:szCs w:val="24"/>
        </w:rPr>
      </w:pPr>
      <w:r w:rsidRPr="00D1664F">
        <w:rPr>
          <w:sz w:val="24"/>
          <w:szCs w:val="24"/>
        </w:rPr>
        <w:t>A.15</w:t>
      </w:r>
      <w:r w:rsidRPr="00D1664F">
        <w:rPr>
          <w:sz w:val="24"/>
          <w:szCs w:val="24"/>
        </w:rPr>
        <w:tab/>
        <w:t>Explanation for Program Changes or Adjustments</w:t>
      </w:r>
      <w:bookmarkEnd w:id="51"/>
      <w:bookmarkEnd w:id="52"/>
      <w:bookmarkEnd w:id="53"/>
      <w:bookmarkEnd w:id="54"/>
    </w:p>
    <w:p w:rsidR="00F15BAE" w:rsidRPr="00D1664F" w:rsidRDefault="00F15BAE" w:rsidP="00F742DE"/>
    <w:p w:rsidR="00C81031" w:rsidRPr="00131960" w:rsidRDefault="00C81031" w:rsidP="00C81031">
      <w:pPr>
        <w:ind w:left="720"/>
      </w:pPr>
      <w:r w:rsidRPr="00131960">
        <w:t>This is an ongoing project with a request for revision. The request for revision includes the survey tools previously approved by the OMB with modifications of the NIH-Duke Program</w:t>
      </w:r>
      <w:r>
        <w:t xml:space="preserve">, the Introduction to the Principles and Practice of Clinical Research, and the Principles of Clinical Pharmacology Programs; </w:t>
      </w:r>
      <w:r w:rsidRPr="00131960">
        <w:t xml:space="preserve">the addition of 3- and 5-year surveys for the </w:t>
      </w:r>
      <w:r w:rsidRPr="00131960">
        <w:rPr>
          <w:iCs/>
        </w:rPr>
        <w:t>Ph.D. Student Summer Course in Clinical and Translational Research, the Summer Internship Program, and the Sabbatical Program</w:t>
      </w:r>
      <w:r>
        <w:rPr>
          <w:iCs/>
        </w:rPr>
        <w:t>; and the discontinuation of the Resident Elective Program Survey</w:t>
      </w:r>
      <w:r w:rsidRPr="00131960">
        <w:rPr>
          <w:iCs/>
        </w:rPr>
        <w:t xml:space="preserve">. </w:t>
      </w:r>
      <w:r w:rsidRPr="00131960">
        <w:t xml:space="preserve">The NIH-Duke Survey is being modified to incorporate more appropriate and specific questions about program alumni outcomes. The modifications made to this survey will reflect questions currently included in the MRSP/CRTP survey, which have been previously approved. As cited previously, the 1-year alumni survey for the Introduction to the Principles and Practice of Clinical Research Course and the Principles of Clinical Pharmacology Course </w:t>
      </w:r>
      <w:r>
        <w:t>will be discontinued and</w:t>
      </w:r>
      <w:r w:rsidRPr="00131960">
        <w:t xml:space="preserve"> converted to </w:t>
      </w:r>
      <w:r>
        <w:lastRenderedPageBreak/>
        <w:t xml:space="preserve">participant </w:t>
      </w:r>
      <w:r w:rsidRPr="00131960">
        <w:t>evaluation</w:t>
      </w:r>
      <w:r>
        <w:t xml:space="preserve">s </w:t>
      </w:r>
      <w:r w:rsidRPr="00131960">
        <w:t xml:space="preserve">administered </w:t>
      </w:r>
      <w:r>
        <w:t xml:space="preserve">on-line annually </w:t>
      </w:r>
      <w:r w:rsidRPr="00131960">
        <w:t xml:space="preserve">at the </w:t>
      </w:r>
      <w:r>
        <w:t>completion</w:t>
      </w:r>
      <w:r w:rsidRPr="00131960">
        <w:t xml:space="preserve"> of each course.</w:t>
      </w:r>
    </w:p>
    <w:p w:rsidR="00C81031" w:rsidRPr="00131960" w:rsidRDefault="00C81031" w:rsidP="00C81031">
      <w:pPr>
        <w:ind w:left="720"/>
      </w:pPr>
    </w:p>
    <w:p w:rsidR="00C81031" w:rsidRDefault="00C81031" w:rsidP="00C81031">
      <w:pPr>
        <w:spacing w:after="120"/>
        <w:ind w:left="720"/>
      </w:pPr>
      <w:r>
        <w:t>Based on OCRTME program participant data collected during calendar year 2015, the modification of the surveys described above would be burden-neutral (not adding or reducing hours for respondents). The addition of the 6 new surveys, however, would add 37 hours and 40 minutes annually to the participant burden but be offset, in large part, by a 23 hour, 40 minute decrease in burden achieved through the discontinuation of the Resident Elective Program survey.</w:t>
      </w:r>
    </w:p>
    <w:p w:rsidR="007C1249" w:rsidRPr="00D00E9E" w:rsidRDefault="007C1249" w:rsidP="006B7BCA">
      <w:pPr>
        <w:ind w:left="720"/>
        <w:rPr>
          <w:highlight w:val="yellow"/>
        </w:rPr>
      </w:pPr>
    </w:p>
    <w:p w:rsidR="007C1249" w:rsidRPr="006B7BCA" w:rsidRDefault="00D00E9E" w:rsidP="006B7BCA">
      <w:pPr>
        <w:ind w:left="720"/>
      </w:pPr>
      <w:r w:rsidRPr="0091069F">
        <w:t xml:space="preserve">With this </w:t>
      </w:r>
      <w:r w:rsidR="00C81031" w:rsidRPr="0091069F">
        <w:t xml:space="preserve">request for </w:t>
      </w:r>
      <w:r w:rsidRPr="0091069F">
        <w:t>revision</w:t>
      </w:r>
      <w:r w:rsidR="007C1249" w:rsidRPr="0091069F">
        <w:t xml:space="preserve">, </w:t>
      </w:r>
      <w:r w:rsidR="00C81031" w:rsidRPr="0091069F">
        <w:t>the net results would be an increase in the</w:t>
      </w:r>
      <w:r w:rsidR="007C1249" w:rsidRPr="0091069F">
        <w:t xml:space="preserve"> estimated number of </w:t>
      </w:r>
      <w:r w:rsidR="00C81031" w:rsidRPr="0091069F">
        <w:t xml:space="preserve">total </w:t>
      </w:r>
      <w:r w:rsidR="007C1249" w:rsidRPr="0091069F">
        <w:t xml:space="preserve">survey respondents </w:t>
      </w:r>
      <w:r w:rsidRPr="0091069F">
        <w:t>from 785</w:t>
      </w:r>
      <w:r w:rsidR="007B3C91" w:rsidRPr="0091069F">
        <w:t xml:space="preserve"> to 960 respondents</w:t>
      </w:r>
      <w:r w:rsidR="00C81031" w:rsidRPr="0091069F">
        <w:t xml:space="preserve"> annually,</w:t>
      </w:r>
      <w:r w:rsidR="007B3C91" w:rsidRPr="0091069F">
        <w:t xml:space="preserve"> and </w:t>
      </w:r>
      <w:r w:rsidR="00C81031" w:rsidRPr="0091069F">
        <w:t xml:space="preserve">an increase in </w:t>
      </w:r>
      <w:r w:rsidRPr="0091069F">
        <w:t xml:space="preserve">the estimated total </w:t>
      </w:r>
      <w:r w:rsidR="00C81031" w:rsidRPr="0091069F">
        <w:t xml:space="preserve">hour </w:t>
      </w:r>
      <w:r w:rsidRPr="0091069F">
        <w:t xml:space="preserve">burden 261 </w:t>
      </w:r>
      <w:r w:rsidR="007B3C91" w:rsidRPr="0091069F">
        <w:t>to 320 hours</w:t>
      </w:r>
      <w:r w:rsidR="0091069F">
        <w:t xml:space="preserve"> </w:t>
      </w:r>
      <w:r w:rsidR="00C81031" w:rsidRPr="0091069F">
        <w:t>annually</w:t>
      </w:r>
      <w:r w:rsidR="007C1249" w:rsidRPr="0091069F">
        <w:t>.</w:t>
      </w:r>
      <w:r w:rsidR="007C1249">
        <w:t xml:space="preserve"> </w:t>
      </w:r>
    </w:p>
    <w:p w:rsidR="004344F6" w:rsidRDefault="004344F6" w:rsidP="00F742DE"/>
    <w:p w:rsidR="00807E31" w:rsidRPr="002F67B5" w:rsidRDefault="00807E31" w:rsidP="00F742DE">
      <w:pPr>
        <w:pStyle w:val="Heading2"/>
        <w:tabs>
          <w:tab w:val="clear" w:pos="1152"/>
          <w:tab w:val="left" w:pos="720"/>
        </w:tabs>
        <w:spacing w:after="0" w:line="240" w:lineRule="auto"/>
        <w:ind w:left="0" w:firstLine="0"/>
        <w:rPr>
          <w:sz w:val="24"/>
          <w:szCs w:val="24"/>
        </w:rPr>
      </w:pPr>
      <w:bookmarkStart w:id="55" w:name="_Toc443881759"/>
      <w:bookmarkStart w:id="56" w:name="_Toc451592246"/>
      <w:bookmarkStart w:id="57" w:name="_Toc5610287"/>
      <w:bookmarkStart w:id="58" w:name="_Toc99178793"/>
      <w:r w:rsidRPr="002F67B5">
        <w:rPr>
          <w:sz w:val="24"/>
          <w:szCs w:val="24"/>
        </w:rPr>
        <w:t>A.16</w:t>
      </w:r>
      <w:r w:rsidRPr="002F67B5">
        <w:rPr>
          <w:sz w:val="24"/>
          <w:szCs w:val="24"/>
        </w:rPr>
        <w:tab/>
        <w:t>Plans for Tabulation and Publication and Project Time Schedule</w:t>
      </w:r>
      <w:bookmarkEnd w:id="55"/>
      <w:bookmarkEnd w:id="56"/>
      <w:bookmarkEnd w:id="57"/>
      <w:bookmarkEnd w:id="58"/>
    </w:p>
    <w:p w:rsidR="00E23216" w:rsidRDefault="00E23216" w:rsidP="00F742DE"/>
    <w:p w:rsidR="00D85F9C" w:rsidRDefault="006B7BCA" w:rsidP="006B7BCA">
      <w:pPr>
        <w:ind w:left="720"/>
      </w:pPr>
      <w:r>
        <w:t xml:space="preserve">Survey results are tabulated </w:t>
      </w:r>
      <w:r w:rsidR="00765B1A">
        <w:t xml:space="preserve">only </w:t>
      </w:r>
      <w:r>
        <w:t xml:space="preserve">for the NIH Clinical Center’s internal use in assessing training program or course effectiveness. </w:t>
      </w:r>
      <w:r w:rsidR="00D85F9C" w:rsidRPr="002F67B5">
        <w:t>There are no plans at this time for statistical analysis in publications.</w:t>
      </w:r>
    </w:p>
    <w:p w:rsidR="00AB25B7" w:rsidRDefault="00AB25B7" w:rsidP="006B7BCA">
      <w:pPr>
        <w:ind w:left="720"/>
      </w:pPr>
    </w:p>
    <w:p w:rsidR="00AB25B7" w:rsidRDefault="00AB25B7" w:rsidP="006B7BCA">
      <w:pPr>
        <w:ind w:left="720"/>
        <w:rPr>
          <w:color w:val="000000"/>
        </w:rPr>
      </w:pPr>
      <w:r>
        <w:t xml:space="preserve">The time schedule for surveying program participants has been established previously in OMB </w:t>
      </w:r>
      <w:r w:rsidRPr="00660244">
        <w:rPr>
          <w:color w:val="000000"/>
        </w:rPr>
        <w:t>0925-0602</w:t>
      </w:r>
      <w:r>
        <w:rPr>
          <w:color w:val="000000"/>
        </w:rPr>
        <w:t>. The schedule going forward will be as follows:</w:t>
      </w:r>
    </w:p>
    <w:p w:rsidR="00415C30" w:rsidRDefault="00415C30" w:rsidP="006B7BCA">
      <w:pPr>
        <w:ind w:left="720"/>
        <w:rPr>
          <w:color w:val="000000"/>
        </w:rPr>
      </w:pPr>
    </w:p>
    <w:p w:rsidR="00415C30" w:rsidRPr="002F67B5" w:rsidRDefault="00415C30" w:rsidP="006B7BCA">
      <w:pPr>
        <w:ind w:left="720"/>
      </w:pPr>
    </w:p>
    <w:p w:rsidR="00807E31" w:rsidRPr="002F67B5" w:rsidRDefault="00807E31" w:rsidP="00F742DE">
      <w:pPr>
        <w:pStyle w:val="P1-StandPara"/>
        <w:spacing w:line="240" w:lineRule="auto"/>
        <w:rPr>
          <w:sz w:val="24"/>
          <w:szCs w:val="24"/>
        </w:rPr>
      </w:pPr>
    </w:p>
    <w:p w:rsidR="0093431F" w:rsidRPr="002F67B5" w:rsidRDefault="0093431F" w:rsidP="00F742DE"/>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430"/>
        <w:gridCol w:w="3240"/>
      </w:tblGrid>
      <w:tr w:rsidR="00807E31" w:rsidRPr="002F67B5" w:rsidTr="00B27B51">
        <w:trPr>
          <w:cantSplit/>
          <w:trHeight w:val="403"/>
          <w:jc w:val="center"/>
        </w:trPr>
        <w:tc>
          <w:tcPr>
            <w:tcW w:w="5670" w:type="dxa"/>
            <w:gridSpan w:val="2"/>
            <w:shd w:val="pct20" w:color="auto" w:fill="FFFFFF"/>
          </w:tcPr>
          <w:p w:rsidR="00807E31" w:rsidRPr="002F67B5" w:rsidRDefault="00807E31" w:rsidP="00F742DE">
            <w:pPr>
              <w:jc w:val="center"/>
              <w:rPr>
                <w:b/>
              </w:rPr>
            </w:pPr>
          </w:p>
          <w:p w:rsidR="00807E31" w:rsidRPr="002F67B5" w:rsidRDefault="00807E31" w:rsidP="00F742DE">
            <w:pPr>
              <w:jc w:val="center"/>
            </w:pPr>
            <w:r w:rsidRPr="002F67B5">
              <w:rPr>
                <w:b/>
              </w:rPr>
              <w:t>A.16 - 1  Project Time Schedule</w:t>
            </w:r>
          </w:p>
          <w:p w:rsidR="00807E31" w:rsidRPr="002F67B5" w:rsidRDefault="00807E31" w:rsidP="00F742DE">
            <w:pPr>
              <w:jc w:val="center"/>
            </w:pPr>
          </w:p>
        </w:tc>
      </w:tr>
      <w:tr w:rsidR="00807E31" w:rsidRPr="002F67B5" w:rsidTr="00B27B51">
        <w:trPr>
          <w:cantSplit/>
          <w:trHeight w:val="403"/>
          <w:jc w:val="center"/>
        </w:trPr>
        <w:tc>
          <w:tcPr>
            <w:tcW w:w="2430" w:type="dxa"/>
            <w:shd w:val="pct5" w:color="auto" w:fill="FFFFFF"/>
          </w:tcPr>
          <w:p w:rsidR="00807E31" w:rsidRPr="002F67B5" w:rsidRDefault="00807E31" w:rsidP="00F742DE">
            <w:r w:rsidRPr="002F67B5">
              <w:rPr>
                <w:b/>
              </w:rPr>
              <w:tab/>
              <w:t>Activity</w:t>
            </w:r>
          </w:p>
        </w:tc>
        <w:tc>
          <w:tcPr>
            <w:tcW w:w="3240" w:type="dxa"/>
            <w:shd w:val="pct5" w:color="auto" w:fill="FFFFFF"/>
          </w:tcPr>
          <w:p w:rsidR="00807E31" w:rsidRPr="002F67B5" w:rsidRDefault="00807E31" w:rsidP="00F742DE">
            <w:r w:rsidRPr="002F67B5">
              <w:rPr>
                <w:b/>
              </w:rPr>
              <w:tab/>
              <w:t>Time Schedule</w:t>
            </w:r>
          </w:p>
        </w:tc>
      </w:tr>
      <w:tr w:rsidR="00807E31" w:rsidRPr="002F67B5" w:rsidTr="00B27B51">
        <w:trPr>
          <w:cantSplit/>
          <w:trHeight w:val="403"/>
          <w:jc w:val="center"/>
        </w:trPr>
        <w:tc>
          <w:tcPr>
            <w:tcW w:w="2430" w:type="dxa"/>
            <w:shd w:val="clear" w:color="auto" w:fill="FFFFFF"/>
          </w:tcPr>
          <w:p w:rsidR="00807E31" w:rsidRPr="002F67B5" w:rsidRDefault="00AB25B7" w:rsidP="00AB25B7">
            <w:r>
              <w:t>Survey notification e-</w:t>
            </w:r>
            <w:r w:rsidR="00B27B51" w:rsidRPr="002F67B5">
              <w:t xml:space="preserve">mail </w:t>
            </w:r>
            <w:r w:rsidR="00807E31" w:rsidRPr="002F67B5">
              <w:t>sent to respondents</w:t>
            </w:r>
          </w:p>
        </w:tc>
        <w:tc>
          <w:tcPr>
            <w:tcW w:w="3240" w:type="dxa"/>
            <w:shd w:val="clear" w:color="auto" w:fill="FFFFFF"/>
          </w:tcPr>
          <w:p w:rsidR="00807E31" w:rsidRPr="002F67B5" w:rsidRDefault="00AB25B7" w:rsidP="00BD0FDE">
            <w:r>
              <w:t>5 to 7 months after OMB approval</w:t>
            </w:r>
            <w:r w:rsidR="00BD0FDE">
              <w:t xml:space="preserve">, then </w:t>
            </w:r>
            <w:r>
              <w:t>March to April of each calendar year</w:t>
            </w:r>
          </w:p>
        </w:tc>
      </w:tr>
      <w:tr w:rsidR="00AB25B7" w:rsidRPr="002F67B5" w:rsidTr="00B27B51">
        <w:trPr>
          <w:cantSplit/>
          <w:trHeight w:val="403"/>
          <w:jc w:val="center"/>
        </w:trPr>
        <w:tc>
          <w:tcPr>
            <w:tcW w:w="2430" w:type="dxa"/>
            <w:shd w:val="clear" w:color="auto" w:fill="FFFFFF"/>
          </w:tcPr>
          <w:p w:rsidR="00AB25B7" w:rsidRDefault="00AB25B7" w:rsidP="00AB25B7">
            <w:r>
              <w:t>Survey opens electronically</w:t>
            </w:r>
          </w:p>
        </w:tc>
        <w:tc>
          <w:tcPr>
            <w:tcW w:w="3240" w:type="dxa"/>
            <w:shd w:val="clear" w:color="auto" w:fill="FFFFFF"/>
          </w:tcPr>
          <w:p w:rsidR="00AB25B7" w:rsidRDefault="00BD0FDE" w:rsidP="00BD0FDE">
            <w:r>
              <w:t xml:space="preserve">8 - </w:t>
            </w:r>
            <w:r w:rsidR="00AB25B7">
              <w:t>10 months after OMB approval</w:t>
            </w:r>
            <w:r>
              <w:t xml:space="preserve">, then May to </w:t>
            </w:r>
            <w:r w:rsidR="00AB25B7">
              <w:t>July of each calendar year</w:t>
            </w:r>
          </w:p>
        </w:tc>
      </w:tr>
      <w:tr w:rsidR="00AB25B7" w:rsidRPr="002F67B5" w:rsidTr="00B27B51">
        <w:trPr>
          <w:cantSplit/>
          <w:trHeight w:val="403"/>
          <w:jc w:val="center"/>
        </w:trPr>
        <w:tc>
          <w:tcPr>
            <w:tcW w:w="2430" w:type="dxa"/>
            <w:shd w:val="clear" w:color="auto" w:fill="FFFFFF"/>
          </w:tcPr>
          <w:p w:rsidR="00AB25B7" w:rsidRDefault="00BD0FDE" w:rsidP="00AB25B7">
            <w:r>
              <w:t>Data Analysis</w:t>
            </w:r>
          </w:p>
        </w:tc>
        <w:tc>
          <w:tcPr>
            <w:tcW w:w="3240" w:type="dxa"/>
            <w:shd w:val="clear" w:color="auto" w:fill="FFFFFF"/>
          </w:tcPr>
          <w:p w:rsidR="00AB25B7" w:rsidRDefault="00BD0FDE" w:rsidP="00BD0FDE">
            <w:r>
              <w:t>12 months after OMB approval, then September of each calendar year</w:t>
            </w:r>
          </w:p>
        </w:tc>
      </w:tr>
      <w:tr w:rsidR="00BD0FDE" w:rsidRPr="002F67B5" w:rsidTr="00B27B51">
        <w:trPr>
          <w:cantSplit/>
          <w:trHeight w:val="403"/>
          <w:jc w:val="center"/>
        </w:trPr>
        <w:tc>
          <w:tcPr>
            <w:tcW w:w="2430" w:type="dxa"/>
            <w:shd w:val="clear" w:color="auto" w:fill="FFFFFF"/>
          </w:tcPr>
          <w:p w:rsidR="00BD0FDE" w:rsidRDefault="00BD0FDE" w:rsidP="00AB25B7">
            <w:r>
              <w:t>Office of Clinical Research Training and Medical Education Program Evaluation Review</w:t>
            </w:r>
          </w:p>
        </w:tc>
        <w:tc>
          <w:tcPr>
            <w:tcW w:w="3240" w:type="dxa"/>
            <w:shd w:val="clear" w:color="auto" w:fill="FFFFFF"/>
          </w:tcPr>
          <w:p w:rsidR="00BD0FDE" w:rsidRDefault="00BD0FDE" w:rsidP="00BD0FDE">
            <w:r>
              <w:t xml:space="preserve">15 months after OBM approval, then December to January of each calendar year </w:t>
            </w:r>
          </w:p>
        </w:tc>
      </w:tr>
    </w:tbl>
    <w:p w:rsidR="00B27B51" w:rsidRPr="002F67B5" w:rsidRDefault="00B27B51" w:rsidP="00F742DE">
      <w:pPr>
        <w:pStyle w:val="Heading2"/>
        <w:tabs>
          <w:tab w:val="clear" w:pos="1152"/>
          <w:tab w:val="left" w:pos="720"/>
        </w:tabs>
        <w:spacing w:after="0" w:line="240" w:lineRule="auto"/>
        <w:ind w:left="0" w:firstLine="0"/>
        <w:rPr>
          <w:sz w:val="24"/>
          <w:szCs w:val="24"/>
        </w:rPr>
      </w:pPr>
      <w:bookmarkStart w:id="59" w:name="_Toc443881760"/>
      <w:bookmarkStart w:id="60" w:name="_Toc451592247"/>
      <w:bookmarkStart w:id="61" w:name="_Toc5610288"/>
      <w:bookmarkStart w:id="62" w:name="_Toc99178794"/>
    </w:p>
    <w:p w:rsidR="00807E31" w:rsidRPr="002F67B5" w:rsidRDefault="00807E31" w:rsidP="00F742DE">
      <w:pPr>
        <w:pStyle w:val="Heading2"/>
        <w:tabs>
          <w:tab w:val="clear" w:pos="1152"/>
          <w:tab w:val="left" w:pos="720"/>
        </w:tabs>
        <w:spacing w:after="0" w:line="240" w:lineRule="auto"/>
        <w:ind w:left="0" w:firstLine="0"/>
        <w:rPr>
          <w:sz w:val="24"/>
          <w:szCs w:val="24"/>
        </w:rPr>
      </w:pPr>
      <w:r w:rsidRPr="002F67B5">
        <w:rPr>
          <w:sz w:val="24"/>
          <w:szCs w:val="24"/>
        </w:rPr>
        <w:t>A.17</w:t>
      </w:r>
      <w:r w:rsidRPr="002F67B5">
        <w:rPr>
          <w:sz w:val="24"/>
          <w:szCs w:val="24"/>
        </w:rPr>
        <w:tab/>
        <w:t>Reason(s) Display of OMB Expiration Date is Inappropriate</w:t>
      </w:r>
      <w:bookmarkEnd w:id="59"/>
      <w:bookmarkEnd w:id="60"/>
      <w:bookmarkEnd w:id="61"/>
      <w:bookmarkEnd w:id="62"/>
    </w:p>
    <w:p w:rsidR="00C17EFD" w:rsidRPr="002F67B5" w:rsidRDefault="00B40568" w:rsidP="00F742DE">
      <w:r>
        <w:tab/>
        <w:t>OMB# and expiration will be displayed.</w:t>
      </w:r>
    </w:p>
    <w:p w:rsidR="00807E31" w:rsidRPr="002F67B5" w:rsidRDefault="00807E31" w:rsidP="00F742DE"/>
    <w:p w:rsidR="00807E31" w:rsidRPr="004344F6" w:rsidRDefault="00807E31" w:rsidP="00F742DE">
      <w:pPr>
        <w:pStyle w:val="Heading2"/>
        <w:tabs>
          <w:tab w:val="clear" w:pos="1152"/>
          <w:tab w:val="left" w:pos="720"/>
        </w:tabs>
        <w:spacing w:after="0" w:line="240" w:lineRule="auto"/>
        <w:ind w:left="0" w:firstLine="0"/>
        <w:rPr>
          <w:sz w:val="24"/>
          <w:szCs w:val="24"/>
        </w:rPr>
      </w:pPr>
      <w:bookmarkStart w:id="63" w:name="_Toc443881761"/>
      <w:bookmarkStart w:id="64" w:name="_Toc451592248"/>
      <w:bookmarkStart w:id="65" w:name="_Toc5610289"/>
      <w:bookmarkStart w:id="66" w:name="_Toc99178795"/>
      <w:r w:rsidRPr="004344F6">
        <w:rPr>
          <w:sz w:val="24"/>
          <w:szCs w:val="24"/>
        </w:rPr>
        <w:t>A.18</w:t>
      </w:r>
      <w:r w:rsidRPr="004344F6">
        <w:rPr>
          <w:sz w:val="24"/>
          <w:szCs w:val="24"/>
        </w:rPr>
        <w:tab/>
        <w:t>Exceptions to Certification for Paperwork Reduction Act Submissions</w:t>
      </w:r>
      <w:bookmarkEnd w:id="63"/>
      <w:bookmarkEnd w:id="64"/>
      <w:bookmarkEnd w:id="65"/>
      <w:bookmarkEnd w:id="66"/>
    </w:p>
    <w:p w:rsidR="00290AB2" w:rsidRPr="00527139" w:rsidRDefault="005504EB" w:rsidP="000E686E">
      <w:pPr>
        <w:pStyle w:val="P1-StandPara"/>
        <w:rPr>
          <w:b/>
          <w:sz w:val="24"/>
          <w:szCs w:val="24"/>
        </w:rPr>
      </w:pPr>
      <w:r>
        <w:rPr>
          <w:sz w:val="24"/>
          <w:szCs w:val="24"/>
        </w:rPr>
        <w:t>No exceptions are requested.</w:t>
      </w:r>
    </w:p>
    <w:sectPr w:rsidR="00290AB2" w:rsidRPr="00527139" w:rsidSect="00B27B5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60B" w:rsidRDefault="00BD160B">
      <w:r>
        <w:separator/>
      </w:r>
    </w:p>
  </w:endnote>
  <w:endnote w:type="continuationSeparator" w:id="0">
    <w:p w:rsidR="00BD160B" w:rsidRDefault="00BD1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end"/>
    </w:r>
  </w:p>
  <w:p w:rsidR="004F653E" w:rsidRDefault="004F6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3E" w:rsidRDefault="00D032A4" w:rsidP="004A70E1">
    <w:pPr>
      <w:pStyle w:val="Footer"/>
      <w:framePr w:wrap="around" w:vAnchor="text" w:hAnchor="margin" w:xAlign="center" w:y="1"/>
      <w:rPr>
        <w:rStyle w:val="PageNumber"/>
      </w:rPr>
    </w:pPr>
    <w:r>
      <w:rPr>
        <w:rStyle w:val="PageNumber"/>
      </w:rPr>
      <w:fldChar w:fldCharType="begin"/>
    </w:r>
    <w:r w:rsidR="004F653E">
      <w:rPr>
        <w:rStyle w:val="PageNumber"/>
      </w:rPr>
      <w:instrText xml:space="preserve">PAGE  </w:instrText>
    </w:r>
    <w:r>
      <w:rPr>
        <w:rStyle w:val="PageNumber"/>
      </w:rPr>
      <w:fldChar w:fldCharType="separate"/>
    </w:r>
    <w:r w:rsidR="00004BD9">
      <w:rPr>
        <w:rStyle w:val="PageNumber"/>
        <w:noProof/>
      </w:rPr>
      <w:t>14</w:t>
    </w:r>
    <w:r>
      <w:rPr>
        <w:rStyle w:val="PageNumber"/>
      </w:rPr>
      <w:fldChar w:fldCharType="end"/>
    </w:r>
  </w:p>
  <w:p w:rsidR="004F653E" w:rsidRDefault="004F653E" w:rsidP="004A70E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60B" w:rsidRDefault="00BD160B">
      <w:r>
        <w:separator/>
      </w:r>
    </w:p>
  </w:footnote>
  <w:footnote w:type="continuationSeparator" w:id="0">
    <w:p w:rsidR="00BD160B" w:rsidRDefault="00BD1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15:restartNumberingAfterBreak="0">
    <w:nsid w:val="01C62C24"/>
    <w:multiLevelType w:val="multilevel"/>
    <w:tmpl w:val="547EF3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175607"/>
    <w:multiLevelType w:val="multilevel"/>
    <w:tmpl w:val="46C0BAFE"/>
    <w:lvl w:ilvl="0">
      <w:start w:val="1"/>
      <w:numFmt w:val="bullet"/>
      <w:lvlText w:val=""/>
      <w:lvlPicBulletId w:val="3"/>
      <w:lvlJc w:val="left"/>
      <w:pPr>
        <w:tabs>
          <w:tab w:val="num" w:pos="720"/>
        </w:tabs>
        <w:ind w:left="720" w:hanging="360"/>
      </w:pPr>
      <w:rPr>
        <w:rFonts w:ascii="Wingdings" w:hAnsi="Wingdings" w:hint="default"/>
        <w:sz w:val="20"/>
      </w:rPr>
    </w:lvl>
    <w:lvl w:ilvl="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63CC"/>
    <w:multiLevelType w:val="hybridMultilevel"/>
    <w:tmpl w:val="FBFC85A6"/>
    <w:lvl w:ilvl="0" w:tplc="AB6E39E0">
      <w:start w:val="3"/>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2E6BAA"/>
    <w:multiLevelType w:val="hybridMultilevel"/>
    <w:tmpl w:val="5A70D53C"/>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67D122B"/>
    <w:multiLevelType w:val="hybridMultilevel"/>
    <w:tmpl w:val="458C7F64"/>
    <w:lvl w:ilvl="0" w:tplc="A1CEDA96">
      <w:start w:val="1"/>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BA3050"/>
    <w:multiLevelType w:val="hybridMultilevel"/>
    <w:tmpl w:val="5A70D53C"/>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98569C7"/>
    <w:multiLevelType w:val="hybridMultilevel"/>
    <w:tmpl w:val="1EC49EF0"/>
    <w:lvl w:ilvl="0" w:tplc="A1CEDA96">
      <w:start w:val="1"/>
      <w:numFmt w:val="upperRoman"/>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A396B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90EE5"/>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76469"/>
    <w:multiLevelType w:val="multilevel"/>
    <w:tmpl w:val="64A0A71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2A741D2"/>
    <w:multiLevelType w:val="multilevel"/>
    <w:tmpl w:val="458C7F64"/>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44E39D3"/>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A2305"/>
    <w:multiLevelType w:val="multilevel"/>
    <w:tmpl w:val="A4421434"/>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upperRoman"/>
      <w:lvlText w:val="%5."/>
      <w:lvlJc w:val="left"/>
      <w:pPr>
        <w:tabs>
          <w:tab w:val="num" w:pos="3960"/>
        </w:tabs>
        <w:ind w:left="3960" w:hanging="720"/>
      </w:pPr>
      <w:rPr>
        <w:rFonts w:hint="default"/>
        <w:sz w:val="22"/>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25684"/>
    <w:multiLevelType w:val="multilevel"/>
    <w:tmpl w:val="B1FEFEE6"/>
    <w:lvl w:ilvl="0">
      <w:start w:val="1"/>
      <w:numFmt w:val="upperRoman"/>
      <w:lvlText w:val="%1."/>
      <w:lvlJc w:val="left"/>
      <w:pPr>
        <w:tabs>
          <w:tab w:val="num" w:pos="1440"/>
        </w:tabs>
        <w:ind w:left="1440" w:hanging="360"/>
      </w:pPr>
      <w:rPr>
        <w:rFonts w:hint="default"/>
      </w:rPr>
    </w:lvl>
    <w:lvl w:ilvl="1">
      <w:start w:val="3"/>
      <w:numFmt w:val="upp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0DA0C98"/>
    <w:multiLevelType w:val="multilevel"/>
    <w:tmpl w:val="FADC5924"/>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1D2FB6"/>
    <w:multiLevelType w:val="multilevel"/>
    <w:tmpl w:val="A226039A"/>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289C1DE1"/>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1F7505"/>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start w:val="1"/>
      <w:numFmt w:val="bullet"/>
      <w:lvlText w:val=""/>
      <w:lvlPicBulletId w:val="2"/>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40734"/>
    <w:multiLevelType w:val="multilevel"/>
    <w:tmpl w:val="FBFC85A6"/>
    <w:lvl w:ilvl="0">
      <w:start w:val="3"/>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AA334C"/>
    <w:multiLevelType w:val="hybridMultilevel"/>
    <w:tmpl w:val="3302485C"/>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8914F5"/>
    <w:multiLevelType w:val="hybridMultilevel"/>
    <w:tmpl w:val="7988BC62"/>
    <w:lvl w:ilvl="0" w:tplc="B0B49046">
      <w:start w:val="4"/>
      <w:numFmt w:val="upp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E2678B"/>
    <w:multiLevelType w:val="multilevel"/>
    <w:tmpl w:val="21EEF26C"/>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33CD4"/>
    <w:multiLevelType w:val="hybridMultilevel"/>
    <w:tmpl w:val="BCFCBC2A"/>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8442BD7"/>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4" w15:restartNumberingAfterBreak="0">
    <w:nsid w:val="48E53CB7"/>
    <w:multiLevelType w:val="multilevel"/>
    <w:tmpl w:val="6EC01CE2"/>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184456"/>
    <w:multiLevelType w:val="multilevel"/>
    <w:tmpl w:val="3302485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2B1A61"/>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25059"/>
    <w:multiLevelType w:val="multilevel"/>
    <w:tmpl w:val="4F283F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0687AF4"/>
    <w:multiLevelType w:val="multilevel"/>
    <w:tmpl w:val="5DE8E5F8"/>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149E2"/>
    <w:multiLevelType w:val="hybridMultilevel"/>
    <w:tmpl w:val="65446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31" w15:restartNumberingAfterBreak="0">
    <w:nsid w:val="554C19E9"/>
    <w:multiLevelType w:val="hybridMultilevel"/>
    <w:tmpl w:val="46AE11F8"/>
    <w:lvl w:ilvl="0" w:tplc="515E1940">
      <w:start w:val="1"/>
      <w:numFmt w:val="upperRoman"/>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8B675AA"/>
    <w:multiLevelType w:val="multilevel"/>
    <w:tmpl w:val="1EC49EF0"/>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3" w15:restartNumberingAfterBreak="0">
    <w:nsid w:val="5C7E0C6D"/>
    <w:multiLevelType w:val="hybridMultilevel"/>
    <w:tmpl w:val="B1FEFEE6"/>
    <w:lvl w:ilvl="0" w:tplc="515E1940">
      <w:start w:val="1"/>
      <w:numFmt w:val="upperRoman"/>
      <w:lvlText w:val="%1."/>
      <w:lvlJc w:val="left"/>
      <w:pPr>
        <w:tabs>
          <w:tab w:val="num" w:pos="1440"/>
        </w:tabs>
        <w:ind w:left="1440" w:hanging="360"/>
      </w:pPr>
      <w:rPr>
        <w:rFonts w:hint="default"/>
      </w:rPr>
    </w:lvl>
    <w:lvl w:ilvl="1" w:tplc="436AAFEC">
      <w:start w:val="3"/>
      <w:numFmt w:val="upp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146E72"/>
    <w:multiLevelType w:val="hybridMultilevel"/>
    <w:tmpl w:val="FADC5924"/>
    <w:lvl w:ilvl="0" w:tplc="1FF8ADD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9CD325C"/>
    <w:multiLevelType w:val="multilevel"/>
    <w:tmpl w:val="A748FDDE"/>
    <w:lvl w:ilvl="0">
      <w:start w:val="1"/>
      <w:numFmt w:val="upperRoman"/>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D02B3C"/>
    <w:multiLevelType w:val="hybridMultilevel"/>
    <w:tmpl w:val="9E14F778"/>
    <w:lvl w:ilvl="0" w:tplc="599AE7EA">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E2269E"/>
    <w:multiLevelType w:val="hybridMultilevel"/>
    <w:tmpl w:val="4BB6F5B4"/>
    <w:lvl w:ilvl="0" w:tplc="2FEA8834">
      <w:start w:val="1"/>
      <w:numFmt w:val="decimal"/>
      <w:lvlText w:val="%1."/>
      <w:lvlJc w:val="left"/>
      <w:pPr>
        <w:tabs>
          <w:tab w:val="num" w:pos="6030"/>
        </w:tabs>
        <w:ind w:left="603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73DC0CD5"/>
    <w:multiLevelType w:val="multilevel"/>
    <w:tmpl w:val="F66406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453633C"/>
    <w:multiLevelType w:val="hybridMultilevel"/>
    <w:tmpl w:val="8514F9E0"/>
    <w:lvl w:ilvl="0" w:tplc="04090013">
      <w:start w:val="1"/>
      <w:numFmt w:val="upperRoman"/>
      <w:lvlText w:val="%1."/>
      <w:lvlJc w:val="right"/>
      <w:pPr>
        <w:tabs>
          <w:tab w:val="num" w:pos="1800"/>
        </w:tabs>
        <w:ind w:left="1800" w:hanging="360"/>
      </w:pPr>
      <w:rPr>
        <w:rFonts w:hint="default"/>
        <w:color w:val="auto"/>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8343233"/>
    <w:multiLevelType w:val="multilevel"/>
    <w:tmpl w:val="DD98A710"/>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b w:val="0"/>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0"/>
  </w:num>
  <w:num w:numId="3">
    <w:abstractNumId w:val="34"/>
  </w:num>
  <w:num w:numId="4">
    <w:abstractNumId w:val="14"/>
  </w:num>
  <w:num w:numId="5">
    <w:abstractNumId w:val="19"/>
  </w:num>
  <w:num w:numId="6">
    <w:abstractNumId w:val="21"/>
  </w:num>
  <w:num w:numId="7">
    <w:abstractNumId w:val="17"/>
  </w:num>
  <w:num w:numId="8">
    <w:abstractNumId w:val="12"/>
  </w:num>
  <w:num w:numId="9">
    <w:abstractNumId w:val="1"/>
  </w:num>
  <w:num w:numId="10">
    <w:abstractNumId w:val="39"/>
  </w:num>
  <w:num w:numId="11">
    <w:abstractNumId w:val="0"/>
  </w:num>
  <w:num w:numId="12">
    <w:abstractNumId w:val="27"/>
  </w:num>
  <w:num w:numId="13">
    <w:abstractNumId w:val="25"/>
  </w:num>
  <w:num w:numId="14">
    <w:abstractNumId w:val="22"/>
  </w:num>
  <w:num w:numId="15">
    <w:abstractNumId w:val="6"/>
  </w:num>
  <w:num w:numId="16">
    <w:abstractNumId w:val="37"/>
  </w:num>
  <w:num w:numId="17">
    <w:abstractNumId w:val="15"/>
  </w:num>
  <w:num w:numId="18">
    <w:abstractNumId w:val="32"/>
  </w:num>
  <w:num w:numId="19">
    <w:abstractNumId w:val="23"/>
  </w:num>
  <w:num w:numId="20">
    <w:abstractNumId w:val="4"/>
  </w:num>
  <w:num w:numId="21">
    <w:abstractNumId w:val="10"/>
  </w:num>
  <w:num w:numId="22">
    <w:abstractNumId w:val="31"/>
  </w:num>
  <w:num w:numId="23">
    <w:abstractNumId w:val="33"/>
  </w:num>
  <w:num w:numId="24">
    <w:abstractNumId w:val="36"/>
  </w:num>
  <w:num w:numId="25">
    <w:abstractNumId w:val="24"/>
  </w:num>
  <w:num w:numId="26">
    <w:abstractNumId w:val="2"/>
  </w:num>
  <w:num w:numId="27">
    <w:abstractNumId w:val="18"/>
  </w:num>
  <w:num w:numId="28">
    <w:abstractNumId w:val="9"/>
  </w:num>
  <w:num w:numId="29">
    <w:abstractNumId w:val="13"/>
  </w:num>
  <w:num w:numId="30">
    <w:abstractNumId w:val="20"/>
  </w:num>
  <w:num w:numId="31">
    <w:abstractNumId w:val="29"/>
  </w:num>
  <w:num w:numId="32">
    <w:abstractNumId w:val="38"/>
  </w:num>
  <w:num w:numId="33">
    <w:abstractNumId w:val="8"/>
  </w:num>
  <w:num w:numId="34">
    <w:abstractNumId w:val="16"/>
  </w:num>
  <w:num w:numId="35">
    <w:abstractNumId w:val="11"/>
  </w:num>
  <w:num w:numId="36">
    <w:abstractNumId w:val="7"/>
  </w:num>
  <w:num w:numId="37">
    <w:abstractNumId w:val="28"/>
  </w:num>
  <w:num w:numId="38">
    <w:abstractNumId w:val="41"/>
  </w:num>
  <w:num w:numId="39">
    <w:abstractNumId w:val="26"/>
  </w:num>
  <w:num w:numId="40">
    <w:abstractNumId w:val="3"/>
  </w:num>
  <w:num w:numId="41">
    <w:abstractNumId w:val="4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10E"/>
    <w:rsid w:val="00004BD9"/>
    <w:rsid w:val="00006619"/>
    <w:rsid w:val="00012CAB"/>
    <w:rsid w:val="00013B7C"/>
    <w:rsid w:val="00033332"/>
    <w:rsid w:val="000344A3"/>
    <w:rsid w:val="00037B41"/>
    <w:rsid w:val="00037B62"/>
    <w:rsid w:val="00041715"/>
    <w:rsid w:val="0005035B"/>
    <w:rsid w:val="00053D8D"/>
    <w:rsid w:val="000575C6"/>
    <w:rsid w:val="00060549"/>
    <w:rsid w:val="00066412"/>
    <w:rsid w:val="00067402"/>
    <w:rsid w:val="00080C51"/>
    <w:rsid w:val="00090D48"/>
    <w:rsid w:val="000A5732"/>
    <w:rsid w:val="000B2999"/>
    <w:rsid w:val="000B5EA6"/>
    <w:rsid w:val="000C2797"/>
    <w:rsid w:val="000C7C28"/>
    <w:rsid w:val="000D1FA8"/>
    <w:rsid w:val="000D719F"/>
    <w:rsid w:val="000E273D"/>
    <w:rsid w:val="000E686E"/>
    <w:rsid w:val="000F2C9F"/>
    <w:rsid w:val="001008EF"/>
    <w:rsid w:val="001023FD"/>
    <w:rsid w:val="00107FC3"/>
    <w:rsid w:val="00131E84"/>
    <w:rsid w:val="00131FC5"/>
    <w:rsid w:val="00135682"/>
    <w:rsid w:val="00144569"/>
    <w:rsid w:val="0015420A"/>
    <w:rsid w:val="00155571"/>
    <w:rsid w:val="001571AC"/>
    <w:rsid w:val="0016182C"/>
    <w:rsid w:val="00177325"/>
    <w:rsid w:val="001836FF"/>
    <w:rsid w:val="00184E3C"/>
    <w:rsid w:val="001863A4"/>
    <w:rsid w:val="001875ED"/>
    <w:rsid w:val="00191120"/>
    <w:rsid w:val="00196BC6"/>
    <w:rsid w:val="001A2DD3"/>
    <w:rsid w:val="001A64C1"/>
    <w:rsid w:val="001A774B"/>
    <w:rsid w:val="001B0290"/>
    <w:rsid w:val="001B34DE"/>
    <w:rsid w:val="001C142B"/>
    <w:rsid w:val="001C3BC9"/>
    <w:rsid w:val="001D3105"/>
    <w:rsid w:val="001E2C04"/>
    <w:rsid w:val="001F2A02"/>
    <w:rsid w:val="001F7EEE"/>
    <w:rsid w:val="0020429E"/>
    <w:rsid w:val="002158A2"/>
    <w:rsid w:val="00217208"/>
    <w:rsid w:val="0022027C"/>
    <w:rsid w:val="002246A6"/>
    <w:rsid w:val="00231082"/>
    <w:rsid w:val="0024029C"/>
    <w:rsid w:val="00253C78"/>
    <w:rsid w:val="00254897"/>
    <w:rsid w:val="00260E8D"/>
    <w:rsid w:val="00262341"/>
    <w:rsid w:val="00271640"/>
    <w:rsid w:val="00283CEF"/>
    <w:rsid w:val="002846BF"/>
    <w:rsid w:val="00285F87"/>
    <w:rsid w:val="00290AB2"/>
    <w:rsid w:val="002A5B21"/>
    <w:rsid w:val="002B6D3C"/>
    <w:rsid w:val="002B705F"/>
    <w:rsid w:val="002C658C"/>
    <w:rsid w:val="002D0FBB"/>
    <w:rsid w:val="002D155A"/>
    <w:rsid w:val="002D1D2E"/>
    <w:rsid w:val="002D2CA0"/>
    <w:rsid w:val="002D30FE"/>
    <w:rsid w:val="002D5237"/>
    <w:rsid w:val="002D6FEE"/>
    <w:rsid w:val="002E1650"/>
    <w:rsid w:val="002F49C3"/>
    <w:rsid w:val="002F67B5"/>
    <w:rsid w:val="003054A3"/>
    <w:rsid w:val="00306C34"/>
    <w:rsid w:val="003209BA"/>
    <w:rsid w:val="00326840"/>
    <w:rsid w:val="003353F4"/>
    <w:rsid w:val="003555A3"/>
    <w:rsid w:val="00357475"/>
    <w:rsid w:val="00357789"/>
    <w:rsid w:val="00361DF1"/>
    <w:rsid w:val="00366613"/>
    <w:rsid w:val="00371EE3"/>
    <w:rsid w:val="00373EDD"/>
    <w:rsid w:val="003762B8"/>
    <w:rsid w:val="0039229E"/>
    <w:rsid w:val="003A6E00"/>
    <w:rsid w:val="003C0ADF"/>
    <w:rsid w:val="003C1024"/>
    <w:rsid w:val="003C10ED"/>
    <w:rsid w:val="003C4618"/>
    <w:rsid w:val="003C51DF"/>
    <w:rsid w:val="003D28D1"/>
    <w:rsid w:val="003D42A3"/>
    <w:rsid w:val="003E5D3E"/>
    <w:rsid w:val="003F65A8"/>
    <w:rsid w:val="0040308B"/>
    <w:rsid w:val="00413398"/>
    <w:rsid w:val="00414D93"/>
    <w:rsid w:val="00415C30"/>
    <w:rsid w:val="00433540"/>
    <w:rsid w:val="004344F6"/>
    <w:rsid w:val="00434A59"/>
    <w:rsid w:val="004422C2"/>
    <w:rsid w:val="0044729B"/>
    <w:rsid w:val="0045146A"/>
    <w:rsid w:val="00460BCD"/>
    <w:rsid w:val="00466742"/>
    <w:rsid w:val="004808D5"/>
    <w:rsid w:val="004840CD"/>
    <w:rsid w:val="004A00FA"/>
    <w:rsid w:val="004A64B7"/>
    <w:rsid w:val="004A70E1"/>
    <w:rsid w:val="004B327C"/>
    <w:rsid w:val="004B34A3"/>
    <w:rsid w:val="004B4565"/>
    <w:rsid w:val="004C16AD"/>
    <w:rsid w:val="004D15F6"/>
    <w:rsid w:val="004F16F2"/>
    <w:rsid w:val="004F653E"/>
    <w:rsid w:val="0052067D"/>
    <w:rsid w:val="00527139"/>
    <w:rsid w:val="00536719"/>
    <w:rsid w:val="0053737F"/>
    <w:rsid w:val="0054468C"/>
    <w:rsid w:val="00544ED4"/>
    <w:rsid w:val="005504EB"/>
    <w:rsid w:val="00553C35"/>
    <w:rsid w:val="005542B1"/>
    <w:rsid w:val="00563174"/>
    <w:rsid w:val="00565C60"/>
    <w:rsid w:val="005717FE"/>
    <w:rsid w:val="0057569E"/>
    <w:rsid w:val="00587547"/>
    <w:rsid w:val="00595572"/>
    <w:rsid w:val="005974BD"/>
    <w:rsid w:val="005A3CF3"/>
    <w:rsid w:val="005B7380"/>
    <w:rsid w:val="005C3DC2"/>
    <w:rsid w:val="005D3103"/>
    <w:rsid w:val="005D5D0B"/>
    <w:rsid w:val="005E2928"/>
    <w:rsid w:val="005E35D6"/>
    <w:rsid w:val="005E4751"/>
    <w:rsid w:val="005E587A"/>
    <w:rsid w:val="005F36F2"/>
    <w:rsid w:val="00602024"/>
    <w:rsid w:val="006037D6"/>
    <w:rsid w:val="00603F00"/>
    <w:rsid w:val="0060519C"/>
    <w:rsid w:val="00606BCC"/>
    <w:rsid w:val="00610F1E"/>
    <w:rsid w:val="006133EA"/>
    <w:rsid w:val="00623A51"/>
    <w:rsid w:val="00624271"/>
    <w:rsid w:val="00624ACD"/>
    <w:rsid w:val="00626502"/>
    <w:rsid w:val="00627C7E"/>
    <w:rsid w:val="00630AB8"/>
    <w:rsid w:val="00642771"/>
    <w:rsid w:val="00642938"/>
    <w:rsid w:val="00652EBD"/>
    <w:rsid w:val="00653625"/>
    <w:rsid w:val="00653FFA"/>
    <w:rsid w:val="006547B0"/>
    <w:rsid w:val="00671598"/>
    <w:rsid w:val="00676AC5"/>
    <w:rsid w:val="00680E77"/>
    <w:rsid w:val="00680FD0"/>
    <w:rsid w:val="006B650D"/>
    <w:rsid w:val="006B7BCA"/>
    <w:rsid w:val="006C1FBB"/>
    <w:rsid w:val="006C41AE"/>
    <w:rsid w:val="006C4759"/>
    <w:rsid w:val="006D0C02"/>
    <w:rsid w:val="006D223E"/>
    <w:rsid w:val="006D57BE"/>
    <w:rsid w:val="006E557B"/>
    <w:rsid w:val="006E7CF2"/>
    <w:rsid w:val="006F2AD5"/>
    <w:rsid w:val="006F41B3"/>
    <w:rsid w:val="006F747A"/>
    <w:rsid w:val="00703F0B"/>
    <w:rsid w:val="00711ABC"/>
    <w:rsid w:val="00731157"/>
    <w:rsid w:val="00741EE3"/>
    <w:rsid w:val="007427CE"/>
    <w:rsid w:val="00742C36"/>
    <w:rsid w:val="00743977"/>
    <w:rsid w:val="007446DB"/>
    <w:rsid w:val="00746754"/>
    <w:rsid w:val="007617A5"/>
    <w:rsid w:val="00764273"/>
    <w:rsid w:val="00764655"/>
    <w:rsid w:val="00764942"/>
    <w:rsid w:val="00765B1A"/>
    <w:rsid w:val="0076620E"/>
    <w:rsid w:val="00780666"/>
    <w:rsid w:val="00794568"/>
    <w:rsid w:val="007A23B7"/>
    <w:rsid w:val="007A385F"/>
    <w:rsid w:val="007A4947"/>
    <w:rsid w:val="007A570B"/>
    <w:rsid w:val="007A6720"/>
    <w:rsid w:val="007A79E2"/>
    <w:rsid w:val="007B3C91"/>
    <w:rsid w:val="007C1249"/>
    <w:rsid w:val="007C16BD"/>
    <w:rsid w:val="007C5CAF"/>
    <w:rsid w:val="007D7E3D"/>
    <w:rsid w:val="007E3D8A"/>
    <w:rsid w:val="008037D9"/>
    <w:rsid w:val="00807588"/>
    <w:rsid w:val="00807E31"/>
    <w:rsid w:val="00814EE1"/>
    <w:rsid w:val="00816D21"/>
    <w:rsid w:val="008259B4"/>
    <w:rsid w:val="00827487"/>
    <w:rsid w:val="00832256"/>
    <w:rsid w:val="00835A43"/>
    <w:rsid w:val="00855C44"/>
    <w:rsid w:val="0085671F"/>
    <w:rsid w:val="00856E5B"/>
    <w:rsid w:val="00871FB8"/>
    <w:rsid w:val="00874FC5"/>
    <w:rsid w:val="00882CA2"/>
    <w:rsid w:val="0089371E"/>
    <w:rsid w:val="008A225E"/>
    <w:rsid w:val="008A475F"/>
    <w:rsid w:val="008B1497"/>
    <w:rsid w:val="008B447D"/>
    <w:rsid w:val="008C310E"/>
    <w:rsid w:val="008D3072"/>
    <w:rsid w:val="008D4CFA"/>
    <w:rsid w:val="008D525B"/>
    <w:rsid w:val="008E3EB8"/>
    <w:rsid w:val="008E6A70"/>
    <w:rsid w:val="008E7C47"/>
    <w:rsid w:val="008F048F"/>
    <w:rsid w:val="008F1A5C"/>
    <w:rsid w:val="008F4402"/>
    <w:rsid w:val="008F7E43"/>
    <w:rsid w:val="00902CA4"/>
    <w:rsid w:val="00907FA4"/>
    <w:rsid w:val="0091069F"/>
    <w:rsid w:val="00920E8B"/>
    <w:rsid w:val="00927FE2"/>
    <w:rsid w:val="0093431F"/>
    <w:rsid w:val="00936100"/>
    <w:rsid w:val="009371C1"/>
    <w:rsid w:val="00941EB5"/>
    <w:rsid w:val="00946C63"/>
    <w:rsid w:val="00953BBC"/>
    <w:rsid w:val="00967AAE"/>
    <w:rsid w:val="0097719F"/>
    <w:rsid w:val="00977325"/>
    <w:rsid w:val="009814EE"/>
    <w:rsid w:val="009856F9"/>
    <w:rsid w:val="00991B66"/>
    <w:rsid w:val="00992B76"/>
    <w:rsid w:val="009934F5"/>
    <w:rsid w:val="00994B2A"/>
    <w:rsid w:val="00995F29"/>
    <w:rsid w:val="009965F7"/>
    <w:rsid w:val="009A3BFF"/>
    <w:rsid w:val="009B01FB"/>
    <w:rsid w:val="009B63C8"/>
    <w:rsid w:val="009C2538"/>
    <w:rsid w:val="009C2974"/>
    <w:rsid w:val="009C319B"/>
    <w:rsid w:val="009C5E3A"/>
    <w:rsid w:val="009C7D8C"/>
    <w:rsid w:val="009D1C5A"/>
    <w:rsid w:val="009D2071"/>
    <w:rsid w:val="009D2F7A"/>
    <w:rsid w:val="009D359E"/>
    <w:rsid w:val="009D3B5D"/>
    <w:rsid w:val="009D4DE9"/>
    <w:rsid w:val="009D7945"/>
    <w:rsid w:val="009E169B"/>
    <w:rsid w:val="009E25E1"/>
    <w:rsid w:val="009E2893"/>
    <w:rsid w:val="009F19F9"/>
    <w:rsid w:val="009F4FEF"/>
    <w:rsid w:val="009F54DB"/>
    <w:rsid w:val="009F70B0"/>
    <w:rsid w:val="00A10AC6"/>
    <w:rsid w:val="00A16BF6"/>
    <w:rsid w:val="00A17361"/>
    <w:rsid w:val="00A20931"/>
    <w:rsid w:val="00A24AE8"/>
    <w:rsid w:val="00A255A5"/>
    <w:rsid w:val="00A25E3A"/>
    <w:rsid w:val="00A2797D"/>
    <w:rsid w:val="00A3364A"/>
    <w:rsid w:val="00A469B0"/>
    <w:rsid w:val="00A512FD"/>
    <w:rsid w:val="00A660D3"/>
    <w:rsid w:val="00A701AF"/>
    <w:rsid w:val="00A71760"/>
    <w:rsid w:val="00A74E10"/>
    <w:rsid w:val="00A932F8"/>
    <w:rsid w:val="00AA0A3B"/>
    <w:rsid w:val="00AA1375"/>
    <w:rsid w:val="00AB0332"/>
    <w:rsid w:val="00AB176A"/>
    <w:rsid w:val="00AB25B7"/>
    <w:rsid w:val="00AB436F"/>
    <w:rsid w:val="00AB4FB9"/>
    <w:rsid w:val="00AB72B3"/>
    <w:rsid w:val="00AC5F21"/>
    <w:rsid w:val="00AD1430"/>
    <w:rsid w:val="00AE1F9E"/>
    <w:rsid w:val="00AF145C"/>
    <w:rsid w:val="00AF4B30"/>
    <w:rsid w:val="00B00732"/>
    <w:rsid w:val="00B02D5B"/>
    <w:rsid w:val="00B06047"/>
    <w:rsid w:val="00B079F2"/>
    <w:rsid w:val="00B15843"/>
    <w:rsid w:val="00B17874"/>
    <w:rsid w:val="00B27B51"/>
    <w:rsid w:val="00B40568"/>
    <w:rsid w:val="00B41EC6"/>
    <w:rsid w:val="00B509E3"/>
    <w:rsid w:val="00B542DB"/>
    <w:rsid w:val="00B56401"/>
    <w:rsid w:val="00B63096"/>
    <w:rsid w:val="00B65BAB"/>
    <w:rsid w:val="00B83A5B"/>
    <w:rsid w:val="00B83D66"/>
    <w:rsid w:val="00B858E4"/>
    <w:rsid w:val="00B963F4"/>
    <w:rsid w:val="00BA1046"/>
    <w:rsid w:val="00BA7C38"/>
    <w:rsid w:val="00BB0405"/>
    <w:rsid w:val="00BB1265"/>
    <w:rsid w:val="00BC4E67"/>
    <w:rsid w:val="00BD0975"/>
    <w:rsid w:val="00BD0FDE"/>
    <w:rsid w:val="00BD160B"/>
    <w:rsid w:val="00BD2AF1"/>
    <w:rsid w:val="00BD6179"/>
    <w:rsid w:val="00BE492D"/>
    <w:rsid w:val="00BF26F2"/>
    <w:rsid w:val="00BF4042"/>
    <w:rsid w:val="00BF4ED9"/>
    <w:rsid w:val="00C02F98"/>
    <w:rsid w:val="00C10CD2"/>
    <w:rsid w:val="00C12797"/>
    <w:rsid w:val="00C16DDE"/>
    <w:rsid w:val="00C17EFD"/>
    <w:rsid w:val="00C328C9"/>
    <w:rsid w:val="00C40DF6"/>
    <w:rsid w:val="00C44DCF"/>
    <w:rsid w:val="00C47F96"/>
    <w:rsid w:val="00C7211F"/>
    <w:rsid w:val="00C72A82"/>
    <w:rsid w:val="00C81031"/>
    <w:rsid w:val="00C84856"/>
    <w:rsid w:val="00C94EE3"/>
    <w:rsid w:val="00CA02BF"/>
    <w:rsid w:val="00CA5E71"/>
    <w:rsid w:val="00CD0548"/>
    <w:rsid w:val="00CD51A6"/>
    <w:rsid w:val="00CD679B"/>
    <w:rsid w:val="00CF1D94"/>
    <w:rsid w:val="00CF55FF"/>
    <w:rsid w:val="00CF6E1A"/>
    <w:rsid w:val="00D00E9E"/>
    <w:rsid w:val="00D032A4"/>
    <w:rsid w:val="00D045CD"/>
    <w:rsid w:val="00D06360"/>
    <w:rsid w:val="00D1664F"/>
    <w:rsid w:val="00D24CD8"/>
    <w:rsid w:val="00D335FA"/>
    <w:rsid w:val="00D42A05"/>
    <w:rsid w:val="00D43BCE"/>
    <w:rsid w:val="00D5053E"/>
    <w:rsid w:val="00D54AB5"/>
    <w:rsid w:val="00D553C7"/>
    <w:rsid w:val="00D576BA"/>
    <w:rsid w:val="00D57EF9"/>
    <w:rsid w:val="00D67EAA"/>
    <w:rsid w:val="00D712A6"/>
    <w:rsid w:val="00D76E67"/>
    <w:rsid w:val="00D8205A"/>
    <w:rsid w:val="00D85F9C"/>
    <w:rsid w:val="00D90B95"/>
    <w:rsid w:val="00D90CFE"/>
    <w:rsid w:val="00D9260C"/>
    <w:rsid w:val="00D9775C"/>
    <w:rsid w:val="00D97773"/>
    <w:rsid w:val="00DA6548"/>
    <w:rsid w:val="00DB0B49"/>
    <w:rsid w:val="00DB41AB"/>
    <w:rsid w:val="00DC3B0A"/>
    <w:rsid w:val="00DD5488"/>
    <w:rsid w:val="00DE27F5"/>
    <w:rsid w:val="00DE38C2"/>
    <w:rsid w:val="00DE44B6"/>
    <w:rsid w:val="00DE6339"/>
    <w:rsid w:val="00DE7C74"/>
    <w:rsid w:val="00DF1A26"/>
    <w:rsid w:val="00DF4E0C"/>
    <w:rsid w:val="00E05038"/>
    <w:rsid w:val="00E16F01"/>
    <w:rsid w:val="00E22F9A"/>
    <w:rsid w:val="00E23216"/>
    <w:rsid w:val="00E23237"/>
    <w:rsid w:val="00E26AC6"/>
    <w:rsid w:val="00E36A07"/>
    <w:rsid w:val="00E42B7D"/>
    <w:rsid w:val="00E44CA3"/>
    <w:rsid w:val="00E469BE"/>
    <w:rsid w:val="00E56B0B"/>
    <w:rsid w:val="00E646E6"/>
    <w:rsid w:val="00E7002F"/>
    <w:rsid w:val="00E74150"/>
    <w:rsid w:val="00E74176"/>
    <w:rsid w:val="00E829AC"/>
    <w:rsid w:val="00E848FC"/>
    <w:rsid w:val="00EA4EB7"/>
    <w:rsid w:val="00EA7965"/>
    <w:rsid w:val="00EB3CDF"/>
    <w:rsid w:val="00EC5958"/>
    <w:rsid w:val="00EF7CF3"/>
    <w:rsid w:val="00F00DAC"/>
    <w:rsid w:val="00F03824"/>
    <w:rsid w:val="00F14774"/>
    <w:rsid w:val="00F15BAE"/>
    <w:rsid w:val="00F24876"/>
    <w:rsid w:val="00F30D80"/>
    <w:rsid w:val="00F32914"/>
    <w:rsid w:val="00F34B41"/>
    <w:rsid w:val="00F35378"/>
    <w:rsid w:val="00F460A8"/>
    <w:rsid w:val="00F5073F"/>
    <w:rsid w:val="00F52F6C"/>
    <w:rsid w:val="00F5622A"/>
    <w:rsid w:val="00F62334"/>
    <w:rsid w:val="00F73186"/>
    <w:rsid w:val="00F742DE"/>
    <w:rsid w:val="00F82721"/>
    <w:rsid w:val="00F845DE"/>
    <w:rsid w:val="00F84695"/>
    <w:rsid w:val="00F86C41"/>
    <w:rsid w:val="00FA2687"/>
    <w:rsid w:val="00FA39F0"/>
    <w:rsid w:val="00FC0B8C"/>
    <w:rsid w:val="00FC6460"/>
    <w:rsid w:val="00FD46F5"/>
    <w:rsid w:val="00FE0C2D"/>
    <w:rsid w:val="00FE3727"/>
    <w:rsid w:val="00FE4679"/>
    <w:rsid w:val="00FF3899"/>
    <w:rsid w:val="00FF4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50637FF6-A267-4D7D-B939-B24F266A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CFA"/>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253C78"/>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table" w:styleId="TableGrid">
    <w:name w:val="Table Grid"/>
    <w:basedOn w:val="TableNormal"/>
    <w:rsid w:val="00967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E1650"/>
    <w:rPr>
      <w:color w:val="0000FF"/>
      <w:u w:val="single"/>
    </w:rPr>
  </w:style>
  <w:style w:type="character" w:styleId="FollowedHyperlink">
    <w:name w:val="FollowedHyperlink"/>
    <w:basedOn w:val="DefaultParagraphFont"/>
    <w:rsid w:val="00D90CFE"/>
    <w:rPr>
      <w:color w:val="800080"/>
      <w:u w:val="single"/>
    </w:rPr>
  </w:style>
  <w:style w:type="paragraph" w:styleId="NormalWeb">
    <w:name w:val="Normal (Web)"/>
    <w:basedOn w:val="Normal"/>
    <w:uiPriority w:val="99"/>
    <w:rsid w:val="009C319B"/>
    <w:pPr>
      <w:spacing w:before="100" w:beforeAutospacing="1" w:after="100" w:afterAutospacing="1"/>
    </w:pPr>
    <w:rPr>
      <w:rFonts w:ascii="Arial" w:hAnsi="Arial" w:cs="Arial"/>
      <w:sz w:val="18"/>
      <w:szCs w:val="18"/>
    </w:rPr>
  </w:style>
  <w:style w:type="character" w:customStyle="1" w:styleId="txt-body1">
    <w:name w:val="txt-body1"/>
    <w:basedOn w:val="DefaultParagraphFont"/>
    <w:rsid w:val="009C319B"/>
    <w:rPr>
      <w:rFonts w:ascii="Arial" w:hAnsi="Arial" w:cs="Arial" w:hint="default"/>
      <w:color w:val="000000"/>
      <w:sz w:val="18"/>
      <w:szCs w:val="18"/>
    </w:rPr>
  </w:style>
  <w:style w:type="paragraph" w:styleId="BalloonText">
    <w:name w:val="Balloon Text"/>
    <w:basedOn w:val="Normal"/>
    <w:link w:val="BalloonTextChar"/>
    <w:rsid w:val="00FA2687"/>
    <w:rPr>
      <w:rFonts w:ascii="Tahoma" w:hAnsi="Tahoma" w:cs="Tahoma"/>
      <w:sz w:val="16"/>
      <w:szCs w:val="16"/>
    </w:rPr>
  </w:style>
  <w:style w:type="character" w:customStyle="1" w:styleId="BalloonTextChar">
    <w:name w:val="Balloon Text Char"/>
    <w:basedOn w:val="DefaultParagraphFont"/>
    <w:link w:val="BalloonText"/>
    <w:rsid w:val="00FA2687"/>
    <w:rPr>
      <w:rFonts w:ascii="Tahoma" w:hAnsi="Tahoma" w:cs="Tahoma"/>
      <w:sz w:val="16"/>
      <w:szCs w:val="16"/>
    </w:rPr>
  </w:style>
  <w:style w:type="character" w:customStyle="1" w:styleId="txt-body">
    <w:name w:val="txt-body"/>
    <w:basedOn w:val="DefaultParagraphFont"/>
    <w:rsid w:val="00BD0975"/>
  </w:style>
  <w:style w:type="character" w:customStyle="1" w:styleId="apple-converted-space">
    <w:name w:val="apple-converted-space"/>
    <w:basedOn w:val="DefaultParagraphFont"/>
    <w:rsid w:val="009E2893"/>
  </w:style>
  <w:style w:type="character" w:customStyle="1" w:styleId="info15">
    <w:name w:val="info15"/>
    <w:basedOn w:val="DefaultParagraphFont"/>
    <w:rsid w:val="00373EDD"/>
    <w:rPr>
      <w:rFonts w:ascii="Verdana" w:hAnsi="Verdana" w:hint="default"/>
      <w:i w:val="0"/>
      <w:iCs w:val="0"/>
      <w:color w:val="454442"/>
      <w:sz w:val="22"/>
      <w:szCs w:val="22"/>
    </w:rPr>
  </w:style>
  <w:style w:type="character" w:styleId="CommentReference">
    <w:name w:val="annotation reference"/>
    <w:basedOn w:val="DefaultParagraphFont"/>
    <w:rsid w:val="00E646E6"/>
    <w:rPr>
      <w:sz w:val="16"/>
      <w:szCs w:val="16"/>
    </w:rPr>
  </w:style>
  <w:style w:type="paragraph" w:styleId="CommentText">
    <w:name w:val="annotation text"/>
    <w:basedOn w:val="Normal"/>
    <w:link w:val="CommentTextChar"/>
    <w:rsid w:val="00E646E6"/>
    <w:rPr>
      <w:sz w:val="20"/>
      <w:szCs w:val="20"/>
    </w:rPr>
  </w:style>
  <w:style w:type="character" w:customStyle="1" w:styleId="CommentTextChar">
    <w:name w:val="Comment Text Char"/>
    <w:basedOn w:val="DefaultParagraphFont"/>
    <w:link w:val="CommentText"/>
    <w:rsid w:val="00E646E6"/>
  </w:style>
  <w:style w:type="paragraph" w:styleId="CommentSubject">
    <w:name w:val="annotation subject"/>
    <w:basedOn w:val="CommentText"/>
    <w:next w:val="CommentText"/>
    <w:link w:val="CommentSubjectChar"/>
    <w:rsid w:val="00E646E6"/>
    <w:rPr>
      <w:b/>
      <w:bCs/>
    </w:rPr>
  </w:style>
  <w:style w:type="character" w:customStyle="1" w:styleId="CommentSubjectChar">
    <w:name w:val="Comment Subject Char"/>
    <w:basedOn w:val="CommentTextChar"/>
    <w:link w:val="CommentSubject"/>
    <w:rsid w:val="00E64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3476">
      <w:bodyDiv w:val="1"/>
      <w:marLeft w:val="0"/>
      <w:marRight w:val="0"/>
      <w:marTop w:val="0"/>
      <w:marBottom w:val="0"/>
      <w:divBdr>
        <w:top w:val="none" w:sz="0" w:space="0" w:color="auto"/>
        <w:left w:val="none" w:sz="0" w:space="0" w:color="auto"/>
        <w:bottom w:val="none" w:sz="0" w:space="0" w:color="auto"/>
        <w:right w:val="none" w:sz="0" w:space="0" w:color="auto"/>
      </w:divBdr>
      <w:divsChild>
        <w:div w:id="996224904">
          <w:marLeft w:val="0"/>
          <w:marRight w:val="0"/>
          <w:marTop w:val="0"/>
          <w:marBottom w:val="0"/>
          <w:divBdr>
            <w:top w:val="none" w:sz="0" w:space="0" w:color="auto"/>
            <w:left w:val="none" w:sz="0" w:space="0" w:color="auto"/>
            <w:bottom w:val="none" w:sz="0" w:space="0" w:color="auto"/>
            <w:right w:val="none" w:sz="0" w:space="0" w:color="auto"/>
          </w:divBdr>
          <w:divsChild>
            <w:div w:id="284308568">
              <w:marLeft w:val="0"/>
              <w:marRight w:val="0"/>
              <w:marTop w:val="0"/>
              <w:marBottom w:val="0"/>
              <w:divBdr>
                <w:top w:val="none" w:sz="0" w:space="0" w:color="auto"/>
                <w:left w:val="none" w:sz="0" w:space="0" w:color="auto"/>
                <w:bottom w:val="none" w:sz="0" w:space="0" w:color="auto"/>
                <w:right w:val="none" w:sz="0" w:space="0" w:color="auto"/>
              </w:divBdr>
              <w:divsChild>
                <w:div w:id="9007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6135">
      <w:bodyDiv w:val="1"/>
      <w:marLeft w:val="0"/>
      <w:marRight w:val="0"/>
      <w:marTop w:val="0"/>
      <w:marBottom w:val="0"/>
      <w:divBdr>
        <w:top w:val="none" w:sz="0" w:space="0" w:color="auto"/>
        <w:left w:val="none" w:sz="0" w:space="0" w:color="auto"/>
        <w:bottom w:val="none" w:sz="0" w:space="0" w:color="auto"/>
        <w:right w:val="none" w:sz="0" w:space="0" w:color="auto"/>
      </w:divBdr>
    </w:div>
    <w:div w:id="453207708">
      <w:bodyDiv w:val="1"/>
      <w:marLeft w:val="0"/>
      <w:marRight w:val="0"/>
      <w:marTop w:val="0"/>
      <w:marBottom w:val="0"/>
      <w:divBdr>
        <w:top w:val="none" w:sz="0" w:space="0" w:color="auto"/>
        <w:left w:val="none" w:sz="0" w:space="0" w:color="auto"/>
        <w:bottom w:val="none" w:sz="0" w:space="0" w:color="auto"/>
        <w:right w:val="none" w:sz="0" w:space="0" w:color="auto"/>
      </w:divBdr>
    </w:div>
    <w:div w:id="497425342">
      <w:bodyDiv w:val="1"/>
      <w:marLeft w:val="0"/>
      <w:marRight w:val="0"/>
      <w:marTop w:val="0"/>
      <w:marBottom w:val="0"/>
      <w:divBdr>
        <w:top w:val="none" w:sz="0" w:space="0" w:color="auto"/>
        <w:left w:val="none" w:sz="0" w:space="0" w:color="auto"/>
        <w:bottom w:val="none" w:sz="0" w:space="0" w:color="auto"/>
        <w:right w:val="none" w:sz="0" w:space="0" w:color="auto"/>
      </w:divBdr>
      <w:divsChild>
        <w:div w:id="2120636863">
          <w:marLeft w:val="0"/>
          <w:marRight w:val="0"/>
          <w:marTop w:val="0"/>
          <w:marBottom w:val="0"/>
          <w:divBdr>
            <w:top w:val="none" w:sz="0" w:space="0" w:color="auto"/>
            <w:left w:val="none" w:sz="0" w:space="0" w:color="auto"/>
            <w:bottom w:val="none" w:sz="0" w:space="0" w:color="auto"/>
            <w:right w:val="none" w:sz="0" w:space="0" w:color="auto"/>
          </w:divBdr>
          <w:divsChild>
            <w:div w:id="2091004788">
              <w:marLeft w:val="0"/>
              <w:marRight w:val="0"/>
              <w:marTop w:val="0"/>
              <w:marBottom w:val="0"/>
              <w:divBdr>
                <w:top w:val="none" w:sz="0" w:space="0" w:color="auto"/>
                <w:left w:val="none" w:sz="0" w:space="0" w:color="auto"/>
                <w:bottom w:val="none" w:sz="0" w:space="0" w:color="auto"/>
                <w:right w:val="none" w:sz="0" w:space="0" w:color="auto"/>
              </w:divBdr>
              <w:divsChild>
                <w:div w:id="75163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47769">
      <w:bodyDiv w:val="1"/>
      <w:marLeft w:val="0"/>
      <w:marRight w:val="0"/>
      <w:marTop w:val="0"/>
      <w:marBottom w:val="0"/>
      <w:divBdr>
        <w:top w:val="none" w:sz="0" w:space="0" w:color="auto"/>
        <w:left w:val="none" w:sz="0" w:space="0" w:color="auto"/>
        <w:bottom w:val="none" w:sz="0" w:space="0" w:color="auto"/>
        <w:right w:val="none" w:sz="0" w:space="0" w:color="auto"/>
      </w:divBdr>
    </w:div>
    <w:div w:id="1091467510">
      <w:bodyDiv w:val="1"/>
      <w:marLeft w:val="0"/>
      <w:marRight w:val="0"/>
      <w:marTop w:val="0"/>
      <w:marBottom w:val="0"/>
      <w:divBdr>
        <w:top w:val="none" w:sz="0" w:space="0" w:color="auto"/>
        <w:left w:val="none" w:sz="0" w:space="0" w:color="auto"/>
        <w:bottom w:val="none" w:sz="0" w:space="0" w:color="auto"/>
        <w:right w:val="none" w:sz="0" w:space="0" w:color="auto"/>
      </w:divBdr>
    </w:div>
    <w:div w:id="1526554322">
      <w:bodyDiv w:val="1"/>
      <w:marLeft w:val="0"/>
      <w:marRight w:val="0"/>
      <w:marTop w:val="0"/>
      <w:marBottom w:val="0"/>
      <w:divBdr>
        <w:top w:val="none" w:sz="0" w:space="0" w:color="auto"/>
        <w:left w:val="none" w:sz="0" w:space="0" w:color="auto"/>
        <w:bottom w:val="none" w:sz="0" w:space="0" w:color="auto"/>
        <w:right w:val="none" w:sz="0" w:space="0" w:color="auto"/>
      </w:divBdr>
      <w:divsChild>
        <w:div w:id="1343044367">
          <w:marLeft w:val="0"/>
          <w:marRight w:val="0"/>
          <w:marTop w:val="0"/>
          <w:marBottom w:val="0"/>
          <w:divBdr>
            <w:top w:val="none" w:sz="0" w:space="0" w:color="auto"/>
            <w:left w:val="none" w:sz="0" w:space="0" w:color="auto"/>
            <w:bottom w:val="none" w:sz="0" w:space="0" w:color="auto"/>
            <w:right w:val="none" w:sz="0" w:space="0" w:color="auto"/>
          </w:divBdr>
        </w:div>
      </w:divsChild>
    </w:div>
    <w:div w:id="1639145260">
      <w:bodyDiv w:val="1"/>
      <w:marLeft w:val="0"/>
      <w:marRight w:val="0"/>
      <w:marTop w:val="0"/>
      <w:marBottom w:val="0"/>
      <w:divBdr>
        <w:top w:val="none" w:sz="0" w:space="0" w:color="auto"/>
        <w:left w:val="none" w:sz="0" w:space="0" w:color="auto"/>
        <w:bottom w:val="none" w:sz="0" w:space="0" w:color="auto"/>
        <w:right w:val="none" w:sz="0" w:space="0" w:color="auto"/>
      </w:divBdr>
    </w:div>
    <w:div w:id="1807814255">
      <w:bodyDiv w:val="1"/>
      <w:marLeft w:val="0"/>
      <w:marRight w:val="0"/>
      <w:marTop w:val="0"/>
      <w:marBottom w:val="0"/>
      <w:divBdr>
        <w:top w:val="none" w:sz="0" w:space="0" w:color="auto"/>
        <w:left w:val="none" w:sz="0" w:space="0" w:color="auto"/>
        <w:bottom w:val="none" w:sz="0" w:space="0" w:color="auto"/>
        <w:right w:val="none" w:sz="0" w:space="0" w:color="auto"/>
      </w:divBdr>
    </w:div>
    <w:div w:id="21209058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594">
          <w:marLeft w:val="0"/>
          <w:marRight w:val="0"/>
          <w:marTop w:val="0"/>
          <w:marBottom w:val="0"/>
          <w:divBdr>
            <w:top w:val="none" w:sz="0" w:space="0" w:color="auto"/>
            <w:left w:val="none" w:sz="0" w:space="0" w:color="auto"/>
            <w:bottom w:val="none" w:sz="0" w:space="0" w:color="auto"/>
            <w:right w:val="none" w:sz="0" w:space="0" w:color="auto"/>
          </w:divBdr>
          <w:divsChild>
            <w:div w:id="1440292992">
              <w:marLeft w:val="0"/>
              <w:marRight w:val="0"/>
              <w:marTop w:val="0"/>
              <w:marBottom w:val="0"/>
              <w:divBdr>
                <w:top w:val="none" w:sz="0" w:space="0" w:color="auto"/>
                <w:left w:val="none" w:sz="0" w:space="0" w:color="auto"/>
                <w:bottom w:val="none" w:sz="0" w:space="0" w:color="auto"/>
                <w:right w:val="none" w:sz="0" w:space="0" w:color="auto"/>
              </w:divBdr>
              <w:divsChild>
                <w:div w:id="179007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lembo@ni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ma1.od.nih.gov/Manualchapters/person/2300-320-7/Appendices/Predoc15.PDF?PHPSESSID=6207461d0b4f0fea0eeaa4e400af15e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cps/cpsaat39.pdf" TargetMode="External"/><Relationship Id="rId4" Type="http://schemas.openxmlformats.org/officeDocument/2006/relationships/settings" Target="settings.xml"/><Relationship Id="rId9" Type="http://schemas.openxmlformats.org/officeDocument/2006/relationships/hyperlink" Target="https://oma1.od.nih.gov/Manualchapters/person/2300-320-7/Appendices/Predoc15.PDF?PHPSESSID=6207461d0b4f0fea0eeaa4e400af15e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24C1A-6C91-4864-B59D-DEE47622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4197</Words>
  <Characters>23925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Supporting Statement 'A'  Preparation - 05/01/2008</vt:lpstr>
    </vt:vector>
  </TitlesOfParts>
  <Company>National Institutes of Health</Company>
  <LinksUpToDate>false</LinksUpToDate>
  <CharactersWithSpaces>28066</CharactersWithSpaces>
  <SharedDoc>false</SharedDoc>
  <HLinks>
    <vt:vector size="6" baseType="variant">
      <vt:variant>
        <vt:i4>4259899</vt:i4>
      </vt:variant>
      <vt:variant>
        <vt:i4>3</vt:i4>
      </vt:variant>
      <vt:variant>
        <vt:i4>0</vt:i4>
      </vt:variant>
      <vt:variant>
        <vt:i4>5</vt:i4>
      </vt:variant>
      <vt:variant>
        <vt:lpwstr>mailto:robert.lembo@nih.gov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Preparation - 05/01/2008</dc:title>
  <dc:subject>Supporting Statement 'A'  Preparation - 05/01/2008</dc:subject>
  <dc:creator>OD/USER</dc:creator>
  <cp:keywords>Supporting Statement 'A'  Preparation - 05/01/2008</cp:keywords>
  <cp:lastModifiedBy>Currie, Mikia (NIH/OD) [E]</cp:lastModifiedBy>
  <cp:revision>3</cp:revision>
  <cp:lastPrinted>2016-08-17T18:55:00Z</cp:lastPrinted>
  <dcterms:created xsi:type="dcterms:W3CDTF">2016-08-26T16:56:00Z</dcterms:created>
  <dcterms:modified xsi:type="dcterms:W3CDTF">2016-08-26T16:56:00Z</dcterms:modified>
</cp:coreProperties>
</file>