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0E" w:rsidRPr="0013110E" w:rsidRDefault="0013110E" w:rsidP="0013110E">
      <w:pPr>
        <w:pStyle w:val="Heading1"/>
        <w:spacing w:before="120" w:after="120" w:line="360" w:lineRule="auto"/>
        <w:jc w:val="center"/>
        <w:rPr>
          <w:rFonts w:ascii="Times New Roman" w:hAnsi="Times New Roman"/>
          <w:color w:val="auto"/>
          <w:szCs w:val="24"/>
        </w:rPr>
      </w:pPr>
      <w:r w:rsidRPr="0013110E">
        <w:rPr>
          <w:rFonts w:ascii="Times New Roman" w:hAnsi="Times New Roman"/>
          <w:color w:val="auto"/>
          <w:szCs w:val="24"/>
        </w:rPr>
        <w:t>Strategic Prevention Framework State Incentive Grant (SPF SIG) Program: Community Outcomes</w:t>
      </w:r>
    </w:p>
    <w:p w:rsidR="0013110E" w:rsidRPr="009D17A3" w:rsidRDefault="0013110E" w:rsidP="0013110E">
      <w:pPr>
        <w:pStyle w:val="Body"/>
        <w:jc w:val="center"/>
        <w:rPr>
          <w:rFonts w:ascii="Times New Roman" w:hAnsi="Times New Roman"/>
          <w:b/>
          <w:sz w:val="28"/>
          <w:szCs w:val="24"/>
        </w:rPr>
      </w:pPr>
      <w:bookmarkStart w:id="0" w:name="_GoBack"/>
      <w:bookmarkEnd w:id="0"/>
      <w:r w:rsidRPr="0013110E">
        <w:rPr>
          <w:rFonts w:ascii="Times New Roman" w:hAnsi="Times New Roman"/>
          <w:b/>
          <w:sz w:val="28"/>
          <w:szCs w:val="24"/>
        </w:rPr>
        <w:t>Supporting Statement</w:t>
      </w:r>
    </w:p>
    <w:p w:rsidR="003B62CF" w:rsidRDefault="001E5A3A" w:rsidP="001E5A3A">
      <w:pPr>
        <w:pStyle w:val="Body"/>
        <w:tabs>
          <w:tab w:val="left" w:pos="3705"/>
        </w:tabs>
        <w:rPr>
          <w:rFonts w:ascii="Times New Roman" w:hAnsi="Times New Roman"/>
          <w:b/>
          <w:szCs w:val="24"/>
        </w:rPr>
      </w:pPr>
      <w:r>
        <w:rPr>
          <w:rFonts w:ascii="Times New Roman" w:hAnsi="Times New Roman"/>
          <w:b/>
          <w:szCs w:val="24"/>
        </w:rPr>
        <w:tab/>
      </w:r>
    </w:p>
    <w:p w:rsidR="003B62CF" w:rsidRPr="00E040CC" w:rsidRDefault="003B62CF" w:rsidP="003B62CF">
      <w:pPr>
        <w:pStyle w:val="Body"/>
        <w:rPr>
          <w:rFonts w:ascii="Times New Roman" w:hAnsi="Times New Roman"/>
          <w:b/>
          <w:szCs w:val="24"/>
        </w:rPr>
      </w:pPr>
      <w:r w:rsidRPr="00E040CC">
        <w:rPr>
          <w:rFonts w:ascii="Times New Roman" w:hAnsi="Times New Roman"/>
          <w:b/>
          <w:szCs w:val="24"/>
        </w:rPr>
        <w:t xml:space="preserve">Part B.  Collections </w:t>
      </w:r>
      <w:r>
        <w:rPr>
          <w:rFonts w:ascii="Times New Roman" w:hAnsi="Times New Roman"/>
          <w:b/>
          <w:szCs w:val="24"/>
        </w:rPr>
        <w:t>o</w:t>
      </w:r>
      <w:r w:rsidRPr="00E040CC">
        <w:rPr>
          <w:rFonts w:ascii="Times New Roman" w:hAnsi="Times New Roman"/>
          <w:b/>
          <w:szCs w:val="24"/>
        </w:rPr>
        <w:t>f Information Employing Statistical Methods</w:t>
      </w:r>
    </w:p>
    <w:p w:rsidR="003B62CF" w:rsidRPr="00E040CC" w:rsidRDefault="003B62CF" w:rsidP="003B62CF">
      <w:pPr>
        <w:pStyle w:val="Heading2"/>
        <w:spacing w:before="120" w:line="360" w:lineRule="auto"/>
        <w:rPr>
          <w:rFonts w:ascii="Times New Roman" w:hAnsi="Times New Roman"/>
          <w:sz w:val="24"/>
          <w:szCs w:val="24"/>
        </w:rPr>
      </w:pPr>
      <w:r w:rsidRPr="00E040CC">
        <w:rPr>
          <w:rFonts w:ascii="Times New Roman" w:hAnsi="Times New Roman"/>
          <w:sz w:val="24"/>
          <w:szCs w:val="24"/>
        </w:rPr>
        <w:t>B1.  Respondent Universe and Sampling Methods</w:t>
      </w:r>
    </w:p>
    <w:p w:rsidR="003B62CF" w:rsidRDefault="003B62CF" w:rsidP="003B62CF">
      <w:pPr>
        <w:pStyle w:val="Body"/>
        <w:rPr>
          <w:rFonts w:ascii="Times New Roman" w:eastAsia="MS Mincho" w:hAnsi="Times New Roman"/>
          <w:szCs w:val="24"/>
        </w:rPr>
      </w:pPr>
      <w:r w:rsidRPr="004D5772">
        <w:rPr>
          <w:rFonts w:ascii="Times New Roman" w:eastAsia="MS Mincho" w:hAnsi="Times New Roman"/>
          <w:szCs w:val="24"/>
        </w:rPr>
        <w:t>SAMHSA’s</w:t>
      </w:r>
      <w:r w:rsidRPr="00E040CC">
        <w:rPr>
          <w:rFonts w:ascii="Times New Roman" w:eastAsia="MS Mincho" w:hAnsi="Times New Roman"/>
          <w:szCs w:val="24"/>
        </w:rPr>
        <w:t xml:space="preserve"> CSAP funded 24 </w:t>
      </w:r>
      <w:r>
        <w:rPr>
          <w:rFonts w:ascii="Times New Roman" w:eastAsia="MS Mincho" w:hAnsi="Times New Roman"/>
          <w:szCs w:val="24"/>
        </w:rPr>
        <w:t xml:space="preserve">SPF SIG </w:t>
      </w:r>
      <w:r w:rsidRPr="00E040CC">
        <w:rPr>
          <w:rFonts w:ascii="Times New Roman" w:eastAsia="MS Mincho" w:hAnsi="Times New Roman"/>
          <w:szCs w:val="24"/>
        </w:rPr>
        <w:t xml:space="preserve">grantees in July 2009 (Cohort IV), which included 12 states, the District of Columbia, 6 tribal entities, and 5 jurisdictions, and 10 grantees in October 2010 (Cohort V), which included 3 states and 7 tribal entities. SPF SIG grantees select, assist, and support selected community </w:t>
      </w:r>
      <w:proofErr w:type="spellStart"/>
      <w:r w:rsidRPr="00E040CC">
        <w:rPr>
          <w:rFonts w:ascii="Times New Roman" w:eastAsia="MS Mincho" w:hAnsi="Times New Roman"/>
          <w:szCs w:val="24"/>
        </w:rPr>
        <w:t>subrecipients</w:t>
      </w:r>
      <w:proofErr w:type="spellEnd"/>
      <w:r w:rsidRPr="00E040CC">
        <w:rPr>
          <w:rFonts w:ascii="Times New Roman" w:eastAsia="MS Mincho" w:hAnsi="Times New Roman"/>
          <w:szCs w:val="24"/>
        </w:rPr>
        <w:t xml:space="preserve"> </w:t>
      </w:r>
      <w:r w:rsidRPr="00E040CC">
        <w:rPr>
          <w:rFonts w:ascii="Times New Roman" w:hAnsi="Times New Roman"/>
          <w:szCs w:val="24"/>
        </w:rPr>
        <w:t xml:space="preserve">(i.e., communities that receive SPF SIG funds from the Cohort IV and V grantees) </w:t>
      </w:r>
      <w:r w:rsidRPr="00E040CC">
        <w:rPr>
          <w:rFonts w:ascii="Times New Roman" w:eastAsia="MS Mincho" w:hAnsi="Times New Roman"/>
          <w:szCs w:val="24"/>
        </w:rPr>
        <w:t xml:space="preserve">to implement effective programs, policies, and practices to reduce substance use and its related problems. Each grantee can pursue diverse strategies and methods for selecting the community </w:t>
      </w:r>
      <w:proofErr w:type="spellStart"/>
      <w:r w:rsidRPr="00E040CC">
        <w:rPr>
          <w:rFonts w:ascii="Times New Roman" w:eastAsia="MS Mincho" w:hAnsi="Times New Roman"/>
          <w:szCs w:val="24"/>
        </w:rPr>
        <w:t>subrecipients</w:t>
      </w:r>
      <w:proofErr w:type="spellEnd"/>
      <w:r w:rsidRPr="00E040CC">
        <w:rPr>
          <w:rFonts w:ascii="Times New Roman" w:eastAsia="MS Mincho" w:hAnsi="Times New Roman"/>
          <w:szCs w:val="24"/>
        </w:rPr>
        <w:t xml:space="preserve"> in their </w:t>
      </w:r>
      <w:r w:rsidRPr="004D5772">
        <w:rPr>
          <w:rFonts w:ascii="Times New Roman" w:eastAsia="MS Mincho" w:hAnsi="Times New Roman"/>
          <w:szCs w:val="24"/>
        </w:rPr>
        <w:t xml:space="preserve">areas. </w:t>
      </w:r>
      <w:r>
        <w:rPr>
          <w:rFonts w:ascii="Times New Roman" w:eastAsia="MS Mincho" w:hAnsi="Times New Roman"/>
          <w:szCs w:val="24"/>
        </w:rPr>
        <w:t>An</w:t>
      </w:r>
      <w:r w:rsidRPr="004D5772">
        <w:rPr>
          <w:rFonts w:ascii="Times New Roman" w:eastAsia="MS Mincho" w:hAnsi="Times New Roman"/>
          <w:szCs w:val="24"/>
        </w:rPr>
        <w:t xml:space="preserve"> average of 10-15 community </w:t>
      </w:r>
      <w:proofErr w:type="spellStart"/>
      <w:r w:rsidRPr="004D5772">
        <w:rPr>
          <w:rFonts w:ascii="Times New Roman" w:eastAsia="MS Mincho" w:hAnsi="Times New Roman"/>
          <w:szCs w:val="24"/>
        </w:rPr>
        <w:t>subrecipients</w:t>
      </w:r>
      <w:proofErr w:type="spellEnd"/>
      <w:r w:rsidRPr="004D5772">
        <w:rPr>
          <w:rFonts w:ascii="Times New Roman" w:eastAsia="MS Mincho" w:hAnsi="Times New Roman"/>
          <w:szCs w:val="24"/>
        </w:rPr>
        <w:t xml:space="preserve"> are awarded by each grantee. </w:t>
      </w:r>
    </w:p>
    <w:p w:rsidR="003B62CF" w:rsidRPr="004D5772" w:rsidRDefault="003B62CF" w:rsidP="003B62CF">
      <w:pPr>
        <w:pStyle w:val="Body"/>
        <w:rPr>
          <w:rFonts w:ascii="Times New Roman" w:eastAsia="MS Mincho" w:hAnsi="Times New Roman"/>
          <w:szCs w:val="24"/>
        </w:rPr>
      </w:pPr>
      <w:r w:rsidRPr="00F31C4D">
        <w:rPr>
          <w:rFonts w:ascii="Times New Roman" w:eastAsia="MS Mincho" w:hAnsi="Times New Roman"/>
          <w:szCs w:val="24"/>
        </w:rPr>
        <w:t xml:space="preserve">A census of all </w:t>
      </w:r>
      <w:r>
        <w:rPr>
          <w:rFonts w:ascii="Times New Roman" w:eastAsia="MS Mincho" w:hAnsi="Times New Roman"/>
          <w:szCs w:val="24"/>
        </w:rPr>
        <w:t>Cohort IV and V grantee</w:t>
      </w:r>
      <w:r w:rsidRPr="00F31C4D">
        <w:rPr>
          <w:rFonts w:ascii="Times New Roman" w:eastAsia="MS Mincho" w:hAnsi="Times New Roman"/>
          <w:szCs w:val="24"/>
        </w:rPr>
        <w:t xml:space="preserve">s is necessary </w:t>
      </w:r>
      <w:r>
        <w:rPr>
          <w:rFonts w:ascii="Times New Roman" w:eastAsia="MS Mincho" w:hAnsi="Times New Roman"/>
          <w:szCs w:val="24"/>
        </w:rPr>
        <w:t>because</w:t>
      </w:r>
      <w:r w:rsidRPr="00F31C4D">
        <w:rPr>
          <w:rFonts w:ascii="Times New Roman" w:eastAsia="MS Mincho" w:hAnsi="Times New Roman"/>
          <w:szCs w:val="24"/>
        </w:rPr>
        <w:t xml:space="preserve"> th</w:t>
      </w:r>
      <w:r>
        <w:rPr>
          <w:rFonts w:ascii="Times New Roman" w:eastAsia="MS Mincho" w:hAnsi="Times New Roman"/>
          <w:szCs w:val="24"/>
        </w:rPr>
        <w:t>ese</w:t>
      </w:r>
      <w:r w:rsidRPr="00F31C4D">
        <w:rPr>
          <w:rFonts w:ascii="Times New Roman" w:eastAsia="MS Mincho" w:hAnsi="Times New Roman"/>
          <w:szCs w:val="24"/>
        </w:rPr>
        <w:t xml:space="preserve"> data will be used by SAMHSA to </w:t>
      </w:r>
      <w:r>
        <w:rPr>
          <w:rFonts w:ascii="Times New Roman" w:eastAsia="MS Mincho" w:hAnsi="Times New Roman"/>
          <w:szCs w:val="24"/>
        </w:rPr>
        <w:t>assess program performance. SPF SIG</w:t>
      </w:r>
      <w:r w:rsidRPr="00F31C4D">
        <w:rPr>
          <w:rFonts w:ascii="Times New Roman" w:eastAsia="MS Mincho" w:hAnsi="Times New Roman"/>
          <w:szCs w:val="24"/>
        </w:rPr>
        <w:t xml:space="preserve"> grantees encompass a wide variety of organizational types and structures that are implementing a range of prevention interventions targeted to different populations and with various outcome goals. The variety between </w:t>
      </w:r>
      <w:r>
        <w:rPr>
          <w:rFonts w:ascii="Times New Roman" w:eastAsia="MS Mincho" w:hAnsi="Times New Roman"/>
          <w:szCs w:val="24"/>
        </w:rPr>
        <w:t>grantee initiative</w:t>
      </w:r>
      <w:r w:rsidRPr="00F31C4D">
        <w:rPr>
          <w:rFonts w:ascii="Times New Roman" w:eastAsia="MS Mincho" w:hAnsi="Times New Roman"/>
          <w:szCs w:val="24"/>
        </w:rPr>
        <w:t xml:space="preserve">s makes it critical to the </w:t>
      </w:r>
      <w:r>
        <w:rPr>
          <w:rFonts w:ascii="Times New Roman" w:eastAsia="MS Mincho" w:hAnsi="Times New Roman"/>
          <w:szCs w:val="24"/>
        </w:rPr>
        <w:t>cross-site</w:t>
      </w:r>
      <w:r w:rsidRPr="00F31C4D">
        <w:rPr>
          <w:rFonts w:ascii="Times New Roman" w:eastAsia="MS Mincho" w:hAnsi="Times New Roman"/>
          <w:szCs w:val="24"/>
        </w:rPr>
        <w:t xml:space="preserve"> evaluation to assess which </w:t>
      </w:r>
      <w:r>
        <w:rPr>
          <w:rFonts w:ascii="Times New Roman" w:eastAsia="MS Mincho" w:hAnsi="Times New Roman"/>
          <w:szCs w:val="24"/>
        </w:rPr>
        <w:t xml:space="preserve">initiative </w:t>
      </w:r>
      <w:r w:rsidRPr="00F31C4D">
        <w:rPr>
          <w:rFonts w:ascii="Times New Roman" w:eastAsia="MS Mincho" w:hAnsi="Times New Roman"/>
          <w:szCs w:val="24"/>
        </w:rPr>
        <w:t xml:space="preserve">characteristics and interventions </w:t>
      </w:r>
      <w:r>
        <w:rPr>
          <w:rFonts w:ascii="Times New Roman" w:eastAsia="MS Mincho" w:hAnsi="Times New Roman"/>
          <w:szCs w:val="24"/>
        </w:rPr>
        <w:t xml:space="preserve">(already captured through the current OMB-approved instruments) </w:t>
      </w:r>
      <w:r w:rsidRPr="00F31C4D">
        <w:rPr>
          <w:rFonts w:ascii="Times New Roman" w:eastAsia="MS Mincho" w:hAnsi="Times New Roman"/>
          <w:szCs w:val="24"/>
        </w:rPr>
        <w:t xml:space="preserve">are associated with better outcomes </w:t>
      </w:r>
      <w:r w:rsidRPr="004D5772">
        <w:rPr>
          <w:rFonts w:ascii="Times New Roman" w:eastAsia="MS Mincho" w:hAnsi="Times New Roman"/>
          <w:szCs w:val="24"/>
        </w:rPr>
        <w:t>for particular types of communities.</w:t>
      </w:r>
    </w:p>
    <w:p w:rsidR="003B62CF" w:rsidRPr="00E040CC" w:rsidRDefault="003B62CF" w:rsidP="003B62CF">
      <w:pPr>
        <w:pStyle w:val="Body"/>
        <w:rPr>
          <w:rFonts w:ascii="Times New Roman" w:hAnsi="Times New Roman"/>
          <w:szCs w:val="24"/>
        </w:rPr>
      </w:pPr>
      <w:r w:rsidRPr="004D5772">
        <w:rPr>
          <w:rFonts w:ascii="Times New Roman" w:hAnsi="Times New Roman"/>
          <w:szCs w:val="24"/>
        </w:rPr>
        <w:t xml:space="preserve">Submission of community outcomes data will be required of all active Cohort V SPF SIG grantees on behalf of their active community </w:t>
      </w:r>
      <w:proofErr w:type="spellStart"/>
      <w:r w:rsidRPr="004D5772">
        <w:rPr>
          <w:rFonts w:ascii="Times New Roman" w:hAnsi="Times New Roman"/>
          <w:szCs w:val="24"/>
        </w:rPr>
        <w:t>subrecipients</w:t>
      </w:r>
      <w:proofErr w:type="spellEnd"/>
      <w:r w:rsidRPr="004D5772">
        <w:rPr>
          <w:rFonts w:ascii="Times New Roman" w:hAnsi="Times New Roman"/>
          <w:szCs w:val="24"/>
        </w:rPr>
        <w:t xml:space="preserve">. Cohort IV grantees will be asked to voluntarily provide the data. Most Cohort IV grantees have indicated willingness to provide the data to the cross-site evaluation, because the data are generally those they have gathered from </w:t>
      </w:r>
      <w:proofErr w:type="gramStart"/>
      <w:r w:rsidRPr="004D5772">
        <w:rPr>
          <w:rFonts w:ascii="Times New Roman" w:hAnsi="Times New Roman"/>
          <w:szCs w:val="24"/>
        </w:rPr>
        <w:t>existing</w:t>
      </w:r>
      <w:proofErr w:type="gramEnd"/>
      <w:r w:rsidRPr="004D5772">
        <w:rPr>
          <w:rFonts w:ascii="Times New Roman" w:hAnsi="Times New Roman"/>
          <w:szCs w:val="24"/>
        </w:rPr>
        <w:t xml:space="preserve"> administrative and survey datasets for the purposes of their own grantee-level evaluations. The estimated response rate for this activity across Cohort IV and V is 65 percent (22 of 34 grantees), because some grantees have indicated a lack of available data.</w:t>
      </w:r>
    </w:p>
    <w:p w:rsidR="003B62CF" w:rsidRPr="00E040CC" w:rsidRDefault="003B62CF" w:rsidP="003B62CF">
      <w:pPr>
        <w:pStyle w:val="Heading2"/>
        <w:spacing w:line="360" w:lineRule="auto"/>
        <w:rPr>
          <w:rFonts w:ascii="Times New Roman" w:hAnsi="Times New Roman"/>
          <w:sz w:val="24"/>
          <w:szCs w:val="24"/>
        </w:rPr>
      </w:pPr>
      <w:r w:rsidRPr="00E040CC">
        <w:rPr>
          <w:rFonts w:ascii="Times New Roman" w:hAnsi="Times New Roman"/>
          <w:sz w:val="24"/>
          <w:szCs w:val="24"/>
        </w:rPr>
        <w:t>B2.  Information Collection Procedures</w:t>
      </w:r>
    </w:p>
    <w:p w:rsidR="003B62CF" w:rsidRDefault="003B62CF" w:rsidP="003B62CF">
      <w:pPr>
        <w:pStyle w:val="Body"/>
        <w:rPr>
          <w:rFonts w:ascii="Times New Roman" w:hAnsi="Times New Roman"/>
          <w:szCs w:val="24"/>
        </w:rPr>
      </w:pPr>
      <w:r w:rsidRPr="00E040CC">
        <w:rPr>
          <w:rFonts w:ascii="Times New Roman" w:hAnsi="Times New Roman"/>
          <w:szCs w:val="24"/>
        </w:rPr>
        <w:t xml:space="preserve">To initiate collection of </w:t>
      </w:r>
      <w:r>
        <w:rPr>
          <w:rFonts w:ascii="Times New Roman" w:hAnsi="Times New Roman"/>
          <w:szCs w:val="24"/>
        </w:rPr>
        <w:t>community outcomes data</w:t>
      </w:r>
      <w:r w:rsidRPr="00E040CC">
        <w:rPr>
          <w:rFonts w:ascii="Times New Roman" w:hAnsi="Times New Roman"/>
          <w:szCs w:val="24"/>
        </w:rPr>
        <w:t xml:space="preserve">, </w:t>
      </w:r>
      <w:r w:rsidR="00072D5E">
        <w:rPr>
          <w:rFonts w:ascii="Times New Roman" w:hAnsi="Times New Roman"/>
          <w:szCs w:val="24"/>
        </w:rPr>
        <w:t>the contractor</w:t>
      </w:r>
      <w:r>
        <w:rPr>
          <w:rFonts w:ascii="Times New Roman" w:hAnsi="Times New Roman"/>
          <w:szCs w:val="24"/>
        </w:rPr>
        <w:t xml:space="preserve"> will contact each Cohort IV and V</w:t>
      </w:r>
      <w:r w:rsidRPr="00E040CC">
        <w:rPr>
          <w:rFonts w:ascii="Times New Roman" w:hAnsi="Times New Roman"/>
          <w:szCs w:val="24"/>
        </w:rPr>
        <w:t xml:space="preserve"> SPF</w:t>
      </w:r>
      <w:r>
        <w:rPr>
          <w:rFonts w:ascii="Times New Roman" w:hAnsi="Times New Roman"/>
          <w:szCs w:val="24"/>
        </w:rPr>
        <w:t xml:space="preserve"> SIG </w:t>
      </w:r>
      <w:r w:rsidRPr="00F34BC0">
        <w:rPr>
          <w:rFonts w:ascii="Times New Roman" w:hAnsi="Times New Roman"/>
          <w:szCs w:val="24"/>
        </w:rPr>
        <w:t>Project Director and Evaluator by e-mail to request submission of the data via a spreadsheet template</w:t>
      </w:r>
      <w:r w:rsidRPr="00893F0C">
        <w:rPr>
          <w:rFonts w:ascii="Times New Roman" w:hAnsi="Times New Roman"/>
          <w:szCs w:val="24"/>
        </w:rPr>
        <w:t xml:space="preserve">. The spreadsheet will be pre-populated with any community outcomes data </w:t>
      </w:r>
      <w:r w:rsidRPr="00893F0C">
        <w:rPr>
          <w:rFonts w:ascii="Times New Roman" w:hAnsi="Times New Roman"/>
          <w:szCs w:val="24"/>
        </w:rPr>
        <w:lastRenderedPageBreak/>
        <w:t xml:space="preserve">that </w:t>
      </w:r>
      <w:r w:rsidR="00072D5E">
        <w:rPr>
          <w:rFonts w:ascii="Times New Roman" w:hAnsi="Times New Roman"/>
          <w:szCs w:val="24"/>
        </w:rPr>
        <w:t>the contractor</w:t>
      </w:r>
      <w:r w:rsidRPr="00893F0C">
        <w:rPr>
          <w:rFonts w:ascii="Times New Roman" w:hAnsi="Times New Roman"/>
          <w:szCs w:val="24"/>
        </w:rPr>
        <w:t xml:space="preserve"> has in our cross-site database.</w:t>
      </w:r>
      <w:r w:rsidRPr="00ED308B">
        <w:rPr>
          <w:rFonts w:ascii="Times New Roman" w:hAnsi="Times New Roman"/>
          <w:szCs w:val="24"/>
        </w:rPr>
        <w:t xml:space="preserve"> The Excel format will </w:t>
      </w:r>
      <w:r>
        <w:rPr>
          <w:rFonts w:ascii="Times New Roman" w:hAnsi="Times New Roman"/>
          <w:szCs w:val="24"/>
        </w:rPr>
        <w:t xml:space="preserve">allow grantees to </w:t>
      </w:r>
      <w:r w:rsidRPr="00ED308B">
        <w:rPr>
          <w:rFonts w:ascii="Times New Roman" w:hAnsi="Times New Roman"/>
          <w:szCs w:val="24"/>
        </w:rPr>
        <w:t>c</w:t>
      </w:r>
      <w:r>
        <w:rPr>
          <w:rFonts w:ascii="Times New Roman" w:hAnsi="Times New Roman"/>
          <w:szCs w:val="24"/>
        </w:rPr>
        <w:t>opy and paste</w:t>
      </w:r>
      <w:r w:rsidRPr="00ED308B">
        <w:rPr>
          <w:rFonts w:ascii="Times New Roman" w:hAnsi="Times New Roman"/>
          <w:szCs w:val="24"/>
        </w:rPr>
        <w:t xml:space="preserve"> </w:t>
      </w:r>
      <w:r>
        <w:rPr>
          <w:rFonts w:ascii="Times New Roman" w:hAnsi="Times New Roman"/>
          <w:szCs w:val="24"/>
        </w:rPr>
        <w:t xml:space="preserve">information </w:t>
      </w:r>
      <w:r w:rsidRPr="00ED308B">
        <w:rPr>
          <w:rFonts w:ascii="Times New Roman" w:hAnsi="Times New Roman"/>
          <w:szCs w:val="24"/>
        </w:rPr>
        <w:t xml:space="preserve">across multiple </w:t>
      </w:r>
      <w:proofErr w:type="spellStart"/>
      <w:r w:rsidRPr="00ED308B">
        <w:rPr>
          <w:rFonts w:ascii="Times New Roman" w:hAnsi="Times New Roman"/>
          <w:szCs w:val="24"/>
        </w:rPr>
        <w:t>subrecipients</w:t>
      </w:r>
      <w:proofErr w:type="spellEnd"/>
      <w:r w:rsidRPr="00ED308B">
        <w:rPr>
          <w:rFonts w:ascii="Times New Roman" w:hAnsi="Times New Roman"/>
          <w:szCs w:val="24"/>
        </w:rPr>
        <w:t xml:space="preserve"> with common data elements</w:t>
      </w:r>
      <w:r>
        <w:rPr>
          <w:rFonts w:ascii="Times New Roman" w:hAnsi="Times New Roman"/>
          <w:szCs w:val="24"/>
        </w:rPr>
        <w:t xml:space="preserve"> (e.g., data source name, survey item wording)</w:t>
      </w:r>
      <w:r w:rsidRPr="00ED308B">
        <w:rPr>
          <w:rFonts w:ascii="Times New Roman" w:hAnsi="Times New Roman"/>
          <w:szCs w:val="24"/>
        </w:rPr>
        <w:t>. Closed-ended fields will contain drop-down menus that allow for the quick selecti</w:t>
      </w:r>
      <w:r>
        <w:rPr>
          <w:rFonts w:ascii="Times New Roman" w:hAnsi="Times New Roman"/>
          <w:szCs w:val="24"/>
        </w:rPr>
        <w:t>on from among response options.</w:t>
      </w:r>
      <w:r w:rsidRPr="00ED308B">
        <w:rPr>
          <w:rFonts w:ascii="Times New Roman" w:hAnsi="Times New Roman"/>
          <w:szCs w:val="24"/>
        </w:rPr>
        <w:t xml:space="preserve"> Given the non-confidential nature of aggregate community outcomes data, </w:t>
      </w:r>
      <w:r>
        <w:rPr>
          <w:rFonts w:ascii="Times New Roman" w:hAnsi="Times New Roman"/>
          <w:szCs w:val="24"/>
        </w:rPr>
        <w:t xml:space="preserve">grantees will be asked to return </w:t>
      </w:r>
      <w:r w:rsidRPr="00ED308B">
        <w:rPr>
          <w:rFonts w:ascii="Times New Roman" w:hAnsi="Times New Roman"/>
          <w:szCs w:val="24"/>
        </w:rPr>
        <w:t xml:space="preserve">the data entry spreadsheet to </w:t>
      </w:r>
      <w:r w:rsidR="00072D5E">
        <w:rPr>
          <w:rFonts w:ascii="Times New Roman" w:hAnsi="Times New Roman"/>
          <w:szCs w:val="24"/>
        </w:rPr>
        <w:t>the contractor</w:t>
      </w:r>
      <w:r w:rsidRPr="00ED308B">
        <w:rPr>
          <w:rFonts w:ascii="Times New Roman" w:hAnsi="Times New Roman"/>
          <w:szCs w:val="24"/>
        </w:rPr>
        <w:t xml:space="preserve"> via email</w:t>
      </w:r>
      <w:r>
        <w:rPr>
          <w:rFonts w:ascii="Times New Roman" w:hAnsi="Times New Roman"/>
          <w:szCs w:val="24"/>
        </w:rPr>
        <w:t>.</w:t>
      </w:r>
    </w:p>
    <w:p w:rsidR="003B62CF" w:rsidRDefault="003B62CF" w:rsidP="003B62CF">
      <w:pPr>
        <w:pStyle w:val="Body"/>
        <w:rPr>
          <w:rFonts w:ascii="Times New Roman" w:hAnsi="Times New Roman"/>
          <w:szCs w:val="24"/>
        </w:rPr>
      </w:pPr>
      <w:r>
        <w:rPr>
          <w:rFonts w:ascii="Times New Roman" w:hAnsi="Times New Roman"/>
          <w:szCs w:val="24"/>
        </w:rPr>
        <w:t xml:space="preserve">Grantees will have access to technical assistance in completing the spreadsheets. The </w:t>
      </w:r>
      <w:r w:rsidR="00025948">
        <w:rPr>
          <w:rFonts w:ascii="Times New Roman" w:hAnsi="Times New Roman"/>
          <w:szCs w:val="24"/>
        </w:rPr>
        <w:t>contractor’s</w:t>
      </w:r>
      <w:r>
        <w:rPr>
          <w:rFonts w:ascii="Times New Roman" w:hAnsi="Times New Roman"/>
          <w:szCs w:val="24"/>
        </w:rPr>
        <w:t xml:space="preserve"> online data system that is used to collect the other cross-site evaluation instruments includes </w:t>
      </w:r>
      <w:r w:rsidRPr="00AA035A">
        <w:rPr>
          <w:rFonts w:ascii="Times New Roman" w:hAnsi="Times New Roman"/>
          <w:szCs w:val="24"/>
        </w:rPr>
        <w:t>a “Help” or “Support” link</w:t>
      </w:r>
      <w:r>
        <w:rPr>
          <w:rFonts w:ascii="Times New Roman" w:hAnsi="Times New Roman"/>
          <w:szCs w:val="24"/>
        </w:rPr>
        <w:t xml:space="preserve">, which will </w:t>
      </w:r>
      <w:r w:rsidRPr="00AA035A">
        <w:rPr>
          <w:rFonts w:ascii="Times New Roman" w:hAnsi="Times New Roman"/>
          <w:szCs w:val="24"/>
        </w:rPr>
        <w:t>allow the respondent to access the following support resources:</w:t>
      </w:r>
    </w:p>
    <w:p w:rsidR="003B62CF" w:rsidRDefault="003B62CF" w:rsidP="003B62CF">
      <w:pPr>
        <w:keepLines/>
        <w:numPr>
          <w:ilvl w:val="0"/>
          <w:numId w:val="2"/>
        </w:numPr>
        <w:spacing w:after="240"/>
        <w:contextualSpacing/>
      </w:pPr>
      <w:r>
        <w:rPr>
          <w:i/>
          <w:iCs/>
        </w:rPr>
        <w:t>T</w:t>
      </w:r>
      <w:r w:rsidRPr="00CF19EA">
        <w:rPr>
          <w:i/>
          <w:iCs/>
        </w:rPr>
        <w:t>he Knowledge Base</w:t>
      </w:r>
      <w:r w:rsidRPr="00CF19EA">
        <w:t xml:space="preserve">. </w:t>
      </w:r>
      <w:r>
        <w:t>Community outcomes guidance materials will be available on the Knowledge Base to assist grantees in populating the spreadsheet.</w:t>
      </w:r>
    </w:p>
    <w:p w:rsidR="003B62CF" w:rsidRPr="00CF19EA" w:rsidRDefault="003B62CF" w:rsidP="003B62CF">
      <w:pPr>
        <w:spacing w:after="240"/>
        <w:ind w:left="1080"/>
        <w:contextualSpacing/>
      </w:pPr>
    </w:p>
    <w:p w:rsidR="003B62CF" w:rsidRDefault="003B62CF" w:rsidP="003B62CF">
      <w:pPr>
        <w:numPr>
          <w:ilvl w:val="0"/>
          <w:numId w:val="1"/>
        </w:numPr>
        <w:spacing w:after="240"/>
        <w:contextualSpacing/>
      </w:pPr>
      <w:r w:rsidRPr="00E803CC">
        <w:rPr>
          <w:i/>
          <w:iCs/>
        </w:rPr>
        <w:t>Contact Us</w:t>
      </w:r>
      <w:r w:rsidRPr="00E803CC">
        <w:t>.</w:t>
      </w:r>
      <w:r w:rsidRPr="00CF19EA">
        <w:t xml:space="preserve"> Respondents may request assistance by calling a provided toll-free </w:t>
      </w:r>
      <w:r>
        <w:t xml:space="preserve">number, </w:t>
      </w:r>
      <w:r w:rsidRPr="00CF19EA">
        <w:t xml:space="preserve">sending an email request, </w:t>
      </w:r>
      <w:r>
        <w:t xml:space="preserve">or submitting a technical assistance submission form </w:t>
      </w:r>
      <w:r w:rsidRPr="00CF19EA">
        <w:t xml:space="preserve">as desired. The toll-free line will be routed to an email system that is checked </w:t>
      </w:r>
      <w:r>
        <w:t>daily</w:t>
      </w:r>
      <w:r w:rsidRPr="00CF19EA">
        <w:t xml:space="preserve"> by members of the training and technical assistance team. Staff responding to technical assistance</w:t>
      </w:r>
      <w:r w:rsidRPr="00CF19EA" w:rsidDel="008716FE">
        <w:t xml:space="preserve"> </w:t>
      </w:r>
      <w:r w:rsidRPr="00CF19EA">
        <w:t xml:space="preserve">requests will be trained in </w:t>
      </w:r>
      <w:r>
        <w:t>the instrument</w:t>
      </w:r>
      <w:r w:rsidRPr="00CF19EA">
        <w:t xml:space="preserve"> and have ready access to the </w:t>
      </w:r>
      <w:r>
        <w:t xml:space="preserve">community outcomes guidance materials on the </w:t>
      </w:r>
      <w:r w:rsidRPr="00CF19EA">
        <w:t>Knowledge Base. Training and technical assistance</w:t>
      </w:r>
      <w:r w:rsidRPr="00CF19EA" w:rsidDel="008716FE">
        <w:t xml:space="preserve"> </w:t>
      </w:r>
      <w:r w:rsidRPr="00CF19EA">
        <w:t>team staff will monitor all submitted tickets to ensure timely response and resolution of technical assistance</w:t>
      </w:r>
      <w:r w:rsidRPr="00CF19EA" w:rsidDel="008716FE">
        <w:t xml:space="preserve"> </w:t>
      </w:r>
      <w:r w:rsidRPr="00CF19EA">
        <w:t>requests.</w:t>
      </w:r>
    </w:p>
    <w:p w:rsidR="003B62CF" w:rsidRPr="00E040CC" w:rsidRDefault="003B62CF" w:rsidP="003B62CF">
      <w:pPr>
        <w:pStyle w:val="Body"/>
        <w:rPr>
          <w:rFonts w:ascii="Times New Roman" w:hAnsi="Times New Roman"/>
          <w:szCs w:val="24"/>
        </w:rPr>
      </w:pPr>
      <w:r>
        <w:rPr>
          <w:rFonts w:ascii="Times New Roman" w:hAnsi="Times New Roman"/>
          <w:szCs w:val="24"/>
        </w:rPr>
        <w:t>Over the two-month data collection period, grantees will receive follow-up contact by email from the technical assistance team to ensure that all questions are answered and that grantees are reminded of the submission deadline.</w:t>
      </w:r>
    </w:p>
    <w:p w:rsidR="003B62CF" w:rsidRPr="00E040CC" w:rsidRDefault="003B62CF" w:rsidP="003B62CF">
      <w:pPr>
        <w:pStyle w:val="Heading2"/>
        <w:spacing w:line="360" w:lineRule="auto"/>
        <w:rPr>
          <w:rFonts w:ascii="Times New Roman" w:hAnsi="Times New Roman"/>
          <w:sz w:val="24"/>
          <w:szCs w:val="24"/>
        </w:rPr>
      </w:pPr>
      <w:r w:rsidRPr="00E040CC">
        <w:rPr>
          <w:rFonts w:ascii="Times New Roman" w:hAnsi="Times New Roman"/>
          <w:sz w:val="24"/>
          <w:szCs w:val="24"/>
        </w:rPr>
        <w:t>B3.  Methods to Maximize Response Rates</w:t>
      </w:r>
    </w:p>
    <w:p w:rsidR="003B62CF" w:rsidRPr="00E040CC" w:rsidRDefault="003B62CF" w:rsidP="003B62CF">
      <w:pPr>
        <w:pStyle w:val="Body"/>
        <w:rPr>
          <w:rFonts w:ascii="Times New Roman" w:hAnsi="Times New Roman"/>
          <w:szCs w:val="24"/>
        </w:rPr>
      </w:pPr>
      <w:r>
        <w:rPr>
          <w:rFonts w:ascii="Times New Roman" w:hAnsi="Times New Roman"/>
          <w:szCs w:val="24"/>
        </w:rPr>
        <w:t>A</w:t>
      </w:r>
      <w:r w:rsidRPr="00E040CC">
        <w:rPr>
          <w:rFonts w:ascii="Times New Roman" w:hAnsi="Times New Roman"/>
          <w:szCs w:val="24"/>
        </w:rPr>
        <w:t xml:space="preserve">ll </w:t>
      </w:r>
      <w:r>
        <w:rPr>
          <w:rFonts w:ascii="Times New Roman" w:hAnsi="Times New Roman"/>
          <w:szCs w:val="24"/>
        </w:rPr>
        <w:t xml:space="preserve">Cohort V </w:t>
      </w:r>
      <w:r w:rsidRPr="00E040CC">
        <w:rPr>
          <w:rFonts w:ascii="Times New Roman" w:hAnsi="Times New Roman"/>
          <w:szCs w:val="24"/>
        </w:rPr>
        <w:t xml:space="preserve">grantees will be required to </w:t>
      </w:r>
      <w:r>
        <w:rPr>
          <w:rFonts w:ascii="Times New Roman" w:hAnsi="Times New Roman"/>
          <w:szCs w:val="24"/>
        </w:rPr>
        <w:t>provide community outcomes data. We anticipate that</w:t>
      </w:r>
      <w:r w:rsidRPr="00E040CC">
        <w:rPr>
          <w:rFonts w:ascii="Times New Roman" w:eastAsia="MS Mincho" w:hAnsi="Times New Roman"/>
          <w:szCs w:val="24"/>
        </w:rPr>
        <w:t xml:space="preserve">, the response rate </w:t>
      </w:r>
      <w:r>
        <w:rPr>
          <w:rFonts w:ascii="Times New Roman" w:eastAsia="MS Mincho" w:hAnsi="Times New Roman"/>
          <w:szCs w:val="24"/>
        </w:rPr>
        <w:t>will be less than</w:t>
      </w:r>
      <w:r w:rsidRPr="00E040CC">
        <w:rPr>
          <w:rFonts w:ascii="Times New Roman" w:eastAsia="MS Mincho" w:hAnsi="Times New Roman"/>
          <w:szCs w:val="24"/>
        </w:rPr>
        <w:t xml:space="preserve"> 100 percent</w:t>
      </w:r>
      <w:r>
        <w:rPr>
          <w:rFonts w:ascii="Times New Roman" w:eastAsia="MS Mincho" w:hAnsi="Times New Roman"/>
          <w:szCs w:val="24"/>
        </w:rPr>
        <w:t>, however, as not all tribal grantees had available data sources or conducted primary data collection for their evaluations</w:t>
      </w:r>
      <w:r w:rsidRPr="00E040CC">
        <w:rPr>
          <w:rFonts w:ascii="Times New Roman" w:eastAsia="MS Mincho" w:hAnsi="Times New Roman"/>
          <w:szCs w:val="24"/>
        </w:rPr>
        <w:t xml:space="preserve">. </w:t>
      </w:r>
      <w:r>
        <w:rPr>
          <w:rFonts w:ascii="Times New Roman" w:eastAsia="MS Mincho" w:hAnsi="Times New Roman"/>
          <w:szCs w:val="24"/>
        </w:rPr>
        <w:t xml:space="preserve">For Cohort IV grantees, although submission of community outcomes data will be voluntary, most have indicated willingness to provide data as well as availability of existing data. </w:t>
      </w:r>
      <w:r w:rsidRPr="00C77943">
        <w:rPr>
          <w:rFonts w:ascii="Times New Roman" w:eastAsia="MS Mincho" w:hAnsi="Times New Roman"/>
          <w:szCs w:val="24"/>
        </w:rPr>
        <w:t>T</w:t>
      </w:r>
      <w:r w:rsidRPr="00C77943">
        <w:rPr>
          <w:rFonts w:ascii="Times New Roman" w:hAnsi="Times New Roman"/>
          <w:szCs w:val="24"/>
        </w:rPr>
        <w:t>he estimated response rate for this activity across Cohort IV and V is</w:t>
      </w:r>
      <w:r>
        <w:rPr>
          <w:rFonts w:ascii="Times New Roman" w:hAnsi="Times New Roman"/>
          <w:szCs w:val="24"/>
        </w:rPr>
        <w:t xml:space="preserve"> 65 percent (22 of 34 grantees).</w:t>
      </w:r>
      <w:r w:rsidRPr="00C77943">
        <w:rPr>
          <w:rFonts w:ascii="Times New Roman" w:hAnsi="Times New Roman"/>
          <w:szCs w:val="24"/>
        </w:rPr>
        <w:t xml:space="preserve"> </w:t>
      </w:r>
      <w:r w:rsidRPr="00E040CC">
        <w:rPr>
          <w:rFonts w:ascii="Times New Roman" w:eastAsia="MS Mincho" w:hAnsi="Times New Roman"/>
          <w:szCs w:val="24"/>
        </w:rPr>
        <w:t xml:space="preserve">The follow-up procedures, described in the preceding section, will increase the likelihood that a very high percentage of grantees will respond. </w:t>
      </w:r>
    </w:p>
    <w:p w:rsidR="003B62CF" w:rsidRPr="00E040CC" w:rsidRDefault="003B62CF" w:rsidP="003B62CF">
      <w:pPr>
        <w:pStyle w:val="Heading2"/>
        <w:spacing w:before="120" w:line="360" w:lineRule="auto"/>
        <w:rPr>
          <w:rFonts w:ascii="Times New Roman" w:hAnsi="Times New Roman"/>
          <w:sz w:val="24"/>
          <w:szCs w:val="24"/>
        </w:rPr>
      </w:pPr>
      <w:r w:rsidRPr="00E040CC">
        <w:rPr>
          <w:rFonts w:ascii="Times New Roman" w:hAnsi="Times New Roman"/>
          <w:sz w:val="24"/>
          <w:szCs w:val="24"/>
        </w:rPr>
        <w:lastRenderedPageBreak/>
        <w:t>B4.  Tests of Procedures</w:t>
      </w:r>
    </w:p>
    <w:p w:rsidR="003B62CF" w:rsidRPr="00062AB7" w:rsidRDefault="003B62CF" w:rsidP="003B62CF">
      <w:pPr>
        <w:pStyle w:val="Body"/>
        <w:rPr>
          <w:rFonts w:ascii="Times New Roman" w:eastAsia="MS Mincho" w:hAnsi="Times New Roman"/>
          <w:szCs w:val="24"/>
        </w:rPr>
      </w:pPr>
      <w:r w:rsidRPr="00062AB7">
        <w:rPr>
          <w:rFonts w:ascii="Times New Roman" w:eastAsia="MS Mincho" w:hAnsi="Times New Roman"/>
          <w:szCs w:val="24"/>
        </w:rPr>
        <w:t>As part of the broader contract, three staff completed a test version of a community outcomes instrument that is very similar in content to the one proposed in this package. These staff members have experience with SPF initiatives, including serving as local evaluators for SPF</w:t>
      </w:r>
      <w:r>
        <w:rPr>
          <w:rFonts w:ascii="Times New Roman" w:eastAsia="MS Mincho" w:hAnsi="Times New Roman"/>
          <w:szCs w:val="24"/>
        </w:rPr>
        <w:t xml:space="preserve"> </w:t>
      </w:r>
      <w:r w:rsidRPr="00062AB7">
        <w:rPr>
          <w:rFonts w:ascii="Times New Roman" w:eastAsia="MS Mincho" w:hAnsi="Times New Roman"/>
          <w:szCs w:val="24"/>
        </w:rPr>
        <w:t xml:space="preserve">SIG grantees. </w:t>
      </w:r>
    </w:p>
    <w:p w:rsidR="003B62CF" w:rsidRPr="00062AB7" w:rsidRDefault="003B62CF" w:rsidP="003B62CF">
      <w:pPr>
        <w:pStyle w:val="Body"/>
        <w:rPr>
          <w:rFonts w:ascii="Times New Roman" w:eastAsia="MS Mincho" w:hAnsi="Times New Roman"/>
          <w:szCs w:val="24"/>
        </w:rPr>
      </w:pPr>
      <w:r w:rsidRPr="00062AB7">
        <w:rPr>
          <w:rFonts w:ascii="Times New Roman" w:eastAsia="MS Mincho" w:hAnsi="Times New Roman"/>
          <w:szCs w:val="24"/>
        </w:rPr>
        <w:t xml:space="preserve">The Community-Level Outcome Data for </w:t>
      </w:r>
      <w:proofErr w:type="spellStart"/>
      <w:r w:rsidRPr="00062AB7">
        <w:rPr>
          <w:rFonts w:ascii="Times New Roman" w:eastAsia="MS Mincho" w:hAnsi="Times New Roman"/>
          <w:szCs w:val="24"/>
        </w:rPr>
        <w:t>Subrecipients</w:t>
      </w:r>
      <w:proofErr w:type="spellEnd"/>
      <w:r w:rsidRPr="00062AB7">
        <w:rPr>
          <w:rFonts w:ascii="Times New Roman" w:eastAsia="MS Mincho" w:hAnsi="Times New Roman"/>
          <w:szCs w:val="24"/>
        </w:rPr>
        <w:t xml:space="preserve"> instrument </w:t>
      </w:r>
      <w:r>
        <w:rPr>
          <w:rFonts w:ascii="Times New Roman" w:eastAsia="MS Mincho" w:hAnsi="Times New Roman"/>
          <w:szCs w:val="24"/>
        </w:rPr>
        <w:t>i</w:t>
      </w:r>
      <w:r w:rsidRPr="00062AB7">
        <w:rPr>
          <w:rFonts w:ascii="Times New Roman" w:eastAsia="MS Mincho" w:hAnsi="Times New Roman"/>
          <w:szCs w:val="24"/>
        </w:rPr>
        <w:t xml:space="preserve">s estimated to take </w:t>
      </w:r>
      <w:r>
        <w:rPr>
          <w:rFonts w:ascii="Times New Roman" w:eastAsia="MS Mincho" w:hAnsi="Times New Roman"/>
          <w:szCs w:val="24"/>
        </w:rPr>
        <w:t>4</w:t>
      </w:r>
      <w:r w:rsidRPr="00062AB7">
        <w:rPr>
          <w:rFonts w:ascii="Times New Roman" w:eastAsia="MS Mincho" w:hAnsi="Times New Roman"/>
          <w:szCs w:val="24"/>
        </w:rPr>
        <w:t xml:space="preserve"> hours</w:t>
      </w:r>
      <w:r>
        <w:rPr>
          <w:rFonts w:ascii="Times New Roman" w:eastAsia="MS Mincho" w:hAnsi="Times New Roman"/>
          <w:szCs w:val="24"/>
        </w:rPr>
        <w:t xml:space="preserve"> to complete; this includes</w:t>
      </w:r>
      <w:r w:rsidRPr="00062AB7">
        <w:rPr>
          <w:rFonts w:ascii="Times New Roman" w:eastAsia="MS Mincho" w:hAnsi="Times New Roman"/>
          <w:szCs w:val="24"/>
        </w:rPr>
        <w:t xml:space="preserve"> </w:t>
      </w:r>
      <w:r>
        <w:rPr>
          <w:rFonts w:ascii="Times New Roman" w:eastAsia="MS Mincho" w:hAnsi="Times New Roman"/>
          <w:szCs w:val="24"/>
        </w:rPr>
        <w:t>3</w:t>
      </w:r>
      <w:r w:rsidRPr="00062AB7">
        <w:rPr>
          <w:rFonts w:ascii="Times New Roman" w:eastAsia="MS Mincho" w:hAnsi="Times New Roman"/>
          <w:szCs w:val="24"/>
        </w:rPr>
        <w:t xml:space="preserve"> hours to look up and compile information and 1 hour to complete the web instrument.</w:t>
      </w:r>
    </w:p>
    <w:p w:rsidR="003B62CF" w:rsidRPr="00E040CC" w:rsidRDefault="003B62CF" w:rsidP="003B62CF">
      <w:pPr>
        <w:pStyle w:val="Heading2"/>
        <w:spacing w:line="360" w:lineRule="auto"/>
        <w:rPr>
          <w:rFonts w:ascii="Times New Roman" w:hAnsi="Times New Roman"/>
          <w:sz w:val="24"/>
          <w:szCs w:val="24"/>
        </w:rPr>
      </w:pPr>
      <w:r w:rsidRPr="00E040CC">
        <w:rPr>
          <w:rFonts w:ascii="Times New Roman" w:hAnsi="Times New Roman"/>
          <w:sz w:val="24"/>
          <w:szCs w:val="24"/>
        </w:rPr>
        <w:t>B5.  Statistical Consultants</w:t>
      </w:r>
    </w:p>
    <w:p w:rsidR="003B62CF" w:rsidRPr="00CF19EA" w:rsidRDefault="003B62CF" w:rsidP="003B62CF">
      <w:pPr>
        <w:spacing w:line="360" w:lineRule="auto"/>
      </w:pPr>
      <w:r w:rsidRPr="00CF19EA">
        <w:t xml:space="preserve">The contractor team comprises several experts who will be directly involved in data collection and statistical analysis. Also, contractor in-house experts will be consulted throughout the program on various statistical aspects of the design, methodological issues, and data analysis, including </w:t>
      </w:r>
      <w:r>
        <w:t>leveraged funding</w:t>
      </w:r>
      <w:r w:rsidRPr="00CF19EA">
        <w:t xml:space="preserve"> analysis. Finally, the project has an External Steering Committee.  Members of this External Steering Committee have already provided feedback on the instruments and the evaluation/analysis plan and will continue to provide advice and feedback through scheduled quarterly meetings and ad hoc e-mails as needed. </w:t>
      </w:r>
      <w:r w:rsidRPr="00554882">
        <w:rPr>
          <w:b/>
          <w:iCs/>
        </w:rPr>
        <w:t>Table 3</w:t>
      </w:r>
      <w:r w:rsidRPr="00CF19EA">
        <w:t xml:space="preserve"> provides details of these team members and advisors.</w:t>
      </w:r>
    </w:p>
    <w:p w:rsidR="003B62CF" w:rsidRDefault="003B62CF" w:rsidP="003B62CF">
      <w:pPr>
        <w:keepNext/>
        <w:rPr>
          <w:b/>
          <w:bCs/>
        </w:rPr>
      </w:pPr>
      <w:bookmarkStart w:id="1" w:name="_Toc93987698"/>
      <w:bookmarkStart w:id="2" w:name="_Toc131566262"/>
    </w:p>
    <w:p w:rsidR="003B62CF" w:rsidRPr="00CF19EA" w:rsidRDefault="003B62CF" w:rsidP="003B62CF">
      <w:pPr>
        <w:keepNext/>
        <w:rPr>
          <w:b/>
          <w:bCs/>
        </w:rPr>
      </w:pPr>
      <w:proofErr w:type="gramStart"/>
      <w:r>
        <w:rPr>
          <w:b/>
          <w:bCs/>
        </w:rPr>
        <w:t>Table 3</w:t>
      </w:r>
      <w:r w:rsidRPr="00CF19EA">
        <w:rPr>
          <w:b/>
          <w:bCs/>
        </w:rPr>
        <w:t>.</w:t>
      </w:r>
      <w:proofErr w:type="gramEnd"/>
      <w:r w:rsidRPr="00CF19EA">
        <w:rPr>
          <w:b/>
          <w:bCs/>
        </w:rPr>
        <w:t xml:space="preserve"> </w:t>
      </w:r>
      <w:bookmarkEnd w:id="1"/>
      <w:bookmarkEnd w:id="2"/>
      <w:r w:rsidRPr="00CF19EA">
        <w:rPr>
          <w:b/>
          <w:bCs/>
        </w:rPr>
        <w:t xml:space="preserve">Statistical Consultants </w:t>
      </w:r>
      <w:r>
        <w:rPr>
          <w:b/>
          <w:bCs/>
        </w:rPr>
        <w:t xml:space="preserve">for the </w:t>
      </w:r>
      <w:r w:rsidRPr="00CF19EA">
        <w:rPr>
          <w:b/>
          <w:bCs/>
        </w:rPr>
        <w:t>Program Eval</w:t>
      </w:r>
      <w:r w:rsidR="00025948">
        <w:rPr>
          <w:b/>
          <w:bCs/>
        </w:rPr>
        <w:t xml:space="preserve">uation for Prevention Contract </w:t>
      </w:r>
    </w:p>
    <w:tbl>
      <w:tblPr>
        <w:tblW w:w="964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790"/>
        <w:gridCol w:w="3330"/>
        <w:gridCol w:w="3528"/>
      </w:tblGrid>
      <w:tr w:rsidR="003B62CF" w:rsidRPr="00CF19EA" w:rsidTr="00935A1E">
        <w:trPr>
          <w:cantSplit/>
          <w:tblHeader/>
        </w:trPr>
        <w:tc>
          <w:tcPr>
            <w:tcW w:w="2790" w:type="dxa"/>
            <w:vAlign w:val="bottom"/>
          </w:tcPr>
          <w:p w:rsidR="003B62CF" w:rsidRPr="00CF19EA" w:rsidRDefault="003B62CF" w:rsidP="00935A1E">
            <w:pPr>
              <w:spacing w:before="40" w:after="40"/>
              <w:jc w:val="center"/>
              <w:rPr>
                <w:b/>
                <w:sz w:val="20"/>
                <w:szCs w:val="20"/>
              </w:rPr>
            </w:pPr>
            <w:r w:rsidRPr="00CF19EA">
              <w:rPr>
                <w:b/>
                <w:sz w:val="20"/>
                <w:szCs w:val="20"/>
              </w:rPr>
              <w:t>Name &amp; Role in Evaluation</w:t>
            </w:r>
          </w:p>
        </w:tc>
        <w:tc>
          <w:tcPr>
            <w:tcW w:w="3330" w:type="dxa"/>
            <w:vAlign w:val="bottom"/>
          </w:tcPr>
          <w:p w:rsidR="003B62CF" w:rsidRPr="00CF19EA" w:rsidRDefault="003B62CF" w:rsidP="00935A1E">
            <w:pPr>
              <w:spacing w:before="40" w:after="40"/>
              <w:jc w:val="center"/>
              <w:rPr>
                <w:b/>
                <w:sz w:val="20"/>
                <w:szCs w:val="20"/>
              </w:rPr>
            </w:pPr>
            <w:r w:rsidRPr="00CF19EA">
              <w:rPr>
                <w:b/>
                <w:sz w:val="20"/>
                <w:szCs w:val="20"/>
              </w:rPr>
              <w:t>Title &amp; Address</w:t>
            </w:r>
          </w:p>
        </w:tc>
        <w:tc>
          <w:tcPr>
            <w:tcW w:w="3528" w:type="dxa"/>
            <w:vAlign w:val="bottom"/>
          </w:tcPr>
          <w:p w:rsidR="003B62CF" w:rsidRPr="00CF19EA" w:rsidRDefault="003B62CF" w:rsidP="00935A1E">
            <w:pPr>
              <w:spacing w:before="40" w:after="40"/>
              <w:jc w:val="center"/>
              <w:rPr>
                <w:b/>
                <w:sz w:val="20"/>
                <w:szCs w:val="20"/>
              </w:rPr>
            </w:pPr>
            <w:r w:rsidRPr="00CF19EA">
              <w:rPr>
                <w:b/>
                <w:sz w:val="20"/>
                <w:szCs w:val="20"/>
              </w:rPr>
              <w:t>Contact Information</w:t>
            </w:r>
          </w:p>
        </w:tc>
      </w:tr>
      <w:tr w:rsidR="003B62CF" w:rsidRPr="00CF19EA" w:rsidDel="00CC7210" w:rsidTr="00935A1E">
        <w:trPr>
          <w:cantSplit/>
        </w:trPr>
        <w:tc>
          <w:tcPr>
            <w:tcW w:w="9648" w:type="dxa"/>
            <w:gridSpan w:val="3"/>
            <w:shd w:val="clear" w:color="auto" w:fill="auto"/>
          </w:tcPr>
          <w:p w:rsidR="003B62CF" w:rsidRPr="00CF19EA" w:rsidRDefault="003B62CF" w:rsidP="00935A1E">
            <w:pPr>
              <w:spacing w:before="60" w:after="60"/>
              <w:rPr>
                <w:b/>
                <w:i/>
                <w:sz w:val="20"/>
                <w:szCs w:val="20"/>
              </w:rPr>
            </w:pPr>
            <w:r w:rsidRPr="00CF19EA">
              <w:rPr>
                <w:b/>
                <w:i/>
                <w:sz w:val="20"/>
                <w:szCs w:val="20"/>
              </w:rPr>
              <w:t>Evaluation Staff</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 xml:space="preserve">Elvira </w:t>
            </w:r>
            <w:proofErr w:type="spellStart"/>
            <w:r w:rsidRPr="00CF19EA">
              <w:rPr>
                <w:b/>
                <w:sz w:val="20"/>
                <w:szCs w:val="20"/>
              </w:rPr>
              <w:t>Elek</w:t>
            </w:r>
            <w:proofErr w:type="spellEnd"/>
            <w:r w:rsidRPr="00CF19EA">
              <w:rPr>
                <w:b/>
                <w:sz w:val="20"/>
                <w:szCs w:val="20"/>
              </w:rPr>
              <w:t>, PhD</w:t>
            </w:r>
          </w:p>
          <w:p w:rsidR="003B62CF" w:rsidRPr="00CF19EA" w:rsidRDefault="003B62CF" w:rsidP="00935A1E">
            <w:pPr>
              <w:rPr>
                <w:sz w:val="20"/>
                <w:szCs w:val="20"/>
              </w:rPr>
            </w:pPr>
            <w:r w:rsidRPr="00CF19EA">
              <w:rPr>
                <w:sz w:val="20"/>
                <w:szCs w:val="20"/>
              </w:rPr>
              <w:t>Deputy Director</w:t>
            </w:r>
          </w:p>
        </w:tc>
        <w:tc>
          <w:tcPr>
            <w:tcW w:w="3330" w:type="dxa"/>
          </w:tcPr>
          <w:p w:rsidR="003B62CF" w:rsidRPr="00CF19EA" w:rsidRDefault="003B62CF" w:rsidP="00935A1E">
            <w:pPr>
              <w:rPr>
                <w:sz w:val="20"/>
                <w:szCs w:val="20"/>
              </w:rPr>
            </w:pPr>
            <w:r w:rsidRPr="00CF19EA">
              <w:rPr>
                <w:sz w:val="20"/>
                <w:szCs w:val="20"/>
              </w:rPr>
              <w:t>Research Public Health Analyst</w:t>
            </w:r>
          </w:p>
          <w:p w:rsidR="003B62CF" w:rsidRPr="00CF19EA" w:rsidRDefault="003B62CF" w:rsidP="00935A1E">
            <w:pPr>
              <w:rPr>
                <w:sz w:val="20"/>
                <w:szCs w:val="20"/>
              </w:rPr>
            </w:pPr>
            <w:r w:rsidRPr="00CF19EA">
              <w:rPr>
                <w:sz w:val="20"/>
                <w:szCs w:val="20"/>
              </w:rPr>
              <w:t>Public Health Policy Research</w:t>
            </w:r>
          </w:p>
          <w:p w:rsidR="003B62CF" w:rsidRPr="00CF19EA" w:rsidRDefault="003B62CF" w:rsidP="00935A1E">
            <w:pPr>
              <w:rPr>
                <w:sz w:val="20"/>
                <w:szCs w:val="20"/>
              </w:rPr>
            </w:pPr>
            <w:r w:rsidRPr="00CF19EA">
              <w:rPr>
                <w:sz w:val="20"/>
                <w:szCs w:val="20"/>
              </w:rPr>
              <w:t>RTI International</w:t>
            </w:r>
          </w:p>
          <w:p w:rsidR="003B62CF" w:rsidRPr="00CF19EA" w:rsidRDefault="003B62CF" w:rsidP="00935A1E">
            <w:pPr>
              <w:rPr>
                <w:sz w:val="20"/>
                <w:szCs w:val="20"/>
              </w:rPr>
            </w:pPr>
            <w:r w:rsidRPr="00CF19EA">
              <w:rPr>
                <w:sz w:val="20"/>
                <w:szCs w:val="20"/>
              </w:rPr>
              <w:t>701 13th Street, NW, Suite 750</w:t>
            </w:r>
          </w:p>
          <w:p w:rsidR="003B62CF" w:rsidRPr="00CF19EA" w:rsidRDefault="003B62CF" w:rsidP="00935A1E">
            <w:pPr>
              <w:rPr>
                <w:sz w:val="20"/>
                <w:szCs w:val="20"/>
              </w:rPr>
            </w:pPr>
            <w:r w:rsidRPr="00CF19EA">
              <w:rPr>
                <w:sz w:val="20"/>
                <w:szCs w:val="20"/>
              </w:rPr>
              <w:t>Washington, DC 20005</w:t>
            </w:r>
          </w:p>
        </w:tc>
        <w:tc>
          <w:tcPr>
            <w:tcW w:w="3528" w:type="dxa"/>
          </w:tcPr>
          <w:p w:rsidR="003B62CF" w:rsidRPr="00CF19EA" w:rsidRDefault="003B62CF" w:rsidP="00935A1E">
            <w:pPr>
              <w:rPr>
                <w:sz w:val="20"/>
                <w:szCs w:val="20"/>
              </w:rPr>
            </w:pPr>
            <w:r w:rsidRPr="00CF19EA">
              <w:rPr>
                <w:sz w:val="20"/>
                <w:szCs w:val="20"/>
              </w:rPr>
              <w:t>Telephone: (202) 728–2048</w:t>
            </w:r>
          </w:p>
          <w:p w:rsidR="003B62CF" w:rsidRPr="00CF19EA" w:rsidRDefault="003B62CF" w:rsidP="00935A1E">
            <w:pPr>
              <w:rPr>
                <w:sz w:val="20"/>
                <w:szCs w:val="20"/>
              </w:rPr>
            </w:pPr>
            <w:r w:rsidRPr="00CF19EA">
              <w:rPr>
                <w:sz w:val="20"/>
                <w:szCs w:val="20"/>
              </w:rPr>
              <w:t>Email: eelek@rti.org</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Phillip Graham, PhD</w:t>
            </w:r>
          </w:p>
          <w:p w:rsidR="003B62CF" w:rsidRPr="00CF19EA" w:rsidRDefault="003B62CF" w:rsidP="00935A1E">
            <w:pPr>
              <w:rPr>
                <w:sz w:val="20"/>
                <w:szCs w:val="20"/>
              </w:rPr>
            </w:pPr>
            <w:r w:rsidRPr="00CF19EA">
              <w:rPr>
                <w:sz w:val="20"/>
                <w:szCs w:val="20"/>
              </w:rPr>
              <w:t>Project Director</w:t>
            </w:r>
          </w:p>
        </w:tc>
        <w:tc>
          <w:tcPr>
            <w:tcW w:w="3330" w:type="dxa"/>
          </w:tcPr>
          <w:p w:rsidR="003B62CF" w:rsidRPr="00CF19EA" w:rsidRDefault="003B62CF" w:rsidP="00935A1E">
            <w:pPr>
              <w:rPr>
                <w:sz w:val="20"/>
                <w:szCs w:val="20"/>
              </w:rPr>
            </w:pPr>
            <w:r w:rsidRPr="00CF19EA">
              <w:rPr>
                <w:sz w:val="20"/>
                <w:szCs w:val="20"/>
              </w:rPr>
              <w:t>Senior Research Public Health Analyst</w:t>
            </w:r>
          </w:p>
          <w:p w:rsidR="003B62CF" w:rsidRPr="00CF19EA" w:rsidRDefault="003B62CF" w:rsidP="00935A1E">
            <w:pPr>
              <w:rPr>
                <w:sz w:val="20"/>
                <w:szCs w:val="20"/>
              </w:rPr>
            </w:pPr>
            <w:r w:rsidRPr="00CF19EA">
              <w:rPr>
                <w:sz w:val="20"/>
                <w:szCs w:val="20"/>
              </w:rPr>
              <w:t>Crime, Violence, and Justice Program</w:t>
            </w:r>
          </w:p>
          <w:p w:rsidR="003B62CF" w:rsidRPr="00CF19EA" w:rsidRDefault="003B62CF" w:rsidP="00935A1E">
            <w:pPr>
              <w:rPr>
                <w:sz w:val="20"/>
                <w:szCs w:val="20"/>
              </w:rPr>
            </w:pPr>
            <w:r w:rsidRPr="00CF19EA">
              <w:rPr>
                <w:sz w:val="20"/>
                <w:szCs w:val="20"/>
              </w:rPr>
              <w:t>RTI International</w:t>
            </w:r>
          </w:p>
          <w:p w:rsidR="003B62CF" w:rsidRPr="00CF19EA" w:rsidRDefault="003B62CF" w:rsidP="00935A1E">
            <w:pPr>
              <w:rPr>
                <w:sz w:val="20"/>
                <w:szCs w:val="20"/>
              </w:rPr>
            </w:pPr>
            <w:r w:rsidRPr="00CF19EA">
              <w:rPr>
                <w:sz w:val="20"/>
                <w:szCs w:val="20"/>
              </w:rPr>
              <w:t>3040 East Cornwallis Road</w:t>
            </w:r>
          </w:p>
          <w:p w:rsidR="003B62CF" w:rsidRPr="00CF19EA" w:rsidRDefault="003B62CF" w:rsidP="00935A1E">
            <w:pPr>
              <w:rPr>
                <w:sz w:val="20"/>
                <w:szCs w:val="20"/>
              </w:rPr>
            </w:pPr>
            <w:r w:rsidRPr="00CF19EA">
              <w:rPr>
                <w:sz w:val="20"/>
                <w:szCs w:val="20"/>
              </w:rPr>
              <w:t>Research Triangle Park, NC 27709</w:t>
            </w:r>
          </w:p>
        </w:tc>
        <w:tc>
          <w:tcPr>
            <w:tcW w:w="3528" w:type="dxa"/>
          </w:tcPr>
          <w:p w:rsidR="003B62CF" w:rsidRPr="00CF19EA" w:rsidRDefault="003B62CF" w:rsidP="00935A1E">
            <w:pPr>
              <w:rPr>
                <w:sz w:val="20"/>
                <w:szCs w:val="20"/>
              </w:rPr>
            </w:pPr>
            <w:r w:rsidRPr="00CF19EA">
              <w:rPr>
                <w:sz w:val="20"/>
                <w:szCs w:val="20"/>
              </w:rPr>
              <w:t>Telephone: (919) 485–7752</w:t>
            </w:r>
          </w:p>
          <w:p w:rsidR="003B62CF" w:rsidRPr="00CF19EA" w:rsidRDefault="003B62CF" w:rsidP="00935A1E">
            <w:pPr>
              <w:rPr>
                <w:sz w:val="20"/>
                <w:szCs w:val="20"/>
              </w:rPr>
            </w:pPr>
            <w:r w:rsidRPr="00CF19EA">
              <w:rPr>
                <w:sz w:val="20"/>
                <w:szCs w:val="20"/>
              </w:rPr>
              <w:t>Email: pgraham@rti.org</w:t>
            </w:r>
          </w:p>
        </w:tc>
      </w:tr>
      <w:tr w:rsidR="003B62CF" w:rsidRPr="00CF19EA" w:rsidTr="00935A1E">
        <w:trPr>
          <w:cantSplit/>
        </w:trPr>
        <w:tc>
          <w:tcPr>
            <w:tcW w:w="2790" w:type="dxa"/>
          </w:tcPr>
          <w:p w:rsidR="003B62CF" w:rsidRPr="00CF19EA" w:rsidRDefault="003B62CF" w:rsidP="00935A1E">
            <w:pPr>
              <w:rPr>
                <w:b/>
                <w:sz w:val="20"/>
                <w:szCs w:val="20"/>
              </w:rPr>
            </w:pPr>
            <w:r>
              <w:rPr>
                <w:b/>
                <w:sz w:val="20"/>
                <w:szCs w:val="20"/>
              </w:rPr>
              <w:t xml:space="preserve">Lori-Ann </w:t>
            </w:r>
            <w:proofErr w:type="spellStart"/>
            <w:r>
              <w:rPr>
                <w:b/>
                <w:sz w:val="20"/>
                <w:szCs w:val="20"/>
              </w:rPr>
              <w:t>Palen</w:t>
            </w:r>
            <w:proofErr w:type="spellEnd"/>
            <w:r>
              <w:rPr>
                <w:b/>
                <w:sz w:val="20"/>
                <w:szCs w:val="20"/>
              </w:rPr>
              <w:t>, PhD</w:t>
            </w:r>
          </w:p>
          <w:p w:rsidR="003B62CF" w:rsidRPr="00CF19EA" w:rsidRDefault="003B62CF" w:rsidP="00935A1E">
            <w:pPr>
              <w:rPr>
                <w:bCs/>
                <w:sz w:val="20"/>
                <w:szCs w:val="20"/>
              </w:rPr>
            </w:pPr>
            <w:r>
              <w:rPr>
                <w:bCs/>
                <w:sz w:val="20"/>
                <w:szCs w:val="20"/>
              </w:rPr>
              <w:t>SPF SIG Cross-Site Evaluation Co-Leader</w:t>
            </w:r>
          </w:p>
        </w:tc>
        <w:tc>
          <w:tcPr>
            <w:tcW w:w="3330" w:type="dxa"/>
          </w:tcPr>
          <w:p w:rsidR="003B62CF" w:rsidRPr="00CF19EA" w:rsidRDefault="003B62CF" w:rsidP="00935A1E">
            <w:pPr>
              <w:rPr>
                <w:sz w:val="20"/>
                <w:szCs w:val="20"/>
              </w:rPr>
            </w:pPr>
            <w:r>
              <w:rPr>
                <w:sz w:val="20"/>
                <w:szCs w:val="20"/>
              </w:rPr>
              <w:t>Research Associate</w:t>
            </w:r>
          </w:p>
          <w:p w:rsidR="003B62CF" w:rsidRPr="00CF19EA" w:rsidRDefault="003B62CF" w:rsidP="00935A1E">
            <w:pPr>
              <w:rPr>
                <w:sz w:val="20"/>
                <w:szCs w:val="20"/>
              </w:rPr>
            </w:pPr>
            <w:r>
              <w:rPr>
                <w:sz w:val="20"/>
                <w:szCs w:val="20"/>
              </w:rPr>
              <w:t>Risk Behavior and Family Research</w:t>
            </w:r>
            <w:r w:rsidRPr="00CF19EA">
              <w:rPr>
                <w:sz w:val="20"/>
                <w:szCs w:val="20"/>
              </w:rPr>
              <w:t xml:space="preserve"> Program</w:t>
            </w:r>
          </w:p>
          <w:p w:rsidR="003B62CF" w:rsidRPr="00CF19EA" w:rsidRDefault="003B62CF" w:rsidP="00935A1E">
            <w:pPr>
              <w:rPr>
                <w:sz w:val="20"/>
                <w:szCs w:val="20"/>
              </w:rPr>
            </w:pPr>
            <w:r w:rsidRPr="00CF19EA">
              <w:rPr>
                <w:sz w:val="20"/>
                <w:szCs w:val="20"/>
              </w:rPr>
              <w:t>RTI International</w:t>
            </w:r>
          </w:p>
          <w:p w:rsidR="003B62CF" w:rsidRPr="00CF19EA" w:rsidRDefault="003B62CF" w:rsidP="00935A1E">
            <w:pPr>
              <w:rPr>
                <w:sz w:val="20"/>
                <w:szCs w:val="20"/>
              </w:rPr>
            </w:pPr>
            <w:r w:rsidRPr="00CF19EA">
              <w:rPr>
                <w:sz w:val="20"/>
                <w:szCs w:val="20"/>
              </w:rPr>
              <w:t>3040 East Cornwallis Road</w:t>
            </w:r>
          </w:p>
          <w:p w:rsidR="003B62CF" w:rsidRPr="00CF19EA" w:rsidRDefault="003B62CF" w:rsidP="00935A1E">
            <w:pPr>
              <w:rPr>
                <w:sz w:val="20"/>
                <w:szCs w:val="20"/>
              </w:rPr>
            </w:pPr>
            <w:r w:rsidRPr="00CF19EA">
              <w:rPr>
                <w:sz w:val="20"/>
                <w:szCs w:val="20"/>
              </w:rPr>
              <w:t>Research Triangle Park, NC 27709</w:t>
            </w:r>
          </w:p>
        </w:tc>
        <w:tc>
          <w:tcPr>
            <w:tcW w:w="3528" w:type="dxa"/>
          </w:tcPr>
          <w:p w:rsidR="003B62CF" w:rsidRPr="00CF19EA" w:rsidRDefault="003B62CF" w:rsidP="00935A1E">
            <w:pPr>
              <w:rPr>
                <w:sz w:val="20"/>
                <w:szCs w:val="20"/>
              </w:rPr>
            </w:pPr>
            <w:r w:rsidRPr="00CF19EA">
              <w:rPr>
                <w:sz w:val="20"/>
                <w:szCs w:val="20"/>
              </w:rPr>
              <w:t>Telephone: (</w:t>
            </w:r>
            <w:r>
              <w:rPr>
                <w:sz w:val="20"/>
                <w:szCs w:val="20"/>
              </w:rPr>
              <w:t>919) 541-6129</w:t>
            </w:r>
          </w:p>
          <w:p w:rsidR="003B62CF" w:rsidRPr="00CF19EA" w:rsidRDefault="003B62CF" w:rsidP="00935A1E">
            <w:pPr>
              <w:rPr>
                <w:sz w:val="20"/>
                <w:szCs w:val="20"/>
              </w:rPr>
            </w:pPr>
            <w:r w:rsidRPr="00CF19EA">
              <w:rPr>
                <w:sz w:val="20"/>
                <w:szCs w:val="20"/>
              </w:rPr>
              <w:t xml:space="preserve">Email: </w:t>
            </w:r>
            <w:r>
              <w:rPr>
                <w:sz w:val="20"/>
                <w:szCs w:val="20"/>
              </w:rPr>
              <w:t>lpalen@rti.org</w:t>
            </w:r>
          </w:p>
        </w:tc>
      </w:tr>
      <w:tr w:rsidR="003B62CF" w:rsidRPr="00CF19EA" w:rsidTr="00935A1E">
        <w:trPr>
          <w:cantSplit/>
        </w:trPr>
        <w:tc>
          <w:tcPr>
            <w:tcW w:w="2790" w:type="dxa"/>
          </w:tcPr>
          <w:p w:rsidR="003B62CF" w:rsidRPr="00CF19EA" w:rsidRDefault="003B62CF" w:rsidP="00935A1E">
            <w:pPr>
              <w:rPr>
                <w:b/>
                <w:sz w:val="20"/>
                <w:szCs w:val="20"/>
              </w:rPr>
            </w:pPr>
            <w:r w:rsidRPr="00CF19EA">
              <w:rPr>
                <w:b/>
                <w:sz w:val="20"/>
                <w:szCs w:val="20"/>
              </w:rPr>
              <w:t xml:space="preserve">Gillian J. </w:t>
            </w:r>
            <w:proofErr w:type="spellStart"/>
            <w:r w:rsidRPr="00CF19EA">
              <w:rPr>
                <w:b/>
                <w:sz w:val="20"/>
                <w:szCs w:val="20"/>
              </w:rPr>
              <w:t>Leichtling</w:t>
            </w:r>
            <w:proofErr w:type="spellEnd"/>
          </w:p>
          <w:p w:rsidR="003B62CF" w:rsidRPr="00CF19EA" w:rsidRDefault="003B62CF" w:rsidP="00935A1E">
            <w:pPr>
              <w:rPr>
                <w:bCs/>
                <w:sz w:val="20"/>
                <w:szCs w:val="20"/>
              </w:rPr>
            </w:pPr>
            <w:r>
              <w:rPr>
                <w:bCs/>
                <w:sz w:val="20"/>
                <w:szCs w:val="20"/>
              </w:rPr>
              <w:t>SPF SIG Cross-Site Evaluation Co-Leader</w:t>
            </w:r>
          </w:p>
        </w:tc>
        <w:tc>
          <w:tcPr>
            <w:tcW w:w="3330" w:type="dxa"/>
          </w:tcPr>
          <w:p w:rsidR="003B62CF" w:rsidRPr="00CF19EA" w:rsidRDefault="003B62CF" w:rsidP="00935A1E">
            <w:pPr>
              <w:rPr>
                <w:sz w:val="20"/>
                <w:szCs w:val="20"/>
              </w:rPr>
            </w:pPr>
            <w:r w:rsidRPr="00CF19EA">
              <w:rPr>
                <w:sz w:val="20"/>
                <w:szCs w:val="20"/>
              </w:rPr>
              <w:t>Senior Research Associate</w:t>
            </w:r>
          </w:p>
          <w:p w:rsidR="003B62CF" w:rsidRPr="00CF19EA" w:rsidRDefault="003B62CF" w:rsidP="00935A1E">
            <w:pPr>
              <w:rPr>
                <w:sz w:val="20"/>
                <w:szCs w:val="20"/>
              </w:rPr>
            </w:pPr>
            <w:r w:rsidRPr="00CF19EA">
              <w:rPr>
                <w:sz w:val="20"/>
                <w:szCs w:val="20"/>
              </w:rPr>
              <w:t>RMC Research Corporation</w:t>
            </w:r>
          </w:p>
          <w:p w:rsidR="003B62CF" w:rsidRPr="00CF19EA" w:rsidRDefault="003B62CF" w:rsidP="00935A1E">
            <w:pPr>
              <w:rPr>
                <w:sz w:val="20"/>
                <w:szCs w:val="20"/>
              </w:rPr>
            </w:pPr>
            <w:r w:rsidRPr="00CF19EA">
              <w:rPr>
                <w:sz w:val="20"/>
                <w:szCs w:val="20"/>
              </w:rPr>
              <w:t>111 SW Columbia Street </w:t>
            </w:r>
            <w:r w:rsidRPr="00CF19EA">
              <w:rPr>
                <w:sz w:val="20"/>
                <w:szCs w:val="20"/>
              </w:rPr>
              <w:br/>
              <w:t>Suite 1030 </w:t>
            </w:r>
            <w:r w:rsidRPr="00CF19EA">
              <w:rPr>
                <w:sz w:val="20"/>
                <w:szCs w:val="20"/>
              </w:rPr>
              <w:br/>
              <w:t>Portland, OR 97201-5883</w:t>
            </w:r>
          </w:p>
        </w:tc>
        <w:tc>
          <w:tcPr>
            <w:tcW w:w="3528" w:type="dxa"/>
          </w:tcPr>
          <w:p w:rsidR="003B62CF" w:rsidRPr="00CF19EA" w:rsidRDefault="003B62CF" w:rsidP="00935A1E">
            <w:pPr>
              <w:rPr>
                <w:sz w:val="20"/>
                <w:szCs w:val="20"/>
              </w:rPr>
            </w:pPr>
            <w:r w:rsidRPr="00CF19EA">
              <w:rPr>
                <w:sz w:val="20"/>
                <w:szCs w:val="20"/>
              </w:rPr>
              <w:t>Telephone: (503) 223-8248 x735</w:t>
            </w:r>
          </w:p>
          <w:p w:rsidR="003B62CF" w:rsidRPr="00CF19EA" w:rsidRDefault="003B62CF" w:rsidP="00935A1E">
            <w:pPr>
              <w:rPr>
                <w:sz w:val="20"/>
                <w:szCs w:val="20"/>
              </w:rPr>
            </w:pPr>
            <w:r w:rsidRPr="00CF19EA">
              <w:rPr>
                <w:sz w:val="20"/>
                <w:szCs w:val="20"/>
              </w:rPr>
              <w:t>Email:GLeichtling@rmccorp.com</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Antonio Morgan-Lopez, PhD</w:t>
            </w:r>
          </w:p>
          <w:p w:rsidR="003B62CF" w:rsidRPr="00CF19EA" w:rsidRDefault="003B62CF" w:rsidP="00935A1E">
            <w:pPr>
              <w:rPr>
                <w:sz w:val="20"/>
                <w:szCs w:val="20"/>
              </w:rPr>
            </w:pPr>
            <w:r w:rsidRPr="00CF19EA">
              <w:rPr>
                <w:sz w:val="20"/>
                <w:szCs w:val="20"/>
              </w:rPr>
              <w:t>Analysis Team Leader</w:t>
            </w:r>
          </w:p>
        </w:tc>
        <w:tc>
          <w:tcPr>
            <w:tcW w:w="3330" w:type="dxa"/>
          </w:tcPr>
          <w:p w:rsidR="003B62CF" w:rsidRPr="00CF19EA" w:rsidRDefault="003B62CF" w:rsidP="00935A1E">
            <w:pPr>
              <w:rPr>
                <w:sz w:val="20"/>
                <w:szCs w:val="20"/>
              </w:rPr>
            </w:pPr>
            <w:r w:rsidRPr="00CF19EA">
              <w:rPr>
                <w:sz w:val="20"/>
                <w:szCs w:val="20"/>
              </w:rPr>
              <w:t>Senior Research Quantitative Psychologist</w:t>
            </w:r>
          </w:p>
          <w:p w:rsidR="003B62CF" w:rsidRPr="00CF19EA" w:rsidRDefault="003B62CF" w:rsidP="00935A1E">
            <w:pPr>
              <w:rPr>
                <w:sz w:val="20"/>
                <w:szCs w:val="20"/>
              </w:rPr>
            </w:pPr>
            <w:r w:rsidRPr="00CF19EA">
              <w:rPr>
                <w:sz w:val="20"/>
                <w:szCs w:val="20"/>
              </w:rPr>
              <w:t>Risk Behavior and Family Research</w:t>
            </w:r>
          </w:p>
          <w:p w:rsidR="003B62CF" w:rsidRPr="00CF19EA" w:rsidRDefault="003B62CF" w:rsidP="00935A1E">
            <w:pPr>
              <w:rPr>
                <w:sz w:val="20"/>
                <w:szCs w:val="20"/>
              </w:rPr>
            </w:pPr>
            <w:r w:rsidRPr="00CF19EA">
              <w:rPr>
                <w:sz w:val="20"/>
                <w:szCs w:val="20"/>
              </w:rPr>
              <w:t>RTI International</w:t>
            </w:r>
          </w:p>
          <w:p w:rsidR="003B62CF" w:rsidRPr="00CF19EA" w:rsidRDefault="003B62CF" w:rsidP="00935A1E">
            <w:pPr>
              <w:rPr>
                <w:sz w:val="20"/>
                <w:szCs w:val="20"/>
              </w:rPr>
            </w:pPr>
            <w:r w:rsidRPr="00CF19EA">
              <w:rPr>
                <w:sz w:val="20"/>
                <w:szCs w:val="20"/>
              </w:rPr>
              <w:t>3040 East Cornwallis Road</w:t>
            </w:r>
          </w:p>
          <w:p w:rsidR="003B62CF" w:rsidRPr="00CF19EA" w:rsidRDefault="003B62CF" w:rsidP="00935A1E">
            <w:pPr>
              <w:rPr>
                <w:sz w:val="20"/>
                <w:szCs w:val="20"/>
              </w:rPr>
            </w:pPr>
            <w:r w:rsidRPr="00CF19EA">
              <w:rPr>
                <w:sz w:val="20"/>
                <w:szCs w:val="20"/>
              </w:rPr>
              <w:t>Research Triangle Park, NC 27709</w:t>
            </w:r>
          </w:p>
        </w:tc>
        <w:tc>
          <w:tcPr>
            <w:tcW w:w="3528" w:type="dxa"/>
          </w:tcPr>
          <w:p w:rsidR="003B62CF" w:rsidRPr="00CF19EA" w:rsidRDefault="003B62CF" w:rsidP="00935A1E">
            <w:pPr>
              <w:rPr>
                <w:sz w:val="20"/>
                <w:szCs w:val="20"/>
              </w:rPr>
            </w:pPr>
            <w:r w:rsidRPr="00CF19EA">
              <w:rPr>
                <w:sz w:val="20"/>
                <w:szCs w:val="20"/>
              </w:rPr>
              <w:t>Telephone: (919) 316–3436</w:t>
            </w:r>
          </w:p>
          <w:p w:rsidR="003B62CF" w:rsidRPr="00CF19EA" w:rsidRDefault="003B62CF" w:rsidP="00935A1E">
            <w:pPr>
              <w:rPr>
                <w:sz w:val="20"/>
                <w:szCs w:val="20"/>
              </w:rPr>
            </w:pPr>
            <w:r w:rsidRPr="00CF19EA">
              <w:rPr>
                <w:sz w:val="20"/>
                <w:szCs w:val="20"/>
              </w:rPr>
              <w:t>Email: amorganlopez@rti.org</w:t>
            </w:r>
          </w:p>
        </w:tc>
      </w:tr>
      <w:tr w:rsidR="003B62CF" w:rsidRPr="00CF19EA" w:rsidDel="00CC7210" w:rsidTr="00935A1E">
        <w:trPr>
          <w:cantSplit/>
        </w:trPr>
        <w:tc>
          <w:tcPr>
            <w:tcW w:w="2790" w:type="dxa"/>
          </w:tcPr>
          <w:p w:rsidR="003B62CF" w:rsidRPr="00CF19EA" w:rsidRDefault="003B62CF" w:rsidP="00935A1E">
            <w:pPr>
              <w:rPr>
                <w:b/>
                <w:sz w:val="20"/>
                <w:szCs w:val="20"/>
              </w:rPr>
            </w:pPr>
            <w:r>
              <w:rPr>
                <w:b/>
                <w:sz w:val="20"/>
                <w:szCs w:val="20"/>
              </w:rPr>
              <w:t>Michelle Hendricks, PhD</w:t>
            </w:r>
          </w:p>
          <w:p w:rsidR="003B62CF" w:rsidRPr="00CF19EA" w:rsidRDefault="003B62CF" w:rsidP="00935A1E">
            <w:pPr>
              <w:rPr>
                <w:sz w:val="20"/>
                <w:szCs w:val="20"/>
              </w:rPr>
            </w:pPr>
            <w:r>
              <w:rPr>
                <w:sz w:val="20"/>
                <w:szCs w:val="20"/>
              </w:rPr>
              <w:t>Senior Analyst</w:t>
            </w:r>
          </w:p>
        </w:tc>
        <w:tc>
          <w:tcPr>
            <w:tcW w:w="3330" w:type="dxa"/>
          </w:tcPr>
          <w:p w:rsidR="003B62CF" w:rsidRPr="00CF19EA" w:rsidRDefault="003B62CF" w:rsidP="00935A1E">
            <w:pPr>
              <w:rPr>
                <w:sz w:val="20"/>
                <w:szCs w:val="20"/>
              </w:rPr>
            </w:pPr>
            <w:r>
              <w:rPr>
                <w:sz w:val="20"/>
                <w:szCs w:val="20"/>
              </w:rPr>
              <w:t>Research Associate</w:t>
            </w:r>
          </w:p>
          <w:p w:rsidR="003B62CF" w:rsidRPr="00CF19EA" w:rsidRDefault="003B62CF" w:rsidP="00935A1E">
            <w:pPr>
              <w:rPr>
                <w:sz w:val="20"/>
                <w:szCs w:val="20"/>
              </w:rPr>
            </w:pPr>
            <w:r w:rsidRPr="00CF19EA">
              <w:rPr>
                <w:sz w:val="20"/>
                <w:szCs w:val="20"/>
              </w:rPr>
              <w:t>RMC Research Corporation</w:t>
            </w:r>
          </w:p>
          <w:p w:rsidR="003B62CF" w:rsidRPr="00CF19EA" w:rsidRDefault="003B62CF" w:rsidP="00935A1E">
            <w:pPr>
              <w:rPr>
                <w:sz w:val="20"/>
                <w:szCs w:val="20"/>
              </w:rPr>
            </w:pPr>
            <w:r w:rsidRPr="00CF19EA">
              <w:rPr>
                <w:sz w:val="20"/>
                <w:szCs w:val="20"/>
              </w:rPr>
              <w:t>111 SW Columbia Street </w:t>
            </w:r>
            <w:r w:rsidRPr="00CF19EA">
              <w:rPr>
                <w:sz w:val="20"/>
                <w:szCs w:val="20"/>
              </w:rPr>
              <w:br/>
              <w:t>Suite 1030 </w:t>
            </w:r>
            <w:r w:rsidRPr="00CF19EA">
              <w:rPr>
                <w:sz w:val="20"/>
                <w:szCs w:val="20"/>
              </w:rPr>
              <w:br/>
              <w:t>Portland, OR 97201-5883</w:t>
            </w:r>
          </w:p>
        </w:tc>
        <w:tc>
          <w:tcPr>
            <w:tcW w:w="3528" w:type="dxa"/>
          </w:tcPr>
          <w:p w:rsidR="003B62CF" w:rsidRPr="00CF19EA" w:rsidRDefault="003B62CF" w:rsidP="00935A1E">
            <w:pPr>
              <w:rPr>
                <w:sz w:val="20"/>
                <w:szCs w:val="20"/>
              </w:rPr>
            </w:pPr>
            <w:r w:rsidRPr="00CF19EA">
              <w:rPr>
                <w:sz w:val="20"/>
                <w:szCs w:val="20"/>
              </w:rPr>
              <w:t xml:space="preserve">Telephone: </w:t>
            </w:r>
            <w:r>
              <w:rPr>
                <w:sz w:val="20"/>
                <w:szCs w:val="20"/>
              </w:rPr>
              <w:t>(503) 223-8248 x760</w:t>
            </w:r>
          </w:p>
          <w:p w:rsidR="003B62CF" w:rsidRPr="00CF19EA" w:rsidRDefault="003B62CF" w:rsidP="00935A1E">
            <w:pPr>
              <w:rPr>
                <w:sz w:val="20"/>
                <w:szCs w:val="20"/>
              </w:rPr>
            </w:pPr>
            <w:r w:rsidRPr="00CF19EA">
              <w:rPr>
                <w:sz w:val="20"/>
                <w:szCs w:val="20"/>
              </w:rPr>
              <w:t xml:space="preserve">Email: </w:t>
            </w:r>
            <w:r>
              <w:rPr>
                <w:sz w:val="20"/>
                <w:szCs w:val="20"/>
              </w:rPr>
              <w:t>mhendricks@rmccorp.com</w:t>
            </w:r>
          </w:p>
        </w:tc>
      </w:tr>
      <w:tr w:rsidR="003B62CF" w:rsidRPr="00CF19EA" w:rsidTr="00935A1E">
        <w:trPr>
          <w:cantSplit/>
        </w:trPr>
        <w:tc>
          <w:tcPr>
            <w:tcW w:w="2790" w:type="dxa"/>
          </w:tcPr>
          <w:p w:rsidR="003B62CF" w:rsidRPr="00CF19EA" w:rsidRDefault="003B62CF" w:rsidP="00935A1E">
            <w:pPr>
              <w:rPr>
                <w:b/>
                <w:sz w:val="20"/>
                <w:szCs w:val="20"/>
              </w:rPr>
            </w:pPr>
            <w:r w:rsidRPr="00CF19EA">
              <w:rPr>
                <w:b/>
                <w:sz w:val="20"/>
                <w:szCs w:val="20"/>
              </w:rPr>
              <w:t>Steve Sullivan</w:t>
            </w:r>
          </w:p>
          <w:p w:rsidR="003B62CF" w:rsidRPr="00CF19EA" w:rsidRDefault="003B62CF" w:rsidP="00935A1E">
            <w:pPr>
              <w:rPr>
                <w:bCs/>
                <w:sz w:val="20"/>
                <w:szCs w:val="20"/>
              </w:rPr>
            </w:pPr>
            <w:r w:rsidRPr="00CF19EA">
              <w:rPr>
                <w:bCs/>
                <w:sz w:val="20"/>
                <w:szCs w:val="20"/>
              </w:rPr>
              <w:t>ESC Task Team Leader</w:t>
            </w:r>
          </w:p>
        </w:tc>
        <w:tc>
          <w:tcPr>
            <w:tcW w:w="3330" w:type="dxa"/>
          </w:tcPr>
          <w:p w:rsidR="003B62CF" w:rsidRPr="00CF19EA" w:rsidRDefault="003B62CF" w:rsidP="00935A1E">
            <w:pPr>
              <w:rPr>
                <w:sz w:val="20"/>
                <w:szCs w:val="20"/>
              </w:rPr>
            </w:pPr>
            <w:r w:rsidRPr="00CF19EA">
              <w:rPr>
                <w:sz w:val="20"/>
                <w:szCs w:val="20"/>
              </w:rPr>
              <w:t>Senior Director</w:t>
            </w:r>
          </w:p>
          <w:p w:rsidR="003B62CF" w:rsidRPr="00CF19EA" w:rsidRDefault="003B62CF" w:rsidP="00935A1E">
            <w:pPr>
              <w:rPr>
                <w:sz w:val="20"/>
                <w:szCs w:val="20"/>
              </w:rPr>
            </w:pPr>
            <w:r w:rsidRPr="00CF19EA">
              <w:rPr>
                <w:sz w:val="20"/>
                <w:szCs w:val="20"/>
              </w:rPr>
              <w:t>Cloudburst Consulting Group, Inc.</w:t>
            </w:r>
          </w:p>
          <w:p w:rsidR="003B62CF" w:rsidRPr="00CF19EA" w:rsidRDefault="003B62CF" w:rsidP="00935A1E">
            <w:pPr>
              <w:rPr>
                <w:sz w:val="20"/>
                <w:szCs w:val="20"/>
              </w:rPr>
            </w:pPr>
            <w:r w:rsidRPr="00CF19EA">
              <w:rPr>
                <w:sz w:val="20"/>
                <w:szCs w:val="20"/>
              </w:rPr>
              <w:t>8400 Corporate Drive, Suite 550</w:t>
            </w:r>
            <w:r w:rsidRPr="00CF19EA">
              <w:rPr>
                <w:sz w:val="20"/>
                <w:szCs w:val="20"/>
              </w:rPr>
              <w:br/>
              <w:t>Landover, MD 20785-2238</w:t>
            </w:r>
          </w:p>
        </w:tc>
        <w:tc>
          <w:tcPr>
            <w:tcW w:w="3528" w:type="dxa"/>
          </w:tcPr>
          <w:p w:rsidR="003B62CF" w:rsidRPr="00CF19EA" w:rsidRDefault="003B62CF" w:rsidP="00935A1E">
            <w:pPr>
              <w:rPr>
                <w:sz w:val="20"/>
                <w:szCs w:val="20"/>
              </w:rPr>
            </w:pPr>
            <w:r w:rsidRPr="00CF19EA">
              <w:rPr>
                <w:sz w:val="20"/>
                <w:szCs w:val="20"/>
              </w:rPr>
              <w:t>Telephone: (301) 918-4400</w:t>
            </w:r>
          </w:p>
          <w:p w:rsidR="003B62CF" w:rsidRPr="00CF19EA" w:rsidRDefault="003B62CF" w:rsidP="00935A1E">
            <w:pPr>
              <w:rPr>
                <w:sz w:val="20"/>
                <w:szCs w:val="20"/>
              </w:rPr>
            </w:pPr>
            <w:r w:rsidRPr="00CF19EA">
              <w:rPr>
                <w:sz w:val="20"/>
                <w:szCs w:val="20"/>
              </w:rPr>
              <w:t>Email: steven.sullivan@cloudburstgroup.com</w:t>
            </w:r>
          </w:p>
        </w:tc>
      </w:tr>
      <w:tr w:rsidR="003B62CF" w:rsidRPr="00CF19EA" w:rsidDel="00CC7210" w:rsidTr="00935A1E">
        <w:trPr>
          <w:cantSplit/>
        </w:trPr>
        <w:tc>
          <w:tcPr>
            <w:tcW w:w="9648" w:type="dxa"/>
            <w:gridSpan w:val="3"/>
            <w:shd w:val="clear" w:color="auto" w:fill="auto"/>
          </w:tcPr>
          <w:p w:rsidR="003B62CF" w:rsidRPr="00CF19EA" w:rsidRDefault="003B62CF" w:rsidP="00935A1E">
            <w:pPr>
              <w:keepNext/>
              <w:spacing w:before="60" w:after="60"/>
              <w:rPr>
                <w:b/>
                <w:i/>
                <w:sz w:val="20"/>
                <w:szCs w:val="20"/>
              </w:rPr>
            </w:pPr>
            <w:r w:rsidRPr="00CF19EA">
              <w:rPr>
                <w:b/>
                <w:i/>
                <w:sz w:val="20"/>
                <w:szCs w:val="20"/>
              </w:rPr>
              <w:t>Government Project Officers</w:t>
            </w:r>
          </w:p>
        </w:tc>
      </w:tr>
      <w:tr w:rsidR="003B62CF" w:rsidRPr="00CF19EA" w:rsidDel="00CC7210" w:rsidTr="00935A1E">
        <w:trPr>
          <w:cantSplit/>
          <w:trHeight w:val="921"/>
        </w:trPr>
        <w:tc>
          <w:tcPr>
            <w:tcW w:w="2790" w:type="dxa"/>
          </w:tcPr>
          <w:p w:rsidR="003B62CF" w:rsidRPr="00CF19EA" w:rsidRDefault="003B62CF" w:rsidP="00935A1E">
            <w:pPr>
              <w:rPr>
                <w:b/>
                <w:sz w:val="20"/>
                <w:szCs w:val="20"/>
              </w:rPr>
            </w:pPr>
            <w:r>
              <w:rPr>
                <w:b/>
                <w:sz w:val="20"/>
                <w:szCs w:val="20"/>
              </w:rPr>
              <w:t xml:space="preserve">Sara </w:t>
            </w:r>
            <w:proofErr w:type="spellStart"/>
            <w:r>
              <w:rPr>
                <w:b/>
                <w:sz w:val="20"/>
                <w:szCs w:val="20"/>
              </w:rPr>
              <w:t>Azimi-Boularian</w:t>
            </w:r>
            <w:proofErr w:type="spellEnd"/>
            <w:r w:rsidRPr="00CF19EA">
              <w:rPr>
                <w:b/>
                <w:sz w:val="20"/>
                <w:szCs w:val="20"/>
              </w:rPr>
              <w:t>, PhD</w:t>
            </w:r>
          </w:p>
          <w:p w:rsidR="003B62CF" w:rsidRPr="00CF19EA" w:rsidRDefault="003B62CF" w:rsidP="00935A1E">
            <w:pPr>
              <w:rPr>
                <w:sz w:val="20"/>
                <w:szCs w:val="20"/>
              </w:rPr>
            </w:pPr>
            <w:r w:rsidRPr="00CF19EA">
              <w:rPr>
                <w:sz w:val="20"/>
                <w:szCs w:val="20"/>
              </w:rPr>
              <w:t>Contracting Officer’s Representative</w:t>
            </w:r>
          </w:p>
        </w:tc>
        <w:tc>
          <w:tcPr>
            <w:tcW w:w="3330" w:type="dxa"/>
          </w:tcPr>
          <w:p w:rsidR="003B62CF" w:rsidRPr="00CF19EA" w:rsidRDefault="003B62CF" w:rsidP="00935A1E">
            <w:pPr>
              <w:rPr>
                <w:sz w:val="20"/>
                <w:szCs w:val="20"/>
              </w:rPr>
            </w:pPr>
            <w:r w:rsidRPr="00CF19EA">
              <w:rPr>
                <w:sz w:val="20"/>
                <w:szCs w:val="20"/>
              </w:rPr>
              <w:t xml:space="preserve">Senior Public Health Analyst </w:t>
            </w:r>
          </w:p>
          <w:p w:rsidR="003B62CF" w:rsidRPr="00CF19EA" w:rsidRDefault="003B62CF" w:rsidP="00935A1E">
            <w:pPr>
              <w:rPr>
                <w:sz w:val="20"/>
                <w:szCs w:val="20"/>
              </w:rPr>
            </w:pPr>
            <w:r w:rsidRPr="00CF19EA">
              <w:rPr>
                <w:sz w:val="20"/>
                <w:szCs w:val="20"/>
              </w:rPr>
              <w:t>CSAP, SAMHSA</w:t>
            </w:r>
          </w:p>
          <w:p w:rsidR="003B62CF" w:rsidRPr="00CF19EA" w:rsidRDefault="003B62CF" w:rsidP="00935A1E">
            <w:pPr>
              <w:rPr>
                <w:sz w:val="20"/>
                <w:szCs w:val="20"/>
              </w:rPr>
            </w:pPr>
            <w:r w:rsidRPr="00CF19EA">
              <w:rPr>
                <w:sz w:val="20"/>
                <w:szCs w:val="20"/>
              </w:rPr>
              <w:t>1 Choke Cherry Road, Room 4-1025</w:t>
            </w:r>
          </w:p>
          <w:p w:rsidR="003B62CF" w:rsidRPr="00CF19EA" w:rsidRDefault="003B62CF" w:rsidP="00935A1E">
            <w:pPr>
              <w:rPr>
                <w:sz w:val="20"/>
                <w:szCs w:val="20"/>
              </w:rPr>
            </w:pPr>
            <w:r w:rsidRPr="00CF19EA">
              <w:rPr>
                <w:sz w:val="20"/>
                <w:szCs w:val="20"/>
              </w:rPr>
              <w:t>Rockville, MD 20857</w:t>
            </w:r>
          </w:p>
        </w:tc>
        <w:tc>
          <w:tcPr>
            <w:tcW w:w="3528" w:type="dxa"/>
          </w:tcPr>
          <w:p w:rsidR="003B62CF" w:rsidRPr="00554882" w:rsidRDefault="003B62CF" w:rsidP="00935A1E">
            <w:pPr>
              <w:rPr>
                <w:sz w:val="20"/>
                <w:szCs w:val="20"/>
              </w:rPr>
            </w:pPr>
            <w:r w:rsidRPr="00554882">
              <w:rPr>
                <w:sz w:val="20"/>
                <w:szCs w:val="20"/>
              </w:rPr>
              <w:t>Telephone: (240) 276-2708</w:t>
            </w:r>
          </w:p>
          <w:p w:rsidR="003B62CF" w:rsidRPr="00554882" w:rsidRDefault="003B62CF" w:rsidP="00935A1E">
            <w:pPr>
              <w:rPr>
                <w:sz w:val="20"/>
                <w:szCs w:val="20"/>
              </w:rPr>
            </w:pPr>
            <w:r w:rsidRPr="00554882">
              <w:rPr>
                <w:sz w:val="20"/>
                <w:szCs w:val="20"/>
              </w:rPr>
              <w:t xml:space="preserve">Email: </w:t>
            </w:r>
            <w:hyperlink r:id="rId8" w:history="1">
              <w:r w:rsidRPr="00554882">
                <w:rPr>
                  <w:sz w:val="20"/>
                  <w:szCs w:val="20"/>
                </w:rPr>
                <w:t>Sara.Azimi-Bolourian@SAMHSA.hhs.gov</w:t>
              </w:r>
            </w:hyperlink>
          </w:p>
        </w:tc>
      </w:tr>
      <w:tr w:rsidR="003B62CF" w:rsidRPr="00CF19EA" w:rsidDel="00CC7210" w:rsidTr="00935A1E">
        <w:trPr>
          <w:cantSplit/>
        </w:trPr>
        <w:tc>
          <w:tcPr>
            <w:tcW w:w="2790" w:type="dxa"/>
          </w:tcPr>
          <w:p w:rsidR="003B62CF" w:rsidRPr="00CF19EA" w:rsidRDefault="003B62CF" w:rsidP="00935A1E">
            <w:pPr>
              <w:rPr>
                <w:b/>
                <w:sz w:val="20"/>
                <w:szCs w:val="20"/>
              </w:rPr>
            </w:pPr>
            <w:r>
              <w:rPr>
                <w:b/>
                <w:sz w:val="20"/>
                <w:szCs w:val="20"/>
              </w:rPr>
              <w:t>Thomas Clarke, PhD</w:t>
            </w:r>
          </w:p>
          <w:p w:rsidR="003B62CF" w:rsidRPr="00CF19EA" w:rsidRDefault="003B62CF" w:rsidP="00935A1E">
            <w:pPr>
              <w:rPr>
                <w:sz w:val="20"/>
                <w:szCs w:val="20"/>
              </w:rPr>
            </w:pPr>
            <w:r w:rsidRPr="00CF19EA">
              <w:rPr>
                <w:sz w:val="20"/>
                <w:szCs w:val="20"/>
              </w:rPr>
              <w:t>Alternate Contracting Officer’s Representative</w:t>
            </w:r>
          </w:p>
        </w:tc>
        <w:tc>
          <w:tcPr>
            <w:tcW w:w="3330" w:type="dxa"/>
          </w:tcPr>
          <w:p w:rsidR="003B62CF" w:rsidRPr="00CF19EA" w:rsidRDefault="003B62CF" w:rsidP="00935A1E">
            <w:pPr>
              <w:rPr>
                <w:sz w:val="20"/>
                <w:szCs w:val="20"/>
              </w:rPr>
            </w:pPr>
            <w:r w:rsidRPr="00CF19EA">
              <w:rPr>
                <w:sz w:val="20"/>
                <w:szCs w:val="20"/>
              </w:rPr>
              <w:t>Senior Public Health Analyst</w:t>
            </w:r>
          </w:p>
          <w:p w:rsidR="003B62CF" w:rsidRPr="00CF19EA" w:rsidRDefault="003B62CF" w:rsidP="00935A1E">
            <w:pPr>
              <w:rPr>
                <w:sz w:val="20"/>
                <w:szCs w:val="20"/>
              </w:rPr>
            </w:pPr>
            <w:r w:rsidRPr="00CF19EA">
              <w:rPr>
                <w:sz w:val="20"/>
                <w:szCs w:val="20"/>
              </w:rPr>
              <w:t>CSAP, SAMHSA</w:t>
            </w:r>
          </w:p>
          <w:p w:rsidR="003B62CF" w:rsidRPr="00CF19EA" w:rsidRDefault="003B62CF" w:rsidP="00935A1E">
            <w:pPr>
              <w:rPr>
                <w:sz w:val="20"/>
                <w:szCs w:val="20"/>
              </w:rPr>
            </w:pPr>
            <w:r w:rsidRPr="00CF19EA">
              <w:rPr>
                <w:sz w:val="20"/>
                <w:szCs w:val="20"/>
              </w:rPr>
              <w:t>1 Choke Cherry Road, Room 4-1031</w:t>
            </w:r>
          </w:p>
          <w:p w:rsidR="003B62CF" w:rsidRPr="00CF19EA" w:rsidRDefault="003B62CF" w:rsidP="00935A1E">
            <w:pPr>
              <w:rPr>
                <w:sz w:val="20"/>
                <w:szCs w:val="20"/>
              </w:rPr>
            </w:pPr>
            <w:r w:rsidRPr="00CF19EA">
              <w:rPr>
                <w:sz w:val="20"/>
                <w:szCs w:val="20"/>
              </w:rPr>
              <w:t>Rockville, MD 20857</w:t>
            </w:r>
          </w:p>
        </w:tc>
        <w:tc>
          <w:tcPr>
            <w:tcW w:w="3528" w:type="dxa"/>
          </w:tcPr>
          <w:p w:rsidR="003B62CF" w:rsidRPr="00554882" w:rsidRDefault="003B62CF" w:rsidP="00935A1E">
            <w:pPr>
              <w:rPr>
                <w:sz w:val="20"/>
                <w:szCs w:val="20"/>
              </w:rPr>
            </w:pPr>
            <w:r w:rsidRPr="00554882">
              <w:rPr>
                <w:sz w:val="20"/>
                <w:szCs w:val="20"/>
              </w:rPr>
              <w:t>Telephone: (240) 276-0493</w:t>
            </w:r>
          </w:p>
          <w:p w:rsidR="003B62CF" w:rsidRPr="00554882" w:rsidRDefault="003B62CF" w:rsidP="00935A1E">
            <w:pPr>
              <w:rPr>
                <w:sz w:val="20"/>
                <w:szCs w:val="20"/>
              </w:rPr>
            </w:pPr>
            <w:r w:rsidRPr="00554882">
              <w:rPr>
                <w:sz w:val="20"/>
                <w:szCs w:val="20"/>
              </w:rPr>
              <w:t xml:space="preserve">Email: </w:t>
            </w:r>
            <w:hyperlink r:id="rId9" w:history="1">
              <w:r w:rsidRPr="00554882">
                <w:rPr>
                  <w:sz w:val="20"/>
                  <w:szCs w:val="20"/>
                </w:rPr>
                <w:t>Thomas.Clarke@samhsa.hhs.gov</w:t>
              </w:r>
            </w:hyperlink>
          </w:p>
        </w:tc>
      </w:tr>
      <w:tr w:rsidR="003B62CF" w:rsidRPr="00CF19EA" w:rsidDel="00CC7210" w:rsidTr="00935A1E">
        <w:trPr>
          <w:cantSplit/>
        </w:trPr>
        <w:tc>
          <w:tcPr>
            <w:tcW w:w="9648" w:type="dxa"/>
            <w:gridSpan w:val="3"/>
          </w:tcPr>
          <w:p w:rsidR="003B62CF" w:rsidRPr="00CF19EA" w:rsidRDefault="003B62CF" w:rsidP="00935A1E">
            <w:pPr>
              <w:keepNext/>
              <w:spacing w:before="60" w:after="60"/>
              <w:rPr>
                <w:b/>
                <w:i/>
                <w:sz w:val="20"/>
                <w:szCs w:val="20"/>
              </w:rPr>
            </w:pPr>
            <w:r w:rsidRPr="00CF19EA">
              <w:rPr>
                <w:b/>
                <w:i/>
                <w:sz w:val="20"/>
                <w:szCs w:val="20"/>
              </w:rPr>
              <w:t>External Steering Committee</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Bethany Bray, PhD</w:t>
            </w:r>
          </w:p>
          <w:p w:rsidR="003B62CF" w:rsidRPr="00CF19EA" w:rsidRDefault="003B62CF" w:rsidP="00935A1E">
            <w:pPr>
              <w:rPr>
                <w:bCs/>
                <w:sz w:val="20"/>
                <w:szCs w:val="20"/>
              </w:rPr>
            </w:pPr>
            <w:r w:rsidRPr="00CF19EA">
              <w:rPr>
                <w:bCs/>
                <w:sz w:val="20"/>
                <w:szCs w:val="20"/>
              </w:rPr>
              <w:t xml:space="preserve">Methods/Statistics </w:t>
            </w:r>
          </w:p>
        </w:tc>
        <w:tc>
          <w:tcPr>
            <w:tcW w:w="3330" w:type="dxa"/>
          </w:tcPr>
          <w:p w:rsidR="003B62CF" w:rsidRPr="00CF19EA" w:rsidRDefault="003B62CF" w:rsidP="00935A1E">
            <w:pPr>
              <w:rPr>
                <w:sz w:val="20"/>
                <w:szCs w:val="20"/>
              </w:rPr>
            </w:pPr>
            <w:r w:rsidRPr="00CF19EA">
              <w:rPr>
                <w:sz w:val="20"/>
                <w:szCs w:val="20"/>
              </w:rPr>
              <w:t xml:space="preserve">Research Associate </w:t>
            </w:r>
          </w:p>
          <w:p w:rsidR="003B62CF" w:rsidRPr="00CF19EA" w:rsidRDefault="003B62CF" w:rsidP="00935A1E">
            <w:pPr>
              <w:rPr>
                <w:sz w:val="20"/>
                <w:szCs w:val="20"/>
              </w:rPr>
            </w:pPr>
            <w:r w:rsidRPr="00CF19EA">
              <w:rPr>
                <w:sz w:val="20"/>
                <w:szCs w:val="20"/>
              </w:rPr>
              <w:t>The Methodology Center</w:t>
            </w:r>
          </w:p>
          <w:p w:rsidR="003B62CF" w:rsidRPr="00CF19EA" w:rsidRDefault="003B62CF" w:rsidP="00935A1E">
            <w:pPr>
              <w:rPr>
                <w:sz w:val="20"/>
                <w:szCs w:val="20"/>
              </w:rPr>
            </w:pPr>
            <w:r w:rsidRPr="00CF19EA">
              <w:rPr>
                <w:sz w:val="20"/>
                <w:szCs w:val="20"/>
              </w:rPr>
              <w:t>The Pennsylvania State University</w:t>
            </w:r>
          </w:p>
          <w:p w:rsidR="003B62CF" w:rsidRPr="00CF19EA" w:rsidRDefault="003B62CF" w:rsidP="00935A1E">
            <w:pPr>
              <w:rPr>
                <w:sz w:val="20"/>
                <w:szCs w:val="20"/>
              </w:rPr>
            </w:pPr>
            <w:r w:rsidRPr="00CF19EA">
              <w:rPr>
                <w:sz w:val="20"/>
                <w:szCs w:val="20"/>
              </w:rPr>
              <w:t>400 Calder Square II</w:t>
            </w:r>
          </w:p>
          <w:p w:rsidR="003B62CF" w:rsidRPr="00CF19EA" w:rsidRDefault="003B62CF" w:rsidP="00935A1E">
            <w:pPr>
              <w:rPr>
                <w:sz w:val="20"/>
                <w:szCs w:val="20"/>
              </w:rPr>
            </w:pPr>
            <w:r w:rsidRPr="00CF19EA">
              <w:rPr>
                <w:sz w:val="20"/>
                <w:szCs w:val="20"/>
              </w:rPr>
              <w:t>State College, PA 16801</w:t>
            </w:r>
          </w:p>
        </w:tc>
        <w:tc>
          <w:tcPr>
            <w:tcW w:w="3528" w:type="dxa"/>
          </w:tcPr>
          <w:p w:rsidR="003B62CF" w:rsidRPr="00CF19EA" w:rsidRDefault="003B62CF" w:rsidP="00935A1E">
            <w:pPr>
              <w:rPr>
                <w:sz w:val="20"/>
                <w:szCs w:val="20"/>
              </w:rPr>
            </w:pPr>
            <w:r w:rsidRPr="00CF19EA">
              <w:rPr>
                <w:sz w:val="20"/>
                <w:szCs w:val="20"/>
              </w:rPr>
              <w:t>Telephone: (814) 865-1225</w:t>
            </w:r>
          </w:p>
          <w:p w:rsidR="003B62CF" w:rsidRPr="00CF19EA" w:rsidRDefault="003B62CF" w:rsidP="00935A1E">
            <w:pPr>
              <w:rPr>
                <w:sz w:val="20"/>
                <w:szCs w:val="20"/>
              </w:rPr>
            </w:pPr>
            <w:r w:rsidRPr="00CF19EA">
              <w:rPr>
                <w:sz w:val="20"/>
                <w:szCs w:val="20"/>
              </w:rPr>
              <w:t>Email: bcbray@psu.edu</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 xml:space="preserve">William </w:t>
            </w:r>
            <w:proofErr w:type="spellStart"/>
            <w:r w:rsidRPr="00CF19EA">
              <w:rPr>
                <w:b/>
                <w:sz w:val="20"/>
                <w:szCs w:val="20"/>
              </w:rPr>
              <w:t>DeJong</w:t>
            </w:r>
            <w:proofErr w:type="spellEnd"/>
            <w:r w:rsidRPr="00CF19EA">
              <w:rPr>
                <w:b/>
                <w:sz w:val="20"/>
                <w:szCs w:val="20"/>
              </w:rPr>
              <w:t>, PhD</w:t>
            </w:r>
          </w:p>
          <w:p w:rsidR="003B62CF" w:rsidRPr="00CF19EA" w:rsidRDefault="003B62CF" w:rsidP="00935A1E">
            <w:pPr>
              <w:rPr>
                <w:bCs/>
                <w:sz w:val="20"/>
                <w:szCs w:val="20"/>
              </w:rPr>
            </w:pPr>
            <w:r w:rsidRPr="00CF19EA">
              <w:rPr>
                <w:bCs/>
                <w:sz w:val="20"/>
                <w:szCs w:val="20"/>
              </w:rPr>
              <w:t>Evaluating Environmental Strategies</w:t>
            </w:r>
          </w:p>
        </w:tc>
        <w:tc>
          <w:tcPr>
            <w:tcW w:w="3330" w:type="dxa"/>
          </w:tcPr>
          <w:p w:rsidR="003B62CF" w:rsidRPr="00CF19EA" w:rsidRDefault="003B62CF" w:rsidP="00935A1E">
            <w:pPr>
              <w:rPr>
                <w:sz w:val="20"/>
                <w:szCs w:val="20"/>
              </w:rPr>
            </w:pPr>
            <w:r w:rsidRPr="00CF19EA">
              <w:rPr>
                <w:sz w:val="20"/>
                <w:szCs w:val="20"/>
              </w:rPr>
              <w:t>Professor</w:t>
            </w:r>
          </w:p>
          <w:p w:rsidR="003B62CF" w:rsidRPr="00CF19EA" w:rsidRDefault="003B62CF" w:rsidP="00935A1E">
            <w:pPr>
              <w:rPr>
                <w:sz w:val="20"/>
                <w:szCs w:val="20"/>
              </w:rPr>
            </w:pPr>
            <w:r w:rsidRPr="00CF19EA">
              <w:rPr>
                <w:sz w:val="20"/>
                <w:szCs w:val="20"/>
              </w:rPr>
              <w:t>Boston University School of Public Health</w:t>
            </w:r>
          </w:p>
          <w:p w:rsidR="003B62CF" w:rsidRPr="00CF19EA" w:rsidRDefault="003B62CF" w:rsidP="00935A1E">
            <w:pPr>
              <w:rPr>
                <w:sz w:val="20"/>
                <w:szCs w:val="20"/>
              </w:rPr>
            </w:pPr>
            <w:r w:rsidRPr="00CF19EA">
              <w:rPr>
                <w:sz w:val="20"/>
                <w:szCs w:val="20"/>
              </w:rPr>
              <w:t>Community Health Sciences</w:t>
            </w:r>
          </w:p>
          <w:p w:rsidR="003B62CF" w:rsidRPr="00CF19EA" w:rsidRDefault="003B62CF" w:rsidP="00935A1E">
            <w:pPr>
              <w:rPr>
                <w:sz w:val="20"/>
                <w:szCs w:val="20"/>
              </w:rPr>
            </w:pPr>
            <w:r w:rsidRPr="00CF19EA">
              <w:rPr>
                <w:sz w:val="20"/>
                <w:szCs w:val="20"/>
              </w:rPr>
              <w:t>801 Mass Ave Crosstown Center</w:t>
            </w:r>
          </w:p>
          <w:p w:rsidR="003B62CF" w:rsidRPr="00CF19EA" w:rsidRDefault="003B62CF" w:rsidP="00935A1E">
            <w:pPr>
              <w:rPr>
                <w:sz w:val="20"/>
                <w:szCs w:val="20"/>
              </w:rPr>
            </w:pPr>
            <w:r w:rsidRPr="00CF19EA">
              <w:rPr>
                <w:sz w:val="20"/>
                <w:szCs w:val="20"/>
              </w:rPr>
              <w:t>Boston MA 02118</w:t>
            </w:r>
          </w:p>
        </w:tc>
        <w:tc>
          <w:tcPr>
            <w:tcW w:w="3528" w:type="dxa"/>
          </w:tcPr>
          <w:p w:rsidR="003B62CF" w:rsidRPr="00CF19EA" w:rsidRDefault="003B62CF" w:rsidP="00935A1E">
            <w:pPr>
              <w:keepNext/>
              <w:spacing w:before="60"/>
              <w:rPr>
                <w:sz w:val="20"/>
                <w:szCs w:val="20"/>
              </w:rPr>
            </w:pPr>
            <w:r w:rsidRPr="00CF19EA">
              <w:rPr>
                <w:sz w:val="20"/>
                <w:szCs w:val="20"/>
              </w:rPr>
              <w:t>Telephone: (508) 954-0224</w:t>
            </w:r>
          </w:p>
          <w:p w:rsidR="003B62CF" w:rsidRPr="00CF19EA" w:rsidRDefault="003B62CF" w:rsidP="00935A1E">
            <w:pPr>
              <w:rPr>
                <w:sz w:val="20"/>
                <w:szCs w:val="20"/>
              </w:rPr>
            </w:pPr>
            <w:r w:rsidRPr="00CF19EA">
              <w:rPr>
                <w:sz w:val="20"/>
                <w:szCs w:val="20"/>
              </w:rPr>
              <w:t>Email: wdejong@bu.edu</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 xml:space="preserve">Brian Flay, </w:t>
            </w:r>
            <w:proofErr w:type="spellStart"/>
            <w:r w:rsidRPr="00CF19EA">
              <w:rPr>
                <w:b/>
                <w:sz w:val="20"/>
                <w:szCs w:val="20"/>
              </w:rPr>
              <w:t>DrPH</w:t>
            </w:r>
            <w:proofErr w:type="spellEnd"/>
          </w:p>
          <w:p w:rsidR="003B62CF" w:rsidRPr="00CF19EA" w:rsidRDefault="003B62CF" w:rsidP="00935A1E">
            <w:pPr>
              <w:rPr>
                <w:bCs/>
                <w:sz w:val="20"/>
                <w:szCs w:val="20"/>
              </w:rPr>
            </w:pPr>
            <w:r w:rsidRPr="00CF19EA">
              <w:rPr>
                <w:bCs/>
                <w:sz w:val="20"/>
                <w:szCs w:val="20"/>
              </w:rPr>
              <w:t>Prevention Science</w:t>
            </w:r>
          </w:p>
        </w:tc>
        <w:tc>
          <w:tcPr>
            <w:tcW w:w="3330" w:type="dxa"/>
          </w:tcPr>
          <w:p w:rsidR="003B62CF" w:rsidRPr="00CF19EA" w:rsidRDefault="003B62CF" w:rsidP="00935A1E">
            <w:pPr>
              <w:rPr>
                <w:sz w:val="20"/>
                <w:szCs w:val="20"/>
              </w:rPr>
            </w:pPr>
            <w:r w:rsidRPr="00CF19EA">
              <w:rPr>
                <w:sz w:val="20"/>
                <w:szCs w:val="20"/>
              </w:rPr>
              <w:t>Professor</w:t>
            </w:r>
          </w:p>
          <w:p w:rsidR="003B62CF" w:rsidRPr="00CF19EA" w:rsidRDefault="003B62CF" w:rsidP="00935A1E">
            <w:pPr>
              <w:rPr>
                <w:sz w:val="20"/>
                <w:szCs w:val="20"/>
              </w:rPr>
            </w:pPr>
            <w:r w:rsidRPr="00CF19EA">
              <w:rPr>
                <w:sz w:val="20"/>
                <w:szCs w:val="20"/>
              </w:rPr>
              <w:t>Oregon State University</w:t>
            </w:r>
          </w:p>
          <w:p w:rsidR="003B62CF" w:rsidRPr="00CF19EA" w:rsidRDefault="003B62CF" w:rsidP="00935A1E">
            <w:pPr>
              <w:rPr>
                <w:sz w:val="20"/>
                <w:szCs w:val="20"/>
              </w:rPr>
            </w:pPr>
            <w:r w:rsidRPr="00CF19EA">
              <w:rPr>
                <w:sz w:val="20"/>
                <w:szCs w:val="20"/>
              </w:rPr>
              <w:t>College Of Public Health and Human Sciences</w:t>
            </w:r>
          </w:p>
          <w:p w:rsidR="003B62CF" w:rsidRPr="00CF19EA" w:rsidRDefault="003B62CF" w:rsidP="00935A1E">
            <w:pPr>
              <w:rPr>
                <w:sz w:val="20"/>
                <w:szCs w:val="20"/>
              </w:rPr>
            </w:pPr>
            <w:r w:rsidRPr="00CF19EA">
              <w:rPr>
                <w:sz w:val="20"/>
                <w:szCs w:val="20"/>
              </w:rPr>
              <w:t>457 Waldo Hall</w:t>
            </w:r>
          </w:p>
          <w:p w:rsidR="003B62CF" w:rsidRPr="00CF19EA" w:rsidRDefault="003B62CF" w:rsidP="00935A1E">
            <w:pPr>
              <w:rPr>
                <w:sz w:val="20"/>
                <w:szCs w:val="20"/>
              </w:rPr>
            </w:pPr>
            <w:r w:rsidRPr="00CF19EA">
              <w:rPr>
                <w:sz w:val="20"/>
                <w:szCs w:val="20"/>
              </w:rPr>
              <w:t>Corvallis, OR 9733</w:t>
            </w:r>
          </w:p>
        </w:tc>
        <w:tc>
          <w:tcPr>
            <w:tcW w:w="3528" w:type="dxa"/>
          </w:tcPr>
          <w:p w:rsidR="003B62CF" w:rsidRPr="00CF19EA" w:rsidRDefault="003B62CF" w:rsidP="00935A1E">
            <w:pPr>
              <w:keepNext/>
              <w:spacing w:before="60"/>
              <w:rPr>
                <w:sz w:val="20"/>
                <w:szCs w:val="20"/>
              </w:rPr>
            </w:pPr>
            <w:r w:rsidRPr="00CF19EA">
              <w:rPr>
                <w:sz w:val="20"/>
                <w:szCs w:val="20"/>
              </w:rPr>
              <w:t>Telephone: (541) 737-3837</w:t>
            </w:r>
          </w:p>
          <w:p w:rsidR="003B62CF" w:rsidRPr="00CF19EA" w:rsidRDefault="003B62CF" w:rsidP="00935A1E">
            <w:pPr>
              <w:keepNext/>
              <w:spacing w:before="60"/>
              <w:rPr>
                <w:sz w:val="20"/>
                <w:szCs w:val="20"/>
              </w:rPr>
            </w:pPr>
            <w:r w:rsidRPr="00CF19EA">
              <w:rPr>
                <w:sz w:val="20"/>
                <w:szCs w:val="20"/>
              </w:rPr>
              <w:t xml:space="preserve">Email: Brian.Flay@oregonstate.edu </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Rick Harwood</w:t>
            </w:r>
          </w:p>
          <w:p w:rsidR="003B62CF" w:rsidRPr="00CF19EA" w:rsidRDefault="003B62CF" w:rsidP="00935A1E">
            <w:pPr>
              <w:rPr>
                <w:bCs/>
                <w:sz w:val="20"/>
                <w:szCs w:val="20"/>
              </w:rPr>
            </w:pPr>
            <w:r w:rsidRPr="00CF19EA">
              <w:rPr>
                <w:bCs/>
                <w:sz w:val="20"/>
                <w:szCs w:val="20"/>
              </w:rPr>
              <w:t>Economics, Cost Analyses</w:t>
            </w:r>
          </w:p>
        </w:tc>
        <w:tc>
          <w:tcPr>
            <w:tcW w:w="3330" w:type="dxa"/>
          </w:tcPr>
          <w:p w:rsidR="003B62CF" w:rsidRPr="00CF19EA" w:rsidRDefault="003B62CF" w:rsidP="00935A1E">
            <w:pPr>
              <w:rPr>
                <w:sz w:val="20"/>
                <w:szCs w:val="20"/>
              </w:rPr>
            </w:pPr>
            <w:r w:rsidRPr="00CF19EA">
              <w:rPr>
                <w:sz w:val="20"/>
                <w:szCs w:val="20"/>
              </w:rPr>
              <w:t>Director of Research and Program Applications</w:t>
            </w:r>
          </w:p>
          <w:p w:rsidR="003B62CF" w:rsidRPr="00CF19EA" w:rsidRDefault="003B62CF" w:rsidP="00935A1E">
            <w:pPr>
              <w:rPr>
                <w:sz w:val="20"/>
                <w:szCs w:val="20"/>
              </w:rPr>
            </w:pPr>
            <w:r w:rsidRPr="00CF19EA">
              <w:rPr>
                <w:sz w:val="20"/>
                <w:szCs w:val="20"/>
              </w:rPr>
              <w:t>National Association of State Alcohol and Drug Abuse Directors, Inc., (NASADAD)</w:t>
            </w:r>
          </w:p>
          <w:p w:rsidR="003B62CF" w:rsidRPr="00CF19EA" w:rsidRDefault="003B62CF" w:rsidP="00935A1E">
            <w:pPr>
              <w:rPr>
                <w:sz w:val="20"/>
                <w:szCs w:val="20"/>
              </w:rPr>
            </w:pPr>
            <w:r w:rsidRPr="00CF19EA">
              <w:rPr>
                <w:sz w:val="20"/>
                <w:szCs w:val="20"/>
              </w:rPr>
              <w:t>1025 Connecticut Avenue NW, Suite 605</w:t>
            </w:r>
          </w:p>
          <w:p w:rsidR="003B62CF" w:rsidRPr="00CF19EA" w:rsidRDefault="003B62CF" w:rsidP="00935A1E">
            <w:pPr>
              <w:rPr>
                <w:sz w:val="20"/>
                <w:szCs w:val="20"/>
              </w:rPr>
            </w:pPr>
            <w:r w:rsidRPr="00CF19EA">
              <w:rPr>
                <w:sz w:val="20"/>
                <w:szCs w:val="20"/>
              </w:rPr>
              <w:t>Washington, DC 20036</w:t>
            </w:r>
          </w:p>
        </w:tc>
        <w:tc>
          <w:tcPr>
            <w:tcW w:w="3528" w:type="dxa"/>
          </w:tcPr>
          <w:p w:rsidR="003B62CF" w:rsidRPr="00CF19EA" w:rsidRDefault="003B62CF" w:rsidP="00935A1E">
            <w:pPr>
              <w:keepNext/>
              <w:spacing w:before="60"/>
              <w:rPr>
                <w:sz w:val="20"/>
                <w:szCs w:val="20"/>
              </w:rPr>
            </w:pPr>
            <w:r w:rsidRPr="00CF19EA">
              <w:rPr>
                <w:sz w:val="20"/>
                <w:szCs w:val="20"/>
              </w:rPr>
              <w:t>Telephone: (202) 293-0090, ext. 104</w:t>
            </w:r>
          </w:p>
          <w:p w:rsidR="003B62CF" w:rsidRPr="00CF19EA" w:rsidRDefault="003B62CF" w:rsidP="00935A1E">
            <w:pPr>
              <w:rPr>
                <w:sz w:val="20"/>
                <w:szCs w:val="20"/>
              </w:rPr>
            </w:pPr>
            <w:r w:rsidRPr="00CF19EA">
              <w:rPr>
                <w:sz w:val="20"/>
                <w:szCs w:val="20"/>
              </w:rPr>
              <w:t xml:space="preserve">Email: rharwood@nasadad.org </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Dottie Natal</w:t>
            </w:r>
          </w:p>
          <w:p w:rsidR="003B62CF" w:rsidRPr="00CF19EA" w:rsidRDefault="003B62CF" w:rsidP="00935A1E">
            <w:pPr>
              <w:rPr>
                <w:bCs/>
                <w:sz w:val="20"/>
                <w:szCs w:val="20"/>
              </w:rPr>
            </w:pPr>
            <w:r w:rsidRPr="00CF19EA">
              <w:rPr>
                <w:bCs/>
                <w:sz w:val="20"/>
                <w:szCs w:val="20"/>
              </w:rPr>
              <w:t>IT, Data Collection Systems</w:t>
            </w:r>
          </w:p>
        </w:tc>
        <w:tc>
          <w:tcPr>
            <w:tcW w:w="3330" w:type="dxa"/>
          </w:tcPr>
          <w:p w:rsidR="003B62CF" w:rsidRPr="00CF19EA" w:rsidRDefault="003B62CF" w:rsidP="00935A1E">
            <w:pPr>
              <w:rPr>
                <w:sz w:val="20"/>
                <w:szCs w:val="20"/>
              </w:rPr>
            </w:pPr>
            <w:r w:rsidRPr="00CF19EA">
              <w:rPr>
                <w:sz w:val="20"/>
                <w:szCs w:val="20"/>
              </w:rPr>
              <w:t>CEO</w:t>
            </w:r>
          </w:p>
          <w:p w:rsidR="003B62CF" w:rsidRPr="00CF19EA" w:rsidRDefault="003B62CF" w:rsidP="00935A1E">
            <w:pPr>
              <w:rPr>
                <w:sz w:val="20"/>
                <w:szCs w:val="20"/>
              </w:rPr>
            </w:pPr>
            <w:proofErr w:type="spellStart"/>
            <w:r w:rsidRPr="00CF19EA">
              <w:rPr>
                <w:sz w:val="20"/>
                <w:szCs w:val="20"/>
              </w:rPr>
              <w:t>Imagen</w:t>
            </w:r>
            <w:proofErr w:type="spellEnd"/>
            <w:r w:rsidRPr="00CF19EA">
              <w:rPr>
                <w:sz w:val="20"/>
                <w:szCs w:val="20"/>
              </w:rPr>
              <w:t xml:space="preserve"> Multimedia Corp</w:t>
            </w:r>
          </w:p>
        </w:tc>
        <w:tc>
          <w:tcPr>
            <w:tcW w:w="3528" w:type="dxa"/>
          </w:tcPr>
          <w:p w:rsidR="003B62CF" w:rsidRPr="00CF19EA" w:rsidRDefault="003B62CF" w:rsidP="00935A1E">
            <w:pPr>
              <w:rPr>
                <w:sz w:val="20"/>
                <w:szCs w:val="20"/>
              </w:rPr>
            </w:pPr>
            <w:r w:rsidRPr="00CF19EA">
              <w:rPr>
                <w:sz w:val="20"/>
                <w:szCs w:val="20"/>
              </w:rPr>
              <w:t>Email:dottie@imagenmm.com</w:t>
            </w:r>
          </w:p>
        </w:tc>
      </w:tr>
      <w:tr w:rsidR="003B62CF" w:rsidRPr="00CF19EA" w:rsidDel="00CC7210" w:rsidTr="00935A1E">
        <w:trPr>
          <w:cantSplit/>
        </w:trPr>
        <w:tc>
          <w:tcPr>
            <w:tcW w:w="2790" w:type="dxa"/>
          </w:tcPr>
          <w:p w:rsidR="003B62CF" w:rsidRPr="00CF19EA" w:rsidRDefault="003B62CF" w:rsidP="00935A1E">
            <w:pPr>
              <w:rPr>
                <w:b/>
                <w:sz w:val="20"/>
                <w:szCs w:val="20"/>
              </w:rPr>
            </w:pPr>
            <w:r w:rsidRPr="00CF19EA">
              <w:rPr>
                <w:b/>
                <w:sz w:val="20"/>
                <w:szCs w:val="20"/>
              </w:rPr>
              <w:t xml:space="preserve">Chris </w:t>
            </w:r>
            <w:proofErr w:type="spellStart"/>
            <w:r w:rsidRPr="00CF19EA">
              <w:rPr>
                <w:b/>
                <w:sz w:val="20"/>
                <w:szCs w:val="20"/>
              </w:rPr>
              <w:t>Ringwalt</w:t>
            </w:r>
            <w:proofErr w:type="spellEnd"/>
            <w:r w:rsidRPr="00CF19EA">
              <w:rPr>
                <w:b/>
                <w:sz w:val="20"/>
                <w:szCs w:val="20"/>
              </w:rPr>
              <w:t xml:space="preserve">, </w:t>
            </w:r>
            <w:proofErr w:type="spellStart"/>
            <w:r w:rsidRPr="00CF19EA">
              <w:rPr>
                <w:b/>
                <w:sz w:val="20"/>
                <w:szCs w:val="20"/>
              </w:rPr>
              <w:t>DrPH</w:t>
            </w:r>
            <w:proofErr w:type="spellEnd"/>
          </w:p>
          <w:p w:rsidR="003B62CF" w:rsidRPr="00CF19EA" w:rsidRDefault="003B62CF" w:rsidP="00935A1E">
            <w:pPr>
              <w:rPr>
                <w:bCs/>
                <w:sz w:val="20"/>
                <w:szCs w:val="20"/>
              </w:rPr>
            </w:pPr>
            <w:r w:rsidRPr="00CF19EA">
              <w:rPr>
                <w:bCs/>
                <w:sz w:val="20"/>
                <w:szCs w:val="20"/>
              </w:rPr>
              <w:t>Intervention Implementation and Dissemination</w:t>
            </w:r>
          </w:p>
        </w:tc>
        <w:tc>
          <w:tcPr>
            <w:tcW w:w="3330" w:type="dxa"/>
          </w:tcPr>
          <w:p w:rsidR="003B62CF" w:rsidRPr="00CF19EA" w:rsidRDefault="003B62CF" w:rsidP="00935A1E">
            <w:pPr>
              <w:rPr>
                <w:sz w:val="20"/>
                <w:szCs w:val="20"/>
              </w:rPr>
            </w:pPr>
            <w:r w:rsidRPr="00CF19EA">
              <w:rPr>
                <w:sz w:val="20"/>
                <w:szCs w:val="20"/>
              </w:rPr>
              <w:t>Public Health Senior Research Scientist</w:t>
            </w:r>
          </w:p>
          <w:p w:rsidR="003B62CF" w:rsidRPr="00CF19EA" w:rsidRDefault="003B62CF" w:rsidP="00935A1E">
            <w:pPr>
              <w:rPr>
                <w:sz w:val="20"/>
                <w:szCs w:val="20"/>
              </w:rPr>
            </w:pPr>
            <w:r w:rsidRPr="00CF19EA">
              <w:rPr>
                <w:sz w:val="20"/>
                <w:szCs w:val="20"/>
              </w:rPr>
              <w:t>Pacific Institute for Research and Evaluation</w:t>
            </w:r>
          </w:p>
          <w:p w:rsidR="003B62CF" w:rsidRPr="00CF19EA" w:rsidRDefault="003B62CF" w:rsidP="00935A1E">
            <w:pPr>
              <w:rPr>
                <w:sz w:val="20"/>
                <w:szCs w:val="20"/>
              </w:rPr>
            </w:pPr>
            <w:r w:rsidRPr="00CF19EA">
              <w:rPr>
                <w:sz w:val="20"/>
                <w:szCs w:val="20"/>
              </w:rPr>
              <w:t>1516 E. Franklin Street, Suite 200</w:t>
            </w:r>
          </w:p>
          <w:p w:rsidR="003B62CF" w:rsidRPr="00CF19EA" w:rsidRDefault="003B62CF" w:rsidP="00935A1E">
            <w:pPr>
              <w:rPr>
                <w:sz w:val="20"/>
                <w:szCs w:val="20"/>
              </w:rPr>
            </w:pPr>
            <w:r w:rsidRPr="00CF19EA">
              <w:rPr>
                <w:sz w:val="20"/>
                <w:szCs w:val="20"/>
              </w:rPr>
              <w:t>Chapel Hill, NC 27514-2812</w:t>
            </w:r>
          </w:p>
        </w:tc>
        <w:tc>
          <w:tcPr>
            <w:tcW w:w="3528" w:type="dxa"/>
          </w:tcPr>
          <w:p w:rsidR="003B62CF" w:rsidRPr="00CF19EA" w:rsidRDefault="003B62CF" w:rsidP="00935A1E">
            <w:pPr>
              <w:keepNext/>
              <w:spacing w:before="60"/>
              <w:rPr>
                <w:sz w:val="20"/>
                <w:szCs w:val="20"/>
              </w:rPr>
            </w:pPr>
            <w:r w:rsidRPr="00CF19EA">
              <w:rPr>
                <w:sz w:val="20"/>
                <w:szCs w:val="20"/>
              </w:rPr>
              <w:t>Telephone: (919) 259-0643</w:t>
            </w:r>
          </w:p>
          <w:p w:rsidR="003B62CF" w:rsidRPr="00CF19EA" w:rsidRDefault="003B62CF" w:rsidP="00935A1E">
            <w:pPr>
              <w:rPr>
                <w:sz w:val="20"/>
                <w:szCs w:val="20"/>
              </w:rPr>
            </w:pPr>
            <w:r w:rsidRPr="00CF19EA">
              <w:rPr>
                <w:sz w:val="20"/>
                <w:szCs w:val="20"/>
              </w:rPr>
              <w:t xml:space="preserve">Email: ringwalt@PIRE.org; </w:t>
            </w:r>
          </w:p>
        </w:tc>
      </w:tr>
    </w:tbl>
    <w:p w:rsidR="003B62CF" w:rsidRPr="00CF19EA" w:rsidRDefault="003B62CF" w:rsidP="003B62CF">
      <w:pPr>
        <w:rPr>
          <w:b/>
          <w:bCs/>
        </w:rPr>
      </w:pPr>
    </w:p>
    <w:p w:rsidR="003B62CF" w:rsidRPr="00E040CC" w:rsidRDefault="003B62CF" w:rsidP="003B62CF">
      <w:pPr>
        <w:pStyle w:val="Body"/>
        <w:rPr>
          <w:rFonts w:ascii="Times New Roman" w:hAnsi="Times New Roman"/>
          <w:b/>
          <w:bCs/>
          <w:noProof/>
          <w:szCs w:val="24"/>
        </w:rPr>
      </w:pPr>
    </w:p>
    <w:p w:rsidR="003B62CF" w:rsidRPr="00E040CC" w:rsidRDefault="003B62CF" w:rsidP="003B62CF">
      <w:pPr>
        <w:rPr>
          <w:color w:val="1F497D"/>
        </w:rPr>
      </w:pPr>
    </w:p>
    <w:p w:rsidR="003B62CF" w:rsidRDefault="003B62CF" w:rsidP="003B62CF">
      <w:pPr>
        <w:rPr>
          <w:b/>
          <w:bCs/>
          <w:noProof/>
        </w:rPr>
      </w:pPr>
      <w:r>
        <w:rPr>
          <w:b/>
          <w:bCs/>
          <w:noProof/>
        </w:rPr>
        <w:br w:type="page"/>
      </w:r>
    </w:p>
    <w:p w:rsidR="003B62CF" w:rsidRPr="00E040CC" w:rsidRDefault="003B62CF" w:rsidP="003B62CF">
      <w:pPr>
        <w:pStyle w:val="Body"/>
        <w:rPr>
          <w:rFonts w:ascii="Times New Roman" w:hAnsi="Times New Roman"/>
          <w:b/>
          <w:bCs/>
          <w:noProof/>
          <w:szCs w:val="24"/>
        </w:rPr>
      </w:pPr>
      <w:r w:rsidRPr="00E040CC">
        <w:rPr>
          <w:rFonts w:ascii="Times New Roman" w:hAnsi="Times New Roman"/>
          <w:b/>
          <w:bCs/>
          <w:noProof/>
          <w:szCs w:val="24"/>
        </w:rPr>
        <w:t>Attachments:</w:t>
      </w:r>
    </w:p>
    <w:p w:rsidR="003B62CF" w:rsidRDefault="003B62CF" w:rsidP="000538B1">
      <w:pPr>
        <w:pStyle w:val="Body"/>
        <w:ind w:left="360"/>
        <w:rPr>
          <w:rFonts w:ascii="Times New Roman" w:hAnsi="Times New Roman"/>
          <w:szCs w:val="24"/>
        </w:rPr>
      </w:pPr>
      <w:r>
        <w:rPr>
          <w:rFonts w:ascii="Times New Roman" w:hAnsi="Times New Roman"/>
          <w:szCs w:val="24"/>
        </w:rPr>
        <w:t>A: SPF SIG National Outcome Measures</w:t>
      </w:r>
    </w:p>
    <w:p w:rsidR="000538B1" w:rsidRDefault="000538B1" w:rsidP="000538B1">
      <w:pPr>
        <w:pStyle w:val="Body"/>
        <w:ind w:left="360"/>
        <w:rPr>
          <w:rFonts w:ascii="Times New Roman" w:hAnsi="Times New Roman"/>
          <w:szCs w:val="24"/>
        </w:rPr>
      </w:pPr>
      <w:r>
        <w:rPr>
          <w:rFonts w:ascii="Times New Roman" w:hAnsi="Times New Roman"/>
          <w:szCs w:val="24"/>
        </w:rPr>
        <w:t>B: Community Outcomes Data Fields</w:t>
      </w:r>
    </w:p>
    <w:p w:rsidR="000538B1" w:rsidRDefault="000538B1" w:rsidP="000538B1">
      <w:pPr>
        <w:pStyle w:val="Body"/>
        <w:ind w:left="360"/>
        <w:rPr>
          <w:rFonts w:ascii="Times New Roman" w:hAnsi="Times New Roman"/>
          <w:szCs w:val="24"/>
        </w:rPr>
      </w:pPr>
    </w:p>
    <w:p w:rsidR="005404FF" w:rsidRDefault="005404FF"/>
    <w:sectPr w:rsidR="005404FF" w:rsidSect="00A96494">
      <w:footerReference w:type="default" r:id="rId10"/>
      <w:headerReference w:type="first" r:id="rId11"/>
      <w:footnotePr>
        <w:numRestart w:val="eachSect"/>
      </w:footnotePr>
      <w:pgSz w:w="12240" w:h="15840"/>
      <w:pgMar w:top="1296" w:right="1440" w:bottom="1440" w:left="1440" w:header="54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31" w:rsidRDefault="002B4631">
      <w:r>
        <w:separator/>
      </w:r>
    </w:p>
  </w:endnote>
  <w:endnote w:type="continuationSeparator" w:id="0">
    <w:p w:rsidR="002B4631" w:rsidRDefault="002B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68673"/>
      <w:docPartObj>
        <w:docPartGallery w:val="Page Numbers (Bottom of Page)"/>
        <w:docPartUnique/>
      </w:docPartObj>
    </w:sdtPr>
    <w:sdtEndPr>
      <w:rPr>
        <w:noProof/>
      </w:rPr>
    </w:sdtEndPr>
    <w:sdtContent>
      <w:p w:rsidR="00CB7C71" w:rsidRDefault="00CB7C71">
        <w:pPr>
          <w:pStyle w:val="Footer"/>
          <w:jc w:val="center"/>
        </w:pPr>
        <w:r>
          <w:fldChar w:fldCharType="begin"/>
        </w:r>
        <w:r>
          <w:instrText xml:space="preserve"> PAGE   \* MERGEFORMAT </w:instrText>
        </w:r>
        <w:r>
          <w:fldChar w:fldCharType="separate"/>
        </w:r>
        <w:r w:rsidR="0013110E">
          <w:rPr>
            <w:noProof/>
          </w:rPr>
          <w:t>1</w:t>
        </w:r>
        <w:r>
          <w:rPr>
            <w:noProof/>
          </w:rPr>
          <w:fldChar w:fldCharType="end"/>
        </w:r>
      </w:p>
    </w:sdtContent>
  </w:sdt>
  <w:p w:rsidR="00EB026F" w:rsidRDefault="0013110E" w:rsidP="00BD78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31" w:rsidRDefault="002B4631">
      <w:r>
        <w:separator/>
      </w:r>
    </w:p>
  </w:footnote>
  <w:footnote w:type="continuationSeparator" w:id="0">
    <w:p w:rsidR="002B4631" w:rsidRDefault="002B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6F" w:rsidRDefault="003B62CF" w:rsidP="00A1310E">
    <w:pPr>
      <w:tabs>
        <w:tab w:val="center" w:pos="4680"/>
        <w:tab w:val="left" w:pos="6785"/>
      </w:tabs>
      <w:spacing w:line="287" w:lineRule="atLeast"/>
      <w:outlineLvl w:val="0"/>
      <w:rPr>
        <w:b/>
      </w:rPr>
    </w:pPr>
    <w:r>
      <w:rPr>
        <w:b/>
      </w:rPr>
      <w:tab/>
    </w:r>
  </w:p>
  <w:p w:rsidR="00EB026F" w:rsidRDefault="00131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CF"/>
    <w:rsid w:val="00025948"/>
    <w:rsid w:val="00032A85"/>
    <w:rsid w:val="000538B1"/>
    <w:rsid w:val="00072D5E"/>
    <w:rsid w:val="00084AA1"/>
    <w:rsid w:val="0013110E"/>
    <w:rsid w:val="001E5A3A"/>
    <w:rsid w:val="0023709D"/>
    <w:rsid w:val="00286856"/>
    <w:rsid w:val="002B4631"/>
    <w:rsid w:val="00362460"/>
    <w:rsid w:val="003B62CF"/>
    <w:rsid w:val="005404FF"/>
    <w:rsid w:val="0082126D"/>
    <w:rsid w:val="00925453"/>
    <w:rsid w:val="00953CC5"/>
    <w:rsid w:val="00A06FE6"/>
    <w:rsid w:val="00B560F5"/>
    <w:rsid w:val="00C155FB"/>
    <w:rsid w:val="00CB7C71"/>
    <w:rsid w:val="00D75082"/>
    <w:rsid w:val="00DA44DD"/>
    <w:rsid w:val="00F3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11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
    <w:link w:val="Heading2Char"/>
    <w:qFormat/>
    <w:rsid w:val="003B62CF"/>
    <w:pPr>
      <w:keepNext/>
      <w:keepLines/>
      <w:widowControl w:val="0"/>
      <w:spacing w:before="240" w:after="120"/>
      <w:outlineLvl w:val="1"/>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CF"/>
    <w:rPr>
      <w:rFonts w:ascii="Arial" w:eastAsia="Times New Roman" w:hAnsi="Arial" w:cs="Times New Roman"/>
      <w:b/>
      <w:kern w:val="28"/>
      <w:sz w:val="28"/>
      <w:szCs w:val="20"/>
    </w:rPr>
  </w:style>
  <w:style w:type="paragraph" w:customStyle="1" w:styleId="Body">
    <w:name w:val="Body"/>
    <w:basedOn w:val="Normal"/>
    <w:rsid w:val="003B62CF"/>
    <w:pPr>
      <w:spacing w:before="120" w:after="120" w:line="360" w:lineRule="auto"/>
    </w:pPr>
    <w:rPr>
      <w:rFonts w:ascii="Arial" w:hAnsi="Arial"/>
      <w:szCs w:val="20"/>
    </w:rPr>
  </w:style>
  <w:style w:type="paragraph" w:styleId="Footer">
    <w:name w:val="footer"/>
    <w:basedOn w:val="Normal"/>
    <w:link w:val="FooterChar"/>
    <w:uiPriority w:val="99"/>
    <w:rsid w:val="003B62CF"/>
    <w:pPr>
      <w:pBdr>
        <w:top w:val="single" w:sz="4" w:space="2" w:color="auto"/>
      </w:pBdr>
      <w:tabs>
        <w:tab w:val="center" w:pos="4680"/>
        <w:tab w:val="right" w:pos="9360"/>
      </w:tabs>
    </w:pPr>
    <w:rPr>
      <w:rFonts w:ascii="Arial" w:hAnsi="Arial"/>
      <w:sz w:val="18"/>
      <w:szCs w:val="20"/>
    </w:rPr>
  </w:style>
  <w:style w:type="character" w:customStyle="1" w:styleId="FooterChar">
    <w:name w:val="Footer Char"/>
    <w:basedOn w:val="DefaultParagraphFont"/>
    <w:link w:val="Footer"/>
    <w:uiPriority w:val="99"/>
    <w:rsid w:val="003B62CF"/>
    <w:rPr>
      <w:rFonts w:ascii="Arial" w:eastAsia="Times New Roman" w:hAnsi="Arial" w:cs="Times New Roman"/>
      <w:sz w:val="18"/>
      <w:szCs w:val="20"/>
    </w:rPr>
  </w:style>
  <w:style w:type="paragraph" w:styleId="Header">
    <w:name w:val="header"/>
    <w:basedOn w:val="Normal"/>
    <w:link w:val="HeaderChar"/>
    <w:rsid w:val="003B62CF"/>
    <w:pPr>
      <w:tabs>
        <w:tab w:val="right" w:pos="9360"/>
      </w:tabs>
    </w:pPr>
    <w:rPr>
      <w:rFonts w:ascii="Arial" w:hAnsi="Arial"/>
      <w:i/>
      <w:sz w:val="18"/>
      <w:szCs w:val="20"/>
    </w:rPr>
  </w:style>
  <w:style w:type="character" w:customStyle="1" w:styleId="HeaderChar">
    <w:name w:val="Header Char"/>
    <w:basedOn w:val="DefaultParagraphFont"/>
    <w:link w:val="Header"/>
    <w:rsid w:val="003B62CF"/>
    <w:rPr>
      <w:rFonts w:ascii="Arial" w:eastAsia="Times New Roman" w:hAnsi="Arial" w:cs="Times New Roman"/>
      <w:i/>
      <w:sz w:val="18"/>
      <w:szCs w:val="20"/>
    </w:rPr>
  </w:style>
  <w:style w:type="paragraph" w:styleId="ListNumber">
    <w:name w:val="List Number"/>
    <w:basedOn w:val="ListParagraph"/>
    <w:uiPriority w:val="99"/>
    <w:unhideWhenUsed/>
    <w:rsid w:val="003B62CF"/>
    <w:pPr>
      <w:numPr>
        <w:numId w:val="1"/>
      </w:numPr>
      <w:tabs>
        <w:tab w:val="num" w:pos="360"/>
      </w:tabs>
      <w:spacing w:after="240"/>
      <w:ind w:firstLine="0"/>
    </w:pPr>
    <w:rPr>
      <w:rFonts w:eastAsiaTheme="minorHAnsi" w:cstheme="minorBidi"/>
      <w:sz w:val="22"/>
      <w:szCs w:val="22"/>
    </w:rPr>
  </w:style>
  <w:style w:type="paragraph" w:styleId="ListParagraph">
    <w:name w:val="List Paragraph"/>
    <w:basedOn w:val="Normal"/>
    <w:uiPriority w:val="34"/>
    <w:qFormat/>
    <w:rsid w:val="003B62CF"/>
    <w:pPr>
      <w:ind w:left="720"/>
      <w:contextualSpacing/>
    </w:pPr>
  </w:style>
  <w:style w:type="paragraph" w:styleId="BalloonText">
    <w:name w:val="Balloon Text"/>
    <w:basedOn w:val="Normal"/>
    <w:link w:val="BalloonTextChar"/>
    <w:uiPriority w:val="99"/>
    <w:semiHidden/>
    <w:unhideWhenUsed/>
    <w:rsid w:val="003B62CF"/>
    <w:rPr>
      <w:rFonts w:ascii="Tahoma" w:hAnsi="Tahoma" w:cs="Tahoma"/>
      <w:sz w:val="16"/>
      <w:szCs w:val="16"/>
    </w:rPr>
  </w:style>
  <w:style w:type="character" w:customStyle="1" w:styleId="BalloonTextChar">
    <w:name w:val="Balloon Text Char"/>
    <w:basedOn w:val="DefaultParagraphFont"/>
    <w:link w:val="BalloonText"/>
    <w:uiPriority w:val="99"/>
    <w:semiHidden/>
    <w:rsid w:val="003B62CF"/>
    <w:rPr>
      <w:rFonts w:ascii="Tahoma" w:eastAsia="Times New Roman" w:hAnsi="Tahoma" w:cs="Tahoma"/>
      <w:sz w:val="16"/>
      <w:szCs w:val="16"/>
    </w:rPr>
  </w:style>
  <w:style w:type="character" w:customStyle="1" w:styleId="Heading1Char">
    <w:name w:val="Heading 1 Char"/>
    <w:basedOn w:val="DefaultParagraphFont"/>
    <w:link w:val="Heading1"/>
    <w:uiPriority w:val="9"/>
    <w:rsid w:val="0013110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11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
    <w:link w:val="Heading2Char"/>
    <w:qFormat/>
    <w:rsid w:val="003B62CF"/>
    <w:pPr>
      <w:keepNext/>
      <w:keepLines/>
      <w:widowControl w:val="0"/>
      <w:spacing w:before="240" w:after="120"/>
      <w:outlineLvl w:val="1"/>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CF"/>
    <w:rPr>
      <w:rFonts w:ascii="Arial" w:eastAsia="Times New Roman" w:hAnsi="Arial" w:cs="Times New Roman"/>
      <w:b/>
      <w:kern w:val="28"/>
      <w:sz w:val="28"/>
      <w:szCs w:val="20"/>
    </w:rPr>
  </w:style>
  <w:style w:type="paragraph" w:customStyle="1" w:styleId="Body">
    <w:name w:val="Body"/>
    <w:basedOn w:val="Normal"/>
    <w:rsid w:val="003B62CF"/>
    <w:pPr>
      <w:spacing w:before="120" w:after="120" w:line="360" w:lineRule="auto"/>
    </w:pPr>
    <w:rPr>
      <w:rFonts w:ascii="Arial" w:hAnsi="Arial"/>
      <w:szCs w:val="20"/>
    </w:rPr>
  </w:style>
  <w:style w:type="paragraph" w:styleId="Footer">
    <w:name w:val="footer"/>
    <w:basedOn w:val="Normal"/>
    <w:link w:val="FooterChar"/>
    <w:uiPriority w:val="99"/>
    <w:rsid w:val="003B62CF"/>
    <w:pPr>
      <w:pBdr>
        <w:top w:val="single" w:sz="4" w:space="2" w:color="auto"/>
      </w:pBdr>
      <w:tabs>
        <w:tab w:val="center" w:pos="4680"/>
        <w:tab w:val="right" w:pos="9360"/>
      </w:tabs>
    </w:pPr>
    <w:rPr>
      <w:rFonts w:ascii="Arial" w:hAnsi="Arial"/>
      <w:sz w:val="18"/>
      <w:szCs w:val="20"/>
    </w:rPr>
  </w:style>
  <w:style w:type="character" w:customStyle="1" w:styleId="FooterChar">
    <w:name w:val="Footer Char"/>
    <w:basedOn w:val="DefaultParagraphFont"/>
    <w:link w:val="Footer"/>
    <w:uiPriority w:val="99"/>
    <w:rsid w:val="003B62CF"/>
    <w:rPr>
      <w:rFonts w:ascii="Arial" w:eastAsia="Times New Roman" w:hAnsi="Arial" w:cs="Times New Roman"/>
      <w:sz w:val="18"/>
      <w:szCs w:val="20"/>
    </w:rPr>
  </w:style>
  <w:style w:type="paragraph" w:styleId="Header">
    <w:name w:val="header"/>
    <w:basedOn w:val="Normal"/>
    <w:link w:val="HeaderChar"/>
    <w:rsid w:val="003B62CF"/>
    <w:pPr>
      <w:tabs>
        <w:tab w:val="right" w:pos="9360"/>
      </w:tabs>
    </w:pPr>
    <w:rPr>
      <w:rFonts w:ascii="Arial" w:hAnsi="Arial"/>
      <w:i/>
      <w:sz w:val="18"/>
      <w:szCs w:val="20"/>
    </w:rPr>
  </w:style>
  <w:style w:type="character" w:customStyle="1" w:styleId="HeaderChar">
    <w:name w:val="Header Char"/>
    <w:basedOn w:val="DefaultParagraphFont"/>
    <w:link w:val="Header"/>
    <w:rsid w:val="003B62CF"/>
    <w:rPr>
      <w:rFonts w:ascii="Arial" w:eastAsia="Times New Roman" w:hAnsi="Arial" w:cs="Times New Roman"/>
      <w:i/>
      <w:sz w:val="18"/>
      <w:szCs w:val="20"/>
    </w:rPr>
  </w:style>
  <w:style w:type="paragraph" w:styleId="ListNumber">
    <w:name w:val="List Number"/>
    <w:basedOn w:val="ListParagraph"/>
    <w:uiPriority w:val="99"/>
    <w:unhideWhenUsed/>
    <w:rsid w:val="003B62CF"/>
    <w:pPr>
      <w:numPr>
        <w:numId w:val="1"/>
      </w:numPr>
      <w:tabs>
        <w:tab w:val="num" w:pos="360"/>
      </w:tabs>
      <w:spacing w:after="240"/>
      <w:ind w:firstLine="0"/>
    </w:pPr>
    <w:rPr>
      <w:rFonts w:eastAsiaTheme="minorHAnsi" w:cstheme="minorBidi"/>
      <w:sz w:val="22"/>
      <w:szCs w:val="22"/>
    </w:rPr>
  </w:style>
  <w:style w:type="paragraph" w:styleId="ListParagraph">
    <w:name w:val="List Paragraph"/>
    <w:basedOn w:val="Normal"/>
    <w:uiPriority w:val="34"/>
    <w:qFormat/>
    <w:rsid w:val="003B62CF"/>
    <w:pPr>
      <w:ind w:left="720"/>
      <w:contextualSpacing/>
    </w:pPr>
  </w:style>
  <w:style w:type="paragraph" w:styleId="BalloonText">
    <w:name w:val="Balloon Text"/>
    <w:basedOn w:val="Normal"/>
    <w:link w:val="BalloonTextChar"/>
    <w:uiPriority w:val="99"/>
    <w:semiHidden/>
    <w:unhideWhenUsed/>
    <w:rsid w:val="003B62CF"/>
    <w:rPr>
      <w:rFonts w:ascii="Tahoma" w:hAnsi="Tahoma" w:cs="Tahoma"/>
      <w:sz w:val="16"/>
      <w:szCs w:val="16"/>
    </w:rPr>
  </w:style>
  <w:style w:type="character" w:customStyle="1" w:styleId="BalloonTextChar">
    <w:name w:val="Balloon Text Char"/>
    <w:basedOn w:val="DefaultParagraphFont"/>
    <w:link w:val="BalloonText"/>
    <w:uiPriority w:val="99"/>
    <w:semiHidden/>
    <w:rsid w:val="003B62CF"/>
    <w:rPr>
      <w:rFonts w:ascii="Tahoma" w:eastAsia="Times New Roman" w:hAnsi="Tahoma" w:cs="Tahoma"/>
      <w:sz w:val="16"/>
      <w:szCs w:val="16"/>
    </w:rPr>
  </w:style>
  <w:style w:type="character" w:customStyle="1" w:styleId="Heading1Char">
    <w:name w:val="Heading 1 Char"/>
    <w:basedOn w:val="DefaultParagraphFont"/>
    <w:link w:val="Heading1"/>
    <w:uiPriority w:val="9"/>
    <w:rsid w:val="0013110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Azimi-Bolourian@SAMHS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Clarke@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CLarke</dc:creator>
  <cp:lastModifiedBy>Windows User</cp:lastModifiedBy>
  <cp:revision>3</cp:revision>
  <cp:lastPrinted>2015-11-09T18:40:00Z</cp:lastPrinted>
  <dcterms:created xsi:type="dcterms:W3CDTF">2015-11-10T14:34:00Z</dcterms:created>
  <dcterms:modified xsi:type="dcterms:W3CDTF">2016-03-03T20:53:00Z</dcterms:modified>
</cp:coreProperties>
</file>