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FB" w:rsidRDefault="00296427" w:rsidP="001F20F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Attachment </w:t>
      </w:r>
      <w:r w:rsidR="00200988">
        <w:rPr>
          <w:rFonts w:cs="Arial"/>
          <w:b/>
          <w:sz w:val="28"/>
          <w:szCs w:val="28"/>
          <w:u w:val="single"/>
        </w:rPr>
        <w:t>2</w:t>
      </w:r>
      <w:bookmarkStart w:id="0" w:name="_GoBack"/>
      <w:bookmarkEnd w:id="0"/>
      <w:r w:rsidR="001F20FB" w:rsidRPr="00681DBD">
        <w:rPr>
          <w:rFonts w:cs="Arial"/>
          <w:b/>
          <w:sz w:val="28"/>
          <w:szCs w:val="28"/>
          <w:u w:val="single"/>
        </w:rPr>
        <w:t xml:space="preserve">: Pilot Test Results of </w:t>
      </w:r>
      <w:r w:rsidR="00A93BF9">
        <w:rPr>
          <w:rFonts w:cs="Arial"/>
          <w:b/>
          <w:sz w:val="28"/>
          <w:szCs w:val="28"/>
          <w:u w:val="single"/>
        </w:rPr>
        <w:t>Quarterly</w:t>
      </w:r>
      <w:r w:rsidR="001F20FB">
        <w:rPr>
          <w:rFonts w:cs="Arial"/>
          <w:b/>
          <w:sz w:val="28"/>
          <w:szCs w:val="28"/>
          <w:u w:val="single"/>
        </w:rPr>
        <w:t xml:space="preserve"> </w:t>
      </w:r>
      <w:r w:rsidR="001F20FB" w:rsidRPr="00681DBD">
        <w:rPr>
          <w:rFonts w:cs="Arial"/>
          <w:b/>
          <w:sz w:val="28"/>
          <w:szCs w:val="28"/>
          <w:u w:val="single"/>
        </w:rPr>
        <w:t xml:space="preserve">Survey </w:t>
      </w:r>
    </w:p>
    <w:p w:rsidR="001F20FB" w:rsidRPr="00AE14E4" w:rsidRDefault="001F20FB" w:rsidP="001F20FB">
      <w:pPr>
        <w:keepNext/>
        <w:widowControl/>
        <w:rPr>
          <w:sz w:val="22"/>
          <w:szCs w:val="22"/>
        </w:rPr>
      </w:pPr>
      <w:r w:rsidRPr="00AE14E4">
        <w:rPr>
          <w:sz w:val="22"/>
          <w:szCs w:val="22"/>
        </w:rPr>
        <w:t>Several sections of</w:t>
      </w:r>
      <w:r w:rsidR="0097644A" w:rsidRPr="00AE14E4">
        <w:rPr>
          <w:sz w:val="22"/>
          <w:szCs w:val="22"/>
        </w:rPr>
        <w:t xml:space="preserve"> the survey (see Attachment B2</w:t>
      </w:r>
      <w:r w:rsidRPr="00AE14E4">
        <w:rPr>
          <w:sz w:val="22"/>
          <w:szCs w:val="22"/>
        </w:rPr>
        <w:t xml:space="preserve">) were completed by </w:t>
      </w:r>
      <w:r w:rsidR="00450658">
        <w:rPr>
          <w:sz w:val="22"/>
          <w:szCs w:val="22"/>
        </w:rPr>
        <w:t xml:space="preserve">four </w:t>
      </w:r>
      <w:r w:rsidR="00A93BF9" w:rsidRPr="00450658">
        <w:rPr>
          <w:sz w:val="22"/>
          <w:szCs w:val="22"/>
        </w:rPr>
        <w:t>2011</w:t>
      </w:r>
      <w:r w:rsidR="0097644A" w:rsidRPr="00AE14E4">
        <w:rPr>
          <w:sz w:val="22"/>
          <w:szCs w:val="22"/>
        </w:rPr>
        <w:t xml:space="preserve"> grantees of the </w:t>
      </w:r>
      <w:r w:rsidR="00A93BF9">
        <w:rPr>
          <w:sz w:val="22"/>
          <w:szCs w:val="22"/>
        </w:rPr>
        <w:t>Services Grant Program for Residential Treatment for Pregnant and Postpartum Women (PPW)</w:t>
      </w:r>
      <w:r w:rsidRPr="00AE14E4">
        <w:rPr>
          <w:sz w:val="22"/>
          <w:szCs w:val="22"/>
        </w:rPr>
        <w:t xml:space="preserve">. The averaged time it took the </w:t>
      </w:r>
      <w:r w:rsidR="0097644A" w:rsidRPr="00AE14E4">
        <w:rPr>
          <w:sz w:val="22"/>
          <w:szCs w:val="22"/>
        </w:rPr>
        <w:t xml:space="preserve">all respondents of a grantee to complete the </w:t>
      </w:r>
      <w:r w:rsidR="00A93BF9">
        <w:rPr>
          <w:sz w:val="22"/>
          <w:szCs w:val="22"/>
        </w:rPr>
        <w:t xml:space="preserve">quarterly </w:t>
      </w:r>
      <w:r w:rsidR="0097644A" w:rsidRPr="00AE14E4">
        <w:rPr>
          <w:sz w:val="22"/>
          <w:szCs w:val="22"/>
        </w:rPr>
        <w:t xml:space="preserve">survey was about </w:t>
      </w:r>
      <w:r w:rsidR="00450658">
        <w:rPr>
          <w:sz w:val="22"/>
          <w:szCs w:val="22"/>
        </w:rPr>
        <w:t>18</w:t>
      </w:r>
      <w:r w:rsidR="0097644A" w:rsidRPr="00AE14E4">
        <w:rPr>
          <w:sz w:val="22"/>
          <w:szCs w:val="22"/>
        </w:rPr>
        <w:t xml:space="preserve"> hours</w:t>
      </w:r>
      <w:r w:rsidR="0016171C" w:rsidRPr="00AE14E4">
        <w:rPr>
          <w:sz w:val="22"/>
          <w:szCs w:val="22"/>
        </w:rPr>
        <w:t xml:space="preserve">; the average time it took the PD/PM to complete </w:t>
      </w:r>
      <w:r w:rsidR="003849D3" w:rsidRPr="00AE14E4">
        <w:rPr>
          <w:sz w:val="22"/>
          <w:szCs w:val="22"/>
        </w:rPr>
        <w:t>t</w:t>
      </w:r>
      <w:r w:rsidR="00655814" w:rsidRPr="00AE14E4">
        <w:rPr>
          <w:sz w:val="22"/>
          <w:szCs w:val="22"/>
        </w:rPr>
        <w:t xml:space="preserve">he </w:t>
      </w:r>
      <w:r w:rsidR="00A93BF9">
        <w:rPr>
          <w:sz w:val="22"/>
          <w:szCs w:val="22"/>
        </w:rPr>
        <w:t>quarterly</w:t>
      </w:r>
      <w:r w:rsidR="00655814" w:rsidRPr="00AE14E4">
        <w:rPr>
          <w:sz w:val="22"/>
          <w:szCs w:val="22"/>
        </w:rPr>
        <w:t xml:space="preserve"> survey was about </w:t>
      </w:r>
      <w:r w:rsidR="00450658">
        <w:rPr>
          <w:sz w:val="22"/>
          <w:szCs w:val="22"/>
        </w:rPr>
        <w:t>12</w:t>
      </w:r>
      <w:r w:rsidR="0016171C" w:rsidRPr="00AE14E4">
        <w:rPr>
          <w:sz w:val="22"/>
          <w:szCs w:val="22"/>
        </w:rPr>
        <w:t xml:space="preserve"> hours</w:t>
      </w:r>
      <w:r w:rsidR="00F2713F" w:rsidRPr="00AE14E4">
        <w:rPr>
          <w:sz w:val="22"/>
          <w:szCs w:val="22"/>
        </w:rPr>
        <w:t>.</w:t>
      </w:r>
    </w:p>
    <w:p w:rsidR="001F20FB" w:rsidRDefault="001F20FB" w:rsidP="001F20FB">
      <w:pPr>
        <w:keepNext/>
        <w:widowControl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310"/>
      </w:tblGrid>
      <w:tr w:rsidR="001F20FB" w:rsidRPr="00B234A5" w:rsidTr="00D86DD6">
        <w:tc>
          <w:tcPr>
            <w:tcW w:w="5238" w:type="dxa"/>
          </w:tcPr>
          <w:p w:rsidR="001F20FB" w:rsidRPr="00B234A5" w:rsidRDefault="001F20FB" w:rsidP="00F274A7">
            <w:pPr>
              <w:keepNext/>
              <w:widowControl/>
              <w:jc w:val="center"/>
              <w:rPr>
                <w:b/>
              </w:rPr>
            </w:pPr>
            <w:r w:rsidRPr="00B234A5">
              <w:rPr>
                <w:b/>
                <w:szCs w:val="22"/>
              </w:rPr>
              <w:t>Issue</w:t>
            </w:r>
          </w:p>
        </w:tc>
        <w:tc>
          <w:tcPr>
            <w:tcW w:w="5310" w:type="dxa"/>
          </w:tcPr>
          <w:p w:rsidR="001F20FB" w:rsidRPr="00B234A5" w:rsidRDefault="001F20FB" w:rsidP="00F274A7">
            <w:pPr>
              <w:keepNext/>
              <w:widowControl/>
              <w:jc w:val="center"/>
              <w:rPr>
                <w:b/>
              </w:rPr>
            </w:pPr>
            <w:r w:rsidRPr="00B234A5">
              <w:rPr>
                <w:b/>
                <w:szCs w:val="22"/>
              </w:rPr>
              <w:t>Changes Made</w:t>
            </w:r>
          </w:p>
        </w:tc>
      </w:tr>
      <w:tr w:rsidR="001F20FB" w:rsidRPr="00B234A5" w:rsidTr="00D86DD6">
        <w:trPr>
          <w:trHeight w:val="2960"/>
        </w:trPr>
        <w:tc>
          <w:tcPr>
            <w:tcW w:w="5238" w:type="dxa"/>
          </w:tcPr>
          <w:p w:rsidR="00BC4C3A" w:rsidRDefault="001F20FB" w:rsidP="00A93BF9">
            <w:pPr>
              <w:keepNext/>
              <w:widowControl/>
              <w:rPr>
                <w:szCs w:val="22"/>
              </w:rPr>
            </w:pPr>
            <w:r w:rsidRPr="00D86DD6">
              <w:rPr>
                <w:szCs w:val="22"/>
              </w:rPr>
              <w:t xml:space="preserve">1. </w:t>
            </w:r>
            <w:r w:rsidR="00BC4C3A">
              <w:rPr>
                <w:szCs w:val="22"/>
              </w:rPr>
              <w:t xml:space="preserve">Respondents noted that data may come from </w:t>
            </w:r>
            <w:r w:rsidR="00BC4C3A">
              <w:rPr>
                <w:szCs w:val="22"/>
              </w:rPr>
              <w:br/>
              <w:t xml:space="preserve">    varying sources.</w:t>
            </w:r>
          </w:p>
          <w:p w:rsidR="00A93BF9" w:rsidRDefault="00BC4C3A" w:rsidP="00A93BF9">
            <w:pPr>
              <w:keepNext/>
              <w:widowControl/>
              <w:rPr>
                <w:szCs w:val="22"/>
              </w:rPr>
            </w:pPr>
            <w:r>
              <w:rPr>
                <w:szCs w:val="22"/>
              </w:rPr>
              <w:t xml:space="preserve">2. Respondents noted duplication in some of the </w:t>
            </w:r>
            <w:r>
              <w:rPr>
                <w:szCs w:val="22"/>
              </w:rPr>
              <w:br/>
              <w:t xml:space="preserve">    questions.</w:t>
            </w:r>
          </w:p>
          <w:p w:rsidR="00FF62F7" w:rsidRDefault="00FF62F7" w:rsidP="00A93BF9">
            <w:pPr>
              <w:keepNext/>
              <w:widowControl/>
              <w:rPr>
                <w:szCs w:val="22"/>
              </w:rPr>
            </w:pPr>
            <w:r>
              <w:rPr>
                <w:szCs w:val="22"/>
              </w:rPr>
              <w:t>3. Respondents suggested that question responses</w:t>
            </w:r>
          </w:p>
          <w:p w:rsidR="00FF62F7" w:rsidRPr="00B234A5" w:rsidRDefault="00FF62F7" w:rsidP="00A93BF9">
            <w:pPr>
              <w:keepNext/>
              <w:widowControl/>
            </w:pPr>
            <w:r>
              <w:rPr>
                <w:szCs w:val="22"/>
              </w:rPr>
              <w:t xml:space="preserve">    </w:t>
            </w:r>
            <w:proofErr w:type="gramStart"/>
            <w:r>
              <w:rPr>
                <w:szCs w:val="22"/>
              </w:rPr>
              <w:t>be</w:t>
            </w:r>
            <w:proofErr w:type="gramEnd"/>
            <w:r>
              <w:rPr>
                <w:szCs w:val="22"/>
              </w:rPr>
              <w:t xml:space="preserve"> formatted in tables for ease of answering.</w:t>
            </w:r>
          </w:p>
          <w:p w:rsidR="001F20FB" w:rsidRPr="00B234A5" w:rsidRDefault="001F20FB" w:rsidP="001F20FB">
            <w:pPr>
              <w:keepNext/>
              <w:widowControl/>
            </w:pPr>
          </w:p>
        </w:tc>
        <w:tc>
          <w:tcPr>
            <w:tcW w:w="5310" w:type="dxa"/>
          </w:tcPr>
          <w:p w:rsidR="00AE14E4" w:rsidRDefault="00BC4C3A" w:rsidP="00A93BF9">
            <w:pPr>
              <w:pStyle w:val="ListParagraph"/>
              <w:keepNext/>
              <w:widowControl/>
              <w:numPr>
                <w:ilvl w:val="0"/>
                <w:numId w:val="1"/>
              </w:numPr>
              <w:ind w:left="342" w:hanging="270"/>
            </w:pPr>
            <w:r>
              <w:t>A question was added at the beginning of each section asking for data source and time period.</w:t>
            </w:r>
          </w:p>
          <w:p w:rsidR="00BC4C3A" w:rsidRDefault="00FF62F7" w:rsidP="00A93BF9">
            <w:pPr>
              <w:pStyle w:val="ListParagraph"/>
              <w:keepNext/>
              <w:widowControl/>
              <w:numPr>
                <w:ilvl w:val="0"/>
                <w:numId w:val="1"/>
              </w:numPr>
              <w:ind w:left="342" w:hanging="270"/>
            </w:pPr>
            <w:r>
              <w:t>Six questions were removed that were identified as duplicative.</w:t>
            </w:r>
          </w:p>
          <w:p w:rsidR="00FF62F7" w:rsidRDefault="00FF62F7" w:rsidP="00A93BF9">
            <w:pPr>
              <w:pStyle w:val="ListParagraph"/>
              <w:keepNext/>
              <w:widowControl/>
              <w:numPr>
                <w:ilvl w:val="0"/>
                <w:numId w:val="1"/>
              </w:numPr>
              <w:ind w:left="342" w:hanging="270"/>
            </w:pPr>
            <w:r>
              <w:t>Reformatting of response categories into tables was completed for multiple questions.</w:t>
            </w:r>
          </w:p>
        </w:tc>
      </w:tr>
    </w:tbl>
    <w:p w:rsidR="001F20FB" w:rsidRDefault="001F20FB" w:rsidP="001F20FB">
      <w:pPr>
        <w:keepNext/>
        <w:widowControl/>
        <w:rPr>
          <w:szCs w:val="22"/>
        </w:rPr>
      </w:pPr>
      <w:r>
        <w:rPr>
          <w:szCs w:val="22"/>
        </w:rPr>
        <w:t>Comments: There were no complaints or other critical comments expressed by the respondents on the appropriateness of the questions or other topics.</w:t>
      </w:r>
    </w:p>
    <w:p w:rsidR="00F81579" w:rsidRDefault="00F81579"/>
    <w:p w:rsidR="00A93BF9" w:rsidRDefault="00A93BF9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F81579" w:rsidRPr="00CC2244" w:rsidRDefault="00F81579" w:rsidP="00F81579">
      <w:pPr>
        <w:rPr>
          <w:b/>
        </w:rPr>
      </w:pPr>
      <w:r>
        <w:rPr>
          <w:b/>
        </w:rPr>
        <w:lastRenderedPageBreak/>
        <w:t xml:space="preserve">Table </w:t>
      </w:r>
      <w:r w:rsidR="00AE14E4">
        <w:rPr>
          <w:b/>
        </w:rPr>
        <w:t>1</w:t>
      </w:r>
      <w:r>
        <w:rPr>
          <w:b/>
        </w:rPr>
        <w:t xml:space="preserve">: </w:t>
      </w:r>
      <w:r w:rsidRPr="00CC2244">
        <w:rPr>
          <w:b/>
        </w:rPr>
        <w:t xml:space="preserve">Labor hours estimated by Project Directors/Other </w:t>
      </w:r>
      <w:r w:rsidR="00EB1074">
        <w:rPr>
          <w:b/>
        </w:rPr>
        <w:t xml:space="preserve">Project Staff </w:t>
      </w:r>
      <w:r w:rsidR="001F249C">
        <w:rPr>
          <w:b/>
        </w:rPr>
        <w:t>Contributors</w:t>
      </w:r>
    </w:p>
    <w:tbl>
      <w:tblPr>
        <w:tblStyle w:val="TableGrid"/>
        <w:tblW w:w="12330" w:type="dxa"/>
        <w:tblInd w:w="-72" w:type="dxa"/>
        <w:tblLook w:val="04A0" w:firstRow="1" w:lastRow="0" w:firstColumn="1" w:lastColumn="0" w:noHBand="0" w:noVBand="1"/>
      </w:tblPr>
      <w:tblGrid>
        <w:gridCol w:w="2610"/>
        <w:gridCol w:w="270"/>
        <w:gridCol w:w="1710"/>
        <w:gridCol w:w="1620"/>
        <w:gridCol w:w="1800"/>
        <w:gridCol w:w="4320"/>
      </w:tblGrid>
      <w:tr w:rsidR="00F2713F" w:rsidTr="0050441E">
        <w:tc>
          <w:tcPr>
            <w:tcW w:w="2610" w:type="dxa"/>
            <w:shd w:val="clear" w:color="auto" w:fill="808080" w:themeFill="background1" w:themeFillShade="80"/>
          </w:tcPr>
          <w:p w:rsidR="00F81579" w:rsidRPr="00BA5BE1" w:rsidRDefault="00F81579" w:rsidP="00F274A7">
            <w:pPr>
              <w:rPr>
                <w:b/>
              </w:rPr>
            </w:pPr>
            <w:r w:rsidRPr="00BA5BE1">
              <w:rPr>
                <w:b/>
              </w:rPr>
              <w:t>Grantees</w:t>
            </w:r>
          </w:p>
        </w:tc>
        <w:tc>
          <w:tcPr>
            <w:tcW w:w="270" w:type="dxa"/>
            <w:shd w:val="clear" w:color="auto" w:fill="808080" w:themeFill="background1" w:themeFillShade="80"/>
          </w:tcPr>
          <w:p w:rsidR="00F81579" w:rsidRDefault="00F81579" w:rsidP="00F274A7"/>
        </w:tc>
        <w:tc>
          <w:tcPr>
            <w:tcW w:w="1710" w:type="dxa"/>
            <w:shd w:val="clear" w:color="auto" w:fill="808080" w:themeFill="background1" w:themeFillShade="80"/>
          </w:tcPr>
          <w:p w:rsidR="00F81579" w:rsidRPr="008651C7" w:rsidRDefault="00F81579" w:rsidP="00F274A7">
            <w:pPr>
              <w:jc w:val="center"/>
              <w:rPr>
                <w:b/>
              </w:rPr>
            </w:pPr>
            <w:r w:rsidRPr="008651C7">
              <w:rPr>
                <w:b/>
              </w:rPr>
              <w:t>PD’s/PM’s</w:t>
            </w:r>
            <w:r>
              <w:rPr>
                <w:b/>
              </w:rPr>
              <w:t xml:space="preserve"> Hours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F81579" w:rsidRPr="00824153" w:rsidRDefault="00F81579" w:rsidP="00F274A7">
            <w:pPr>
              <w:jc w:val="center"/>
              <w:rPr>
                <w:b/>
              </w:rPr>
            </w:pPr>
            <w:r w:rsidRPr="00824153">
              <w:rPr>
                <w:b/>
              </w:rPr>
              <w:t>Other</w:t>
            </w:r>
            <w:r>
              <w:rPr>
                <w:b/>
              </w:rPr>
              <w:t xml:space="preserve"> Hour</w:t>
            </w:r>
            <w:r w:rsidRPr="00824153">
              <w:rPr>
                <w:b/>
              </w:rPr>
              <w:t>s (combined)</w:t>
            </w:r>
          </w:p>
        </w:tc>
        <w:tc>
          <w:tcPr>
            <w:tcW w:w="1800" w:type="dxa"/>
            <w:shd w:val="clear" w:color="auto" w:fill="808080" w:themeFill="background1" w:themeFillShade="80"/>
          </w:tcPr>
          <w:p w:rsidR="00F81579" w:rsidRPr="00B87A4F" w:rsidRDefault="00F81579" w:rsidP="00F274A7">
            <w:pPr>
              <w:jc w:val="center"/>
              <w:rPr>
                <w:b/>
              </w:rPr>
            </w:pPr>
            <w:r>
              <w:rPr>
                <w:b/>
              </w:rPr>
              <w:t>Hours by Grantee</w:t>
            </w:r>
          </w:p>
        </w:tc>
        <w:tc>
          <w:tcPr>
            <w:tcW w:w="4320" w:type="dxa"/>
            <w:shd w:val="clear" w:color="auto" w:fill="808080" w:themeFill="background1" w:themeFillShade="80"/>
          </w:tcPr>
          <w:p w:rsidR="00F81579" w:rsidRDefault="00F81579" w:rsidP="00F274A7">
            <w:pPr>
              <w:jc w:val="center"/>
              <w:rPr>
                <w:b/>
              </w:rPr>
            </w:pPr>
            <w:r w:rsidRPr="00D3304E">
              <w:rPr>
                <w:b/>
              </w:rPr>
              <w:t xml:space="preserve">Other </w:t>
            </w:r>
            <w:r w:rsidR="00EB1074">
              <w:rPr>
                <w:b/>
              </w:rPr>
              <w:t xml:space="preserve">Project Staff </w:t>
            </w:r>
            <w:r>
              <w:rPr>
                <w:b/>
              </w:rPr>
              <w:t>C</w:t>
            </w:r>
            <w:r w:rsidRPr="00D3304E">
              <w:rPr>
                <w:b/>
              </w:rPr>
              <w:t>ontributors</w:t>
            </w:r>
            <w:r>
              <w:rPr>
                <w:b/>
              </w:rPr>
              <w:t xml:space="preserve"> Hours</w:t>
            </w:r>
          </w:p>
          <w:p w:rsidR="00F81579" w:rsidRPr="00D3304E" w:rsidRDefault="00F81579" w:rsidP="00F274A7">
            <w:pPr>
              <w:jc w:val="center"/>
              <w:rPr>
                <w:b/>
              </w:rPr>
            </w:pPr>
            <w:r>
              <w:rPr>
                <w:b/>
              </w:rPr>
              <w:t xml:space="preserve"> (by individual respondent)</w:t>
            </w:r>
          </w:p>
        </w:tc>
      </w:tr>
      <w:tr w:rsidR="00F81579" w:rsidTr="0050441E">
        <w:tc>
          <w:tcPr>
            <w:tcW w:w="2610" w:type="dxa"/>
          </w:tcPr>
          <w:p w:rsidR="00F81579" w:rsidRPr="002972B2" w:rsidRDefault="0071328C" w:rsidP="00F27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Crossroads</w:t>
            </w:r>
          </w:p>
        </w:tc>
        <w:tc>
          <w:tcPr>
            <w:tcW w:w="270" w:type="dxa"/>
          </w:tcPr>
          <w:p w:rsidR="00F81579" w:rsidRDefault="00F81579" w:rsidP="00F274A7"/>
        </w:tc>
        <w:tc>
          <w:tcPr>
            <w:tcW w:w="171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2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F81579" w:rsidRPr="002972B2" w:rsidRDefault="0050441E" w:rsidP="0038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20" w:type="dxa"/>
          </w:tcPr>
          <w:p w:rsidR="00F81579" w:rsidRDefault="00380EAA" w:rsidP="00F27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Case Worker Team Meeting = 6 x 1.5</w:t>
            </w:r>
          </w:p>
          <w:p w:rsidR="00380EAA" w:rsidRPr="002972B2" w:rsidRDefault="00380EAA" w:rsidP="00F27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Manager = 1</w:t>
            </w:r>
          </w:p>
        </w:tc>
      </w:tr>
      <w:tr w:rsidR="00F81579" w:rsidTr="0050441E">
        <w:tc>
          <w:tcPr>
            <w:tcW w:w="2610" w:type="dxa"/>
          </w:tcPr>
          <w:p w:rsidR="00F81579" w:rsidRPr="002972B2" w:rsidRDefault="0050441E" w:rsidP="00F27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Choctaw Nation</w:t>
            </w:r>
          </w:p>
        </w:tc>
        <w:tc>
          <w:tcPr>
            <w:tcW w:w="270" w:type="dxa"/>
          </w:tcPr>
          <w:p w:rsidR="00F81579" w:rsidRDefault="00F81579" w:rsidP="00F274A7"/>
        </w:tc>
        <w:tc>
          <w:tcPr>
            <w:tcW w:w="171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F81579" w:rsidRPr="002972B2" w:rsidRDefault="0050441E" w:rsidP="0038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20" w:type="dxa"/>
          </w:tcPr>
          <w:p w:rsidR="00F81579" w:rsidRPr="002972B2" w:rsidRDefault="00380EAA" w:rsidP="00F27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Case Worker Meeting = 4 x 1</w:t>
            </w:r>
          </w:p>
        </w:tc>
      </w:tr>
      <w:tr w:rsidR="00F81579" w:rsidTr="0050441E">
        <w:tc>
          <w:tcPr>
            <w:tcW w:w="2610" w:type="dxa"/>
          </w:tcPr>
          <w:p w:rsidR="00F81579" w:rsidRPr="002972B2" w:rsidRDefault="0050441E" w:rsidP="00F27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Samaritan Shelter</w:t>
            </w:r>
          </w:p>
        </w:tc>
        <w:tc>
          <w:tcPr>
            <w:tcW w:w="270" w:type="dxa"/>
          </w:tcPr>
          <w:p w:rsidR="00F81579" w:rsidRDefault="00F81579" w:rsidP="00F274A7"/>
        </w:tc>
        <w:tc>
          <w:tcPr>
            <w:tcW w:w="171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F81579" w:rsidRPr="002972B2" w:rsidRDefault="0050441E" w:rsidP="0038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20" w:type="dxa"/>
          </w:tcPr>
          <w:p w:rsidR="00F81579" w:rsidRPr="002972B2" w:rsidRDefault="00380EAA" w:rsidP="00F27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Case Workers = 2 x 2</w:t>
            </w:r>
          </w:p>
        </w:tc>
      </w:tr>
      <w:tr w:rsidR="00F81579" w:rsidTr="0050441E">
        <w:tc>
          <w:tcPr>
            <w:tcW w:w="2610" w:type="dxa"/>
          </w:tcPr>
          <w:p w:rsidR="00F81579" w:rsidRPr="002972B2" w:rsidRDefault="0050441E" w:rsidP="00F27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Resources for Human Development</w:t>
            </w:r>
          </w:p>
        </w:tc>
        <w:tc>
          <w:tcPr>
            <w:tcW w:w="270" w:type="dxa"/>
          </w:tcPr>
          <w:p w:rsidR="00F81579" w:rsidRDefault="00F81579" w:rsidP="00F274A7"/>
        </w:tc>
        <w:tc>
          <w:tcPr>
            <w:tcW w:w="171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620" w:type="dxa"/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F81579" w:rsidRPr="002972B2" w:rsidRDefault="00380EAA" w:rsidP="0038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20" w:type="dxa"/>
          </w:tcPr>
          <w:p w:rsidR="00F81579" w:rsidRPr="002972B2" w:rsidRDefault="00380EAA" w:rsidP="00F27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Clinical Case Workers = 3 x 2</w:t>
            </w:r>
          </w:p>
        </w:tc>
      </w:tr>
      <w:tr w:rsidR="00F81579" w:rsidTr="0050441E">
        <w:tc>
          <w:tcPr>
            <w:tcW w:w="2610" w:type="dxa"/>
          </w:tcPr>
          <w:p w:rsidR="00F81579" w:rsidRPr="002972B2" w:rsidRDefault="00F81579" w:rsidP="00F274A7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:rsidR="00F81579" w:rsidRDefault="00F81579" w:rsidP="00F274A7"/>
        </w:tc>
        <w:tc>
          <w:tcPr>
            <w:tcW w:w="1710" w:type="dxa"/>
          </w:tcPr>
          <w:p w:rsidR="00F81579" w:rsidRPr="002972B2" w:rsidRDefault="00F81579" w:rsidP="00F2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81579" w:rsidRPr="002972B2" w:rsidRDefault="00F81579" w:rsidP="00F2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81579" w:rsidRPr="002972B2" w:rsidRDefault="00F81579" w:rsidP="00380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4276A7" w:rsidRPr="002972B2" w:rsidRDefault="004276A7" w:rsidP="00EB1074">
            <w:pPr>
              <w:rPr>
                <w:sz w:val="22"/>
                <w:szCs w:val="22"/>
              </w:rPr>
            </w:pPr>
          </w:p>
        </w:tc>
      </w:tr>
      <w:tr w:rsidR="00F81579" w:rsidTr="0050441E">
        <w:tc>
          <w:tcPr>
            <w:tcW w:w="2610" w:type="dxa"/>
          </w:tcPr>
          <w:p w:rsidR="00F81579" w:rsidRPr="002972B2" w:rsidRDefault="00F81579" w:rsidP="00F274A7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:rsidR="00F81579" w:rsidRDefault="00F81579" w:rsidP="00F274A7"/>
        </w:tc>
        <w:tc>
          <w:tcPr>
            <w:tcW w:w="1710" w:type="dxa"/>
          </w:tcPr>
          <w:p w:rsidR="00F81579" w:rsidRPr="002972B2" w:rsidRDefault="00F81579" w:rsidP="00F2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81579" w:rsidRPr="002972B2" w:rsidRDefault="00F81579" w:rsidP="00F2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F81579" w:rsidRPr="002972B2" w:rsidRDefault="00F81579" w:rsidP="00380E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F81579" w:rsidRPr="002972B2" w:rsidRDefault="00F81579" w:rsidP="00F274A7">
            <w:pPr>
              <w:rPr>
                <w:sz w:val="22"/>
                <w:szCs w:val="22"/>
              </w:rPr>
            </w:pPr>
          </w:p>
        </w:tc>
      </w:tr>
      <w:tr w:rsidR="000C3F33" w:rsidTr="0050441E">
        <w:tc>
          <w:tcPr>
            <w:tcW w:w="2610" w:type="dxa"/>
            <w:tcBorders>
              <w:bottom w:val="single" w:sz="4" w:space="0" w:color="auto"/>
            </w:tcBorders>
          </w:tcPr>
          <w:p w:rsidR="000C3F33" w:rsidRPr="002972B2" w:rsidRDefault="000C3F33" w:rsidP="00F274A7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0C3F33" w:rsidRDefault="000C3F33" w:rsidP="00F274A7"/>
        </w:tc>
        <w:tc>
          <w:tcPr>
            <w:tcW w:w="1710" w:type="dxa"/>
            <w:tcBorders>
              <w:bottom w:val="single" w:sz="4" w:space="0" w:color="auto"/>
            </w:tcBorders>
          </w:tcPr>
          <w:p w:rsidR="000C3F33" w:rsidRDefault="000C3F3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C3F33" w:rsidRDefault="000C3F33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C3F33" w:rsidRDefault="000C3F33" w:rsidP="00380EAA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C3F33" w:rsidRPr="002972B2" w:rsidRDefault="000C3F33" w:rsidP="000C3F33">
            <w:pPr>
              <w:rPr>
                <w:sz w:val="22"/>
                <w:szCs w:val="22"/>
              </w:rPr>
            </w:pPr>
          </w:p>
        </w:tc>
      </w:tr>
      <w:tr w:rsidR="00F2713F" w:rsidTr="0050441E">
        <w:trPr>
          <w:trHeight w:val="170"/>
        </w:trPr>
        <w:tc>
          <w:tcPr>
            <w:tcW w:w="2610" w:type="dxa"/>
            <w:shd w:val="clear" w:color="auto" w:fill="808080" w:themeFill="background1" w:themeFillShade="80"/>
          </w:tcPr>
          <w:p w:rsidR="00F81579" w:rsidRPr="008651C7" w:rsidRDefault="00F81579" w:rsidP="00F274A7">
            <w:pPr>
              <w:rPr>
                <w:b/>
              </w:rPr>
            </w:pPr>
          </w:p>
        </w:tc>
        <w:tc>
          <w:tcPr>
            <w:tcW w:w="270" w:type="dxa"/>
            <w:shd w:val="clear" w:color="auto" w:fill="808080" w:themeFill="background1" w:themeFillShade="80"/>
          </w:tcPr>
          <w:p w:rsidR="00F81579" w:rsidRDefault="00F81579" w:rsidP="00F274A7"/>
        </w:tc>
        <w:tc>
          <w:tcPr>
            <w:tcW w:w="1710" w:type="dxa"/>
            <w:shd w:val="clear" w:color="auto" w:fill="808080" w:themeFill="background1" w:themeFillShade="80"/>
          </w:tcPr>
          <w:p w:rsidR="00F81579" w:rsidRDefault="00F81579" w:rsidP="00F274A7">
            <w:pPr>
              <w:jc w:val="center"/>
            </w:pPr>
          </w:p>
        </w:tc>
        <w:tc>
          <w:tcPr>
            <w:tcW w:w="1620" w:type="dxa"/>
            <w:shd w:val="clear" w:color="auto" w:fill="808080" w:themeFill="background1" w:themeFillShade="80"/>
          </w:tcPr>
          <w:p w:rsidR="00F81579" w:rsidRDefault="00F81579" w:rsidP="00F274A7"/>
        </w:tc>
        <w:tc>
          <w:tcPr>
            <w:tcW w:w="1800" w:type="dxa"/>
            <w:shd w:val="clear" w:color="auto" w:fill="808080" w:themeFill="background1" w:themeFillShade="80"/>
          </w:tcPr>
          <w:p w:rsidR="00F81579" w:rsidRDefault="00F81579" w:rsidP="00380EAA">
            <w:pPr>
              <w:jc w:val="center"/>
            </w:pPr>
          </w:p>
        </w:tc>
        <w:tc>
          <w:tcPr>
            <w:tcW w:w="4320" w:type="dxa"/>
            <w:shd w:val="clear" w:color="auto" w:fill="808080" w:themeFill="background1" w:themeFillShade="80"/>
          </w:tcPr>
          <w:p w:rsidR="00F81579" w:rsidRDefault="00F81579" w:rsidP="00F274A7">
            <w:pPr>
              <w:jc w:val="center"/>
            </w:pPr>
          </w:p>
        </w:tc>
      </w:tr>
      <w:tr w:rsidR="00F2713F" w:rsidTr="0050441E">
        <w:tc>
          <w:tcPr>
            <w:tcW w:w="2610" w:type="dxa"/>
            <w:tcBorders>
              <w:bottom w:val="single" w:sz="4" w:space="0" w:color="auto"/>
            </w:tcBorders>
          </w:tcPr>
          <w:p w:rsidR="00F81579" w:rsidRPr="002972B2" w:rsidRDefault="00F81579" w:rsidP="00F81579">
            <w:pPr>
              <w:rPr>
                <w:b/>
                <w:sz w:val="22"/>
                <w:szCs w:val="22"/>
              </w:rPr>
            </w:pPr>
            <w:r w:rsidRPr="002972B2">
              <w:rPr>
                <w:b/>
                <w:sz w:val="22"/>
                <w:szCs w:val="22"/>
              </w:rPr>
              <w:t>Total Hours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F81579" w:rsidRPr="002972B2" w:rsidRDefault="00F81579" w:rsidP="00F274A7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81579" w:rsidRPr="002972B2" w:rsidRDefault="0050441E" w:rsidP="00F2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1579" w:rsidRPr="002972B2" w:rsidRDefault="0050441E" w:rsidP="0050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81579" w:rsidRPr="002972B2" w:rsidRDefault="00380EAA" w:rsidP="0038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81579" w:rsidRDefault="006C2C7D" w:rsidP="00F274A7">
            <w:pPr>
              <w:jc w:val="center"/>
            </w:pPr>
            <w:r>
              <w:t>---</w:t>
            </w:r>
          </w:p>
        </w:tc>
      </w:tr>
      <w:tr w:rsidR="00F2713F" w:rsidTr="0050441E">
        <w:tc>
          <w:tcPr>
            <w:tcW w:w="261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2713F" w:rsidRPr="002972B2" w:rsidRDefault="00F2713F" w:rsidP="00F81579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2713F" w:rsidRPr="002972B2" w:rsidRDefault="00F2713F" w:rsidP="00F274A7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2713F" w:rsidRPr="002972B2" w:rsidRDefault="00F2713F" w:rsidP="00F27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2713F" w:rsidRPr="002972B2" w:rsidRDefault="00F2713F" w:rsidP="00F274A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2713F" w:rsidRPr="002972B2" w:rsidRDefault="00F2713F" w:rsidP="00F274A7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2713F" w:rsidRDefault="00F2713F" w:rsidP="00F274A7">
            <w:pPr>
              <w:jc w:val="center"/>
            </w:pPr>
          </w:p>
        </w:tc>
      </w:tr>
      <w:tr w:rsidR="00F2713F" w:rsidTr="0050441E">
        <w:tc>
          <w:tcPr>
            <w:tcW w:w="2610" w:type="dxa"/>
            <w:shd w:val="clear" w:color="auto" w:fill="auto"/>
          </w:tcPr>
          <w:p w:rsidR="00F2713F" w:rsidRPr="002972B2" w:rsidRDefault="00F2713F" w:rsidP="00F81579">
            <w:pPr>
              <w:rPr>
                <w:b/>
                <w:sz w:val="22"/>
                <w:szCs w:val="22"/>
              </w:rPr>
            </w:pPr>
            <w:r w:rsidRPr="002972B2">
              <w:rPr>
                <w:b/>
                <w:sz w:val="22"/>
                <w:szCs w:val="22"/>
              </w:rPr>
              <w:t>Hours</w:t>
            </w:r>
            <w:r w:rsidR="00B02359">
              <w:rPr>
                <w:b/>
                <w:sz w:val="22"/>
                <w:szCs w:val="22"/>
              </w:rPr>
              <w:t xml:space="preserve"> (average)</w:t>
            </w:r>
          </w:p>
        </w:tc>
        <w:tc>
          <w:tcPr>
            <w:tcW w:w="270" w:type="dxa"/>
            <w:shd w:val="clear" w:color="auto" w:fill="auto"/>
          </w:tcPr>
          <w:p w:rsidR="00F2713F" w:rsidRPr="002972B2" w:rsidRDefault="00F2713F" w:rsidP="00F274A7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F2713F" w:rsidRPr="002972B2" w:rsidRDefault="0050441E" w:rsidP="005627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3849D3" w:rsidRPr="002972B2" w:rsidRDefault="0050441E" w:rsidP="00504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F2713F" w:rsidRPr="002972B2" w:rsidRDefault="00380EAA" w:rsidP="0038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F2713F" w:rsidRDefault="006C2C7D" w:rsidP="00F274A7">
            <w:pPr>
              <w:jc w:val="center"/>
            </w:pPr>
            <w:r>
              <w:t>---</w:t>
            </w:r>
          </w:p>
        </w:tc>
      </w:tr>
    </w:tbl>
    <w:p w:rsidR="00F81579" w:rsidRPr="00B02359" w:rsidRDefault="00F81579">
      <w:pPr>
        <w:rPr>
          <w:sz w:val="16"/>
          <w:szCs w:val="16"/>
        </w:rPr>
      </w:pPr>
    </w:p>
    <w:sectPr w:rsidR="00F81579" w:rsidRPr="00B02359" w:rsidSect="00F81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AB" w:rsidRDefault="00CD33AB" w:rsidP="00514FEF">
      <w:r>
        <w:separator/>
      </w:r>
    </w:p>
  </w:endnote>
  <w:endnote w:type="continuationSeparator" w:id="0">
    <w:p w:rsidR="00CD33AB" w:rsidRDefault="00CD33AB" w:rsidP="0051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F" w:rsidRDefault="00514F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F" w:rsidRDefault="00514F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F" w:rsidRDefault="00514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AB" w:rsidRDefault="00CD33AB" w:rsidP="00514FEF">
      <w:r>
        <w:separator/>
      </w:r>
    </w:p>
  </w:footnote>
  <w:footnote w:type="continuationSeparator" w:id="0">
    <w:p w:rsidR="00CD33AB" w:rsidRDefault="00CD33AB" w:rsidP="00514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F" w:rsidRDefault="00514F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F" w:rsidRDefault="00514F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EF" w:rsidRDefault="00514F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04CD"/>
    <w:multiLevelType w:val="hybridMultilevel"/>
    <w:tmpl w:val="C70A6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B"/>
    <w:rsid w:val="000977A7"/>
    <w:rsid w:val="000C1066"/>
    <w:rsid w:val="000C3F33"/>
    <w:rsid w:val="00146774"/>
    <w:rsid w:val="0016171C"/>
    <w:rsid w:val="001F20FB"/>
    <w:rsid w:val="001F249C"/>
    <w:rsid w:val="00200988"/>
    <w:rsid w:val="00275C05"/>
    <w:rsid w:val="00290D8F"/>
    <w:rsid w:val="002919E9"/>
    <w:rsid w:val="00296427"/>
    <w:rsid w:val="002972B2"/>
    <w:rsid w:val="002B28E4"/>
    <w:rsid w:val="00380EAA"/>
    <w:rsid w:val="0038426B"/>
    <w:rsid w:val="003849D3"/>
    <w:rsid w:val="003D6C14"/>
    <w:rsid w:val="003E5512"/>
    <w:rsid w:val="004276A7"/>
    <w:rsid w:val="00450658"/>
    <w:rsid w:val="0050441E"/>
    <w:rsid w:val="00514FEF"/>
    <w:rsid w:val="0056271A"/>
    <w:rsid w:val="005665D8"/>
    <w:rsid w:val="00655814"/>
    <w:rsid w:val="006C2C7D"/>
    <w:rsid w:val="0070345C"/>
    <w:rsid w:val="0071328C"/>
    <w:rsid w:val="007178D1"/>
    <w:rsid w:val="007D1E61"/>
    <w:rsid w:val="007F52D5"/>
    <w:rsid w:val="008107B3"/>
    <w:rsid w:val="008A19CC"/>
    <w:rsid w:val="0097644A"/>
    <w:rsid w:val="00A4052D"/>
    <w:rsid w:val="00A40A1C"/>
    <w:rsid w:val="00A93BF9"/>
    <w:rsid w:val="00AE14E4"/>
    <w:rsid w:val="00B02359"/>
    <w:rsid w:val="00B17BFF"/>
    <w:rsid w:val="00BC4C3A"/>
    <w:rsid w:val="00C179E5"/>
    <w:rsid w:val="00CC6420"/>
    <w:rsid w:val="00CD33AB"/>
    <w:rsid w:val="00D45C0B"/>
    <w:rsid w:val="00D86DD6"/>
    <w:rsid w:val="00E43E31"/>
    <w:rsid w:val="00EB1074"/>
    <w:rsid w:val="00F2713F"/>
    <w:rsid w:val="00F64C46"/>
    <w:rsid w:val="00F81579"/>
    <w:rsid w:val="00F84FAC"/>
    <w:rsid w:val="00FA2DC1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E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2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2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Olson Tait</dc:creator>
  <cp:lastModifiedBy>Windows User</cp:lastModifiedBy>
  <cp:revision>4</cp:revision>
  <dcterms:created xsi:type="dcterms:W3CDTF">2015-01-03T23:47:00Z</dcterms:created>
  <dcterms:modified xsi:type="dcterms:W3CDTF">2015-09-24T11:57:00Z</dcterms:modified>
</cp:coreProperties>
</file>