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BBF" w:rsidRPr="00BC7F42" w:rsidRDefault="002B7BBF" w:rsidP="002B7BBF">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Pr>
          <w:rFonts w:ascii="Times New Roman" w:hAnsi="Times New Roman" w:cs="Times New Roman"/>
        </w:rPr>
        <w:t>Form SSA-624</w:t>
      </w:r>
    </w:p>
    <w:p w:rsidR="002B7BBF" w:rsidRDefault="002B7BBF" w:rsidP="002B7BBF">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Representative Payee Evaluation Report</w:t>
      </w:r>
    </w:p>
    <w:p w:rsidR="002B7BBF" w:rsidRPr="000310E6" w:rsidRDefault="002B7BBF" w:rsidP="002B7BBF">
      <w:pPr>
        <w:jc w:val="center"/>
        <w:rPr>
          <w:rFonts w:ascii="Times New Roman" w:hAnsi="Times New Roman"/>
          <w:b/>
        </w:rPr>
      </w:pPr>
      <w:proofErr w:type="gramStart"/>
      <w:r>
        <w:rPr>
          <w:rFonts w:ascii="Times New Roman" w:hAnsi="Times New Roman"/>
          <w:b/>
        </w:rPr>
        <w:t>20</w:t>
      </w:r>
      <w:proofErr w:type="gramEnd"/>
      <w:r>
        <w:rPr>
          <w:rFonts w:ascii="Times New Roman" w:hAnsi="Times New Roman"/>
          <w:b/>
        </w:rPr>
        <w:t xml:space="preserve"> CFR 404.2065 and 416.665</w:t>
      </w:r>
    </w:p>
    <w:p w:rsidR="002B7BBF" w:rsidRPr="00BC7F42" w:rsidRDefault="002B7BBF" w:rsidP="002B7BBF">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Pr>
          <w:rFonts w:ascii="Times New Roman" w:hAnsi="Times New Roman" w:cs="Times New Roman"/>
        </w:rPr>
        <w:t>No. 0960-0069</w:t>
      </w:r>
    </w:p>
    <w:p w:rsidR="00A45D82" w:rsidRDefault="00A45D82" w:rsidP="00A45D82">
      <w:pPr>
        <w:pStyle w:val="Header"/>
        <w:tabs>
          <w:tab w:val="clear" w:pos="4320"/>
          <w:tab w:val="clear" w:pos="8640"/>
        </w:tabs>
        <w:rPr>
          <w:rFonts w:ascii="Times New Roman" w:hAnsi="Times New Roman"/>
        </w:rPr>
      </w:pPr>
    </w:p>
    <w:p w:rsidR="00A45D82" w:rsidRPr="002321B0" w:rsidRDefault="00A45D82" w:rsidP="00602578">
      <w:pPr>
        <w:ind w:left="720" w:hanging="540"/>
        <w:rPr>
          <w:rFonts w:ascii="Times New Roman" w:hAnsi="Times New Roman"/>
          <w:b/>
        </w:rPr>
      </w:pPr>
      <w:r w:rsidRPr="002321B0">
        <w:rPr>
          <w:rFonts w:ascii="Times New Roman" w:hAnsi="Times New Roman"/>
          <w:b/>
        </w:rPr>
        <w:t xml:space="preserve">A. </w:t>
      </w:r>
      <w:r w:rsidR="003C0CBB">
        <w:rPr>
          <w:rFonts w:ascii="Times New Roman" w:hAnsi="Times New Roman"/>
          <w:b/>
        </w:rPr>
        <w:tab/>
      </w:r>
      <w:r w:rsidRPr="002321B0">
        <w:rPr>
          <w:rFonts w:ascii="Times New Roman" w:hAnsi="Times New Roman"/>
          <w:b/>
          <w:u w:val="single"/>
        </w:rPr>
        <w:t>Justification</w:t>
      </w:r>
    </w:p>
    <w:p w:rsidR="00A45D82" w:rsidRPr="00BC7F42" w:rsidRDefault="00A45D82" w:rsidP="00A45D82">
      <w:pPr>
        <w:pStyle w:val="Header"/>
        <w:tabs>
          <w:tab w:val="clear" w:pos="4320"/>
          <w:tab w:val="clear" w:pos="8640"/>
        </w:tabs>
        <w:rPr>
          <w:rFonts w:ascii="Times New Roman" w:hAnsi="Times New Roman"/>
        </w:rPr>
      </w:pPr>
    </w:p>
    <w:p w:rsidR="00CA4738" w:rsidRPr="00CA4738" w:rsidRDefault="002E18CF" w:rsidP="00602578">
      <w:pPr>
        <w:numPr>
          <w:ilvl w:val="0"/>
          <w:numId w:val="34"/>
        </w:numPr>
        <w:tabs>
          <w:tab w:val="clear" w:pos="720"/>
          <w:tab w:val="num" w:pos="1440"/>
        </w:tabs>
        <w:ind w:left="1440"/>
        <w:rPr>
          <w:rFonts w:ascii="Times New Roman" w:hAnsi="Times New Roman"/>
        </w:rPr>
      </w:pPr>
      <w:r w:rsidRPr="002B7BBF">
        <w:rPr>
          <w:rFonts w:ascii="Times New Roman" w:hAnsi="Times New Roman"/>
          <w:b/>
        </w:rPr>
        <w:t>Introduction/</w:t>
      </w:r>
      <w:r w:rsidR="00A45D82" w:rsidRPr="002B7BBF">
        <w:rPr>
          <w:rFonts w:ascii="Times New Roman" w:hAnsi="Times New Roman"/>
          <w:b/>
        </w:rPr>
        <w:t>Authoring Laws and Regulations</w:t>
      </w:r>
    </w:p>
    <w:p w:rsidR="00F57AD9" w:rsidRPr="002B7BBF" w:rsidRDefault="002B7BBF" w:rsidP="00602578">
      <w:pPr>
        <w:ind w:left="1440"/>
        <w:rPr>
          <w:rFonts w:ascii="Times New Roman" w:hAnsi="Times New Roman"/>
        </w:rPr>
      </w:pPr>
      <w:proofErr w:type="gramStart"/>
      <w:r w:rsidRPr="002B7BBF">
        <w:rPr>
          <w:rFonts w:ascii="Times New Roman" w:hAnsi="Times New Roman"/>
          <w:iCs/>
        </w:rPr>
        <w:t xml:space="preserve">Sections </w:t>
      </w:r>
      <w:r w:rsidRPr="002B7BBF">
        <w:rPr>
          <w:rFonts w:ascii="Times New Roman" w:hAnsi="Times New Roman"/>
          <w:i/>
          <w:iCs/>
        </w:rPr>
        <w:t>205(j)</w:t>
      </w:r>
      <w:r w:rsidR="00E8143F">
        <w:rPr>
          <w:rFonts w:ascii="Times New Roman" w:hAnsi="Times New Roman"/>
          <w:i/>
          <w:iCs/>
        </w:rPr>
        <w:t>(3)</w:t>
      </w:r>
      <w:r w:rsidRPr="002B7BBF">
        <w:rPr>
          <w:rFonts w:ascii="Times New Roman" w:hAnsi="Times New Roman"/>
          <w:i/>
          <w:iCs/>
        </w:rPr>
        <w:t xml:space="preserve"> </w:t>
      </w:r>
      <w:r w:rsidRPr="002B7BBF">
        <w:rPr>
          <w:rFonts w:ascii="Times New Roman" w:hAnsi="Times New Roman"/>
          <w:iCs/>
        </w:rPr>
        <w:t xml:space="preserve">and </w:t>
      </w:r>
      <w:r w:rsidRPr="002B7BBF">
        <w:rPr>
          <w:rFonts w:ascii="Times New Roman" w:hAnsi="Times New Roman"/>
          <w:i/>
          <w:iCs/>
        </w:rPr>
        <w:t>1631(a</w:t>
      </w:r>
      <w:r w:rsidR="00E8143F">
        <w:rPr>
          <w:rFonts w:ascii="Times New Roman" w:hAnsi="Times New Roman"/>
          <w:i/>
          <w:iCs/>
        </w:rPr>
        <w:t>)</w:t>
      </w:r>
      <w:r w:rsidRPr="002B7BBF">
        <w:rPr>
          <w:rFonts w:ascii="Times New Roman" w:hAnsi="Times New Roman"/>
          <w:i/>
          <w:iCs/>
        </w:rPr>
        <w:t>(2)</w:t>
      </w:r>
      <w:r w:rsidR="00E8143F">
        <w:rPr>
          <w:rFonts w:ascii="Times New Roman" w:hAnsi="Times New Roman"/>
          <w:i/>
          <w:iCs/>
        </w:rPr>
        <w:t>(c)</w:t>
      </w:r>
      <w:r w:rsidRPr="002B7BBF">
        <w:rPr>
          <w:rFonts w:ascii="Times New Roman" w:hAnsi="Times New Roman"/>
          <w:i/>
          <w:iCs/>
        </w:rPr>
        <w:t xml:space="preserve"> </w:t>
      </w:r>
      <w:r w:rsidRPr="002B7BBF">
        <w:rPr>
          <w:rFonts w:ascii="Times New Roman" w:hAnsi="Times New Roman"/>
          <w:iCs/>
        </w:rPr>
        <w:t xml:space="preserve">of the </w:t>
      </w:r>
      <w:r w:rsidRPr="002B7BBF">
        <w:rPr>
          <w:rFonts w:ascii="Times New Roman" w:hAnsi="Times New Roman"/>
          <w:i/>
          <w:iCs/>
        </w:rPr>
        <w:t>Social Security Act (</w:t>
      </w:r>
      <w:r w:rsidRPr="00373A60">
        <w:rPr>
          <w:rFonts w:ascii="Times New Roman" w:hAnsi="Times New Roman"/>
          <w:i/>
          <w:iCs/>
        </w:rPr>
        <w:t>Act</w:t>
      </w:r>
      <w:r w:rsidRPr="002B7BBF">
        <w:rPr>
          <w:rFonts w:ascii="Times New Roman" w:hAnsi="Times New Roman"/>
          <w:iCs/>
        </w:rPr>
        <w:t>)</w:t>
      </w:r>
      <w:r w:rsidRPr="002B7BBF">
        <w:rPr>
          <w:rFonts w:ascii="Times New Roman" w:hAnsi="Times New Roman"/>
        </w:rPr>
        <w:t xml:space="preserve"> state that the Social Security Administration (SSA) may authorize payment of Social Security benefits or Supplemental Security Income to a relative, another person, or an organization interested in</w:t>
      </w:r>
      <w:r w:rsidR="007A15AE">
        <w:rPr>
          <w:rFonts w:ascii="Times New Roman" w:hAnsi="Times New Roman"/>
        </w:rPr>
        <w:t>,</w:t>
      </w:r>
      <w:r w:rsidRPr="002B7BBF">
        <w:rPr>
          <w:rFonts w:ascii="Times New Roman" w:hAnsi="Times New Roman"/>
        </w:rPr>
        <w:t xml:space="preserve"> or concerned about</w:t>
      </w:r>
      <w:r w:rsidR="007A15AE">
        <w:rPr>
          <w:rFonts w:ascii="Times New Roman" w:hAnsi="Times New Roman"/>
        </w:rPr>
        <w:t>,</w:t>
      </w:r>
      <w:r w:rsidRPr="002B7BBF">
        <w:rPr>
          <w:rFonts w:ascii="Times New Roman" w:hAnsi="Times New Roman"/>
        </w:rPr>
        <w:t xml:space="preserve"> the welfare of the beneficiary or SSI recipient, when SSA determines it is not in the beneficiary or SSI recipient’s best interest to receive benefits directly.</w:t>
      </w:r>
      <w:proofErr w:type="gramEnd"/>
      <w:r w:rsidRPr="002B7BBF">
        <w:rPr>
          <w:rFonts w:ascii="Times New Roman" w:hAnsi="Times New Roman"/>
        </w:rPr>
        <w:t xml:space="preserve">  SSA calls these individuals and organizations representative payees.  </w:t>
      </w:r>
      <w:r w:rsidRPr="002B7BBF">
        <w:rPr>
          <w:rFonts w:ascii="Times New Roman" w:hAnsi="Times New Roman"/>
          <w:iCs/>
        </w:rPr>
        <w:t xml:space="preserve">Sections </w:t>
      </w:r>
      <w:r w:rsidRPr="002B7BBF">
        <w:rPr>
          <w:rFonts w:ascii="Times New Roman" w:hAnsi="Times New Roman"/>
          <w:i/>
          <w:iCs/>
        </w:rPr>
        <w:t>205(j</w:t>
      </w:r>
      <w:proofErr w:type="gramStart"/>
      <w:r w:rsidRPr="002B7BBF">
        <w:rPr>
          <w:rFonts w:ascii="Times New Roman" w:hAnsi="Times New Roman"/>
          <w:i/>
          <w:iCs/>
        </w:rPr>
        <w:t>)(</w:t>
      </w:r>
      <w:proofErr w:type="gramEnd"/>
      <w:r w:rsidRPr="002B7BBF">
        <w:rPr>
          <w:rFonts w:ascii="Times New Roman" w:hAnsi="Times New Roman"/>
          <w:i/>
          <w:iCs/>
        </w:rPr>
        <w:t xml:space="preserve">3) </w:t>
      </w:r>
      <w:r w:rsidRPr="002B7BBF">
        <w:rPr>
          <w:rFonts w:ascii="Times New Roman" w:hAnsi="Times New Roman"/>
          <w:iCs/>
        </w:rPr>
        <w:t>and</w:t>
      </w:r>
      <w:r w:rsidR="007A15AE">
        <w:rPr>
          <w:rFonts w:ascii="Times New Roman" w:hAnsi="Times New Roman"/>
          <w:i/>
          <w:iCs/>
        </w:rPr>
        <w:t xml:space="preserve"> 1631(a)(2)</w:t>
      </w:r>
      <w:r w:rsidRPr="002B7BBF">
        <w:rPr>
          <w:rFonts w:ascii="Times New Roman" w:hAnsi="Times New Roman"/>
          <w:i/>
          <w:iCs/>
        </w:rPr>
        <w:t>(C)</w:t>
      </w:r>
      <w:r w:rsidRPr="002B7BBF">
        <w:rPr>
          <w:rFonts w:ascii="Times New Roman" w:hAnsi="Times New Roman"/>
          <w:iCs/>
        </w:rPr>
        <w:t xml:space="preserve"> of the </w:t>
      </w:r>
      <w:r w:rsidRPr="00373A60">
        <w:rPr>
          <w:rFonts w:ascii="Times New Roman" w:hAnsi="Times New Roman"/>
          <w:i/>
          <w:iCs/>
        </w:rPr>
        <w:t>Act</w:t>
      </w:r>
      <w:r w:rsidRPr="00373A60">
        <w:rPr>
          <w:rFonts w:ascii="Times New Roman" w:hAnsi="Times New Roman"/>
          <w:i/>
        </w:rPr>
        <w:t xml:space="preserve"> </w:t>
      </w:r>
      <w:r w:rsidRPr="002B7BBF">
        <w:rPr>
          <w:rFonts w:ascii="Times New Roman" w:hAnsi="Times New Roman"/>
        </w:rPr>
        <w:t xml:space="preserve">authorize SSA to monitor and verify (in certain situations) how the representative payees use such payments.  </w:t>
      </w:r>
      <w:r w:rsidR="00E10973">
        <w:rPr>
          <w:rFonts w:ascii="Times New Roman" w:hAnsi="Times New Roman"/>
        </w:rPr>
        <w:t>SSA requires r</w:t>
      </w:r>
      <w:r w:rsidRPr="002B7BBF">
        <w:rPr>
          <w:rFonts w:ascii="Times New Roman" w:hAnsi="Times New Roman"/>
        </w:rPr>
        <w:t>epresentative payees (except State mental institutions participating in SSA’s triennial onsite review program) to report to SSA in writing at least once a year to explain how they used and conserved the funds they received.  Section</w:t>
      </w:r>
      <w:r w:rsidR="00E10973">
        <w:rPr>
          <w:rFonts w:ascii="Times New Roman" w:hAnsi="Times New Roman"/>
        </w:rPr>
        <w:t>s</w:t>
      </w:r>
      <w:r w:rsidRPr="002B7BBF">
        <w:rPr>
          <w:rFonts w:ascii="Times New Roman" w:hAnsi="Times New Roman"/>
          <w:i/>
        </w:rPr>
        <w:t xml:space="preserve"> </w:t>
      </w:r>
      <w:r w:rsidRPr="002B7BBF">
        <w:rPr>
          <w:rFonts w:ascii="Times New Roman" w:hAnsi="Times New Roman"/>
          <w:iCs/>
        </w:rPr>
        <w:t xml:space="preserve">20 </w:t>
      </w:r>
      <w:r w:rsidRPr="002B7BBF">
        <w:rPr>
          <w:rFonts w:ascii="Times New Roman" w:hAnsi="Times New Roman"/>
          <w:i/>
          <w:iCs/>
        </w:rPr>
        <w:t>CFR 404.2065</w:t>
      </w:r>
      <w:r w:rsidRPr="002B7BBF">
        <w:rPr>
          <w:rFonts w:ascii="Times New Roman" w:hAnsi="Times New Roman"/>
          <w:iCs/>
        </w:rPr>
        <w:t xml:space="preserve"> and </w:t>
      </w:r>
      <w:r w:rsidRPr="002B7BBF">
        <w:rPr>
          <w:rFonts w:ascii="Times New Roman" w:hAnsi="Times New Roman"/>
          <w:i/>
          <w:iCs/>
        </w:rPr>
        <w:t>416.665</w:t>
      </w:r>
      <w:r w:rsidRPr="002B7BBF">
        <w:rPr>
          <w:rFonts w:ascii="Times New Roman" w:hAnsi="Times New Roman"/>
          <w:iCs/>
        </w:rPr>
        <w:t xml:space="preserve"> of the </w:t>
      </w:r>
      <w:r w:rsidRPr="002B7BBF">
        <w:rPr>
          <w:rFonts w:ascii="Times New Roman" w:hAnsi="Times New Roman"/>
          <w:i/>
          <w:iCs/>
        </w:rPr>
        <w:t>Code of Federal Regulations</w:t>
      </w:r>
      <w:r w:rsidRPr="002B7BBF">
        <w:rPr>
          <w:rFonts w:ascii="Times New Roman" w:hAnsi="Times New Roman"/>
          <w:iCs/>
        </w:rPr>
        <w:t xml:space="preserve"> authorizes SSA to collect periodic written reports from representative payees.  </w:t>
      </w:r>
    </w:p>
    <w:p w:rsidR="002B7BBF" w:rsidRPr="002B7BBF" w:rsidRDefault="002B7BBF" w:rsidP="002B7BBF">
      <w:pPr>
        <w:ind w:left="720"/>
        <w:rPr>
          <w:rFonts w:ascii="Times New Roman" w:hAnsi="Times New Roman"/>
        </w:rPr>
      </w:pPr>
    </w:p>
    <w:p w:rsidR="002B7BBF" w:rsidRPr="00953F45" w:rsidRDefault="00F56A74" w:rsidP="00602578">
      <w:pPr>
        <w:widowControl/>
        <w:numPr>
          <w:ilvl w:val="0"/>
          <w:numId w:val="20"/>
        </w:numPr>
        <w:tabs>
          <w:tab w:val="clear" w:pos="720"/>
          <w:tab w:val="num" w:pos="1440"/>
        </w:tabs>
        <w:ind w:left="1440"/>
        <w:rPr>
          <w:rFonts w:ascii="Times New Roman" w:hAnsi="Times New Roman"/>
        </w:rPr>
      </w:pPr>
      <w:r w:rsidRPr="00953F45">
        <w:rPr>
          <w:rFonts w:ascii="Times New Roman" w:hAnsi="Times New Roman"/>
          <w:b/>
        </w:rPr>
        <w:t>Description of Collection</w:t>
      </w:r>
      <w:r w:rsidR="00704C24" w:rsidRPr="00953F45">
        <w:rPr>
          <w:rFonts w:ascii="Times New Roman" w:hAnsi="Times New Roman"/>
        </w:rPr>
        <w:br/>
      </w:r>
      <w:r w:rsidR="002B7BBF" w:rsidRPr="00953F45">
        <w:rPr>
          <w:rFonts w:ascii="Times New Roman" w:hAnsi="Times New Roman"/>
        </w:rPr>
        <w:t>SSA</w:t>
      </w:r>
      <w:r w:rsidR="002B7BBF" w:rsidRPr="00953F45">
        <w:rPr>
          <w:rFonts w:ascii="Times New Roman" w:hAnsi="Times New Roman"/>
          <w:iCs/>
        </w:rPr>
        <w:t xml:space="preserve"> uses the Represent</w:t>
      </w:r>
      <w:r w:rsidR="000651E5">
        <w:rPr>
          <w:rFonts w:ascii="Times New Roman" w:hAnsi="Times New Roman"/>
          <w:iCs/>
        </w:rPr>
        <w:t>ative Payee Evaluation Report, F</w:t>
      </w:r>
      <w:r w:rsidR="002B7BBF" w:rsidRPr="00953F45">
        <w:rPr>
          <w:rFonts w:ascii="Times New Roman" w:hAnsi="Times New Roman"/>
          <w:iCs/>
        </w:rPr>
        <w:t>orm SSA-624, as a</w:t>
      </w:r>
      <w:r w:rsidR="00300489" w:rsidRPr="00953F45">
        <w:rPr>
          <w:rFonts w:ascii="Times New Roman" w:hAnsi="Times New Roman"/>
          <w:iCs/>
        </w:rPr>
        <w:t xml:space="preserve"> </w:t>
      </w:r>
      <w:r w:rsidR="00814CDF" w:rsidRPr="00953F45">
        <w:rPr>
          <w:rFonts w:ascii="Times New Roman" w:hAnsi="Times New Roman"/>
          <w:iCs/>
        </w:rPr>
        <w:t>d</w:t>
      </w:r>
      <w:r w:rsidR="002B7BBF" w:rsidRPr="00953F45">
        <w:rPr>
          <w:rFonts w:ascii="Times New Roman" w:hAnsi="Times New Roman"/>
          <w:iCs/>
        </w:rPr>
        <w:t xml:space="preserve">ocumentation tool for interviews with, and evaluations of, representative payees.  </w:t>
      </w:r>
      <w:proofErr w:type="gramStart"/>
      <w:r w:rsidR="002B7BBF" w:rsidRPr="00953F45">
        <w:rPr>
          <w:rFonts w:ascii="Times New Roman" w:hAnsi="Times New Roman"/>
          <w:iCs/>
        </w:rPr>
        <w:t xml:space="preserve">SSA </w:t>
      </w:r>
      <w:r w:rsidR="0006195B">
        <w:rPr>
          <w:rFonts w:ascii="Times New Roman" w:hAnsi="Times New Roman"/>
          <w:iCs/>
        </w:rPr>
        <w:t xml:space="preserve">requires our </w:t>
      </w:r>
      <w:r w:rsidR="002B7BBF" w:rsidRPr="00953F45">
        <w:rPr>
          <w:rFonts w:ascii="Times New Roman" w:hAnsi="Times New Roman"/>
        </w:rPr>
        <w:t>field offices (FO</w:t>
      </w:r>
      <w:r w:rsidR="0006195B">
        <w:rPr>
          <w:rFonts w:ascii="Times New Roman" w:hAnsi="Times New Roman"/>
        </w:rPr>
        <w:t xml:space="preserve">) </w:t>
      </w:r>
      <w:r w:rsidR="002B7BBF" w:rsidRPr="00953F45">
        <w:rPr>
          <w:rFonts w:ascii="Times New Roman" w:hAnsi="Times New Roman"/>
        </w:rPr>
        <w:t>to conduct a face-to-face interview with the representative paye</w:t>
      </w:r>
      <w:r w:rsidR="00241A97" w:rsidRPr="00953F45">
        <w:rPr>
          <w:rFonts w:ascii="Times New Roman" w:hAnsi="Times New Roman"/>
        </w:rPr>
        <w:t xml:space="preserve">e using Form </w:t>
      </w:r>
      <w:r w:rsidR="002B7BBF" w:rsidRPr="00953F45">
        <w:rPr>
          <w:rFonts w:ascii="Times New Roman" w:hAnsi="Times New Roman"/>
        </w:rPr>
        <w:t>SSA-624 when:</w:t>
      </w:r>
      <w:r w:rsidR="005E0E01">
        <w:rPr>
          <w:rFonts w:ascii="Times New Roman" w:hAnsi="Times New Roman"/>
        </w:rPr>
        <w:t xml:space="preserve"> </w:t>
      </w:r>
      <w:r w:rsidR="002B7BBF" w:rsidRPr="00953F45">
        <w:rPr>
          <w:rFonts w:ascii="Times New Roman" w:hAnsi="Times New Roman"/>
        </w:rPr>
        <w:t xml:space="preserve"> (1) SSA finds the payee’s responses on SSA-required annual ac</w:t>
      </w:r>
      <w:r w:rsidR="008622F9">
        <w:rPr>
          <w:rFonts w:ascii="Times New Roman" w:hAnsi="Times New Roman"/>
        </w:rPr>
        <w:t>counting reports [</w:t>
      </w:r>
      <w:r w:rsidR="000F79CB">
        <w:rPr>
          <w:rFonts w:ascii="Times New Roman" w:hAnsi="Times New Roman"/>
        </w:rPr>
        <w:t>Forms SSA-623, SSA</w:t>
      </w:r>
      <w:r w:rsidR="00D320E6">
        <w:rPr>
          <w:rFonts w:ascii="Times New Roman" w:hAnsi="Times New Roman"/>
        </w:rPr>
        <w:noBreakHyphen/>
      </w:r>
      <w:r w:rsidR="000F79CB">
        <w:rPr>
          <w:rFonts w:ascii="Times New Roman" w:hAnsi="Times New Roman"/>
        </w:rPr>
        <w:t>6230, and SSA-</w:t>
      </w:r>
      <w:r w:rsidR="008622F9">
        <w:rPr>
          <w:rFonts w:ascii="Times New Roman" w:hAnsi="Times New Roman"/>
        </w:rPr>
        <w:t>6234 (</w:t>
      </w:r>
      <w:r w:rsidR="002B7BBF" w:rsidRPr="00953F45">
        <w:rPr>
          <w:rFonts w:ascii="Times New Roman" w:hAnsi="Times New Roman"/>
        </w:rPr>
        <w:t>OMB No. 0960</w:t>
      </w:r>
      <w:r w:rsidR="00300489" w:rsidRPr="00953F45">
        <w:rPr>
          <w:rFonts w:ascii="Times New Roman" w:hAnsi="Times New Roman"/>
        </w:rPr>
        <w:noBreakHyphen/>
      </w:r>
      <w:r w:rsidR="008622F9">
        <w:rPr>
          <w:rFonts w:ascii="Times New Roman" w:hAnsi="Times New Roman"/>
        </w:rPr>
        <w:t>0068)]</w:t>
      </w:r>
      <w:r w:rsidR="002B7BBF" w:rsidRPr="00953F45">
        <w:rPr>
          <w:rFonts w:ascii="Times New Roman" w:hAnsi="Times New Roman"/>
        </w:rPr>
        <w:t xml:space="preserve"> unacceptable</w:t>
      </w:r>
      <w:r w:rsidR="002021AC">
        <w:rPr>
          <w:rFonts w:ascii="Times New Roman" w:hAnsi="Times New Roman"/>
        </w:rPr>
        <w:t>,</w:t>
      </w:r>
      <w:r w:rsidR="002B7BBF" w:rsidRPr="00953F45">
        <w:rPr>
          <w:rFonts w:ascii="Times New Roman" w:hAnsi="Times New Roman"/>
        </w:rPr>
        <w:t xml:space="preserve"> and </w:t>
      </w:r>
      <w:r w:rsidR="002021AC">
        <w:rPr>
          <w:rFonts w:ascii="Times New Roman" w:hAnsi="Times New Roman"/>
        </w:rPr>
        <w:t xml:space="preserve">we </w:t>
      </w:r>
      <w:r w:rsidR="002B7BBF" w:rsidRPr="00953F45">
        <w:rPr>
          <w:rFonts w:ascii="Times New Roman" w:hAnsi="Times New Roman"/>
        </w:rPr>
        <w:t xml:space="preserve">cannot </w:t>
      </w:r>
      <w:r w:rsidR="002021AC">
        <w:rPr>
          <w:rFonts w:ascii="Times New Roman" w:hAnsi="Times New Roman"/>
        </w:rPr>
        <w:t>r</w:t>
      </w:r>
      <w:r w:rsidR="002B7BBF" w:rsidRPr="00953F45">
        <w:rPr>
          <w:rFonts w:ascii="Times New Roman" w:hAnsi="Times New Roman"/>
        </w:rPr>
        <w:t>esolve</w:t>
      </w:r>
      <w:r w:rsidR="002021AC">
        <w:rPr>
          <w:rFonts w:ascii="Times New Roman" w:hAnsi="Times New Roman"/>
        </w:rPr>
        <w:t xml:space="preserve"> them</w:t>
      </w:r>
      <w:r w:rsidR="002B7BBF" w:rsidRPr="00953F45">
        <w:rPr>
          <w:rFonts w:ascii="Times New Roman" w:hAnsi="Times New Roman"/>
        </w:rPr>
        <w:t xml:space="preserve">; (2) the payee fails to complete SSA’s initial and second </w:t>
      </w:r>
      <w:r w:rsidR="002B7BBF" w:rsidRPr="00953F45">
        <w:rPr>
          <w:rFonts w:ascii="Times New Roman" w:hAnsi="Times New Roman"/>
          <w:color w:val="000000"/>
        </w:rPr>
        <w:t>request for an annual accounting report; and, (3)</w:t>
      </w:r>
      <w:r w:rsidR="000F79CB">
        <w:rPr>
          <w:rFonts w:ascii="Times New Roman" w:hAnsi="Times New Roman"/>
          <w:color w:val="000000"/>
        </w:rPr>
        <w:t> </w:t>
      </w:r>
      <w:r w:rsidR="002B7BBF" w:rsidRPr="00953F45">
        <w:rPr>
          <w:rFonts w:ascii="Times New Roman" w:hAnsi="Times New Roman"/>
          <w:color w:val="000000"/>
        </w:rPr>
        <w:t>assessing the representative payee’s continued suitability.</w:t>
      </w:r>
      <w:proofErr w:type="gramEnd"/>
      <w:r w:rsidR="005E0E01">
        <w:rPr>
          <w:rFonts w:ascii="Times New Roman" w:hAnsi="Times New Roman"/>
          <w:color w:val="000000"/>
        </w:rPr>
        <w:t xml:space="preserve">  </w:t>
      </w:r>
      <w:r w:rsidR="002B7BBF" w:rsidRPr="00953F45">
        <w:rPr>
          <w:rFonts w:ascii="Times New Roman" w:hAnsi="Times New Roman"/>
        </w:rPr>
        <w:t>In addition to the repres</w:t>
      </w:r>
      <w:r w:rsidR="00300489" w:rsidRPr="00953F45">
        <w:rPr>
          <w:rFonts w:ascii="Times New Roman" w:hAnsi="Times New Roman"/>
        </w:rPr>
        <w:t xml:space="preserve">entative payee, </w:t>
      </w:r>
      <w:r w:rsidR="008622F9">
        <w:rPr>
          <w:rFonts w:ascii="Times New Roman" w:hAnsi="Times New Roman"/>
        </w:rPr>
        <w:t xml:space="preserve">we also interview </w:t>
      </w:r>
      <w:r w:rsidR="00300489" w:rsidRPr="00953F45">
        <w:rPr>
          <w:rFonts w:ascii="Times New Roman" w:hAnsi="Times New Roman"/>
        </w:rPr>
        <w:t>the beneficiary</w:t>
      </w:r>
      <w:r w:rsidR="002021AC">
        <w:rPr>
          <w:rFonts w:ascii="Times New Roman" w:hAnsi="Times New Roman"/>
        </w:rPr>
        <w:t>,</w:t>
      </w:r>
      <w:r w:rsidR="00300489" w:rsidRPr="00953F45">
        <w:rPr>
          <w:rFonts w:ascii="Times New Roman" w:hAnsi="Times New Roman"/>
        </w:rPr>
        <w:t xml:space="preserve"> or </w:t>
      </w:r>
      <w:r w:rsidR="002B7BBF" w:rsidRPr="00953F45">
        <w:rPr>
          <w:rFonts w:ascii="Times New Roman" w:hAnsi="Times New Roman"/>
        </w:rPr>
        <w:t>SSI recipient</w:t>
      </w:r>
      <w:r w:rsidR="00300489" w:rsidRPr="00953F45">
        <w:rPr>
          <w:rFonts w:ascii="Times New Roman" w:hAnsi="Times New Roman"/>
        </w:rPr>
        <w:t>,</w:t>
      </w:r>
      <w:r w:rsidR="002B7BBF" w:rsidRPr="00953F45">
        <w:rPr>
          <w:rFonts w:ascii="Times New Roman" w:hAnsi="Times New Roman"/>
        </w:rPr>
        <w:t xml:space="preserve"> and custodian (if other than the payee) to confirm information </w:t>
      </w:r>
      <w:r w:rsidR="002021AC">
        <w:rPr>
          <w:rFonts w:ascii="Times New Roman" w:hAnsi="Times New Roman"/>
        </w:rPr>
        <w:t xml:space="preserve">the payee </w:t>
      </w:r>
      <w:r w:rsidR="002B7BBF" w:rsidRPr="00953F45">
        <w:rPr>
          <w:rFonts w:ascii="Times New Roman" w:hAnsi="Times New Roman"/>
        </w:rPr>
        <w:t>provide</w:t>
      </w:r>
      <w:r w:rsidR="002021AC">
        <w:rPr>
          <w:rFonts w:ascii="Times New Roman" w:hAnsi="Times New Roman"/>
        </w:rPr>
        <w:t>s</w:t>
      </w:r>
      <w:r w:rsidR="002B7BBF" w:rsidRPr="00953F45">
        <w:rPr>
          <w:rFonts w:ascii="Times New Roman" w:hAnsi="Times New Roman"/>
        </w:rPr>
        <w:t xml:space="preserve">, and to ensure the </w:t>
      </w:r>
      <w:r w:rsidR="002021AC">
        <w:rPr>
          <w:rFonts w:ascii="Times New Roman" w:hAnsi="Times New Roman"/>
        </w:rPr>
        <w:t xml:space="preserve">payee is meeting the </w:t>
      </w:r>
      <w:r w:rsidR="002B7BBF" w:rsidRPr="00953F45">
        <w:rPr>
          <w:rFonts w:ascii="Times New Roman" w:hAnsi="Times New Roman"/>
        </w:rPr>
        <w:t>beneficiary</w:t>
      </w:r>
      <w:r w:rsidR="008622F9">
        <w:rPr>
          <w:rFonts w:ascii="Times New Roman" w:hAnsi="Times New Roman"/>
        </w:rPr>
        <w:t>’s</w:t>
      </w:r>
      <w:r w:rsidR="002B7BBF" w:rsidRPr="00953F45">
        <w:rPr>
          <w:rFonts w:ascii="Times New Roman" w:hAnsi="Times New Roman"/>
        </w:rPr>
        <w:t xml:space="preserve"> or SSI recipient’s current needs</w:t>
      </w:r>
      <w:r w:rsidR="008622F9">
        <w:rPr>
          <w:rFonts w:ascii="Times New Roman" w:hAnsi="Times New Roman"/>
        </w:rPr>
        <w:t xml:space="preserve"> </w:t>
      </w:r>
      <w:r w:rsidR="008622F9" w:rsidRPr="00953F45">
        <w:rPr>
          <w:rFonts w:ascii="Times New Roman" w:hAnsi="Times New Roman"/>
        </w:rPr>
        <w:t>(face</w:t>
      </w:r>
      <w:r w:rsidR="008622F9">
        <w:rPr>
          <w:rFonts w:ascii="Times New Roman" w:hAnsi="Times New Roman"/>
        </w:rPr>
        <w:noBreakHyphen/>
      </w:r>
      <w:r w:rsidR="008622F9" w:rsidRPr="00953F45">
        <w:rPr>
          <w:rFonts w:ascii="Times New Roman" w:hAnsi="Times New Roman"/>
        </w:rPr>
        <w:t>to-face</w:t>
      </w:r>
      <w:r w:rsidR="008622F9">
        <w:rPr>
          <w:rFonts w:ascii="Times New Roman" w:hAnsi="Times New Roman"/>
        </w:rPr>
        <w:t xml:space="preserve"> interview</w:t>
      </w:r>
      <w:r w:rsidR="008622F9" w:rsidRPr="00953F45">
        <w:rPr>
          <w:rFonts w:ascii="Times New Roman" w:hAnsi="Times New Roman"/>
        </w:rPr>
        <w:t xml:space="preserve"> not required)</w:t>
      </w:r>
      <w:r w:rsidR="002B7BBF" w:rsidRPr="00953F45">
        <w:rPr>
          <w:rFonts w:ascii="Times New Roman" w:hAnsi="Times New Roman"/>
        </w:rPr>
        <w:t>.</w:t>
      </w:r>
      <w:r w:rsidR="00953F45" w:rsidRPr="00953F45">
        <w:rPr>
          <w:rFonts w:ascii="Times New Roman" w:hAnsi="Times New Roman"/>
        </w:rPr>
        <w:t xml:space="preserve">  The respondents are individuals or organizations serving as representative payees for individuals receiving </w:t>
      </w:r>
      <w:proofErr w:type="gramStart"/>
      <w:r w:rsidR="00953F45" w:rsidRPr="00953F45">
        <w:rPr>
          <w:rFonts w:ascii="Times New Roman" w:hAnsi="Times New Roman"/>
        </w:rPr>
        <w:t>Title II benefits or Title XVI payments</w:t>
      </w:r>
      <w:r w:rsidR="000F79CB">
        <w:rPr>
          <w:rFonts w:ascii="Times New Roman" w:hAnsi="Times New Roman"/>
        </w:rPr>
        <w:t>,</w:t>
      </w:r>
      <w:r w:rsidR="00953F45" w:rsidRPr="00953F45">
        <w:rPr>
          <w:rFonts w:ascii="Times New Roman" w:hAnsi="Times New Roman"/>
        </w:rPr>
        <w:t xml:space="preserve"> and who fail to comply with SSA’s statutory annual reporting</w:t>
      </w:r>
      <w:r w:rsidR="00953F45">
        <w:rPr>
          <w:rFonts w:ascii="Times New Roman" w:hAnsi="Times New Roman"/>
        </w:rPr>
        <w:t xml:space="preserve"> </w:t>
      </w:r>
      <w:r w:rsidR="00953F45" w:rsidRPr="00953F45">
        <w:rPr>
          <w:rFonts w:ascii="Times New Roman" w:hAnsi="Times New Roman"/>
        </w:rPr>
        <w:t>requirement</w:t>
      </w:r>
      <w:proofErr w:type="gramEnd"/>
      <w:r w:rsidR="00953F45">
        <w:rPr>
          <w:rFonts w:ascii="Times New Roman" w:hAnsi="Times New Roman"/>
        </w:rPr>
        <w:t>.</w:t>
      </w:r>
    </w:p>
    <w:p w:rsidR="00A45D82" w:rsidRPr="00BC7F42" w:rsidRDefault="00A45D82" w:rsidP="002B7BBF">
      <w:pPr>
        <w:ind w:left="720"/>
        <w:rPr>
          <w:rFonts w:ascii="Times New Roman" w:hAnsi="Times New Roman"/>
        </w:rPr>
      </w:pPr>
    </w:p>
    <w:p w:rsidR="00814CDF" w:rsidRPr="00814CDF" w:rsidRDefault="00A45D82" w:rsidP="00602578">
      <w:pPr>
        <w:numPr>
          <w:ilvl w:val="0"/>
          <w:numId w:val="20"/>
        </w:numPr>
        <w:tabs>
          <w:tab w:val="clear" w:pos="720"/>
          <w:tab w:val="num" w:pos="1440"/>
        </w:tabs>
        <w:ind w:left="1440"/>
        <w:rPr>
          <w:rFonts w:ascii="Times New Roman" w:hAnsi="Times New Roman"/>
        </w:rPr>
      </w:pPr>
      <w:r w:rsidRPr="00BC7F42">
        <w:rPr>
          <w:rFonts w:ascii="Times New Roman" w:hAnsi="Times New Roman"/>
          <w:b/>
        </w:rPr>
        <w:t>Use of Information Technology to Collect the Information</w:t>
      </w:r>
    </w:p>
    <w:p w:rsidR="00953F45" w:rsidRDefault="002B7BBF" w:rsidP="009140FC">
      <w:pPr>
        <w:ind w:left="1440"/>
        <w:rPr>
          <w:rFonts w:ascii="Times New Roman" w:hAnsi="Times New Roman"/>
        </w:rPr>
      </w:pPr>
      <w:r w:rsidRPr="001F72B5">
        <w:rPr>
          <w:rFonts w:ascii="Times New Roman" w:hAnsi="Times New Roman"/>
        </w:rPr>
        <w:t>FO</w:t>
      </w:r>
      <w:r w:rsidR="00300489">
        <w:rPr>
          <w:rFonts w:ascii="Times New Roman" w:hAnsi="Times New Roman"/>
        </w:rPr>
        <w:t>’</w:t>
      </w:r>
      <w:r w:rsidRPr="001F72B5">
        <w:rPr>
          <w:rFonts w:ascii="Times New Roman" w:hAnsi="Times New Roman"/>
        </w:rPr>
        <w:t>s complete the pape</w:t>
      </w:r>
      <w:r>
        <w:rPr>
          <w:rFonts w:ascii="Times New Roman" w:hAnsi="Times New Roman"/>
        </w:rPr>
        <w:t xml:space="preserve">r Form </w:t>
      </w:r>
      <w:r w:rsidRPr="001F72B5">
        <w:rPr>
          <w:rFonts w:ascii="Times New Roman" w:hAnsi="Times New Roman"/>
        </w:rPr>
        <w:t xml:space="preserve">SSA-624 based on a face-to-face interview with the representative payee.  The form </w:t>
      </w:r>
      <w:r w:rsidR="00452C6C">
        <w:rPr>
          <w:rFonts w:ascii="Times New Roman" w:hAnsi="Times New Roman"/>
        </w:rPr>
        <w:t>will also be ava</w:t>
      </w:r>
      <w:r w:rsidR="008622F9">
        <w:rPr>
          <w:rFonts w:ascii="Times New Roman" w:hAnsi="Times New Roman"/>
        </w:rPr>
        <w:t xml:space="preserve">ilable in a Fillable modality, which </w:t>
      </w:r>
      <w:r w:rsidR="00452C6C">
        <w:rPr>
          <w:rFonts w:ascii="Times New Roman" w:hAnsi="Times New Roman"/>
        </w:rPr>
        <w:t xml:space="preserve">will allow respondents to continue to print and complete the form by hand, but also allow them to complete </w:t>
      </w:r>
      <w:r w:rsidR="008622F9">
        <w:rPr>
          <w:rFonts w:ascii="Times New Roman" w:hAnsi="Times New Roman"/>
        </w:rPr>
        <w:t xml:space="preserve">the form on a computing device, print it, and </w:t>
      </w:r>
      <w:r w:rsidR="008622F9">
        <w:rPr>
          <w:rFonts w:ascii="Times New Roman" w:hAnsi="Times New Roman"/>
        </w:rPr>
        <w:lastRenderedPageBreak/>
        <w:t xml:space="preserve">submit it to SSA.  </w:t>
      </w:r>
      <w:r w:rsidR="008622F9" w:rsidRPr="001F72B5">
        <w:rPr>
          <w:rFonts w:ascii="Times New Roman" w:hAnsi="Times New Roman"/>
        </w:rPr>
        <w:t>SSA has not</w:t>
      </w:r>
      <w:r w:rsidR="001728AF">
        <w:rPr>
          <w:rFonts w:ascii="Times New Roman" w:hAnsi="Times New Roman"/>
        </w:rPr>
        <w:t>, yet,</w:t>
      </w:r>
      <w:r w:rsidR="008622F9" w:rsidRPr="001F72B5">
        <w:rPr>
          <w:rFonts w:ascii="Times New Roman" w:hAnsi="Times New Roman"/>
        </w:rPr>
        <w:t xml:space="preserve"> scheduled this form for electronic </w:t>
      </w:r>
      <w:r w:rsidR="008622F9">
        <w:rPr>
          <w:rFonts w:ascii="Times New Roman" w:hAnsi="Times New Roman"/>
        </w:rPr>
        <w:t>implementation under the SSA Government Paperwork Elimination Act plan</w:t>
      </w:r>
      <w:r w:rsidR="008622F9">
        <w:rPr>
          <w:rFonts w:ascii="Times New Roman" w:hAnsi="Times New Roman"/>
        </w:rPr>
        <w:t xml:space="preserve"> because higher volume forms take precedence</w:t>
      </w:r>
      <w:r w:rsidR="001728AF">
        <w:rPr>
          <w:rFonts w:ascii="Times New Roman" w:hAnsi="Times New Roman"/>
        </w:rPr>
        <w:t>.  Once SSA converts our higher volume applications to electronic modalities, we can begin concentrating on those with lower volumes of respondents.</w:t>
      </w:r>
    </w:p>
    <w:p w:rsidR="00452C6C" w:rsidRPr="00BC7F42" w:rsidRDefault="00452C6C" w:rsidP="009140FC">
      <w:pPr>
        <w:ind w:left="1440"/>
        <w:rPr>
          <w:rFonts w:ascii="Times New Roman" w:hAnsi="Times New Roman"/>
        </w:rPr>
      </w:pPr>
    </w:p>
    <w:p w:rsidR="00814CDF" w:rsidRPr="00814CDF" w:rsidRDefault="00A45D82" w:rsidP="00602578">
      <w:pPr>
        <w:numPr>
          <w:ilvl w:val="0"/>
          <w:numId w:val="20"/>
        </w:numPr>
        <w:tabs>
          <w:tab w:val="clear" w:pos="720"/>
          <w:tab w:val="num" w:pos="1440"/>
        </w:tabs>
        <w:ind w:left="1440"/>
        <w:rPr>
          <w:rFonts w:ascii="Times New Roman" w:hAnsi="Times New Roman"/>
          <w:i/>
        </w:rPr>
      </w:pPr>
      <w:r w:rsidRPr="00BC7F42">
        <w:rPr>
          <w:rFonts w:ascii="Times New Roman" w:hAnsi="Times New Roman"/>
          <w:b/>
        </w:rPr>
        <w:t xml:space="preserve">Why </w:t>
      </w:r>
      <w:r w:rsidR="000C1D18">
        <w:rPr>
          <w:rFonts w:ascii="Times New Roman" w:hAnsi="Times New Roman"/>
          <w:b/>
        </w:rPr>
        <w:t>We Cannot Use Duplicate Information</w:t>
      </w:r>
    </w:p>
    <w:p w:rsidR="00A45D82" w:rsidRPr="00BC7F42" w:rsidRDefault="002B7BBF" w:rsidP="00602578">
      <w:pPr>
        <w:ind w:left="1440"/>
        <w:rPr>
          <w:rFonts w:ascii="Times New Roman" w:hAnsi="Times New Roman"/>
          <w:i/>
        </w:rPr>
      </w:pPr>
      <w:r w:rsidRPr="0053719A">
        <w:rPr>
          <w:rFonts w:ascii="Times New Roman" w:hAnsi="Times New Roman"/>
        </w:rPr>
        <w:t>The nature of the information we collect</w:t>
      </w:r>
      <w:r w:rsidR="00300489">
        <w:rPr>
          <w:rFonts w:ascii="Times New Roman" w:hAnsi="Times New Roman"/>
        </w:rPr>
        <w:t xml:space="preserve"> </w:t>
      </w:r>
      <w:r w:rsidRPr="0053719A">
        <w:rPr>
          <w:rFonts w:ascii="Times New Roman" w:hAnsi="Times New Roman"/>
        </w:rPr>
        <w:t>and the manner in which we colle</w:t>
      </w:r>
      <w:r w:rsidR="00300489">
        <w:rPr>
          <w:rFonts w:ascii="Times New Roman" w:hAnsi="Times New Roman"/>
        </w:rPr>
        <w:t xml:space="preserve">ct </w:t>
      </w:r>
      <w:r>
        <w:rPr>
          <w:rFonts w:ascii="Times New Roman" w:hAnsi="Times New Roman"/>
        </w:rPr>
        <w:t xml:space="preserve">it preclude duplication.  </w:t>
      </w:r>
      <w:r w:rsidRPr="0053719A">
        <w:rPr>
          <w:rFonts w:ascii="Times New Roman" w:hAnsi="Times New Roman"/>
        </w:rPr>
        <w:t xml:space="preserve">SSA does not use another collection instrument to obtain similar data.  </w:t>
      </w:r>
    </w:p>
    <w:p w:rsidR="00A45D82" w:rsidRPr="00BC7F42" w:rsidRDefault="00A45D82" w:rsidP="00A45D82">
      <w:pPr>
        <w:pStyle w:val="Header"/>
        <w:tabs>
          <w:tab w:val="clear" w:pos="4320"/>
          <w:tab w:val="clear" w:pos="8640"/>
        </w:tabs>
        <w:ind w:left="720"/>
        <w:rPr>
          <w:rFonts w:ascii="Times New Roman" w:hAnsi="Times New Roman"/>
        </w:rPr>
      </w:pPr>
    </w:p>
    <w:p w:rsidR="00814CDF" w:rsidRPr="00814CDF" w:rsidRDefault="00077E0E" w:rsidP="00602578">
      <w:pPr>
        <w:numPr>
          <w:ilvl w:val="0"/>
          <w:numId w:val="28"/>
        </w:numPr>
        <w:tabs>
          <w:tab w:val="clear" w:pos="360"/>
          <w:tab w:val="num" w:pos="1440"/>
        </w:tabs>
        <w:ind w:left="1440" w:hanging="720"/>
        <w:rPr>
          <w:rFonts w:ascii="Times New Roman" w:hAnsi="Times New Roman"/>
        </w:rPr>
      </w:pPr>
      <w:r>
        <w:rPr>
          <w:rFonts w:ascii="Times New Roman" w:hAnsi="Times New Roman"/>
          <w:b/>
        </w:rPr>
        <w:t>Minimizing Burden on Small Respondents</w:t>
      </w:r>
    </w:p>
    <w:p w:rsidR="00077E0E" w:rsidRDefault="002B7BBF" w:rsidP="00602578">
      <w:pPr>
        <w:ind w:left="1440"/>
        <w:rPr>
          <w:rFonts w:ascii="Times New Roman" w:hAnsi="Times New Roman"/>
        </w:rPr>
      </w:pPr>
      <w:r>
        <w:rPr>
          <w:rFonts w:ascii="Times New Roman" w:hAnsi="Times New Roman"/>
        </w:rPr>
        <w:t xml:space="preserve">This collection may </w:t>
      </w:r>
      <w:r w:rsidRPr="0053719A">
        <w:rPr>
          <w:rFonts w:ascii="Times New Roman" w:hAnsi="Times New Roman"/>
        </w:rPr>
        <w:t>affect</w:t>
      </w:r>
      <w:r>
        <w:rPr>
          <w:rFonts w:ascii="Times New Roman" w:hAnsi="Times New Roman"/>
        </w:rPr>
        <w:t xml:space="preserve"> some </w:t>
      </w:r>
      <w:r w:rsidRPr="0053719A">
        <w:rPr>
          <w:rFonts w:ascii="Times New Roman" w:hAnsi="Times New Roman"/>
        </w:rPr>
        <w:t>small businesses or other small entities.  We minimized the burden by carefully reviewing the</w:t>
      </w:r>
      <w:r>
        <w:rPr>
          <w:rFonts w:ascii="Times New Roman" w:hAnsi="Times New Roman"/>
        </w:rPr>
        <w:t xml:space="preserve"> form and ensuring we </w:t>
      </w:r>
      <w:r w:rsidRPr="0053719A">
        <w:rPr>
          <w:rFonts w:ascii="Times New Roman" w:hAnsi="Times New Roman"/>
        </w:rPr>
        <w:t xml:space="preserve">ask small </w:t>
      </w:r>
      <w:r>
        <w:rPr>
          <w:rFonts w:ascii="Times New Roman" w:hAnsi="Times New Roman"/>
        </w:rPr>
        <w:t>businesses</w:t>
      </w:r>
      <w:r w:rsidR="00300489">
        <w:rPr>
          <w:rFonts w:ascii="Times New Roman" w:hAnsi="Times New Roman"/>
        </w:rPr>
        <w:t xml:space="preserve"> and small </w:t>
      </w:r>
      <w:r>
        <w:rPr>
          <w:rFonts w:ascii="Times New Roman" w:hAnsi="Times New Roman"/>
        </w:rPr>
        <w:t xml:space="preserve">entities only </w:t>
      </w:r>
      <w:r w:rsidRPr="0053719A">
        <w:rPr>
          <w:rFonts w:ascii="Times New Roman" w:hAnsi="Times New Roman"/>
        </w:rPr>
        <w:t>relevant and necessary questions.  We have also minimiz</w:t>
      </w:r>
      <w:r>
        <w:rPr>
          <w:rFonts w:ascii="Times New Roman" w:hAnsi="Times New Roman"/>
        </w:rPr>
        <w:t>ed the burden by incorporating “yes” and “n</w:t>
      </w:r>
      <w:r w:rsidRPr="0053719A">
        <w:rPr>
          <w:rFonts w:ascii="Times New Roman" w:hAnsi="Times New Roman"/>
        </w:rPr>
        <w:t>o</w:t>
      </w:r>
      <w:r>
        <w:rPr>
          <w:rFonts w:ascii="Times New Roman" w:hAnsi="Times New Roman"/>
        </w:rPr>
        <w:t>”</w:t>
      </w:r>
      <w:r w:rsidRPr="0053719A">
        <w:rPr>
          <w:rFonts w:ascii="Times New Roman" w:hAnsi="Times New Roman"/>
        </w:rPr>
        <w:t xml:space="preserve"> responses where feasible.</w:t>
      </w:r>
    </w:p>
    <w:p w:rsidR="00E75DB0" w:rsidRPr="00077E0E" w:rsidRDefault="00E75DB0" w:rsidP="00077E0E">
      <w:pPr>
        <w:ind w:left="720"/>
        <w:rPr>
          <w:rFonts w:ascii="Times New Roman" w:hAnsi="Times New Roman"/>
          <w:b/>
          <w:u w:val="single"/>
        </w:rPr>
      </w:pPr>
    </w:p>
    <w:p w:rsidR="00814CDF" w:rsidRDefault="00A45D82" w:rsidP="00602578">
      <w:pPr>
        <w:numPr>
          <w:ilvl w:val="0"/>
          <w:numId w:val="28"/>
        </w:numPr>
        <w:tabs>
          <w:tab w:val="clear" w:pos="360"/>
          <w:tab w:val="num" w:pos="1440"/>
        </w:tabs>
        <w:ind w:left="1440" w:hanging="720"/>
        <w:rPr>
          <w:rFonts w:ascii="Times New Roman" w:hAnsi="Times New Roman"/>
          <w:b/>
        </w:rPr>
      </w:pPr>
      <w:r w:rsidRPr="00BC7F42">
        <w:rPr>
          <w:rFonts w:ascii="Times New Roman" w:hAnsi="Times New Roman"/>
          <w:b/>
        </w:rPr>
        <w:t>Consequence of Not Collecting Information or Collecting it Less Frequently</w:t>
      </w:r>
    </w:p>
    <w:p w:rsidR="00A45D82" w:rsidRPr="00BC7F42" w:rsidRDefault="002B7BBF" w:rsidP="00602578">
      <w:pPr>
        <w:ind w:left="1440"/>
        <w:rPr>
          <w:rFonts w:ascii="Times New Roman" w:hAnsi="Times New Roman"/>
          <w:i/>
        </w:rPr>
      </w:pPr>
      <w:r>
        <w:rPr>
          <w:rFonts w:ascii="Times New Roman" w:hAnsi="Times New Roman"/>
        </w:rPr>
        <w:t>SSA collects a</w:t>
      </w:r>
      <w:r w:rsidRPr="00C312D0">
        <w:rPr>
          <w:rFonts w:ascii="Times New Roman" w:hAnsi="Times New Roman"/>
        </w:rPr>
        <w:t>cco</w:t>
      </w:r>
      <w:r>
        <w:rPr>
          <w:rFonts w:ascii="Times New Roman" w:hAnsi="Times New Roman"/>
        </w:rPr>
        <w:t xml:space="preserve">unting information </w:t>
      </w:r>
      <w:r w:rsidRPr="00C312D0">
        <w:rPr>
          <w:rFonts w:ascii="Times New Roman" w:hAnsi="Times New Roman"/>
        </w:rPr>
        <w:t>annually from representative payees.  This statutory requirement is the result of a class action suit filed against SSA (</w:t>
      </w:r>
      <w:r>
        <w:rPr>
          <w:rFonts w:ascii="Times New Roman" w:hAnsi="Times New Roman"/>
        </w:rPr>
        <w:t>Jordan v. Bowen), and</w:t>
      </w:r>
      <w:r w:rsidRPr="00C312D0">
        <w:rPr>
          <w:rFonts w:ascii="Times New Roman" w:hAnsi="Times New Roman"/>
        </w:rPr>
        <w:t xml:space="preserve"> therefore, </w:t>
      </w:r>
      <w:r w:rsidR="008F0B36">
        <w:rPr>
          <w:rFonts w:ascii="Times New Roman" w:hAnsi="Times New Roman"/>
        </w:rPr>
        <w:t xml:space="preserve">we must collect </w:t>
      </w:r>
      <w:r w:rsidRPr="00C312D0">
        <w:rPr>
          <w:rFonts w:ascii="Times New Roman" w:hAnsi="Times New Roman"/>
        </w:rPr>
        <w:t>the information</w:t>
      </w:r>
      <w:r>
        <w:rPr>
          <w:rFonts w:ascii="Times New Roman" w:hAnsi="Times New Roman"/>
        </w:rPr>
        <w:t xml:space="preserve">.  </w:t>
      </w:r>
      <w:r w:rsidRPr="00C312D0">
        <w:rPr>
          <w:rFonts w:ascii="Times New Roman" w:hAnsi="Times New Roman"/>
        </w:rPr>
        <w:t>There is continued Congressional interest on initiatives designed by SSA to improve the representati</w:t>
      </w:r>
      <w:r>
        <w:rPr>
          <w:rFonts w:ascii="Times New Roman" w:hAnsi="Times New Roman"/>
        </w:rPr>
        <w:t xml:space="preserve">ve payment monitoring process.  </w:t>
      </w:r>
      <w:r w:rsidRPr="00C312D0">
        <w:rPr>
          <w:rFonts w:ascii="Times New Roman" w:hAnsi="Times New Roman"/>
        </w:rPr>
        <w:t xml:space="preserve">For these reasons, </w:t>
      </w:r>
      <w:r>
        <w:rPr>
          <w:rFonts w:ascii="Times New Roman" w:hAnsi="Times New Roman"/>
        </w:rPr>
        <w:t xml:space="preserve">we cannot collect </w:t>
      </w:r>
      <w:r w:rsidRPr="00C312D0">
        <w:rPr>
          <w:rFonts w:ascii="Times New Roman" w:hAnsi="Times New Roman"/>
        </w:rPr>
        <w:t>the information less frequently.  There are no technical or legal obstacles to burden reduction.</w:t>
      </w:r>
    </w:p>
    <w:p w:rsidR="00A45D82" w:rsidRPr="00BC7F42" w:rsidRDefault="00A45D82" w:rsidP="00A45D82">
      <w:pPr>
        <w:rPr>
          <w:rFonts w:ascii="Times New Roman" w:hAnsi="Times New Roman"/>
        </w:rPr>
      </w:pPr>
    </w:p>
    <w:p w:rsidR="00814CDF" w:rsidRDefault="00A45D82" w:rsidP="00602578">
      <w:pPr>
        <w:numPr>
          <w:ilvl w:val="0"/>
          <w:numId w:val="28"/>
        </w:numPr>
        <w:tabs>
          <w:tab w:val="clear" w:pos="360"/>
          <w:tab w:val="num" w:pos="1440"/>
        </w:tabs>
        <w:ind w:left="1440" w:hanging="720"/>
        <w:rPr>
          <w:rFonts w:ascii="Times New Roman" w:hAnsi="Times New Roman"/>
          <w:b/>
        </w:rPr>
      </w:pPr>
      <w:r w:rsidRPr="00BC7F42">
        <w:rPr>
          <w:rFonts w:ascii="Times New Roman" w:hAnsi="Times New Roman"/>
          <w:b/>
        </w:rPr>
        <w:t>Special Circumstances</w:t>
      </w:r>
    </w:p>
    <w:p w:rsidR="00A45D82" w:rsidRPr="00BC7F42" w:rsidRDefault="002B7BBF" w:rsidP="00602578">
      <w:pPr>
        <w:ind w:left="1440"/>
        <w:rPr>
          <w:rFonts w:ascii="Times New Roman" w:hAnsi="Times New Roman"/>
          <w:b/>
        </w:rPr>
      </w:pPr>
      <w:r w:rsidRPr="0053719A">
        <w:rPr>
          <w:rFonts w:ascii="Times New Roman" w:hAnsi="Times New Roman"/>
        </w:rPr>
        <w:t xml:space="preserve">There are no special circumstances that would cause SSA to conduct this information collection in a manner inconsistent with </w:t>
      </w:r>
      <w:proofErr w:type="gramStart"/>
      <w:r w:rsidRPr="00FD0D34">
        <w:rPr>
          <w:rFonts w:ascii="Times New Roman" w:hAnsi="Times New Roman"/>
          <w:i/>
        </w:rPr>
        <w:t>5</w:t>
      </w:r>
      <w:proofErr w:type="gramEnd"/>
      <w:r w:rsidRPr="00FD0D34">
        <w:rPr>
          <w:rFonts w:ascii="Times New Roman" w:hAnsi="Times New Roman"/>
          <w:i/>
        </w:rPr>
        <w:t xml:space="preserve"> CFR 1320.5.</w:t>
      </w:r>
    </w:p>
    <w:p w:rsidR="00A45D82" w:rsidRPr="00BC7F42" w:rsidRDefault="00A45D82" w:rsidP="00A45D82">
      <w:pPr>
        <w:rPr>
          <w:rFonts w:ascii="Times New Roman" w:hAnsi="Times New Roman"/>
          <w:b/>
          <w:i/>
        </w:rPr>
      </w:pPr>
    </w:p>
    <w:p w:rsidR="00814CDF" w:rsidRPr="00814CDF" w:rsidRDefault="00A45D82" w:rsidP="00602578">
      <w:pPr>
        <w:numPr>
          <w:ilvl w:val="0"/>
          <w:numId w:val="14"/>
        </w:numPr>
        <w:tabs>
          <w:tab w:val="clear" w:pos="720"/>
          <w:tab w:val="num" w:pos="1440"/>
        </w:tabs>
        <w:ind w:left="1440"/>
        <w:rPr>
          <w:rFonts w:ascii="Times New Roman" w:hAnsi="Times New Roman"/>
          <w:i/>
        </w:rPr>
      </w:pPr>
      <w:r w:rsidRPr="00BC7F42">
        <w:rPr>
          <w:rFonts w:ascii="Times New Roman" w:hAnsi="Times New Roman"/>
          <w:b/>
        </w:rPr>
        <w:t>Solicitation of Public Comment and Other Consultations with the Public</w:t>
      </w:r>
    </w:p>
    <w:p w:rsidR="001C6D3A" w:rsidRPr="001C6D3A" w:rsidRDefault="002B7BBF" w:rsidP="00602578">
      <w:pPr>
        <w:ind w:left="1440"/>
        <w:rPr>
          <w:rFonts w:ascii="Times New Roman" w:hAnsi="Times New Roman"/>
          <w:i/>
        </w:rPr>
      </w:pPr>
      <w:r w:rsidRPr="00B479C5">
        <w:rPr>
          <w:rFonts w:ascii="Times New Roman" w:hAnsi="Times New Roman"/>
        </w:rPr>
        <w:t>SSA published the 60-day advance Federal R</w:t>
      </w:r>
      <w:r>
        <w:rPr>
          <w:rFonts w:ascii="Times New Roman" w:hAnsi="Times New Roman"/>
        </w:rPr>
        <w:t>egister Notice on</w:t>
      </w:r>
      <w:r w:rsidR="00D37A95">
        <w:rPr>
          <w:rFonts w:ascii="Times New Roman" w:hAnsi="Times New Roman"/>
        </w:rPr>
        <w:t xml:space="preserve"> March 24, 2016</w:t>
      </w:r>
      <w:r>
        <w:rPr>
          <w:rFonts w:ascii="Times New Roman" w:hAnsi="Times New Roman"/>
        </w:rPr>
        <w:t xml:space="preserve"> at </w:t>
      </w:r>
      <w:r w:rsidR="00D37A95">
        <w:rPr>
          <w:rFonts w:ascii="Times New Roman" w:hAnsi="Times New Roman"/>
        </w:rPr>
        <w:t>81</w:t>
      </w:r>
      <w:r>
        <w:rPr>
          <w:rFonts w:ascii="Times New Roman" w:hAnsi="Times New Roman"/>
        </w:rPr>
        <w:t xml:space="preserve"> FR </w:t>
      </w:r>
      <w:r w:rsidR="00D37A95">
        <w:rPr>
          <w:rFonts w:ascii="Times New Roman" w:hAnsi="Times New Roman"/>
        </w:rPr>
        <w:t>15774</w:t>
      </w:r>
      <w:r w:rsidRPr="00B479C5">
        <w:rPr>
          <w:rFonts w:ascii="Times New Roman" w:hAnsi="Times New Roman"/>
        </w:rPr>
        <w:t xml:space="preserve">, and we received no public comments.  We published the 30-day Federal Register Notice on </w:t>
      </w:r>
      <w:r w:rsidR="001B0A3D">
        <w:rPr>
          <w:rFonts w:ascii="Times New Roman" w:hAnsi="Times New Roman"/>
        </w:rPr>
        <w:t xml:space="preserve">June 20, 2016 </w:t>
      </w:r>
      <w:r>
        <w:rPr>
          <w:rFonts w:ascii="Times New Roman" w:hAnsi="Times New Roman"/>
        </w:rPr>
        <w:t xml:space="preserve">at </w:t>
      </w:r>
      <w:r w:rsidR="001B0A3D">
        <w:rPr>
          <w:rFonts w:ascii="Times New Roman" w:hAnsi="Times New Roman"/>
        </w:rPr>
        <w:t>81</w:t>
      </w:r>
      <w:r>
        <w:rPr>
          <w:rFonts w:ascii="Times New Roman" w:hAnsi="Times New Roman"/>
        </w:rPr>
        <w:t xml:space="preserve"> FR </w:t>
      </w:r>
      <w:r w:rsidR="001B0A3D">
        <w:rPr>
          <w:rFonts w:ascii="Times New Roman" w:hAnsi="Times New Roman"/>
        </w:rPr>
        <w:t>39990</w:t>
      </w:r>
      <w:r>
        <w:rPr>
          <w:rFonts w:ascii="Times New Roman" w:hAnsi="Times New Roman"/>
        </w:rPr>
        <w:t>.  If</w:t>
      </w:r>
      <w:r w:rsidRPr="00B479C5">
        <w:rPr>
          <w:rFonts w:ascii="Times New Roman" w:hAnsi="Times New Roman"/>
        </w:rPr>
        <w:t xml:space="preserve"> we receive any comments in response to the 30-day Notice, we </w:t>
      </w:r>
      <w:r>
        <w:rPr>
          <w:rFonts w:ascii="Times New Roman" w:hAnsi="Times New Roman"/>
        </w:rPr>
        <w:t xml:space="preserve">will </w:t>
      </w:r>
      <w:r w:rsidRPr="00B479C5">
        <w:rPr>
          <w:rFonts w:ascii="Times New Roman" w:hAnsi="Times New Roman"/>
        </w:rPr>
        <w:t>forward them to OMB.  SSA has had no outside consultations with members of the public.</w:t>
      </w:r>
    </w:p>
    <w:p w:rsidR="00A45D82" w:rsidRPr="00BC7F42" w:rsidRDefault="00A45D82" w:rsidP="00A45D82">
      <w:pPr>
        <w:rPr>
          <w:rFonts w:ascii="Times New Roman" w:hAnsi="Times New Roman"/>
        </w:rPr>
      </w:pPr>
    </w:p>
    <w:p w:rsidR="00814CDF" w:rsidRDefault="00A45D82" w:rsidP="00602578">
      <w:pPr>
        <w:numPr>
          <w:ilvl w:val="0"/>
          <w:numId w:val="14"/>
        </w:numPr>
        <w:tabs>
          <w:tab w:val="clear" w:pos="720"/>
          <w:tab w:val="num" w:pos="1440"/>
        </w:tabs>
        <w:ind w:left="1440"/>
        <w:rPr>
          <w:rFonts w:ascii="Times New Roman" w:hAnsi="Times New Roman"/>
          <w:b/>
        </w:rPr>
      </w:pPr>
      <w:r w:rsidRPr="00BC7F42">
        <w:rPr>
          <w:rFonts w:ascii="Times New Roman" w:hAnsi="Times New Roman"/>
          <w:b/>
        </w:rPr>
        <w:t>Payment or Gifts to Respondents</w:t>
      </w:r>
    </w:p>
    <w:p w:rsidR="00A45D82" w:rsidRPr="002B7BBF" w:rsidRDefault="002B7BBF" w:rsidP="00602578">
      <w:pPr>
        <w:ind w:left="1440"/>
        <w:rPr>
          <w:rFonts w:ascii="Times New Roman" w:hAnsi="Times New Roman"/>
          <w:b/>
        </w:rPr>
      </w:pPr>
      <w:r w:rsidRPr="0053719A">
        <w:rPr>
          <w:rFonts w:ascii="Times New Roman" w:hAnsi="Times New Roman"/>
        </w:rPr>
        <w:t xml:space="preserve">SSA does not provide payments or gifts to the respondents. </w:t>
      </w:r>
    </w:p>
    <w:p w:rsidR="00A45D82" w:rsidRPr="00BC7F42" w:rsidRDefault="00A45D82" w:rsidP="00A45D82">
      <w:pPr>
        <w:rPr>
          <w:rFonts w:ascii="Times New Roman" w:hAnsi="Times New Roman"/>
        </w:rPr>
      </w:pPr>
    </w:p>
    <w:p w:rsidR="00814CDF" w:rsidRDefault="00A45D82" w:rsidP="00602578">
      <w:pPr>
        <w:numPr>
          <w:ilvl w:val="0"/>
          <w:numId w:val="14"/>
        </w:numPr>
        <w:tabs>
          <w:tab w:val="clear" w:pos="720"/>
          <w:tab w:val="num" w:pos="1440"/>
        </w:tabs>
        <w:ind w:left="1440"/>
        <w:rPr>
          <w:rFonts w:ascii="Times New Roman" w:hAnsi="Times New Roman"/>
          <w:b/>
        </w:rPr>
      </w:pPr>
      <w:r w:rsidRPr="00BC7F42">
        <w:rPr>
          <w:rFonts w:ascii="Times New Roman" w:hAnsi="Times New Roman"/>
          <w:b/>
        </w:rPr>
        <w:t>Assurances of Confidentiality</w:t>
      </w:r>
    </w:p>
    <w:p w:rsidR="00A45D82" w:rsidRPr="002B7BBF" w:rsidRDefault="002B7BBF" w:rsidP="00602578">
      <w:pPr>
        <w:ind w:left="1440"/>
        <w:rPr>
          <w:rFonts w:ascii="Times New Roman" w:hAnsi="Times New Roman"/>
          <w:b/>
        </w:rPr>
      </w:pPr>
      <w:r w:rsidRPr="0053719A">
        <w:rPr>
          <w:rFonts w:ascii="Times New Roman" w:hAnsi="Times New Roman"/>
        </w:rPr>
        <w:t xml:space="preserve">SSA protects and holds confidential the information it collects in accordance with </w:t>
      </w:r>
      <w:r w:rsidRPr="00C52F37">
        <w:rPr>
          <w:rFonts w:ascii="Times New Roman" w:hAnsi="Times New Roman"/>
          <w:i/>
        </w:rPr>
        <w:t>42 U.S.C. 1306, 20 CFR 401</w:t>
      </w:r>
      <w:r w:rsidRPr="0053719A">
        <w:rPr>
          <w:rFonts w:ascii="Times New Roman" w:hAnsi="Times New Roman"/>
        </w:rPr>
        <w:t xml:space="preserve"> and</w:t>
      </w:r>
      <w:r w:rsidR="009140FC">
        <w:rPr>
          <w:rFonts w:ascii="Times New Roman" w:hAnsi="Times New Roman"/>
        </w:rPr>
        <w:t xml:space="preserve"> </w:t>
      </w:r>
      <w:r w:rsidRPr="00FD0D34">
        <w:rPr>
          <w:rFonts w:ascii="Times New Roman" w:hAnsi="Times New Roman"/>
          <w:i/>
        </w:rPr>
        <w:t>402, 5 U.S.C. 552</w:t>
      </w:r>
      <w:r w:rsidRPr="0053719A">
        <w:rPr>
          <w:rFonts w:ascii="Times New Roman" w:hAnsi="Times New Roman"/>
        </w:rPr>
        <w:t xml:space="preserve"> (Freedom of Information Act), </w:t>
      </w:r>
      <w:r w:rsidRPr="00FD0D34">
        <w:rPr>
          <w:rFonts w:ascii="Times New Roman" w:hAnsi="Times New Roman"/>
          <w:i/>
        </w:rPr>
        <w:t>5 U.S.C. 552a</w:t>
      </w:r>
      <w:r w:rsidRPr="0053719A">
        <w:rPr>
          <w:rFonts w:ascii="Times New Roman" w:hAnsi="Times New Roman"/>
        </w:rPr>
        <w:t xml:space="preserve"> (Privacy Act of 1974), and OMB Circular No</w:t>
      </w:r>
      <w:proofErr w:type="gramStart"/>
      <w:r w:rsidRPr="0053719A">
        <w:rPr>
          <w:rFonts w:ascii="Times New Roman" w:hAnsi="Times New Roman"/>
        </w:rPr>
        <w:t>. A-130</w:t>
      </w:r>
      <w:r w:rsidRPr="0053719A">
        <w:rPr>
          <w:rFonts w:ascii="Times New Roman" w:hAnsi="Times New Roman"/>
          <w:color w:val="0000FF"/>
        </w:rPr>
        <w:t>.</w:t>
      </w:r>
      <w:proofErr w:type="gramEnd"/>
    </w:p>
    <w:p w:rsidR="001728AF" w:rsidRDefault="001728AF" w:rsidP="00A45D82">
      <w:pPr>
        <w:pStyle w:val="Header"/>
        <w:tabs>
          <w:tab w:val="clear" w:pos="4320"/>
          <w:tab w:val="clear" w:pos="8640"/>
        </w:tabs>
        <w:rPr>
          <w:rFonts w:ascii="Times New Roman" w:hAnsi="Times New Roman"/>
        </w:rPr>
      </w:pPr>
    </w:p>
    <w:p w:rsidR="001728AF" w:rsidRPr="00BC7F42" w:rsidRDefault="001728AF" w:rsidP="00A45D82">
      <w:pPr>
        <w:pStyle w:val="Header"/>
        <w:tabs>
          <w:tab w:val="clear" w:pos="4320"/>
          <w:tab w:val="clear" w:pos="8640"/>
        </w:tabs>
        <w:rPr>
          <w:rFonts w:ascii="Times New Roman" w:hAnsi="Times New Roman"/>
        </w:rPr>
      </w:pPr>
    </w:p>
    <w:p w:rsidR="00814CDF" w:rsidRDefault="00A45D82" w:rsidP="00602578">
      <w:pPr>
        <w:numPr>
          <w:ilvl w:val="0"/>
          <w:numId w:val="14"/>
        </w:numPr>
        <w:tabs>
          <w:tab w:val="clear" w:pos="720"/>
          <w:tab w:val="num" w:pos="1440"/>
        </w:tabs>
        <w:ind w:left="1440"/>
        <w:rPr>
          <w:rFonts w:ascii="Times New Roman" w:hAnsi="Times New Roman"/>
          <w:b/>
        </w:rPr>
      </w:pPr>
      <w:r w:rsidRPr="00BC7F42">
        <w:rPr>
          <w:rFonts w:ascii="Times New Roman" w:hAnsi="Times New Roman"/>
          <w:b/>
        </w:rPr>
        <w:lastRenderedPageBreak/>
        <w:t>Justification for Sensitive Questions</w:t>
      </w:r>
    </w:p>
    <w:p w:rsidR="00A45D82" w:rsidRPr="00BC7F42" w:rsidRDefault="002B7BBF" w:rsidP="00602578">
      <w:pPr>
        <w:ind w:left="1440"/>
        <w:rPr>
          <w:rFonts w:ascii="Times New Roman" w:hAnsi="Times New Roman"/>
          <w:b/>
        </w:rPr>
      </w:pPr>
      <w:r w:rsidRPr="0053719A">
        <w:rPr>
          <w:rFonts w:ascii="Times New Roman" w:hAnsi="Times New Roman"/>
        </w:rPr>
        <w:t>The information collection does not contain any questions of a sensitive nature.</w:t>
      </w:r>
    </w:p>
    <w:p w:rsidR="00A45D82" w:rsidRPr="00BC7F42" w:rsidRDefault="00A45D82" w:rsidP="00A45D82">
      <w:pPr>
        <w:rPr>
          <w:rFonts w:ascii="Times New Roman" w:hAnsi="Times New Roman"/>
        </w:rPr>
      </w:pPr>
    </w:p>
    <w:p w:rsidR="00814CDF" w:rsidRPr="00814CDF" w:rsidRDefault="00A45D82" w:rsidP="00602578">
      <w:pPr>
        <w:numPr>
          <w:ilvl w:val="0"/>
          <w:numId w:val="14"/>
        </w:numPr>
        <w:tabs>
          <w:tab w:val="clear" w:pos="720"/>
          <w:tab w:val="num" w:pos="1440"/>
        </w:tabs>
        <w:ind w:left="1440"/>
        <w:rPr>
          <w:rFonts w:ascii="Times New Roman" w:hAnsi="Times New Roman"/>
        </w:rPr>
      </w:pPr>
      <w:r w:rsidRPr="00BC7F42">
        <w:rPr>
          <w:rFonts w:ascii="Times New Roman" w:hAnsi="Times New Roman"/>
          <w:b/>
        </w:rPr>
        <w:t>Estimates of Public Reporting Burden</w:t>
      </w:r>
    </w:p>
    <w:p w:rsidR="000539AF" w:rsidRDefault="00C500D5" w:rsidP="00602578">
      <w:pPr>
        <w:ind w:left="1440"/>
        <w:rPr>
          <w:rFonts w:ascii="Times New Roman" w:hAnsi="Times New Roman"/>
          <w:color w:val="000000"/>
        </w:rPr>
      </w:pPr>
      <w:r>
        <w:rPr>
          <w:rFonts w:ascii="Times New Roman" w:hAnsi="Times New Roman"/>
          <w:color w:val="000000"/>
        </w:rPr>
        <w:t>SSA uses F</w:t>
      </w:r>
      <w:r w:rsidRPr="00D65F5D">
        <w:rPr>
          <w:rFonts w:ascii="Times New Roman" w:hAnsi="Times New Roman"/>
          <w:color w:val="000000"/>
        </w:rPr>
        <w:t xml:space="preserve">orm SSA-624 annually for approximately </w:t>
      </w:r>
      <w:r>
        <w:rPr>
          <w:rFonts w:ascii="Times New Roman" w:hAnsi="Times New Roman"/>
          <w:color w:val="000000"/>
        </w:rPr>
        <w:t>267</w:t>
      </w:r>
      <w:r w:rsidRPr="00D65F5D">
        <w:rPr>
          <w:rFonts w:ascii="Times New Roman" w:hAnsi="Times New Roman"/>
          <w:color w:val="000000"/>
        </w:rPr>
        <w:t xml:space="preserve">,000 respondents.  </w:t>
      </w:r>
      <w:r>
        <w:rPr>
          <w:rFonts w:ascii="Times New Roman" w:hAnsi="Times New Roman"/>
          <w:color w:val="000000"/>
        </w:rPr>
        <w:t xml:space="preserve">The estimated </w:t>
      </w:r>
      <w:r w:rsidRPr="00D65F5D">
        <w:rPr>
          <w:rFonts w:ascii="Times New Roman" w:hAnsi="Times New Roman"/>
          <w:color w:val="000000"/>
        </w:rPr>
        <w:t>compl</w:t>
      </w:r>
      <w:r>
        <w:rPr>
          <w:rFonts w:ascii="Times New Roman" w:hAnsi="Times New Roman"/>
          <w:color w:val="000000"/>
        </w:rPr>
        <w:t xml:space="preserve">etion time is </w:t>
      </w:r>
      <w:r w:rsidRPr="00D65F5D">
        <w:rPr>
          <w:rFonts w:ascii="Times New Roman" w:hAnsi="Times New Roman"/>
          <w:color w:val="000000"/>
        </w:rPr>
        <w:t>30 min</w:t>
      </w:r>
      <w:r>
        <w:rPr>
          <w:rFonts w:ascii="Times New Roman" w:hAnsi="Times New Roman"/>
          <w:color w:val="000000"/>
        </w:rPr>
        <w:t>utes for a total burden of</w:t>
      </w:r>
      <w:r w:rsidRPr="00D65F5D">
        <w:rPr>
          <w:rFonts w:ascii="Times New Roman" w:hAnsi="Times New Roman"/>
          <w:color w:val="000000"/>
        </w:rPr>
        <w:t xml:space="preserve"> </w:t>
      </w:r>
      <w:r>
        <w:rPr>
          <w:rFonts w:ascii="Times New Roman" w:hAnsi="Times New Roman"/>
          <w:color w:val="000000"/>
        </w:rPr>
        <w:t>133</w:t>
      </w:r>
      <w:r w:rsidRPr="00D65F5D">
        <w:rPr>
          <w:rFonts w:ascii="Times New Roman" w:hAnsi="Times New Roman"/>
          <w:color w:val="000000"/>
        </w:rPr>
        <w:t>,</w:t>
      </w:r>
      <w:r>
        <w:rPr>
          <w:rFonts w:ascii="Times New Roman" w:hAnsi="Times New Roman"/>
          <w:color w:val="000000"/>
        </w:rPr>
        <w:t>5</w:t>
      </w:r>
      <w:r w:rsidRPr="00D65F5D">
        <w:rPr>
          <w:rFonts w:ascii="Times New Roman" w:hAnsi="Times New Roman"/>
          <w:color w:val="000000"/>
        </w:rPr>
        <w:t xml:space="preserve">00 hours.  Based on </w:t>
      </w:r>
      <w:r>
        <w:rPr>
          <w:rFonts w:ascii="Times New Roman" w:hAnsi="Times New Roman"/>
          <w:color w:val="000000"/>
        </w:rPr>
        <w:t>SSA’s most recent data, we estimate the burden data as follows:</w:t>
      </w:r>
    </w:p>
    <w:tbl>
      <w:tblPr>
        <w:tblpPr w:leftFromText="180" w:rightFromText="180" w:vertAnchor="text" w:horzAnchor="page" w:tblpX="3010" w:tblpY="117"/>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1645"/>
        <w:gridCol w:w="1800"/>
        <w:gridCol w:w="1890"/>
        <w:gridCol w:w="1350"/>
      </w:tblGrid>
      <w:tr w:rsidR="00602578" w:rsidRPr="008E18B2" w:rsidTr="00602578">
        <w:tc>
          <w:tcPr>
            <w:tcW w:w="1523" w:type="dxa"/>
          </w:tcPr>
          <w:p w:rsidR="00602578" w:rsidRDefault="00602578" w:rsidP="00602578">
            <w:pPr>
              <w:jc w:val="center"/>
              <w:rPr>
                <w:rFonts w:ascii="Times New Roman" w:hAnsi="Times New Roman"/>
                <w:b/>
              </w:rPr>
            </w:pPr>
            <w:r>
              <w:rPr>
                <w:rFonts w:ascii="Times New Roman" w:hAnsi="Times New Roman"/>
                <w:b/>
              </w:rPr>
              <w:t>Type of</w:t>
            </w:r>
          </w:p>
          <w:p w:rsidR="00602578" w:rsidRPr="008E18B2" w:rsidRDefault="00602578" w:rsidP="00602578">
            <w:pPr>
              <w:jc w:val="center"/>
              <w:rPr>
                <w:rFonts w:ascii="Times New Roman" w:hAnsi="Times New Roman"/>
                <w:b/>
              </w:rPr>
            </w:pPr>
            <w:r>
              <w:rPr>
                <w:rFonts w:ascii="Times New Roman" w:hAnsi="Times New Roman"/>
                <w:b/>
              </w:rPr>
              <w:t>Respondents</w:t>
            </w:r>
          </w:p>
        </w:tc>
        <w:tc>
          <w:tcPr>
            <w:tcW w:w="1645" w:type="dxa"/>
          </w:tcPr>
          <w:p w:rsidR="00602578" w:rsidRPr="008E18B2" w:rsidRDefault="00602578" w:rsidP="00602578">
            <w:pPr>
              <w:jc w:val="center"/>
              <w:rPr>
                <w:rFonts w:ascii="Times New Roman" w:hAnsi="Times New Roman"/>
                <w:b/>
              </w:rPr>
            </w:pPr>
            <w:r w:rsidRPr="008E18B2">
              <w:rPr>
                <w:rFonts w:ascii="Times New Roman" w:hAnsi="Times New Roman"/>
                <w:b/>
              </w:rPr>
              <w:t>Number of Respondents</w:t>
            </w:r>
          </w:p>
        </w:tc>
        <w:tc>
          <w:tcPr>
            <w:tcW w:w="1800" w:type="dxa"/>
          </w:tcPr>
          <w:p w:rsidR="00602578" w:rsidRPr="008E18B2" w:rsidRDefault="00602578" w:rsidP="00602578">
            <w:pPr>
              <w:jc w:val="center"/>
              <w:rPr>
                <w:rFonts w:ascii="Times New Roman" w:hAnsi="Times New Roman"/>
                <w:b/>
              </w:rPr>
            </w:pPr>
            <w:r>
              <w:rPr>
                <w:rFonts w:ascii="Times New Roman" w:hAnsi="Times New Roman"/>
                <w:b/>
              </w:rPr>
              <w:t>Frequency of Response</w:t>
            </w:r>
          </w:p>
        </w:tc>
        <w:tc>
          <w:tcPr>
            <w:tcW w:w="1890" w:type="dxa"/>
          </w:tcPr>
          <w:p w:rsidR="00602578" w:rsidRPr="008E18B2" w:rsidRDefault="00602578" w:rsidP="00602578">
            <w:pPr>
              <w:jc w:val="center"/>
              <w:rPr>
                <w:rFonts w:ascii="Times New Roman" w:hAnsi="Times New Roman"/>
                <w:b/>
              </w:rPr>
            </w:pPr>
            <w:r w:rsidRPr="008E18B2">
              <w:rPr>
                <w:rFonts w:ascii="Times New Roman" w:hAnsi="Times New Roman"/>
                <w:b/>
              </w:rPr>
              <w:t>Response Time (minutes)</w:t>
            </w:r>
          </w:p>
        </w:tc>
        <w:tc>
          <w:tcPr>
            <w:tcW w:w="1350" w:type="dxa"/>
          </w:tcPr>
          <w:p w:rsidR="00602578" w:rsidRPr="008E18B2" w:rsidRDefault="00602578" w:rsidP="00602578">
            <w:pPr>
              <w:jc w:val="center"/>
              <w:rPr>
                <w:rFonts w:ascii="Times New Roman" w:hAnsi="Times New Roman"/>
                <w:b/>
              </w:rPr>
            </w:pPr>
            <w:r w:rsidRPr="008E18B2">
              <w:rPr>
                <w:rFonts w:ascii="Times New Roman" w:hAnsi="Times New Roman"/>
                <w:b/>
              </w:rPr>
              <w:t>Burden (hours)</w:t>
            </w:r>
          </w:p>
        </w:tc>
      </w:tr>
      <w:tr w:rsidR="00602578" w:rsidRPr="008E18B2" w:rsidTr="00602578">
        <w:tc>
          <w:tcPr>
            <w:tcW w:w="1523" w:type="dxa"/>
          </w:tcPr>
          <w:p w:rsidR="00602578" w:rsidRPr="008E18B2" w:rsidRDefault="00602578" w:rsidP="00602578">
            <w:pPr>
              <w:rPr>
                <w:rFonts w:ascii="Times New Roman" w:hAnsi="Times New Roman"/>
              </w:rPr>
            </w:pPr>
            <w:r>
              <w:rPr>
                <w:rFonts w:ascii="Times New Roman" w:hAnsi="Times New Roman"/>
              </w:rPr>
              <w:t>Individuals</w:t>
            </w:r>
          </w:p>
        </w:tc>
        <w:tc>
          <w:tcPr>
            <w:tcW w:w="1645" w:type="dxa"/>
          </w:tcPr>
          <w:p w:rsidR="00602578" w:rsidRPr="008E18B2" w:rsidRDefault="00602578" w:rsidP="00F82AC0">
            <w:pPr>
              <w:jc w:val="right"/>
              <w:rPr>
                <w:rFonts w:ascii="Times New Roman" w:hAnsi="Times New Roman"/>
              </w:rPr>
            </w:pPr>
            <w:r>
              <w:rPr>
                <w:rFonts w:ascii="Times New Roman" w:hAnsi="Times New Roman"/>
              </w:rPr>
              <w:t>194,910</w:t>
            </w:r>
          </w:p>
        </w:tc>
        <w:tc>
          <w:tcPr>
            <w:tcW w:w="1800" w:type="dxa"/>
          </w:tcPr>
          <w:p w:rsidR="00602578" w:rsidRDefault="00602578" w:rsidP="00F82AC0">
            <w:pPr>
              <w:jc w:val="right"/>
              <w:rPr>
                <w:rFonts w:ascii="Times New Roman" w:hAnsi="Times New Roman"/>
              </w:rPr>
            </w:pPr>
            <w:r>
              <w:rPr>
                <w:rFonts w:ascii="Times New Roman" w:hAnsi="Times New Roman"/>
              </w:rPr>
              <w:t>1</w:t>
            </w:r>
          </w:p>
        </w:tc>
        <w:tc>
          <w:tcPr>
            <w:tcW w:w="1890" w:type="dxa"/>
          </w:tcPr>
          <w:p w:rsidR="00602578" w:rsidRPr="008E18B2" w:rsidRDefault="00602578" w:rsidP="00F82AC0">
            <w:pPr>
              <w:jc w:val="right"/>
              <w:rPr>
                <w:rFonts w:ascii="Times New Roman" w:hAnsi="Times New Roman"/>
              </w:rPr>
            </w:pPr>
            <w:r>
              <w:rPr>
                <w:rFonts w:ascii="Times New Roman" w:hAnsi="Times New Roman"/>
              </w:rPr>
              <w:t xml:space="preserve">30 </w:t>
            </w:r>
          </w:p>
        </w:tc>
        <w:tc>
          <w:tcPr>
            <w:tcW w:w="1350" w:type="dxa"/>
          </w:tcPr>
          <w:p w:rsidR="00602578" w:rsidRPr="008E18B2" w:rsidRDefault="00602578" w:rsidP="00F82AC0">
            <w:pPr>
              <w:jc w:val="right"/>
              <w:rPr>
                <w:rFonts w:ascii="Times New Roman" w:hAnsi="Times New Roman"/>
              </w:rPr>
            </w:pPr>
            <w:r>
              <w:rPr>
                <w:rFonts w:ascii="Times New Roman" w:hAnsi="Times New Roman"/>
              </w:rPr>
              <w:t>97,455</w:t>
            </w:r>
          </w:p>
        </w:tc>
      </w:tr>
      <w:tr w:rsidR="00602578" w:rsidRPr="008E18B2" w:rsidTr="00602578">
        <w:tc>
          <w:tcPr>
            <w:tcW w:w="1523" w:type="dxa"/>
          </w:tcPr>
          <w:p w:rsidR="00602578" w:rsidRDefault="00602578" w:rsidP="00602578">
            <w:pPr>
              <w:rPr>
                <w:rFonts w:ascii="Times New Roman" w:hAnsi="Times New Roman"/>
              </w:rPr>
            </w:pPr>
            <w:r>
              <w:rPr>
                <w:rFonts w:ascii="Times New Roman" w:hAnsi="Times New Roman"/>
              </w:rPr>
              <w:t>State/Local</w:t>
            </w:r>
          </w:p>
          <w:p w:rsidR="00602578" w:rsidRPr="008E18B2" w:rsidRDefault="00602578" w:rsidP="00602578">
            <w:pPr>
              <w:rPr>
                <w:rFonts w:ascii="Times New Roman" w:hAnsi="Times New Roman"/>
              </w:rPr>
            </w:pPr>
            <w:r>
              <w:rPr>
                <w:rFonts w:ascii="Times New Roman" w:hAnsi="Times New Roman"/>
              </w:rPr>
              <w:t>Governments</w:t>
            </w:r>
          </w:p>
        </w:tc>
        <w:tc>
          <w:tcPr>
            <w:tcW w:w="1645" w:type="dxa"/>
          </w:tcPr>
          <w:p w:rsidR="00602578" w:rsidRDefault="00602578" w:rsidP="00F82AC0">
            <w:pPr>
              <w:jc w:val="right"/>
              <w:rPr>
                <w:rFonts w:ascii="Times New Roman" w:hAnsi="Times New Roman"/>
              </w:rPr>
            </w:pPr>
          </w:p>
          <w:p w:rsidR="00602578" w:rsidRPr="008E18B2" w:rsidRDefault="00602578" w:rsidP="00F82AC0">
            <w:pPr>
              <w:jc w:val="right"/>
              <w:rPr>
                <w:rFonts w:ascii="Times New Roman" w:hAnsi="Times New Roman"/>
              </w:rPr>
            </w:pPr>
            <w:r>
              <w:rPr>
                <w:rFonts w:ascii="Times New Roman" w:hAnsi="Times New Roman"/>
              </w:rPr>
              <w:t>8,010</w:t>
            </w:r>
          </w:p>
        </w:tc>
        <w:tc>
          <w:tcPr>
            <w:tcW w:w="1800" w:type="dxa"/>
          </w:tcPr>
          <w:p w:rsidR="00602578" w:rsidRDefault="00602578" w:rsidP="00F82AC0">
            <w:pPr>
              <w:jc w:val="right"/>
              <w:rPr>
                <w:rFonts w:ascii="Times New Roman" w:hAnsi="Times New Roman"/>
              </w:rPr>
            </w:pPr>
          </w:p>
          <w:p w:rsidR="00602578" w:rsidRDefault="00602578" w:rsidP="00F82AC0">
            <w:pPr>
              <w:jc w:val="right"/>
              <w:rPr>
                <w:rFonts w:ascii="Times New Roman" w:hAnsi="Times New Roman"/>
              </w:rPr>
            </w:pPr>
            <w:r>
              <w:rPr>
                <w:rFonts w:ascii="Times New Roman" w:hAnsi="Times New Roman"/>
              </w:rPr>
              <w:t>1</w:t>
            </w:r>
          </w:p>
        </w:tc>
        <w:tc>
          <w:tcPr>
            <w:tcW w:w="1890" w:type="dxa"/>
          </w:tcPr>
          <w:p w:rsidR="00602578" w:rsidRDefault="00602578" w:rsidP="00F82AC0">
            <w:pPr>
              <w:jc w:val="right"/>
              <w:rPr>
                <w:rFonts w:ascii="Times New Roman" w:hAnsi="Times New Roman"/>
              </w:rPr>
            </w:pPr>
          </w:p>
          <w:p w:rsidR="00602578" w:rsidRPr="008E18B2" w:rsidRDefault="00602578" w:rsidP="00F82AC0">
            <w:pPr>
              <w:jc w:val="right"/>
              <w:rPr>
                <w:rFonts w:ascii="Times New Roman" w:hAnsi="Times New Roman"/>
              </w:rPr>
            </w:pPr>
            <w:r>
              <w:rPr>
                <w:rFonts w:ascii="Times New Roman" w:hAnsi="Times New Roman"/>
              </w:rPr>
              <w:t xml:space="preserve">30 </w:t>
            </w:r>
          </w:p>
        </w:tc>
        <w:tc>
          <w:tcPr>
            <w:tcW w:w="1350" w:type="dxa"/>
          </w:tcPr>
          <w:p w:rsidR="00602578" w:rsidRDefault="00602578" w:rsidP="00F82AC0">
            <w:pPr>
              <w:jc w:val="right"/>
              <w:rPr>
                <w:rFonts w:ascii="Times New Roman" w:hAnsi="Times New Roman"/>
              </w:rPr>
            </w:pPr>
          </w:p>
          <w:p w:rsidR="00602578" w:rsidRPr="008E18B2" w:rsidRDefault="00602578" w:rsidP="00F82AC0">
            <w:pPr>
              <w:jc w:val="right"/>
              <w:rPr>
                <w:rFonts w:ascii="Times New Roman" w:hAnsi="Times New Roman"/>
              </w:rPr>
            </w:pPr>
            <w:r>
              <w:rPr>
                <w:rFonts w:ascii="Times New Roman" w:hAnsi="Times New Roman"/>
              </w:rPr>
              <w:t>4,005</w:t>
            </w:r>
          </w:p>
        </w:tc>
      </w:tr>
      <w:tr w:rsidR="00602578" w:rsidRPr="008E18B2" w:rsidTr="00602578">
        <w:tc>
          <w:tcPr>
            <w:tcW w:w="1523" w:type="dxa"/>
          </w:tcPr>
          <w:p w:rsidR="00602578" w:rsidRDefault="00602578" w:rsidP="00602578">
            <w:pPr>
              <w:rPr>
                <w:rFonts w:ascii="Times New Roman" w:hAnsi="Times New Roman"/>
              </w:rPr>
            </w:pPr>
            <w:r>
              <w:rPr>
                <w:rFonts w:ascii="Times New Roman" w:hAnsi="Times New Roman"/>
              </w:rPr>
              <w:t>Businesses</w:t>
            </w:r>
          </w:p>
        </w:tc>
        <w:tc>
          <w:tcPr>
            <w:tcW w:w="1645" w:type="dxa"/>
          </w:tcPr>
          <w:p w:rsidR="00602578" w:rsidRDefault="00602578" w:rsidP="00F82AC0">
            <w:pPr>
              <w:jc w:val="right"/>
              <w:rPr>
                <w:rFonts w:ascii="Times New Roman" w:hAnsi="Times New Roman"/>
              </w:rPr>
            </w:pPr>
            <w:r>
              <w:rPr>
                <w:rFonts w:ascii="Times New Roman" w:hAnsi="Times New Roman"/>
              </w:rPr>
              <w:t>64,080</w:t>
            </w:r>
          </w:p>
        </w:tc>
        <w:tc>
          <w:tcPr>
            <w:tcW w:w="1800" w:type="dxa"/>
          </w:tcPr>
          <w:p w:rsidR="00602578" w:rsidRDefault="00602578" w:rsidP="00F82AC0">
            <w:pPr>
              <w:jc w:val="right"/>
              <w:rPr>
                <w:rFonts w:ascii="Times New Roman" w:hAnsi="Times New Roman"/>
              </w:rPr>
            </w:pPr>
            <w:r>
              <w:rPr>
                <w:rFonts w:ascii="Times New Roman" w:hAnsi="Times New Roman"/>
              </w:rPr>
              <w:t>1</w:t>
            </w:r>
          </w:p>
        </w:tc>
        <w:tc>
          <w:tcPr>
            <w:tcW w:w="1890" w:type="dxa"/>
          </w:tcPr>
          <w:p w:rsidR="00602578" w:rsidRPr="008E18B2" w:rsidRDefault="00602578" w:rsidP="00F82AC0">
            <w:pPr>
              <w:jc w:val="right"/>
              <w:rPr>
                <w:rFonts w:ascii="Times New Roman" w:hAnsi="Times New Roman"/>
              </w:rPr>
            </w:pPr>
            <w:r>
              <w:rPr>
                <w:rFonts w:ascii="Times New Roman" w:hAnsi="Times New Roman"/>
              </w:rPr>
              <w:t xml:space="preserve">30 </w:t>
            </w:r>
          </w:p>
        </w:tc>
        <w:tc>
          <w:tcPr>
            <w:tcW w:w="1350" w:type="dxa"/>
          </w:tcPr>
          <w:p w:rsidR="00602578" w:rsidRPr="008E18B2" w:rsidRDefault="00602578" w:rsidP="00F82AC0">
            <w:pPr>
              <w:jc w:val="right"/>
              <w:rPr>
                <w:rFonts w:ascii="Times New Roman" w:hAnsi="Times New Roman"/>
              </w:rPr>
            </w:pPr>
            <w:r>
              <w:rPr>
                <w:rFonts w:ascii="Times New Roman" w:hAnsi="Times New Roman"/>
              </w:rPr>
              <w:t>32,040</w:t>
            </w:r>
          </w:p>
        </w:tc>
      </w:tr>
      <w:tr w:rsidR="00602578" w:rsidRPr="008E18B2" w:rsidTr="001728AF">
        <w:trPr>
          <w:trHeight w:val="367"/>
        </w:trPr>
        <w:tc>
          <w:tcPr>
            <w:tcW w:w="1523" w:type="dxa"/>
          </w:tcPr>
          <w:p w:rsidR="00602578" w:rsidRPr="007370F0" w:rsidRDefault="00602578" w:rsidP="00602578">
            <w:pPr>
              <w:rPr>
                <w:rFonts w:ascii="Times New Roman" w:hAnsi="Times New Roman"/>
                <w:b/>
              </w:rPr>
            </w:pPr>
            <w:r w:rsidRPr="007370F0">
              <w:rPr>
                <w:rFonts w:ascii="Times New Roman" w:hAnsi="Times New Roman"/>
                <w:b/>
              </w:rPr>
              <w:t>Total</w:t>
            </w:r>
          </w:p>
        </w:tc>
        <w:tc>
          <w:tcPr>
            <w:tcW w:w="1645" w:type="dxa"/>
          </w:tcPr>
          <w:p w:rsidR="00602578" w:rsidRPr="00945A4E" w:rsidRDefault="00602578" w:rsidP="001728AF">
            <w:pPr>
              <w:jc w:val="right"/>
              <w:rPr>
                <w:rFonts w:ascii="Times New Roman" w:hAnsi="Times New Roman"/>
                <w:b/>
              </w:rPr>
            </w:pPr>
            <w:r>
              <w:rPr>
                <w:rFonts w:ascii="Times New Roman" w:hAnsi="Times New Roman"/>
                <w:b/>
              </w:rPr>
              <w:t>267,000</w:t>
            </w:r>
          </w:p>
        </w:tc>
        <w:tc>
          <w:tcPr>
            <w:tcW w:w="1800" w:type="dxa"/>
          </w:tcPr>
          <w:p w:rsidR="00602578" w:rsidRDefault="00602578" w:rsidP="001728AF">
            <w:pPr>
              <w:jc w:val="right"/>
              <w:rPr>
                <w:rFonts w:ascii="Times New Roman" w:hAnsi="Times New Roman"/>
              </w:rPr>
            </w:pPr>
          </w:p>
        </w:tc>
        <w:tc>
          <w:tcPr>
            <w:tcW w:w="1890" w:type="dxa"/>
          </w:tcPr>
          <w:p w:rsidR="00602578" w:rsidRPr="008E18B2" w:rsidRDefault="00602578" w:rsidP="001728AF">
            <w:pPr>
              <w:jc w:val="right"/>
              <w:rPr>
                <w:rFonts w:ascii="Times New Roman" w:hAnsi="Times New Roman"/>
              </w:rPr>
            </w:pPr>
          </w:p>
        </w:tc>
        <w:tc>
          <w:tcPr>
            <w:tcW w:w="1350" w:type="dxa"/>
          </w:tcPr>
          <w:p w:rsidR="00602578" w:rsidRPr="008E18B2" w:rsidRDefault="00602578" w:rsidP="001728AF">
            <w:pPr>
              <w:jc w:val="right"/>
              <w:rPr>
                <w:rFonts w:ascii="Times New Roman" w:hAnsi="Times New Roman"/>
                <w:b/>
              </w:rPr>
            </w:pPr>
            <w:r>
              <w:rPr>
                <w:rFonts w:ascii="Times New Roman" w:hAnsi="Times New Roman"/>
                <w:b/>
              </w:rPr>
              <w:t>133,500</w:t>
            </w:r>
          </w:p>
        </w:tc>
      </w:tr>
    </w:tbl>
    <w:p w:rsidR="00602578" w:rsidRDefault="00602578" w:rsidP="00602578">
      <w:pPr>
        <w:ind w:left="1440"/>
        <w:rPr>
          <w:rFonts w:ascii="Times New Roman" w:hAnsi="Times New Roman"/>
          <w:color w:val="000000"/>
        </w:rPr>
      </w:pPr>
    </w:p>
    <w:p w:rsidR="00462B30" w:rsidRDefault="00462B30" w:rsidP="00602578">
      <w:pPr>
        <w:ind w:left="1440"/>
        <w:rPr>
          <w:rFonts w:ascii="Times New Roman" w:hAnsi="Times New Roman"/>
          <w:color w:val="000000"/>
        </w:rPr>
      </w:pPr>
    </w:p>
    <w:p w:rsidR="00462B30" w:rsidRDefault="00462B30" w:rsidP="00602578">
      <w:pPr>
        <w:ind w:left="1440"/>
        <w:rPr>
          <w:rFonts w:ascii="Times New Roman" w:hAnsi="Times New Roman"/>
          <w:color w:val="000000"/>
        </w:rPr>
      </w:pPr>
    </w:p>
    <w:p w:rsidR="00462B30" w:rsidRDefault="00462B30" w:rsidP="00602578">
      <w:pPr>
        <w:ind w:left="1440"/>
        <w:rPr>
          <w:rFonts w:ascii="Times New Roman" w:hAnsi="Times New Roman"/>
          <w:color w:val="000000"/>
        </w:rPr>
      </w:pPr>
    </w:p>
    <w:p w:rsidR="00462B30" w:rsidRDefault="00462B30" w:rsidP="00602578">
      <w:pPr>
        <w:ind w:left="1440"/>
        <w:rPr>
          <w:rFonts w:ascii="Times New Roman" w:hAnsi="Times New Roman"/>
          <w:color w:val="000000"/>
        </w:rPr>
      </w:pPr>
    </w:p>
    <w:p w:rsidR="00462B30" w:rsidRDefault="00462B30" w:rsidP="00602578">
      <w:pPr>
        <w:ind w:left="1440"/>
        <w:rPr>
          <w:rFonts w:ascii="Times New Roman" w:hAnsi="Times New Roman"/>
          <w:color w:val="000000"/>
        </w:rPr>
      </w:pPr>
    </w:p>
    <w:p w:rsidR="00462B30" w:rsidRDefault="00462B30" w:rsidP="00602578">
      <w:pPr>
        <w:ind w:left="1440"/>
        <w:rPr>
          <w:rFonts w:ascii="Times New Roman" w:hAnsi="Times New Roman"/>
          <w:color w:val="000000"/>
        </w:rPr>
      </w:pPr>
    </w:p>
    <w:p w:rsidR="00462B30" w:rsidRDefault="00462B30" w:rsidP="00602578">
      <w:pPr>
        <w:ind w:left="1440"/>
        <w:rPr>
          <w:rFonts w:ascii="Times New Roman" w:hAnsi="Times New Roman"/>
          <w:color w:val="000000"/>
        </w:rPr>
      </w:pPr>
    </w:p>
    <w:p w:rsidR="00274C04" w:rsidRDefault="00274C04" w:rsidP="00602578">
      <w:pPr>
        <w:ind w:left="1440"/>
        <w:rPr>
          <w:rFonts w:ascii="Times New Roman" w:hAnsi="Times New Roman"/>
        </w:rPr>
      </w:pPr>
      <w:r w:rsidRPr="00274C04">
        <w:rPr>
          <w:rFonts w:ascii="Times New Roman" w:hAnsi="Times New Roman"/>
        </w:rPr>
        <w:t>The total burden reflects burden hours, and we did not calculate a separate cost burden</w:t>
      </w:r>
      <w:r>
        <w:rPr>
          <w:rFonts w:ascii="Times New Roman" w:hAnsi="Times New Roman"/>
        </w:rPr>
        <w:t>.</w:t>
      </w:r>
    </w:p>
    <w:p w:rsidR="003B15EC" w:rsidRPr="003B15EC" w:rsidRDefault="003B15EC" w:rsidP="004509AD">
      <w:pPr>
        <w:tabs>
          <w:tab w:val="left" w:pos="360"/>
        </w:tabs>
        <w:ind w:left="720"/>
        <w:rPr>
          <w:rFonts w:ascii="Times New Roman" w:hAnsi="Times New Roman"/>
          <w:b/>
          <w:u w:val="single"/>
        </w:rPr>
      </w:pPr>
    </w:p>
    <w:p w:rsidR="00FC76D5" w:rsidRDefault="00A45D82" w:rsidP="00602578">
      <w:pPr>
        <w:numPr>
          <w:ilvl w:val="0"/>
          <w:numId w:val="14"/>
        </w:numPr>
        <w:tabs>
          <w:tab w:val="clear" w:pos="720"/>
          <w:tab w:val="num" w:pos="1440"/>
        </w:tabs>
        <w:ind w:left="1440"/>
        <w:rPr>
          <w:rFonts w:ascii="Times New Roman" w:hAnsi="Times New Roman"/>
          <w:b/>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p>
    <w:p w:rsidR="00A45D82" w:rsidRPr="00BC7F42" w:rsidRDefault="00C500D5" w:rsidP="00602578">
      <w:pPr>
        <w:ind w:left="1440"/>
        <w:rPr>
          <w:rFonts w:ascii="Times New Roman" w:hAnsi="Times New Roman"/>
          <w:i/>
        </w:rPr>
      </w:pPr>
      <w:r w:rsidRPr="00E110DA">
        <w:rPr>
          <w:rFonts w:ascii="Times New Roman" w:hAnsi="Times New Roman"/>
        </w:rPr>
        <w:t xml:space="preserve">This collection does not impose a known cost burden to the respondents.   </w:t>
      </w:r>
    </w:p>
    <w:p w:rsidR="00A45D82" w:rsidRPr="00BC7F42" w:rsidRDefault="00A45D82" w:rsidP="00A45D82">
      <w:pPr>
        <w:rPr>
          <w:rFonts w:ascii="Times New Roman" w:hAnsi="Times New Roman"/>
        </w:rPr>
      </w:pPr>
    </w:p>
    <w:p w:rsidR="00FC76D5" w:rsidRPr="00FC76D5" w:rsidRDefault="00A45D82" w:rsidP="00602578">
      <w:pPr>
        <w:numPr>
          <w:ilvl w:val="0"/>
          <w:numId w:val="27"/>
        </w:numPr>
        <w:tabs>
          <w:tab w:val="clear" w:pos="360"/>
          <w:tab w:val="num" w:pos="1440"/>
        </w:tabs>
        <w:ind w:left="1440" w:hanging="720"/>
        <w:rPr>
          <w:rFonts w:ascii="Times New Roman" w:hAnsi="Times New Roman"/>
          <w:i/>
        </w:rPr>
      </w:pPr>
      <w:r w:rsidRPr="00BC7F42">
        <w:rPr>
          <w:rFonts w:ascii="Times New Roman" w:hAnsi="Times New Roman"/>
          <w:b/>
        </w:rPr>
        <w:t>Annual Cost To Federal Government</w:t>
      </w:r>
    </w:p>
    <w:p w:rsidR="00CA6CAE" w:rsidRPr="002239DE" w:rsidRDefault="00C500D5" w:rsidP="00602578">
      <w:pPr>
        <w:tabs>
          <w:tab w:val="left" w:pos="720"/>
        </w:tabs>
        <w:ind w:left="1440"/>
        <w:rPr>
          <w:rFonts w:ascii="Times New Roman" w:hAnsi="Times New Roman"/>
          <w:i/>
        </w:rPr>
      </w:pPr>
      <w:r w:rsidRPr="00D65F5D">
        <w:rPr>
          <w:rFonts w:ascii="Times New Roman" w:hAnsi="Times New Roman"/>
        </w:rPr>
        <w:t>The annual cost to the Federal Government is approximately $</w:t>
      </w:r>
      <w:r>
        <w:rPr>
          <w:rFonts w:ascii="Times New Roman" w:hAnsi="Times New Roman"/>
        </w:rPr>
        <w:t>1,754,190</w:t>
      </w:r>
      <w:r w:rsidRPr="00D65F5D">
        <w:rPr>
          <w:rFonts w:ascii="Times New Roman" w:hAnsi="Times New Roman"/>
        </w:rPr>
        <w:t>.  This estimate is a projecti</w:t>
      </w:r>
      <w:r>
        <w:rPr>
          <w:rFonts w:ascii="Times New Roman" w:hAnsi="Times New Roman"/>
        </w:rPr>
        <w:t xml:space="preserve">on </w:t>
      </w:r>
      <w:r w:rsidRPr="00D65F5D">
        <w:rPr>
          <w:rFonts w:ascii="Times New Roman" w:hAnsi="Times New Roman"/>
        </w:rPr>
        <w:t xml:space="preserve">for collecting </w:t>
      </w:r>
      <w:r>
        <w:rPr>
          <w:rFonts w:ascii="Times New Roman" w:hAnsi="Times New Roman"/>
        </w:rPr>
        <w:t xml:space="preserve">and processing </w:t>
      </w:r>
      <w:r w:rsidRPr="00D65F5D">
        <w:rPr>
          <w:rFonts w:ascii="Times New Roman" w:hAnsi="Times New Roman"/>
        </w:rPr>
        <w:t xml:space="preserve">the information.  </w:t>
      </w:r>
    </w:p>
    <w:p w:rsidR="002239DE" w:rsidRPr="002239DE" w:rsidRDefault="002239DE" w:rsidP="002239DE">
      <w:pPr>
        <w:tabs>
          <w:tab w:val="left" w:pos="720"/>
        </w:tabs>
        <w:ind w:left="720"/>
        <w:rPr>
          <w:rFonts w:ascii="Times New Roman" w:hAnsi="Times New Roman"/>
          <w:i/>
        </w:rPr>
      </w:pPr>
    </w:p>
    <w:p w:rsidR="00FC76D5" w:rsidRPr="00FC76D5" w:rsidRDefault="00A45D82" w:rsidP="00602578">
      <w:pPr>
        <w:numPr>
          <w:ilvl w:val="0"/>
          <w:numId w:val="27"/>
        </w:numPr>
        <w:tabs>
          <w:tab w:val="clear" w:pos="360"/>
          <w:tab w:val="num" w:pos="1440"/>
        </w:tabs>
        <w:ind w:left="1440" w:hanging="720"/>
        <w:rPr>
          <w:rFonts w:ascii="Times New Roman" w:hAnsi="Times New Roman"/>
          <w:i/>
        </w:rPr>
      </w:pPr>
      <w:r w:rsidRPr="002239DE">
        <w:rPr>
          <w:rFonts w:ascii="Times New Roman" w:hAnsi="Times New Roman"/>
          <w:b/>
        </w:rPr>
        <w:t xml:space="preserve">Program Changes or Adjustments to the Information Collection </w:t>
      </w:r>
      <w:r w:rsidR="00063A05" w:rsidRPr="002239DE">
        <w:rPr>
          <w:rFonts w:ascii="Times New Roman" w:hAnsi="Times New Roman"/>
          <w:b/>
        </w:rPr>
        <w:t>Request</w:t>
      </w:r>
    </w:p>
    <w:p w:rsidR="00A45D82" w:rsidRPr="002239DE" w:rsidRDefault="00920759" w:rsidP="00602578">
      <w:pPr>
        <w:tabs>
          <w:tab w:val="left" w:pos="720"/>
        </w:tabs>
        <w:ind w:left="1440"/>
        <w:rPr>
          <w:rFonts w:ascii="Times New Roman" w:hAnsi="Times New Roman"/>
          <w:i/>
        </w:rPr>
      </w:pPr>
      <w:r w:rsidRPr="00920759">
        <w:rPr>
          <w:rFonts w:ascii="Times New Roman" w:hAnsi="Times New Roman"/>
        </w:rPr>
        <w:t>There is no change in the public reporting burden.</w:t>
      </w:r>
    </w:p>
    <w:p w:rsidR="002239DE" w:rsidRPr="00BC7F42" w:rsidRDefault="002239DE" w:rsidP="00602578">
      <w:pPr>
        <w:ind w:left="1440"/>
        <w:rPr>
          <w:rFonts w:ascii="Times New Roman" w:hAnsi="Times New Roman"/>
        </w:rPr>
      </w:pPr>
    </w:p>
    <w:p w:rsidR="00FC76D5" w:rsidRDefault="00A45D82" w:rsidP="00602578">
      <w:pPr>
        <w:numPr>
          <w:ilvl w:val="0"/>
          <w:numId w:val="27"/>
        </w:numPr>
        <w:tabs>
          <w:tab w:val="clear" w:pos="360"/>
          <w:tab w:val="num" w:pos="1440"/>
        </w:tabs>
        <w:ind w:left="1440" w:hanging="720"/>
        <w:rPr>
          <w:rFonts w:ascii="Times New Roman" w:hAnsi="Times New Roman"/>
          <w:b/>
        </w:rPr>
      </w:pP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RDefault="002239DE" w:rsidP="00602578">
      <w:pPr>
        <w:ind w:left="1440"/>
        <w:rPr>
          <w:bCs/>
          <w:iCs/>
        </w:rPr>
      </w:pPr>
      <w:r w:rsidRPr="0053719A">
        <w:rPr>
          <w:rFonts w:ascii="Times New Roman" w:hAnsi="Times New Roman"/>
          <w:bCs/>
          <w:iCs/>
        </w:rPr>
        <w:t>SSA will not publish the results of the information collection.</w:t>
      </w:r>
    </w:p>
    <w:p w:rsidR="00A45D82" w:rsidRPr="00BC7F42" w:rsidRDefault="00A45D82" w:rsidP="00A45D82">
      <w:pPr>
        <w:pStyle w:val="Header"/>
        <w:tabs>
          <w:tab w:val="clear" w:pos="4320"/>
          <w:tab w:val="clear" w:pos="8640"/>
        </w:tabs>
        <w:rPr>
          <w:rFonts w:ascii="Times New Roman" w:hAnsi="Times New Roman"/>
        </w:rPr>
      </w:pPr>
    </w:p>
    <w:p w:rsidR="00FC76D5" w:rsidRDefault="003B30B4" w:rsidP="00602578">
      <w:pPr>
        <w:numPr>
          <w:ilvl w:val="0"/>
          <w:numId w:val="27"/>
        </w:numPr>
        <w:tabs>
          <w:tab w:val="clear" w:pos="360"/>
          <w:tab w:val="num" w:pos="1440"/>
        </w:tabs>
        <w:ind w:left="1440" w:hanging="720"/>
        <w:rPr>
          <w:rFonts w:ascii="Times New Roman" w:hAnsi="Times New Roman"/>
          <w:b/>
        </w:rPr>
      </w:pPr>
      <w:r>
        <w:rPr>
          <w:rFonts w:ascii="Times New Roman" w:hAnsi="Times New Roman"/>
          <w:b/>
        </w:rPr>
        <w:t>Displaying the OMB Approval Expiration Date</w:t>
      </w:r>
    </w:p>
    <w:p w:rsidR="003B30B4" w:rsidRDefault="002239DE" w:rsidP="00602578">
      <w:pPr>
        <w:ind w:left="1440"/>
        <w:rPr>
          <w:bCs/>
          <w:i/>
          <w:iCs/>
        </w:rPr>
      </w:pPr>
      <w:r w:rsidRPr="0053719A">
        <w:rPr>
          <w:rFonts w:ascii="Times New Roman" w:hAnsi="Times New Roman"/>
          <w:bCs/>
          <w:iCs/>
        </w:rPr>
        <w:t>OMB granted SSA an exemption from the requirement to print the OMB expiration date on its program forms</w:t>
      </w:r>
      <w:proofErr w:type="gramStart"/>
      <w:r w:rsidRPr="0053719A">
        <w:rPr>
          <w:rFonts w:ascii="Times New Roman" w:hAnsi="Times New Roman"/>
          <w:bCs/>
          <w:iCs/>
        </w:rPr>
        <w:t xml:space="preserve">.   </w:t>
      </w:r>
      <w:proofErr w:type="gramEnd"/>
      <w:r w:rsidRPr="0053719A">
        <w:rPr>
          <w:rFonts w:ascii="Times New Roman" w:hAnsi="Times New Roman"/>
          <w:bCs/>
          <w:iCs/>
        </w:rPr>
        <w:t>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A45D82" w:rsidRPr="00BC7F42" w:rsidRDefault="00A45D82"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00FC76D5" w:rsidRDefault="00A45D82" w:rsidP="00602578">
      <w:pPr>
        <w:numPr>
          <w:ilvl w:val="0"/>
          <w:numId w:val="43"/>
        </w:numPr>
        <w:tabs>
          <w:tab w:val="clear" w:pos="720"/>
          <w:tab w:val="num" w:pos="1440"/>
        </w:tabs>
        <w:ind w:left="1440"/>
        <w:rPr>
          <w:rFonts w:ascii="Times New Roman" w:hAnsi="Times New Roman"/>
          <w:b/>
        </w:rPr>
      </w:pPr>
      <w:r w:rsidRPr="00BC7F42">
        <w:rPr>
          <w:rFonts w:ascii="Times New Roman" w:hAnsi="Times New Roman"/>
          <w:b/>
        </w:rPr>
        <w:t>Exceptions to Certification Statement</w:t>
      </w:r>
    </w:p>
    <w:p w:rsidR="0041131C" w:rsidRPr="00BC7F42" w:rsidRDefault="002239DE" w:rsidP="00602578">
      <w:pPr>
        <w:ind w:left="1440"/>
        <w:rPr>
          <w:rFonts w:ascii="Times New Roman" w:hAnsi="Times New Roman"/>
          <w:b/>
        </w:rPr>
      </w:pPr>
      <w:r w:rsidRPr="0053719A">
        <w:rPr>
          <w:rFonts w:ascii="Times New Roman" w:hAnsi="Times New Roman"/>
        </w:rPr>
        <w:t xml:space="preserve">SSA is not requesting an exception to the certification requirements at </w:t>
      </w:r>
      <w:proofErr w:type="gramStart"/>
      <w:r w:rsidRPr="00C52F37">
        <w:rPr>
          <w:rFonts w:ascii="Times New Roman" w:hAnsi="Times New Roman"/>
          <w:i/>
        </w:rPr>
        <w:t>5</w:t>
      </w:r>
      <w:proofErr w:type="gramEnd"/>
      <w:r w:rsidRPr="00C52F37">
        <w:rPr>
          <w:rFonts w:ascii="Times New Roman" w:hAnsi="Times New Roman"/>
          <w:i/>
        </w:rPr>
        <w:t> CFR 1320.9</w:t>
      </w:r>
      <w:r w:rsidRPr="0053719A">
        <w:rPr>
          <w:rFonts w:ascii="Times New Roman" w:hAnsi="Times New Roman"/>
        </w:rPr>
        <w:t xml:space="preserve"> and related provisions at </w:t>
      </w:r>
      <w:r w:rsidRPr="00C52F37">
        <w:rPr>
          <w:rFonts w:ascii="Times New Roman" w:hAnsi="Times New Roman"/>
          <w:i/>
        </w:rPr>
        <w:t>5 CFR 1320.8(b) (3)</w:t>
      </w:r>
      <w:r w:rsidRPr="0053719A">
        <w:rPr>
          <w:rFonts w:ascii="Times New Roman" w:hAnsi="Times New Roman"/>
        </w:rPr>
        <w:t>.</w:t>
      </w:r>
    </w:p>
    <w:p w:rsidR="0041131C" w:rsidRDefault="0041131C" w:rsidP="003B30B4">
      <w:pPr>
        <w:ind w:left="720"/>
        <w:rPr>
          <w:rFonts w:ascii="Times New Roman" w:hAnsi="Times New Roman"/>
        </w:rPr>
      </w:pPr>
    </w:p>
    <w:p w:rsidR="001728AF" w:rsidRDefault="001728AF" w:rsidP="003B30B4">
      <w:pPr>
        <w:ind w:left="720"/>
        <w:rPr>
          <w:rFonts w:ascii="Times New Roman" w:hAnsi="Times New Roman"/>
        </w:rPr>
      </w:pPr>
    </w:p>
    <w:p w:rsidR="001728AF" w:rsidRDefault="001728AF" w:rsidP="003B30B4">
      <w:pPr>
        <w:ind w:left="720"/>
        <w:rPr>
          <w:rFonts w:ascii="Times New Roman" w:hAnsi="Times New Roman"/>
        </w:rPr>
      </w:pPr>
      <w:bookmarkStart w:id="0" w:name="_GoBack"/>
      <w:bookmarkEnd w:id="0"/>
    </w:p>
    <w:p w:rsidR="00A45D82" w:rsidRDefault="00A45D82" w:rsidP="00602578">
      <w:pPr>
        <w:ind w:left="720" w:hanging="540"/>
        <w:rPr>
          <w:rFonts w:ascii="Times New Roman" w:hAnsi="Times New Roman"/>
          <w:b/>
          <w:u w:val="single"/>
        </w:rPr>
      </w:pPr>
      <w:r w:rsidRPr="0041131C">
        <w:rPr>
          <w:rFonts w:ascii="Times New Roman" w:hAnsi="Times New Roman"/>
          <w:b/>
        </w:rPr>
        <w:lastRenderedPageBreak/>
        <w:t xml:space="preserve">B. </w:t>
      </w:r>
      <w:r w:rsidR="003C0CBB">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41131C" w:rsidRDefault="0041131C" w:rsidP="002239DE">
      <w:pPr>
        <w:rPr>
          <w:rFonts w:ascii="Times New Roman" w:hAnsi="Times New Roman"/>
        </w:rPr>
      </w:pPr>
      <w:r>
        <w:rPr>
          <w:rFonts w:ascii="Times New Roman" w:hAnsi="Times New Roman"/>
        </w:rPr>
        <w:tab/>
      </w:r>
    </w:p>
    <w:p w:rsidR="00A45D82" w:rsidRPr="00BC7F42" w:rsidRDefault="002239DE" w:rsidP="00602578">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rPr>
      </w:pPr>
      <w:r w:rsidRPr="00E110DA">
        <w:rPr>
          <w:rFonts w:ascii="Times New Roman" w:hAnsi="Times New Roman"/>
          <w:b w:val="0"/>
          <w:i w:val="0"/>
        </w:rPr>
        <w:t xml:space="preserve">SSA does not use statistical methods for this information collection. </w:t>
      </w:r>
    </w:p>
    <w:sectPr w:rsidR="00A45D82" w:rsidRPr="00BC7F42" w:rsidSect="004238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DE2" w:rsidRDefault="001D5DE2">
      <w:r>
        <w:separator/>
      </w:r>
    </w:p>
  </w:endnote>
  <w:endnote w:type="continuationSeparator" w:id="0">
    <w:p w:rsidR="001D5DE2" w:rsidRDefault="001D5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DE2" w:rsidRDefault="001D5DE2">
      <w:r>
        <w:separator/>
      </w:r>
    </w:p>
  </w:footnote>
  <w:footnote w:type="continuationSeparator" w:id="0">
    <w:p w:rsidR="001D5DE2" w:rsidRDefault="001D5D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1">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nsid w:val="616F329C"/>
    <w:multiLevelType w:val="hybridMultilevel"/>
    <w:tmpl w:val="64822F50"/>
    <w:lvl w:ilvl="0" w:tplc="77C08374">
      <w:start w:val="1"/>
      <w:numFmt w:val="decimal"/>
      <w:lvlText w:val="%1."/>
      <w:lvlJc w:val="left"/>
      <w:pPr>
        <w:tabs>
          <w:tab w:val="num" w:pos="720"/>
        </w:tabs>
        <w:ind w:left="720" w:hanging="720"/>
      </w:pPr>
      <w:rPr>
        <w:rFonts w:hint="default"/>
        <w:b/>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5">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4CC03B5"/>
    <w:multiLevelType w:val="singleLevel"/>
    <w:tmpl w:val="DB1A1010"/>
    <w:lvl w:ilvl="0">
      <w:start w:val="14"/>
      <w:numFmt w:val="decimal"/>
      <w:lvlText w:val="%1."/>
      <w:lvlJc w:val="left"/>
      <w:pPr>
        <w:tabs>
          <w:tab w:val="num" w:pos="360"/>
        </w:tabs>
        <w:ind w:left="360" w:hanging="360"/>
      </w:pPr>
      <w:rPr>
        <w:rFonts w:hint="default"/>
        <w:b/>
        <w:bCs/>
        <w:i w:val="0"/>
      </w:rPr>
    </w:lvl>
  </w:abstractNum>
  <w:abstractNum w:abstractNumId="42">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866410B"/>
    <w:multiLevelType w:val="singleLevel"/>
    <w:tmpl w:val="CBB680B0"/>
    <w:lvl w:ilvl="0">
      <w:start w:val="2"/>
      <w:numFmt w:val="decimal"/>
      <w:lvlText w:val="%1."/>
      <w:lvlJc w:val="left"/>
      <w:pPr>
        <w:tabs>
          <w:tab w:val="num" w:pos="720"/>
        </w:tabs>
        <w:ind w:left="720" w:hanging="720"/>
      </w:pPr>
      <w:rPr>
        <w:rFonts w:hint="default"/>
        <w:b/>
        <w:i w:val="0"/>
      </w:rPr>
    </w:lvl>
  </w:abstractNum>
  <w:abstractNum w:abstractNumId="46">
    <w:nsid w:val="7A9B5E7D"/>
    <w:multiLevelType w:val="singleLevel"/>
    <w:tmpl w:val="158290E8"/>
    <w:lvl w:ilvl="0">
      <w:start w:val="8"/>
      <w:numFmt w:val="decimal"/>
      <w:lvlText w:val="%1."/>
      <w:lvlJc w:val="left"/>
      <w:pPr>
        <w:tabs>
          <w:tab w:val="num" w:pos="720"/>
        </w:tabs>
        <w:ind w:left="720" w:hanging="720"/>
      </w:pPr>
      <w:rPr>
        <w:rFonts w:hint="default"/>
        <w:b/>
        <w:i w:val="0"/>
      </w:rPr>
    </w:lvl>
  </w:abstractNum>
  <w:abstractNum w:abstractNumId="47">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6"/>
  </w:num>
  <w:num w:numId="3">
    <w:abstractNumId w:val="3"/>
  </w:num>
  <w:num w:numId="4">
    <w:abstractNumId w:val="19"/>
  </w:num>
  <w:num w:numId="5">
    <w:abstractNumId w:val="42"/>
  </w:num>
  <w:num w:numId="6">
    <w:abstractNumId w:val="7"/>
  </w:num>
  <w:num w:numId="7">
    <w:abstractNumId w:val="28"/>
  </w:num>
  <w:num w:numId="8">
    <w:abstractNumId w:val="34"/>
  </w:num>
  <w:num w:numId="9">
    <w:abstractNumId w:val="40"/>
  </w:num>
  <w:num w:numId="10">
    <w:abstractNumId w:val="4"/>
  </w:num>
  <w:num w:numId="11">
    <w:abstractNumId w:val="2"/>
  </w:num>
  <w:num w:numId="12">
    <w:abstractNumId w:val="15"/>
  </w:num>
  <w:num w:numId="13">
    <w:abstractNumId w:val="20"/>
  </w:num>
  <w:num w:numId="14">
    <w:abstractNumId w:val="46"/>
  </w:num>
  <w:num w:numId="15">
    <w:abstractNumId w:val="10"/>
  </w:num>
  <w:num w:numId="16">
    <w:abstractNumId w:val="13"/>
  </w:num>
  <w:num w:numId="17">
    <w:abstractNumId w:val="32"/>
  </w:num>
  <w:num w:numId="18">
    <w:abstractNumId w:val="6"/>
  </w:num>
  <w:num w:numId="19">
    <w:abstractNumId w:val="5"/>
  </w:num>
  <w:num w:numId="20">
    <w:abstractNumId w:val="45"/>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39"/>
  </w:num>
  <w:num w:numId="24">
    <w:abstractNumId w:val="37"/>
  </w:num>
  <w:num w:numId="25">
    <w:abstractNumId w:val="23"/>
  </w:num>
  <w:num w:numId="26">
    <w:abstractNumId w:val="21"/>
  </w:num>
  <w:num w:numId="27">
    <w:abstractNumId w:val="41"/>
  </w:num>
  <w:num w:numId="28">
    <w:abstractNumId w:val="30"/>
  </w:num>
  <w:num w:numId="29">
    <w:abstractNumId w:val="27"/>
  </w:num>
  <w:num w:numId="30">
    <w:abstractNumId w:val="38"/>
  </w:num>
  <w:num w:numId="31">
    <w:abstractNumId w:val="36"/>
  </w:num>
  <w:num w:numId="32">
    <w:abstractNumId w:val="12"/>
  </w:num>
  <w:num w:numId="33">
    <w:abstractNumId w:val="25"/>
  </w:num>
  <w:num w:numId="34">
    <w:abstractNumId w:val="33"/>
  </w:num>
  <w:num w:numId="35">
    <w:abstractNumId w:val="47"/>
  </w:num>
  <w:num w:numId="36">
    <w:abstractNumId w:val="43"/>
  </w:num>
  <w:num w:numId="37">
    <w:abstractNumId w:val="18"/>
  </w:num>
  <w:num w:numId="38">
    <w:abstractNumId w:val="35"/>
  </w:num>
  <w:num w:numId="39">
    <w:abstractNumId w:val="9"/>
  </w:num>
  <w:num w:numId="40">
    <w:abstractNumId w:val="29"/>
  </w:num>
  <w:num w:numId="41">
    <w:abstractNumId w:val="22"/>
  </w:num>
  <w:num w:numId="42">
    <w:abstractNumId w:val="8"/>
  </w:num>
  <w:num w:numId="43">
    <w:abstractNumId w:val="1"/>
  </w:num>
  <w:num w:numId="44">
    <w:abstractNumId w:val="11"/>
  </w:num>
  <w:num w:numId="45">
    <w:abstractNumId w:val="44"/>
  </w:num>
  <w:num w:numId="46">
    <w:abstractNumId w:val="24"/>
  </w:num>
  <w:num w:numId="47">
    <w:abstractNumId w:val="3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12B52"/>
    <w:rsid w:val="000222A7"/>
    <w:rsid w:val="00025216"/>
    <w:rsid w:val="00025D75"/>
    <w:rsid w:val="0002677F"/>
    <w:rsid w:val="000539AF"/>
    <w:rsid w:val="0006195B"/>
    <w:rsid w:val="00063A05"/>
    <w:rsid w:val="000651E5"/>
    <w:rsid w:val="0006715D"/>
    <w:rsid w:val="0007189E"/>
    <w:rsid w:val="00077720"/>
    <w:rsid w:val="00077E0E"/>
    <w:rsid w:val="00080148"/>
    <w:rsid w:val="00086E84"/>
    <w:rsid w:val="000958AA"/>
    <w:rsid w:val="000A6AE3"/>
    <w:rsid w:val="000B2B68"/>
    <w:rsid w:val="000B3B12"/>
    <w:rsid w:val="000C151C"/>
    <w:rsid w:val="000C1D18"/>
    <w:rsid w:val="000D5F5C"/>
    <w:rsid w:val="000F79CB"/>
    <w:rsid w:val="00121032"/>
    <w:rsid w:val="00122EE2"/>
    <w:rsid w:val="00127980"/>
    <w:rsid w:val="00146275"/>
    <w:rsid w:val="001525C0"/>
    <w:rsid w:val="0015576E"/>
    <w:rsid w:val="001728AF"/>
    <w:rsid w:val="00192897"/>
    <w:rsid w:val="001A3317"/>
    <w:rsid w:val="001A65F9"/>
    <w:rsid w:val="001B0A3D"/>
    <w:rsid w:val="001B7CF4"/>
    <w:rsid w:val="001C6D3A"/>
    <w:rsid w:val="001D0B21"/>
    <w:rsid w:val="001D5DE2"/>
    <w:rsid w:val="001E1076"/>
    <w:rsid w:val="002021AC"/>
    <w:rsid w:val="00202C06"/>
    <w:rsid w:val="002239DE"/>
    <w:rsid w:val="002321B0"/>
    <w:rsid w:val="00241A97"/>
    <w:rsid w:val="00246836"/>
    <w:rsid w:val="0026052B"/>
    <w:rsid w:val="00274C04"/>
    <w:rsid w:val="00276AAF"/>
    <w:rsid w:val="002801F8"/>
    <w:rsid w:val="002A4C30"/>
    <w:rsid w:val="002B0820"/>
    <w:rsid w:val="002B5578"/>
    <w:rsid w:val="002B7BBF"/>
    <w:rsid w:val="002E18CF"/>
    <w:rsid w:val="002E335E"/>
    <w:rsid w:val="002E64D9"/>
    <w:rsid w:val="002F1C11"/>
    <w:rsid w:val="00300489"/>
    <w:rsid w:val="00302545"/>
    <w:rsid w:val="003176E1"/>
    <w:rsid w:val="00331821"/>
    <w:rsid w:val="00333D3D"/>
    <w:rsid w:val="003465DC"/>
    <w:rsid w:val="003469CA"/>
    <w:rsid w:val="0035107E"/>
    <w:rsid w:val="0036696D"/>
    <w:rsid w:val="00373A60"/>
    <w:rsid w:val="0038050B"/>
    <w:rsid w:val="003B15EC"/>
    <w:rsid w:val="003B30B4"/>
    <w:rsid w:val="003C0CBB"/>
    <w:rsid w:val="003C10BD"/>
    <w:rsid w:val="003E145C"/>
    <w:rsid w:val="003E3A03"/>
    <w:rsid w:val="00405548"/>
    <w:rsid w:val="0041131C"/>
    <w:rsid w:val="004238DA"/>
    <w:rsid w:val="004317CB"/>
    <w:rsid w:val="00447EE9"/>
    <w:rsid w:val="0045065A"/>
    <w:rsid w:val="004509AD"/>
    <w:rsid w:val="00452C6C"/>
    <w:rsid w:val="00462B30"/>
    <w:rsid w:val="00475350"/>
    <w:rsid w:val="00481B44"/>
    <w:rsid w:val="00484662"/>
    <w:rsid w:val="004915B5"/>
    <w:rsid w:val="004B36BF"/>
    <w:rsid w:val="004E146D"/>
    <w:rsid w:val="0050197F"/>
    <w:rsid w:val="005040EC"/>
    <w:rsid w:val="00506486"/>
    <w:rsid w:val="00513DED"/>
    <w:rsid w:val="00534D9E"/>
    <w:rsid w:val="0056163C"/>
    <w:rsid w:val="005721D4"/>
    <w:rsid w:val="00593A36"/>
    <w:rsid w:val="00594CB3"/>
    <w:rsid w:val="005A1198"/>
    <w:rsid w:val="005B15E5"/>
    <w:rsid w:val="005C2C39"/>
    <w:rsid w:val="005D4107"/>
    <w:rsid w:val="005E0E01"/>
    <w:rsid w:val="005E4CBA"/>
    <w:rsid w:val="005F208A"/>
    <w:rsid w:val="006002DD"/>
    <w:rsid w:val="006013A3"/>
    <w:rsid w:val="00602578"/>
    <w:rsid w:val="00612D83"/>
    <w:rsid w:val="00613118"/>
    <w:rsid w:val="006160ED"/>
    <w:rsid w:val="00626C22"/>
    <w:rsid w:val="00631F1B"/>
    <w:rsid w:val="0063304D"/>
    <w:rsid w:val="00637AF5"/>
    <w:rsid w:val="00640A26"/>
    <w:rsid w:val="00652E25"/>
    <w:rsid w:val="00663881"/>
    <w:rsid w:val="00664553"/>
    <w:rsid w:val="006806E1"/>
    <w:rsid w:val="00685619"/>
    <w:rsid w:val="0069667B"/>
    <w:rsid w:val="006B173F"/>
    <w:rsid w:val="006B17EF"/>
    <w:rsid w:val="006B297F"/>
    <w:rsid w:val="006B2EBA"/>
    <w:rsid w:val="006B6EFF"/>
    <w:rsid w:val="006F2B8B"/>
    <w:rsid w:val="006F4D0F"/>
    <w:rsid w:val="0070479A"/>
    <w:rsid w:val="00704C24"/>
    <w:rsid w:val="00712F1B"/>
    <w:rsid w:val="0071437B"/>
    <w:rsid w:val="007245C9"/>
    <w:rsid w:val="007256B3"/>
    <w:rsid w:val="007277B4"/>
    <w:rsid w:val="00742B56"/>
    <w:rsid w:val="00745462"/>
    <w:rsid w:val="00757F82"/>
    <w:rsid w:val="00795BAB"/>
    <w:rsid w:val="007A08D1"/>
    <w:rsid w:val="007A15AE"/>
    <w:rsid w:val="007A2DEE"/>
    <w:rsid w:val="007B007C"/>
    <w:rsid w:val="007D061D"/>
    <w:rsid w:val="007D22EB"/>
    <w:rsid w:val="007E17BD"/>
    <w:rsid w:val="008015FE"/>
    <w:rsid w:val="00806984"/>
    <w:rsid w:val="00810485"/>
    <w:rsid w:val="00814772"/>
    <w:rsid w:val="00814CDF"/>
    <w:rsid w:val="00824D72"/>
    <w:rsid w:val="00825B97"/>
    <w:rsid w:val="0084775D"/>
    <w:rsid w:val="008622F9"/>
    <w:rsid w:val="0086463A"/>
    <w:rsid w:val="008754ED"/>
    <w:rsid w:val="00891CA8"/>
    <w:rsid w:val="00892E12"/>
    <w:rsid w:val="008B6774"/>
    <w:rsid w:val="008D158E"/>
    <w:rsid w:val="008D7099"/>
    <w:rsid w:val="008E3A3A"/>
    <w:rsid w:val="008F0B36"/>
    <w:rsid w:val="00906892"/>
    <w:rsid w:val="009140FC"/>
    <w:rsid w:val="00920759"/>
    <w:rsid w:val="009252AB"/>
    <w:rsid w:val="00951258"/>
    <w:rsid w:val="00952C5B"/>
    <w:rsid w:val="00953F45"/>
    <w:rsid w:val="00955EC4"/>
    <w:rsid w:val="009748B6"/>
    <w:rsid w:val="00975DD8"/>
    <w:rsid w:val="009A0B16"/>
    <w:rsid w:val="009C7F8E"/>
    <w:rsid w:val="009E3C50"/>
    <w:rsid w:val="009F23D6"/>
    <w:rsid w:val="009F7BB3"/>
    <w:rsid w:val="00A337E4"/>
    <w:rsid w:val="00A33C65"/>
    <w:rsid w:val="00A34222"/>
    <w:rsid w:val="00A352FC"/>
    <w:rsid w:val="00A45D82"/>
    <w:rsid w:val="00A651A7"/>
    <w:rsid w:val="00A67D76"/>
    <w:rsid w:val="00A706B8"/>
    <w:rsid w:val="00AA06A4"/>
    <w:rsid w:val="00AA0858"/>
    <w:rsid w:val="00AA0C27"/>
    <w:rsid w:val="00AB0CA7"/>
    <w:rsid w:val="00AC39FD"/>
    <w:rsid w:val="00AD0977"/>
    <w:rsid w:val="00AE0527"/>
    <w:rsid w:val="00AF3BEA"/>
    <w:rsid w:val="00B007C5"/>
    <w:rsid w:val="00B01D57"/>
    <w:rsid w:val="00B741F6"/>
    <w:rsid w:val="00B92550"/>
    <w:rsid w:val="00BA1653"/>
    <w:rsid w:val="00BA401A"/>
    <w:rsid w:val="00BC5531"/>
    <w:rsid w:val="00BC7F42"/>
    <w:rsid w:val="00BF026F"/>
    <w:rsid w:val="00C0290B"/>
    <w:rsid w:val="00C22097"/>
    <w:rsid w:val="00C25FDC"/>
    <w:rsid w:val="00C34A91"/>
    <w:rsid w:val="00C377BC"/>
    <w:rsid w:val="00C500D5"/>
    <w:rsid w:val="00C5104E"/>
    <w:rsid w:val="00C60E61"/>
    <w:rsid w:val="00C67C8A"/>
    <w:rsid w:val="00C67F83"/>
    <w:rsid w:val="00C941E2"/>
    <w:rsid w:val="00CA0B15"/>
    <w:rsid w:val="00CA4738"/>
    <w:rsid w:val="00CA5F75"/>
    <w:rsid w:val="00CA6CAE"/>
    <w:rsid w:val="00CB7253"/>
    <w:rsid w:val="00CB7557"/>
    <w:rsid w:val="00CD07B4"/>
    <w:rsid w:val="00CD3363"/>
    <w:rsid w:val="00CD667A"/>
    <w:rsid w:val="00CE23C1"/>
    <w:rsid w:val="00D0011E"/>
    <w:rsid w:val="00D03E8A"/>
    <w:rsid w:val="00D320E6"/>
    <w:rsid w:val="00D37A95"/>
    <w:rsid w:val="00D42EFE"/>
    <w:rsid w:val="00D44900"/>
    <w:rsid w:val="00D5531A"/>
    <w:rsid w:val="00D678F8"/>
    <w:rsid w:val="00DB1DB4"/>
    <w:rsid w:val="00DD494D"/>
    <w:rsid w:val="00DE6186"/>
    <w:rsid w:val="00E0137B"/>
    <w:rsid w:val="00E065DA"/>
    <w:rsid w:val="00E10973"/>
    <w:rsid w:val="00E3164F"/>
    <w:rsid w:val="00E437C5"/>
    <w:rsid w:val="00E75DB0"/>
    <w:rsid w:val="00E80456"/>
    <w:rsid w:val="00E8143F"/>
    <w:rsid w:val="00E956F3"/>
    <w:rsid w:val="00EC7EFD"/>
    <w:rsid w:val="00ED36D8"/>
    <w:rsid w:val="00EE6086"/>
    <w:rsid w:val="00EF4071"/>
    <w:rsid w:val="00EF765F"/>
    <w:rsid w:val="00F028DE"/>
    <w:rsid w:val="00F0585C"/>
    <w:rsid w:val="00F107B7"/>
    <w:rsid w:val="00F11F57"/>
    <w:rsid w:val="00F14BA8"/>
    <w:rsid w:val="00F15EF8"/>
    <w:rsid w:val="00F36E53"/>
    <w:rsid w:val="00F4316C"/>
    <w:rsid w:val="00F46176"/>
    <w:rsid w:val="00F5149E"/>
    <w:rsid w:val="00F56A74"/>
    <w:rsid w:val="00F57AD9"/>
    <w:rsid w:val="00F737F1"/>
    <w:rsid w:val="00F82AC0"/>
    <w:rsid w:val="00F832E5"/>
    <w:rsid w:val="00F870A3"/>
    <w:rsid w:val="00F91762"/>
    <w:rsid w:val="00F9405B"/>
    <w:rsid w:val="00FA0FE2"/>
    <w:rsid w:val="00FA34E8"/>
    <w:rsid w:val="00FA7D4E"/>
    <w:rsid w:val="00FC76D5"/>
    <w:rsid w:val="00FD0FFB"/>
    <w:rsid w:val="00FD549D"/>
    <w:rsid w:val="00FD6374"/>
    <w:rsid w:val="00FF6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link w:val="Heading1Char"/>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Heading1Char">
    <w:name w:val="Heading 1 Char"/>
    <w:link w:val="Heading1"/>
    <w:rsid w:val="002B7BBF"/>
    <w:rPr>
      <w:rFonts w:ascii="Courier New" w:eastAsia="Times New Roman" w:hAnsi="Courier New" w:cs="Courier New"/>
      <w:b/>
      <w:bCs/>
      <w:snapToGrid w:val="0"/>
      <w:sz w:val="24"/>
      <w:szCs w:val="24"/>
    </w:rPr>
  </w:style>
  <w:style w:type="paragraph" w:styleId="EndnoteText">
    <w:name w:val="endnote text"/>
    <w:basedOn w:val="Normal"/>
    <w:link w:val="EndnoteTextChar"/>
    <w:rsid w:val="00CD3363"/>
    <w:pPr>
      <w:suppressAutoHyphens/>
    </w:pPr>
    <w:rPr>
      <w:rFonts w:ascii="Courier New" w:hAnsi="Courier New" w:cs="Courier New"/>
      <w:snapToGrid/>
      <w:lang w:eastAsia="ar-SA"/>
    </w:rPr>
  </w:style>
  <w:style w:type="character" w:customStyle="1" w:styleId="EndnoteTextChar">
    <w:name w:val="Endnote Text Char"/>
    <w:link w:val="EndnoteText"/>
    <w:rsid w:val="00CD3363"/>
    <w:rPr>
      <w:rFonts w:ascii="Courier New" w:eastAsia="Times New Roman" w:hAnsi="Courier New" w:cs="Courier New"/>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link w:val="Heading1Char"/>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Heading1Char">
    <w:name w:val="Heading 1 Char"/>
    <w:link w:val="Heading1"/>
    <w:rsid w:val="002B7BBF"/>
    <w:rPr>
      <w:rFonts w:ascii="Courier New" w:eastAsia="Times New Roman" w:hAnsi="Courier New" w:cs="Courier New"/>
      <w:b/>
      <w:bCs/>
      <w:snapToGrid w:val="0"/>
      <w:sz w:val="24"/>
      <w:szCs w:val="24"/>
    </w:rPr>
  </w:style>
  <w:style w:type="paragraph" w:styleId="EndnoteText">
    <w:name w:val="endnote text"/>
    <w:basedOn w:val="Normal"/>
    <w:link w:val="EndnoteTextChar"/>
    <w:rsid w:val="00CD3363"/>
    <w:pPr>
      <w:suppressAutoHyphens/>
    </w:pPr>
    <w:rPr>
      <w:rFonts w:ascii="Courier New" w:hAnsi="Courier New" w:cs="Courier New"/>
      <w:snapToGrid/>
      <w:lang w:eastAsia="ar-SA"/>
    </w:rPr>
  </w:style>
  <w:style w:type="character" w:customStyle="1" w:styleId="EndnoteTextChar">
    <w:name w:val="Endnote Text Char"/>
    <w:link w:val="EndnoteText"/>
    <w:rsid w:val="00CD3363"/>
    <w:rPr>
      <w:rFonts w:ascii="Courier New" w:eastAsia="Times New Roman" w:hAnsi="Courier New" w:cs="Courier New"/>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D2F0F-0C2E-4E7B-9BF0-42CC6924C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7306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889123</cp:lastModifiedBy>
  <cp:revision>2</cp:revision>
  <dcterms:created xsi:type="dcterms:W3CDTF">2016-07-04T11:18:00Z</dcterms:created>
  <dcterms:modified xsi:type="dcterms:W3CDTF">2016-07-04T11:18:00Z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-1998124945</vt:i4>
  </property>
  <property fmtid="{D5CDD505-2E9C-101B-9397-08002B2CF9AE}" pid="4" name="_EmailSubject">
    <vt:lpwstr>Expiration Notice:  OMB:  0960-0069	SSA-624 </vt:lpwstr>
  </property>
  <property fmtid="{D5CDD505-2E9C-101B-9397-08002B2CF9AE}" pid="5" name="_AuthorEmail">
    <vt:lpwstr/>
  </property>
  <property fmtid="{D5CDD505-2E9C-101B-9397-08002B2CF9AE}" pid="6" name="_AuthorEmailDisplayName">
    <vt:lpwstr>Hood, Angela</vt:lpwstr>
  </property>
  <property fmtid="{D5CDD505-2E9C-101B-9397-08002B2CF9AE}" pid="7" name="_ReviewingToolsShownOnce">
    <vt:lpwstr/>
  </property>
</Properties>
</file>