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181" w:rsidRDefault="00B32181" w:rsidP="00364CDC">
      <w:pPr>
        <w:jc w:val="center"/>
      </w:pPr>
      <w:bookmarkStart w:id="0" w:name="OLE_LINK3"/>
      <w:bookmarkStart w:id="1" w:name="OLE_LINK4"/>
      <w:r>
        <w:t>Supporting Statement for Paperwork Reduction Act Submissions</w:t>
      </w:r>
    </w:p>
    <w:p w:rsidR="00B32181" w:rsidRDefault="00B32181" w:rsidP="00364CDC">
      <w:pPr>
        <w:jc w:val="center"/>
      </w:pPr>
    </w:p>
    <w:bookmarkEnd w:id="0"/>
    <w:bookmarkEnd w:id="1"/>
    <w:p w:rsidR="003D51D9" w:rsidRDefault="003D51D9" w:rsidP="003D51D9">
      <w:pPr>
        <w:jc w:val="center"/>
        <w:rPr>
          <w:rFonts w:cs="Shruti"/>
        </w:rPr>
      </w:pPr>
      <w:r w:rsidRPr="00BF67DF">
        <w:rPr>
          <w:rFonts w:cs="Shruti"/>
        </w:rPr>
        <w:t xml:space="preserve">Application for </w:t>
      </w:r>
      <w:r>
        <w:rPr>
          <w:rFonts w:cs="Shruti"/>
        </w:rPr>
        <w:t>Revision of a Currently Approved Collection</w:t>
      </w:r>
    </w:p>
    <w:p w:rsidR="003D51D9" w:rsidRDefault="003D51D9" w:rsidP="003D51D9">
      <w:pPr>
        <w:jc w:val="center"/>
        <w:rPr>
          <w:rFonts w:cs="Shruti"/>
        </w:rPr>
      </w:pPr>
    </w:p>
    <w:p w:rsidR="003D51D9" w:rsidRPr="00BF67DF" w:rsidRDefault="003D51D9" w:rsidP="003D51D9">
      <w:pPr>
        <w:jc w:val="center"/>
      </w:pPr>
      <w:r>
        <w:t>OMB number 1121-0321</w:t>
      </w:r>
    </w:p>
    <w:p w:rsidR="00B32181" w:rsidRPr="00BF67DF" w:rsidRDefault="00B32181" w:rsidP="00BF67DF">
      <w:pPr>
        <w:jc w:val="center"/>
        <w:rPr>
          <w:rFonts w:cs="Shruti"/>
        </w:rPr>
      </w:pPr>
    </w:p>
    <w:p w:rsidR="00B32181" w:rsidRDefault="00B32181" w:rsidP="005038D3">
      <w:r>
        <w:t>Part A. Justification</w:t>
      </w:r>
    </w:p>
    <w:p w:rsidR="00B32181" w:rsidRDefault="00B32181" w:rsidP="005038D3"/>
    <w:p w:rsidR="00B32181" w:rsidRDefault="00B32181" w:rsidP="005038D3">
      <w:r>
        <w:t xml:space="preserve">1. Necessity of Information: </w:t>
      </w:r>
    </w:p>
    <w:p w:rsidR="00B32181" w:rsidRDefault="00B32181" w:rsidP="005038D3"/>
    <w:p w:rsidR="00B32181" w:rsidRDefault="00B32181" w:rsidP="00C413E2">
      <w:r w:rsidRPr="006D75ED">
        <w:rPr>
          <w:u w:val="single"/>
        </w:rPr>
        <w:t xml:space="preserve">Purpose of </w:t>
      </w:r>
      <w:r w:rsidR="00A763EC" w:rsidRPr="006D75ED">
        <w:rPr>
          <w:u w:val="single"/>
        </w:rPr>
        <w:t>collection:</w:t>
      </w:r>
      <w:r w:rsidR="00A763EC">
        <w:t xml:space="preserve"> </w:t>
      </w:r>
      <w:r w:rsidR="003D51D9" w:rsidRPr="006231E6">
        <w:t xml:space="preserve">This collection of information will be undertaken as part of the </w:t>
      </w:r>
      <w:r w:rsidR="00C92501">
        <w:t xml:space="preserve">National Institute of Justice (NIJ) </w:t>
      </w:r>
      <w:r w:rsidR="003D51D9" w:rsidRPr="006231E6">
        <w:t>Compliance Testing Program</w:t>
      </w:r>
      <w:r w:rsidR="003D51D9">
        <w:t xml:space="preserve"> (CTP)</w:t>
      </w:r>
      <w:r w:rsidR="003D51D9" w:rsidRPr="006231E6">
        <w:t>, which is authorized</w:t>
      </w:r>
      <w:r w:rsidR="003D51D9">
        <w:t xml:space="preserve"> </w:t>
      </w:r>
      <w:r w:rsidR="003D51D9" w:rsidRPr="006231E6">
        <w:t>pursuant to</w:t>
      </w:r>
      <w:r w:rsidR="003D51D9">
        <w:t xml:space="preserve"> </w:t>
      </w:r>
      <w:r w:rsidR="003D51D9" w:rsidRPr="006231E6">
        <w:t>the Homeland Security Act of 2002, relevant portions as codified at 6 U.S.C. 162(b)</w:t>
      </w:r>
      <w:r w:rsidR="003D51D9">
        <w:t>(4) and 6 U.S.C. 162(b)(6)(B).</w:t>
      </w:r>
      <w:r w:rsidR="003D51D9" w:rsidRPr="006231E6">
        <w:t xml:space="preserve"> This act authorizes NIJ/Office of Science and Technology</w:t>
      </w:r>
      <w:r w:rsidR="003D51D9">
        <w:t xml:space="preserve"> “</w:t>
      </w:r>
      <w:r w:rsidR="003D51D9" w:rsidRPr="006231E6">
        <w:t>to establish and maintain performance standards in accordance with</w:t>
      </w:r>
      <w:r w:rsidR="003D51D9">
        <w:t xml:space="preserve"> the National Technology Transfer and Advancement Act of 1995 for, and test and evaluate law enforcement technologies that may be used by, Federal, State, and local law enforcement agencies.” The collection of this information is necessary for the operation of the </w:t>
      </w:r>
      <w:r w:rsidR="005A7EC6">
        <w:t xml:space="preserve">NIJ </w:t>
      </w:r>
      <w:r w:rsidR="003D51D9">
        <w:t xml:space="preserve">CTP which </w:t>
      </w:r>
      <w:r w:rsidR="00954F34">
        <w:t>administers</w:t>
      </w:r>
      <w:r w:rsidR="003D51D9">
        <w:t xml:space="preserve"> the testing and evaluation of equipment for law enforcement officers.</w:t>
      </w:r>
    </w:p>
    <w:p w:rsidR="0015419C" w:rsidRDefault="0015419C" w:rsidP="00C413E2"/>
    <w:p w:rsidR="00A31337" w:rsidRDefault="0015419C" w:rsidP="00C413E2">
      <w:r w:rsidRPr="0015419C">
        <w:rPr>
          <w:u w:val="single"/>
        </w:rPr>
        <w:t>Revisions:</w:t>
      </w:r>
      <w:r>
        <w:t xml:space="preserve"> This collection is a revision to a previous collection which it is int</w:t>
      </w:r>
      <w:r w:rsidR="00A31337">
        <w:t>ended to replace. The revisions include:</w:t>
      </w:r>
    </w:p>
    <w:p w:rsidR="00954F34" w:rsidRDefault="00A31337" w:rsidP="00A31337">
      <w:pPr>
        <w:numPr>
          <w:ilvl w:val="0"/>
          <w:numId w:val="45"/>
        </w:numPr>
      </w:pPr>
      <w:r>
        <w:t>clarification of roles and responsibilities of participants;</w:t>
      </w:r>
      <w:r w:rsidR="001E479B">
        <w:t xml:space="preserve"> </w:t>
      </w:r>
    </w:p>
    <w:p w:rsidR="00A31337" w:rsidRDefault="00954F34" w:rsidP="00A31337">
      <w:pPr>
        <w:numPr>
          <w:ilvl w:val="0"/>
          <w:numId w:val="45"/>
        </w:numPr>
      </w:pPr>
      <w:r>
        <w:t xml:space="preserve">a new form for implementing electronic signatures; </w:t>
      </w:r>
      <w:r w:rsidR="001E479B">
        <w:t>and</w:t>
      </w:r>
    </w:p>
    <w:p w:rsidR="00954F34" w:rsidRDefault="001E479B" w:rsidP="00954F34">
      <w:pPr>
        <w:numPr>
          <w:ilvl w:val="0"/>
          <w:numId w:val="45"/>
        </w:numPr>
      </w:pPr>
      <w:proofErr w:type="gramStart"/>
      <w:r>
        <w:t>general</w:t>
      </w:r>
      <w:proofErr w:type="gramEnd"/>
      <w:r>
        <w:t xml:space="preserve"> improvement to facilitate completion by applicants</w:t>
      </w:r>
      <w:r w:rsidR="00954F34">
        <w:t>.</w:t>
      </w:r>
    </w:p>
    <w:p w:rsidR="00B32181" w:rsidRDefault="00B32181" w:rsidP="007D165E"/>
    <w:p w:rsidR="00B32181" w:rsidRDefault="00B32181" w:rsidP="00364CDC">
      <w:r>
        <w:t xml:space="preserve">2. Needs and Uses: </w:t>
      </w:r>
    </w:p>
    <w:p w:rsidR="00B32181" w:rsidRDefault="00B32181" w:rsidP="00364CDC"/>
    <w:p w:rsidR="00B32181" w:rsidRPr="003D51D9" w:rsidRDefault="00B32181" w:rsidP="003D51D9">
      <w:r w:rsidRPr="002D7D78">
        <w:rPr>
          <w:u w:val="single"/>
        </w:rPr>
        <w:t xml:space="preserve">Intended </w:t>
      </w:r>
      <w:r w:rsidR="00A763EC" w:rsidRPr="002D7D78">
        <w:rPr>
          <w:u w:val="single"/>
        </w:rPr>
        <w:t>uses:</w:t>
      </w:r>
      <w:r w:rsidR="00A763EC">
        <w:t xml:space="preserve"> </w:t>
      </w:r>
      <w:r w:rsidR="003D51D9">
        <w:t xml:space="preserve">This collection is a revision of a currently approved collection, and </w:t>
      </w:r>
      <w:r w:rsidR="001B11E5">
        <w:t xml:space="preserve">the </w:t>
      </w:r>
      <w:r w:rsidR="003D51D9">
        <w:t xml:space="preserve">NIJ </w:t>
      </w:r>
      <w:r w:rsidR="001B11E5">
        <w:t xml:space="preserve">CTP </w:t>
      </w:r>
      <w:r w:rsidR="003D51D9">
        <w:t>will use this information to determine compliance of equipment with applicable NIJ Standards</w:t>
      </w:r>
      <w:r w:rsidR="003D51D9" w:rsidRPr="000B3E2C">
        <w:rPr>
          <w:i/>
        </w:rPr>
        <w:t>.</w:t>
      </w:r>
    </w:p>
    <w:p w:rsidR="00B32181" w:rsidRDefault="00B32181" w:rsidP="00A92679"/>
    <w:p w:rsidR="00B32181" w:rsidRPr="00044013" w:rsidRDefault="00A763EC" w:rsidP="00364CDC">
      <w:r w:rsidRPr="00044013">
        <w:t>3. Use</w:t>
      </w:r>
      <w:r w:rsidR="00B32181" w:rsidRPr="00044013">
        <w:t xml:space="preserve"> of Technology: </w:t>
      </w:r>
    </w:p>
    <w:p w:rsidR="00B32181" w:rsidRPr="00044013" w:rsidRDefault="00B32181" w:rsidP="00364CDC"/>
    <w:p w:rsidR="00626A43" w:rsidRPr="00044013" w:rsidRDefault="00626A43" w:rsidP="00626A43">
      <w:r w:rsidRPr="00044013">
        <w:t xml:space="preserve">The </w:t>
      </w:r>
      <w:r w:rsidR="00954F34" w:rsidRPr="00044013">
        <w:t xml:space="preserve">existing </w:t>
      </w:r>
      <w:r w:rsidRPr="00044013">
        <w:t xml:space="preserve">forms </w:t>
      </w:r>
      <w:r w:rsidR="00954F34" w:rsidRPr="00044013">
        <w:t xml:space="preserve">have been available </w:t>
      </w:r>
      <w:r w:rsidRPr="00044013">
        <w:t>electronically</w:t>
      </w:r>
      <w:r w:rsidR="00954F34" w:rsidRPr="00044013">
        <w:t xml:space="preserve"> but required a handwritten legally binding signature. With the approval of the new NIJ CTP Electronic Signature Agreement form, applicants will now have the option to use a legally binding electronic signature by 1 Jan 2017.</w:t>
      </w:r>
    </w:p>
    <w:p w:rsidR="00B32181" w:rsidRPr="00044013" w:rsidRDefault="00B32181" w:rsidP="00364CDC">
      <w:pPr>
        <w:rPr>
          <w:color w:val="000000"/>
        </w:rPr>
      </w:pPr>
    </w:p>
    <w:p w:rsidR="00B32181" w:rsidRDefault="00B32181" w:rsidP="00364CDC">
      <w:pPr>
        <w:rPr>
          <w:color w:val="000000"/>
        </w:rPr>
      </w:pPr>
      <w:r w:rsidRPr="00044013">
        <w:rPr>
          <w:color w:val="000000"/>
        </w:rPr>
        <w:t>4. Efforts to Identify Duplication:</w:t>
      </w:r>
      <w:r>
        <w:rPr>
          <w:color w:val="000000"/>
        </w:rPr>
        <w:t xml:space="preserve"> </w:t>
      </w:r>
    </w:p>
    <w:p w:rsidR="00B32181" w:rsidRDefault="00B32181" w:rsidP="00364CDC">
      <w:pPr>
        <w:rPr>
          <w:color w:val="000000"/>
        </w:rPr>
      </w:pPr>
    </w:p>
    <w:p w:rsidR="00B32181" w:rsidRDefault="003D51D9" w:rsidP="00364CDC">
      <w:r>
        <w:t>This information is not already available.</w:t>
      </w:r>
      <w:r w:rsidR="00F36CE5">
        <w:t xml:space="preserve"> There are no other conformity assessment programs for law enforcement equipment. Also, t</w:t>
      </w:r>
      <w:r>
        <w:t>he design of the forms ensures that there is no duplicate information requested.</w:t>
      </w:r>
    </w:p>
    <w:p w:rsidR="00B32181" w:rsidRDefault="00B32181" w:rsidP="00364CDC"/>
    <w:p w:rsidR="00B32181" w:rsidRDefault="00B32181" w:rsidP="00364CDC">
      <w:r>
        <w:lastRenderedPageBreak/>
        <w:t>5. Methods to Minimize Burden on Small Businesses:</w:t>
      </w:r>
    </w:p>
    <w:p w:rsidR="00B32181" w:rsidRDefault="00B32181" w:rsidP="00364CDC"/>
    <w:p w:rsidR="00B32181" w:rsidRDefault="003D51D9" w:rsidP="00364CDC">
      <w:r>
        <w:t>This information collection will not have a significant economic impact on a substantial number of small entities.</w:t>
      </w:r>
    </w:p>
    <w:p w:rsidR="00B32181" w:rsidRDefault="00B32181" w:rsidP="00364CDC"/>
    <w:p w:rsidR="00B32181" w:rsidRDefault="00B32181" w:rsidP="00364CDC">
      <w:r>
        <w:t xml:space="preserve">6. Consequences of Less Frequent Collection: </w:t>
      </w:r>
    </w:p>
    <w:p w:rsidR="00B32181" w:rsidRDefault="00B32181" w:rsidP="00364CDC"/>
    <w:p w:rsidR="00F36CE5" w:rsidRDefault="003D51D9" w:rsidP="00B5274C">
      <w:r>
        <w:t xml:space="preserve">The operation of the </w:t>
      </w:r>
      <w:r w:rsidR="005A7EC6">
        <w:t xml:space="preserve">NIJ </w:t>
      </w:r>
      <w:r>
        <w:t xml:space="preserve">CTP would not be possible without this information collection. </w:t>
      </w:r>
      <w:r w:rsidR="00F36CE5">
        <w:t>Once submitted, the documents only need to be resubmitted in the event of a change or to submit new information not covered by previous submissions.</w:t>
      </w:r>
    </w:p>
    <w:p w:rsidR="00B32181" w:rsidRDefault="00B32181" w:rsidP="00364CDC"/>
    <w:p w:rsidR="00B32181" w:rsidRDefault="00B32181" w:rsidP="00364CDC">
      <w:r>
        <w:t xml:space="preserve">7. Special Circumstances Influencing Collection: </w:t>
      </w:r>
    </w:p>
    <w:p w:rsidR="00B32181" w:rsidRDefault="00B32181" w:rsidP="00364CDC"/>
    <w:p w:rsidR="003D51D9" w:rsidRDefault="003D51D9" w:rsidP="00A31337">
      <w:pPr>
        <w:numPr>
          <w:ilvl w:val="2"/>
          <w:numId w:val="35"/>
        </w:numPr>
        <w:spacing w:after="240"/>
      </w:pPr>
      <w:r>
        <w:t xml:space="preserve">New </w:t>
      </w:r>
      <w:r w:rsidR="005A7EC6">
        <w:t xml:space="preserve">NIJ </w:t>
      </w:r>
      <w:r>
        <w:t>CTP Applicants (manufacturers) are required to submit six forms (NIJ CTP</w:t>
      </w:r>
      <w:r w:rsidRPr="0018401A">
        <w:t xml:space="preserve"> Applicant Agreement; </w:t>
      </w:r>
      <w:r>
        <w:t>NIJ CTP Authorized Representatives Notification</w:t>
      </w:r>
      <w:r w:rsidRPr="0018401A">
        <w:t>;</w:t>
      </w:r>
      <w:r>
        <w:t xml:space="preserve"> NIJ CTP Body Armor Build Sheet</w:t>
      </w:r>
      <w:r w:rsidRPr="0018401A">
        <w:t xml:space="preserve">; </w:t>
      </w:r>
      <w:r>
        <w:t>NIJ CTP Body Armor Agreement</w:t>
      </w:r>
      <w:r w:rsidRPr="0018401A">
        <w:t xml:space="preserve">; </w:t>
      </w:r>
      <w:r>
        <w:t xml:space="preserve">NIJ CTP Manufacturing Location Notification; NIJ CTP Multiple </w:t>
      </w:r>
      <w:proofErr w:type="spellStart"/>
      <w:r>
        <w:t>Listee</w:t>
      </w:r>
      <w:proofErr w:type="spellEnd"/>
      <w:r>
        <w:t xml:space="preserve"> Notification) in order to participate in the voluntary NIJ CTP. </w:t>
      </w:r>
      <w:r w:rsidR="005A7EC6">
        <w:t xml:space="preserve">None of these documents are submitted at regular intervals. </w:t>
      </w:r>
      <w:r>
        <w:t xml:space="preserve">Four of these documents are product model specific and must be submitted again for each new model the applicant </w:t>
      </w:r>
      <w:r w:rsidR="00841C37">
        <w:t>elects to have</w:t>
      </w:r>
      <w:r>
        <w:t xml:space="preserve"> evaluated through the NIJ CTP. The other documents need only be resubmitted in the event of changes to the </w:t>
      </w:r>
      <w:r w:rsidR="00645D7E">
        <w:t>information previously provided</w:t>
      </w:r>
      <w:r>
        <w:t>.</w:t>
      </w:r>
    </w:p>
    <w:p w:rsidR="00B32181" w:rsidRDefault="003D51D9" w:rsidP="00A31337">
      <w:pPr>
        <w:numPr>
          <w:ilvl w:val="2"/>
          <w:numId w:val="35"/>
        </w:numPr>
      </w:pPr>
      <w:bookmarkStart w:id="2" w:name="_GoBack"/>
      <w:bookmarkEnd w:id="2"/>
      <w:r>
        <w:t>Respondents agree to share armor model build sheets and testing results with the NIJ CTP, and the NIJ CTP has procedures for maintaining confidentiality of that information.</w:t>
      </w:r>
    </w:p>
    <w:p w:rsidR="00B32181" w:rsidRDefault="00B32181" w:rsidP="00364CDC"/>
    <w:p w:rsidR="00B32181" w:rsidRDefault="00B32181" w:rsidP="00364CDC">
      <w:r>
        <w:t xml:space="preserve">8. Reasons for Inconsistencies with 5 CFR 1320.6: </w:t>
      </w:r>
    </w:p>
    <w:p w:rsidR="00B32181" w:rsidRDefault="00B32181" w:rsidP="00364CDC"/>
    <w:p w:rsidR="00645D7E" w:rsidRDefault="00B32181" w:rsidP="00664C35">
      <w:pPr>
        <w:autoSpaceDE w:val="0"/>
        <w:autoSpaceDN w:val="0"/>
        <w:adjustRightInd w:val="0"/>
      </w:pPr>
      <w:r w:rsidRPr="00645D7E">
        <w:t>There are no circumstances that require the collection of data that would be inconsistent with the guide</w:t>
      </w:r>
      <w:r w:rsidR="00664C35">
        <w:t xml:space="preserve">lines set forth in 5CFR 1320.6. </w:t>
      </w:r>
      <w:r w:rsidR="00645D7E">
        <w:t>All forms will display a currently valid OMB c</w:t>
      </w:r>
      <w:r w:rsidR="00664C35">
        <w:t>ontrol number and inform the potential person responding that such person is not required to respond to the collection of information unless it displays a currently valid OMB control number.</w:t>
      </w:r>
    </w:p>
    <w:p w:rsidR="00841C37" w:rsidRDefault="00841C37" w:rsidP="00664C35">
      <w:pPr>
        <w:autoSpaceDE w:val="0"/>
        <w:autoSpaceDN w:val="0"/>
        <w:adjustRightInd w:val="0"/>
      </w:pPr>
    </w:p>
    <w:p w:rsidR="003F33C2" w:rsidRDefault="003F33C2" w:rsidP="00156A7C">
      <w:pPr>
        <w:autoSpaceDE w:val="0"/>
        <w:autoSpaceDN w:val="0"/>
        <w:adjustRightInd w:val="0"/>
      </w:pPr>
      <w:r>
        <w:t>The NIJ CTP maintains regular communications with stakeholders in order to answer questions and address concerns. Stakeholders are also provided opportunities to communicate complaints or concerns for NIJ Staff members to address directly.</w:t>
      </w:r>
    </w:p>
    <w:p w:rsidR="003F33C2" w:rsidRDefault="003F33C2" w:rsidP="00156A7C">
      <w:pPr>
        <w:autoSpaceDE w:val="0"/>
        <w:autoSpaceDN w:val="0"/>
        <w:adjustRightInd w:val="0"/>
      </w:pPr>
    </w:p>
    <w:p w:rsidR="00B32181" w:rsidRDefault="00664C35" w:rsidP="00156A7C">
      <w:pPr>
        <w:autoSpaceDE w:val="0"/>
        <w:autoSpaceDN w:val="0"/>
        <w:adjustRightInd w:val="0"/>
        <w:rPr>
          <w:color w:val="000000"/>
        </w:rPr>
      </w:pPr>
      <w:r>
        <w:t>NIJ has</w:t>
      </w:r>
      <w:r w:rsidR="00B32181" w:rsidRPr="00645D7E">
        <w:t xml:space="preserve"> not receive</w:t>
      </w:r>
      <w:r>
        <w:t>d</w:t>
      </w:r>
      <w:r w:rsidR="00B32181" w:rsidRPr="00645D7E">
        <w:t xml:space="preserve"> any comments </w:t>
      </w:r>
      <w:r>
        <w:t xml:space="preserve">concerning past similar </w:t>
      </w:r>
      <w:r w:rsidR="00B32181" w:rsidRPr="00645D7E">
        <w:t>collection</w:t>
      </w:r>
      <w:r>
        <w:t>s</w:t>
      </w:r>
      <w:r w:rsidR="00B32181" w:rsidRPr="00645D7E">
        <w:t>.</w:t>
      </w:r>
    </w:p>
    <w:p w:rsidR="00B32181" w:rsidRDefault="00B32181" w:rsidP="00455755"/>
    <w:p w:rsidR="00B32181" w:rsidRDefault="00B32181" w:rsidP="00364CDC">
      <w:r>
        <w:t xml:space="preserve">9. Payment or Gift to Claimants: </w:t>
      </w:r>
    </w:p>
    <w:p w:rsidR="00B32181" w:rsidRDefault="00B32181" w:rsidP="00364CDC"/>
    <w:p w:rsidR="00B32181" w:rsidRDefault="00B32181" w:rsidP="00364CDC">
      <w:r>
        <w:t>There are no payments or gifts to respondents.</w:t>
      </w:r>
    </w:p>
    <w:p w:rsidR="00B32181" w:rsidRDefault="00B32181" w:rsidP="00364CDC"/>
    <w:p w:rsidR="00B32181" w:rsidRDefault="00B32181" w:rsidP="00364CDC">
      <w:r>
        <w:t xml:space="preserve">10. Assurance of Confidentiality: </w:t>
      </w:r>
    </w:p>
    <w:p w:rsidR="00B32181" w:rsidRDefault="00B32181" w:rsidP="00364CDC"/>
    <w:p w:rsidR="00664C35" w:rsidRPr="00B47931" w:rsidRDefault="00742559" w:rsidP="00B47931">
      <w:pPr>
        <w:spacing w:after="120"/>
      </w:pPr>
      <w:r w:rsidRPr="00B47931">
        <w:t>The collection includes both forms</w:t>
      </w:r>
      <w:r w:rsidR="00B47931" w:rsidRPr="00B47931">
        <w:t xml:space="preserve"> which contain</w:t>
      </w:r>
      <w:r w:rsidRPr="00B47931">
        <w:t xml:space="preserve"> </w:t>
      </w:r>
      <w:r w:rsidR="00B47931" w:rsidRPr="00B47931">
        <w:t>C</w:t>
      </w:r>
      <w:r w:rsidR="00664C35" w:rsidRPr="00B47931">
        <w:t xml:space="preserve">onfidential </w:t>
      </w:r>
      <w:r w:rsidR="00B47931" w:rsidRPr="00B47931">
        <w:t>Commercial Information s</w:t>
      </w:r>
      <w:r w:rsidR="00664C35" w:rsidRPr="00B47931">
        <w:t>upplied by the applicant</w:t>
      </w:r>
      <w:r w:rsidRPr="00B47931">
        <w:t xml:space="preserve"> and </w:t>
      </w:r>
      <w:r w:rsidR="00B47931" w:rsidRPr="00B47931">
        <w:t>those that do not</w:t>
      </w:r>
      <w:r w:rsidR="00664C35" w:rsidRPr="00B47931">
        <w:t xml:space="preserve">. </w:t>
      </w:r>
      <w:r w:rsidR="00B47931" w:rsidRPr="00B47931">
        <w:t>All</w:t>
      </w:r>
      <w:r w:rsidR="00664C35" w:rsidRPr="00B47931">
        <w:t xml:space="preserve"> forms include </w:t>
      </w:r>
      <w:r w:rsidRPr="00B47931">
        <w:t xml:space="preserve">one of the </w:t>
      </w:r>
      <w:r w:rsidR="00664C35" w:rsidRPr="00B47931">
        <w:t>following Assurance of Confidentiality</w:t>
      </w:r>
      <w:r w:rsidRPr="00B47931">
        <w:t xml:space="preserve"> (Privacy Act Notice) as appropriate</w:t>
      </w:r>
      <w:r w:rsidR="00664C35" w:rsidRPr="00B47931">
        <w:t>:</w:t>
      </w:r>
    </w:p>
    <w:p w:rsidR="00B47931" w:rsidRDefault="00664C35" w:rsidP="00B47931">
      <w:pPr>
        <w:numPr>
          <w:ilvl w:val="0"/>
          <w:numId w:val="43"/>
        </w:numPr>
        <w:spacing w:after="120"/>
      </w:pPr>
      <w:r w:rsidRPr="00B47931">
        <w:t>“</w:t>
      </w:r>
      <w:r w:rsidR="00B47931" w:rsidRPr="00B47931">
        <w:t>The National Institute of Justice Compliance Testing Program (hereafter, the NIJ CTP) shall use reasonable efforts to maintain confidential all information identified as “Confidential Commercial Information” that it obtains from the Applicant. Confidential Commercial Information shall not include information that is (a) publicly available; (b) subsequently acquired by the NIJ CTP from other sources in a manner that does not constitute a breach of this Agreement; (c) disclosed by the NIJ CTP when deemed, at its sole discretion, to be necessary to the NIJ CTP’s performance of the requested conformity assessment; (d) required to be produced pursuant to an order or command of any judicial or regulatory authority; (e) required by any common law or statutory duty; or (f) disclosed in the interest of officer safety.</w:t>
      </w:r>
    </w:p>
    <w:p w:rsidR="00664C35" w:rsidRPr="00B47931" w:rsidRDefault="00B47931" w:rsidP="00B47931">
      <w:pPr>
        <w:spacing w:after="120"/>
        <w:ind w:left="720"/>
      </w:pPr>
      <w:r w:rsidRPr="00B47931">
        <w:t>The NIJ CTP shall take reasonable steps to safeguard Applicant data within the NIJ CTP systems prior to external transmission and may transmit Applicant's Confidential Information and data to Applicant through the Internet or any public network, unless otherwise directed in writing by Applicant.</w:t>
      </w:r>
      <w:r w:rsidR="00664C35" w:rsidRPr="00B47931">
        <w:t>”</w:t>
      </w:r>
      <w:r w:rsidR="00742559" w:rsidRPr="00B47931">
        <w:t>; or</w:t>
      </w:r>
    </w:p>
    <w:p w:rsidR="00742559" w:rsidRPr="003F33C2" w:rsidRDefault="00742559" w:rsidP="00742559">
      <w:pPr>
        <w:numPr>
          <w:ilvl w:val="0"/>
          <w:numId w:val="41"/>
        </w:numPr>
        <w:spacing w:before="120" w:after="120"/>
      </w:pPr>
      <w:r w:rsidRPr="003F33C2">
        <w:t>“</w:t>
      </w:r>
      <w:r w:rsidR="00B47931" w:rsidRPr="003F33C2">
        <w:t>The information provided in this document is not considered Confidential Commercial Information and may be released without limitations or restrictions.</w:t>
      </w:r>
      <w:r w:rsidRPr="003F33C2">
        <w:t>”</w:t>
      </w:r>
    </w:p>
    <w:p w:rsidR="00B32181" w:rsidRDefault="00B32181" w:rsidP="00364CDC"/>
    <w:p w:rsidR="00B32181" w:rsidRDefault="00B32181" w:rsidP="00364CDC">
      <w:r>
        <w:t xml:space="preserve">11. Justification for Sensitive Questions: </w:t>
      </w:r>
    </w:p>
    <w:p w:rsidR="00B32181" w:rsidRDefault="00B32181" w:rsidP="00364CDC"/>
    <w:p w:rsidR="00B32181" w:rsidRDefault="00B32181" w:rsidP="00364CDC">
      <w:r>
        <w:t>Questions of a sensitive nature are not included in this information collection.</w:t>
      </w:r>
    </w:p>
    <w:p w:rsidR="00B32181" w:rsidRDefault="00B32181" w:rsidP="00364CDC"/>
    <w:p w:rsidR="00B32181" w:rsidRDefault="00B32181" w:rsidP="001358D7">
      <w:r>
        <w:t>12. Estimate of Hour Burden:</w:t>
      </w:r>
    </w:p>
    <w:p w:rsidR="00B32181" w:rsidRDefault="00B32181" w:rsidP="001358D7"/>
    <w:p w:rsidR="00CD3DA2" w:rsidRDefault="00626A43" w:rsidP="00CD3DA2">
      <w:pPr>
        <w:spacing w:after="120"/>
      </w:pPr>
      <w:bookmarkStart w:id="3" w:name="OLE_LINK5"/>
      <w:bookmarkStart w:id="4" w:name="OLE_LINK6"/>
      <w:r>
        <w:t>T</w:t>
      </w:r>
      <w:r w:rsidR="00CD3DA2" w:rsidRPr="00CD3DA2">
        <w:t>he estimated time is based on the time required to read and complete the forms.</w:t>
      </w:r>
    </w:p>
    <w:p w:rsidR="00E8092F" w:rsidRDefault="00E8092F" w:rsidP="00E8092F">
      <w:pPr>
        <w:spacing w:after="120"/>
      </w:pPr>
      <w:r>
        <w:t xml:space="preserve">The following forms are submitted by </w:t>
      </w:r>
      <w:r w:rsidR="003F33C2">
        <w:t>participants</w:t>
      </w:r>
      <w:r>
        <w:t xml:space="preserve"> at least once but may be resubmitted in the event of changes:</w:t>
      </w:r>
    </w:p>
    <w:p w:rsidR="00E8092F" w:rsidRDefault="00210F9B" w:rsidP="00E8092F">
      <w:pPr>
        <w:numPr>
          <w:ilvl w:val="0"/>
          <w:numId w:val="41"/>
        </w:numPr>
        <w:spacing w:after="120"/>
      </w:pPr>
      <w:r w:rsidRPr="00E8092F">
        <w:rPr>
          <w:u w:val="single"/>
        </w:rPr>
        <w:t>NIJ CTP Applicant Agreement</w:t>
      </w:r>
      <w:r w:rsidR="00E8092F">
        <w:t>,</w:t>
      </w:r>
    </w:p>
    <w:p w:rsidR="00E8092F" w:rsidRDefault="00210F9B" w:rsidP="00E8092F">
      <w:pPr>
        <w:numPr>
          <w:ilvl w:val="0"/>
          <w:numId w:val="41"/>
        </w:numPr>
        <w:spacing w:after="120"/>
      </w:pPr>
      <w:r w:rsidRPr="00E8092F">
        <w:rPr>
          <w:u w:val="single"/>
        </w:rPr>
        <w:t>NIJ CTP Authorized Representatives Notification</w:t>
      </w:r>
      <w:r w:rsidR="00E8092F">
        <w:t>,</w:t>
      </w:r>
    </w:p>
    <w:p w:rsidR="00210F9B" w:rsidRPr="00E8092F" w:rsidRDefault="00E8092F" w:rsidP="00E8092F">
      <w:pPr>
        <w:numPr>
          <w:ilvl w:val="0"/>
          <w:numId w:val="41"/>
        </w:numPr>
        <w:spacing w:after="120"/>
      </w:pPr>
      <w:r w:rsidRPr="00E8092F">
        <w:rPr>
          <w:u w:val="single"/>
        </w:rPr>
        <w:t>NIJ Approved Laboratory Application and Agreement</w:t>
      </w:r>
      <w:r>
        <w:rPr>
          <w:u w:val="single"/>
        </w:rPr>
        <w:t>.</w:t>
      </w:r>
    </w:p>
    <w:p w:rsidR="00E8092F" w:rsidRDefault="00E8092F" w:rsidP="00E8092F">
      <w:pPr>
        <w:spacing w:after="120"/>
      </w:pPr>
      <w:r>
        <w:t>The following forms are submitted by applicants each time they desire a new product model evaluation:</w:t>
      </w:r>
    </w:p>
    <w:p w:rsidR="00210F9B" w:rsidRPr="00E8092F" w:rsidRDefault="00210F9B" w:rsidP="00E8092F">
      <w:pPr>
        <w:numPr>
          <w:ilvl w:val="0"/>
          <w:numId w:val="44"/>
        </w:numPr>
        <w:spacing w:after="120"/>
      </w:pPr>
      <w:r w:rsidRPr="00E8092F">
        <w:rPr>
          <w:u w:val="single"/>
        </w:rPr>
        <w:t>NIJ CTP Body Armor Build Sheet</w:t>
      </w:r>
      <w:r w:rsidR="00E8092F">
        <w:t>,</w:t>
      </w:r>
    </w:p>
    <w:p w:rsidR="00210F9B" w:rsidRPr="00E8092F" w:rsidRDefault="00210F9B" w:rsidP="00E8092F">
      <w:pPr>
        <w:numPr>
          <w:ilvl w:val="0"/>
          <w:numId w:val="44"/>
        </w:numPr>
        <w:spacing w:after="120"/>
      </w:pPr>
      <w:r w:rsidRPr="00E8092F">
        <w:rPr>
          <w:u w:val="single"/>
        </w:rPr>
        <w:t>NIJ CTP Body Armor Agreement</w:t>
      </w:r>
      <w:r w:rsidR="00E8092F">
        <w:t>,</w:t>
      </w:r>
    </w:p>
    <w:p w:rsidR="00210F9B" w:rsidRPr="00E8092F" w:rsidRDefault="00210F9B" w:rsidP="00E8092F">
      <w:pPr>
        <w:numPr>
          <w:ilvl w:val="0"/>
          <w:numId w:val="44"/>
        </w:numPr>
        <w:spacing w:after="120"/>
      </w:pPr>
      <w:r w:rsidRPr="00E8092F">
        <w:rPr>
          <w:u w:val="single"/>
        </w:rPr>
        <w:t>NIJ CTP Manufacturing Location Notification</w:t>
      </w:r>
      <w:r w:rsidR="00E8092F">
        <w:t>,</w:t>
      </w:r>
    </w:p>
    <w:p w:rsidR="00210F9B" w:rsidRPr="00E8092F" w:rsidRDefault="00210F9B" w:rsidP="00E8092F">
      <w:pPr>
        <w:numPr>
          <w:ilvl w:val="0"/>
          <w:numId w:val="44"/>
        </w:numPr>
        <w:spacing w:after="120"/>
      </w:pPr>
      <w:r w:rsidRPr="00E8092F">
        <w:rPr>
          <w:u w:val="single"/>
        </w:rPr>
        <w:t xml:space="preserve">NIJ CTP </w:t>
      </w:r>
      <w:proofErr w:type="spellStart"/>
      <w:r w:rsidRPr="00E8092F">
        <w:rPr>
          <w:u w:val="single"/>
        </w:rPr>
        <w:t>Listee</w:t>
      </w:r>
      <w:proofErr w:type="spellEnd"/>
      <w:r w:rsidRPr="00E8092F">
        <w:rPr>
          <w:u w:val="single"/>
        </w:rPr>
        <w:t xml:space="preserve"> Notification</w:t>
      </w:r>
      <w:r w:rsidR="00E8092F">
        <w:t>,</w:t>
      </w:r>
    </w:p>
    <w:bookmarkEnd w:id="3"/>
    <w:bookmarkEnd w:id="4"/>
    <w:p w:rsidR="003F33C2" w:rsidRDefault="003F33C2" w:rsidP="003F33C2">
      <w:pPr>
        <w:spacing w:after="120"/>
      </w:pPr>
      <w:r>
        <w:lastRenderedPageBreak/>
        <w:t>The following form</w:t>
      </w:r>
      <w:r>
        <w:t xml:space="preserve"> shall be submitted by any participant that desire to use electronic signatures to complete the forms</w:t>
      </w:r>
      <w:r>
        <w:t>:</w:t>
      </w:r>
    </w:p>
    <w:p w:rsidR="003F33C2" w:rsidRPr="00E8092F" w:rsidRDefault="003F33C2" w:rsidP="003F33C2">
      <w:pPr>
        <w:numPr>
          <w:ilvl w:val="0"/>
          <w:numId w:val="44"/>
        </w:numPr>
        <w:spacing w:after="120"/>
      </w:pPr>
      <w:r w:rsidRPr="00E8092F">
        <w:rPr>
          <w:u w:val="single"/>
        </w:rPr>
        <w:t xml:space="preserve">NIJ CTP </w:t>
      </w:r>
      <w:r>
        <w:rPr>
          <w:u w:val="single"/>
        </w:rPr>
        <w:t>Electronic Signature Agreement</w:t>
      </w:r>
      <w:r>
        <w:t>,</w:t>
      </w:r>
    </w:p>
    <w:p w:rsidR="00B32181" w:rsidRDefault="00B32181" w:rsidP="00930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7"/>
        <w:gridCol w:w="1660"/>
        <w:gridCol w:w="1660"/>
        <w:gridCol w:w="1728"/>
        <w:gridCol w:w="1605"/>
      </w:tblGrid>
      <w:tr w:rsidR="00CD3DA2" w:rsidRPr="00CD3DA2" w:rsidTr="00841C37">
        <w:tc>
          <w:tcPr>
            <w:tcW w:w="2021" w:type="dxa"/>
            <w:tcBorders>
              <w:top w:val="single" w:sz="4" w:space="0" w:color="auto"/>
              <w:left w:val="single" w:sz="4" w:space="0" w:color="auto"/>
              <w:bottom w:val="single" w:sz="4" w:space="0" w:color="auto"/>
              <w:right w:val="single" w:sz="4" w:space="0" w:color="auto"/>
            </w:tcBorders>
            <w:vAlign w:val="center"/>
          </w:tcPr>
          <w:p w:rsidR="00CD3DA2" w:rsidRPr="00841C37" w:rsidRDefault="00841C37" w:rsidP="00841C37">
            <w:pPr>
              <w:spacing w:before="60" w:after="60"/>
              <w:jc w:val="center"/>
              <w:rPr>
                <w:rFonts w:ascii="Arial" w:eastAsia="SimSun" w:hAnsi="Arial" w:cs="Arial"/>
                <w:i/>
                <w:sz w:val="16"/>
                <w:szCs w:val="16"/>
              </w:rPr>
            </w:pPr>
            <w:bookmarkStart w:id="5" w:name="OLE_LINK7"/>
            <w:bookmarkStart w:id="6" w:name="OLE_LINK8"/>
            <w:r w:rsidRPr="00841C37">
              <w:rPr>
                <w:rFonts w:ascii="Arial" w:eastAsia="SimSun" w:hAnsi="Arial" w:cs="Arial"/>
                <w:i/>
                <w:sz w:val="16"/>
                <w:szCs w:val="16"/>
              </w:rPr>
              <w:t>Estimates</w:t>
            </w:r>
          </w:p>
        </w:tc>
        <w:tc>
          <w:tcPr>
            <w:tcW w:w="1690" w:type="dxa"/>
            <w:tcBorders>
              <w:top w:val="single" w:sz="4" w:space="0" w:color="auto"/>
              <w:left w:val="single" w:sz="4" w:space="0" w:color="auto"/>
              <w:bottom w:val="single" w:sz="4" w:space="0" w:color="auto"/>
              <w:right w:val="single" w:sz="4" w:space="0" w:color="auto"/>
            </w:tcBorders>
          </w:tcPr>
          <w:p w:rsidR="00CD3DA2" w:rsidRPr="00CD3DA2" w:rsidRDefault="00CD3DA2" w:rsidP="00FE1302">
            <w:pPr>
              <w:spacing w:before="60" w:after="60"/>
              <w:rPr>
                <w:rFonts w:ascii="Arial" w:eastAsia="SimSun" w:hAnsi="Arial" w:cs="Arial"/>
                <w:b/>
                <w:sz w:val="16"/>
                <w:szCs w:val="16"/>
              </w:rPr>
            </w:pPr>
            <w:r w:rsidRPr="00CD3DA2">
              <w:rPr>
                <w:rFonts w:ascii="Arial" w:eastAsia="SimSun" w:hAnsi="Arial" w:cs="Arial"/>
                <w:b/>
                <w:sz w:val="16"/>
                <w:szCs w:val="16"/>
              </w:rPr>
              <w:t>Number of Annual Respondents</w:t>
            </w:r>
          </w:p>
        </w:tc>
        <w:tc>
          <w:tcPr>
            <w:tcW w:w="1701" w:type="dxa"/>
            <w:tcBorders>
              <w:top w:val="single" w:sz="4" w:space="0" w:color="auto"/>
              <w:left w:val="single" w:sz="4" w:space="0" w:color="auto"/>
              <w:bottom w:val="single" w:sz="4" w:space="0" w:color="auto"/>
              <w:right w:val="single" w:sz="4" w:space="0" w:color="auto"/>
            </w:tcBorders>
          </w:tcPr>
          <w:p w:rsidR="00CD3DA2" w:rsidRPr="00CD3DA2" w:rsidRDefault="00CD3DA2" w:rsidP="00FE1302">
            <w:pPr>
              <w:spacing w:before="60" w:after="60"/>
              <w:rPr>
                <w:rFonts w:ascii="Arial" w:eastAsia="SimSun" w:hAnsi="Arial" w:cs="Arial"/>
                <w:b/>
                <w:sz w:val="16"/>
                <w:szCs w:val="16"/>
              </w:rPr>
            </w:pPr>
            <w:r w:rsidRPr="00CD3DA2">
              <w:rPr>
                <w:rFonts w:ascii="Arial" w:eastAsia="SimSun" w:hAnsi="Arial" w:cs="Arial"/>
                <w:b/>
                <w:sz w:val="16"/>
                <w:szCs w:val="16"/>
              </w:rPr>
              <w:t>Number of Annual Responses</w:t>
            </w:r>
          </w:p>
        </w:tc>
        <w:tc>
          <w:tcPr>
            <w:tcW w:w="1780" w:type="dxa"/>
            <w:tcBorders>
              <w:top w:val="single" w:sz="4" w:space="0" w:color="auto"/>
              <w:left w:val="single" w:sz="4" w:space="0" w:color="auto"/>
              <w:bottom w:val="single" w:sz="4" w:space="0" w:color="auto"/>
              <w:right w:val="single" w:sz="4" w:space="0" w:color="auto"/>
            </w:tcBorders>
          </w:tcPr>
          <w:p w:rsidR="00CD3DA2" w:rsidRPr="00CD3DA2" w:rsidRDefault="00CD3DA2" w:rsidP="00FE1302">
            <w:pPr>
              <w:spacing w:before="60" w:after="60"/>
              <w:rPr>
                <w:rFonts w:ascii="Arial" w:eastAsia="SimSun" w:hAnsi="Arial" w:cs="Arial"/>
                <w:b/>
                <w:sz w:val="16"/>
                <w:szCs w:val="16"/>
              </w:rPr>
            </w:pPr>
            <w:r w:rsidRPr="00CD3DA2">
              <w:rPr>
                <w:rFonts w:ascii="Arial" w:eastAsia="SimSun" w:hAnsi="Arial" w:cs="Arial"/>
                <w:b/>
                <w:sz w:val="16"/>
                <w:szCs w:val="16"/>
              </w:rPr>
              <w:t>Average Time per Response</w:t>
            </w:r>
          </w:p>
        </w:tc>
        <w:tc>
          <w:tcPr>
            <w:tcW w:w="1664" w:type="dxa"/>
            <w:tcBorders>
              <w:top w:val="single" w:sz="4" w:space="0" w:color="auto"/>
              <w:left w:val="single" w:sz="4" w:space="0" w:color="auto"/>
              <w:bottom w:val="single" w:sz="4" w:space="0" w:color="auto"/>
              <w:right w:val="single" w:sz="4" w:space="0" w:color="auto"/>
            </w:tcBorders>
          </w:tcPr>
          <w:p w:rsidR="00CD3DA2" w:rsidRPr="00CD3DA2" w:rsidRDefault="00CD3DA2" w:rsidP="00FE1302">
            <w:pPr>
              <w:spacing w:before="60" w:after="60"/>
              <w:rPr>
                <w:rFonts w:ascii="Arial" w:eastAsia="SimSun" w:hAnsi="Arial" w:cs="Arial"/>
                <w:b/>
                <w:sz w:val="16"/>
                <w:szCs w:val="16"/>
              </w:rPr>
            </w:pPr>
            <w:r w:rsidRPr="00CD3DA2">
              <w:rPr>
                <w:rFonts w:ascii="Arial" w:eastAsia="SimSun" w:hAnsi="Arial" w:cs="Arial"/>
                <w:b/>
                <w:sz w:val="16"/>
                <w:szCs w:val="16"/>
              </w:rPr>
              <w:t>Total Annual Hours</w:t>
            </w:r>
          </w:p>
        </w:tc>
      </w:tr>
      <w:tr w:rsidR="00CD3DA2" w:rsidRPr="00CD3DA2" w:rsidTr="00CD3DA2">
        <w:tc>
          <w:tcPr>
            <w:tcW w:w="2021" w:type="dxa"/>
            <w:tcBorders>
              <w:top w:val="single" w:sz="4" w:space="0" w:color="auto"/>
              <w:left w:val="single" w:sz="4" w:space="0" w:color="auto"/>
              <w:bottom w:val="single" w:sz="4" w:space="0" w:color="auto"/>
              <w:right w:val="single" w:sz="4" w:space="0" w:color="auto"/>
            </w:tcBorders>
          </w:tcPr>
          <w:p w:rsidR="00CD3DA2" w:rsidRPr="009F72DC" w:rsidRDefault="00CD3DA2" w:rsidP="00FE1302">
            <w:pPr>
              <w:spacing w:before="60" w:after="60"/>
              <w:rPr>
                <w:rFonts w:ascii="Arial" w:eastAsia="SimSun" w:hAnsi="Arial" w:cs="Arial"/>
                <w:sz w:val="16"/>
                <w:szCs w:val="16"/>
              </w:rPr>
            </w:pPr>
            <w:r w:rsidRPr="009F72DC">
              <w:rPr>
                <w:rFonts w:ascii="Arial" w:hAnsi="Arial" w:cs="Arial"/>
                <w:sz w:val="16"/>
                <w:szCs w:val="16"/>
                <w:u w:val="single"/>
              </w:rPr>
              <w:t>NIJ CTP Applicant Agreement</w:t>
            </w:r>
          </w:p>
        </w:tc>
        <w:tc>
          <w:tcPr>
            <w:tcW w:w="1690" w:type="dxa"/>
            <w:tcBorders>
              <w:top w:val="single" w:sz="4" w:space="0" w:color="auto"/>
              <w:left w:val="single" w:sz="4" w:space="0" w:color="auto"/>
              <w:bottom w:val="single" w:sz="4" w:space="0" w:color="auto"/>
              <w:right w:val="single" w:sz="4" w:space="0" w:color="auto"/>
            </w:tcBorders>
          </w:tcPr>
          <w:p w:rsidR="00CD3DA2" w:rsidRPr="00CD3DA2" w:rsidRDefault="003F33C2" w:rsidP="00FE1302">
            <w:pPr>
              <w:spacing w:before="60" w:after="60"/>
              <w:rPr>
                <w:rFonts w:ascii="Arial" w:eastAsia="SimSun" w:hAnsi="Arial" w:cs="Arial"/>
                <w:sz w:val="16"/>
                <w:szCs w:val="16"/>
              </w:rPr>
            </w:pPr>
            <w:r>
              <w:rPr>
                <w:rFonts w:ascii="Arial" w:eastAsia="SimSun" w:hAnsi="Arial" w:cs="Arial"/>
                <w:sz w:val="16"/>
                <w:szCs w:val="16"/>
              </w:rPr>
              <w:t>8</w:t>
            </w:r>
            <w:r w:rsidR="00CD3DA2">
              <w:rPr>
                <w:rFonts w:ascii="Arial" w:eastAsia="SimSun"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tcPr>
          <w:p w:rsidR="00CD3DA2" w:rsidRPr="00CD3DA2" w:rsidRDefault="003F33C2" w:rsidP="00FE1302">
            <w:pPr>
              <w:spacing w:before="60" w:after="60"/>
              <w:rPr>
                <w:rFonts w:ascii="Arial" w:eastAsia="SimSun" w:hAnsi="Arial" w:cs="Arial"/>
                <w:sz w:val="16"/>
                <w:szCs w:val="16"/>
              </w:rPr>
            </w:pPr>
            <w:r>
              <w:rPr>
                <w:rFonts w:ascii="Arial" w:eastAsia="SimSun" w:hAnsi="Arial" w:cs="Arial"/>
                <w:sz w:val="16"/>
                <w:szCs w:val="16"/>
              </w:rPr>
              <w:t>8</w:t>
            </w:r>
            <w:r w:rsidR="00CD3DA2">
              <w:rPr>
                <w:rFonts w:ascii="Arial" w:eastAsia="SimSun" w:hAnsi="Arial" w:cs="Arial"/>
                <w:sz w:val="16"/>
                <w:szCs w:val="16"/>
              </w:rPr>
              <w:t>0</w:t>
            </w:r>
          </w:p>
        </w:tc>
        <w:tc>
          <w:tcPr>
            <w:tcW w:w="1780" w:type="dxa"/>
            <w:tcBorders>
              <w:top w:val="single" w:sz="4" w:space="0" w:color="auto"/>
              <w:left w:val="single" w:sz="4" w:space="0" w:color="auto"/>
              <w:bottom w:val="single" w:sz="4" w:space="0" w:color="auto"/>
              <w:right w:val="single" w:sz="4" w:space="0" w:color="auto"/>
            </w:tcBorders>
          </w:tcPr>
          <w:p w:rsidR="00CD3DA2" w:rsidRPr="00CD3DA2" w:rsidRDefault="003F33C2" w:rsidP="00FE1302">
            <w:pPr>
              <w:spacing w:before="60" w:after="60"/>
              <w:rPr>
                <w:rFonts w:ascii="Arial" w:eastAsia="SimSun" w:hAnsi="Arial" w:cs="Arial"/>
                <w:sz w:val="16"/>
                <w:szCs w:val="16"/>
              </w:rPr>
            </w:pPr>
            <w:r>
              <w:rPr>
                <w:rFonts w:ascii="Arial" w:eastAsia="SimSun" w:hAnsi="Arial" w:cs="Arial"/>
                <w:sz w:val="16"/>
                <w:szCs w:val="16"/>
              </w:rPr>
              <w:t>60</w:t>
            </w:r>
            <w:r w:rsidR="00FE1302">
              <w:rPr>
                <w:rFonts w:ascii="Arial" w:eastAsia="SimSun" w:hAnsi="Arial" w:cs="Arial"/>
                <w:sz w:val="16"/>
                <w:szCs w:val="16"/>
              </w:rPr>
              <w:t xml:space="preserve"> minutes</w:t>
            </w:r>
          </w:p>
        </w:tc>
        <w:tc>
          <w:tcPr>
            <w:tcW w:w="1664" w:type="dxa"/>
            <w:tcBorders>
              <w:top w:val="single" w:sz="4" w:space="0" w:color="auto"/>
              <w:left w:val="single" w:sz="4" w:space="0" w:color="auto"/>
              <w:bottom w:val="single" w:sz="4" w:space="0" w:color="auto"/>
              <w:right w:val="single" w:sz="4" w:space="0" w:color="auto"/>
            </w:tcBorders>
          </w:tcPr>
          <w:p w:rsidR="00CD3DA2" w:rsidRPr="00CD3DA2" w:rsidRDefault="003F33C2" w:rsidP="00FE1302">
            <w:pPr>
              <w:spacing w:before="60" w:after="60"/>
              <w:rPr>
                <w:rFonts w:ascii="Arial" w:eastAsia="SimSun" w:hAnsi="Arial" w:cs="Arial"/>
                <w:sz w:val="16"/>
                <w:szCs w:val="16"/>
              </w:rPr>
            </w:pPr>
            <w:r>
              <w:rPr>
                <w:rFonts w:ascii="Arial" w:eastAsia="SimSun" w:hAnsi="Arial" w:cs="Arial"/>
                <w:sz w:val="16"/>
                <w:szCs w:val="16"/>
              </w:rPr>
              <w:t>80</w:t>
            </w:r>
            <w:r w:rsidR="00FE1302">
              <w:rPr>
                <w:rFonts w:ascii="Arial" w:eastAsia="SimSun" w:hAnsi="Arial" w:cs="Arial"/>
                <w:sz w:val="16"/>
                <w:szCs w:val="16"/>
              </w:rPr>
              <w:t xml:space="preserve"> hours</w:t>
            </w:r>
          </w:p>
        </w:tc>
      </w:tr>
      <w:tr w:rsidR="00CD3DA2" w:rsidRPr="00CD3DA2" w:rsidTr="00CD3DA2">
        <w:tc>
          <w:tcPr>
            <w:tcW w:w="2021" w:type="dxa"/>
            <w:tcBorders>
              <w:top w:val="single" w:sz="4" w:space="0" w:color="auto"/>
              <w:left w:val="single" w:sz="4" w:space="0" w:color="auto"/>
              <w:bottom w:val="single" w:sz="4" w:space="0" w:color="auto"/>
              <w:right w:val="single" w:sz="4" w:space="0" w:color="auto"/>
            </w:tcBorders>
          </w:tcPr>
          <w:p w:rsidR="00CD3DA2" w:rsidRPr="009F72DC" w:rsidRDefault="00CD3DA2" w:rsidP="00FE1302">
            <w:pPr>
              <w:spacing w:before="60" w:after="60"/>
              <w:rPr>
                <w:rFonts w:ascii="Arial" w:eastAsia="SimSun" w:hAnsi="Arial" w:cs="Arial"/>
                <w:sz w:val="16"/>
                <w:szCs w:val="16"/>
              </w:rPr>
            </w:pPr>
            <w:r w:rsidRPr="009F72DC">
              <w:rPr>
                <w:rFonts w:ascii="Arial" w:hAnsi="Arial" w:cs="Arial"/>
                <w:sz w:val="16"/>
                <w:szCs w:val="16"/>
                <w:u w:val="single"/>
              </w:rPr>
              <w:t>NIJ CTP Authorized Representatives Notification</w:t>
            </w:r>
          </w:p>
        </w:tc>
        <w:tc>
          <w:tcPr>
            <w:tcW w:w="1690" w:type="dxa"/>
            <w:tcBorders>
              <w:top w:val="single" w:sz="4" w:space="0" w:color="auto"/>
              <w:left w:val="single" w:sz="4" w:space="0" w:color="auto"/>
              <w:bottom w:val="single" w:sz="4" w:space="0" w:color="auto"/>
              <w:right w:val="single" w:sz="4" w:space="0" w:color="auto"/>
            </w:tcBorders>
          </w:tcPr>
          <w:p w:rsidR="00CD3DA2" w:rsidRPr="00CD3DA2" w:rsidRDefault="003F33C2" w:rsidP="00FE1302">
            <w:pPr>
              <w:spacing w:before="60" w:after="60"/>
              <w:rPr>
                <w:rFonts w:ascii="Arial" w:eastAsia="SimSun" w:hAnsi="Arial" w:cs="Arial"/>
                <w:sz w:val="16"/>
                <w:szCs w:val="16"/>
              </w:rPr>
            </w:pPr>
            <w:r>
              <w:rPr>
                <w:rFonts w:ascii="Arial" w:eastAsia="SimSun" w:hAnsi="Arial" w:cs="Arial"/>
                <w:sz w:val="16"/>
                <w:szCs w:val="16"/>
              </w:rPr>
              <w:t>25</w:t>
            </w:r>
          </w:p>
        </w:tc>
        <w:tc>
          <w:tcPr>
            <w:tcW w:w="1701" w:type="dxa"/>
            <w:tcBorders>
              <w:top w:val="single" w:sz="4" w:space="0" w:color="auto"/>
              <w:left w:val="single" w:sz="4" w:space="0" w:color="auto"/>
              <w:bottom w:val="single" w:sz="4" w:space="0" w:color="auto"/>
              <w:right w:val="single" w:sz="4" w:space="0" w:color="auto"/>
            </w:tcBorders>
          </w:tcPr>
          <w:p w:rsidR="00CD3DA2" w:rsidRPr="00CD3DA2" w:rsidRDefault="003F33C2" w:rsidP="00FE1302">
            <w:pPr>
              <w:spacing w:before="60" w:after="60"/>
              <w:rPr>
                <w:rFonts w:ascii="Arial" w:eastAsia="SimSun" w:hAnsi="Arial" w:cs="Arial"/>
                <w:sz w:val="16"/>
                <w:szCs w:val="16"/>
              </w:rPr>
            </w:pPr>
            <w:r>
              <w:rPr>
                <w:rFonts w:ascii="Arial" w:eastAsia="SimSun" w:hAnsi="Arial" w:cs="Arial"/>
                <w:sz w:val="16"/>
                <w:szCs w:val="16"/>
              </w:rPr>
              <w:t>25</w:t>
            </w:r>
          </w:p>
        </w:tc>
        <w:tc>
          <w:tcPr>
            <w:tcW w:w="1780" w:type="dxa"/>
            <w:tcBorders>
              <w:top w:val="single" w:sz="4" w:space="0" w:color="auto"/>
              <w:left w:val="single" w:sz="4" w:space="0" w:color="auto"/>
              <w:bottom w:val="single" w:sz="4" w:space="0" w:color="auto"/>
              <w:right w:val="single" w:sz="4" w:space="0" w:color="auto"/>
            </w:tcBorders>
          </w:tcPr>
          <w:p w:rsidR="00CD3DA2" w:rsidRPr="00CD3DA2" w:rsidRDefault="00A60A54" w:rsidP="00FE1302">
            <w:pPr>
              <w:spacing w:before="60" w:after="60"/>
              <w:rPr>
                <w:rFonts w:ascii="Arial" w:eastAsia="SimSun" w:hAnsi="Arial" w:cs="Arial"/>
                <w:sz w:val="16"/>
                <w:szCs w:val="16"/>
              </w:rPr>
            </w:pPr>
            <w:r>
              <w:rPr>
                <w:rFonts w:ascii="Arial" w:eastAsia="SimSun" w:hAnsi="Arial" w:cs="Arial"/>
                <w:sz w:val="16"/>
                <w:szCs w:val="16"/>
              </w:rPr>
              <w:t>15</w:t>
            </w:r>
            <w:r w:rsidR="00FE1302">
              <w:rPr>
                <w:rFonts w:ascii="Arial" w:eastAsia="SimSun" w:hAnsi="Arial" w:cs="Arial"/>
                <w:sz w:val="16"/>
                <w:szCs w:val="16"/>
              </w:rPr>
              <w:t xml:space="preserve"> minutes</w:t>
            </w:r>
          </w:p>
        </w:tc>
        <w:tc>
          <w:tcPr>
            <w:tcW w:w="1664"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6.3</w:t>
            </w:r>
            <w:r w:rsidR="00FE1302">
              <w:rPr>
                <w:rFonts w:ascii="Arial" w:eastAsia="SimSun" w:hAnsi="Arial" w:cs="Arial"/>
                <w:sz w:val="16"/>
                <w:szCs w:val="16"/>
              </w:rPr>
              <w:t xml:space="preserve"> hours</w:t>
            </w:r>
          </w:p>
        </w:tc>
      </w:tr>
      <w:tr w:rsidR="00CD3DA2" w:rsidRPr="00CD3DA2" w:rsidTr="00CD3DA2">
        <w:tc>
          <w:tcPr>
            <w:tcW w:w="2021" w:type="dxa"/>
            <w:tcBorders>
              <w:top w:val="single" w:sz="4" w:space="0" w:color="auto"/>
              <w:left w:val="single" w:sz="4" w:space="0" w:color="auto"/>
              <w:bottom w:val="single" w:sz="4" w:space="0" w:color="auto"/>
              <w:right w:val="single" w:sz="4" w:space="0" w:color="auto"/>
            </w:tcBorders>
          </w:tcPr>
          <w:p w:rsidR="00CD3DA2" w:rsidRPr="009F72DC" w:rsidRDefault="00CD3DA2" w:rsidP="00FE1302">
            <w:pPr>
              <w:spacing w:before="60" w:after="60"/>
              <w:rPr>
                <w:rFonts w:ascii="Arial" w:eastAsia="SimSun" w:hAnsi="Arial" w:cs="Arial"/>
                <w:sz w:val="16"/>
                <w:szCs w:val="16"/>
              </w:rPr>
            </w:pPr>
            <w:r w:rsidRPr="009F72DC">
              <w:rPr>
                <w:rFonts w:ascii="Arial" w:hAnsi="Arial" w:cs="Arial"/>
                <w:sz w:val="16"/>
                <w:szCs w:val="16"/>
                <w:u w:val="single"/>
              </w:rPr>
              <w:t>NIJ CTP Body Armor Build Sheet</w:t>
            </w:r>
          </w:p>
        </w:tc>
        <w:tc>
          <w:tcPr>
            <w:tcW w:w="1690" w:type="dxa"/>
            <w:tcBorders>
              <w:top w:val="single" w:sz="4" w:space="0" w:color="auto"/>
              <w:left w:val="single" w:sz="4" w:space="0" w:color="auto"/>
              <w:bottom w:val="single" w:sz="4" w:space="0" w:color="auto"/>
              <w:right w:val="single" w:sz="4" w:space="0" w:color="auto"/>
            </w:tcBorders>
          </w:tcPr>
          <w:p w:rsidR="00CD3DA2" w:rsidRPr="00CD3DA2" w:rsidRDefault="00CD3DA2" w:rsidP="00FE1302">
            <w:pPr>
              <w:spacing w:before="60" w:after="60"/>
              <w:rPr>
                <w:rFonts w:ascii="Arial" w:eastAsia="SimSun" w:hAnsi="Arial" w:cs="Arial"/>
                <w:sz w:val="16"/>
                <w:szCs w:val="16"/>
              </w:rPr>
            </w:pPr>
            <w:r>
              <w:rPr>
                <w:rFonts w:ascii="Arial" w:eastAsia="SimSun" w:hAnsi="Arial" w:cs="Arial"/>
                <w:sz w:val="16"/>
                <w:szCs w:val="16"/>
              </w:rPr>
              <w:t>60</w:t>
            </w:r>
          </w:p>
        </w:tc>
        <w:tc>
          <w:tcPr>
            <w:tcW w:w="1701" w:type="dxa"/>
            <w:tcBorders>
              <w:top w:val="single" w:sz="4" w:space="0" w:color="auto"/>
              <w:left w:val="single" w:sz="4" w:space="0" w:color="auto"/>
              <w:bottom w:val="single" w:sz="4" w:space="0" w:color="auto"/>
              <w:right w:val="single" w:sz="4" w:space="0" w:color="auto"/>
            </w:tcBorders>
          </w:tcPr>
          <w:p w:rsidR="00CD3DA2" w:rsidRPr="00CD3DA2" w:rsidRDefault="00FE1302" w:rsidP="00FE1302">
            <w:pPr>
              <w:spacing w:before="60" w:after="60"/>
              <w:rPr>
                <w:rFonts w:ascii="Arial" w:eastAsia="SimSun" w:hAnsi="Arial" w:cs="Arial"/>
                <w:sz w:val="16"/>
                <w:szCs w:val="16"/>
              </w:rPr>
            </w:pPr>
            <w:r>
              <w:rPr>
                <w:rFonts w:ascii="Arial" w:eastAsia="SimSun" w:hAnsi="Arial" w:cs="Arial"/>
                <w:sz w:val="16"/>
                <w:szCs w:val="16"/>
              </w:rPr>
              <w:t>150</w:t>
            </w:r>
          </w:p>
        </w:tc>
        <w:tc>
          <w:tcPr>
            <w:tcW w:w="1780"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60</w:t>
            </w:r>
            <w:r w:rsidR="00FE1302">
              <w:rPr>
                <w:rFonts w:ascii="Arial" w:eastAsia="SimSun" w:hAnsi="Arial" w:cs="Arial"/>
                <w:sz w:val="16"/>
                <w:szCs w:val="16"/>
              </w:rPr>
              <w:t xml:space="preserve"> minutes</w:t>
            </w:r>
          </w:p>
        </w:tc>
        <w:tc>
          <w:tcPr>
            <w:tcW w:w="1664" w:type="dxa"/>
            <w:tcBorders>
              <w:top w:val="single" w:sz="4" w:space="0" w:color="auto"/>
              <w:left w:val="single" w:sz="4" w:space="0" w:color="auto"/>
              <w:bottom w:val="single" w:sz="4" w:space="0" w:color="auto"/>
              <w:right w:val="single" w:sz="4" w:space="0" w:color="auto"/>
            </w:tcBorders>
          </w:tcPr>
          <w:p w:rsidR="00CD3DA2" w:rsidRPr="00CD3DA2" w:rsidRDefault="00207960" w:rsidP="00037733">
            <w:pPr>
              <w:spacing w:before="60" w:after="60"/>
              <w:rPr>
                <w:rFonts w:ascii="Arial" w:eastAsia="SimSun" w:hAnsi="Arial" w:cs="Arial"/>
                <w:sz w:val="16"/>
                <w:szCs w:val="16"/>
              </w:rPr>
            </w:pPr>
            <w:r>
              <w:rPr>
                <w:rFonts w:ascii="Arial" w:eastAsia="SimSun" w:hAnsi="Arial" w:cs="Arial"/>
                <w:sz w:val="16"/>
                <w:szCs w:val="16"/>
              </w:rPr>
              <w:t>150</w:t>
            </w:r>
            <w:r w:rsidR="00037733">
              <w:rPr>
                <w:rFonts w:ascii="Arial" w:eastAsia="SimSun" w:hAnsi="Arial" w:cs="Arial"/>
                <w:sz w:val="16"/>
                <w:szCs w:val="16"/>
              </w:rPr>
              <w:t xml:space="preserve"> hours</w:t>
            </w:r>
          </w:p>
        </w:tc>
      </w:tr>
      <w:tr w:rsidR="00CD3DA2" w:rsidRPr="00CD3DA2" w:rsidTr="00CD3DA2">
        <w:tc>
          <w:tcPr>
            <w:tcW w:w="2021" w:type="dxa"/>
            <w:tcBorders>
              <w:top w:val="single" w:sz="4" w:space="0" w:color="auto"/>
              <w:left w:val="single" w:sz="4" w:space="0" w:color="auto"/>
              <w:bottom w:val="single" w:sz="4" w:space="0" w:color="auto"/>
              <w:right w:val="single" w:sz="4" w:space="0" w:color="auto"/>
            </w:tcBorders>
          </w:tcPr>
          <w:p w:rsidR="00CD3DA2" w:rsidRPr="009F72DC" w:rsidRDefault="00CD3DA2" w:rsidP="00FE1302">
            <w:pPr>
              <w:spacing w:before="60" w:after="60"/>
              <w:rPr>
                <w:rFonts w:ascii="Arial" w:eastAsia="SimSun" w:hAnsi="Arial" w:cs="Arial"/>
                <w:sz w:val="16"/>
                <w:szCs w:val="16"/>
              </w:rPr>
            </w:pPr>
            <w:r w:rsidRPr="009F72DC">
              <w:rPr>
                <w:rFonts w:ascii="Arial" w:hAnsi="Arial" w:cs="Arial"/>
                <w:sz w:val="16"/>
                <w:szCs w:val="16"/>
                <w:u w:val="single"/>
              </w:rPr>
              <w:t>NIJ CTP Body Armor Agreement</w:t>
            </w:r>
          </w:p>
        </w:tc>
        <w:tc>
          <w:tcPr>
            <w:tcW w:w="1690" w:type="dxa"/>
            <w:tcBorders>
              <w:top w:val="single" w:sz="4" w:space="0" w:color="auto"/>
              <w:left w:val="single" w:sz="4" w:space="0" w:color="auto"/>
              <w:bottom w:val="single" w:sz="4" w:space="0" w:color="auto"/>
              <w:right w:val="single" w:sz="4" w:space="0" w:color="auto"/>
            </w:tcBorders>
          </w:tcPr>
          <w:p w:rsidR="00CD3DA2" w:rsidRPr="00CD3DA2" w:rsidRDefault="00CD3DA2" w:rsidP="00FE1302">
            <w:pPr>
              <w:spacing w:before="60" w:after="60"/>
              <w:rPr>
                <w:rFonts w:ascii="Arial" w:eastAsia="SimSun" w:hAnsi="Arial" w:cs="Arial"/>
                <w:sz w:val="16"/>
                <w:szCs w:val="16"/>
              </w:rPr>
            </w:pPr>
            <w:r>
              <w:rPr>
                <w:rFonts w:ascii="Arial" w:eastAsia="SimSun" w:hAnsi="Arial" w:cs="Arial"/>
                <w:sz w:val="16"/>
                <w:szCs w:val="16"/>
              </w:rPr>
              <w:t>60</w:t>
            </w:r>
          </w:p>
        </w:tc>
        <w:tc>
          <w:tcPr>
            <w:tcW w:w="1701" w:type="dxa"/>
            <w:tcBorders>
              <w:top w:val="single" w:sz="4" w:space="0" w:color="auto"/>
              <w:left w:val="single" w:sz="4" w:space="0" w:color="auto"/>
              <w:bottom w:val="single" w:sz="4" w:space="0" w:color="auto"/>
              <w:right w:val="single" w:sz="4" w:space="0" w:color="auto"/>
            </w:tcBorders>
          </w:tcPr>
          <w:p w:rsidR="00CD3DA2" w:rsidRPr="00CD3DA2" w:rsidRDefault="00CD3DA2" w:rsidP="00FE1302">
            <w:pPr>
              <w:spacing w:before="60" w:after="60"/>
              <w:rPr>
                <w:rFonts w:ascii="Arial" w:eastAsia="SimSun" w:hAnsi="Arial" w:cs="Arial"/>
                <w:sz w:val="16"/>
                <w:szCs w:val="16"/>
              </w:rPr>
            </w:pPr>
            <w:r>
              <w:rPr>
                <w:rFonts w:ascii="Arial" w:eastAsia="SimSun" w:hAnsi="Arial" w:cs="Arial"/>
                <w:sz w:val="16"/>
                <w:szCs w:val="16"/>
              </w:rPr>
              <w:t>150</w:t>
            </w:r>
          </w:p>
        </w:tc>
        <w:tc>
          <w:tcPr>
            <w:tcW w:w="1780" w:type="dxa"/>
            <w:tcBorders>
              <w:top w:val="single" w:sz="4" w:space="0" w:color="auto"/>
              <w:left w:val="single" w:sz="4" w:space="0" w:color="auto"/>
              <w:bottom w:val="single" w:sz="4" w:space="0" w:color="auto"/>
              <w:right w:val="single" w:sz="4" w:space="0" w:color="auto"/>
            </w:tcBorders>
          </w:tcPr>
          <w:p w:rsidR="00CD3DA2" w:rsidRPr="00CD3DA2" w:rsidRDefault="00A60A54" w:rsidP="00FE1302">
            <w:pPr>
              <w:spacing w:before="60" w:after="60"/>
              <w:rPr>
                <w:rFonts w:ascii="Arial" w:eastAsia="SimSun" w:hAnsi="Arial" w:cs="Arial"/>
                <w:sz w:val="16"/>
                <w:szCs w:val="16"/>
              </w:rPr>
            </w:pPr>
            <w:r>
              <w:rPr>
                <w:rFonts w:ascii="Arial" w:eastAsia="SimSun" w:hAnsi="Arial" w:cs="Arial"/>
                <w:sz w:val="16"/>
                <w:szCs w:val="16"/>
              </w:rPr>
              <w:t>15</w:t>
            </w:r>
            <w:r w:rsidR="00FE1302">
              <w:rPr>
                <w:rFonts w:ascii="Arial" w:eastAsia="SimSun" w:hAnsi="Arial" w:cs="Arial"/>
                <w:sz w:val="16"/>
                <w:szCs w:val="16"/>
              </w:rPr>
              <w:t xml:space="preserve"> minutes</w:t>
            </w:r>
          </w:p>
        </w:tc>
        <w:tc>
          <w:tcPr>
            <w:tcW w:w="1664" w:type="dxa"/>
            <w:tcBorders>
              <w:top w:val="single" w:sz="4" w:space="0" w:color="auto"/>
              <w:left w:val="single" w:sz="4" w:space="0" w:color="auto"/>
              <w:bottom w:val="single" w:sz="4" w:space="0" w:color="auto"/>
              <w:right w:val="single" w:sz="4" w:space="0" w:color="auto"/>
            </w:tcBorders>
          </w:tcPr>
          <w:p w:rsidR="00037733" w:rsidRPr="00CD3DA2" w:rsidRDefault="00455664" w:rsidP="00FE1302">
            <w:pPr>
              <w:spacing w:before="60" w:after="60"/>
              <w:rPr>
                <w:rFonts w:ascii="Arial" w:eastAsia="SimSun" w:hAnsi="Arial" w:cs="Arial"/>
                <w:sz w:val="16"/>
                <w:szCs w:val="16"/>
              </w:rPr>
            </w:pPr>
            <w:r>
              <w:rPr>
                <w:rFonts w:ascii="Arial" w:eastAsia="SimSun" w:hAnsi="Arial" w:cs="Arial"/>
                <w:sz w:val="16"/>
                <w:szCs w:val="16"/>
              </w:rPr>
              <w:t>37.5</w:t>
            </w:r>
            <w:r w:rsidR="00037733">
              <w:rPr>
                <w:rFonts w:ascii="Arial" w:eastAsia="SimSun" w:hAnsi="Arial" w:cs="Arial"/>
                <w:sz w:val="16"/>
                <w:szCs w:val="16"/>
              </w:rPr>
              <w:t xml:space="preserve"> hours</w:t>
            </w:r>
          </w:p>
        </w:tc>
      </w:tr>
      <w:tr w:rsidR="00CD3DA2" w:rsidRPr="00CD3DA2" w:rsidTr="00CD3DA2">
        <w:tc>
          <w:tcPr>
            <w:tcW w:w="2021" w:type="dxa"/>
            <w:tcBorders>
              <w:top w:val="single" w:sz="4" w:space="0" w:color="auto"/>
              <w:left w:val="single" w:sz="4" w:space="0" w:color="auto"/>
              <w:bottom w:val="single" w:sz="4" w:space="0" w:color="auto"/>
              <w:right w:val="single" w:sz="4" w:space="0" w:color="auto"/>
            </w:tcBorders>
          </w:tcPr>
          <w:p w:rsidR="00CD3DA2" w:rsidRPr="009F72DC" w:rsidRDefault="00CD3DA2" w:rsidP="00FE1302">
            <w:pPr>
              <w:spacing w:before="60" w:after="60"/>
              <w:rPr>
                <w:rFonts w:ascii="Arial" w:hAnsi="Arial" w:cs="Arial"/>
                <w:sz w:val="16"/>
                <w:szCs w:val="16"/>
                <w:u w:val="single"/>
              </w:rPr>
            </w:pPr>
            <w:r w:rsidRPr="009F72DC">
              <w:rPr>
                <w:rFonts w:ascii="Arial" w:hAnsi="Arial" w:cs="Arial"/>
                <w:sz w:val="16"/>
                <w:szCs w:val="16"/>
                <w:u w:val="single"/>
              </w:rPr>
              <w:t>NIJ CTP Manufacturing Location Notification</w:t>
            </w:r>
          </w:p>
        </w:tc>
        <w:tc>
          <w:tcPr>
            <w:tcW w:w="1690"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6</w:t>
            </w:r>
            <w:r w:rsidR="00CD3DA2">
              <w:rPr>
                <w:rFonts w:ascii="Arial" w:eastAsia="SimSun"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1</w:t>
            </w:r>
            <w:r w:rsidR="00FE1302">
              <w:rPr>
                <w:rFonts w:ascii="Arial" w:eastAsia="SimSun" w:hAnsi="Arial" w:cs="Arial"/>
                <w:sz w:val="16"/>
                <w:szCs w:val="16"/>
              </w:rPr>
              <w:t>00</w:t>
            </w:r>
          </w:p>
        </w:tc>
        <w:tc>
          <w:tcPr>
            <w:tcW w:w="1780" w:type="dxa"/>
            <w:tcBorders>
              <w:top w:val="single" w:sz="4" w:space="0" w:color="auto"/>
              <w:left w:val="single" w:sz="4" w:space="0" w:color="auto"/>
              <w:bottom w:val="single" w:sz="4" w:space="0" w:color="auto"/>
              <w:right w:val="single" w:sz="4" w:space="0" w:color="auto"/>
            </w:tcBorders>
          </w:tcPr>
          <w:p w:rsidR="00CD3DA2" w:rsidRPr="00CD3DA2" w:rsidRDefault="00A60A54" w:rsidP="00FE1302">
            <w:pPr>
              <w:spacing w:before="60" w:after="60"/>
              <w:rPr>
                <w:rFonts w:ascii="Arial" w:eastAsia="SimSun" w:hAnsi="Arial" w:cs="Arial"/>
                <w:sz w:val="16"/>
                <w:szCs w:val="16"/>
              </w:rPr>
            </w:pPr>
            <w:r>
              <w:rPr>
                <w:rFonts w:ascii="Arial" w:eastAsia="SimSun" w:hAnsi="Arial" w:cs="Arial"/>
                <w:sz w:val="16"/>
                <w:szCs w:val="16"/>
              </w:rPr>
              <w:t>15</w:t>
            </w:r>
            <w:r w:rsidR="00FE1302">
              <w:rPr>
                <w:rFonts w:ascii="Arial" w:eastAsia="SimSun" w:hAnsi="Arial" w:cs="Arial"/>
                <w:sz w:val="16"/>
                <w:szCs w:val="16"/>
              </w:rPr>
              <w:t xml:space="preserve"> minutes</w:t>
            </w:r>
          </w:p>
        </w:tc>
        <w:tc>
          <w:tcPr>
            <w:tcW w:w="1664" w:type="dxa"/>
            <w:tcBorders>
              <w:top w:val="single" w:sz="4" w:space="0" w:color="auto"/>
              <w:left w:val="single" w:sz="4" w:space="0" w:color="auto"/>
              <w:bottom w:val="single" w:sz="4" w:space="0" w:color="auto"/>
              <w:right w:val="single" w:sz="4" w:space="0" w:color="auto"/>
            </w:tcBorders>
          </w:tcPr>
          <w:p w:rsidR="00037733"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25</w:t>
            </w:r>
            <w:r w:rsidR="00037733">
              <w:rPr>
                <w:rFonts w:ascii="Arial" w:eastAsia="SimSun" w:hAnsi="Arial" w:cs="Arial"/>
                <w:sz w:val="16"/>
                <w:szCs w:val="16"/>
              </w:rPr>
              <w:t xml:space="preserve"> hours</w:t>
            </w:r>
          </w:p>
        </w:tc>
      </w:tr>
      <w:tr w:rsidR="00CD3DA2" w:rsidRPr="00CD3DA2" w:rsidTr="00CD3DA2">
        <w:tc>
          <w:tcPr>
            <w:tcW w:w="2021" w:type="dxa"/>
            <w:tcBorders>
              <w:top w:val="single" w:sz="4" w:space="0" w:color="auto"/>
              <w:left w:val="single" w:sz="4" w:space="0" w:color="auto"/>
              <w:bottom w:val="single" w:sz="4" w:space="0" w:color="auto"/>
              <w:right w:val="single" w:sz="4" w:space="0" w:color="auto"/>
            </w:tcBorders>
          </w:tcPr>
          <w:p w:rsidR="00CD3DA2" w:rsidRPr="009F72DC" w:rsidRDefault="00CD3DA2" w:rsidP="00FE1302">
            <w:pPr>
              <w:spacing w:before="60" w:after="60"/>
              <w:rPr>
                <w:rFonts w:ascii="Arial" w:hAnsi="Arial" w:cs="Arial"/>
                <w:sz w:val="16"/>
                <w:szCs w:val="16"/>
                <w:u w:val="single"/>
              </w:rPr>
            </w:pPr>
            <w:r w:rsidRPr="009F72DC">
              <w:rPr>
                <w:rFonts w:ascii="Arial" w:hAnsi="Arial" w:cs="Arial"/>
                <w:sz w:val="16"/>
                <w:szCs w:val="16"/>
                <w:u w:val="single"/>
              </w:rPr>
              <w:t xml:space="preserve">NIJ CTP </w:t>
            </w:r>
            <w:proofErr w:type="spellStart"/>
            <w:r w:rsidRPr="009F72DC">
              <w:rPr>
                <w:rFonts w:ascii="Arial" w:hAnsi="Arial" w:cs="Arial"/>
                <w:sz w:val="16"/>
                <w:szCs w:val="16"/>
                <w:u w:val="single"/>
              </w:rPr>
              <w:t>Listee</w:t>
            </w:r>
            <w:proofErr w:type="spellEnd"/>
            <w:r w:rsidRPr="009F72DC">
              <w:rPr>
                <w:rFonts w:ascii="Arial" w:hAnsi="Arial" w:cs="Arial"/>
                <w:sz w:val="16"/>
                <w:szCs w:val="16"/>
                <w:u w:val="single"/>
              </w:rPr>
              <w:t xml:space="preserve"> Notification</w:t>
            </w:r>
          </w:p>
        </w:tc>
        <w:tc>
          <w:tcPr>
            <w:tcW w:w="1690"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6</w:t>
            </w:r>
            <w:r w:rsidR="00CD3DA2">
              <w:rPr>
                <w:rFonts w:ascii="Arial" w:eastAsia="SimSun"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6</w:t>
            </w:r>
            <w:r w:rsidR="00FE1302">
              <w:rPr>
                <w:rFonts w:ascii="Arial" w:eastAsia="SimSun" w:hAnsi="Arial" w:cs="Arial"/>
                <w:sz w:val="16"/>
                <w:szCs w:val="16"/>
              </w:rPr>
              <w:t>0</w:t>
            </w:r>
          </w:p>
        </w:tc>
        <w:tc>
          <w:tcPr>
            <w:tcW w:w="1780" w:type="dxa"/>
            <w:tcBorders>
              <w:top w:val="single" w:sz="4" w:space="0" w:color="auto"/>
              <w:left w:val="single" w:sz="4" w:space="0" w:color="auto"/>
              <w:bottom w:val="single" w:sz="4" w:space="0" w:color="auto"/>
              <w:right w:val="single" w:sz="4" w:space="0" w:color="auto"/>
            </w:tcBorders>
          </w:tcPr>
          <w:p w:rsidR="00CD3DA2" w:rsidRPr="00CD3DA2" w:rsidRDefault="00A60A54" w:rsidP="00FE1302">
            <w:pPr>
              <w:spacing w:before="60" w:after="60"/>
              <w:rPr>
                <w:rFonts w:ascii="Arial" w:eastAsia="SimSun" w:hAnsi="Arial" w:cs="Arial"/>
                <w:sz w:val="16"/>
                <w:szCs w:val="16"/>
              </w:rPr>
            </w:pPr>
            <w:r>
              <w:rPr>
                <w:rFonts w:ascii="Arial" w:eastAsia="SimSun" w:hAnsi="Arial" w:cs="Arial"/>
                <w:sz w:val="16"/>
                <w:szCs w:val="16"/>
              </w:rPr>
              <w:t>15</w:t>
            </w:r>
            <w:r w:rsidR="00FE1302">
              <w:rPr>
                <w:rFonts w:ascii="Arial" w:eastAsia="SimSun" w:hAnsi="Arial" w:cs="Arial"/>
                <w:sz w:val="16"/>
                <w:szCs w:val="16"/>
              </w:rPr>
              <w:t xml:space="preserve"> minutes</w:t>
            </w:r>
          </w:p>
        </w:tc>
        <w:tc>
          <w:tcPr>
            <w:tcW w:w="1664"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15</w:t>
            </w:r>
            <w:r w:rsidR="00FE1302">
              <w:rPr>
                <w:rFonts w:ascii="Arial" w:eastAsia="SimSun" w:hAnsi="Arial" w:cs="Arial"/>
                <w:sz w:val="16"/>
                <w:szCs w:val="16"/>
              </w:rPr>
              <w:t xml:space="preserve"> hours</w:t>
            </w:r>
          </w:p>
        </w:tc>
      </w:tr>
      <w:tr w:rsidR="00CD3DA2" w:rsidRPr="00CD3DA2" w:rsidTr="00CD3DA2">
        <w:tc>
          <w:tcPr>
            <w:tcW w:w="2021" w:type="dxa"/>
            <w:tcBorders>
              <w:top w:val="single" w:sz="4" w:space="0" w:color="auto"/>
              <w:left w:val="single" w:sz="4" w:space="0" w:color="auto"/>
              <w:bottom w:val="single" w:sz="4" w:space="0" w:color="auto"/>
              <w:right w:val="single" w:sz="4" w:space="0" w:color="auto"/>
            </w:tcBorders>
          </w:tcPr>
          <w:p w:rsidR="00CD3DA2" w:rsidRPr="009F72DC" w:rsidRDefault="00CD3DA2" w:rsidP="00FE1302">
            <w:pPr>
              <w:spacing w:before="60" w:after="60"/>
              <w:rPr>
                <w:rFonts w:ascii="Arial" w:hAnsi="Arial" w:cs="Arial"/>
                <w:sz w:val="16"/>
                <w:szCs w:val="16"/>
                <w:u w:val="single"/>
              </w:rPr>
            </w:pPr>
            <w:r w:rsidRPr="009F72DC">
              <w:rPr>
                <w:rFonts w:ascii="Arial" w:hAnsi="Arial" w:cs="Arial"/>
                <w:sz w:val="16"/>
                <w:szCs w:val="16"/>
                <w:u w:val="single"/>
              </w:rPr>
              <w:t>NIJ Approved Laboratory Application and Agreement</w:t>
            </w:r>
          </w:p>
        </w:tc>
        <w:tc>
          <w:tcPr>
            <w:tcW w:w="1690"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5</w:t>
            </w:r>
          </w:p>
        </w:tc>
        <w:tc>
          <w:tcPr>
            <w:tcW w:w="1701"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5</w:t>
            </w:r>
          </w:p>
        </w:tc>
        <w:tc>
          <w:tcPr>
            <w:tcW w:w="1780"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60</w:t>
            </w:r>
            <w:r w:rsidR="00FE1302">
              <w:rPr>
                <w:rFonts w:ascii="Arial" w:eastAsia="SimSun" w:hAnsi="Arial" w:cs="Arial"/>
                <w:sz w:val="16"/>
                <w:szCs w:val="16"/>
              </w:rPr>
              <w:t xml:space="preserve"> minutes</w:t>
            </w:r>
          </w:p>
        </w:tc>
        <w:tc>
          <w:tcPr>
            <w:tcW w:w="1664" w:type="dxa"/>
            <w:tcBorders>
              <w:top w:val="single" w:sz="4" w:space="0" w:color="auto"/>
              <w:left w:val="single" w:sz="4" w:space="0" w:color="auto"/>
              <w:bottom w:val="single" w:sz="4" w:space="0" w:color="auto"/>
              <w:right w:val="single" w:sz="4" w:space="0" w:color="auto"/>
            </w:tcBorders>
          </w:tcPr>
          <w:p w:rsidR="00CD3DA2" w:rsidRPr="00CD3DA2" w:rsidRDefault="00207960" w:rsidP="00207960">
            <w:pPr>
              <w:spacing w:before="60" w:after="60"/>
              <w:rPr>
                <w:rFonts w:ascii="Arial" w:eastAsia="SimSun" w:hAnsi="Arial" w:cs="Arial"/>
                <w:sz w:val="16"/>
                <w:szCs w:val="16"/>
              </w:rPr>
            </w:pPr>
            <w:r>
              <w:rPr>
                <w:rFonts w:ascii="Arial" w:eastAsia="SimSun" w:hAnsi="Arial" w:cs="Arial"/>
                <w:sz w:val="16"/>
                <w:szCs w:val="16"/>
              </w:rPr>
              <w:t>5</w:t>
            </w:r>
            <w:r w:rsidR="00FE1302">
              <w:rPr>
                <w:rFonts w:ascii="Arial" w:eastAsia="SimSun" w:hAnsi="Arial" w:cs="Arial"/>
                <w:sz w:val="16"/>
                <w:szCs w:val="16"/>
              </w:rPr>
              <w:t xml:space="preserve"> hours</w:t>
            </w:r>
          </w:p>
        </w:tc>
      </w:tr>
      <w:tr w:rsidR="00A60A54" w:rsidRPr="00CD3DA2" w:rsidTr="00CD3DA2">
        <w:tc>
          <w:tcPr>
            <w:tcW w:w="2021" w:type="dxa"/>
            <w:tcBorders>
              <w:top w:val="single" w:sz="4" w:space="0" w:color="auto"/>
              <w:left w:val="single" w:sz="4" w:space="0" w:color="auto"/>
              <w:bottom w:val="single" w:sz="4" w:space="0" w:color="auto"/>
              <w:right w:val="single" w:sz="4" w:space="0" w:color="auto"/>
            </w:tcBorders>
          </w:tcPr>
          <w:p w:rsidR="00A60A54" w:rsidRPr="00A60A54" w:rsidRDefault="00A60A54" w:rsidP="00FE1302">
            <w:pPr>
              <w:spacing w:before="60" w:after="60"/>
              <w:rPr>
                <w:rFonts w:ascii="Arial" w:hAnsi="Arial" w:cs="Arial"/>
                <w:sz w:val="16"/>
                <w:szCs w:val="16"/>
                <w:u w:val="single"/>
              </w:rPr>
            </w:pPr>
            <w:r w:rsidRPr="00A60A54">
              <w:rPr>
                <w:rFonts w:ascii="Arial" w:hAnsi="Arial" w:cs="Arial"/>
                <w:sz w:val="16"/>
                <w:szCs w:val="16"/>
                <w:u w:val="single"/>
              </w:rPr>
              <w:t>NIJ CTP Electronic Signature Agreement</w:t>
            </w:r>
          </w:p>
        </w:tc>
        <w:tc>
          <w:tcPr>
            <w:tcW w:w="1690" w:type="dxa"/>
            <w:tcBorders>
              <w:top w:val="single" w:sz="4" w:space="0" w:color="auto"/>
              <w:left w:val="single" w:sz="4" w:space="0" w:color="auto"/>
              <w:bottom w:val="single" w:sz="4" w:space="0" w:color="auto"/>
              <w:right w:val="single" w:sz="4" w:space="0" w:color="auto"/>
            </w:tcBorders>
          </w:tcPr>
          <w:p w:rsidR="00A60A54" w:rsidRDefault="00A60A54" w:rsidP="00FE1302">
            <w:pPr>
              <w:spacing w:before="60" w:after="60"/>
              <w:rPr>
                <w:rFonts w:ascii="Arial" w:eastAsia="SimSun" w:hAnsi="Arial" w:cs="Arial"/>
                <w:sz w:val="16"/>
                <w:szCs w:val="16"/>
              </w:rPr>
            </w:pPr>
            <w:r>
              <w:rPr>
                <w:rFonts w:ascii="Arial" w:eastAsia="SimSun" w:hAnsi="Arial" w:cs="Arial"/>
                <w:sz w:val="16"/>
                <w:szCs w:val="16"/>
              </w:rPr>
              <w:t>60</w:t>
            </w:r>
          </w:p>
        </w:tc>
        <w:tc>
          <w:tcPr>
            <w:tcW w:w="1701" w:type="dxa"/>
            <w:tcBorders>
              <w:top w:val="single" w:sz="4" w:space="0" w:color="auto"/>
              <w:left w:val="single" w:sz="4" w:space="0" w:color="auto"/>
              <w:bottom w:val="single" w:sz="4" w:space="0" w:color="auto"/>
              <w:right w:val="single" w:sz="4" w:space="0" w:color="auto"/>
            </w:tcBorders>
          </w:tcPr>
          <w:p w:rsidR="00A60A54" w:rsidRDefault="00207960" w:rsidP="00FE1302">
            <w:pPr>
              <w:spacing w:before="60" w:after="60"/>
              <w:rPr>
                <w:rFonts w:ascii="Arial" w:eastAsia="SimSun" w:hAnsi="Arial" w:cs="Arial"/>
                <w:sz w:val="16"/>
                <w:szCs w:val="16"/>
              </w:rPr>
            </w:pPr>
            <w:r>
              <w:rPr>
                <w:rFonts w:ascii="Arial" w:eastAsia="SimSun" w:hAnsi="Arial" w:cs="Arial"/>
                <w:sz w:val="16"/>
                <w:szCs w:val="16"/>
              </w:rPr>
              <w:t>6</w:t>
            </w:r>
            <w:r w:rsidR="00A60A54">
              <w:rPr>
                <w:rFonts w:ascii="Arial" w:eastAsia="SimSun" w:hAnsi="Arial" w:cs="Arial"/>
                <w:sz w:val="16"/>
                <w:szCs w:val="16"/>
              </w:rPr>
              <w:t>0</w:t>
            </w:r>
          </w:p>
        </w:tc>
        <w:tc>
          <w:tcPr>
            <w:tcW w:w="1780" w:type="dxa"/>
            <w:tcBorders>
              <w:top w:val="single" w:sz="4" w:space="0" w:color="auto"/>
              <w:left w:val="single" w:sz="4" w:space="0" w:color="auto"/>
              <w:bottom w:val="single" w:sz="4" w:space="0" w:color="auto"/>
              <w:right w:val="single" w:sz="4" w:space="0" w:color="auto"/>
            </w:tcBorders>
          </w:tcPr>
          <w:p w:rsidR="00A60A54" w:rsidRDefault="00207960" w:rsidP="00FE1302">
            <w:pPr>
              <w:spacing w:before="60" w:after="60"/>
              <w:rPr>
                <w:rFonts w:ascii="Arial" w:eastAsia="SimSun" w:hAnsi="Arial" w:cs="Arial"/>
                <w:sz w:val="16"/>
                <w:szCs w:val="16"/>
              </w:rPr>
            </w:pPr>
            <w:r>
              <w:rPr>
                <w:rFonts w:ascii="Arial" w:eastAsia="SimSun" w:hAnsi="Arial" w:cs="Arial"/>
                <w:sz w:val="16"/>
                <w:szCs w:val="16"/>
              </w:rPr>
              <w:t>10</w:t>
            </w:r>
            <w:r w:rsidR="00A60A54">
              <w:rPr>
                <w:rFonts w:ascii="Arial" w:eastAsia="SimSun" w:hAnsi="Arial" w:cs="Arial"/>
                <w:sz w:val="16"/>
                <w:szCs w:val="16"/>
              </w:rPr>
              <w:t xml:space="preserve"> minutes</w:t>
            </w:r>
          </w:p>
        </w:tc>
        <w:tc>
          <w:tcPr>
            <w:tcW w:w="1664" w:type="dxa"/>
            <w:tcBorders>
              <w:top w:val="single" w:sz="4" w:space="0" w:color="auto"/>
              <w:left w:val="single" w:sz="4" w:space="0" w:color="auto"/>
              <w:bottom w:val="single" w:sz="4" w:space="0" w:color="auto"/>
              <w:right w:val="single" w:sz="4" w:space="0" w:color="auto"/>
            </w:tcBorders>
          </w:tcPr>
          <w:p w:rsidR="00A60A54" w:rsidRDefault="00207960" w:rsidP="00FE1302">
            <w:pPr>
              <w:spacing w:before="60" w:after="60"/>
              <w:rPr>
                <w:rFonts w:ascii="Arial" w:eastAsia="SimSun" w:hAnsi="Arial" w:cs="Arial"/>
                <w:sz w:val="16"/>
                <w:szCs w:val="16"/>
              </w:rPr>
            </w:pPr>
            <w:r>
              <w:rPr>
                <w:rFonts w:ascii="Arial" w:eastAsia="SimSun" w:hAnsi="Arial" w:cs="Arial"/>
                <w:sz w:val="16"/>
                <w:szCs w:val="16"/>
              </w:rPr>
              <w:t>10</w:t>
            </w:r>
            <w:r w:rsidR="00A60A54">
              <w:rPr>
                <w:rFonts w:ascii="Arial" w:eastAsia="SimSun" w:hAnsi="Arial" w:cs="Arial"/>
                <w:sz w:val="16"/>
                <w:szCs w:val="16"/>
              </w:rPr>
              <w:t xml:space="preserve"> hours</w:t>
            </w:r>
          </w:p>
        </w:tc>
      </w:tr>
      <w:tr w:rsidR="00CD3DA2" w:rsidRPr="00CD3DA2" w:rsidTr="00CD3DA2">
        <w:tc>
          <w:tcPr>
            <w:tcW w:w="2021" w:type="dxa"/>
            <w:tcBorders>
              <w:top w:val="single" w:sz="4" w:space="0" w:color="auto"/>
              <w:left w:val="single" w:sz="4" w:space="0" w:color="auto"/>
              <w:bottom w:val="single" w:sz="4" w:space="0" w:color="auto"/>
              <w:right w:val="single" w:sz="4" w:space="0" w:color="auto"/>
            </w:tcBorders>
          </w:tcPr>
          <w:p w:rsidR="00CD3DA2" w:rsidRPr="00CD3DA2" w:rsidRDefault="00CD3DA2" w:rsidP="00FE1302">
            <w:pPr>
              <w:spacing w:before="60" w:after="60"/>
              <w:rPr>
                <w:rFonts w:ascii="Arial" w:eastAsia="SimSun" w:hAnsi="Arial" w:cs="Arial"/>
                <w:sz w:val="16"/>
                <w:szCs w:val="16"/>
              </w:rPr>
            </w:pPr>
            <w:r w:rsidRPr="00CD3DA2">
              <w:rPr>
                <w:rFonts w:ascii="Arial" w:eastAsia="SimSun" w:hAnsi="Arial" w:cs="Arial"/>
                <w:sz w:val="16"/>
                <w:szCs w:val="16"/>
              </w:rPr>
              <w:t>Total</w:t>
            </w:r>
          </w:p>
        </w:tc>
        <w:tc>
          <w:tcPr>
            <w:tcW w:w="1690" w:type="dxa"/>
            <w:tcBorders>
              <w:top w:val="single" w:sz="4" w:space="0" w:color="auto"/>
              <w:left w:val="single" w:sz="4" w:space="0" w:color="auto"/>
              <w:bottom w:val="single" w:sz="4" w:space="0" w:color="auto"/>
              <w:right w:val="single" w:sz="4" w:space="0" w:color="auto"/>
            </w:tcBorders>
          </w:tcPr>
          <w:p w:rsidR="00CD3DA2" w:rsidRPr="00CD3DA2" w:rsidRDefault="00CD3DA2" w:rsidP="00FE1302">
            <w:pPr>
              <w:spacing w:before="60" w:after="60"/>
              <w:rPr>
                <w:rFonts w:ascii="Arial" w:eastAsia="SimSun"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CD3DA2" w:rsidRPr="00CD3DA2" w:rsidRDefault="00207960" w:rsidP="00FE1302">
            <w:pPr>
              <w:spacing w:before="60" w:after="60"/>
              <w:rPr>
                <w:rFonts w:ascii="Arial" w:eastAsia="SimSun" w:hAnsi="Arial" w:cs="Arial"/>
                <w:sz w:val="16"/>
                <w:szCs w:val="16"/>
              </w:rPr>
            </w:pPr>
            <w:r>
              <w:rPr>
                <w:rFonts w:ascii="Arial" w:eastAsia="SimSun" w:hAnsi="Arial" w:cs="Arial"/>
                <w:sz w:val="16"/>
                <w:szCs w:val="16"/>
              </w:rPr>
              <w:t>630</w:t>
            </w:r>
          </w:p>
        </w:tc>
        <w:tc>
          <w:tcPr>
            <w:tcW w:w="1780" w:type="dxa"/>
            <w:tcBorders>
              <w:top w:val="single" w:sz="4" w:space="0" w:color="auto"/>
              <w:left w:val="single" w:sz="4" w:space="0" w:color="auto"/>
              <w:bottom w:val="single" w:sz="4" w:space="0" w:color="auto"/>
              <w:right w:val="single" w:sz="4" w:space="0" w:color="auto"/>
            </w:tcBorders>
          </w:tcPr>
          <w:p w:rsidR="00037733" w:rsidRPr="00CD3DA2" w:rsidRDefault="00037733" w:rsidP="00037733">
            <w:pPr>
              <w:spacing w:before="60" w:after="60"/>
              <w:rPr>
                <w:rFonts w:ascii="Arial" w:eastAsia="SimSun" w:hAnsi="Arial" w:cs="Arial"/>
                <w:sz w:val="16"/>
                <w:szCs w:val="16"/>
              </w:rPr>
            </w:pPr>
          </w:p>
        </w:tc>
        <w:tc>
          <w:tcPr>
            <w:tcW w:w="1664" w:type="dxa"/>
            <w:tcBorders>
              <w:top w:val="single" w:sz="4" w:space="0" w:color="auto"/>
              <w:left w:val="single" w:sz="4" w:space="0" w:color="auto"/>
              <w:bottom w:val="single" w:sz="4" w:space="0" w:color="auto"/>
              <w:right w:val="single" w:sz="4" w:space="0" w:color="auto"/>
            </w:tcBorders>
          </w:tcPr>
          <w:p w:rsidR="00CD3DA2" w:rsidRPr="00CD3DA2" w:rsidRDefault="00207960" w:rsidP="00037733">
            <w:pPr>
              <w:spacing w:before="60" w:after="60"/>
              <w:rPr>
                <w:rFonts w:ascii="Arial" w:eastAsia="SimSun" w:hAnsi="Arial" w:cs="Arial"/>
                <w:sz w:val="16"/>
                <w:szCs w:val="16"/>
              </w:rPr>
            </w:pPr>
            <w:r>
              <w:rPr>
                <w:rFonts w:ascii="Arial" w:eastAsia="SimSun" w:hAnsi="Arial" w:cs="Arial"/>
                <w:sz w:val="16"/>
                <w:szCs w:val="16"/>
              </w:rPr>
              <w:t>328.8</w:t>
            </w:r>
            <w:r w:rsidR="00037733">
              <w:rPr>
                <w:rFonts w:ascii="Arial" w:eastAsia="SimSun" w:hAnsi="Arial" w:cs="Arial"/>
                <w:sz w:val="16"/>
                <w:szCs w:val="16"/>
              </w:rPr>
              <w:t xml:space="preserve"> hours</w:t>
            </w:r>
          </w:p>
        </w:tc>
      </w:tr>
      <w:bookmarkEnd w:id="5"/>
      <w:bookmarkEnd w:id="6"/>
    </w:tbl>
    <w:p w:rsidR="00B32181" w:rsidRPr="00CD3DA2" w:rsidRDefault="00B32181" w:rsidP="009304DC">
      <w:pPr>
        <w:rPr>
          <w:rFonts w:ascii="Arial" w:hAnsi="Arial" w:cs="Arial"/>
          <w:sz w:val="16"/>
          <w:szCs w:val="16"/>
        </w:rPr>
      </w:pPr>
    </w:p>
    <w:p w:rsidR="00B32181" w:rsidRDefault="00841C37" w:rsidP="00B73D8D">
      <w:r>
        <w:t>Estimates are based on upon the current NIJ CTP utilizing a similar collection.</w:t>
      </w:r>
    </w:p>
    <w:p w:rsidR="00B32181" w:rsidRDefault="00B32181" w:rsidP="009304DC"/>
    <w:p w:rsidR="00B32181" w:rsidRDefault="00207960" w:rsidP="009304DC">
      <w:r>
        <w:t>13. Estimate of Cost Burden:</w:t>
      </w:r>
    </w:p>
    <w:p w:rsidR="00B32181" w:rsidRDefault="00B32181" w:rsidP="009304DC"/>
    <w:p w:rsidR="00210F9B" w:rsidRDefault="00210F9B" w:rsidP="008A44CC">
      <w:bookmarkStart w:id="7" w:name="OLE_LINK35"/>
      <w:bookmarkStart w:id="8" w:name="OLE_LINK36"/>
      <w:r w:rsidRPr="008D2BB8">
        <w:t xml:space="preserve">There are no start up or capital costs associated with this information collection because the information requested is already maintained by the </w:t>
      </w:r>
      <w:r w:rsidR="00841C37">
        <w:t>applicants</w:t>
      </w:r>
      <w:r w:rsidRPr="008D2BB8">
        <w:t xml:space="preserve">. </w:t>
      </w:r>
      <w:r w:rsidR="00E8092F" w:rsidRPr="008D2BB8">
        <w:t>There are also no fees or costs charged to the applicant for submitting forms for this collection.</w:t>
      </w:r>
    </w:p>
    <w:p w:rsidR="00E8092F" w:rsidRDefault="00E8092F" w:rsidP="008A44CC"/>
    <w:bookmarkEnd w:id="7"/>
    <w:bookmarkEnd w:id="8"/>
    <w:p w:rsidR="00B32181" w:rsidRDefault="00B32181" w:rsidP="009304DC">
      <w:r>
        <w:t>14. Estimated Annualized Cost to Federal Government:</w:t>
      </w:r>
    </w:p>
    <w:p w:rsidR="00B32181" w:rsidRDefault="00B32181" w:rsidP="009304DC"/>
    <w:p w:rsidR="00210F9B" w:rsidRPr="00626A43" w:rsidRDefault="00626A43" w:rsidP="00210F9B">
      <w:bookmarkStart w:id="9" w:name="OLE_LINK37"/>
      <w:bookmarkStart w:id="10" w:name="OLE_LINK38"/>
      <w:r w:rsidRPr="00626A43">
        <w:t xml:space="preserve">These forms are processed by a “contractor” under a cooperative agreement with NIJ. The portion of the cooperative agreement related to costs to process forms is </w:t>
      </w:r>
      <w:r w:rsidR="00207960">
        <w:t>estimated at $40</w:t>
      </w:r>
      <w:r w:rsidRPr="00626A43">
        <w:t>,000 annually.</w:t>
      </w:r>
    </w:p>
    <w:bookmarkEnd w:id="9"/>
    <w:bookmarkEnd w:id="10"/>
    <w:p w:rsidR="00B32181" w:rsidRDefault="00B32181" w:rsidP="00A74C21"/>
    <w:p w:rsidR="00B32181" w:rsidRPr="00A74C21" w:rsidRDefault="00B32181" w:rsidP="00A74C21">
      <w:r w:rsidRPr="00A74C21">
        <w:t>15. Reasons for Change in Burden:</w:t>
      </w:r>
    </w:p>
    <w:p w:rsidR="00B32181" w:rsidRDefault="00B32181" w:rsidP="00364CDC"/>
    <w:p w:rsidR="000721A1" w:rsidRDefault="000721A1" w:rsidP="00210F9B">
      <w:r>
        <w:t>Based upon experience, a change has occurred in the number of estimated responses</w:t>
      </w:r>
      <w:r w:rsidR="00207960">
        <w:t xml:space="preserve"> and time to complete the responses.</w:t>
      </w:r>
    </w:p>
    <w:p w:rsidR="000721A1" w:rsidRDefault="000721A1" w:rsidP="00210F9B"/>
    <w:p w:rsidR="00FD24A6" w:rsidRPr="00126EF5" w:rsidRDefault="00FD24A6" w:rsidP="00210F9B">
      <w:r w:rsidRPr="00126EF5">
        <w:t xml:space="preserve">An </w:t>
      </w:r>
      <w:r w:rsidR="00207960">
        <w:t>additional form has also been submitted in order to utilize electronic signatures that are legally binding.</w:t>
      </w:r>
    </w:p>
    <w:p w:rsidR="00210F9B" w:rsidRDefault="00210F9B" w:rsidP="00364CDC"/>
    <w:p w:rsidR="00B32181" w:rsidRPr="000721A1" w:rsidRDefault="00B32181" w:rsidP="00364CDC">
      <w:r w:rsidRPr="000721A1">
        <w:lastRenderedPageBreak/>
        <w:t>The table below summarizes the changes since the last renewal of this information collection.</w:t>
      </w:r>
    </w:p>
    <w:p w:rsidR="00B32181" w:rsidRDefault="00B32181" w:rsidP="00364C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167"/>
        <w:gridCol w:w="2144"/>
        <w:gridCol w:w="2141"/>
      </w:tblGrid>
      <w:tr w:rsidR="00317A59" w:rsidTr="00207960">
        <w:tc>
          <w:tcPr>
            <w:tcW w:w="2178" w:type="dxa"/>
            <w:vAlign w:val="center"/>
          </w:tcPr>
          <w:p w:rsidR="00CA68B7" w:rsidRPr="00317A59" w:rsidRDefault="00317A59" w:rsidP="00317A59">
            <w:pPr>
              <w:spacing w:before="60" w:after="60"/>
              <w:jc w:val="center"/>
              <w:rPr>
                <w:rFonts w:eastAsia="SimSun"/>
                <w:sz w:val="20"/>
                <w:szCs w:val="20"/>
              </w:rPr>
            </w:pPr>
            <w:r w:rsidRPr="00317A59">
              <w:rPr>
                <w:rFonts w:eastAsia="SimSun"/>
                <w:b/>
                <w:sz w:val="20"/>
                <w:szCs w:val="20"/>
              </w:rPr>
              <w:t>BURDEN</w:t>
            </w:r>
            <w:r w:rsidRPr="00317A59">
              <w:rPr>
                <w:rFonts w:eastAsia="SimSun"/>
                <w:sz w:val="20"/>
                <w:szCs w:val="20"/>
              </w:rPr>
              <w:t>:</w:t>
            </w:r>
          </w:p>
        </w:tc>
        <w:tc>
          <w:tcPr>
            <w:tcW w:w="2167" w:type="dxa"/>
            <w:vAlign w:val="center"/>
          </w:tcPr>
          <w:p w:rsidR="00CA68B7" w:rsidRPr="00317A59" w:rsidRDefault="00317A59" w:rsidP="00317A59">
            <w:pPr>
              <w:spacing w:before="60" w:after="60"/>
              <w:jc w:val="center"/>
              <w:rPr>
                <w:rFonts w:eastAsia="SimSun"/>
                <w:sz w:val="20"/>
                <w:szCs w:val="20"/>
                <w:u w:val="single"/>
              </w:rPr>
            </w:pPr>
            <w:r w:rsidRPr="00317A59">
              <w:rPr>
                <w:rFonts w:eastAsia="SimSun"/>
                <w:sz w:val="20"/>
                <w:szCs w:val="20"/>
                <w:u w:val="single"/>
              </w:rPr>
              <w:t>RESPONSES</w:t>
            </w:r>
          </w:p>
        </w:tc>
        <w:tc>
          <w:tcPr>
            <w:tcW w:w="2144" w:type="dxa"/>
            <w:vAlign w:val="center"/>
          </w:tcPr>
          <w:p w:rsidR="00CA68B7" w:rsidRPr="00317A59" w:rsidRDefault="00317A59" w:rsidP="00317A59">
            <w:pPr>
              <w:spacing w:before="60" w:after="60"/>
              <w:jc w:val="center"/>
              <w:rPr>
                <w:rFonts w:eastAsia="SimSun"/>
                <w:sz w:val="20"/>
                <w:szCs w:val="20"/>
                <w:u w:val="single"/>
              </w:rPr>
            </w:pPr>
            <w:r w:rsidRPr="00317A59">
              <w:rPr>
                <w:rFonts w:eastAsia="SimSun"/>
                <w:sz w:val="20"/>
                <w:szCs w:val="20"/>
                <w:u w:val="single"/>
              </w:rPr>
              <w:t>HOURS</w:t>
            </w:r>
          </w:p>
        </w:tc>
        <w:tc>
          <w:tcPr>
            <w:tcW w:w="2141" w:type="dxa"/>
            <w:vAlign w:val="center"/>
          </w:tcPr>
          <w:p w:rsidR="00CA68B7" w:rsidRPr="00317A59" w:rsidRDefault="00317A59" w:rsidP="00317A59">
            <w:pPr>
              <w:spacing w:before="60" w:after="60"/>
              <w:jc w:val="center"/>
              <w:rPr>
                <w:rFonts w:eastAsia="SimSun"/>
                <w:sz w:val="20"/>
                <w:szCs w:val="20"/>
                <w:u w:val="single"/>
              </w:rPr>
            </w:pPr>
            <w:r w:rsidRPr="00317A59">
              <w:rPr>
                <w:rFonts w:eastAsia="SimSun"/>
                <w:sz w:val="20"/>
                <w:szCs w:val="20"/>
                <w:u w:val="single"/>
              </w:rPr>
              <w:t>COSTS</w:t>
            </w:r>
          </w:p>
        </w:tc>
      </w:tr>
      <w:tr w:rsidR="00207960" w:rsidTr="00207960">
        <w:tc>
          <w:tcPr>
            <w:tcW w:w="2178" w:type="dxa"/>
            <w:vAlign w:val="center"/>
          </w:tcPr>
          <w:p w:rsidR="00207960" w:rsidRPr="00317A59" w:rsidRDefault="00207960" w:rsidP="00207960">
            <w:pPr>
              <w:spacing w:before="60" w:after="60"/>
              <w:rPr>
                <w:rFonts w:eastAsia="SimSun"/>
                <w:sz w:val="20"/>
                <w:szCs w:val="20"/>
              </w:rPr>
            </w:pPr>
            <w:r w:rsidRPr="00317A59">
              <w:rPr>
                <w:rFonts w:eastAsia="SimSun"/>
                <w:sz w:val="20"/>
                <w:szCs w:val="20"/>
              </w:rPr>
              <w:t>Previous</w:t>
            </w:r>
            <w:r>
              <w:rPr>
                <w:rFonts w:eastAsia="SimSun"/>
                <w:sz w:val="20"/>
                <w:szCs w:val="20"/>
              </w:rPr>
              <w:t xml:space="preserve"> (2013)</w:t>
            </w:r>
          </w:p>
        </w:tc>
        <w:tc>
          <w:tcPr>
            <w:tcW w:w="2167" w:type="dxa"/>
            <w:vAlign w:val="center"/>
          </w:tcPr>
          <w:p w:rsidR="00207960" w:rsidRPr="00317A59" w:rsidRDefault="00207960" w:rsidP="00207960">
            <w:pPr>
              <w:spacing w:before="60" w:after="60"/>
              <w:jc w:val="center"/>
              <w:rPr>
                <w:rFonts w:eastAsia="SimSun"/>
                <w:sz w:val="20"/>
                <w:szCs w:val="20"/>
              </w:rPr>
            </w:pPr>
            <w:r>
              <w:rPr>
                <w:rFonts w:eastAsia="SimSun"/>
                <w:sz w:val="20"/>
                <w:szCs w:val="20"/>
              </w:rPr>
              <w:t>774</w:t>
            </w:r>
          </w:p>
        </w:tc>
        <w:tc>
          <w:tcPr>
            <w:tcW w:w="2144" w:type="dxa"/>
            <w:vAlign w:val="center"/>
          </w:tcPr>
          <w:p w:rsidR="00207960" w:rsidRPr="00317A59" w:rsidRDefault="00207960" w:rsidP="00207960">
            <w:pPr>
              <w:spacing w:before="60" w:after="60"/>
              <w:jc w:val="center"/>
              <w:rPr>
                <w:rFonts w:eastAsia="SimSun"/>
                <w:sz w:val="20"/>
                <w:szCs w:val="20"/>
              </w:rPr>
            </w:pPr>
            <w:r>
              <w:rPr>
                <w:rFonts w:eastAsia="SimSun"/>
                <w:sz w:val="20"/>
                <w:szCs w:val="20"/>
              </w:rPr>
              <w:t>431</w:t>
            </w:r>
          </w:p>
        </w:tc>
        <w:tc>
          <w:tcPr>
            <w:tcW w:w="2141" w:type="dxa"/>
            <w:vAlign w:val="center"/>
          </w:tcPr>
          <w:p w:rsidR="00207960" w:rsidRPr="00317A59" w:rsidRDefault="00207960" w:rsidP="00207960">
            <w:pPr>
              <w:spacing w:before="60" w:after="60"/>
              <w:jc w:val="center"/>
              <w:rPr>
                <w:rFonts w:eastAsia="SimSun"/>
                <w:sz w:val="20"/>
                <w:szCs w:val="20"/>
              </w:rPr>
            </w:pPr>
            <w:r>
              <w:rPr>
                <w:rFonts w:eastAsia="SimSun"/>
                <w:sz w:val="20"/>
                <w:szCs w:val="20"/>
              </w:rPr>
              <w:t>0</w:t>
            </w:r>
          </w:p>
        </w:tc>
      </w:tr>
      <w:tr w:rsidR="00317A59" w:rsidTr="00207960">
        <w:tc>
          <w:tcPr>
            <w:tcW w:w="2178" w:type="dxa"/>
            <w:vAlign w:val="center"/>
          </w:tcPr>
          <w:p w:rsidR="00CA68B7" w:rsidRPr="00317A59" w:rsidRDefault="00317A59" w:rsidP="00317A59">
            <w:pPr>
              <w:spacing w:before="60" w:after="60"/>
              <w:rPr>
                <w:rFonts w:eastAsia="SimSun"/>
                <w:sz w:val="20"/>
                <w:szCs w:val="20"/>
              </w:rPr>
            </w:pPr>
            <w:r w:rsidRPr="00317A59">
              <w:rPr>
                <w:rFonts w:eastAsia="SimSun"/>
                <w:sz w:val="20"/>
                <w:szCs w:val="20"/>
              </w:rPr>
              <w:t>New</w:t>
            </w:r>
            <w:r w:rsidR="00207960">
              <w:rPr>
                <w:rFonts w:eastAsia="SimSun"/>
                <w:sz w:val="20"/>
                <w:szCs w:val="20"/>
              </w:rPr>
              <w:t xml:space="preserve"> (2016</w:t>
            </w:r>
            <w:r>
              <w:rPr>
                <w:rFonts w:eastAsia="SimSun"/>
                <w:sz w:val="20"/>
                <w:szCs w:val="20"/>
              </w:rPr>
              <w:t>)</w:t>
            </w:r>
          </w:p>
        </w:tc>
        <w:tc>
          <w:tcPr>
            <w:tcW w:w="2167" w:type="dxa"/>
            <w:vAlign w:val="center"/>
          </w:tcPr>
          <w:p w:rsidR="00CA68B7" w:rsidRPr="00317A59" w:rsidRDefault="00207960" w:rsidP="00317A59">
            <w:pPr>
              <w:spacing w:before="60" w:after="60"/>
              <w:jc w:val="center"/>
              <w:rPr>
                <w:rFonts w:eastAsia="SimSun"/>
                <w:sz w:val="20"/>
                <w:szCs w:val="20"/>
              </w:rPr>
            </w:pPr>
            <w:r>
              <w:rPr>
                <w:rFonts w:eastAsia="SimSun"/>
                <w:sz w:val="20"/>
                <w:szCs w:val="20"/>
              </w:rPr>
              <w:t>630</w:t>
            </w:r>
          </w:p>
        </w:tc>
        <w:tc>
          <w:tcPr>
            <w:tcW w:w="2144" w:type="dxa"/>
            <w:vAlign w:val="center"/>
          </w:tcPr>
          <w:p w:rsidR="00CA68B7" w:rsidRPr="00317A59" w:rsidRDefault="00207960" w:rsidP="00317A59">
            <w:pPr>
              <w:spacing w:before="60" w:after="60"/>
              <w:jc w:val="center"/>
              <w:rPr>
                <w:rFonts w:eastAsia="SimSun"/>
                <w:sz w:val="20"/>
                <w:szCs w:val="20"/>
              </w:rPr>
            </w:pPr>
            <w:r>
              <w:rPr>
                <w:rFonts w:eastAsia="SimSun"/>
                <w:sz w:val="20"/>
                <w:szCs w:val="20"/>
              </w:rPr>
              <w:t>329</w:t>
            </w:r>
          </w:p>
        </w:tc>
        <w:tc>
          <w:tcPr>
            <w:tcW w:w="2141" w:type="dxa"/>
            <w:vAlign w:val="center"/>
          </w:tcPr>
          <w:p w:rsidR="00CA68B7" w:rsidRPr="00317A59" w:rsidRDefault="00317A59" w:rsidP="00317A59">
            <w:pPr>
              <w:spacing w:before="60" w:after="60"/>
              <w:jc w:val="center"/>
              <w:rPr>
                <w:rFonts w:eastAsia="SimSun"/>
                <w:sz w:val="20"/>
                <w:szCs w:val="20"/>
              </w:rPr>
            </w:pPr>
            <w:r>
              <w:rPr>
                <w:rFonts w:eastAsia="SimSun"/>
                <w:sz w:val="20"/>
                <w:szCs w:val="20"/>
              </w:rPr>
              <w:t>0</w:t>
            </w:r>
          </w:p>
        </w:tc>
      </w:tr>
      <w:tr w:rsidR="00317A59" w:rsidTr="00207960">
        <w:tc>
          <w:tcPr>
            <w:tcW w:w="2178" w:type="dxa"/>
            <w:vAlign w:val="center"/>
          </w:tcPr>
          <w:p w:rsidR="00CA68B7" w:rsidRPr="00317A59" w:rsidRDefault="00317A59" w:rsidP="00317A59">
            <w:pPr>
              <w:spacing w:before="60" w:after="60"/>
              <w:rPr>
                <w:rFonts w:eastAsia="SimSun"/>
                <w:sz w:val="20"/>
                <w:szCs w:val="20"/>
              </w:rPr>
            </w:pPr>
            <w:r w:rsidRPr="00317A59">
              <w:rPr>
                <w:rFonts w:eastAsia="SimSun"/>
                <w:sz w:val="20"/>
                <w:szCs w:val="20"/>
              </w:rPr>
              <w:t>Difference</w:t>
            </w:r>
          </w:p>
        </w:tc>
        <w:tc>
          <w:tcPr>
            <w:tcW w:w="2167" w:type="dxa"/>
            <w:vAlign w:val="center"/>
          </w:tcPr>
          <w:p w:rsidR="00CA68B7" w:rsidRPr="00317A59" w:rsidRDefault="00207960" w:rsidP="00317A59">
            <w:pPr>
              <w:spacing w:before="60" w:after="60"/>
              <w:jc w:val="center"/>
              <w:rPr>
                <w:rFonts w:eastAsia="SimSun"/>
                <w:sz w:val="20"/>
                <w:szCs w:val="20"/>
              </w:rPr>
            </w:pPr>
            <w:r>
              <w:rPr>
                <w:rFonts w:eastAsia="SimSun"/>
                <w:sz w:val="20"/>
                <w:szCs w:val="20"/>
              </w:rPr>
              <w:t>-144</w:t>
            </w:r>
          </w:p>
        </w:tc>
        <w:tc>
          <w:tcPr>
            <w:tcW w:w="2144" w:type="dxa"/>
            <w:vAlign w:val="center"/>
          </w:tcPr>
          <w:p w:rsidR="00CA68B7" w:rsidRPr="00317A59" w:rsidRDefault="00207960" w:rsidP="00317A59">
            <w:pPr>
              <w:spacing w:before="60" w:after="60"/>
              <w:jc w:val="center"/>
              <w:rPr>
                <w:rFonts w:eastAsia="SimSun"/>
                <w:sz w:val="20"/>
                <w:szCs w:val="20"/>
              </w:rPr>
            </w:pPr>
            <w:r>
              <w:rPr>
                <w:rFonts w:eastAsia="SimSun"/>
                <w:sz w:val="20"/>
                <w:szCs w:val="20"/>
              </w:rPr>
              <w:t>-102</w:t>
            </w:r>
          </w:p>
        </w:tc>
        <w:tc>
          <w:tcPr>
            <w:tcW w:w="2141" w:type="dxa"/>
            <w:vAlign w:val="center"/>
          </w:tcPr>
          <w:p w:rsidR="00CA68B7" w:rsidRPr="00317A59" w:rsidRDefault="00317A59" w:rsidP="00317A59">
            <w:pPr>
              <w:spacing w:before="60" w:after="60"/>
              <w:jc w:val="center"/>
              <w:rPr>
                <w:rFonts w:eastAsia="SimSun"/>
                <w:sz w:val="20"/>
                <w:szCs w:val="20"/>
              </w:rPr>
            </w:pPr>
            <w:r>
              <w:rPr>
                <w:rFonts w:eastAsia="SimSun"/>
                <w:sz w:val="20"/>
                <w:szCs w:val="20"/>
              </w:rPr>
              <w:t>0</w:t>
            </w:r>
          </w:p>
        </w:tc>
      </w:tr>
      <w:tr w:rsidR="00317A59" w:rsidTr="00207960">
        <w:tc>
          <w:tcPr>
            <w:tcW w:w="2178" w:type="dxa"/>
            <w:vAlign w:val="center"/>
          </w:tcPr>
          <w:p w:rsidR="00CA68B7" w:rsidRPr="00317A59" w:rsidRDefault="00317A59" w:rsidP="00317A59">
            <w:pPr>
              <w:spacing w:before="60" w:after="60"/>
              <w:ind w:left="360"/>
              <w:rPr>
                <w:rFonts w:eastAsia="SimSun"/>
                <w:sz w:val="20"/>
                <w:szCs w:val="20"/>
              </w:rPr>
            </w:pPr>
            <w:r w:rsidRPr="00317A59">
              <w:rPr>
                <w:rFonts w:eastAsia="SimSun"/>
                <w:sz w:val="20"/>
                <w:szCs w:val="20"/>
              </w:rPr>
              <w:t>Change due to new Statue</w:t>
            </w:r>
          </w:p>
        </w:tc>
        <w:tc>
          <w:tcPr>
            <w:tcW w:w="2167" w:type="dxa"/>
            <w:vAlign w:val="center"/>
          </w:tcPr>
          <w:p w:rsidR="00CA68B7" w:rsidRPr="00317A59" w:rsidRDefault="00CA68B7" w:rsidP="00317A59">
            <w:pPr>
              <w:spacing w:before="60" w:after="60"/>
              <w:jc w:val="center"/>
              <w:rPr>
                <w:rFonts w:eastAsia="SimSun"/>
                <w:sz w:val="20"/>
                <w:szCs w:val="20"/>
              </w:rPr>
            </w:pPr>
          </w:p>
        </w:tc>
        <w:tc>
          <w:tcPr>
            <w:tcW w:w="2144" w:type="dxa"/>
            <w:vAlign w:val="center"/>
          </w:tcPr>
          <w:p w:rsidR="00CA68B7" w:rsidRPr="00317A59" w:rsidRDefault="00CA68B7" w:rsidP="00317A59">
            <w:pPr>
              <w:spacing w:before="60" w:after="60"/>
              <w:jc w:val="center"/>
              <w:rPr>
                <w:rFonts w:eastAsia="SimSun"/>
                <w:sz w:val="20"/>
                <w:szCs w:val="20"/>
              </w:rPr>
            </w:pPr>
          </w:p>
        </w:tc>
        <w:tc>
          <w:tcPr>
            <w:tcW w:w="2141" w:type="dxa"/>
            <w:vAlign w:val="center"/>
          </w:tcPr>
          <w:p w:rsidR="00CA68B7" w:rsidRPr="00317A59" w:rsidRDefault="000721A1" w:rsidP="00317A59">
            <w:pPr>
              <w:spacing w:before="60" w:after="60"/>
              <w:jc w:val="center"/>
              <w:rPr>
                <w:rFonts w:eastAsia="SimSun"/>
                <w:sz w:val="20"/>
                <w:szCs w:val="20"/>
              </w:rPr>
            </w:pPr>
            <w:r>
              <w:rPr>
                <w:rFonts w:eastAsia="SimSun"/>
                <w:sz w:val="20"/>
                <w:szCs w:val="20"/>
              </w:rPr>
              <w:t>0</w:t>
            </w:r>
          </w:p>
        </w:tc>
      </w:tr>
      <w:tr w:rsidR="00317A59" w:rsidTr="00207960">
        <w:tc>
          <w:tcPr>
            <w:tcW w:w="2178" w:type="dxa"/>
            <w:vAlign w:val="center"/>
          </w:tcPr>
          <w:p w:rsidR="00CA68B7" w:rsidRPr="00317A59" w:rsidRDefault="00317A59" w:rsidP="00317A59">
            <w:pPr>
              <w:spacing w:before="60" w:after="60"/>
              <w:ind w:left="360"/>
              <w:rPr>
                <w:rFonts w:eastAsia="SimSun"/>
                <w:sz w:val="20"/>
                <w:szCs w:val="20"/>
              </w:rPr>
            </w:pPr>
            <w:r w:rsidRPr="00317A59">
              <w:rPr>
                <w:rFonts w:eastAsia="SimSun"/>
                <w:sz w:val="20"/>
                <w:szCs w:val="20"/>
              </w:rPr>
              <w:t>Change due to Agency Discretion</w:t>
            </w:r>
          </w:p>
        </w:tc>
        <w:tc>
          <w:tcPr>
            <w:tcW w:w="2167" w:type="dxa"/>
            <w:vAlign w:val="center"/>
          </w:tcPr>
          <w:p w:rsidR="00CA68B7" w:rsidRPr="00317A59" w:rsidRDefault="00CA68B7" w:rsidP="00317A59">
            <w:pPr>
              <w:spacing w:before="60" w:after="60"/>
              <w:jc w:val="center"/>
              <w:rPr>
                <w:rFonts w:eastAsia="SimSun"/>
                <w:sz w:val="20"/>
                <w:szCs w:val="20"/>
              </w:rPr>
            </w:pPr>
          </w:p>
        </w:tc>
        <w:tc>
          <w:tcPr>
            <w:tcW w:w="2144" w:type="dxa"/>
            <w:vAlign w:val="center"/>
          </w:tcPr>
          <w:p w:rsidR="00CA68B7" w:rsidRPr="00317A59" w:rsidRDefault="00CA68B7" w:rsidP="00317A59">
            <w:pPr>
              <w:spacing w:before="60" w:after="60"/>
              <w:jc w:val="center"/>
              <w:rPr>
                <w:rFonts w:eastAsia="SimSun"/>
                <w:sz w:val="20"/>
                <w:szCs w:val="20"/>
              </w:rPr>
            </w:pPr>
          </w:p>
        </w:tc>
        <w:tc>
          <w:tcPr>
            <w:tcW w:w="2141" w:type="dxa"/>
            <w:vAlign w:val="center"/>
          </w:tcPr>
          <w:p w:rsidR="00CA68B7" w:rsidRPr="00317A59" w:rsidRDefault="000721A1" w:rsidP="00317A59">
            <w:pPr>
              <w:spacing w:before="60" w:after="60"/>
              <w:jc w:val="center"/>
              <w:rPr>
                <w:rFonts w:eastAsia="SimSun"/>
                <w:sz w:val="20"/>
                <w:szCs w:val="20"/>
              </w:rPr>
            </w:pPr>
            <w:r>
              <w:rPr>
                <w:rFonts w:eastAsia="SimSun"/>
                <w:sz w:val="20"/>
                <w:szCs w:val="20"/>
              </w:rPr>
              <w:t>0</w:t>
            </w:r>
          </w:p>
        </w:tc>
      </w:tr>
      <w:tr w:rsidR="00317A59" w:rsidTr="00207960">
        <w:tc>
          <w:tcPr>
            <w:tcW w:w="2178" w:type="dxa"/>
            <w:vAlign w:val="center"/>
          </w:tcPr>
          <w:p w:rsidR="00CA68B7" w:rsidRPr="00317A59" w:rsidRDefault="00317A59" w:rsidP="00317A59">
            <w:pPr>
              <w:spacing w:before="60" w:after="60"/>
              <w:ind w:left="360"/>
              <w:rPr>
                <w:rFonts w:eastAsia="SimSun"/>
                <w:sz w:val="20"/>
                <w:szCs w:val="20"/>
              </w:rPr>
            </w:pPr>
            <w:r w:rsidRPr="00317A59">
              <w:rPr>
                <w:rFonts w:eastAsia="SimSun"/>
                <w:sz w:val="20"/>
                <w:szCs w:val="20"/>
              </w:rPr>
              <w:t>Change due to Agency Adjustment</w:t>
            </w:r>
          </w:p>
        </w:tc>
        <w:tc>
          <w:tcPr>
            <w:tcW w:w="2167" w:type="dxa"/>
            <w:vAlign w:val="center"/>
          </w:tcPr>
          <w:p w:rsidR="00CA68B7" w:rsidRPr="00317A59" w:rsidRDefault="00207960" w:rsidP="00317A59">
            <w:pPr>
              <w:spacing w:before="60" w:after="60"/>
              <w:jc w:val="center"/>
              <w:rPr>
                <w:rFonts w:eastAsia="SimSun"/>
                <w:sz w:val="20"/>
                <w:szCs w:val="20"/>
              </w:rPr>
            </w:pPr>
            <w:r>
              <w:rPr>
                <w:rFonts w:eastAsia="SimSun"/>
                <w:sz w:val="20"/>
                <w:szCs w:val="20"/>
              </w:rPr>
              <w:t>-144</w:t>
            </w:r>
          </w:p>
        </w:tc>
        <w:tc>
          <w:tcPr>
            <w:tcW w:w="2144" w:type="dxa"/>
            <w:vAlign w:val="center"/>
          </w:tcPr>
          <w:p w:rsidR="00CA68B7" w:rsidRPr="00317A59" w:rsidRDefault="00207960" w:rsidP="00317A59">
            <w:pPr>
              <w:spacing w:before="60" w:after="60"/>
              <w:jc w:val="center"/>
              <w:rPr>
                <w:rFonts w:eastAsia="SimSun"/>
                <w:sz w:val="20"/>
                <w:szCs w:val="20"/>
              </w:rPr>
            </w:pPr>
            <w:r>
              <w:rPr>
                <w:rFonts w:eastAsia="SimSun"/>
                <w:sz w:val="20"/>
                <w:szCs w:val="20"/>
              </w:rPr>
              <w:t>-121</w:t>
            </w:r>
          </w:p>
        </w:tc>
        <w:tc>
          <w:tcPr>
            <w:tcW w:w="2141" w:type="dxa"/>
            <w:vAlign w:val="center"/>
          </w:tcPr>
          <w:p w:rsidR="00CA68B7" w:rsidRPr="00317A59" w:rsidRDefault="000721A1" w:rsidP="00317A59">
            <w:pPr>
              <w:spacing w:before="60" w:after="60"/>
              <w:jc w:val="center"/>
              <w:rPr>
                <w:rFonts w:eastAsia="SimSun"/>
                <w:sz w:val="20"/>
                <w:szCs w:val="20"/>
              </w:rPr>
            </w:pPr>
            <w:r>
              <w:rPr>
                <w:rFonts w:eastAsia="SimSun"/>
                <w:sz w:val="20"/>
                <w:szCs w:val="20"/>
              </w:rPr>
              <w:t>0</w:t>
            </w:r>
          </w:p>
        </w:tc>
      </w:tr>
      <w:tr w:rsidR="00317A59" w:rsidTr="00207960">
        <w:tc>
          <w:tcPr>
            <w:tcW w:w="2178" w:type="dxa"/>
            <w:vAlign w:val="center"/>
          </w:tcPr>
          <w:p w:rsidR="00CA68B7" w:rsidRPr="00317A59" w:rsidRDefault="00317A59" w:rsidP="00317A59">
            <w:pPr>
              <w:spacing w:before="60" w:after="60"/>
              <w:ind w:left="360"/>
              <w:rPr>
                <w:rFonts w:eastAsia="SimSun"/>
                <w:sz w:val="20"/>
                <w:szCs w:val="20"/>
              </w:rPr>
            </w:pPr>
            <w:r w:rsidRPr="00317A59">
              <w:rPr>
                <w:rFonts w:eastAsia="SimSun"/>
                <w:sz w:val="20"/>
                <w:szCs w:val="20"/>
              </w:rPr>
              <w:t>Change due to Potential Violation of the PRA</w:t>
            </w:r>
          </w:p>
        </w:tc>
        <w:tc>
          <w:tcPr>
            <w:tcW w:w="2167" w:type="dxa"/>
            <w:vAlign w:val="center"/>
          </w:tcPr>
          <w:p w:rsidR="00CA68B7" w:rsidRPr="00317A59" w:rsidRDefault="00CA68B7" w:rsidP="00317A59">
            <w:pPr>
              <w:spacing w:before="60" w:after="60"/>
              <w:jc w:val="center"/>
              <w:rPr>
                <w:rFonts w:eastAsia="SimSun"/>
                <w:sz w:val="20"/>
                <w:szCs w:val="20"/>
              </w:rPr>
            </w:pPr>
          </w:p>
        </w:tc>
        <w:tc>
          <w:tcPr>
            <w:tcW w:w="2144" w:type="dxa"/>
            <w:vAlign w:val="center"/>
          </w:tcPr>
          <w:p w:rsidR="00CA68B7" w:rsidRPr="00317A59" w:rsidRDefault="00CA68B7" w:rsidP="00317A59">
            <w:pPr>
              <w:spacing w:before="60" w:after="60"/>
              <w:jc w:val="center"/>
              <w:rPr>
                <w:rFonts w:eastAsia="SimSun"/>
                <w:sz w:val="20"/>
                <w:szCs w:val="20"/>
              </w:rPr>
            </w:pPr>
          </w:p>
        </w:tc>
        <w:tc>
          <w:tcPr>
            <w:tcW w:w="2141" w:type="dxa"/>
            <w:vAlign w:val="center"/>
          </w:tcPr>
          <w:p w:rsidR="00CA68B7" w:rsidRPr="00317A59" w:rsidRDefault="000721A1" w:rsidP="00317A59">
            <w:pPr>
              <w:spacing w:before="60" w:after="60"/>
              <w:jc w:val="center"/>
              <w:rPr>
                <w:rFonts w:eastAsia="SimSun"/>
                <w:sz w:val="20"/>
                <w:szCs w:val="20"/>
              </w:rPr>
            </w:pPr>
            <w:r>
              <w:rPr>
                <w:rFonts w:eastAsia="SimSun"/>
                <w:sz w:val="20"/>
                <w:szCs w:val="20"/>
              </w:rPr>
              <w:t>0</w:t>
            </w:r>
          </w:p>
        </w:tc>
      </w:tr>
    </w:tbl>
    <w:p w:rsidR="00CA68B7" w:rsidRDefault="00CA68B7" w:rsidP="00364CDC"/>
    <w:p w:rsidR="00B32181" w:rsidRDefault="00B32181" w:rsidP="00364CDC">
      <w:r>
        <w:t xml:space="preserve">16. Plans for Publication: </w:t>
      </w:r>
    </w:p>
    <w:p w:rsidR="00B32181" w:rsidRDefault="00B32181" w:rsidP="00364CDC"/>
    <w:p w:rsidR="00210F9B" w:rsidRPr="009F72DC" w:rsidRDefault="00210F9B" w:rsidP="00364CDC">
      <w:r w:rsidRPr="009F72DC">
        <w:t>A</w:t>
      </w:r>
      <w:r w:rsidR="00126EF5" w:rsidRPr="009F72DC">
        <w:t xml:space="preserve"> </w:t>
      </w:r>
      <w:r w:rsidRPr="009F72DC">
        <w:t xml:space="preserve">list of compliant </w:t>
      </w:r>
      <w:r w:rsidR="00126EF5" w:rsidRPr="009F72DC">
        <w:t>products</w:t>
      </w:r>
      <w:r w:rsidRPr="009F72DC">
        <w:t xml:space="preserve"> </w:t>
      </w:r>
      <w:r w:rsidR="00126EF5" w:rsidRPr="009F72DC">
        <w:t xml:space="preserve">and a list of NIJ-approved test laboratories </w:t>
      </w:r>
      <w:r w:rsidRPr="009F72DC">
        <w:t xml:space="preserve">will be published on </w:t>
      </w:r>
      <w:hyperlink r:id="rId7" w:history="1">
        <w:r w:rsidRPr="009F72DC">
          <w:rPr>
            <w:rStyle w:val="Hyperlink"/>
          </w:rPr>
          <w:t>www.justnet.org</w:t>
        </w:r>
      </w:hyperlink>
      <w:r w:rsidRPr="009F72DC">
        <w:t>.</w:t>
      </w:r>
      <w:r w:rsidR="00126EF5" w:rsidRPr="009F72DC">
        <w:t xml:space="preserve"> No other information collected will be published or released in any way, except as m</w:t>
      </w:r>
      <w:r w:rsidR="000721A1">
        <w:t>ay be required by federal law.</w:t>
      </w:r>
    </w:p>
    <w:p w:rsidR="00B32181" w:rsidRPr="009F72DC" w:rsidRDefault="00B32181" w:rsidP="00364CDC"/>
    <w:p w:rsidR="00B32181" w:rsidRDefault="00B32181" w:rsidP="00364CDC">
      <w:r w:rsidRPr="009F72DC">
        <w:t>17. Expiration Date Approval:</w:t>
      </w:r>
      <w:r>
        <w:t xml:space="preserve"> </w:t>
      </w:r>
    </w:p>
    <w:p w:rsidR="00B32181" w:rsidRDefault="00B32181" w:rsidP="00364CDC"/>
    <w:p w:rsidR="00B32181" w:rsidRDefault="00210F9B" w:rsidP="00364CDC">
      <w:r>
        <w:t>NIJ</w:t>
      </w:r>
      <w:r w:rsidR="00B32181">
        <w:t xml:space="preserve"> is requesting </w:t>
      </w:r>
      <w:r w:rsidR="00126EF5">
        <w:t>an expiration date of three years from the approval date</w:t>
      </w:r>
      <w:r w:rsidR="00B32181">
        <w:t xml:space="preserve">. </w:t>
      </w:r>
    </w:p>
    <w:p w:rsidR="00B32181" w:rsidRDefault="00B32181" w:rsidP="00364CDC"/>
    <w:p w:rsidR="00B32181" w:rsidRDefault="00B32181" w:rsidP="00364CDC">
      <w:r>
        <w:t xml:space="preserve">18. Exceptions to the Certification Statement: </w:t>
      </w:r>
    </w:p>
    <w:p w:rsidR="00B32181" w:rsidRDefault="00B32181" w:rsidP="00364CDC"/>
    <w:p w:rsidR="00210F9B" w:rsidRPr="009F72DC" w:rsidRDefault="009F72DC" w:rsidP="00364CDC">
      <w:r w:rsidRPr="009F72DC">
        <w:t>The intent of this collection is contractual in nature and not intended to collect data for a statistical analysis</w:t>
      </w:r>
      <w:r>
        <w:t xml:space="preserve">. </w:t>
      </w:r>
      <w:r w:rsidRPr="009F72DC">
        <w:t>Therefore, Clause 19 (i) of Form OMB 83-I concerning the use of “effective and efficient statistical survey methodology”</w:t>
      </w:r>
      <w:r w:rsidR="00210F9B" w:rsidRPr="009F72DC">
        <w:t xml:space="preserve"> does not apply to this information collection.</w:t>
      </w:r>
      <w:r w:rsidR="000721A1">
        <w:t xml:space="preserve"> No other exceptions exist.</w:t>
      </w:r>
    </w:p>
    <w:p w:rsidR="00B32181" w:rsidRDefault="00B32181" w:rsidP="00364CDC"/>
    <w:p w:rsidR="00B32181" w:rsidRDefault="000721A1" w:rsidP="00364CDC">
      <w:r>
        <w:t xml:space="preserve">Part B. </w:t>
      </w:r>
      <w:r w:rsidR="00B32181">
        <w:t>Statistical Methods</w:t>
      </w:r>
    </w:p>
    <w:p w:rsidR="000721A1" w:rsidRDefault="000721A1" w:rsidP="00364CDC"/>
    <w:p w:rsidR="00B32181" w:rsidRDefault="00B32181" w:rsidP="00364CDC">
      <w:r>
        <w:t xml:space="preserve">The </w:t>
      </w:r>
      <w:r w:rsidR="00210F9B">
        <w:t>NIJ</w:t>
      </w:r>
      <w:r>
        <w:t xml:space="preserve"> will not be employing statistical methods in this information collection.</w:t>
      </w:r>
    </w:p>
    <w:sectPr w:rsidR="00B32181" w:rsidSect="00533C7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094" w:rsidRDefault="00621094" w:rsidP="00492812">
      <w:r>
        <w:separator/>
      </w:r>
    </w:p>
  </w:endnote>
  <w:endnote w:type="continuationSeparator" w:id="0">
    <w:p w:rsidR="00621094" w:rsidRDefault="00621094" w:rsidP="0049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CE5" w:rsidRPr="00F36CE5" w:rsidRDefault="00F36CE5">
    <w:pPr>
      <w:pStyle w:val="Footer"/>
      <w:jc w:val="center"/>
      <w:rPr>
        <w:sz w:val="20"/>
        <w:szCs w:val="20"/>
      </w:rPr>
    </w:pPr>
    <w:r w:rsidRPr="00F36CE5">
      <w:rPr>
        <w:sz w:val="20"/>
        <w:szCs w:val="20"/>
      </w:rPr>
      <w:t xml:space="preserve">Page </w:t>
    </w:r>
    <w:r w:rsidRPr="00F36CE5">
      <w:rPr>
        <w:b/>
        <w:sz w:val="20"/>
        <w:szCs w:val="20"/>
      </w:rPr>
      <w:fldChar w:fldCharType="begin"/>
    </w:r>
    <w:r w:rsidRPr="00F36CE5">
      <w:rPr>
        <w:b/>
        <w:sz w:val="20"/>
        <w:szCs w:val="20"/>
      </w:rPr>
      <w:instrText xml:space="preserve"> PAGE </w:instrText>
    </w:r>
    <w:r w:rsidRPr="00F36CE5">
      <w:rPr>
        <w:b/>
        <w:sz w:val="20"/>
        <w:szCs w:val="20"/>
      </w:rPr>
      <w:fldChar w:fldCharType="separate"/>
    </w:r>
    <w:r w:rsidR="00044013">
      <w:rPr>
        <w:b/>
        <w:noProof/>
        <w:sz w:val="20"/>
        <w:szCs w:val="20"/>
      </w:rPr>
      <w:t>5</w:t>
    </w:r>
    <w:r w:rsidRPr="00F36CE5">
      <w:rPr>
        <w:b/>
        <w:sz w:val="20"/>
        <w:szCs w:val="20"/>
      </w:rPr>
      <w:fldChar w:fldCharType="end"/>
    </w:r>
    <w:r w:rsidRPr="00F36CE5">
      <w:rPr>
        <w:sz w:val="20"/>
        <w:szCs w:val="20"/>
      </w:rPr>
      <w:t xml:space="preserve"> of </w:t>
    </w:r>
    <w:r w:rsidRPr="00F36CE5">
      <w:rPr>
        <w:b/>
        <w:sz w:val="20"/>
        <w:szCs w:val="20"/>
      </w:rPr>
      <w:fldChar w:fldCharType="begin"/>
    </w:r>
    <w:r w:rsidRPr="00F36CE5">
      <w:rPr>
        <w:b/>
        <w:sz w:val="20"/>
        <w:szCs w:val="20"/>
      </w:rPr>
      <w:instrText xml:space="preserve"> NUMPAGES  </w:instrText>
    </w:r>
    <w:r w:rsidRPr="00F36CE5">
      <w:rPr>
        <w:b/>
        <w:sz w:val="20"/>
        <w:szCs w:val="20"/>
      </w:rPr>
      <w:fldChar w:fldCharType="separate"/>
    </w:r>
    <w:r w:rsidR="00044013">
      <w:rPr>
        <w:b/>
        <w:noProof/>
        <w:sz w:val="20"/>
        <w:szCs w:val="20"/>
      </w:rPr>
      <w:t>5</w:t>
    </w:r>
    <w:r w:rsidRPr="00F36CE5">
      <w:rPr>
        <w:b/>
        <w:sz w:val="20"/>
        <w:szCs w:val="20"/>
      </w:rPr>
      <w:fldChar w:fldCharType="end"/>
    </w:r>
  </w:p>
  <w:p w:rsidR="00B32181" w:rsidRPr="00F36CE5" w:rsidRDefault="00B3218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094" w:rsidRDefault="00621094" w:rsidP="00492812">
      <w:r>
        <w:separator/>
      </w:r>
    </w:p>
  </w:footnote>
  <w:footnote w:type="continuationSeparator" w:id="0">
    <w:p w:rsidR="00621094" w:rsidRDefault="00621094" w:rsidP="00492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CAF"/>
    <w:multiLevelType w:val="hybridMultilevel"/>
    <w:tmpl w:val="D434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E55CAE"/>
    <w:multiLevelType w:val="hybridMultilevel"/>
    <w:tmpl w:val="F51C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B707B1"/>
    <w:multiLevelType w:val="hybridMultilevel"/>
    <w:tmpl w:val="838C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54CBB"/>
    <w:multiLevelType w:val="hybridMultilevel"/>
    <w:tmpl w:val="E2B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474D66"/>
    <w:multiLevelType w:val="multilevel"/>
    <w:tmpl w:val="C6369C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b w:val="0"/>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2E1EA2"/>
    <w:multiLevelType w:val="hybridMultilevel"/>
    <w:tmpl w:val="E2185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128764B"/>
    <w:multiLevelType w:val="hybridMultilevel"/>
    <w:tmpl w:val="D73CA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407C6C"/>
    <w:multiLevelType w:val="hybridMultilevel"/>
    <w:tmpl w:val="20F6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904CED"/>
    <w:multiLevelType w:val="hybridMultilevel"/>
    <w:tmpl w:val="CB68F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6CB1347"/>
    <w:multiLevelType w:val="multilevel"/>
    <w:tmpl w:val="C6369C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b w:val="0"/>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7B4390"/>
    <w:multiLevelType w:val="hybridMultilevel"/>
    <w:tmpl w:val="356E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CEC050E"/>
    <w:multiLevelType w:val="hybridMultilevel"/>
    <w:tmpl w:val="1E52A9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34" w15:restartNumberingAfterBreak="0">
    <w:nsid w:val="6EE4010E"/>
    <w:multiLevelType w:val="multilevel"/>
    <w:tmpl w:val="C6369C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b w:val="0"/>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55F029F"/>
    <w:multiLevelType w:val="multilevel"/>
    <w:tmpl w:val="235251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C72B4B"/>
    <w:multiLevelType w:val="hybridMultilevel"/>
    <w:tmpl w:val="289A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56151C"/>
    <w:multiLevelType w:val="hybridMultilevel"/>
    <w:tmpl w:val="1E52A9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A833EC4"/>
    <w:multiLevelType w:val="hybridMultilevel"/>
    <w:tmpl w:val="60AC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3"/>
  </w:num>
  <w:num w:numId="2">
    <w:abstractNumId w:val="25"/>
  </w:num>
  <w:num w:numId="3">
    <w:abstractNumId w:val="6"/>
  </w:num>
  <w:num w:numId="4">
    <w:abstractNumId w:val="22"/>
  </w:num>
  <w:num w:numId="5">
    <w:abstractNumId w:val="30"/>
  </w:num>
  <w:num w:numId="6">
    <w:abstractNumId w:val="18"/>
  </w:num>
  <w:num w:numId="7">
    <w:abstractNumId w:val="15"/>
  </w:num>
  <w:num w:numId="8">
    <w:abstractNumId w:val="38"/>
  </w:num>
  <w:num w:numId="9">
    <w:abstractNumId w:val="27"/>
  </w:num>
  <w:num w:numId="10">
    <w:abstractNumId w:val="13"/>
  </w:num>
  <w:num w:numId="11">
    <w:abstractNumId w:val="4"/>
  </w:num>
  <w:num w:numId="12">
    <w:abstractNumId w:val="33"/>
  </w:num>
  <w:num w:numId="13">
    <w:abstractNumId w:val="13"/>
  </w:num>
  <w:num w:numId="14">
    <w:abstractNumId w:val="35"/>
  </w:num>
  <w:num w:numId="15">
    <w:abstractNumId w:val="36"/>
  </w:num>
  <w:num w:numId="16">
    <w:abstractNumId w:val="39"/>
  </w:num>
  <w:num w:numId="17">
    <w:abstractNumId w:val="10"/>
  </w:num>
  <w:num w:numId="18">
    <w:abstractNumId w:val="37"/>
  </w:num>
  <w:num w:numId="19">
    <w:abstractNumId w:val="24"/>
  </w:num>
  <w:num w:numId="20">
    <w:abstractNumId w:val="20"/>
  </w:num>
  <w:num w:numId="21">
    <w:abstractNumId w:val="1"/>
  </w:num>
  <w:num w:numId="22">
    <w:abstractNumId w:val="19"/>
  </w:num>
  <w:num w:numId="23">
    <w:abstractNumId w:val="14"/>
  </w:num>
  <w:num w:numId="24">
    <w:abstractNumId w:val="5"/>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2"/>
  </w:num>
  <w:num w:numId="28">
    <w:abstractNumId w:val="29"/>
  </w:num>
  <w:num w:numId="29">
    <w:abstractNumId w:val="7"/>
  </w:num>
  <w:num w:numId="30">
    <w:abstractNumId w:val="2"/>
  </w:num>
  <w:num w:numId="31">
    <w:abstractNumId w:val="21"/>
  </w:num>
  <w:num w:numId="32">
    <w:abstractNumId w:val="40"/>
  </w:num>
  <w:num w:numId="33">
    <w:abstractNumId w:val="12"/>
  </w:num>
  <w:num w:numId="34">
    <w:abstractNumId w:val="31"/>
  </w:num>
  <w:num w:numId="35">
    <w:abstractNumId w:val="11"/>
  </w:num>
  <w:num w:numId="36">
    <w:abstractNumId w:val="34"/>
  </w:num>
  <w:num w:numId="37">
    <w:abstractNumId w:val="23"/>
  </w:num>
  <w:num w:numId="38">
    <w:abstractNumId w:val="0"/>
  </w:num>
  <w:num w:numId="39">
    <w:abstractNumId w:val="16"/>
  </w:num>
  <w:num w:numId="40">
    <w:abstractNumId w:val="28"/>
  </w:num>
  <w:num w:numId="41">
    <w:abstractNumId w:val="3"/>
  </w:num>
  <w:num w:numId="42">
    <w:abstractNumId w:val="9"/>
  </w:num>
  <w:num w:numId="43">
    <w:abstractNumId w:val="42"/>
  </w:num>
  <w:num w:numId="44">
    <w:abstractNumId w:val="8"/>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D6"/>
    <w:rsid w:val="00000DDB"/>
    <w:rsid w:val="0001368B"/>
    <w:rsid w:val="00015C6C"/>
    <w:rsid w:val="00022843"/>
    <w:rsid w:val="00023900"/>
    <w:rsid w:val="000362B5"/>
    <w:rsid w:val="00037733"/>
    <w:rsid w:val="00044013"/>
    <w:rsid w:val="00057CD8"/>
    <w:rsid w:val="00065AA1"/>
    <w:rsid w:val="000721A1"/>
    <w:rsid w:val="00075D28"/>
    <w:rsid w:val="00086071"/>
    <w:rsid w:val="000A0554"/>
    <w:rsid w:val="000B10DF"/>
    <w:rsid w:val="000B11BD"/>
    <w:rsid w:val="000B6972"/>
    <w:rsid w:val="000F1BED"/>
    <w:rsid w:val="001059D3"/>
    <w:rsid w:val="00126EF5"/>
    <w:rsid w:val="0013097C"/>
    <w:rsid w:val="00130B86"/>
    <w:rsid w:val="001358D7"/>
    <w:rsid w:val="00151EBF"/>
    <w:rsid w:val="00153D60"/>
    <w:rsid w:val="0015419C"/>
    <w:rsid w:val="00156A7C"/>
    <w:rsid w:val="00174001"/>
    <w:rsid w:val="00193A2A"/>
    <w:rsid w:val="001A37FF"/>
    <w:rsid w:val="001B11E5"/>
    <w:rsid w:val="001C0719"/>
    <w:rsid w:val="001D57E4"/>
    <w:rsid w:val="001E479B"/>
    <w:rsid w:val="00206FBD"/>
    <w:rsid w:val="00207960"/>
    <w:rsid w:val="00210F9B"/>
    <w:rsid w:val="00212C00"/>
    <w:rsid w:val="00231A4D"/>
    <w:rsid w:val="0023241B"/>
    <w:rsid w:val="00245D20"/>
    <w:rsid w:val="002656E3"/>
    <w:rsid w:val="00271B1E"/>
    <w:rsid w:val="00282075"/>
    <w:rsid w:val="002926A8"/>
    <w:rsid w:val="00294F9E"/>
    <w:rsid w:val="002C388B"/>
    <w:rsid w:val="002D7D78"/>
    <w:rsid w:val="002F3BD4"/>
    <w:rsid w:val="002F56E0"/>
    <w:rsid w:val="003062B2"/>
    <w:rsid w:val="003147EC"/>
    <w:rsid w:val="00317A59"/>
    <w:rsid w:val="00326544"/>
    <w:rsid w:val="00342077"/>
    <w:rsid w:val="00356600"/>
    <w:rsid w:val="00364CDC"/>
    <w:rsid w:val="003724FE"/>
    <w:rsid w:val="003824C9"/>
    <w:rsid w:val="00385EEA"/>
    <w:rsid w:val="003D515F"/>
    <w:rsid w:val="003D51D9"/>
    <w:rsid w:val="003D7C1D"/>
    <w:rsid w:val="003D7D37"/>
    <w:rsid w:val="003E28C9"/>
    <w:rsid w:val="003F33C2"/>
    <w:rsid w:val="003F674D"/>
    <w:rsid w:val="003F6F90"/>
    <w:rsid w:val="00404BD1"/>
    <w:rsid w:val="00406453"/>
    <w:rsid w:val="00410863"/>
    <w:rsid w:val="004150F8"/>
    <w:rsid w:val="00455664"/>
    <w:rsid w:val="00455755"/>
    <w:rsid w:val="0048717F"/>
    <w:rsid w:val="00492812"/>
    <w:rsid w:val="00493CC5"/>
    <w:rsid w:val="004A4023"/>
    <w:rsid w:val="004A70EB"/>
    <w:rsid w:val="004E1FF0"/>
    <w:rsid w:val="005038D3"/>
    <w:rsid w:val="005065FC"/>
    <w:rsid w:val="00510377"/>
    <w:rsid w:val="005278B2"/>
    <w:rsid w:val="005326B5"/>
    <w:rsid w:val="00533C25"/>
    <w:rsid w:val="00533C76"/>
    <w:rsid w:val="005418FE"/>
    <w:rsid w:val="00555FD8"/>
    <w:rsid w:val="005708BB"/>
    <w:rsid w:val="00571471"/>
    <w:rsid w:val="0057328E"/>
    <w:rsid w:val="00574E47"/>
    <w:rsid w:val="0059362E"/>
    <w:rsid w:val="005A7EC6"/>
    <w:rsid w:val="005D6B8B"/>
    <w:rsid w:val="005D71DE"/>
    <w:rsid w:val="00616CB0"/>
    <w:rsid w:val="00617C23"/>
    <w:rsid w:val="00621094"/>
    <w:rsid w:val="0062322F"/>
    <w:rsid w:val="00626A43"/>
    <w:rsid w:val="0063449E"/>
    <w:rsid w:val="0063554F"/>
    <w:rsid w:val="00645D7E"/>
    <w:rsid w:val="00661881"/>
    <w:rsid w:val="00664C35"/>
    <w:rsid w:val="00666907"/>
    <w:rsid w:val="00670012"/>
    <w:rsid w:val="00672D3C"/>
    <w:rsid w:val="00694E60"/>
    <w:rsid w:val="006B2A40"/>
    <w:rsid w:val="006C1EF9"/>
    <w:rsid w:val="006D53FF"/>
    <w:rsid w:val="006D55C0"/>
    <w:rsid w:val="006D75ED"/>
    <w:rsid w:val="006F719D"/>
    <w:rsid w:val="00700DA6"/>
    <w:rsid w:val="00701BBA"/>
    <w:rsid w:val="0073526B"/>
    <w:rsid w:val="00742559"/>
    <w:rsid w:val="00752982"/>
    <w:rsid w:val="00760DEE"/>
    <w:rsid w:val="0076343F"/>
    <w:rsid w:val="00781FBB"/>
    <w:rsid w:val="00793D07"/>
    <w:rsid w:val="00796DF9"/>
    <w:rsid w:val="007A1539"/>
    <w:rsid w:val="007A2ECD"/>
    <w:rsid w:val="007A49A1"/>
    <w:rsid w:val="007A665F"/>
    <w:rsid w:val="007B20B9"/>
    <w:rsid w:val="007B40CF"/>
    <w:rsid w:val="007B6879"/>
    <w:rsid w:val="007C695C"/>
    <w:rsid w:val="007D165E"/>
    <w:rsid w:val="007E6217"/>
    <w:rsid w:val="00801C74"/>
    <w:rsid w:val="00801CB8"/>
    <w:rsid w:val="00806BE8"/>
    <w:rsid w:val="00841C37"/>
    <w:rsid w:val="0084346A"/>
    <w:rsid w:val="00853E47"/>
    <w:rsid w:val="00867042"/>
    <w:rsid w:val="00870CF2"/>
    <w:rsid w:val="00881086"/>
    <w:rsid w:val="00885142"/>
    <w:rsid w:val="00886498"/>
    <w:rsid w:val="00892930"/>
    <w:rsid w:val="008970AA"/>
    <w:rsid w:val="008A44CC"/>
    <w:rsid w:val="008B7F5E"/>
    <w:rsid w:val="008D242E"/>
    <w:rsid w:val="008D2BB8"/>
    <w:rsid w:val="008D7207"/>
    <w:rsid w:val="008E0063"/>
    <w:rsid w:val="00922FED"/>
    <w:rsid w:val="00923609"/>
    <w:rsid w:val="009304DC"/>
    <w:rsid w:val="0094487C"/>
    <w:rsid w:val="00953CC5"/>
    <w:rsid w:val="00954F34"/>
    <w:rsid w:val="009720C2"/>
    <w:rsid w:val="00974A5A"/>
    <w:rsid w:val="00977C25"/>
    <w:rsid w:val="009B3055"/>
    <w:rsid w:val="009B7731"/>
    <w:rsid w:val="009C5FB3"/>
    <w:rsid w:val="009E4F4B"/>
    <w:rsid w:val="009E5D82"/>
    <w:rsid w:val="009E7E3D"/>
    <w:rsid w:val="009F72DC"/>
    <w:rsid w:val="00A31337"/>
    <w:rsid w:val="00A3243F"/>
    <w:rsid w:val="00A34480"/>
    <w:rsid w:val="00A60203"/>
    <w:rsid w:val="00A60A54"/>
    <w:rsid w:val="00A663A4"/>
    <w:rsid w:val="00A72B23"/>
    <w:rsid w:val="00A74C21"/>
    <w:rsid w:val="00A7508F"/>
    <w:rsid w:val="00A763EC"/>
    <w:rsid w:val="00A92679"/>
    <w:rsid w:val="00AA065E"/>
    <w:rsid w:val="00AC4C1F"/>
    <w:rsid w:val="00AE3D66"/>
    <w:rsid w:val="00AF19D8"/>
    <w:rsid w:val="00B15827"/>
    <w:rsid w:val="00B32181"/>
    <w:rsid w:val="00B47931"/>
    <w:rsid w:val="00B47BD1"/>
    <w:rsid w:val="00B5274C"/>
    <w:rsid w:val="00B53F5E"/>
    <w:rsid w:val="00B6471B"/>
    <w:rsid w:val="00B73D8D"/>
    <w:rsid w:val="00BA391E"/>
    <w:rsid w:val="00BC71F0"/>
    <w:rsid w:val="00BD0319"/>
    <w:rsid w:val="00BF21C2"/>
    <w:rsid w:val="00BF67DF"/>
    <w:rsid w:val="00BF773A"/>
    <w:rsid w:val="00C0731D"/>
    <w:rsid w:val="00C413E2"/>
    <w:rsid w:val="00C42A4D"/>
    <w:rsid w:val="00C5033B"/>
    <w:rsid w:val="00C70976"/>
    <w:rsid w:val="00C72F57"/>
    <w:rsid w:val="00C81124"/>
    <w:rsid w:val="00C85C5C"/>
    <w:rsid w:val="00C900B1"/>
    <w:rsid w:val="00C92501"/>
    <w:rsid w:val="00C96BA3"/>
    <w:rsid w:val="00C96DB1"/>
    <w:rsid w:val="00CA68B7"/>
    <w:rsid w:val="00CA7FFB"/>
    <w:rsid w:val="00CC5AFA"/>
    <w:rsid w:val="00CC7E74"/>
    <w:rsid w:val="00CD2E08"/>
    <w:rsid w:val="00CD3DA2"/>
    <w:rsid w:val="00CD6ED6"/>
    <w:rsid w:val="00CF2E30"/>
    <w:rsid w:val="00D0063C"/>
    <w:rsid w:val="00D53744"/>
    <w:rsid w:val="00D547CD"/>
    <w:rsid w:val="00D57CA3"/>
    <w:rsid w:val="00D86E87"/>
    <w:rsid w:val="00DA66EF"/>
    <w:rsid w:val="00DC0E45"/>
    <w:rsid w:val="00DF396B"/>
    <w:rsid w:val="00E00094"/>
    <w:rsid w:val="00E06A5B"/>
    <w:rsid w:val="00E2099F"/>
    <w:rsid w:val="00E35AB3"/>
    <w:rsid w:val="00E55644"/>
    <w:rsid w:val="00E67DF1"/>
    <w:rsid w:val="00E74EED"/>
    <w:rsid w:val="00E76F31"/>
    <w:rsid w:val="00E8092F"/>
    <w:rsid w:val="00E81FE5"/>
    <w:rsid w:val="00E91224"/>
    <w:rsid w:val="00E956AB"/>
    <w:rsid w:val="00E97AF0"/>
    <w:rsid w:val="00EA0412"/>
    <w:rsid w:val="00ED4B20"/>
    <w:rsid w:val="00EE7817"/>
    <w:rsid w:val="00EF128B"/>
    <w:rsid w:val="00F060DC"/>
    <w:rsid w:val="00F06D48"/>
    <w:rsid w:val="00F1145F"/>
    <w:rsid w:val="00F249E0"/>
    <w:rsid w:val="00F36CE5"/>
    <w:rsid w:val="00F554F3"/>
    <w:rsid w:val="00F63376"/>
    <w:rsid w:val="00F73DE8"/>
    <w:rsid w:val="00F90349"/>
    <w:rsid w:val="00FA369E"/>
    <w:rsid w:val="00FB5E76"/>
    <w:rsid w:val="00FD24A6"/>
    <w:rsid w:val="00FD3D4C"/>
    <w:rsid w:val="00FE130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E566708-3225-4ACA-9554-DBC1933D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locked="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76"/>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zCs w:val="20"/>
    </w:rPr>
  </w:style>
  <w:style w:type="character" w:styleId="Hyperlink">
    <w:name w:val="Hyperlink"/>
    <w:rsid w:val="004A70EB"/>
    <w:rPr>
      <w:rFonts w:cs="Times New Roman"/>
      <w:color w:val="0000FF"/>
      <w:u w:val="single"/>
    </w:rPr>
  </w:style>
  <w:style w:type="paragraph" w:styleId="FootnoteText">
    <w:name w:val="footnote text"/>
    <w:basedOn w:val="Normal"/>
    <w:link w:val="FootnoteTextChar"/>
    <w:semiHidden/>
    <w:rsid w:val="00492812"/>
    <w:rPr>
      <w:rFonts w:ascii="Cambria" w:hAnsi="Cambria"/>
      <w:sz w:val="20"/>
      <w:szCs w:val="20"/>
    </w:rPr>
  </w:style>
  <w:style w:type="character" w:customStyle="1" w:styleId="FootnoteTextChar">
    <w:name w:val="Footnote Text Char"/>
    <w:link w:val="FootnoteText"/>
    <w:locked/>
    <w:rsid w:val="00492812"/>
    <w:rPr>
      <w:rFonts w:ascii="Cambria" w:eastAsia="Times New Roman" w:hAnsi="Cambria" w:cs="Times New Roman"/>
    </w:rPr>
  </w:style>
  <w:style w:type="paragraph" w:styleId="ListParagraph">
    <w:name w:val="List Paragraph"/>
    <w:basedOn w:val="Normal"/>
    <w:qFormat/>
    <w:rsid w:val="00492812"/>
    <w:pPr>
      <w:ind w:left="720"/>
    </w:pPr>
  </w:style>
  <w:style w:type="character" w:styleId="FootnoteReference">
    <w:name w:val="footnote reference"/>
    <w:semiHidden/>
    <w:rsid w:val="00492812"/>
    <w:rPr>
      <w:rFonts w:cs="Times New Roman"/>
    </w:rPr>
  </w:style>
  <w:style w:type="paragraph" w:styleId="Header">
    <w:name w:val="header"/>
    <w:basedOn w:val="Normal"/>
    <w:link w:val="HeaderChar"/>
    <w:rsid w:val="00701BBA"/>
    <w:pPr>
      <w:tabs>
        <w:tab w:val="center" w:pos="4680"/>
        <w:tab w:val="right" w:pos="9360"/>
      </w:tabs>
    </w:pPr>
  </w:style>
  <w:style w:type="character" w:customStyle="1" w:styleId="HeaderChar">
    <w:name w:val="Header Char"/>
    <w:link w:val="Header"/>
    <w:locked/>
    <w:rsid w:val="00701BBA"/>
    <w:rPr>
      <w:rFonts w:cs="Times New Roman"/>
      <w:sz w:val="24"/>
      <w:szCs w:val="24"/>
    </w:rPr>
  </w:style>
  <w:style w:type="paragraph" w:styleId="Footer">
    <w:name w:val="footer"/>
    <w:basedOn w:val="Normal"/>
    <w:link w:val="FooterChar"/>
    <w:uiPriority w:val="99"/>
    <w:rsid w:val="00701BBA"/>
    <w:pPr>
      <w:tabs>
        <w:tab w:val="center" w:pos="4680"/>
        <w:tab w:val="right" w:pos="9360"/>
      </w:tabs>
    </w:pPr>
  </w:style>
  <w:style w:type="character" w:customStyle="1" w:styleId="FooterChar">
    <w:name w:val="Footer Char"/>
    <w:link w:val="Footer"/>
    <w:uiPriority w:val="99"/>
    <w:locked/>
    <w:rsid w:val="00701BBA"/>
    <w:rPr>
      <w:rFonts w:cs="Times New Roman"/>
      <w:sz w:val="24"/>
      <w:szCs w:val="24"/>
    </w:rPr>
  </w:style>
  <w:style w:type="table" w:customStyle="1" w:styleId="Table">
    <w:name w:val="Table"/>
    <w:rsid w:val="00760DEE"/>
    <w:pPr>
      <w:spacing w:before="80" w:after="80"/>
      <w:jc w:val="center"/>
    </w:pPr>
    <w:rPr>
      <w:rFonts w:ascii="Cambria" w:hAnsi="Cambria"/>
      <w:color w:val="000000"/>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paragraph" w:customStyle="1" w:styleId="regulartext">
    <w:name w:val="regulartext"/>
    <w:basedOn w:val="Normal"/>
    <w:rsid w:val="00760DEE"/>
    <w:pPr>
      <w:spacing w:before="100" w:beforeAutospacing="1" w:after="100" w:afterAutospacing="1"/>
    </w:pPr>
    <w:rPr>
      <w:rFonts w:ascii="Arial" w:hAnsi="Arial" w:cs="Arial"/>
      <w:sz w:val="18"/>
      <w:szCs w:val="18"/>
    </w:rPr>
  </w:style>
  <w:style w:type="character" w:styleId="CommentReference">
    <w:name w:val="annotation reference"/>
    <w:semiHidden/>
    <w:rsid w:val="00806BE8"/>
    <w:rPr>
      <w:rFonts w:cs="Times New Roman"/>
      <w:sz w:val="16"/>
      <w:szCs w:val="16"/>
    </w:rPr>
  </w:style>
  <w:style w:type="paragraph" w:styleId="CommentText">
    <w:name w:val="annotation text"/>
    <w:basedOn w:val="Normal"/>
    <w:link w:val="CommentTextChar"/>
    <w:semiHidden/>
    <w:rsid w:val="00806BE8"/>
    <w:rPr>
      <w:sz w:val="20"/>
      <w:szCs w:val="20"/>
    </w:rPr>
  </w:style>
  <w:style w:type="character" w:customStyle="1" w:styleId="CommentTextChar">
    <w:name w:val="Comment Text Char"/>
    <w:link w:val="CommentText"/>
    <w:locked/>
    <w:rsid w:val="00806BE8"/>
    <w:rPr>
      <w:rFonts w:cs="Times New Roman"/>
    </w:rPr>
  </w:style>
  <w:style w:type="paragraph" w:styleId="CommentSubject">
    <w:name w:val="annotation subject"/>
    <w:basedOn w:val="CommentText"/>
    <w:next w:val="CommentText"/>
    <w:link w:val="CommentSubjectChar"/>
    <w:semiHidden/>
    <w:rsid w:val="00806BE8"/>
    <w:rPr>
      <w:b/>
      <w:bCs/>
    </w:rPr>
  </w:style>
  <w:style w:type="character" w:customStyle="1" w:styleId="CommentSubjectChar">
    <w:name w:val="Comment Subject Char"/>
    <w:link w:val="CommentSubject"/>
    <w:locked/>
    <w:rsid w:val="00806BE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9159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ust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9425</CharactersWithSpaces>
  <SharedDoc>false</SharedDoc>
  <HLinks>
    <vt:vector size="6" baseType="variant">
      <vt:variant>
        <vt:i4>2097256</vt:i4>
      </vt:variant>
      <vt:variant>
        <vt:i4>0</vt:i4>
      </vt:variant>
      <vt:variant>
        <vt:i4>0</vt:i4>
      </vt:variant>
      <vt:variant>
        <vt:i4>5</vt:i4>
      </vt:variant>
      <vt:variant>
        <vt:lpwstr>http://www.justnet.org/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DEA</dc:creator>
  <cp:keywords/>
  <cp:lastModifiedBy>Jamie Phillips</cp:lastModifiedBy>
  <cp:revision>4</cp:revision>
  <cp:lastPrinted>2012-03-15T20:28:00Z</cp:lastPrinted>
  <dcterms:created xsi:type="dcterms:W3CDTF">2015-12-14T22:16:00Z</dcterms:created>
  <dcterms:modified xsi:type="dcterms:W3CDTF">2015-12-21T20:54:00Z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ACCT04\phillj15</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ies>
</file>