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3F" w:rsidRPr="00794B3F" w:rsidRDefault="00794B3F" w:rsidP="00794B3F">
      <w:pPr>
        <w:pStyle w:val="CM12"/>
        <w:jc w:val="center"/>
        <w:rPr>
          <w:rFonts w:ascii="Times New Roman" w:hAnsi="Times New Roman"/>
          <w:b/>
          <w:color w:val="000000"/>
        </w:rPr>
      </w:pPr>
      <w:r w:rsidRPr="00794B3F">
        <w:rPr>
          <w:rFonts w:ascii="Times New Roman" w:hAnsi="Times New Roman"/>
          <w:b/>
          <w:color w:val="000000"/>
        </w:rPr>
        <w:t>Supporting Statement</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OMB 1545-2166</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Form 531</w:t>
      </w:r>
      <w:r>
        <w:rPr>
          <w:rFonts w:ascii="Times New Roman" w:hAnsi="Times New Roman" w:cs="Times New Roman"/>
          <w:b/>
        </w:rPr>
        <w:t>6</w:t>
      </w:r>
      <w:r w:rsidRPr="00794B3F">
        <w:rPr>
          <w:rFonts w:ascii="Times New Roman" w:hAnsi="Times New Roman" w:cs="Times New Roman"/>
          <w:b/>
        </w:rPr>
        <w:t xml:space="preserve"> – Application for Group or Pooled trust Ruling</w:t>
      </w:r>
    </w:p>
    <w:p w:rsidR="00794B3F" w:rsidRPr="00794B3F" w:rsidRDefault="00794B3F" w:rsidP="00794B3F">
      <w:pPr>
        <w:pStyle w:val="CM12"/>
        <w:rPr>
          <w:rFonts w:ascii="Times New Roman" w:hAnsi="Times New Roman"/>
          <w:color w:val="000000"/>
        </w:rPr>
      </w:pPr>
    </w:p>
    <w:p w:rsidR="00794B3F" w:rsidRPr="00794B3F" w:rsidRDefault="00794B3F" w:rsidP="00794B3F">
      <w:pPr>
        <w:pStyle w:val="Default"/>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CIRCUMSTANCES NECESSITATING COLLECTION OF INFORMATION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Group/pooled trust sponsors file Form 5316 to request a determination letter from the IRS for a determination that the trust is a group trust arrangement as described in Rev. Rul. </w:t>
      </w:r>
    </w:p>
    <w:p w:rsidR="00794B3F" w:rsidRP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81-100, 1981-1 C.B. 326 as modified and clarified by Rev. Rul. 2004-67, 2004-2 C.B.28, as modified by Rev. Rul. 2011-1, 2011-2 I.R.B. 251, and as modified by Notice 2012-6, 2012-3 I.R.B. 293.  Prior to this form, a letter was submitted in lieu of a form.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DATA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For group/pooled trust sponsors to obtain a determination letter that the trust is a group trust arrangement exempt from tax.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IMPROVED INFORMATION TECHNOLOGY TO REDUCE BURDEN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tabs>
          <w:tab w:val="left" w:pos="540"/>
        </w:tabs>
        <w:spacing w:line="268" w:lineRule="atLeast"/>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We have no plans at this time to offer electronic filing.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EFFORTS TO IDENTIFY DUPLICATION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We have attempted to eliminate duplication within the agency wherever possible.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METHODS TO MINIMIZE BURDEN ON SMALL BUSINESSES OR OTHER SMALL ENTITIES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CB400A" w:rsidP="00CB400A">
      <w:pPr>
        <w:pStyle w:val="CM15"/>
        <w:tabs>
          <w:tab w:val="left" w:pos="540"/>
        </w:tabs>
        <w:spacing w:line="268" w:lineRule="atLeast"/>
        <w:ind w:left="540"/>
        <w:jc w:val="both"/>
        <w:rPr>
          <w:rFonts w:ascii="Times New Roman" w:hAnsi="Times New Roman"/>
          <w:color w:val="000000"/>
        </w:rPr>
      </w:pPr>
      <w:r>
        <w:rPr>
          <w:rFonts w:ascii="Times New Roman" w:hAnsi="Times New Roman"/>
          <w:color w:val="000000"/>
        </w:rPr>
        <w:t>There are no small entities affected by this collection</w:t>
      </w:r>
      <w:r w:rsidR="00794B3F" w:rsidRPr="00794B3F">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spacing w:line="273" w:lineRule="atLeast"/>
        <w:ind w:left="540" w:hanging="540"/>
        <w:jc w:val="both"/>
        <w:rPr>
          <w:rFonts w:ascii="Times New Roman" w:hAnsi="Times New Roman"/>
          <w:color w:val="000000"/>
        </w:rPr>
      </w:pPr>
      <w:r w:rsidRPr="00794B3F">
        <w:rPr>
          <w:rFonts w:ascii="Times New Roman" w:hAnsi="Times New Roman"/>
          <w:color w:val="000000"/>
          <w:u w:val="single"/>
        </w:rPr>
        <w:t xml:space="preserve">CONSEQUENCES OF LESS FREQUENT COLLECTION ON FEDERAL PROGRAMS OR POLICY ACTIVITIES </w:t>
      </w:r>
    </w:p>
    <w:p w:rsidR="00794B3F" w:rsidRPr="001A13C7" w:rsidRDefault="00794B3F" w:rsidP="00794B3F">
      <w:pPr>
        <w:pStyle w:val="Default"/>
        <w:tabs>
          <w:tab w:val="left" w:pos="540"/>
        </w:tabs>
        <w:ind w:left="540" w:hanging="540"/>
        <w:rPr>
          <w:rFonts w:ascii="Times New Roman" w:hAnsi="Times New Roman" w:cs="Times New Roman"/>
        </w:rPr>
      </w:pPr>
    </w:p>
    <w:p w:rsidR="00794B3F" w:rsidRPr="001A13C7" w:rsidRDefault="00794B3F" w:rsidP="00794B3F">
      <w:pPr>
        <w:pStyle w:val="CM15"/>
        <w:tabs>
          <w:tab w:val="left" w:pos="540"/>
        </w:tabs>
        <w:ind w:left="540" w:hanging="540"/>
        <w:jc w:val="both"/>
        <w:rPr>
          <w:rFonts w:ascii="Times New Roman" w:hAnsi="Times New Roman"/>
          <w:color w:val="000000"/>
        </w:rPr>
      </w:pPr>
      <w:r w:rsidRPr="001A13C7">
        <w:rPr>
          <w:rFonts w:ascii="Times New Roman" w:hAnsi="Times New Roman"/>
          <w:color w:val="000000"/>
        </w:rPr>
        <w:tab/>
      </w:r>
      <w:r w:rsidR="00CB400A" w:rsidRPr="001A13C7">
        <w:rPr>
          <w:rFonts w:ascii="Times New Roman" w:hAnsi="Times New Roman"/>
        </w:rPr>
        <w:t xml:space="preserve">Consequences of less frequent collection on federal programs or policy activities </w:t>
      </w:r>
      <w:r w:rsidR="001A13C7">
        <w:rPr>
          <w:rFonts w:ascii="Times New Roman" w:hAnsi="Times New Roman"/>
        </w:rPr>
        <w:t xml:space="preserve">could result in a </w:t>
      </w:r>
      <w:r w:rsidR="00CB400A" w:rsidRPr="001A13C7">
        <w:rPr>
          <w:rFonts w:ascii="Times New Roman" w:hAnsi="Times New Roman"/>
        </w:rPr>
        <w:t>decreased amount of taxes collected by the Service, inaccurate and untimely filing of tax returns, and an increase in tax violations.</w:t>
      </w:r>
      <w:r w:rsidRPr="001A13C7">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ListParagraph"/>
        <w:numPr>
          <w:ilvl w:val="0"/>
          <w:numId w:val="1"/>
        </w:numPr>
        <w:tabs>
          <w:tab w:val="left" w:pos="540"/>
        </w:tabs>
        <w:ind w:left="540" w:hanging="540"/>
        <w:rPr>
          <w:u w:val="single"/>
        </w:rPr>
      </w:pPr>
      <w:r w:rsidRPr="00794B3F">
        <w:rPr>
          <w:u w:val="single"/>
        </w:rPr>
        <w:t xml:space="preserve">SPECIAL CIRCUMSTANCES REQUIRING DATA COLLECTION TO BE INCONSISTENT WITH GUIDELINES IN 5 CFR 1320.5(d)(2)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B22519" w:rsidP="00B22519">
      <w:pPr>
        <w:pStyle w:val="Default"/>
        <w:tabs>
          <w:tab w:val="left" w:pos="540"/>
        </w:tabs>
        <w:ind w:left="540"/>
        <w:rPr>
          <w:rFonts w:ascii="Times New Roman" w:hAnsi="Times New Roman" w:cs="Times New Roman"/>
        </w:rPr>
      </w:pPr>
      <w:r>
        <w:rPr>
          <w:rFonts w:ascii="Times New Roman" w:hAnsi="Times New Roman" w:cs="Times New Roman"/>
        </w:rPr>
        <w:t>There are no special circumstances requiring data collection to be inconsistent with guidelines in 5 CFR 1320.5(d)(2).</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pPr>
        <w:widowControl/>
        <w:autoSpaceDE/>
        <w:autoSpaceDN/>
        <w:adjustRightInd/>
        <w:rPr>
          <w:color w:val="000000"/>
        </w:rPr>
      </w:pPr>
      <w:r>
        <w:br w:type="page"/>
      </w: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lastRenderedPageBreak/>
        <w:t>CONSULTATION WITH INDIVIDUALS OUTSIDE OF THE AGENCY ON AVAILABILITY OF DATA, FREQUENCY OF COLLECTION, CLARITY OF INSTRUCTIONS AND FORMS, AND DATA ELEMENTS</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B22519">
      <w:pPr>
        <w:pStyle w:val="CM2"/>
        <w:tabs>
          <w:tab w:val="left" w:pos="540"/>
        </w:tabs>
        <w:ind w:left="540" w:hanging="540"/>
        <w:rPr>
          <w:rFonts w:ascii="Times New Roman" w:hAnsi="Times New Roman"/>
        </w:rPr>
      </w:pPr>
      <w:r>
        <w:rPr>
          <w:rFonts w:ascii="Times New Roman" w:hAnsi="Times New Roman"/>
          <w:color w:val="000000"/>
        </w:rPr>
        <w:tab/>
      </w:r>
      <w:r w:rsidRPr="00794B3F">
        <w:rPr>
          <w:rFonts w:ascii="Times New Roman" w:hAnsi="Times New Roman"/>
        </w:rPr>
        <w:t xml:space="preserve">In response to our Federal Register </w:t>
      </w:r>
      <w:r>
        <w:rPr>
          <w:rFonts w:ascii="Times New Roman" w:hAnsi="Times New Roman"/>
        </w:rPr>
        <w:t>n</w:t>
      </w:r>
      <w:r w:rsidRPr="00794B3F">
        <w:rPr>
          <w:rFonts w:ascii="Times New Roman" w:hAnsi="Times New Roman"/>
        </w:rPr>
        <w:t xml:space="preserve">otice dated </w:t>
      </w:r>
      <w:r w:rsidR="00B22519">
        <w:rPr>
          <w:rFonts w:ascii="Times New Roman" w:hAnsi="Times New Roman"/>
        </w:rPr>
        <w:t>January 14, 2016 (81 FR 2000),</w:t>
      </w:r>
      <w:r w:rsidRPr="00794B3F">
        <w:rPr>
          <w:rFonts w:ascii="Times New Roman" w:hAnsi="Times New Roman"/>
        </w:rPr>
        <w:t xml:space="preserve"> we received no comments during the comment period regarding Form 5316.</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EXPLANATION OF DECISION TO PROVIDE ANY PAYMENT OR GIFT TO RESPONDENTS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B22519" w:rsidP="00B22519">
      <w:pPr>
        <w:pStyle w:val="CM15"/>
        <w:tabs>
          <w:tab w:val="left" w:pos="540"/>
        </w:tabs>
        <w:ind w:left="540"/>
        <w:rPr>
          <w:rFonts w:ascii="Times New Roman" w:hAnsi="Times New Roman"/>
          <w:color w:val="000000"/>
        </w:rPr>
      </w:pPr>
      <w:r>
        <w:rPr>
          <w:rFonts w:ascii="Times New Roman" w:hAnsi="Times New Roman"/>
          <w:color w:val="000000"/>
        </w:rPr>
        <w:t>No payment or gift has been provided to any respondents</w:t>
      </w:r>
      <w:r w:rsidR="00794B3F" w:rsidRPr="00794B3F">
        <w:rPr>
          <w:rFonts w:ascii="Times New Roman" w:hAnsi="Times New Roman"/>
          <w:color w:val="000000"/>
        </w:rPr>
        <w:t xml:space="preserve">. </w:t>
      </w: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ASSURANCE OF CONFIDENTIALITY OF RESPONSES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3"/>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Generally, tax returns and tax return information are confidential as required by 26 USC 6103.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JUSTIFICATION OF SENSITIVE QUESTIONS </w:t>
      </w:r>
    </w:p>
    <w:p w:rsidR="00794B3F" w:rsidRPr="00794B3F" w:rsidRDefault="00794B3F" w:rsidP="00794B3F">
      <w:pPr>
        <w:pStyle w:val="Default"/>
        <w:tabs>
          <w:tab w:val="left" w:pos="540"/>
        </w:tabs>
        <w:ind w:left="540" w:hanging="540"/>
        <w:rPr>
          <w:rFonts w:ascii="Times New Roman" w:hAnsi="Times New Roman" w:cs="Times New Roman"/>
        </w:rPr>
      </w:pPr>
    </w:p>
    <w:p w:rsidR="00767962" w:rsidRDefault="00767962" w:rsidP="00767962">
      <w:pPr>
        <w:ind w:left="540"/>
        <w:rPr>
          <w:rStyle w:val="Hyperlink"/>
          <w:rFonts w:ascii="Courier New" w:hAnsi="Courier New" w:cs="Courier New"/>
        </w:rPr>
      </w:pPr>
      <w:r>
        <w:t xml:space="preserve">A privacy impact assessment (PIA) has been conducted for information collected under this request as part of the “Business Master file (BMF)” and a Privacy Act System of Records notice (SORN) has been issued for these systems under </w:t>
      </w:r>
      <w:r>
        <w:rPr>
          <w:color w:val="000000"/>
        </w:rPr>
        <w:t>IRS 22.062 – Electronic Filing Records; IRS 24.0</w:t>
      </w:r>
      <w:r>
        <w:rPr>
          <w:color w:val="1F497D"/>
        </w:rPr>
        <w:t>30</w:t>
      </w:r>
      <w:r>
        <w:rPr>
          <w:color w:val="000000"/>
        </w:rPr>
        <w:t xml:space="preserve"> – Customer Account Data Engine (CADE) Individual Master File; IRS 24.046 - CADE Business Master File (BMF);IRS 34.0</w:t>
      </w:r>
      <w:r>
        <w:rPr>
          <w:color w:val="1F497D"/>
        </w:rPr>
        <w:t>3</w:t>
      </w:r>
      <w:r>
        <w:rPr>
          <w:color w:val="000000"/>
        </w:rPr>
        <w:t xml:space="preserve">7 - IRS Audit Trail and Security Records System. </w:t>
      </w:r>
      <w:r>
        <w:t xml:space="preserve">The Internal Revenue Service PIA’s can be found at </w:t>
      </w:r>
      <w:hyperlink r:id="rId8" w:history="1">
        <w:r>
          <w:rPr>
            <w:rStyle w:val="Hyperlink"/>
          </w:rPr>
          <w:t>http://www.irs.gov/uac/Privacy-Impact-Assessments-PIA</w:t>
        </w:r>
      </w:hyperlink>
      <w:r>
        <w:rPr>
          <w:rFonts w:ascii="Courier New" w:hAnsi="Courier New" w:cs="Courier New"/>
        </w:rPr>
        <w:t>.</w:t>
      </w:r>
    </w:p>
    <w:p w:rsidR="00767962" w:rsidRDefault="00767962" w:rsidP="00767962">
      <w:pPr>
        <w:ind w:left="720"/>
        <w:rPr>
          <w:rStyle w:val="Hyperlink"/>
        </w:rPr>
      </w:pPr>
    </w:p>
    <w:p w:rsidR="00794B3F" w:rsidRPr="00794B3F" w:rsidRDefault="00767962" w:rsidP="00767962">
      <w:pPr>
        <w:ind w:left="540"/>
        <w:rPr>
          <w:color w:val="000000"/>
        </w:rPr>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t xml:space="preserve">ESTIMATED BURDEN OF INFORMATION COLLECTION </w:t>
      </w:r>
    </w:p>
    <w:p w:rsidR="00794B3F" w:rsidRPr="00794B3F" w:rsidRDefault="00794B3F" w:rsidP="00794B3F">
      <w:pPr>
        <w:pStyle w:val="Default"/>
        <w:tabs>
          <w:tab w:val="left" w:pos="540"/>
        </w:tabs>
        <w:ind w:left="547" w:hanging="547"/>
        <w:rPr>
          <w:rFonts w:ascii="Times New Roman" w:hAnsi="Times New Roman" w:cs="Times New Roman"/>
        </w:rPr>
      </w:pPr>
    </w:p>
    <w:p w:rsidR="00794B3F" w:rsidRPr="00794B3F" w:rsidRDefault="00794B3F" w:rsidP="00794B3F">
      <w:pPr>
        <w:pStyle w:val="CM16"/>
        <w:tabs>
          <w:tab w:val="left" w:pos="540"/>
        </w:tabs>
        <w:ind w:left="547" w:hanging="547"/>
        <w:rPr>
          <w:rFonts w:ascii="Times New Roman" w:hAnsi="Times New Roman"/>
          <w:color w:val="000000"/>
        </w:rPr>
      </w:pPr>
      <w:r w:rsidRPr="00794B3F">
        <w:rPr>
          <w:rFonts w:ascii="Times New Roman" w:hAnsi="Times New Roman"/>
          <w:color w:val="000000"/>
        </w:rPr>
        <w:tab/>
        <w:t xml:space="preserve">The burden estimate is as follows: </w:t>
      </w:r>
    </w:p>
    <w:p w:rsidR="00794B3F" w:rsidRPr="00794B3F" w:rsidRDefault="00794B3F" w:rsidP="00794B3F">
      <w:pPr>
        <w:pStyle w:val="Default"/>
        <w:rPr>
          <w:rFonts w:ascii="Times New Roman" w:hAnsi="Times New Roman" w:cs="Times New Roman"/>
        </w:rPr>
      </w:pPr>
    </w:p>
    <w:tbl>
      <w:tblPr>
        <w:tblStyle w:val="TableGrid"/>
        <w:tblW w:w="8136" w:type="dxa"/>
        <w:tblInd w:w="648" w:type="dxa"/>
        <w:tblLook w:val="04A0" w:firstRow="1" w:lastRow="0" w:firstColumn="1" w:lastColumn="0" w:noHBand="0" w:noVBand="1"/>
      </w:tblPr>
      <w:tblGrid>
        <w:gridCol w:w="2160"/>
        <w:gridCol w:w="2016"/>
        <w:gridCol w:w="2070"/>
        <w:gridCol w:w="1890"/>
      </w:tblGrid>
      <w:tr w:rsidR="00794B3F" w:rsidTr="00794B3F">
        <w:tc>
          <w:tcPr>
            <w:tcW w:w="216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Form</w:t>
            </w:r>
          </w:p>
        </w:tc>
        <w:tc>
          <w:tcPr>
            <w:tcW w:w="2016"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No. of Responses</w:t>
            </w:r>
          </w:p>
        </w:tc>
        <w:tc>
          <w:tcPr>
            <w:tcW w:w="207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Hours Per Response</w:t>
            </w:r>
          </w:p>
        </w:tc>
        <w:tc>
          <w:tcPr>
            <w:tcW w:w="189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Total Hours</w:t>
            </w:r>
          </w:p>
        </w:tc>
      </w:tr>
      <w:tr w:rsidR="00794B3F" w:rsidTr="00794B3F">
        <w:trPr>
          <w:trHeight w:val="422"/>
        </w:trPr>
        <w:tc>
          <w:tcPr>
            <w:tcW w:w="216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5315</w:t>
            </w:r>
          </w:p>
        </w:tc>
        <w:tc>
          <w:tcPr>
            <w:tcW w:w="2016"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200</w:t>
            </w:r>
          </w:p>
        </w:tc>
        <w:tc>
          <w:tcPr>
            <w:tcW w:w="207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19</w:t>
            </w:r>
          </w:p>
        </w:tc>
        <w:tc>
          <w:tcPr>
            <w:tcW w:w="189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3,800</w:t>
            </w:r>
          </w:p>
        </w:tc>
      </w:tr>
    </w:tbl>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u w:val="single"/>
        </w:rPr>
      </w:pPr>
      <w:r w:rsidRPr="00794B3F">
        <w:rPr>
          <w:rFonts w:ascii="Times New Roman" w:hAnsi="Times New Roman" w:cs="Times New Roman"/>
          <w:u w:val="single"/>
        </w:rPr>
        <w:t>ESTIMATED TOTAL ANNUAL COST BURDEN TO RESPONDENTS</w:t>
      </w:r>
    </w:p>
    <w:p w:rsidR="00794B3F" w:rsidRDefault="00794B3F" w:rsidP="00794B3F">
      <w:pPr>
        <w:pStyle w:val="Default"/>
        <w:tabs>
          <w:tab w:val="left" w:pos="540"/>
        </w:tabs>
        <w:ind w:left="540"/>
        <w:rPr>
          <w:rFonts w:ascii="Times New Roman" w:hAnsi="Times New Roman" w:cs="Times New Roman"/>
        </w:rPr>
      </w:pPr>
    </w:p>
    <w:p w:rsidR="00794B3F" w:rsidRDefault="00B212E1" w:rsidP="00B212E1">
      <w:pPr>
        <w:pStyle w:val="Default"/>
        <w:tabs>
          <w:tab w:val="left" w:pos="540"/>
        </w:tabs>
        <w:ind w:left="540"/>
        <w:rPr>
          <w:rFonts w:ascii="Times New Roman" w:hAnsi="Times New Roman" w:cs="Times New Roman"/>
        </w:rPr>
      </w:pPr>
      <w:r>
        <w:rPr>
          <w:rFonts w:ascii="Times New Roman" w:hAnsi="Times New Roman" w:cs="Times New Roman"/>
        </w:rPr>
        <w:t>There is no estimated cost burden to respondents</w:t>
      </w:r>
    </w:p>
    <w:p w:rsidR="00794B3F" w:rsidRPr="00794B3F" w:rsidRDefault="00794B3F" w:rsidP="00794B3F">
      <w:pPr>
        <w:pStyle w:val="Default"/>
        <w:tabs>
          <w:tab w:val="left" w:pos="540"/>
        </w:tabs>
        <w:ind w:left="540" w:hanging="540"/>
        <w:rPr>
          <w:rFonts w:ascii="Times New Roman" w:hAnsi="Times New Roman" w:cs="Times New Roman"/>
        </w:rPr>
      </w:pPr>
      <w:r>
        <w:rPr>
          <w:rFonts w:ascii="Times New Roman" w:hAnsi="Times New Roman" w:cs="Times New Roman"/>
        </w:rPr>
        <w:tab/>
      </w:r>
    </w:p>
    <w:p w:rsidR="00794B3F" w:rsidRDefault="00794B3F">
      <w:pPr>
        <w:widowControl/>
        <w:autoSpaceDE/>
        <w:autoSpaceDN/>
        <w:adjustRightInd/>
        <w:rPr>
          <w:color w:val="000000"/>
        </w:rPr>
      </w:pPr>
      <w:r>
        <w:rPr>
          <w:color w:val="000000"/>
        </w:rPr>
        <w:br w:type="page"/>
      </w:r>
    </w:p>
    <w:p w:rsidR="00794B3F" w:rsidRPr="00794B3F" w:rsidRDefault="00794B3F" w:rsidP="00794B3F">
      <w:pPr>
        <w:pStyle w:val="CM5"/>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lastRenderedPageBreak/>
        <w:t xml:space="preserve">ESTIMATED ANNUALIZED COST TO THE FEDERAL GOVERNMENT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1"/>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Printing costs approximately $3,000.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REASONS FOR CHANGE IN BURDEN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8"/>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There are no changes to the burden previously approved by OMB.  This submission is for renewal purposes only.</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PLANS FOR TABULATION, STATISTICAL ANALYSIS AND PUBLICATION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B212E1" w:rsidP="00B212E1">
      <w:pPr>
        <w:pStyle w:val="Default"/>
        <w:tabs>
          <w:tab w:val="left" w:pos="540"/>
        </w:tabs>
        <w:ind w:left="540"/>
        <w:rPr>
          <w:rFonts w:ascii="Times New Roman" w:hAnsi="Times New Roman" w:cs="Times New Roman"/>
        </w:rPr>
      </w:pPr>
      <w:r>
        <w:rPr>
          <w:rFonts w:ascii="Times New Roman" w:hAnsi="Times New Roman" w:cs="Times New Roman"/>
        </w:rPr>
        <w:t>There are no plans for tabulation, statistical analysis and publication</w:t>
      </w:r>
      <w:r w:rsidR="00794B3F" w:rsidRPr="00794B3F">
        <w:rPr>
          <w:rFonts w:ascii="Times New Roman" w:hAnsi="Times New Roman" w:cs="Times New Roman"/>
        </w:rPr>
        <w:t>.</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REASONS WHY DISPLAYING THE OMB EXPIRATION DATE IS INAPPROPRIATE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3"/>
        <w:tabs>
          <w:tab w:val="left" w:pos="540"/>
        </w:tabs>
        <w:ind w:left="540"/>
        <w:jc w:val="both"/>
        <w:rPr>
          <w:rFonts w:ascii="Times New Roman" w:hAnsi="Times New Roman"/>
          <w:color w:val="000000"/>
        </w:rPr>
      </w:pPr>
      <w:r>
        <w:rPr>
          <w:rFonts w:ascii="Times New Roman" w:hAnsi="Times New Roman"/>
          <w:color w:val="000000"/>
        </w:rPr>
        <w:t>See attached</w:t>
      </w:r>
      <w:r w:rsidRPr="00794B3F">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EXCEPTIONS TO THE CERTIFICATION STATEMENT ON OMB PRA SUBMISSION FORM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B212E1" w:rsidP="00B212E1">
      <w:pPr>
        <w:pStyle w:val="Default"/>
        <w:tabs>
          <w:tab w:val="left" w:pos="540"/>
        </w:tabs>
        <w:ind w:left="540"/>
        <w:jc w:val="both"/>
        <w:rPr>
          <w:rFonts w:ascii="Times New Roman" w:hAnsi="Times New Roman" w:cs="Times New Roman"/>
        </w:rPr>
      </w:pPr>
      <w:r>
        <w:rPr>
          <w:rFonts w:ascii="Times New Roman" w:hAnsi="Times New Roman" w:cs="Times New Roman"/>
        </w:rPr>
        <w:t>There are no exceptions to the certification statement</w:t>
      </w:r>
      <w:r w:rsidR="00794B3F" w:rsidRPr="00794B3F">
        <w:rPr>
          <w:rFonts w:ascii="Times New Roman" w:hAnsi="Times New Roman" w:cs="Times New Roman"/>
        </w:rPr>
        <w:t xml:space="preserve">. </w:t>
      </w:r>
      <w:bookmarkStart w:id="0" w:name="_GoBack"/>
      <w:bookmarkEnd w:id="0"/>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Note:</w:t>
      </w:r>
      <w:r>
        <w:rPr>
          <w:rFonts w:ascii="Times New Roman" w:hAnsi="Times New Roman" w:cs="Times New Roman"/>
        </w:rPr>
        <w:tab/>
      </w:r>
      <w:r w:rsidRPr="00794B3F">
        <w:rPr>
          <w:rFonts w:ascii="Times New Roman" w:hAnsi="Times New Roman" w:cs="Times New Roman"/>
        </w:rPr>
        <w:t>The following paragraph applies to all of the collections of information in this submission:</w:t>
      </w:r>
      <w:r>
        <w:rPr>
          <w:rFonts w:ascii="Times New Roman" w:hAnsi="Times New Roman" w:cs="Times New Roman"/>
        </w:rPr>
        <w:t xml:space="preserve"> </w:t>
      </w: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An agency may not conduct or sponsor, and a person is not required to respond to, a collection of information unless</w:t>
      </w:r>
      <w:r>
        <w:rPr>
          <w:rFonts w:ascii="Times New Roman" w:hAnsi="Times New Roman" w:cs="Times New Roman"/>
        </w:rPr>
        <w:t xml:space="preserve"> </w:t>
      </w:r>
      <w:r w:rsidRPr="00794B3F">
        <w:rPr>
          <w:rFonts w:ascii="Times New Roman" w:hAnsi="Times New Roman" w:cs="Times New Roman"/>
        </w:rPr>
        <w:t>the collection of information displays a valid OMB control number. Books or records relating to a collection of</w:t>
      </w:r>
      <w:r>
        <w:rPr>
          <w:rFonts w:ascii="Times New Roman" w:hAnsi="Times New Roman" w:cs="Times New Roman"/>
        </w:rPr>
        <w:t xml:space="preserve"> </w:t>
      </w:r>
      <w:r w:rsidRPr="00794B3F">
        <w:rPr>
          <w:rFonts w:ascii="Times New Roman" w:hAnsi="Times New Roman" w:cs="Times New Roman"/>
        </w:rPr>
        <w:t>information must be retained as long as their contents may become material in the administration of any internal revenue law. Generally, tax returns and tax return information are confidential, as required by 26 U.S.C. 6103.</w:t>
      </w:r>
    </w:p>
    <w:p w:rsidR="00794B3F" w:rsidRDefault="00794B3F" w:rsidP="00794B3F">
      <w:pPr>
        <w:pStyle w:val="Default"/>
      </w:pPr>
      <w:r>
        <w:br w:type="page"/>
      </w:r>
    </w:p>
    <w:p w:rsidR="00794B3F" w:rsidRPr="00794B3F" w:rsidRDefault="00794B3F" w:rsidP="00794B3F">
      <w:pPr>
        <w:jc w:val="center"/>
        <w:rPr>
          <w:rFonts w:ascii="CG Times" w:hAnsi="CG Times" w:cs="CG Times"/>
          <w:bCs/>
        </w:rPr>
      </w:pPr>
      <w:r w:rsidRPr="00794B3F">
        <w:rPr>
          <w:lang w:val="en-CA"/>
        </w:rPr>
        <w:fldChar w:fldCharType="begin"/>
      </w:r>
      <w:r w:rsidRPr="00794B3F">
        <w:rPr>
          <w:lang w:val="en-CA"/>
        </w:rPr>
        <w:instrText xml:space="preserve"> SEQ CHAPTER \h \r 1</w:instrText>
      </w:r>
      <w:r w:rsidRPr="00794B3F">
        <w:rPr>
          <w:lang w:val="en-CA"/>
        </w:rPr>
        <w:fldChar w:fldCharType="end"/>
      </w:r>
      <w:r w:rsidRPr="00794B3F">
        <w:rPr>
          <w:rFonts w:ascii="CG Times" w:hAnsi="CG Times" w:cs="CG Times"/>
          <w:bCs/>
        </w:rPr>
        <w:t>OMB EXPIRATION DATE</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We believe the public interest will be better served by not printing an expiration date on the form(s) in this package.</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Printing the expiration date on the form will result in increased costs because of the need to replace i</w:t>
      </w:r>
      <w:r>
        <w:rPr>
          <w:rFonts w:ascii="CG Times" w:hAnsi="CG Times" w:cs="CG Times"/>
          <w:bCs/>
        </w:rPr>
        <w:t>nventories that become obsolete</w:t>
      </w:r>
      <w:r w:rsidRPr="00794B3F">
        <w:rPr>
          <w:rFonts w:ascii="CG Times" w:hAnsi="CG Times" w:cs="CG Times"/>
          <w:bCs/>
        </w:rPr>
        <w:t xml:space="preserve"> by passage of the expiration date each time OMB approval is renewed.   Without printing the expiration date, supplies of the form could continue to be used.</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The time period during which the current edition of the form(s) in this package will continue to be usable cannot be predicted.  It could easily span several cycles of review and OMB clearance renewal.   In addition, u</w:t>
      </w:r>
      <w:r>
        <w:rPr>
          <w:rFonts w:ascii="CG Times" w:hAnsi="CG Times" w:cs="CG Times"/>
          <w:bCs/>
        </w:rPr>
        <w:t xml:space="preserve">sage fluctuates unpredictably. </w:t>
      </w:r>
      <w:r w:rsidRPr="00794B3F">
        <w:rPr>
          <w:rFonts w:ascii="CG Times" w:hAnsi="CG Times" w:cs="CG Times"/>
          <w:bCs/>
        </w:rPr>
        <w:t xml:space="preserve"> This makes it necessary to maintain a substantial inventory of forms in the supply line at all times.  This includes supplies owned by both t</w:t>
      </w:r>
      <w:r>
        <w:rPr>
          <w:rFonts w:ascii="CG Times" w:hAnsi="CG Times" w:cs="CG Times"/>
          <w:bCs/>
        </w:rPr>
        <w:t xml:space="preserve">he Government and the public.  </w:t>
      </w:r>
      <w:r w:rsidRPr="00794B3F">
        <w:rPr>
          <w:rFonts w:ascii="CG Times" w:hAnsi="CG Times" w:cs="CG Times"/>
          <w:bCs/>
        </w:rPr>
        <w:t xml:space="preserve">Reprinting of the form cannot be reliably scheduled to coincide with an </w:t>
      </w:r>
      <w:r>
        <w:rPr>
          <w:rFonts w:ascii="CG Times" w:hAnsi="CG Times" w:cs="CG Times"/>
          <w:bCs/>
        </w:rPr>
        <w:t xml:space="preserve">OMB approval expiration date.  </w:t>
      </w:r>
      <w:r w:rsidRPr="00794B3F">
        <w:rPr>
          <w:rFonts w:ascii="CG Times" w:hAnsi="CG Times" w:cs="CG Times"/>
          <w:bCs/>
        </w:rPr>
        <w:t>This form may be privately printed by users at their own expense.  Some businesses print complex and expensive marginally punched continuous versions, at their expense</w:t>
      </w:r>
      <w:r>
        <w:rPr>
          <w:rFonts w:ascii="CG Times" w:hAnsi="CG Times" w:cs="CG Times"/>
          <w:bCs/>
        </w:rPr>
        <w:t xml:space="preserve">, for use in their computers.  </w:t>
      </w:r>
      <w:r w:rsidRPr="00794B3F">
        <w:rPr>
          <w:rFonts w:ascii="CG Times" w:hAnsi="CG Times" w:cs="CG Times"/>
          <w:bCs/>
        </w:rPr>
        <w:t>The form may be printed by commercial printers and stocked for sale.  In such cases, printing the expiration date on the form could result in extra costs to the users.</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Not printing the expiration date on the form(s) will also avoid confusion among taxpayers who may have identical forms with different expiration dates in their possession.</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For the above reasons we request authorization to omit printing the expiration date on the form(s) in this package.</w:t>
      </w:r>
    </w:p>
    <w:sectPr w:rsidR="00794B3F" w:rsidRPr="00794B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3F" w:rsidRDefault="00794B3F" w:rsidP="00794B3F">
      <w:r>
        <w:separator/>
      </w:r>
    </w:p>
  </w:endnote>
  <w:endnote w:type="continuationSeparator" w:id="0">
    <w:p w:rsidR="00794B3F" w:rsidRDefault="00794B3F" w:rsidP="007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948745"/>
      <w:docPartObj>
        <w:docPartGallery w:val="Page Numbers (Bottom of Page)"/>
        <w:docPartUnique/>
      </w:docPartObj>
    </w:sdtPr>
    <w:sdtEndPr>
      <w:rPr>
        <w:noProof/>
      </w:rPr>
    </w:sdtEndPr>
    <w:sdtContent>
      <w:p w:rsidR="00794B3F" w:rsidRDefault="00794B3F">
        <w:pPr>
          <w:pStyle w:val="Footer"/>
          <w:jc w:val="right"/>
        </w:pPr>
        <w:r>
          <w:fldChar w:fldCharType="begin"/>
        </w:r>
        <w:r>
          <w:instrText xml:space="preserve"> PAGE   \* MERGEFORMAT </w:instrText>
        </w:r>
        <w:r>
          <w:fldChar w:fldCharType="separate"/>
        </w:r>
        <w:r w:rsidR="00B212E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3F" w:rsidRDefault="00794B3F" w:rsidP="00794B3F">
      <w:r>
        <w:separator/>
      </w:r>
    </w:p>
  </w:footnote>
  <w:footnote w:type="continuationSeparator" w:id="0">
    <w:p w:rsidR="00794B3F" w:rsidRDefault="00794B3F" w:rsidP="0079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F1743"/>
    <w:multiLevelType w:val="hybridMultilevel"/>
    <w:tmpl w:val="13CC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3F"/>
    <w:rsid w:val="001A13C7"/>
    <w:rsid w:val="00340C9D"/>
    <w:rsid w:val="007014B7"/>
    <w:rsid w:val="00767962"/>
    <w:rsid w:val="00794B3F"/>
    <w:rsid w:val="00B212E1"/>
    <w:rsid w:val="00B22519"/>
    <w:rsid w:val="00CB400A"/>
    <w:rsid w:val="00E378C3"/>
    <w:rsid w:val="00FC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semiHidden/>
    <w:unhideWhenUsed/>
    <w:rsid w:val="007679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semiHidden/>
    <w:unhideWhenUsed/>
    <w:rsid w:val="00767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Department of Treasury</cp:lastModifiedBy>
  <cp:revision>4</cp:revision>
  <cp:lastPrinted>2013-02-11T19:10:00Z</cp:lastPrinted>
  <dcterms:created xsi:type="dcterms:W3CDTF">2016-03-08T16:43:00Z</dcterms:created>
  <dcterms:modified xsi:type="dcterms:W3CDTF">2016-03-08T17:04:00Z</dcterms:modified>
</cp:coreProperties>
</file>