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79" w:rsidRPr="00796DC5" w:rsidRDefault="00C25B79" w:rsidP="00796DC5">
      <w:pPr>
        <w:pStyle w:val="Footer"/>
        <w:tabs>
          <w:tab w:val="clear" w:pos="4320"/>
          <w:tab w:val="clear" w:pos="8640"/>
          <w:tab w:val="center" w:pos="4680"/>
        </w:tabs>
        <w:jc w:val="center"/>
        <w:rPr>
          <w:rFonts w:ascii="Times New Roman" w:hAnsi="Times New Roman"/>
          <w:b/>
          <w:bCs/>
          <w:sz w:val="24"/>
          <w:szCs w:val="24"/>
        </w:rPr>
      </w:pPr>
      <w:r w:rsidRPr="00796DC5">
        <w:rPr>
          <w:rFonts w:ascii="Times New Roman" w:hAnsi="Times New Roman"/>
          <w:b/>
          <w:bCs/>
          <w:sz w:val="24"/>
          <w:szCs w:val="24"/>
        </w:rPr>
        <w:t>Supporting Statement</w:t>
      </w:r>
    </w:p>
    <w:p w:rsidR="00C25B79" w:rsidRPr="00796DC5" w:rsidRDefault="00C819A9" w:rsidP="00796DC5">
      <w:pPr>
        <w:tabs>
          <w:tab w:val="center" w:pos="4680"/>
        </w:tabs>
        <w:rPr>
          <w:rFonts w:ascii="Times New Roman" w:hAnsi="Times New Roman"/>
          <w:b/>
          <w:bCs/>
          <w:sz w:val="24"/>
          <w:szCs w:val="24"/>
        </w:rPr>
      </w:pPr>
      <w:r w:rsidRPr="00796DC5">
        <w:rPr>
          <w:rFonts w:ascii="Times New Roman" w:hAnsi="Times New Roman"/>
          <w:b/>
          <w:bCs/>
          <w:sz w:val="24"/>
          <w:szCs w:val="24"/>
        </w:rPr>
        <w:tab/>
        <w:t>Leveraged Guidance</w:t>
      </w:r>
    </w:p>
    <w:p w:rsidR="00C819A9" w:rsidRPr="00796DC5" w:rsidRDefault="009C7BE3" w:rsidP="00796DC5">
      <w:pPr>
        <w:tabs>
          <w:tab w:val="center" w:pos="4680"/>
        </w:tabs>
        <w:jc w:val="center"/>
        <w:rPr>
          <w:rFonts w:ascii="Times New Roman" w:hAnsi="Times New Roman"/>
          <w:b/>
          <w:bCs/>
          <w:sz w:val="24"/>
          <w:szCs w:val="24"/>
        </w:rPr>
      </w:pPr>
      <w:r w:rsidRPr="00796DC5">
        <w:rPr>
          <w:rFonts w:ascii="Times New Roman" w:hAnsi="Times New Roman"/>
          <w:b/>
          <w:bCs/>
          <w:sz w:val="24"/>
          <w:szCs w:val="24"/>
        </w:rPr>
        <w:t>OMB Control No. 1557-0315</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sz w:val="24"/>
          <w:szCs w:val="24"/>
        </w:rPr>
      </w:pPr>
      <w:r w:rsidRPr="00796DC5">
        <w:rPr>
          <w:rFonts w:ascii="Times New Roman" w:hAnsi="Times New Roman"/>
          <w:b/>
          <w:bCs/>
          <w:sz w:val="24"/>
          <w:szCs w:val="24"/>
        </w:rPr>
        <w:t>A.</w:t>
      </w:r>
      <w:r w:rsidRPr="00796DC5">
        <w:rPr>
          <w:rFonts w:ascii="Times New Roman" w:hAnsi="Times New Roman"/>
          <w:b/>
          <w:bCs/>
          <w:sz w:val="24"/>
          <w:szCs w:val="24"/>
        </w:rPr>
        <w:tab/>
        <w:t>Justification</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w:t>
      </w:r>
      <w:r w:rsidRPr="00796DC5">
        <w:rPr>
          <w:rFonts w:ascii="Times New Roman" w:hAnsi="Times New Roman"/>
          <w:b/>
          <w:bCs/>
          <w:i/>
          <w:iCs/>
          <w:sz w:val="24"/>
          <w:szCs w:val="24"/>
        </w:rPr>
        <w:tab/>
        <w:t>Circumstances that make the collection necessary:</w:t>
      </w:r>
    </w:p>
    <w:p w:rsidR="00C25B79" w:rsidRPr="00796DC5" w:rsidRDefault="00C25B79" w:rsidP="00796DC5">
      <w:pPr>
        <w:rPr>
          <w:rFonts w:ascii="Times New Roman" w:hAnsi="Times New Roman"/>
          <w:sz w:val="24"/>
          <w:szCs w:val="24"/>
        </w:rPr>
      </w:pPr>
    </w:p>
    <w:p w:rsidR="00C819A9" w:rsidRPr="00796DC5" w:rsidRDefault="002F084A" w:rsidP="00796DC5">
      <w:pPr>
        <w:ind w:firstLine="720"/>
        <w:rPr>
          <w:rFonts w:ascii="Times New Roman" w:hAnsi="Times New Roman"/>
          <w:sz w:val="24"/>
          <w:szCs w:val="24"/>
        </w:rPr>
      </w:pPr>
      <w:r w:rsidRPr="00796DC5">
        <w:rPr>
          <w:rFonts w:ascii="Times New Roman" w:hAnsi="Times New Roman"/>
          <w:sz w:val="24"/>
          <w:szCs w:val="24"/>
        </w:rPr>
        <w:t>In 2013, t</w:t>
      </w:r>
      <w:r w:rsidR="00C819A9" w:rsidRPr="00796DC5">
        <w:rPr>
          <w:rFonts w:ascii="Times New Roman" w:hAnsi="Times New Roman"/>
          <w:sz w:val="24"/>
          <w:szCs w:val="24"/>
        </w:rPr>
        <w:t xml:space="preserve">he OCC, </w:t>
      </w:r>
      <w:r w:rsidRPr="00796DC5">
        <w:rPr>
          <w:rFonts w:ascii="Times New Roman" w:hAnsi="Times New Roman"/>
          <w:sz w:val="24"/>
          <w:szCs w:val="24"/>
        </w:rPr>
        <w:t>the Board of Governors of the Federal Reserve System</w:t>
      </w:r>
      <w:r w:rsidR="00C819A9" w:rsidRPr="00796DC5">
        <w:rPr>
          <w:rFonts w:ascii="Times New Roman" w:hAnsi="Times New Roman"/>
          <w:sz w:val="24"/>
          <w:szCs w:val="24"/>
        </w:rPr>
        <w:t>, and</w:t>
      </w:r>
      <w:r w:rsidR="009C7BE3" w:rsidRPr="00796DC5">
        <w:rPr>
          <w:rFonts w:ascii="Times New Roman" w:hAnsi="Times New Roman"/>
          <w:sz w:val="24"/>
          <w:szCs w:val="24"/>
        </w:rPr>
        <w:t xml:space="preserve"> the </w:t>
      </w:r>
      <w:r w:rsidRPr="00796DC5">
        <w:rPr>
          <w:rFonts w:ascii="Times New Roman" w:hAnsi="Times New Roman"/>
          <w:sz w:val="24"/>
          <w:szCs w:val="24"/>
        </w:rPr>
        <w:t>Federal Deposit Insurance Corporation</w:t>
      </w:r>
      <w:r w:rsidR="009C7BE3" w:rsidRPr="00796DC5">
        <w:rPr>
          <w:rFonts w:ascii="Times New Roman" w:hAnsi="Times New Roman"/>
          <w:sz w:val="24"/>
          <w:szCs w:val="24"/>
        </w:rPr>
        <w:t xml:space="preserve"> (agencies) issued</w:t>
      </w:r>
      <w:r w:rsidR="00C819A9" w:rsidRPr="00796DC5">
        <w:rPr>
          <w:rFonts w:ascii="Times New Roman" w:hAnsi="Times New Roman"/>
          <w:sz w:val="24"/>
          <w:szCs w:val="24"/>
        </w:rPr>
        <w:t xml:space="preserve"> </w:t>
      </w:r>
      <w:r w:rsidR="004B221B" w:rsidRPr="00796DC5">
        <w:rPr>
          <w:rFonts w:ascii="Times New Roman" w:hAnsi="Times New Roman"/>
          <w:sz w:val="24"/>
          <w:szCs w:val="24"/>
        </w:rPr>
        <w:t xml:space="preserve">guidance </w:t>
      </w:r>
      <w:r w:rsidRPr="00796DC5">
        <w:rPr>
          <w:rFonts w:ascii="Times New Roman" w:hAnsi="Times New Roman"/>
          <w:sz w:val="24"/>
          <w:szCs w:val="24"/>
        </w:rPr>
        <w:t>on leveraged lending,</w:t>
      </w:r>
      <w:r w:rsidRPr="00796DC5">
        <w:rPr>
          <w:rStyle w:val="FootnoteReference"/>
          <w:rFonts w:ascii="Times New Roman" w:hAnsi="Times New Roman"/>
          <w:sz w:val="24"/>
          <w:szCs w:val="24"/>
        </w:rPr>
        <w:footnoteReference w:id="1"/>
      </w:r>
      <w:r w:rsidRPr="00796DC5">
        <w:rPr>
          <w:rFonts w:ascii="Times New Roman" w:hAnsi="Times New Roman"/>
          <w:sz w:val="24"/>
          <w:szCs w:val="24"/>
        </w:rPr>
        <w:t xml:space="preserve"> which set</w:t>
      </w:r>
      <w:r w:rsidR="004B221B" w:rsidRPr="00796DC5">
        <w:rPr>
          <w:rFonts w:ascii="Times New Roman" w:hAnsi="Times New Roman"/>
          <w:sz w:val="24"/>
          <w:szCs w:val="24"/>
        </w:rPr>
        <w:t xml:space="preserve"> forth</w:t>
      </w:r>
      <w:r w:rsidR="00C819A9" w:rsidRPr="00796DC5">
        <w:rPr>
          <w:rFonts w:ascii="Times New Roman" w:hAnsi="Times New Roman"/>
          <w:sz w:val="24"/>
          <w:szCs w:val="24"/>
        </w:rPr>
        <w:t xml:space="preserve"> high-level principles related to safe and sound leveraged lending activities, including underwriting considerations, assessing and documenting </w:t>
      </w:r>
      <w:r w:rsidR="00796DC5">
        <w:rPr>
          <w:rFonts w:ascii="Times New Roman" w:hAnsi="Times New Roman"/>
          <w:sz w:val="24"/>
          <w:szCs w:val="24"/>
        </w:rPr>
        <w:t>business valuations</w:t>
      </w:r>
      <w:bookmarkStart w:id="0" w:name="_GoBack"/>
      <w:bookmarkEnd w:id="0"/>
      <w:r w:rsidR="00C819A9" w:rsidRPr="00796DC5">
        <w:rPr>
          <w:rFonts w:ascii="Times New Roman" w:hAnsi="Times New Roman"/>
          <w:sz w:val="24"/>
          <w:szCs w:val="24"/>
        </w:rPr>
        <w:t>, risk management expectations for credits awaiting distribution, stress testing expectations and portfolio management, and ris</w:t>
      </w:r>
      <w:r w:rsidR="009C7BE3" w:rsidRPr="00796DC5">
        <w:rPr>
          <w:rFonts w:ascii="Times New Roman" w:hAnsi="Times New Roman"/>
          <w:sz w:val="24"/>
          <w:szCs w:val="24"/>
        </w:rPr>
        <w:t>k management expectations.  The guidance applies</w:t>
      </w:r>
      <w:r w:rsidR="00C819A9" w:rsidRPr="00796DC5">
        <w:rPr>
          <w:rFonts w:ascii="Times New Roman" w:hAnsi="Times New Roman"/>
          <w:sz w:val="24"/>
          <w:szCs w:val="24"/>
        </w:rPr>
        <w:t xml:space="preserve"> to all financial institutions supervised by the </w:t>
      </w:r>
      <w:r w:rsidRPr="00796DC5">
        <w:rPr>
          <w:rFonts w:ascii="Times New Roman" w:hAnsi="Times New Roman"/>
          <w:sz w:val="24"/>
          <w:szCs w:val="24"/>
        </w:rPr>
        <w:t>agencies</w:t>
      </w:r>
      <w:r w:rsidR="00C819A9" w:rsidRPr="00796DC5">
        <w:rPr>
          <w:rFonts w:ascii="Times New Roman" w:hAnsi="Times New Roman"/>
          <w:sz w:val="24"/>
          <w:szCs w:val="24"/>
        </w:rPr>
        <w:t xml:space="preserve"> that substantively engage in leveraged lending activities.  The number of community banking organizations with substantial exposure to leveraged lending is small; therefore, the agencies generally expect that community banking organizations largely would be unaffected by this guidance.  </w:t>
      </w:r>
    </w:p>
    <w:p w:rsidR="00E00DFC" w:rsidRPr="00796DC5" w:rsidRDefault="00E00DFC" w:rsidP="00796DC5">
      <w:pPr>
        <w:ind w:firstLine="720"/>
        <w:rPr>
          <w:rFonts w:ascii="Times New Roman" w:hAnsi="Times New Roman"/>
          <w:sz w:val="24"/>
          <w:szCs w:val="24"/>
        </w:rPr>
      </w:pPr>
    </w:p>
    <w:p w:rsidR="00FA48F0" w:rsidRPr="00796DC5" w:rsidRDefault="00C819A9" w:rsidP="00796DC5">
      <w:pPr>
        <w:pStyle w:val="NoSpacing"/>
        <w:ind w:firstLine="720"/>
        <w:rPr>
          <w:rFonts w:ascii="Times New Roman" w:hAnsi="Times New Roman"/>
          <w:sz w:val="24"/>
          <w:szCs w:val="24"/>
        </w:rPr>
      </w:pPr>
      <w:r w:rsidRPr="00796DC5">
        <w:rPr>
          <w:rFonts w:ascii="Times New Roman" w:hAnsi="Times New Roman"/>
          <w:sz w:val="24"/>
          <w:szCs w:val="24"/>
        </w:rPr>
        <w:t xml:space="preserve">All financial institutions should have the capacity to properly evaluate and monitor underwritten credit risks, to understand the effect of changes in borrowers’ </w:t>
      </w:r>
      <w:r w:rsidR="00796DC5">
        <w:rPr>
          <w:rFonts w:ascii="Times New Roman" w:hAnsi="Times New Roman"/>
          <w:sz w:val="24"/>
          <w:szCs w:val="24"/>
        </w:rPr>
        <w:t xml:space="preserve">business valuations </w:t>
      </w:r>
      <w:r w:rsidRPr="00796DC5">
        <w:rPr>
          <w:rFonts w:ascii="Times New Roman" w:hAnsi="Times New Roman"/>
          <w:sz w:val="24"/>
          <w:szCs w:val="24"/>
        </w:rPr>
        <w:t xml:space="preserve">on credit portfolio quality, and to assess the sensitivity of future credit losses to changes in </w:t>
      </w:r>
      <w:r w:rsidR="00796DC5">
        <w:rPr>
          <w:rFonts w:ascii="Times New Roman" w:hAnsi="Times New Roman"/>
          <w:sz w:val="24"/>
          <w:szCs w:val="24"/>
        </w:rPr>
        <w:t>business valuations</w:t>
      </w:r>
      <w:r w:rsidRPr="00796DC5">
        <w:rPr>
          <w:rFonts w:ascii="Times New Roman" w:hAnsi="Times New Roman"/>
          <w:sz w:val="24"/>
          <w:szCs w:val="24"/>
        </w:rPr>
        <w:t xml:space="preserve">.  Further, in underwriting such credits, institutions need to ensure that borrowers are able to repay credit as due and at the same time that borrowers have capital structures, including their bank borrowings and other debt, that support the borrower’s continued operations through economic cycles (that is, have a sustainable capital structure).  Institutions should also be able to demonstrate that they understand their risks and the potential impact of stressful events and circumstances on borrowers’ financial condition.  The agencies have previously provided guidance to financial institutions for their involvement in leveraged lending.  </w:t>
      </w:r>
    </w:p>
    <w:p w:rsidR="00FA48F0" w:rsidRPr="00796DC5" w:rsidRDefault="00FA48F0" w:rsidP="00796DC5">
      <w:pPr>
        <w:pStyle w:val="NoSpacing"/>
        <w:ind w:firstLine="720"/>
        <w:rPr>
          <w:rFonts w:ascii="Times New Roman" w:hAnsi="Times New Roman"/>
          <w:sz w:val="24"/>
          <w:szCs w:val="24"/>
        </w:rPr>
      </w:pPr>
    </w:p>
    <w:p w:rsidR="00FA48F0" w:rsidRPr="00796DC5" w:rsidRDefault="00FA48F0" w:rsidP="00796DC5">
      <w:pPr>
        <w:autoSpaceDE w:val="0"/>
        <w:autoSpaceDN w:val="0"/>
        <w:adjustRightInd w:val="0"/>
        <w:rPr>
          <w:rFonts w:ascii="Times New Roman" w:hAnsi="Times New Roman"/>
          <w:sz w:val="24"/>
          <w:szCs w:val="24"/>
        </w:rPr>
      </w:pPr>
      <w:r w:rsidRPr="00796DC5">
        <w:rPr>
          <w:rFonts w:ascii="Times New Roman" w:hAnsi="Times New Roman"/>
          <w:sz w:val="24"/>
          <w:szCs w:val="24"/>
        </w:rPr>
        <w:tab/>
        <w:t>To support an appropriate review of leveraged lending activities, the guidance recommends institutions have</w:t>
      </w:r>
      <w:r w:rsidR="00680BF4" w:rsidRPr="00796DC5">
        <w:rPr>
          <w:rFonts w:ascii="Times New Roman" w:hAnsi="Times New Roman"/>
          <w:sz w:val="24"/>
          <w:szCs w:val="24"/>
        </w:rPr>
        <w:t xml:space="preserve">: </w:t>
      </w:r>
      <w:r w:rsidRPr="00796DC5">
        <w:rPr>
          <w:rFonts w:ascii="Times New Roman" w:hAnsi="Times New Roman"/>
          <w:sz w:val="24"/>
          <w:szCs w:val="24"/>
        </w:rPr>
        <w:t xml:space="preserve"> (</w:t>
      </w:r>
      <w:proofErr w:type="spellStart"/>
      <w:r w:rsidRPr="00796DC5">
        <w:rPr>
          <w:rFonts w:ascii="Times New Roman" w:hAnsi="Times New Roman"/>
          <w:sz w:val="24"/>
          <w:szCs w:val="24"/>
        </w:rPr>
        <w:t>i</w:t>
      </w:r>
      <w:proofErr w:type="spellEnd"/>
      <w:r w:rsidRPr="00796DC5">
        <w:rPr>
          <w:rFonts w:ascii="Times New Roman" w:hAnsi="Times New Roman"/>
          <w:sz w:val="24"/>
          <w:szCs w:val="24"/>
        </w:rPr>
        <w:t>) underwriting policies for leveraged lending, including stress-testing procedures for leveraged credits; (ii) risk management policies, including stress testing procedures for pipeline exposures; and (iii) policies and procedures for incorporating the results of leveraged credit and pipeline stress tests into the firm’s overall stress-testing framework.</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2.</w:t>
      </w:r>
      <w:r w:rsidRPr="00796DC5">
        <w:rPr>
          <w:rFonts w:ascii="Times New Roman" w:hAnsi="Times New Roman"/>
          <w:b/>
          <w:bCs/>
          <w:i/>
          <w:iCs/>
          <w:sz w:val="24"/>
          <w:szCs w:val="24"/>
        </w:rPr>
        <w:tab/>
        <w:t>Use of the information:</w:t>
      </w:r>
    </w:p>
    <w:p w:rsidR="00C25B79" w:rsidRPr="00796DC5" w:rsidRDefault="00C25B79" w:rsidP="00796DC5">
      <w:pPr>
        <w:rPr>
          <w:rFonts w:ascii="Times New Roman" w:hAnsi="Times New Roman"/>
          <w:sz w:val="24"/>
          <w:szCs w:val="24"/>
        </w:rPr>
      </w:pPr>
    </w:p>
    <w:p w:rsidR="00FA48F0" w:rsidRPr="00796DC5" w:rsidRDefault="00FA48F0" w:rsidP="00796DC5">
      <w:pPr>
        <w:ind w:firstLine="720"/>
        <w:rPr>
          <w:rFonts w:ascii="Times New Roman" w:hAnsi="Times New Roman"/>
          <w:sz w:val="24"/>
          <w:szCs w:val="24"/>
        </w:rPr>
      </w:pPr>
      <w:r w:rsidRPr="00796DC5">
        <w:rPr>
          <w:rFonts w:ascii="Times New Roman" w:hAnsi="Times New Roman"/>
          <w:sz w:val="24"/>
          <w:szCs w:val="24"/>
        </w:rPr>
        <w:t xml:space="preserve">All financial institutions should have the capacity to properly evaluate and monitor underwritten credit risks, to understand the effect of changes in borrowers’ </w:t>
      </w:r>
      <w:r w:rsidR="00796DC5">
        <w:rPr>
          <w:rFonts w:ascii="Times New Roman" w:hAnsi="Times New Roman"/>
          <w:sz w:val="24"/>
          <w:szCs w:val="24"/>
        </w:rPr>
        <w:t>business valuations</w:t>
      </w:r>
      <w:r w:rsidRPr="00796DC5">
        <w:rPr>
          <w:rFonts w:ascii="Times New Roman" w:hAnsi="Times New Roman"/>
          <w:sz w:val="24"/>
          <w:szCs w:val="24"/>
        </w:rPr>
        <w:t xml:space="preserve"> upon credit portfolio quality, and to assess the sensitivity of future credit losses to changes in </w:t>
      </w:r>
      <w:r w:rsidR="00796DC5">
        <w:rPr>
          <w:rFonts w:ascii="Times New Roman" w:hAnsi="Times New Roman"/>
          <w:sz w:val="24"/>
          <w:szCs w:val="24"/>
        </w:rPr>
        <w:t>business valuations</w:t>
      </w:r>
      <w:r w:rsidRPr="00796DC5">
        <w:rPr>
          <w:rFonts w:ascii="Times New Roman" w:hAnsi="Times New Roman"/>
          <w:sz w:val="24"/>
          <w:szCs w:val="24"/>
        </w:rPr>
        <w:t>.  Further, in underwriting such credits, institutions need to ensure that borrowers are able to repay credit as due and</w:t>
      </w:r>
      <w:r w:rsidR="0056523B" w:rsidRPr="00796DC5">
        <w:rPr>
          <w:rFonts w:ascii="Times New Roman" w:hAnsi="Times New Roman"/>
          <w:sz w:val="24"/>
          <w:szCs w:val="24"/>
        </w:rPr>
        <w:t>,</w:t>
      </w:r>
      <w:r w:rsidRPr="00796DC5">
        <w:rPr>
          <w:rFonts w:ascii="Times New Roman" w:hAnsi="Times New Roman"/>
          <w:sz w:val="24"/>
          <w:szCs w:val="24"/>
        </w:rPr>
        <w:t xml:space="preserve"> at the same time</w:t>
      </w:r>
      <w:r w:rsidR="0056523B" w:rsidRPr="00796DC5">
        <w:rPr>
          <w:rFonts w:ascii="Times New Roman" w:hAnsi="Times New Roman"/>
          <w:sz w:val="24"/>
          <w:szCs w:val="24"/>
        </w:rPr>
        <w:t>,</w:t>
      </w:r>
      <w:r w:rsidRPr="00796DC5">
        <w:rPr>
          <w:rFonts w:ascii="Times New Roman" w:hAnsi="Times New Roman"/>
          <w:sz w:val="24"/>
          <w:szCs w:val="24"/>
        </w:rPr>
        <w:t xml:space="preserve"> </w:t>
      </w:r>
      <w:r w:rsidR="0056523B" w:rsidRPr="00796DC5">
        <w:rPr>
          <w:rFonts w:ascii="Times New Roman" w:hAnsi="Times New Roman"/>
          <w:sz w:val="24"/>
          <w:szCs w:val="24"/>
        </w:rPr>
        <w:t xml:space="preserve">ensure </w:t>
      </w:r>
      <w:r w:rsidRPr="00796DC5">
        <w:rPr>
          <w:rFonts w:ascii="Times New Roman" w:hAnsi="Times New Roman"/>
          <w:sz w:val="24"/>
          <w:szCs w:val="24"/>
        </w:rPr>
        <w:t xml:space="preserve">that borrowers have capital structures, including their bank borrowings and other debt, that support the borrower’s continued operations through economic cycles (that is, have a sustainable capital structure).  </w:t>
      </w:r>
      <w:r w:rsidRPr="00796DC5">
        <w:rPr>
          <w:rFonts w:ascii="Times New Roman" w:hAnsi="Times New Roman"/>
          <w:sz w:val="24"/>
          <w:szCs w:val="24"/>
        </w:rPr>
        <w:lastRenderedPageBreak/>
        <w:t xml:space="preserve">Institutions </w:t>
      </w:r>
      <w:r w:rsidR="00B25A4A" w:rsidRPr="00796DC5">
        <w:rPr>
          <w:rFonts w:ascii="Times New Roman" w:hAnsi="Times New Roman"/>
          <w:sz w:val="24"/>
          <w:szCs w:val="24"/>
        </w:rPr>
        <w:t xml:space="preserve">also </w:t>
      </w:r>
      <w:r w:rsidRPr="00796DC5">
        <w:rPr>
          <w:rFonts w:ascii="Times New Roman" w:hAnsi="Times New Roman"/>
          <w:sz w:val="24"/>
          <w:szCs w:val="24"/>
        </w:rPr>
        <w:t xml:space="preserve">should be able to demonstrate that they understand their risks and the potential impact of stressful events and circumstances on borrowers’ financial condition.  The agencies previously </w:t>
      </w:r>
      <w:r w:rsidR="0056523B" w:rsidRPr="00796DC5">
        <w:rPr>
          <w:rFonts w:ascii="Times New Roman" w:hAnsi="Times New Roman"/>
          <w:sz w:val="24"/>
          <w:szCs w:val="24"/>
        </w:rPr>
        <w:t xml:space="preserve">have </w:t>
      </w:r>
      <w:r w:rsidRPr="00796DC5">
        <w:rPr>
          <w:rFonts w:ascii="Times New Roman" w:hAnsi="Times New Roman"/>
          <w:sz w:val="24"/>
          <w:szCs w:val="24"/>
        </w:rPr>
        <w:t>provided guidance to financial institutions for their involvement in leveraged lending.  The information collection items within this guidance can assist financial institutions in meetings these goals.</w:t>
      </w:r>
    </w:p>
    <w:p w:rsidR="00394762" w:rsidRPr="00796DC5" w:rsidRDefault="00394762"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3.</w:t>
      </w:r>
      <w:r w:rsidRPr="00796DC5">
        <w:rPr>
          <w:rFonts w:ascii="Times New Roman" w:hAnsi="Times New Roman"/>
          <w:b/>
          <w:bCs/>
          <w:i/>
          <w:iCs/>
          <w:sz w:val="24"/>
          <w:szCs w:val="24"/>
        </w:rPr>
        <w:tab/>
        <w:t>Consideration of the use of information technology:</w:t>
      </w:r>
    </w:p>
    <w:p w:rsidR="00C25B79" w:rsidRPr="00796DC5" w:rsidRDefault="00C25B79" w:rsidP="00796DC5">
      <w:pPr>
        <w:rPr>
          <w:rFonts w:ascii="Times New Roman" w:hAnsi="Times New Roman"/>
          <w:sz w:val="24"/>
          <w:szCs w:val="24"/>
        </w:rPr>
      </w:pPr>
    </w:p>
    <w:p w:rsidR="00C25B79" w:rsidRPr="00796DC5" w:rsidRDefault="00F33C6C" w:rsidP="00796DC5">
      <w:pPr>
        <w:ind w:firstLine="720"/>
        <w:rPr>
          <w:rFonts w:ascii="Times New Roman" w:hAnsi="Times New Roman"/>
          <w:sz w:val="24"/>
          <w:szCs w:val="24"/>
        </w:rPr>
      </w:pPr>
      <w:r w:rsidRPr="00796DC5">
        <w:rPr>
          <w:rFonts w:ascii="Times New Roman" w:hAnsi="Times New Roman"/>
          <w:sz w:val="24"/>
          <w:szCs w:val="24"/>
        </w:rPr>
        <w:t>N</w:t>
      </w:r>
      <w:r w:rsidR="00C25B79" w:rsidRPr="00796DC5">
        <w:rPr>
          <w:rFonts w:ascii="Times New Roman" w:hAnsi="Times New Roman"/>
          <w:sz w:val="24"/>
          <w:szCs w:val="24"/>
        </w:rPr>
        <w:t xml:space="preserve">ational banks or Federal branches or agencies may use any information technology they have available that </w:t>
      </w:r>
      <w:r w:rsidRPr="00796DC5">
        <w:rPr>
          <w:rFonts w:ascii="Times New Roman" w:hAnsi="Times New Roman"/>
          <w:sz w:val="24"/>
          <w:szCs w:val="24"/>
        </w:rPr>
        <w:t>allows them to meet the requirements of the guidance.</w:t>
      </w:r>
      <w:r w:rsidR="00C25B79" w:rsidRPr="00796DC5">
        <w:rPr>
          <w:rFonts w:ascii="Times New Roman" w:hAnsi="Times New Roman"/>
          <w:sz w:val="24"/>
          <w:szCs w:val="24"/>
        </w:rPr>
        <w:t xml:space="preserve">  </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4.</w:t>
      </w:r>
      <w:r w:rsidRPr="00796DC5">
        <w:rPr>
          <w:rFonts w:ascii="Times New Roman" w:hAnsi="Times New Roman"/>
          <w:b/>
          <w:bCs/>
          <w:i/>
          <w:iCs/>
          <w:sz w:val="24"/>
          <w:szCs w:val="24"/>
        </w:rPr>
        <w:tab/>
        <w:t>Efforts to identify duplication:</w:t>
      </w:r>
    </w:p>
    <w:p w:rsidR="00C25B79" w:rsidRPr="00796DC5" w:rsidRDefault="00C25B79" w:rsidP="00796DC5">
      <w:pPr>
        <w:rPr>
          <w:rFonts w:ascii="Times New Roman" w:hAnsi="Times New Roman"/>
          <w:sz w:val="24"/>
          <w:szCs w:val="24"/>
        </w:rPr>
      </w:pPr>
    </w:p>
    <w:p w:rsidR="00C25B79" w:rsidRPr="00796DC5" w:rsidRDefault="00F33C6C" w:rsidP="00796DC5">
      <w:pPr>
        <w:ind w:firstLine="720"/>
        <w:rPr>
          <w:rFonts w:ascii="Times New Roman" w:hAnsi="Times New Roman"/>
          <w:sz w:val="24"/>
          <w:szCs w:val="24"/>
        </w:rPr>
      </w:pPr>
      <w:r w:rsidRPr="00796DC5">
        <w:rPr>
          <w:rFonts w:ascii="Times New Roman" w:hAnsi="Times New Roman"/>
          <w:sz w:val="24"/>
          <w:szCs w:val="24"/>
        </w:rPr>
        <w:t>This information is not duplicative, as it is not available elsewhere.</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5.</w:t>
      </w:r>
      <w:r w:rsidRPr="00796DC5">
        <w:rPr>
          <w:rFonts w:ascii="Times New Roman" w:hAnsi="Times New Roman"/>
          <w:b/>
          <w:bCs/>
          <w:i/>
          <w:iCs/>
          <w:sz w:val="24"/>
          <w:szCs w:val="24"/>
        </w:rPr>
        <w:tab/>
        <w:t>Methods used to minimize burden if the collection has a significant impact on a substantial number of small entities:</w:t>
      </w:r>
    </w:p>
    <w:p w:rsidR="00C25B79" w:rsidRPr="00796DC5" w:rsidRDefault="00C25B79" w:rsidP="00796DC5">
      <w:pPr>
        <w:rPr>
          <w:rFonts w:ascii="Times New Roman" w:hAnsi="Times New Roman"/>
          <w:sz w:val="24"/>
          <w:szCs w:val="24"/>
        </w:rPr>
      </w:pPr>
    </w:p>
    <w:p w:rsidR="00C25B79" w:rsidRPr="00796DC5" w:rsidRDefault="00B25A4A"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6.</w:t>
      </w:r>
      <w:r w:rsidRPr="00796DC5">
        <w:rPr>
          <w:rFonts w:ascii="Times New Roman" w:hAnsi="Times New Roman"/>
          <w:b/>
          <w:bCs/>
          <w:i/>
          <w:iCs/>
          <w:sz w:val="24"/>
          <w:szCs w:val="24"/>
        </w:rPr>
        <w:tab/>
        <w:t xml:space="preserve">Consequences to the Federal program if the collection </w:t>
      </w:r>
      <w:proofErr w:type="gramStart"/>
      <w:r w:rsidRPr="00796DC5">
        <w:rPr>
          <w:rFonts w:ascii="Times New Roman" w:hAnsi="Times New Roman"/>
          <w:b/>
          <w:bCs/>
          <w:i/>
          <w:iCs/>
          <w:sz w:val="24"/>
          <w:szCs w:val="24"/>
        </w:rPr>
        <w:t>were conducted</w:t>
      </w:r>
      <w:proofErr w:type="gramEnd"/>
      <w:r w:rsidRPr="00796DC5">
        <w:rPr>
          <w:rFonts w:ascii="Times New Roman" w:hAnsi="Times New Roman"/>
          <w:b/>
          <w:bCs/>
          <w:i/>
          <w:iCs/>
          <w:sz w:val="24"/>
          <w:szCs w:val="24"/>
        </w:rPr>
        <w:t xml:space="preserve"> less frequently:</w:t>
      </w:r>
    </w:p>
    <w:p w:rsidR="00C25B79" w:rsidRPr="00796DC5" w:rsidRDefault="00C25B79" w:rsidP="00796DC5">
      <w:pPr>
        <w:rPr>
          <w:rFonts w:ascii="Times New Roman" w:hAnsi="Times New Roman"/>
          <w:sz w:val="24"/>
          <w:szCs w:val="24"/>
        </w:rPr>
      </w:pPr>
    </w:p>
    <w:p w:rsidR="00C25B79" w:rsidRPr="00796DC5" w:rsidRDefault="00DF5BBE" w:rsidP="00796DC5">
      <w:pPr>
        <w:ind w:firstLine="720"/>
        <w:rPr>
          <w:rFonts w:ascii="Times New Roman" w:hAnsi="Times New Roman"/>
          <w:sz w:val="24"/>
          <w:szCs w:val="24"/>
        </w:rPr>
      </w:pPr>
      <w:r w:rsidRPr="00796DC5">
        <w:rPr>
          <w:rFonts w:ascii="Times New Roman" w:hAnsi="Times New Roman"/>
          <w:sz w:val="24"/>
          <w:szCs w:val="24"/>
        </w:rPr>
        <w:t>The guidance</w:t>
      </w:r>
      <w:r w:rsidR="00C25B79" w:rsidRPr="00796DC5">
        <w:rPr>
          <w:rFonts w:ascii="Times New Roman" w:hAnsi="Times New Roman"/>
          <w:sz w:val="24"/>
          <w:szCs w:val="24"/>
        </w:rPr>
        <w:t xml:space="preserve"> imposes the minimum burden necessary for to ensure bank safety and soundness. </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7.</w:t>
      </w:r>
      <w:r w:rsidRPr="00796DC5">
        <w:rPr>
          <w:rFonts w:ascii="Times New Roman" w:hAnsi="Times New Roman"/>
          <w:b/>
          <w:bCs/>
          <w:i/>
          <w:iCs/>
          <w:sz w:val="24"/>
          <w:szCs w:val="24"/>
        </w:rPr>
        <w:tab/>
        <w:t xml:space="preserve">Special circumstances necessitating collection inconsistent with </w:t>
      </w:r>
      <w:proofErr w:type="gramStart"/>
      <w:r w:rsidRPr="00796DC5">
        <w:rPr>
          <w:rFonts w:ascii="Times New Roman" w:hAnsi="Times New Roman"/>
          <w:b/>
          <w:bCs/>
          <w:i/>
          <w:iCs/>
          <w:sz w:val="24"/>
          <w:szCs w:val="24"/>
        </w:rPr>
        <w:t>5</w:t>
      </w:r>
      <w:proofErr w:type="gramEnd"/>
      <w:r w:rsidRPr="00796DC5">
        <w:rPr>
          <w:rFonts w:ascii="Times New Roman" w:hAnsi="Times New Roman"/>
          <w:b/>
          <w:bCs/>
          <w:i/>
          <w:iCs/>
          <w:sz w:val="24"/>
          <w:szCs w:val="24"/>
        </w:rPr>
        <w:t xml:space="preserve"> CFR </w:t>
      </w:r>
      <w:r w:rsidR="00B25A4A" w:rsidRPr="00796DC5">
        <w:rPr>
          <w:rFonts w:ascii="Times New Roman" w:hAnsi="Times New Roman"/>
          <w:b/>
          <w:bCs/>
          <w:i/>
          <w:iCs/>
          <w:sz w:val="24"/>
          <w:szCs w:val="24"/>
        </w:rPr>
        <w:t>p</w:t>
      </w:r>
      <w:r w:rsidRPr="00796DC5">
        <w:rPr>
          <w:rFonts w:ascii="Times New Roman" w:hAnsi="Times New Roman"/>
          <w:b/>
          <w:bCs/>
          <w:i/>
          <w:iCs/>
          <w:sz w:val="24"/>
          <w:szCs w:val="24"/>
        </w:rPr>
        <w:t>art 1320:</w:t>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 xml:space="preserve">This information collection is conducted in accordance with the OMB guidelines in </w:t>
      </w:r>
      <w:proofErr w:type="gramStart"/>
      <w:r w:rsidRPr="00796DC5">
        <w:rPr>
          <w:rFonts w:ascii="Times New Roman" w:hAnsi="Times New Roman"/>
          <w:sz w:val="24"/>
          <w:szCs w:val="24"/>
        </w:rPr>
        <w:t>5</w:t>
      </w:r>
      <w:proofErr w:type="gramEnd"/>
      <w:r w:rsidRPr="00796DC5">
        <w:rPr>
          <w:rFonts w:ascii="Times New Roman" w:hAnsi="Times New Roman"/>
          <w:sz w:val="24"/>
          <w:szCs w:val="24"/>
        </w:rPr>
        <w:t xml:space="preserve"> CFR </w:t>
      </w:r>
      <w:r w:rsidR="00B25A4A" w:rsidRPr="00796DC5">
        <w:rPr>
          <w:rFonts w:ascii="Times New Roman" w:hAnsi="Times New Roman"/>
          <w:sz w:val="24"/>
          <w:szCs w:val="24"/>
        </w:rPr>
        <w:t xml:space="preserve">part </w:t>
      </w:r>
      <w:r w:rsidRPr="00796DC5">
        <w:rPr>
          <w:rFonts w:ascii="Times New Roman" w:hAnsi="Times New Roman"/>
          <w:sz w:val="24"/>
          <w:szCs w:val="24"/>
        </w:rPr>
        <w:t>1320.</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8.</w:t>
      </w:r>
      <w:r w:rsidRPr="00796DC5">
        <w:rPr>
          <w:rFonts w:ascii="Times New Roman" w:hAnsi="Times New Roman"/>
          <w:b/>
          <w:bCs/>
          <w:i/>
          <w:iCs/>
          <w:sz w:val="24"/>
          <w:szCs w:val="24"/>
        </w:rPr>
        <w:tab/>
        <w:t>Efforts to consult with persons outside the agency:</w:t>
      </w:r>
    </w:p>
    <w:p w:rsidR="00C25B79" w:rsidRPr="00796DC5" w:rsidRDefault="00C25B79" w:rsidP="00796DC5">
      <w:pPr>
        <w:rPr>
          <w:rFonts w:ascii="Times New Roman" w:hAnsi="Times New Roman"/>
          <w:sz w:val="24"/>
          <w:szCs w:val="24"/>
        </w:rPr>
      </w:pPr>
    </w:p>
    <w:p w:rsidR="00796DC5" w:rsidRDefault="00F22AD8" w:rsidP="00796DC5">
      <w:pPr>
        <w:rPr>
          <w:rFonts w:ascii="Times New Roman" w:hAnsi="Times New Roman"/>
          <w:sz w:val="24"/>
          <w:szCs w:val="24"/>
        </w:rPr>
      </w:pPr>
      <w:r w:rsidRPr="00796DC5">
        <w:rPr>
          <w:rFonts w:ascii="Times New Roman" w:hAnsi="Times New Roman"/>
          <w:sz w:val="24"/>
          <w:szCs w:val="24"/>
        </w:rPr>
        <w:tab/>
      </w:r>
      <w:r w:rsidR="00C25B79" w:rsidRPr="00796DC5">
        <w:rPr>
          <w:rFonts w:ascii="Times New Roman" w:hAnsi="Times New Roman"/>
          <w:sz w:val="24"/>
          <w:szCs w:val="24"/>
        </w:rPr>
        <w:t xml:space="preserve">The OCC published a notice in the </w:t>
      </w:r>
      <w:r w:rsidR="00C25B79" w:rsidRPr="00796DC5">
        <w:rPr>
          <w:rFonts w:ascii="Times New Roman" w:hAnsi="Times New Roman"/>
          <w:i/>
          <w:sz w:val="24"/>
          <w:szCs w:val="24"/>
        </w:rPr>
        <w:t>Federal Register</w:t>
      </w:r>
      <w:r w:rsidR="00C25B79" w:rsidRPr="00796DC5">
        <w:rPr>
          <w:rFonts w:ascii="Times New Roman" w:hAnsi="Times New Roman"/>
          <w:sz w:val="24"/>
          <w:szCs w:val="24"/>
        </w:rPr>
        <w:t xml:space="preserve"> </w:t>
      </w:r>
      <w:r w:rsidR="00E57B4A" w:rsidRPr="00796DC5">
        <w:rPr>
          <w:rFonts w:ascii="Times New Roman" w:hAnsi="Times New Roman"/>
          <w:sz w:val="24"/>
          <w:szCs w:val="24"/>
        </w:rPr>
        <w:t xml:space="preserve">for 60 days of comment </w:t>
      </w:r>
      <w:r w:rsidR="00C25B79" w:rsidRPr="00796DC5">
        <w:rPr>
          <w:rFonts w:ascii="Times New Roman" w:hAnsi="Times New Roman"/>
          <w:sz w:val="24"/>
          <w:szCs w:val="24"/>
        </w:rPr>
        <w:t xml:space="preserve">on </w:t>
      </w:r>
      <w:r w:rsidR="00B25A4A" w:rsidRPr="00796DC5">
        <w:rPr>
          <w:rFonts w:ascii="Times New Roman" w:hAnsi="Times New Roman"/>
          <w:sz w:val="24"/>
          <w:szCs w:val="24"/>
        </w:rPr>
        <w:t xml:space="preserve">February 17, 2016, 81 FR 8126.  </w:t>
      </w:r>
      <w:r w:rsidRPr="00796DC5">
        <w:rPr>
          <w:rFonts w:ascii="Times New Roman" w:hAnsi="Times New Roman"/>
          <w:sz w:val="24"/>
          <w:szCs w:val="24"/>
        </w:rPr>
        <w:t xml:space="preserve">The OCC received one comment from an individual. </w:t>
      </w:r>
      <w:r w:rsidR="00796DC5" w:rsidRPr="00796DC5">
        <w:rPr>
          <w:rFonts w:ascii="Times New Roman" w:hAnsi="Times New Roman"/>
          <w:sz w:val="24"/>
          <w:szCs w:val="24"/>
        </w:rPr>
        <w:t xml:space="preserve">On February 17, 2016, the OCC published a notice for 60 days of comment regarding the collection, 81 FR 8126.  The OCC received one comment on the 60-day notice from an individual.  The commenter questioned the utility and benefit of the information collection aspects of the guidance compared with the burden. Specifically, the commenter stated the information collections on </w:t>
      </w:r>
      <w:proofErr w:type="gramStart"/>
      <w:r w:rsidR="00796DC5" w:rsidRPr="00796DC5">
        <w:rPr>
          <w:rFonts w:ascii="Times New Roman" w:hAnsi="Times New Roman"/>
          <w:sz w:val="24"/>
          <w:szCs w:val="24"/>
        </w:rPr>
        <w:t>stress-testing</w:t>
      </w:r>
      <w:proofErr w:type="gramEnd"/>
      <w:r w:rsidR="00796DC5" w:rsidRPr="00796DC5">
        <w:rPr>
          <w:rFonts w:ascii="Times New Roman" w:hAnsi="Times New Roman"/>
          <w:sz w:val="24"/>
          <w:szCs w:val="24"/>
        </w:rPr>
        <w:t xml:space="preserve"> for leveraged lending, including for pipeline exposures, is already contained in other OCC or interagency guidance. The commenter also suggested that the OCC should define a leveraged loan and clarify the limits of acceptable leveraged lending risk.</w:t>
      </w:r>
    </w:p>
    <w:p w:rsidR="00796DC5" w:rsidRPr="00796DC5" w:rsidRDefault="00796DC5" w:rsidP="00796DC5">
      <w:pPr>
        <w:rPr>
          <w:rFonts w:ascii="Times New Roman" w:hAnsi="Times New Roman"/>
          <w:sz w:val="24"/>
          <w:szCs w:val="24"/>
        </w:rPr>
      </w:pPr>
    </w:p>
    <w:p w:rsidR="00796DC5" w:rsidRDefault="00796DC5" w:rsidP="00796DC5">
      <w:pPr>
        <w:rPr>
          <w:rFonts w:ascii="Times New Roman" w:hAnsi="Times New Roman"/>
          <w:sz w:val="24"/>
          <w:szCs w:val="24"/>
        </w:rPr>
      </w:pPr>
      <w:r w:rsidRPr="00796DC5">
        <w:rPr>
          <w:rFonts w:ascii="Times New Roman" w:hAnsi="Times New Roman"/>
          <w:sz w:val="24"/>
          <w:szCs w:val="24"/>
        </w:rPr>
        <w:tab/>
        <w:t xml:space="preserve">The OCC believes that the information collections provide utility and benefit, as they can allow banks to monitor more closely their leveraged lending activity. Increased monitoring can improve a bank’s response to potential deteriorations in the leveraged lending portfolio. Regarding burden, the leveraged lending information collections are voluntary. If a bank decides </w:t>
      </w:r>
      <w:r w:rsidRPr="00796DC5">
        <w:rPr>
          <w:rFonts w:ascii="Times New Roman" w:hAnsi="Times New Roman"/>
          <w:sz w:val="24"/>
          <w:szCs w:val="24"/>
        </w:rPr>
        <w:lastRenderedPageBreak/>
        <w:t xml:space="preserve">that the burdens of certain collections would outweigh the costs, then the bank can choose not to implement those collections. While the OCC has issued other guidance documents </w:t>
      </w:r>
      <w:proofErr w:type="gramStart"/>
      <w:r w:rsidRPr="00796DC5">
        <w:rPr>
          <w:rFonts w:ascii="Times New Roman" w:hAnsi="Times New Roman"/>
          <w:sz w:val="24"/>
          <w:szCs w:val="24"/>
        </w:rPr>
        <w:t>on stress-testing, either</w:t>
      </w:r>
      <w:proofErr w:type="gramEnd"/>
      <w:r w:rsidRPr="00796DC5">
        <w:rPr>
          <w:rFonts w:ascii="Times New Roman" w:hAnsi="Times New Roman"/>
          <w:sz w:val="24"/>
          <w:szCs w:val="24"/>
        </w:rPr>
        <w:t xml:space="preserve"> standalone or on an interagency basis, those documents provide higher-level guidance for stress-testing of all assets and liabilities. The leveraged lending guidance provides additional considerations for </w:t>
      </w:r>
      <w:proofErr w:type="gramStart"/>
      <w:r w:rsidRPr="00796DC5">
        <w:rPr>
          <w:rFonts w:ascii="Times New Roman" w:hAnsi="Times New Roman"/>
          <w:sz w:val="24"/>
          <w:szCs w:val="24"/>
        </w:rPr>
        <w:t>stress-testing</w:t>
      </w:r>
      <w:proofErr w:type="gramEnd"/>
      <w:r w:rsidRPr="00796DC5">
        <w:rPr>
          <w:rFonts w:ascii="Times New Roman" w:hAnsi="Times New Roman"/>
          <w:sz w:val="24"/>
          <w:szCs w:val="24"/>
        </w:rPr>
        <w:t xml:space="preserve"> specifically related to leveraged lending, which is not present in other OCC or interagency guidance.</w:t>
      </w:r>
    </w:p>
    <w:p w:rsidR="00796DC5" w:rsidRPr="00796DC5" w:rsidRDefault="00796DC5" w:rsidP="00796DC5">
      <w:pPr>
        <w:rPr>
          <w:rFonts w:ascii="Times New Roman" w:hAnsi="Times New Roman"/>
          <w:sz w:val="24"/>
          <w:szCs w:val="24"/>
        </w:rPr>
      </w:pPr>
    </w:p>
    <w:p w:rsidR="00796DC5" w:rsidRPr="00796DC5" w:rsidRDefault="00796DC5" w:rsidP="00796DC5">
      <w:pPr>
        <w:rPr>
          <w:rFonts w:ascii="Times New Roman" w:hAnsi="Times New Roman"/>
          <w:sz w:val="24"/>
          <w:szCs w:val="24"/>
        </w:rPr>
      </w:pPr>
      <w:r w:rsidRPr="00796DC5">
        <w:rPr>
          <w:rFonts w:ascii="Times New Roman" w:hAnsi="Times New Roman"/>
          <w:sz w:val="24"/>
          <w:szCs w:val="24"/>
        </w:rPr>
        <w:tab/>
        <w:t>During the initial issuance of the leveraged lending guidance, the OCC considered whether to establish a single definition of leveraged loan or leveraged lending. However, the agencies concluded that leveraged lending is not homogenous across industries or banks, and did not believe that a “one-size-fits-all” definition was appropriate. The OCC continues to believe that those banks following the leveraged lending guidance should have this flexibility in setting the parameters of their leveraged lending and risk management programs.</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9.</w:t>
      </w:r>
      <w:r w:rsidRPr="00796DC5">
        <w:rPr>
          <w:rFonts w:ascii="Times New Roman" w:hAnsi="Times New Roman"/>
          <w:b/>
          <w:bCs/>
          <w:i/>
          <w:iCs/>
          <w:sz w:val="24"/>
          <w:szCs w:val="24"/>
        </w:rPr>
        <w:tab/>
        <w:t>Payment to respondents:</w:t>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proofErr w:type="gramStart"/>
      <w:r w:rsidRPr="00796DC5">
        <w:rPr>
          <w:rFonts w:ascii="Times New Roman" w:hAnsi="Times New Roman"/>
          <w:sz w:val="24"/>
          <w:szCs w:val="24"/>
        </w:rPr>
        <w:t>None.</w:t>
      </w:r>
      <w:proofErr w:type="gramEnd"/>
    </w:p>
    <w:p w:rsidR="00716168" w:rsidRPr="00796DC5" w:rsidRDefault="00716168" w:rsidP="00796DC5">
      <w:pPr>
        <w:rPr>
          <w:rFonts w:ascii="Times New Roman" w:hAnsi="Times New Roman"/>
          <w:b/>
          <w:bCs/>
          <w:i/>
          <w:iCs/>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10.</w:t>
      </w:r>
      <w:r w:rsidRPr="00796DC5">
        <w:rPr>
          <w:rFonts w:ascii="Times New Roman" w:hAnsi="Times New Roman"/>
          <w:b/>
          <w:bCs/>
          <w:i/>
          <w:iCs/>
          <w:sz w:val="24"/>
          <w:szCs w:val="24"/>
        </w:rPr>
        <w:tab/>
        <w:t>Any assurance of confidentiality:</w:t>
      </w:r>
    </w:p>
    <w:p w:rsidR="00C25B79" w:rsidRPr="00796DC5" w:rsidRDefault="00C25B79" w:rsidP="00796DC5">
      <w:pPr>
        <w:rPr>
          <w:rFonts w:ascii="Times New Roman" w:hAnsi="Times New Roman"/>
          <w:sz w:val="24"/>
          <w:szCs w:val="24"/>
        </w:rPr>
      </w:pPr>
    </w:p>
    <w:p w:rsidR="00C25B79" w:rsidRPr="00796DC5" w:rsidRDefault="00F32141" w:rsidP="00796DC5">
      <w:pPr>
        <w:ind w:firstLine="720"/>
        <w:rPr>
          <w:rFonts w:ascii="Times New Roman" w:hAnsi="Times New Roman"/>
          <w:sz w:val="24"/>
          <w:szCs w:val="24"/>
        </w:rPr>
      </w:pPr>
      <w:r w:rsidRPr="00796DC5">
        <w:rPr>
          <w:rFonts w:ascii="Times New Roman" w:hAnsi="Times New Roman"/>
          <w:sz w:val="24"/>
          <w:szCs w:val="24"/>
        </w:rPr>
        <w:t xml:space="preserve">The information </w:t>
      </w:r>
      <w:proofErr w:type="gramStart"/>
      <w:r w:rsidR="006C6F63" w:rsidRPr="00796DC5">
        <w:rPr>
          <w:rFonts w:ascii="Times New Roman" w:hAnsi="Times New Roman"/>
          <w:sz w:val="24"/>
          <w:szCs w:val="24"/>
        </w:rPr>
        <w:t>will be kept</w:t>
      </w:r>
      <w:proofErr w:type="gramEnd"/>
      <w:r w:rsidR="006C6F63" w:rsidRPr="00796DC5">
        <w:rPr>
          <w:rFonts w:ascii="Times New Roman" w:hAnsi="Times New Roman"/>
          <w:sz w:val="24"/>
          <w:szCs w:val="24"/>
        </w:rPr>
        <w:t xml:space="preserve"> confidential in accordance with applicable laws and regulations</w:t>
      </w:r>
      <w:r w:rsidRPr="00796DC5">
        <w:rPr>
          <w:rFonts w:ascii="Times New Roman" w:hAnsi="Times New Roman"/>
          <w:sz w:val="24"/>
          <w:szCs w:val="24"/>
        </w:rPr>
        <w:t>.</w:t>
      </w:r>
    </w:p>
    <w:p w:rsidR="00B25A4A" w:rsidRPr="00796DC5" w:rsidRDefault="00B25A4A" w:rsidP="00796DC5">
      <w:pPr>
        <w:rPr>
          <w:rFonts w:ascii="Times New Roman" w:hAnsi="Times New Roman"/>
          <w:b/>
          <w:bCs/>
          <w:i/>
          <w:iCs/>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11.</w:t>
      </w:r>
      <w:r w:rsidRPr="00796DC5">
        <w:rPr>
          <w:rFonts w:ascii="Times New Roman" w:hAnsi="Times New Roman"/>
          <w:b/>
          <w:bCs/>
          <w:i/>
          <w:iCs/>
          <w:sz w:val="24"/>
          <w:szCs w:val="24"/>
        </w:rPr>
        <w:tab/>
        <w:t>Justification for questions of a sensitive nature:</w:t>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r w:rsidRPr="00796DC5">
        <w:rPr>
          <w:rFonts w:ascii="Times New Roman" w:hAnsi="Times New Roman"/>
          <w:sz w:val="24"/>
          <w:szCs w:val="24"/>
        </w:rPr>
        <w:t>There are no questions of a sensitive nature.</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12.       Burden estimate:</w:t>
      </w:r>
    </w:p>
    <w:p w:rsidR="009D2FBE" w:rsidRPr="00796DC5" w:rsidRDefault="009D2FBE" w:rsidP="00796DC5">
      <w:pPr>
        <w:autoSpaceDE w:val="0"/>
        <w:autoSpaceDN w:val="0"/>
        <w:adjustRightInd w:val="0"/>
        <w:ind w:firstLine="720"/>
        <w:rPr>
          <w:rFonts w:ascii="Times New Roman" w:hAnsi="Times New Roman"/>
          <w:i/>
          <w:iCs/>
          <w:color w:val="000000"/>
          <w:sz w:val="24"/>
          <w:szCs w:val="24"/>
        </w:rPr>
      </w:pPr>
    </w:p>
    <w:p w:rsidR="0038298D" w:rsidRPr="00796DC5" w:rsidRDefault="0038298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number of respondents</w:t>
      </w:r>
      <w:r w:rsidRPr="00796DC5">
        <w:rPr>
          <w:rFonts w:ascii="Times New Roman" w:hAnsi="Times New Roman"/>
          <w:iCs/>
          <w:color w:val="000000"/>
          <w:sz w:val="24"/>
          <w:szCs w:val="24"/>
        </w:rPr>
        <w:t xml:space="preserve">:  </w:t>
      </w:r>
      <w:r w:rsidR="006C6F63" w:rsidRPr="00796DC5">
        <w:rPr>
          <w:rFonts w:ascii="Times New Roman" w:hAnsi="Times New Roman"/>
          <w:iCs/>
          <w:color w:val="000000"/>
          <w:sz w:val="24"/>
          <w:szCs w:val="24"/>
        </w:rPr>
        <w:t>29</w:t>
      </w:r>
      <w:r w:rsidRPr="00796DC5">
        <w:rPr>
          <w:rFonts w:ascii="Times New Roman" w:hAnsi="Times New Roman"/>
          <w:iCs/>
          <w:color w:val="000000"/>
          <w:sz w:val="24"/>
          <w:szCs w:val="24"/>
        </w:rPr>
        <w:t xml:space="preserve">. </w:t>
      </w:r>
    </w:p>
    <w:p w:rsidR="00B25A4A" w:rsidRPr="00796DC5" w:rsidRDefault="00B25A4A" w:rsidP="00796DC5">
      <w:pPr>
        <w:autoSpaceDE w:val="0"/>
        <w:autoSpaceDN w:val="0"/>
        <w:adjustRightInd w:val="0"/>
        <w:ind w:firstLine="720"/>
        <w:rPr>
          <w:rFonts w:ascii="Times New Roman" w:hAnsi="Times New Roman"/>
          <w:iCs/>
          <w:color w:val="000000"/>
          <w:sz w:val="24"/>
          <w:szCs w:val="24"/>
        </w:rPr>
      </w:pPr>
    </w:p>
    <w:p w:rsidR="0038298D" w:rsidRPr="00796DC5" w:rsidRDefault="0038298D" w:rsidP="00796DC5">
      <w:pPr>
        <w:autoSpaceDE w:val="0"/>
        <w:autoSpaceDN w:val="0"/>
        <w:adjustRightInd w:val="0"/>
        <w:ind w:left="720"/>
        <w:rPr>
          <w:rFonts w:ascii="Times New Roman" w:hAnsi="Times New Roman"/>
          <w:iCs/>
          <w:color w:val="000000"/>
          <w:sz w:val="24"/>
          <w:szCs w:val="24"/>
        </w:rPr>
      </w:pPr>
      <w:proofErr w:type="gramStart"/>
      <w:r w:rsidRPr="00796DC5">
        <w:rPr>
          <w:rFonts w:ascii="Times New Roman" w:hAnsi="Times New Roman"/>
          <w:iCs/>
          <w:color w:val="000000"/>
          <w:sz w:val="24"/>
          <w:szCs w:val="24"/>
          <w:u w:val="single"/>
        </w:rPr>
        <w:t>Estimated average time per respondent</w:t>
      </w:r>
      <w:r w:rsidRPr="00796DC5">
        <w:rPr>
          <w:rFonts w:ascii="Times New Roman" w:hAnsi="Times New Roman"/>
          <w:iCs/>
          <w:color w:val="000000"/>
          <w:sz w:val="24"/>
          <w:szCs w:val="24"/>
        </w:rPr>
        <w:t>: 1,350.4 hours to build; 1,705.6 hours for ongoing use.</w:t>
      </w:r>
      <w:proofErr w:type="gramEnd"/>
      <w:r w:rsidRPr="00796DC5">
        <w:rPr>
          <w:rFonts w:ascii="Times New Roman" w:hAnsi="Times New Roman"/>
          <w:iCs/>
          <w:color w:val="000000"/>
          <w:sz w:val="24"/>
          <w:szCs w:val="24"/>
        </w:rPr>
        <w:t xml:space="preserve"> </w:t>
      </w:r>
    </w:p>
    <w:p w:rsidR="00B25A4A" w:rsidRPr="00796DC5" w:rsidRDefault="00B25A4A" w:rsidP="00796DC5">
      <w:pPr>
        <w:autoSpaceDE w:val="0"/>
        <w:autoSpaceDN w:val="0"/>
        <w:adjustRightInd w:val="0"/>
        <w:ind w:left="720"/>
        <w:rPr>
          <w:rFonts w:ascii="Times New Roman" w:hAnsi="Times New Roman"/>
          <w:iCs/>
          <w:color w:val="000000"/>
          <w:sz w:val="24"/>
          <w:szCs w:val="24"/>
        </w:rPr>
      </w:pPr>
    </w:p>
    <w:p w:rsidR="0038298D" w:rsidRPr="00796DC5" w:rsidRDefault="0038298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Estimated total annual burden hours</w:t>
      </w:r>
      <w:r w:rsidRPr="00796DC5">
        <w:rPr>
          <w:rFonts w:ascii="Times New Roman" w:hAnsi="Times New Roman"/>
          <w:iCs/>
          <w:color w:val="000000"/>
          <w:sz w:val="24"/>
          <w:szCs w:val="24"/>
        </w:rPr>
        <w:t xml:space="preserve">:  </w:t>
      </w:r>
      <w:r w:rsidR="006C6F63" w:rsidRPr="00796DC5">
        <w:rPr>
          <w:rFonts w:ascii="Times New Roman" w:hAnsi="Times New Roman"/>
          <w:iCs/>
          <w:color w:val="000000"/>
          <w:sz w:val="24"/>
          <w:szCs w:val="24"/>
        </w:rPr>
        <w:t>39,162</w:t>
      </w:r>
      <w:r w:rsidRPr="00796DC5">
        <w:rPr>
          <w:rFonts w:ascii="Times New Roman" w:hAnsi="Times New Roman"/>
          <w:iCs/>
          <w:color w:val="000000"/>
          <w:sz w:val="24"/>
          <w:szCs w:val="24"/>
        </w:rPr>
        <w:t xml:space="preserve"> hours to build, </w:t>
      </w:r>
      <w:r w:rsidR="006C6F63" w:rsidRPr="00796DC5">
        <w:rPr>
          <w:rFonts w:ascii="Times New Roman" w:hAnsi="Times New Roman"/>
          <w:iCs/>
          <w:color w:val="000000"/>
          <w:sz w:val="24"/>
          <w:szCs w:val="24"/>
        </w:rPr>
        <w:t>49,462</w:t>
      </w:r>
      <w:r w:rsidRPr="00796DC5">
        <w:rPr>
          <w:rFonts w:ascii="Times New Roman" w:hAnsi="Times New Roman"/>
          <w:iCs/>
          <w:color w:val="000000"/>
          <w:sz w:val="24"/>
          <w:szCs w:val="24"/>
        </w:rPr>
        <w:t xml:space="preserve"> hours for ongoing use.</w:t>
      </w:r>
    </w:p>
    <w:p w:rsidR="00B25A4A" w:rsidRPr="00796DC5" w:rsidRDefault="00B25A4A" w:rsidP="00796DC5">
      <w:pPr>
        <w:autoSpaceDE w:val="0"/>
        <w:autoSpaceDN w:val="0"/>
        <w:adjustRightInd w:val="0"/>
        <w:ind w:firstLine="720"/>
        <w:rPr>
          <w:rFonts w:ascii="Times New Roman" w:hAnsi="Times New Roman"/>
          <w:iCs/>
          <w:color w:val="000000"/>
          <w:sz w:val="24"/>
          <w:szCs w:val="24"/>
        </w:rPr>
      </w:pPr>
    </w:p>
    <w:p w:rsidR="00C9242D" w:rsidRPr="00796DC5" w:rsidRDefault="00C9242D" w:rsidP="00796DC5">
      <w:pPr>
        <w:autoSpaceDE w:val="0"/>
        <w:autoSpaceDN w:val="0"/>
        <w:adjustRightInd w:val="0"/>
        <w:ind w:firstLine="720"/>
        <w:rPr>
          <w:rFonts w:ascii="Times New Roman" w:hAnsi="Times New Roman"/>
          <w:iCs/>
          <w:color w:val="000000"/>
          <w:sz w:val="24"/>
          <w:szCs w:val="24"/>
        </w:rPr>
      </w:pPr>
      <w:r w:rsidRPr="00796DC5">
        <w:rPr>
          <w:rFonts w:ascii="Times New Roman" w:hAnsi="Times New Roman"/>
          <w:iCs/>
          <w:color w:val="000000"/>
          <w:sz w:val="24"/>
          <w:szCs w:val="24"/>
          <w:u w:val="single"/>
        </w:rPr>
        <w:t>Total estimated burden</w:t>
      </w:r>
      <w:r w:rsidRPr="00796DC5">
        <w:rPr>
          <w:rFonts w:ascii="Times New Roman" w:hAnsi="Times New Roman"/>
          <w:iCs/>
          <w:color w:val="000000"/>
          <w:sz w:val="24"/>
          <w:szCs w:val="24"/>
        </w:rPr>
        <w:t>:  88,624 hours.</w:t>
      </w:r>
    </w:p>
    <w:p w:rsidR="00540E53" w:rsidRPr="00796DC5" w:rsidRDefault="00540E53" w:rsidP="00796DC5">
      <w:pPr>
        <w:autoSpaceDE w:val="0"/>
        <w:autoSpaceDN w:val="0"/>
        <w:adjustRightInd w:val="0"/>
        <w:ind w:firstLine="720"/>
        <w:rPr>
          <w:rFonts w:ascii="Times New Roman" w:hAnsi="Times New Roman"/>
          <w:iCs/>
          <w:color w:val="000000"/>
          <w:sz w:val="24"/>
          <w:szCs w:val="24"/>
        </w:rPr>
      </w:pPr>
    </w:p>
    <w:p w:rsidR="0058415B" w:rsidRPr="00796DC5" w:rsidRDefault="0058415B" w:rsidP="00796DC5">
      <w:pPr>
        <w:autoSpaceDE w:val="0"/>
        <w:autoSpaceDN w:val="0"/>
        <w:adjustRightInd w:val="0"/>
        <w:rPr>
          <w:rFonts w:ascii="Times New Roman" w:hAnsi="Times New Roman"/>
          <w:b/>
          <w:iCs/>
          <w:color w:val="000000"/>
          <w:sz w:val="24"/>
          <w:szCs w:val="24"/>
        </w:rPr>
      </w:pPr>
      <w:r w:rsidRPr="00796DC5">
        <w:rPr>
          <w:rFonts w:ascii="Times New Roman" w:hAnsi="Times New Roman"/>
          <w:b/>
          <w:iCs/>
          <w:color w:val="000000"/>
          <w:sz w:val="24"/>
          <w:szCs w:val="24"/>
        </w:rPr>
        <w:t>Cost of Hour Burden:</w:t>
      </w:r>
      <w:r w:rsidR="0067347F" w:rsidRPr="00796DC5">
        <w:rPr>
          <w:rFonts w:ascii="Times New Roman" w:hAnsi="Times New Roman"/>
          <w:b/>
          <w:iCs/>
          <w:color w:val="000000"/>
          <w:sz w:val="24"/>
          <w:szCs w:val="24"/>
        </w:rPr>
        <w:t xml:space="preserve">  88,624 x $101 = $8,951,024.</w:t>
      </w:r>
    </w:p>
    <w:p w:rsidR="0058415B" w:rsidRPr="00796DC5" w:rsidRDefault="0058415B" w:rsidP="00796DC5">
      <w:pPr>
        <w:rPr>
          <w:rFonts w:ascii="Times New Roman" w:hAnsi="Times New Roman"/>
          <w:sz w:val="24"/>
          <w:szCs w:val="24"/>
        </w:rPr>
      </w:pPr>
      <w:r w:rsidRPr="00796DC5">
        <w:rPr>
          <w:rFonts w:ascii="Times New Roman" w:hAnsi="Times New Roman"/>
          <w:sz w:val="24"/>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367CA5" w:rsidRPr="00796DC5" w:rsidRDefault="00367CA5" w:rsidP="00796DC5">
      <w:pPr>
        <w:tabs>
          <w:tab w:val="left" w:pos="-1440"/>
        </w:tabs>
        <w:rPr>
          <w:rFonts w:ascii="Times New Roman" w:hAnsi="Times New Roman"/>
          <w:b/>
          <w:bCs/>
          <w:i/>
          <w:iCs/>
          <w:sz w:val="24"/>
          <w:szCs w:val="24"/>
        </w:rPr>
      </w:pPr>
    </w:p>
    <w:p w:rsidR="00C25B79" w:rsidRPr="00796DC5" w:rsidRDefault="00C25B79" w:rsidP="00796DC5">
      <w:pPr>
        <w:tabs>
          <w:tab w:val="left" w:pos="-1440"/>
        </w:tabs>
        <w:ind w:left="720" w:hanging="720"/>
        <w:rPr>
          <w:rFonts w:ascii="Times New Roman" w:hAnsi="Times New Roman"/>
          <w:b/>
          <w:bCs/>
          <w:i/>
          <w:iCs/>
          <w:sz w:val="24"/>
          <w:szCs w:val="24"/>
        </w:rPr>
      </w:pPr>
      <w:r w:rsidRPr="00796DC5">
        <w:rPr>
          <w:rFonts w:ascii="Times New Roman" w:hAnsi="Times New Roman"/>
          <w:b/>
          <w:bCs/>
          <w:i/>
          <w:iCs/>
          <w:sz w:val="24"/>
          <w:szCs w:val="24"/>
        </w:rPr>
        <w:t>13.</w:t>
      </w:r>
      <w:r w:rsidRPr="00796DC5">
        <w:rPr>
          <w:rFonts w:ascii="Times New Roman" w:hAnsi="Times New Roman"/>
          <w:b/>
          <w:bCs/>
          <w:i/>
          <w:iCs/>
          <w:sz w:val="24"/>
          <w:szCs w:val="24"/>
        </w:rPr>
        <w:tab/>
        <w:t>Estimates of annualized costs to respondents</w:t>
      </w:r>
      <w:r w:rsidR="0058415B" w:rsidRPr="00796DC5">
        <w:rPr>
          <w:rFonts w:ascii="Times New Roman" w:hAnsi="Times New Roman"/>
          <w:b/>
          <w:bCs/>
          <w:i/>
          <w:iCs/>
          <w:sz w:val="24"/>
          <w:szCs w:val="24"/>
        </w:rPr>
        <w:t xml:space="preserve"> (excluding cost of hour burden in #12)</w:t>
      </w:r>
      <w:r w:rsidRPr="00796DC5">
        <w:rPr>
          <w:rFonts w:ascii="Times New Roman" w:hAnsi="Times New Roman"/>
          <w:b/>
          <w:bCs/>
          <w:i/>
          <w:iCs/>
          <w:sz w:val="24"/>
          <w:szCs w:val="24"/>
        </w:rPr>
        <w:t>:</w:t>
      </w:r>
    </w:p>
    <w:p w:rsidR="00C25B79" w:rsidRPr="00796DC5" w:rsidRDefault="00C25B79" w:rsidP="00796DC5">
      <w:pPr>
        <w:tabs>
          <w:tab w:val="left" w:pos="-1440"/>
        </w:tabs>
        <w:ind w:left="720" w:hanging="720"/>
        <w:rPr>
          <w:rFonts w:ascii="Times New Roman" w:hAnsi="Times New Roman"/>
          <w:sz w:val="24"/>
          <w:szCs w:val="24"/>
        </w:rPr>
      </w:pPr>
    </w:p>
    <w:p w:rsidR="00C25B79" w:rsidRPr="00796DC5" w:rsidRDefault="0058415B" w:rsidP="00796DC5">
      <w:pPr>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8975E5" w:rsidRPr="00796DC5" w:rsidRDefault="008975E5"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14.</w:t>
      </w:r>
      <w:r w:rsidRPr="00796DC5">
        <w:rPr>
          <w:rFonts w:ascii="Times New Roman" w:hAnsi="Times New Roman"/>
          <w:b/>
          <w:bCs/>
          <w:i/>
          <w:iCs/>
          <w:sz w:val="24"/>
          <w:szCs w:val="24"/>
        </w:rPr>
        <w:tab/>
        <w:t>Estimates of annualized cost to the Federal Government:</w:t>
      </w:r>
    </w:p>
    <w:p w:rsidR="00C25B79" w:rsidRPr="00796DC5" w:rsidRDefault="00C25B79" w:rsidP="00796DC5">
      <w:pPr>
        <w:rPr>
          <w:rFonts w:ascii="Times New Roman" w:hAnsi="Times New Roman"/>
          <w:sz w:val="24"/>
          <w:szCs w:val="24"/>
        </w:rPr>
      </w:pPr>
    </w:p>
    <w:p w:rsidR="00C25B79" w:rsidRPr="00796DC5" w:rsidRDefault="00C310CD"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b/>
          <w:bCs/>
          <w:i/>
          <w:iCs/>
          <w:sz w:val="24"/>
          <w:szCs w:val="24"/>
        </w:rPr>
      </w:pPr>
      <w:r w:rsidRPr="00796DC5">
        <w:rPr>
          <w:rFonts w:ascii="Times New Roman" w:hAnsi="Times New Roman"/>
          <w:b/>
          <w:bCs/>
          <w:i/>
          <w:iCs/>
          <w:sz w:val="24"/>
          <w:szCs w:val="24"/>
        </w:rPr>
        <w:t>15.</w:t>
      </w:r>
      <w:r w:rsidRPr="00796DC5">
        <w:rPr>
          <w:rFonts w:ascii="Times New Roman" w:hAnsi="Times New Roman"/>
          <w:b/>
          <w:bCs/>
          <w:i/>
          <w:iCs/>
          <w:sz w:val="24"/>
          <w:szCs w:val="24"/>
        </w:rPr>
        <w:tab/>
        <w:t>Changes in burden:</w:t>
      </w:r>
    </w:p>
    <w:p w:rsidR="00176817" w:rsidRPr="00796DC5" w:rsidRDefault="00176817" w:rsidP="00796DC5">
      <w:pPr>
        <w:rPr>
          <w:rFonts w:ascii="Times New Roman" w:hAnsi="Times New Roman"/>
          <w:b/>
          <w:bCs/>
          <w:i/>
          <w:iCs/>
          <w:sz w:val="24"/>
          <w:szCs w:val="24"/>
        </w:rPr>
      </w:pPr>
    </w:p>
    <w:p w:rsidR="00176817" w:rsidRPr="00796DC5" w:rsidRDefault="00176817" w:rsidP="00796DC5">
      <w:pPr>
        <w:rPr>
          <w:rFonts w:ascii="Times New Roman" w:hAnsi="Times New Roman"/>
          <w:bCs/>
          <w:iCs/>
          <w:sz w:val="24"/>
          <w:szCs w:val="24"/>
        </w:rPr>
      </w:pPr>
      <w:r w:rsidRPr="00796DC5">
        <w:rPr>
          <w:rFonts w:ascii="Times New Roman" w:hAnsi="Times New Roman"/>
          <w:b/>
          <w:bCs/>
          <w:i/>
          <w:iCs/>
          <w:sz w:val="24"/>
          <w:szCs w:val="24"/>
        </w:rPr>
        <w:tab/>
      </w:r>
      <w:proofErr w:type="gramStart"/>
      <w:r w:rsidRPr="00796DC5">
        <w:rPr>
          <w:rFonts w:ascii="Times New Roman" w:hAnsi="Times New Roman"/>
          <w:bCs/>
          <w:iCs/>
          <w:sz w:val="24"/>
          <w:szCs w:val="24"/>
        </w:rPr>
        <w:t>Previous Burden:  81,802 hours.</w:t>
      </w:r>
      <w:proofErr w:type="gramEnd"/>
    </w:p>
    <w:p w:rsidR="00176817" w:rsidRPr="00796DC5" w:rsidRDefault="00176817" w:rsidP="00796DC5">
      <w:pPr>
        <w:rPr>
          <w:rFonts w:ascii="Times New Roman" w:hAnsi="Times New Roman"/>
          <w:bCs/>
          <w:iCs/>
          <w:sz w:val="24"/>
          <w:szCs w:val="24"/>
        </w:rPr>
      </w:pPr>
      <w:r w:rsidRPr="00796DC5">
        <w:rPr>
          <w:rFonts w:ascii="Times New Roman" w:hAnsi="Times New Roman"/>
          <w:bCs/>
          <w:iCs/>
          <w:sz w:val="24"/>
          <w:szCs w:val="24"/>
        </w:rPr>
        <w:tab/>
      </w:r>
      <w:proofErr w:type="gramStart"/>
      <w:r w:rsidRPr="00796DC5">
        <w:rPr>
          <w:rFonts w:ascii="Times New Roman" w:hAnsi="Times New Roman"/>
          <w:bCs/>
          <w:iCs/>
          <w:sz w:val="24"/>
          <w:szCs w:val="24"/>
        </w:rPr>
        <w:t>Current Burden:  88,624 hours.</w:t>
      </w:r>
      <w:proofErr w:type="gramEnd"/>
    </w:p>
    <w:p w:rsidR="00176817" w:rsidRPr="00796DC5" w:rsidRDefault="00176817" w:rsidP="00796DC5">
      <w:pPr>
        <w:rPr>
          <w:rFonts w:ascii="Times New Roman" w:hAnsi="Times New Roman"/>
          <w:bCs/>
          <w:iCs/>
          <w:sz w:val="24"/>
          <w:szCs w:val="24"/>
          <w:u w:val="single"/>
        </w:rPr>
      </w:pPr>
      <w:r w:rsidRPr="00796DC5">
        <w:rPr>
          <w:rFonts w:ascii="Times New Roman" w:hAnsi="Times New Roman"/>
          <w:bCs/>
          <w:iCs/>
          <w:sz w:val="24"/>
          <w:szCs w:val="24"/>
        </w:rPr>
        <w:tab/>
      </w:r>
      <w:proofErr w:type="gramStart"/>
      <w:r w:rsidRPr="00796DC5">
        <w:rPr>
          <w:rFonts w:ascii="Times New Roman" w:hAnsi="Times New Roman"/>
          <w:bCs/>
          <w:iCs/>
          <w:sz w:val="24"/>
          <w:szCs w:val="24"/>
        </w:rPr>
        <w:t>Difference:  +6,822 hours.</w:t>
      </w:r>
      <w:proofErr w:type="gramEnd"/>
    </w:p>
    <w:p w:rsidR="00C25B79" w:rsidRPr="00796DC5" w:rsidRDefault="00C25B79" w:rsidP="00796DC5">
      <w:pPr>
        <w:rPr>
          <w:rFonts w:ascii="Times New Roman" w:hAnsi="Times New Roman"/>
          <w:sz w:val="24"/>
          <w:szCs w:val="24"/>
        </w:rPr>
      </w:pPr>
    </w:p>
    <w:p w:rsidR="00C25B79" w:rsidRPr="00796DC5" w:rsidRDefault="008F058E" w:rsidP="00796DC5">
      <w:pPr>
        <w:ind w:firstLine="720"/>
        <w:rPr>
          <w:rFonts w:ascii="Times New Roman" w:hAnsi="Times New Roman"/>
          <w:sz w:val="24"/>
          <w:szCs w:val="24"/>
        </w:rPr>
      </w:pPr>
      <w:r w:rsidRPr="00796DC5">
        <w:rPr>
          <w:rFonts w:ascii="Times New Roman" w:hAnsi="Times New Roman"/>
          <w:sz w:val="24"/>
          <w:szCs w:val="24"/>
        </w:rPr>
        <w:t xml:space="preserve">The burden increase of 6,822 hours is due to an increase in respondents from 25 to 29. Over the past three years, the OCC has developed a more accurate method to estimate the number of institutions engaged in significant leveraged lending activities, which </w:t>
      </w:r>
      <w:proofErr w:type="gramStart"/>
      <w:r w:rsidRPr="00796DC5">
        <w:rPr>
          <w:rFonts w:ascii="Times New Roman" w:hAnsi="Times New Roman"/>
          <w:sz w:val="24"/>
          <w:szCs w:val="24"/>
        </w:rPr>
        <w:t>would be affected</w:t>
      </w:r>
      <w:proofErr w:type="gramEnd"/>
      <w:r w:rsidRPr="00796DC5">
        <w:rPr>
          <w:rFonts w:ascii="Times New Roman" w:hAnsi="Times New Roman"/>
          <w:sz w:val="24"/>
          <w:szCs w:val="24"/>
        </w:rPr>
        <w:t xml:space="preserve"> by the information collection.</w:t>
      </w:r>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sz w:val="24"/>
          <w:szCs w:val="24"/>
        </w:rPr>
      </w:pPr>
      <w:r w:rsidRPr="00796DC5">
        <w:rPr>
          <w:rFonts w:ascii="Times New Roman" w:hAnsi="Times New Roman"/>
          <w:sz w:val="24"/>
          <w:szCs w:val="24"/>
        </w:rPr>
        <w:t>16.</w:t>
      </w:r>
      <w:r w:rsidRPr="00796DC5">
        <w:rPr>
          <w:rFonts w:ascii="Times New Roman" w:hAnsi="Times New Roman"/>
          <w:sz w:val="24"/>
          <w:szCs w:val="24"/>
        </w:rPr>
        <w:tab/>
      </w:r>
      <w:r w:rsidRPr="00796DC5">
        <w:rPr>
          <w:rFonts w:ascii="Times New Roman" w:hAnsi="Times New Roman"/>
          <w:b/>
          <w:bCs/>
          <w:i/>
          <w:iCs/>
          <w:sz w:val="24"/>
          <w:szCs w:val="24"/>
        </w:rPr>
        <w:t xml:space="preserve">Information regarding collections whose results </w:t>
      </w:r>
      <w:proofErr w:type="gramStart"/>
      <w:r w:rsidRPr="00796DC5">
        <w:rPr>
          <w:rFonts w:ascii="Times New Roman" w:hAnsi="Times New Roman"/>
          <w:b/>
          <w:bCs/>
          <w:i/>
          <w:iCs/>
          <w:sz w:val="24"/>
          <w:szCs w:val="24"/>
        </w:rPr>
        <w:t>are planned to be published</w:t>
      </w:r>
      <w:proofErr w:type="gramEnd"/>
      <w:r w:rsidRPr="00796DC5">
        <w:rPr>
          <w:rFonts w:ascii="Times New Roman" w:hAnsi="Times New Roman"/>
          <w:b/>
          <w:bCs/>
          <w:i/>
          <w:iCs/>
          <w:sz w:val="24"/>
          <w:szCs w:val="24"/>
        </w:rPr>
        <w:t xml:space="preserve"> for statistical use:</w:t>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ind w:left="720"/>
        <w:rPr>
          <w:rFonts w:ascii="Times New Roman" w:hAnsi="Times New Roman"/>
          <w:sz w:val="24"/>
          <w:szCs w:val="24"/>
        </w:rPr>
      </w:pPr>
    </w:p>
    <w:p w:rsidR="00C25B79" w:rsidRPr="00796DC5" w:rsidRDefault="00C25B79" w:rsidP="00796DC5">
      <w:pPr>
        <w:rPr>
          <w:rFonts w:ascii="Times New Roman" w:hAnsi="Times New Roman"/>
          <w:sz w:val="24"/>
          <w:szCs w:val="24"/>
        </w:rPr>
      </w:pPr>
      <w:r w:rsidRPr="00796DC5">
        <w:rPr>
          <w:rFonts w:ascii="Times New Roman" w:hAnsi="Times New Roman"/>
          <w:sz w:val="24"/>
          <w:szCs w:val="24"/>
        </w:rPr>
        <w:t>17.</w:t>
      </w:r>
      <w:r w:rsidRPr="00796DC5">
        <w:rPr>
          <w:rFonts w:ascii="Times New Roman" w:hAnsi="Times New Roman"/>
          <w:sz w:val="24"/>
          <w:szCs w:val="24"/>
        </w:rPr>
        <w:tab/>
      </w:r>
      <w:r w:rsidRPr="00796DC5">
        <w:rPr>
          <w:rFonts w:ascii="Times New Roman" w:hAnsi="Times New Roman"/>
          <w:b/>
          <w:bCs/>
          <w:i/>
          <w:iCs/>
          <w:sz w:val="24"/>
          <w:szCs w:val="24"/>
        </w:rPr>
        <w:t>Display of expiration date:</w:t>
      </w:r>
      <w:r w:rsidRPr="00796DC5">
        <w:rPr>
          <w:rFonts w:ascii="Times New Roman" w:hAnsi="Times New Roman"/>
          <w:sz w:val="24"/>
          <w:szCs w:val="24"/>
        </w:rPr>
        <w:tab/>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sz w:val="24"/>
          <w:szCs w:val="24"/>
        </w:rPr>
      </w:pPr>
      <w:r w:rsidRPr="00796DC5">
        <w:rPr>
          <w:rFonts w:ascii="Times New Roman" w:hAnsi="Times New Roman"/>
          <w:sz w:val="24"/>
          <w:szCs w:val="24"/>
        </w:rPr>
        <w:t>18.</w:t>
      </w:r>
      <w:r w:rsidRPr="00796DC5">
        <w:rPr>
          <w:rFonts w:ascii="Times New Roman" w:hAnsi="Times New Roman"/>
          <w:sz w:val="24"/>
          <w:szCs w:val="24"/>
        </w:rPr>
        <w:tab/>
      </w:r>
      <w:r w:rsidRPr="00796DC5">
        <w:rPr>
          <w:rFonts w:ascii="Times New Roman" w:hAnsi="Times New Roman"/>
          <w:b/>
          <w:bCs/>
          <w:i/>
          <w:iCs/>
          <w:sz w:val="24"/>
          <w:szCs w:val="24"/>
        </w:rPr>
        <w:t>Exceptions to certification statement:</w:t>
      </w:r>
    </w:p>
    <w:p w:rsidR="00C25B79" w:rsidRPr="00796DC5" w:rsidRDefault="00C25B79" w:rsidP="00796DC5">
      <w:pPr>
        <w:rPr>
          <w:rFonts w:ascii="Times New Roman" w:hAnsi="Times New Roman"/>
          <w:sz w:val="24"/>
          <w:szCs w:val="24"/>
        </w:rPr>
      </w:pPr>
    </w:p>
    <w:p w:rsidR="00C25B79" w:rsidRPr="00796DC5" w:rsidRDefault="00C25B79"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rPr>
          <w:rFonts w:ascii="Times New Roman" w:hAnsi="Times New Roman"/>
          <w:sz w:val="24"/>
          <w:szCs w:val="24"/>
        </w:rPr>
      </w:pPr>
    </w:p>
    <w:p w:rsidR="00C25B79" w:rsidRPr="00796DC5" w:rsidRDefault="00C25B79" w:rsidP="00796DC5">
      <w:pPr>
        <w:rPr>
          <w:rFonts w:ascii="Times New Roman" w:hAnsi="Times New Roman"/>
          <w:sz w:val="24"/>
          <w:szCs w:val="24"/>
          <w:u w:val="single"/>
        </w:rPr>
      </w:pPr>
      <w:r w:rsidRPr="00796DC5">
        <w:rPr>
          <w:rFonts w:ascii="Times New Roman" w:hAnsi="Times New Roman"/>
          <w:sz w:val="24"/>
          <w:szCs w:val="24"/>
        </w:rPr>
        <w:t xml:space="preserve">B.  </w:t>
      </w:r>
      <w:r w:rsidRPr="00796DC5">
        <w:rPr>
          <w:rFonts w:ascii="Times New Roman" w:hAnsi="Times New Roman"/>
          <w:b/>
          <w:bCs/>
          <w:sz w:val="24"/>
          <w:szCs w:val="24"/>
        </w:rPr>
        <w:t>Collections of Information Employing Statistical Methods</w:t>
      </w:r>
    </w:p>
    <w:p w:rsidR="00C25B79" w:rsidRPr="00796DC5" w:rsidRDefault="00C25B79" w:rsidP="00796DC5">
      <w:pPr>
        <w:rPr>
          <w:rFonts w:ascii="Times New Roman" w:hAnsi="Times New Roman"/>
          <w:sz w:val="24"/>
          <w:szCs w:val="24"/>
          <w:u w:val="single"/>
        </w:rPr>
      </w:pPr>
    </w:p>
    <w:p w:rsidR="00C25B79" w:rsidRPr="00796DC5" w:rsidRDefault="00C25B79" w:rsidP="00796DC5">
      <w:pPr>
        <w:ind w:firstLine="720"/>
        <w:rPr>
          <w:rFonts w:ascii="Times New Roman" w:hAnsi="Times New Roman"/>
          <w:sz w:val="24"/>
          <w:szCs w:val="24"/>
        </w:rPr>
      </w:pPr>
      <w:proofErr w:type="gramStart"/>
      <w:r w:rsidRPr="00796DC5">
        <w:rPr>
          <w:rFonts w:ascii="Times New Roman" w:hAnsi="Times New Roman"/>
          <w:sz w:val="24"/>
          <w:szCs w:val="24"/>
        </w:rPr>
        <w:t>Not applicable.</w:t>
      </w:r>
      <w:proofErr w:type="gramEnd"/>
    </w:p>
    <w:p w:rsidR="00C25B79" w:rsidRPr="00796DC5" w:rsidRDefault="00C25B79" w:rsidP="00796DC5">
      <w:pPr>
        <w:pStyle w:val="BodyText"/>
        <w:rPr>
          <w:rFonts w:ascii="Times New Roman" w:hAnsi="Times New Roman"/>
          <w:szCs w:val="24"/>
          <w:u w:val="none"/>
        </w:rPr>
      </w:pPr>
    </w:p>
    <w:p w:rsidR="00C25B79" w:rsidRPr="00796DC5" w:rsidRDefault="00C25B79" w:rsidP="00796DC5">
      <w:pPr>
        <w:pStyle w:val="BodyText"/>
        <w:rPr>
          <w:rFonts w:ascii="Times New Roman" w:hAnsi="Times New Roman"/>
          <w:szCs w:val="24"/>
          <w:u w:val="none"/>
        </w:rPr>
      </w:pPr>
    </w:p>
    <w:p w:rsidR="00C25B79" w:rsidRPr="00796DC5" w:rsidRDefault="00C25B79" w:rsidP="00796DC5">
      <w:pPr>
        <w:rPr>
          <w:rFonts w:ascii="Times New Roman" w:hAnsi="Times New Roman"/>
          <w:sz w:val="24"/>
          <w:szCs w:val="24"/>
        </w:rPr>
      </w:pPr>
    </w:p>
    <w:sectPr w:rsidR="00C25B79" w:rsidRPr="00796DC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E1" w:rsidRDefault="005E33E1">
      <w:r>
        <w:separator/>
      </w:r>
    </w:p>
  </w:endnote>
  <w:endnote w:type="continuationSeparator" w:id="0">
    <w:p w:rsidR="005E33E1" w:rsidRDefault="005E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0CD" w:rsidRDefault="00C31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796DC5">
      <w:rPr>
        <w:rStyle w:val="PageNumber"/>
        <w:rFonts w:ascii="Times New Roman" w:hAnsi="Times New Roman"/>
        <w:noProof/>
        <w:sz w:val="22"/>
      </w:rPr>
      <w:t>2</w:t>
    </w:r>
    <w:r w:rsidRPr="00D67402">
      <w:rPr>
        <w:rStyle w:val="PageNumber"/>
        <w:rFonts w:ascii="Times New Roman" w:hAnsi="Times New Roman"/>
        <w:sz w:val="22"/>
      </w:rPr>
      <w:fldChar w:fldCharType="end"/>
    </w:r>
  </w:p>
  <w:p w:rsidR="00C310CD" w:rsidRDefault="00C31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E1" w:rsidRDefault="005E33E1">
      <w:r>
        <w:separator/>
      </w:r>
    </w:p>
  </w:footnote>
  <w:footnote w:type="continuationSeparator" w:id="0">
    <w:p w:rsidR="005E33E1" w:rsidRDefault="005E33E1">
      <w:r>
        <w:continuationSeparator/>
      </w:r>
    </w:p>
  </w:footnote>
  <w:footnote w:id="1">
    <w:p w:rsidR="002F084A" w:rsidRPr="002F084A" w:rsidRDefault="002F084A">
      <w:pPr>
        <w:pStyle w:val="FootnoteText"/>
        <w:rPr>
          <w:rFonts w:ascii="Times New Roman" w:hAnsi="Times New Roman"/>
        </w:rPr>
      </w:pPr>
      <w:r w:rsidRPr="002F084A">
        <w:rPr>
          <w:rStyle w:val="FootnoteReference"/>
          <w:rFonts w:ascii="Times New Roman" w:hAnsi="Times New Roman"/>
        </w:rPr>
        <w:footnoteRef/>
      </w:r>
      <w:r w:rsidRPr="002F084A">
        <w:rPr>
          <w:rFonts w:ascii="Times New Roman" w:hAnsi="Times New Roman"/>
        </w:rPr>
        <w:t xml:space="preserve"> </w:t>
      </w:r>
      <w:proofErr w:type="gramStart"/>
      <w:r w:rsidRPr="002F084A">
        <w:rPr>
          <w:rFonts w:ascii="Times New Roman" w:hAnsi="Times New Roman"/>
        </w:rPr>
        <w:t>78</w:t>
      </w:r>
      <w:proofErr w:type="gramEnd"/>
      <w:r w:rsidRPr="002F084A">
        <w:rPr>
          <w:rFonts w:ascii="Times New Roman" w:hAnsi="Times New Roman"/>
        </w:rPr>
        <w:t xml:space="preserve"> FR 17766 (March 22,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9CD"/>
    <w:multiLevelType w:val="hybridMultilevel"/>
    <w:tmpl w:val="E53478FE"/>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4872D6C"/>
    <w:multiLevelType w:val="hybridMultilevel"/>
    <w:tmpl w:val="97A89956"/>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6A55EC"/>
    <w:multiLevelType w:val="hybridMultilevel"/>
    <w:tmpl w:val="10B40CC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8F1431"/>
    <w:multiLevelType w:val="hybridMultilevel"/>
    <w:tmpl w:val="EBE3051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5D45D8C4"/>
    <w:multiLevelType w:val="hybridMultilevel"/>
    <w:tmpl w:val="060ACC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2822B5"/>
    <w:multiLevelType w:val="hybridMultilevel"/>
    <w:tmpl w:val="A3079D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72667BAD"/>
    <w:multiLevelType w:val="hybridMultilevel"/>
    <w:tmpl w:val="E8C21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45912D5"/>
    <w:multiLevelType w:val="hybridMultilevel"/>
    <w:tmpl w:val="EDA83871"/>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2"/>
  </w:num>
  <w:num w:numId="3">
    <w:abstractNumId w:val="10"/>
  </w:num>
  <w:num w:numId="4">
    <w:abstractNumId w:val="1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0"/>
  </w:num>
  <w:num w:numId="14">
    <w:abstractNumId w:val="10"/>
  </w:num>
  <w:num w:numId="15">
    <w:abstractNumId w:val="10"/>
  </w:num>
  <w:num w:numId="16">
    <w:abstractNumId w:val="10"/>
  </w:num>
  <w:num w:numId="17">
    <w:abstractNumId w:val="20"/>
  </w:num>
  <w:num w:numId="18">
    <w:abstractNumId w:val="8"/>
  </w:num>
  <w:num w:numId="19">
    <w:abstractNumId w:val="5"/>
  </w:num>
  <w:num w:numId="20">
    <w:abstractNumId w:val="15"/>
  </w:num>
  <w:num w:numId="21">
    <w:abstractNumId w:val="16"/>
  </w:num>
  <w:num w:numId="22">
    <w:abstractNumId w:val="11"/>
  </w:num>
  <w:num w:numId="23">
    <w:abstractNumId w:val="4"/>
  </w:num>
  <w:num w:numId="24">
    <w:abstractNumId w:val="21"/>
  </w:num>
  <w:num w:numId="25">
    <w:abstractNumId w:val="12"/>
  </w:num>
  <w:num w:numId="26">
    <w:abstractNumId w:val="9"/>
  </w:num>
  <w:num w:numId="27">
    <w:abstractNumId w:val="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0E"/>
    <w:rsid w:val="000561C9"/>
    <w:rsid w:val="00061842"/>
    <w:rsid w:val="00067EB7"/>
    <w:rsid w:val="000B0477"/>
    <w:rsid w:val="00101253"/>
    <w:rsid w:val="00160253"/>
    <w:rsid w:val="00176817"/>
    <w:rsid w:val="001A0F53"/>
    <w:rsid w:val="001A6CFA"/>
    <w:rsid w:val="001E6F4D"/>
    <w:rsid w:val="00232133"/>
    <w:rsid w:val="00265AD6"/>
    <w:rsid w:val="00285CCA"/>
    <w:rsid w:val="002B73D0"/>
    <w:rsid w:val="002C1147"/>
    <w:rsid w:val="002F084A"/>
    <w:rsid w:val="00300DBE"/>
    <w:rsid w:val="00311700"/>
    <w:rsid w:val="00312062"/>
    <w:rsid w:val="003677A2"/>
    <w:rsid w:val="00367CA5"/>
    <w:rsid w:val="0037690D"/>
    <w:rsid w:val="00381328"/>
    <w:rsid w:val="0038298D"/>
    <w:rsid w:val="00394762"/>
    <w:rsid w:val="003C3433"/>
    <w:rsid w:val="003C4918"/>
    <w:rsid w:val="00434F56"/>
    <w:rsid w:val="004B221B"/>
    <w:rsid w:val="004D1673"/>
    <w:rsid w:val="00503192"/>
    <w:rsid w:val="00540E53"/>
    <w:rsid w:val="00550E50"/>
    <w:rsid w:val="00555DB1"/>
    <w:rsid w:val="0056523B"/>
    <w:rsid w:val="0058415B"/>
    <w:rsid w:val="005E33E1"/>
    <w:rsid w:val="006201DB"/>
    <w:rsid w:val="00660578"/>
    <w:rsid w:val="0067347F"/>
    <w:rsid w:val="00680BF4"/>
    <w:rsid w:val="00685240"/>
    <w:rsid w:val="006871DC"/>
    <w:rsid w:val="00687A93"/>
    <w:rsid w:val="006C6F63"/>
    <w:rsid w:val="00716168"/>
    <w:rsid w:val="0074551A"/>
    <w:rsid w:val="007909BF"/>
    <w:rsid w:val="00796DC5"/>
    <w:rsid w:val="007C52CF"/>
    <w:rsid w:val="007D05D3"/>
    <w:rsid w:val="0085310E"/>
    <w:rsid w:val="00877978"/>
    <w:rsid w:val="008975E5"/>
    <w:rsid w:val="008A3CC9"/>
    <w:rsid w:val="008A53C2"/>
    <w:rsid w:val="008C1BAC"/>
    <w:rsid w:val="008F058E"/>
    <w:rsid w:val="00946F78"/>
    <w:rsid w:val="0098276E"/>
    <w:rsid w:val="009C7BE3"/>
    <w:rsid w:val="009D2FBE"/>
    <w:rsid w:val="00A007D0"/>
    <w:rsid w:val="00A0561E"/>
    <w:rsid w:val="00A35CD4"/>
    <w:rsid w:val="00A4082A"/>
    <w:rsid w:val="00A5176D"/>
    <w:rsid w:val="00A827DE"/>
    <w:rsid w:val="00A90A85"/>
    <w:rsid w:val="00B25A4A"/>
    <w:rsid w:val="00BB3AF4"/>
    <w:rsid w:val="00BE7D73"/>
    <w:rsid w:val="00C071FE"/>
    <w:rsid w:val="00C21494"/>
    <w:rsid w:val="00C232BE"/>
    <w:rsid w:val="00C25B79"/>
    <w:rsid w:val="00C310CD"/>
    <w:rsid w:val="00C5139C"/>
    <w:rsid w:val="00C819A9"/>
    <w:rsid w:val="00C9242D"/>
    <w:rsid w:val="00CD3CBE"/>
    <w:rsid w:val="00CD778E"/>
    <w:rsid w:val="00D47ADB"/>
    <w:rsid w:val="00D509FC"/>
    <w:rsid w:val="00D67402"/>
    <w:rsid w:val="00DA14AA"/>
    <w:rsid w:val="00DC112B"/>
    <w:rsid w:val="00DE095E"/>
    <w:rsid w:val="00DE2B2A"/>
    <w:rsid w:val="00DF5BBE"/>
    <w:rsid w:val="00DF6D39"/>
    <w:rsid w:val="00E00DFC"/>
    <w:rsid w:val="00E20BE7"/>
    <w:rsid w:val="00E32E64"/>
    <w:rsid w:val="00E57B4A"/>
    <w:rsid w:val="00E6183A"/>
    <w:rsid w:val="00E67665"/>
    <w:rsid w:val="00EB48D6"/>
    <w:rsid w:val="00EC784A"/>
    <w:rsid w:val="00EE4CE1"/>
    <w:rsid w:val="00EE736E"/>
    <w:rsid w:val="00F22AD8"/>
    <w:rsid w:val="00F25F5D"/>
    <w:rsid w:val="00F32141"/>
    <w:rsid w:val="00F33C6C"/>
    <w:rsid w:val="00FA48F0"/>
    <w:rsid w:val="00FC6A4A"/>
    <w:rsid w:val="00FD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 w:type="character" w:styleId="CommentReference">
    <w:name w:val="annotation reference"/>
    <w:basedOn w:val="DefaultParagraphFont"/>
    <w:rsid w:val="006C6F63"/>
    <w:rPr>
      <w:sz w:val="16"/>
      <w:szCs w:val="16"/>
    </w:rPr>
  </w:style>
  <w:style w:type="paragraph" w:styleId="CommentText">
    <w:name w:val="annotation text"/>
    <w:basedOn w:val="Normal"/>
    <w:link w:val="CommentTextChar"/>
    <w:rsid w:val="006C6F63"/>
  </w:style>
  <w:style w:type="character" w:customStyle="1" w:styleId="CommentTextChar">
    <w:name w:val="Comment Text Char"/>
    <w:basedOn w:val="DefaultParagraphFont"/>
    <w:link w:val="CommentText"/>
    <w:rsid w:val="006C6F63"/>
    <w:rPr>
      <w:rFonts w:ascii="Arial Narrow" w:hAnsi="Arial Narrow"/>
    </w:rPr>
  </w:style>
  <w:style w:type="paragraph" w:styleId="CommentSubject">
    <w:name w:val="annotation subject"/>
    <w:basedOn w:val="CommentText"/>
    <w:next w:val="CommentText"/>
    <w:link w:val="CommentSubjectChar"/>
    <w:rsid w:val="006C6F63"/>
    <w:rPr>
      <w:b/>
      <w:bCs/>
    </w:rPr>
  </w:style>
  <w:style w:type="character" w:customStyle="1" w:styleId="CommentSubjectChar">
    <w:name w:val="Comment Subject Char"/>
    <w:basedOn w:val="CommentTextChar"/>
    <w:link w:val="CommentSubject"/>
    <w:rsid w:val="006C6F63"/>
    <w:rPr>
      <w:rFonts w:ascii="Arial Narrow" w:hAnsi="Arial Narro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 w:type="character" w:styleId="CommentReference">
    <w:name w:val="annotation reference"/>
    <w:basedOn w:val="DefaultParagraphFont"/>
    <w:rsid w:val="006C6F63"/>
    <w:rPr>
      <w:sz w:val="16"/>
      <w:szCs w:val="16"/>
    </w:rPr>
  </w:style>
  <w:style w:type="paragraph" w:styleId="CommentText">
    <w:name w:val="annotation text"/>
    <w:basedOn w:val="Normal"/>
    <w:link w:val="CommentTextChar"/>
    <w:rsid w:val="006C6F63"/>
  </w:style>
  <w:style w:type="character" w:customStyle="1" w:styleId="CommentTextChar">
    <w:name w:val="Comment Text Char"/>
    <w:basedOn w:val="DefaultParagraphFont"/>
    <w:link w:val="CommentText"/>
    <w:rsid w:val="006C6F63"/>
    <w:rPr>
      <w:rFonts w:ascii="Arial Narrow" w:hAnsi="Arial Narrow"/>
    </w:rPr>
  </w:style>
  <w:style w:type="paragraph" w:styleId="CommentSubject">
    <w:name w:val="annotation subject"/>
    <w:basedOn w:val="CommentText"/>
    <w:next w:val="CommentText"/>
    <w:link w:val="CommentSubjectChar"/>
    <w:rsid w:val="006C6F63"/>
    <w:rPr>
      <w:b/>
      <w:bCs/>
    </w:rPr>
  </w:style>
  <w:style w:type="character" w:customStyle="1" w:styleId="CommentSubjectChar">
    <w:name w:val="Comment Subject Char"/>
    <w:basedOn w:val="CommentTextChar"/>
    <w:link w:val="CommentSubject"/>
    <w:rsid w:val="006C6F63"/>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2370">
      <w:bodyDiv w:val="1"/>
      <w:marLeft w:val="0"/>
      <w:marRight w:val="0"/>
      <w:marTop w:val="0"/>
      <w:marBottom w:val="0"/>
      <w:divBdr>
        <w:top w:val="none" w:sz="0" w:space="0" w:color="auto"/>
        <w:left w:val="none" w:sz="0" w:space="0" w:color="auto"/>
        <w:bottom w:val="none" w:sz="0" w:space="0" w:color="auto"/>
        <w:right w:val="none" w:sz="0" w:space="0" w:color="auto"/>
      </w:divBdr>
    </w:div>
    <w:div w:id="772894036">
      <w:bodyDiv w:val="1"/>
      <w:marLeft w:val="0"/>
      <w:marRight w:val="0"/>
      <w:marTop w:val="0"/>
      <w:marBottom w:val="0"/>
      <w:divBdr>
        <w:top w:val="none" w:sz="0" w:space="0" w:color="auto"/>
        <w:left w:val="none" w:sz="0" w:space="0" w:color="auto"/>
        <w:bottom w:val="none" w:sz="0" w:space="0" w:color="auto"/>
        <w:right w:val="none" w:sz="0" w:space="0" w:color="auto"/>
      </w:divBdr>
    </w:div>
    <w:div w:id="1357998260">
      <w:bodyDiv w:val="1"/>
      <w:marLeft w:val="0"/>
      <w:marRight w:val="0"/>
      <w:marTop w:val="0"/>
      <w:marBottom w:val="0"/>
      <w:divBdr>
        <w:top w:val="none" w:sz="0" w:space="0" w:color="auto"/>
        <w:left w:val="none" w:sz="0" w:space="0" w:color="auto"/>
        <w:bottom w:val="none" w:sz="0" w:space="0" w:color="auto"/>
        <w:right w:val="none" w:sz="0" w:space="0" w:color="auto"/>
      </w:divBdr>
    </w:div>
    <w:div w:id="15907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6B70-ABE4-468C-AE6F-607DE856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1241</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mary.gottlieb</cp:lastModifiedBy>
  <cp:revision>4</cp:revision>
  <cp:lastPrinted>2016-03-02T18:15:00Z</cp:lastPrinted>
  <dcterms:created xsi:type="dcterms:W3CDTF">2016-04-21T12:56:00Z</dcterms:created>
  <dcterms:modified xsi:type="dcterms:W3CDTF">2016-04-21T19:48:00Z</dcterms:modified>
</cp:coreProperties>
</file>