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7BC96" w14:textId="77777777" w:rsidR="00CB5FEA" w:rsidRPr="00E141E0" w:rsidRDefault="00CB5FEA">
      <w:pPr>
        <w:widowControl/>
        <w:tabs>
          <w:tab w:val="center" w:pos="4680"/>
        </w:tabs>
        <w:rPr>
          <w:sz w:val="26"/>
          <w:szCs w:val="26"/>
        </w:rPr>
      </w:pPr>
      <w:bookmarkStart w:id="0" w:name="_GoBack"/>
      <w:bookmarkEnd w:id="0"/>
      <w:r w:rsidRPr="00E141E0">
        <w:rPr>
          <w:sz w:val="26"/>
          <w:szCs w:val="26"/>
        </w:rPr>
        <w:tab/>
        <w:t>UNITED STATES OF AMERICA</w:t>
      </w:r>
    </w:p>
    <w:p w14:paraId="5887BC97" w14:textId="77777777" w:rsidR="00CB5FEA" w:rsidRPr="00E141E0" w:rsidRDefault="00CB5FEA">
      <w:pPr>
        <w:widowControl/>
        <w:tabs>
          <w:tab w:val="center" w:pos="4680"/>
        </w:tabs>
        <w:rPr>
          <w:sz w:val="26"/>
          <w:szCs w:val="26"/>
        </w:rPr>
      </w:pPr>
      <w:r w:rsidRPr="00E141E0">
        <w:rPr>
          <w:sz w:val="26"/>
          <w:szCs w:val="26"/>
        </w:rPr>
        <w:tab/>
        <w:t>FEDERAL ENERGY REGULATORY COMMISSION</w:t>
      </w:r>
    </w:p>
    <w:p w14:paraId="5887BC98" w14:textId="77777777" w:rsidR="00CB5FEA" w:rsidRPr="00E141E0" w:rsidRDefault="00CB5FEA">
      <w:pPr>
        <w:widowControl/>
        <w:rPr>
          <w:sz w:val="26"/>
          <w:szCs w:val="26"/>
        </w:rPr>
      </w:pPr>
    </w:p>
    <w:p w14:paraId="5887BC99" w14:textId="5C110273" w:rsidR="00CB5FEA" w:rsidRPr="00E141E0" w:rsidRDefault="00CB5FEA">
      <w:pPr>
        <w:widowControl/>
        <w:tabs>
          <w:tab w:val="center" w:pos="4680"/>
        </w:tabs>
        <w:rPr>
          <w:sz w:val="26"/>
          <w:szCs w:val="26"/>
        </w:rPr>
      </w:pPr>
      <w:r w:rsidRPr="00E141E0">
        <w:rPr>
          <w:sz w:val="26"/>
          <w:szCs w:val="26"/>
        </w:rPr>
        <w:tab/>
        <w:t>(</w:t>
      </w:r>
      <w:r w:rsidR="00F60AC7" w:rsidRPr="00E141E0">
        <w:rPr>
          <w:sz w:val="26"/>
          <w:szCs w:val="26"/>
        </w:rPr>
        <w:t>Docket No.</w:t>
      </w:r>
      <w:r w:rsidR="00CA3D1F" w:rsidRPr="00E141E0">
        <w:rPr>
          <w:sz w:val="26"/>
          <w:szCs w:val="26"/>
        </w:rPr>
        <w:t xml:space="preserve"> </w:t>
      </w:r>
      <w:r w:rsidR="006D5998">
        <w:rPr>
          <w:sz w:val="26"/>
          <w:szCs w:val="26"/>
        </w:rPr>
        <w:t>RD16-2</w:t>
      </w:r>
      <w:r w:rsidR="00CA3D1F" w:rsidRPr="00E141E0">
        <w:rPr>
          <w:sz w:val="26"/>
          <w:szCs w:val="26"/>
        </w:rPr>
        <w:t>-000</w:t>
      </w:r>
      <w:r w:rsidRPr="00E141E0">
        <w:rPr>
          <w:sz w:val="26"/>
          <w:szCs w:val="26"/>
        </w:rPr>
        <w:t>)</w:t>
      </w:r>
    </w:p>
    <w:p w14:paraId="5887BC9A" w14:textId="77777777" w:rsidR="00CB5FEA" w:rsidRPr="00E141E0" w:rsidRDefault="00CB5FEA">
      <w:pPr>
        <w:widowControl/>
        <w:rPr>
          <w:sz w:val="26"/>
          <w:szCs w:val="26"/>
        </w:rPr>
      </w:pPr>
    </w:p>
    <w:p w14:paraId="5887BC9B" w14:textId="77777777" w:rsidR="00CB5FEA" w:rsidRPr="00E141E0" w:rsidRDefault="0070764E" w:rsidP="00500A8A">
      <w:pPr>
        <w:widowControl/>
        <w:tabs>
          <w:tab w:val="center" w:pos="4680"/>
        </w:tabs>
        <w:jc w:val="center"/>
        <w:rPr>
          <w:sz w:val="26"/>
          <w:szCs w:val="26"/>
        </w:rPr>
      </w:pPr>
      <w:r w:rsidRPr="00E141E0">
        <w:rPr>
          <w:sz w:val="26"/>
          <w:szCs w:val="26"/>
        </w:rPr>
        <w:t xml:space="preserve">PROPOSED AGENCY INFORMATION </w:t>
      </w:r>
      <w:r w:rsidR="00F60AC7" w:rsidRPr="00E141E0">
        <w:rPr>
          <w:sz w:val="26"/>
          <w:szCs w:val="26"/>
        </w:rPr>
        <w:t>COLLECTION</w:t>
      </w:r>
    </w:p>
    <w:p w14:paraId="5887BC9C" w14:textId="77777777" w:rsidR="00CB5FEA" w:rsidRPr="00E141E0" w:rsidRDefault="00CB5FEA">
      <w:pPr>
        <w:widowControl/>
        <w:rPr>
          <w:sz w:val="26"/>
          <w:szCs w:val="26"/>
        </w:rPr>
      </w:pPr>
    </w:p>
    <w:p w14:paraId="28B3ECF4" w14:textId="79E1E625" w:rsidR="00F753E8" w:rsidRDefault="001C2FFE" w:rsidP="001C2FFE">
      <w:pPr>
        <w:widowControl/>
        <w:tabs>
          <w:tab w:val="center" w:pos="4680"/>
        </w:tabs>
        <w:jc w:val="center"/>
        <w:rPr>
          <w:sz w:val="26"/>
          <w:szCs w:val="26"/>
        </w:rPr>
      </w:pPr>
      <w:r w:rsidRPr="001C2FFE">
        <w:rPr>
          <w:sz w:val="26"/>
          <w:szCs w:val="26"/>
        </w:rPr>
        <w:t>(December 29, 2015)</w:t>
      </w:r>
    </w:p>
    <w:p w14:paraId="6A470B8E" w14:textId="77777777" w:rsidR="001C2FFE" w:rsidRPr="001C2FFE" w:rsidRDefault="001C2FFE" w:rsidP="001C2FFE">
      <w:pPr>
        <w:widowControl/>
        <w:tabs>
          <w:tab w:val="center" w:pos="4680"/>
        </w:tabs>
        <w:rPr>
          <w:sz w:val="26"/>
          <w:szCs w:val="26"/>
        </w:rPr>
      </w:pPr>
    </w:p>
    <w:p w14:paraId="5887BC9F" w14:textId="77777777" w:rsidR="00CB5FEA" w:rsidRPr="00E141E0" w:rsidRDefault="00CB5FEA">
      <w:pPr>
        <w:widowControl/>
        <w:spacing w:line="480" w:lineRule="auto"/>
        <w:rPr>
          <w:sz w:val="26"/>
          <w:szCs w:val="26"/>
        </w:rPr>
      </w:pPr>
      <w:r w:rsidRPr="00E141E0">
        <w:rPr>
          <w:b/>
          <w:bCs/>
          <w:sz w:val="26"/>
          <w:szCs w:val="26"/>
        </w:rPr>
        <w:t xml:space="preserve">AGENCY:  </w:t>
      </w:r>
      <w:r w:rsidRPr="00E141E0">
        <w:rPr>
          <w:sz w:val="26"/>
          <w:szCs w:val="26"/>
        </w:rPr>
        <w:t>Federal Energy Regulatory Commission</w:t>
      </w:r>
    </w:p>
    <w:p w14:paraId="5887BCA0" w14:textId="77777777" w:rsidR="00CB5FEA" w:rsidRPr="00E141E0" w:rsidRDefault="00CB5FEA">
      <w:pPr>
        <w:widowControl/>
        <w:spacing w:line="480" w:lineRule="auto"/>
        <w:rPr>
          <w:sz w:val="26"/>
          <w:szCs w:val="26"/>
        </w:rPr>
      </w:pPr>
      <w:r w:rsidRPr="00E141E0">
        <w:rPr>
          <w:b/>
          <w:bCs/>
          <w:sz w:val="26"/>
          <w:szCs w:val="26"/>
        </w:rPr>
        <w:t>ACTION:</w:t>
      </w:r>
      <w:r w:rsidRPr="00E141E0">
        <w:rPr>
          <w:sz w:val="26"/>
          <w:szCs w:val="26"/>
        </w:rPr>
        <w:t xml:space="preserve">  </w:t>
      </w:r>
      <w:r w:rsidR="008A1555" w:rsidRPr="00E141E0">
        <w:rPr>
          <w:sz w:val="26"/>
          <w:szCs w:val="26"/>
        </w:rPr>
        <w:t>Notice</w:t>
      </w:r>
      <w:r w:rsidR="00D55AF3" w:rsidRPr="00E141E0">
        <w:rPr>
          <w:sz w:val="26"/>
          <w:szCs w:val="26"/>
        </w:rPr>
        <w:t xml:space="preserve"> and Request for Comments</w:t>
      </w:r>
    </w:p>
    <w:p w14:paraId="5887BCA1" w14:textId="4080D9E8" w:rsidR="00CB5FEA" w:rsidRPr="00E141E0" w:rsidRDefault="00CB5FEA" w:rsidP="004D14DA">
      <w:pPr>
        <w:pStyle w:val="Default"/>
        <w:spacing w:line="480" w:lineRule="auto"/>
        <w:rPr>
          <w:sz w:val="26"/>
          <w:szCs w:val="26"/>
        </w:rPr>
      </w:pPr>
      <w:r w:rsidRPr="00E141E0">
        <w:rPr>
          <w:b/>
          <w:sz w:val="26"/>
          <w:szCs w:val="26"/>
        </w:rPr>
        <w:t>SUMMARY:</w:t>
      </w:r>
      <w:r w:rsidR="00F60AC7" w:rsidRPr="00E141E0">
        <w:rPr>
          <w:b/>
          <w:sz w:val="26"/>
          <w:szCs w:val="26"/>
        </w:rPr>
        <w:t xml:space="preserve">  </w:t>
      </w:r>
      <w:r w:rsidR="004D14DA" w:rsidRPr="00E141E0">
        <w:rPr>
          <w:sz w:val="26"/>
          <w:szCs w:val="26"/>
        </w:rPr>
        <w:t xml:space="preserve">The Federal Energy Regulatory Commission (Commission) invites public comment </w:t>
      </w:r>
      <w:r w:rsidR="008F43C7" w:rsidRPr="00E141E0">
        <w:rPr>
          <w:sz w:val="26"/>
          <w:szCs w:val="26"/>
        </w:rPr>
        <w:t xml:space="preserve">in Docket No. </w:t>
      </w:r>
      <w:r w:rsidR="006D5998">
        <w:rPr>
          <w:sz w:val="26"/>
          <w:szCs w:val="26"/>
        </w:rPr>
        <w:t>RD16-2</w:t>
      </w:r>
      <w:r w:rsidR="00AF14AF" w:rsidRPr="00E141E0">
        <w:rPr>
          <w:sz w:val="26"/>
          <w:szCs w:val="26"/>
        </w:rPr>
        <w:t xml:space="preserve">-000 </w:t>
      </w:r>
      <w:r w:rsidR="004D14DA" w:rsidRPr="00E141E0">
        <w:rPr>
          <w:sz w:val="26"/>
          <w:szCs w:val="26"/>
        </w:rPr>
        <w:t xml:space="preserve">on a proposed </w:t>
      </w:r>
      <w:r w:rsidR="00FD6160" w:rsidRPr="00E141E0">
        <w:rPr>
          <w:sz w:val="26"/>
          <w:szCs w:val="26"/>
        </w:rPr>
        <w:t xml:space="preserve">change to </w:t>
      </w:r>
      <w:r w:rsidR="004D14DA" w:rsidRPr="00E141E0">
        <w:rPr>
          <w:sz w:val="26"/>
          <w:szCs w:val="26"/>
        </w:rPr>
        <w:t>collection</w:t>
      </w:r>
      <w:r w:rsidR="00271885">
        <w:rPr>
          <w:sz w:val="26"/>
          <w:szCs w:val="26"/>
        </w:rPr>
        <w:t>s</w:t>
      </w:r>
      <w:r w:rsidR="004D14DA" w:rsidRPr="00E141E0">
        <w:rPr>
          <w:sz w:val="26"/>
          <w:szCs w:val="26"/>
        </w:rPr>
        <w:t xml:space="preserve"> of information </w:t>
      </w:r>
      <w:r w:rsidR="00271885">
        <w:rPr>
          <w:sz w:val="26"/>
          <w:szCs w:val="26"/>
        </w:rPr>
        <w:t xml:space="preserve">(FERC-725P and FERC-725P1) </w:t>
      </w:r>
      <w:r w:rsidR="004D14DA" w:rsidRPr="00E141E0">
        <w:rPr>
          <w:sz w:val="26"/>
          <w:szCs w:val="26"/>
        </w:rPr>
        <w:t xml:space="preserve">that the Commission is developing for submission to the Office of Management and Budget (OMB) pursuant to the Paperwork Reduction Act of 1995.  Comments are invited on: </w:t>
      </w:r>
      <w:r w:rsidR="00CD6513" w:rsidRPr="00E141E0">
        <w:rPr>
          <w:sz w:val="26"/>
          <w:szCs w:val="26"/>
        </w:rPr>
        <w:t xml:space="preserve"> </w:t>
      </w:r>
      <w:r w:rsidR="004D14DA" w:rsidRPr="00E141E0">
        <w:rPr>
          <w:sz w:val="26"/>
          <w:szCs w:val="26"/>
        </w:rPr>
        <w:t>(a) whether the proposed collection of information is necessary for the proper performance of the functions of the agency, including whether the information shall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respondents, including through the use of automated collection techniques or other forms of information technology.</w:t>
      </w:r>
    </w:p>
    <w:p w14:paraId="5887BCA2" w14:textId="49954721" w:rsidR="00CB5FEA" w:rsidRPr="00E141E0" w:rsidRDefault="00CB5FEA">
      <w:pPr>
        <w:widowControl/>
        <w:spacing w:line="480" w:lineRule="auto"/>
        <w:rPr>
          <w:b/>
          <w:bCs/>
          <w:sz w:val="26"/>
          <w:szCs w:val="26"/>
        </w:rPr>
      </w:pPr>
      <w:r w:rsidRPr="00E141E0">
        <w:rPr>
          <w:b/>
          <w:bCs/>
          <w:sz w:val="26"/>
          <w:szCs w:val="26"/>
        </w:rPr>
        <w:t>DATES:</w:t>
      </w:r>
      <w:r w:rsidRPr="00E141E0">
        <w:rPr>
          <w:sz w:val="26"/>
          <w:szCs w:val="26"/>
        </w:rPr>
        <w:t xml:space="preserve">  </w:t>
      </w:r>
      <w:r w:rsidR="008A1555" w:rsidRPr="00E141E0">
        <w:rPr>
          <w:sz w:val="26"/>
          <w:szCs w:val="26"/>
        </w:rPr>
        <w:t xml:space="preserve">Comments </w:t>
      </w:r>
      <w:r w:rsidR="004D14DA" w:rsidRPr="00E141E0">
        <w:rPr>
          <w:sz w:val="26"/>
          <w:szCs w:val="26"/>
        </w:rPr>
        <w:t xml:space="preserve">regarding this proposed information collection must be received on or before </w:t>
      </w:r>
      <w:r w:rsidR="00FF195D" w:rsidRPr="00E141E0">
        <w:rPr>
          <w:sz w:val="26"/>
          <w:szCs w:val="26"/>
        </w:rPr>
        <w:t>[</w:t>
      </w:r>
      <w:r w:rsidR="005467A5" w:rsidRPr="00E141E0">
        <w:rPr>
          <w:b/>
          <w:sz w:val="26"/>
          <w:szCs w:val="26"/>
        </w:rPr>
        <w:t>INSERT DATE 60 DAYS AFTER DATE OF PUBLICATION OF THIS NOTICE IN THE FEDERAL REGISTER</w:t>
      </w:r>
      <w:r w:rsidR="008A1555" w:rsidRPr="00E141E0">
        <w:rPr>
          <w:sz w:val="26"/>
          <w:szCs w:val="26"/>
        </w:rPr>
        <w:t>].</w:t>
      </w:r>
    </w:p>
    <w:p w14:paraId="5887BCA3" w14:textId="77777777" w:rsidR="00112239" w:rsidRPr="00E141E0" w:rsidRDefault="00CB5FEA" w:rsidP="00112239">
      <w:pPr>
        <w:spacing w:line="480" w:lineRule="auto"/>
        <w:rPr>
          <w:sz w:val="26"/>
          <w:szCs w:val="26"/>
        </w:rPr>
      </w:pPr>
      <w:r w:rsidRPr="00E141E0">
        <w:rPr>
          <w:b/>
          <w:bCs/>
          <w:sz w:val="26"/>
          <w:szCs w:val="26"/>
        </w:rPr>
        <w:lastRenderedPageBreak/>
        <w:t>ADDRESSES:</w:t>
      </w:r>
      <w:r w:rsidRPr="00E141E0">
        <w:rPr>
          <w:sz w:val="26"/>
          <w:szCs w:val="26"/>
        </w:rPr>
        <w:t xml:space="preserve">  </w:t>
      </w:r>
      <w:r w:rsidR="00112239" w:rsidRPr="00E141E0">
        <w:rPr>
          <w:sz w:val="26"/>
          <w:szCs w:val="26"/>
        </w:rPr>
        <w:t xml:space="preserve">Comments, identified by docket number, may be filed in the following ways: </w:t>
      </w:r>
    </w:p>
    <w:p w14:paraId="5887BCA4" w14:textId="77777777" w:rsidR="00112239" w:rsidRPr="00E141E0" w:rsidRDefault="00112239" w:rsidP="00112239">
      <w:pPr>
        <w:numPr>
          <w:ilvl w:val="0"/>
          <w:numId w:val="2"/>
        </w:numPr>
        <w:spacing w:line="480" w:lineRule="auto"/>
        <w:rPr>
          <w:sz w:val="26"/>
          <w:szCs w:val="26"/>
        </w:rPr>
      </w:pPr>
      <w:r w:rsidRPr="00E141E0">
        <w:rPr>
          <w:sz w:val="26"/>
          <w:szCs w:val="26"/>
        </w:rPr>
        <w:t xml:space="preserve">Electronic Filing through </w:t>
      </w:r>
      <w:hyperlink r:id="rId13" w:history="1">
        <w:r w:rsidRPr="00E141E0">
          <w:rPr>
            <w:rStyle w:val="Hyperlink"/>
            <w:sz w:val="26"/>
            <w:szCs w:val="26"/>
          </w:rPr>
          <w:t>http://www.ferc.gov</w:t>
        </w:r>
      </w:hyperlink>
      <w:r w:rsidRPr="00E141E0">
        <w:rPr>
          <w:sz w:val="26"/>
          <w:szCs w:val="26"/>
        </w:rPr>
        <w:t>.  Documents created electronically using word processing software should be filed in native applications or print-to-PDF format and not in a scanned format.</w:t>
      </w:r>
    </w:p>
    <w:p w14:paraId="5887BCA5" w14:textId="53618A20" w:rsidR="00112239" w:rsidRPr="00E141E0" w:rsidRDefault="00112239" w:rsidP="00112239">
      <w:pPr>
        <w:numPr>
          <w:ilvl w:val="0"/>
          <w:numId w:val="2"/>
        </w:numPr>
        <w:spacing w:line="480" w:lineRule="auto"/>
        <w:rPr>
          <w:sz w:val="26"/>
          <w:szCs w:val="26"/>
        </w:rPr>
      </w:pPr>
      <w:r w:rsidRPr="00E141E0">
        <w:rPr>
          <w:sz w:val="26"/>
          <w:szCs w:val="26"/>
        </w:rPr>
        <w:t xml:space="preserve">Mail/Hand Delivery:  Those unable to file electronically may mail or hand-deliver </w:t>
      </w:r>
      <w:r w:rsidR="007B17F0" w:rsidRPr="00E141E0">
        <w:rPr>
          <w:sz w:val="26"/>
          <w:szCs w:val="26"/>
        </w:rPr>
        <w:t xml:space="preserve">an original of their </w:t>
      </w:r>
      <w:r w:rsidRPr="00E141E0">
        <w:rPr>
          <w:sz w:val="26"/>
          <w:szCs w:val="26"/>
        </w:rPr>
        <w:t xml:space="preserve">comments to: Federal Energy Regulatory Commission, Secretary of the Commission, 888 First </w:t>
      </w:r>
      <w:r w:rsidR="00861289" w:rsidRPr="00E141E0">
        <w:rPr>
          <w:sz w:val="26"/>
          <w:szCs w:val="26"/>
        </w:rPr>
        <w:t>Street N</w:t>
      </w:r>
      <w:r w:rsidRPr="00E141E0">
        <w:rPr>
          <w:sz w:val="26"/>
          <w:szCs w:val="26"/>
        </w:rPr>
        <w:t>E, Washington, DC 20426.</w:t>
      </w:r>
    </w:p>
    <w:p w14:paraId="5887BCA6" w14:textId="1D45B5CA" w:rsidR="00CB5FEA" w:rsidRPr="00E141E0" w:rsidRDefault="00CB5FEA" w:rsidP="008A155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sz w:val="26"/>
          <w:szCs w:val="26"/>
        </w:rPr>
      </w:pPr>
      <w:r w:rsidRPr="00E141E0">
        <w:rPr>
          <w:b/>
          <w:bCs/>
          <w:sz w:val="26"/>
          <w:szCs w:val="26"/>
        </w:rPr>
        <w:t xml:space="preserve">FOR FURTHER INFORMATION: </w:t>
      </w:r>
      <w:r w:rsidRPr="00E141E0">
        <w:rPr>
          <w:sz w:val="26"/>
          <w:szCs w:val="26"/>
        </w:rPr>
        <w:t xml:space="preserve"> </w:t>
      </w:r>
      <w:r w:rsidR="008A1555" w:rsidRPr="00E141E0">
        <w:rPr>
          <w:bCs/>
          <w:sz w:val="26"/>
          <w:szCs w:val="26"/>
        </w:rPr>
        <w:t xml:space="preserve">Ellen Brown may be reached by e-mail at </w:t>
      </w:r>
      <w:r w:rsidR="008A1555" w:rsidRPr="00E141E0">
        <w:rPr>
          <w:bCs/>
          <w:sz w:val="26"/>
          <w:szCs w:val="26"/>
          <w:u w:val="single"/>
        </w:rPr>
        <w:t>DataClearance@FERC.gov</w:t>
      </w:r>
      <w:r w:rsidR="008A1555" w:rsidRPr="00E141E0">
        <w:rPr>
          <w:bCs/>
          <w:sz w:val="26"/>
          <w:szCs w:val="26"/>
        </w:rPr>
        <w:t>, telephone at (202) 502-8663, and fax at (202) 273-0873.</w:t>
      </w:r>
    </w:p>
    <w:p w14:paraId="26334579" w14:textId="33073DCF" w:rsidR="00953329" w:rsidRPr="00E141E0" w:rsidRDefault="00CB5FEA" w:rsidP="00953329">
      <w:pPr>
        <w:spacing w:line="480" w:lineRule="auto"/>
        <w:rPr>
          <w:sz w:val="26"/>
          <w:szCs w:val="26"/>
        </w:rPr>
      </w:pPr>
      <w:r w:rsidRPr="00E141E0">
        <w:rPr>
          <w:b/>
          <w:bCs/>
          <w:sz w:val="26"/>
          <w:szCs w:val="26"/>
        </w:rPr>
        <w:t>SUPPLEMENTARY INFORMATION:</w:t>
      </w:r>
      <w:r w:rsidR="00953329" w:rsidRPr="00E141E0">
        <w:rPr>
          <w:sz w:val="26"/>
          <w:szCs w:val="26"/>
        </w:rPr>
        <w:t xml:space="preserve"> </w:t>
      </w:r>
      <w:r w:rsidR="0084609A">
        <w:rPr>
          <w:sz w:val="26"/>
          <w:szCs w:val="26"/>
        </w:rPr>
        <w:t xml:space="preserve"> </w:t>
      </w:r>
      <w:r w:rsidR="00953329" w:rsidRPr="00E141E0">
        <w:rPr>
          <w:sz w:val="26"/>
          <w:szCs w:val="26"/>
        </w:rPr>
        <w:t xml:space="preserve">The Commission will submit </w:t>
      </w:r>
      <w:r w:rsidR="00271885">
        <w:rPr>
          <w:sz w:val="26"/>
          <w:szCs w:val="26"/>
        </w:rPr>
        <w:t xml:space="preserve">the reporting and recordkeeping requirements of </w:t>
      </w:r>
      <w:r w:rsidR="00953329" w:rsidRPr="00E141E0">
        <w:rPr>
          <w:sz w:val="26"/>
          <w:szCs w:val="26"/>
        </w:rPr>
        <w:t>Reliability Standard PRC-</w:t>
      </w:r>
      <w:r w:rsidR="006D5998">
        <w:rPr>
          <w:sz w:val="26"/>
          <w:szCs w:val="26"/>
        </w:rPr>
        <w:t>005-6</w:t>
      </w:r>
      <w:r w:rsidR="00953329" w:rsidRPr="00E141E0">
        <w:rPr>
          <w:sz w:val="26"/>
          <w:szCs w:val="26"/>
        </w:rPr>
        <w:t xml:space="preserve"> to OMB for review</w:t>
      </w:r>
      <w:r w:rsidR="006D5998">
        <w:rPr>
          <w:sz w:val="26"/>
          <w:szCs w:val="26"/>
        </w:rPr>
        <w:t xml:space="preserve">.  </w:t>
      </w:r>
      <w:r w:rsidR="00076A90">
        <w:rPr>
          <w:sz w:val="26"/>
          <w:szCs w:val="26"/>
        </w:rPr>
        <w:t>Reliability S</w:t>
      </w:r>
      <w:r w:rsidR="006D5998">
        <w:rPr>
          <w:sz w:val="26"/>
          <w:szCs w:val="26"/>
        </w:rPr>
        <w:t xml:space="preserve">tandard </w:t>
      </w:r>
      <w:r w:rsidR="00462805">
        <w:rPr>
          <w:sz w:val="26"/>
          <w:szCs w:val="26"/>
        </w:rPr>
        <w:t xml:space="preserve">PRC-005-6 </w:t>
      </w:r>
      <w:r w:rsidR="001472A3">
        <w:rPr>
          <w:sz w:val="26"/>
          <w:szCs w:val="26"/>
        </w:rPr>
        <w:t xml:space="preserve">replaces or supplements </w:t>
      </w:r>
      <w:r w:rsidR="006D5998">
        <w:rPr>
          <w:sz w:val="26"/>
          <w:szCs w:val="26"/>
        </w:rPr>
        <w:t xml:space="preserve">requirements </w:t>
      </w:r>
      <w:r w:rsidR="00462805">
        <w:rPr>
          <w:sz w:val="26"/>
          <w:szCs w:val="26"/>
        </w:rPr>
        <w:t xml:space="preserve">from previous versions of the </w:t>
      </w:r>
      <w:r w:rsidR="001472A3">
        <w:rPr>
          <w:sz w:val="26"/>
          <w:szCs w:val="26"/>
        </w:rPr>
        <w:t>PRC-005 Reliability S</w:t>
      </w:r>
      <w:r w:rsidR="00462805">
        <w:rPr>
          <w:sz w:val="26"/>
          <w:szCs w:val="26"/>
        </w:rPr>
        <w:t>tandard</w:t>
      </w:r>
      <w:r w:rsidR="001472A3">
        <w:rPr>
          <w:sz w:val="26"/>
          <w:szCs w:val="26"/>
        </w:rPr>
        <w:t>,</w:t>
      </w:r>
      <w:r w:rsidR="00462805">
        <w:rPr>
          <w:sz w:val="26"/>
          <w:szCs w:val="26"/>
        </w:rPr>
        <w:t xml:space="preserve"> which are </w:t>
      </w:r>
      <w:r w:rsidR="006D5998">
        <w:rPr>
          <w:sz w:val="26"/>
          <w:szCs w:val="26"/>
        </w:rPr>
        <w:t xml:space="preserve">approved </w:t>
      </w:r>
      <w:r w:rsidR="00953329" w:rsidRPr="00E141E0">
        <w:rPr>
          <w:sz w:val="26"/>
          <w:szCs w:val="26"/>
        </w:rPr>
        <w:t>under FERC-</w:t>
      </w:r>
      <w:r w:rsidR="006D5998" w:rsidRPr="006563C5">
        <w:rPr>
          <w:sz w:val="26"/>
          <w:szCs w:val="26"/>
        </w:rPr>
        <w:t>725</w:t>
      </w:r>
      <w:r w:rsidR="006D5998">
        <w:rPr>
          <w:sz w:val="26"/>
          <w:szCs w:val="26"/>
        </w:rPr>
        <w:t>P</w:t>
      </w:r>
      <w:r w:rsidR="006D5998" w:rsidRPr="006563C5">
        <w:rPr>
          <w:sz w:val="26"/>
          <w:szCs w:val="26"/>
        </w:rPr>
        <w:t xml:space="preserve"> </w:t>
      </w:r>
      <w:r w:rsidR="006563C5" w:rsidRPr="006563C5">
        <w:rPr>
          <w:sz w:val="26"/>
          <w:szCs w:val="26"/>
        </w:rPr>
        <w:t>(</w:t>
      </w:r>
      <w:r w:rsidR="00462805" w:rsidRPr="00462805">
        <w:rPr>
          <w:sz w:val="26"/>
          <w:szCs w:val="26"/>
        </w:rPr>
        <w:t>Mandatory Reliability Standards: Reliability Standard PRC-005-3</w:t>
      </w:r>
      <w:r w:rsidR="006563C5" w:rsidRPr="006563C5">
        <w:rPr>
          <w:sz w:val="26"/>
          <w:szCs w:val="26"/>
        </w:rPr>
        <w:t>, OMB Control No. 1902-</w:t>
      </w:r>
      <w:r w:rsidR="006D5998" w:rsidRPr="006563C5">
        <w:rPr>
          <w:sz w:val="26"/>
          <w:szCs w:val="26"/>
        </w:rPr>
        <w:t>02</w:t>
      </w:r>
      <w:r w:rsidR="006D5998">
        <w:rPr>
          <w:sz w:val="26"/>
          <w:szCs w:val="26"/>
        </w:rPr>
        <w:t>69</w:t>
      </w:r>
      <w:r w:rsidR="006563C5" w:rsidRPr="00E141E0">
        <w:rPr>
          <w:sz w:val="26"/>
          <w:szCs w:val="26"/>
        </w:rPr>
        <w:t>)</w:t>
      </w:r>
      <w:r w:rsidR="006D5998">
        <w:rPr>
          <w:sz w:val="26"/>
          <w:szCs w:val="26"/>
        </w:rPr>
        <w:t xml:space="preserve"> and FERC-725P1 (</w:t>
      </w:r>
      <w:r w:rsidR="00462805" w:rsidRPr="00462805">
        <w:rPr>
          <w:sz w:val="26"/>
          <w:szCs w:val="26"/>
        </w:rPr>
        <w:t>Mandatory Reliability Standards, PRC-005-4 Reliability Standard</w:t>
      </w:r>
      <w:r w:rsidR="006D5998">
        <w:rPr>
          <w:sz w:val="26"/>
          <w:szCs w:val="26"/>
        </w:rPr>
        <w:t>, OMB Control No. 1902-0280)</w:t>
      </w:r>
      <w:r w:rsidR="00953329" w:rsidRPr="00E141E0">
        <w:rPr>
          <w:sz w:val="26"/>
          <w:szCs w:val="26"/>
        </w:rPr>
        <w:t>.</w:t>
      </w:r>
      <w:r w:rsidR="00462805">
        <w:rPr>
          <w:sz w:val="26"/>
          <w:szCs w:val="26"/>
        </w:rPr>
        <w:t xml:space="preserve">  The requirements and associated burden of Reliability Standard PRC-005-6 will be included in FERC-725P1.</w:t>
      </w:r>
      <w:r w:rsidR="00953329" w:rsidRPr="001C2FFE">
        <w:rPr>
          <w:rStyle w:val="FootnoteReference"/>
          <w:sz w:val="26"/>
          <w:szCs w:val="26"/>
          <w:vertAlign w:val="superscript"/>
        </w:rPr>
        <w:footnoteReference w:id="1"/>
      </w:r>
    </w:p>
    <w:p w14:paraId="5887BD1F" w14:textId="02D28DE0" w:rsidR="00FE6081" w:rsidRPr="00E141E0" w:rsidRDefault="00953329" w:rsidP="00953329">
      <w:pPr>
        <w:widowControl/>
        <w:spacing w:line="480" w:lineRule="auto"/>
        <w:rPr>
          <w:sz w:val="26"/>
          <w:szCs w:val="26"/>
        </w:rPr>
      </w:pPr>
      <w:r w:rsidRPr="00E141E0">
        <w:rPr>
          <w:i/>
          <w:sz w:val="26"/>
          <w:szCs w:val="26"/>
        </w:rPr>
        <w:lastRenderedPageBreak/>
        <w:t>Type of Request:</w:t>
      </w:r>
      <w:r w:rsidRPr="00E141E0">
        <w:rPr>
          <w:sz w:val="26"/>
          <w:szCs w:val="26"/>
        </w:rPr>
        <w:t xml:space="preserve"> Three-year extension of the FERC-</w:t>
      </w:r>
      <w:r w:rsidR="00462805" w:rsidRPr="00E141E0">
        <w:rPr>
          <w:sz w:val="26"/>
          <w:szCs w:val="26"/>
        </w:rPr>
        <w:t>725</w:t>
      </w:r>
      <w:r w:rsidR="00462805">
        <w:rPr>
          <w:sz w:val="26"/>
          <w:szCs w:val="26"/>
        </w:rPr>
        <w:t>P1</w:t>
      </w:r>
      <w:r w:rsidR="00462805" w:rsidRPr="00E141E0">
        <w:rPr>
          <w:sz w:val="26"/>
          <w:szCs w:val="26"/>
        </w:rPr>
        <w:t xml:space="preserve"> </w:t>
      </w:r>
      <w:r w:rsidRPr="00E141E0">
        <w:rPr>
          <w:sz w:val="26"/>
          <w:szCs w:val="26"/>
        </w:rPr>
        <w:t>information collection requirements with the stated changes to the current reporting and record retention requirements</w:t>
      </w:r>
      <w:r w:rsidR="00F643A8">
        <w:rPr>
          <w:sz w:val="26"/>
          <w:szCs w:val="26"/>
        </w:rPr>
        <w:t>, and reduction to the requirements of FERC-725P</w:t>
      </w:r>
      <w:r w:rsidRPr="00E141E0">
        <w:rPr>
          <w:sz w:val="26"/>
          <w:szCs w:val="26"/>
        </w:rPr>
        <w:t>.</w:t>
      </w:r>
    </w:p>
    <w:p w14:paraId="234E41C0" w14:textId="2722B12F" w:rsidR="001D635F" w:rsidRPr="001C2FFE" w:rsidRDefault="001D635F" w:rsidP="001D635F">
      <w:pPr>
        <w:spacing w:line="480" w:lineRule="auto"/>
        <w:rPr>
          <w:sz w:val="26"/>
          <w:szCs w:val="26"/>
        </w:rPr>
      </w:pPr>
      <w:r w:rsidRPr="00E141E0">
        <w:rPr>
          <w:i/>
          <w:sz w:val="26"/>
          <w:szCs w:val="26"/>
        </w:rPr>
        <w:t xml:space="preserve">Abstract: </w:t>
      </w:r>
      <w:r w:rsidRPr="00E141E0">
        <w:rPr>
          <w:sz w:val="26"/>
          <w:szCs w:val="26"/>
        </w:rPr>
        <w:t>The Commission requires the information collected by the FERC-</w:t>
      </w:r>
      <w:r w:rsidR="00462805" w:rsidRPr="00E141E0">
        <w:rPr>
          <w:sz w:val="26"/>
          <w:szCs w:val="26"/>
        </w:rPr>
        <w:t>725</w:t>
      </w:r>
      <w:r w:rsidR="00462805">
        <w:rPr>
          <w:sz w:val="26"/>
          <w:szCs w:val="26"/>
        </w:rPr>
        <w:t xml:space="preserve">P1 </w:t>
      </w:r>
      <w:r w:rsidRPr="00E141E0">
        <w:rPr>
          <w:sz w:val="26"/>
          <w:szCs w:val="26"/>
        </w:rPr>
        <w:t>to implement the statutory provisions of section 215 of the Federal Power Act (FPA)</w:t>
      </w:r>
      <w:r w:rsidR="008C06EA">
        <w:rPr>
          <w:sz w:val="26"/>
          <w:szCs w:val="26"/>
        </w:rPr>
        <w:t>.</w:t>
      </w:r>
      <w:r w:rsidR="008C06EA" w:rsidRPr="001C2FFE">
        <w:rPr>
          <w:rStyle w:val="StyleFootnoteReference"/>
          <w:b w:val="0"/>
        </w:rPr>
        <w:footnoteReference w:id="2"/>
      </w:r>
      <w:r w:rsidRPr="00E141E0">
        <w:rPr>
          <w:sz w:val="26"/>
          <w:szCs w:val="26"/>
        </w:rPr>
        <w:t xml:space="preserve">  On August 8, 2005, </w:t>
      </w:r>
      <w:r w:rsidR="006E258B">
        <w:rPr>
          <w:sz w:val="26"/>
          <w:szCs w:val="26"/>
        </w:rPr>
        <w:t xml:space="preserve">Congress enacted into law </w:t>
      </w:r>
      <w:r w:rsidRPr="00E141E0">
        <w:rPr>
          <w:sz w:val="26"/>
          <w:szCs w:val="26"/>
        </w:rPr>
        <w:t>the Electricity Modernization Act of 2005, which is Title XII, Subtitle A, of the Energy Policy Act of 2005 (EPAct 2005).</w:t>
      </w:r>
      <w:r w:rsidRPr="001C2FFE">
        <w:rPr>
          <w:sz w:val="26"/>
          <w:szCs w:val="26"/>
          <w:vertAlign w:val="superscript"/>
        </w:rPr>
        <w:footnoteReference w:id="3"/>
      </w:r>
      <w:r w:rsidRPr="00E141E0">
        <w:rPr>
          <w:sz w:val="26"/>
          <w:szCs w:val="26"/>
        </w:rPr>
        <w:t xml:space="preserve">  EPAct 2005 added a new section 215 to the FPA, which required a Commission-certified Electric Reliability Organization (ERO) to develop mandatory and enforceable Reliability Standards, which are subject to Commission review and approval.  Once approved, the Reliability Standards may be enforced by the ERO subject to Commission oversight, or the Commission can independently enforce Reliability Standards</w:t>
      </w:r>
      <w:r w:rsidRPr="001C2FFE">
        <w:rPr>
          <w:sz w:val="26"/>
          <w:szCs w:val="26"/>
        </w:rPr>
        <w:t>.</w:t>
      </w:r>
      <w:r w:rsidRPr="001C2FFE">
        <w:rPr>
          <w:sz w:val="26"/>
          <w:szCs w:val="26"/>
          <w:vertAlign w:val="superscript"/>
        </w:rPr>
        <w:footnoteReference w:id="4"/>
      </w:r>
    </w:p>
    <w:p w14:paraId="0C3D255D" w14:textId="4E44B42C" w:rsidR="001D635F" w:rsidRPr="00E141E0" w:rsidRDefault="001D635F" w:rsidP="009A286B">
      <w:pPr>
        <w:spacing w:line="480" w:lineRule="auto"/>
        <w:ind w:firstLine="720"/>
        <w:rPr>
          <w:sz w:val="26"/>
          <w:szCs w:val="26"/>
        </w:rPr>
      </w:pPr>
      <w:r w:rsidRPr="00E141E0">
        <w:rPr>
          <w:sz w:val="26"/>
          <w:szCs w:val="26"/>
        </w:rPr>
        <w:t>On February 3, 2006, the Commission issued Order No. 672, implementing section 215 of the FPA.</w:t>
      </w:r>
      <w:r w:rsidRPr="001C2FFE">
        <w:rPr>
          <w:sz w:val="26"/>
          <w:szCs w:val="26"/>
          <w:vertAlign w:val="superscript"/>
        </w:rPr>
        <w:footnoteReference w:id="5"/>
      </w:r>
      <w:r w:rsidRPr="00E141E0">
        <w:rPr>
          <w:sz w:val="26"/>
          <w:szCs w:val="26"/>
        </w:rPr>
        <w:t xml:space="preserve">  Pursuant to Order No. 672, the Commission certified one organization, North American Electric Reliability Corporation (NERC), as the ERO.</w:t>
      </w:r>
      <w:r w:rsidR="006E258B" w:rsidRPr="001C2FFE">
        <w:rPr>
          <w:rStyle w:val="FootnoteReference"/>
          <w:sz w:val="26"/>
          <w:szCs w:val="26"/>
          <w:vertAlign w:val="superscript"/>
        </w:rPr>
        <w:footnoteReference w:id="6"/>
      </w:r>
      <w:r w:rsidRPr="001C2FFE">
        <w:rPr>
          <w:sz w:val="26"/>
          <w:szCs w:val="26"/>
        </w:rPr>
        <w:t xml:space="preserve"> </w:t>
      </w:r>
      <w:r w:rsidRPr="00E141E0">
        <w:rPr>
          <w:sz w:val="26"/>
          <w:szCs w:val="26"/>
        </w:rPr>
        <w:t xml:space="preserve"> </w:t>
      </w:r>
      <w:r w:rsidRPr="00E141E0">
        <w:rPr>
          <w:sz w:val="26"/>
          <w:szCs w:val="26"/>
        </w:rPr>
        <w:lastRenderedPageBreak/>
        <w:t>The Reliability Standards developed by the ERO and approved by the Commission apply to users, owners and operators of the Bulk-Power System as set forth in each Reliability Standard.</w:t>
      </w:r>
    </w:p>
    <w:p w14:paraId="7D273E73" w14:textId="66D78A76" w:rsidR="00072438" w:rsidRPr="00072438" w:rsidRDefault="00072438" w:rsidP="00072438">
      <w:pPr>
        <w:spacing w:line="480" w:lineRule="auto"/>
        <w:ind w:firstLine="720"/>
        <w:rPr>
          <w:sz w:val="26"/>
          <w:szCs w:val="26"/>
        </w:rPr>
      </w:pPr>
      <w:r w:rsidRPr="00072438">
        <w:t xml:space="preserve"> </w:t>
      </w:r>
      <w:r w:rsidRPr="00072438">
        <w:rPr>
          <w:sz w:val="26"/>
          <w:szCs w:val="26"/>
        </w:rPr>
        <w:t>On November 13, 2015, the North American Electric Reliability Corporation (NERC) filed a p</w:t>
      </w:r>
      <w:r w:rsidR="003F7920">
        <w:rPr>
          <w:sz w:val="26"/>
          <w:szCs w:val="26"/>
        </w:rPr>
        <w:t>etition for Commission approval</w:t>
      </w:r>
      <w:r w:rsidRPr="00072438">
        <w:rPr>
          <w:sz w:val="26"/>
          <w:szCs w:val="26"/>
        </w:rPr>
        <w:t xml:space="preserve"> of proposed Reliability Standard PRC-005-6 (Protection System, Automatic Reclosing, and Sudden Pressure Relaying Maintenance).  NERC also request</w:t>
      </w:r>
      <w:r>
        <w:rPr>
          <w:sz w:val="26"/>
          <w:szCs w:val="26"/>
        </w:rPr>
        <w:t>ed</w:t>
      </w:r>
      <w:r w:rsidRPr="00072438">
        <w:rPr>
          <w:sz w:val="26"/>
          <w:szCs w:val="26"/>
        </w:rPr>
        <w:t xml:space="preserve"> approval of the proposed implementation plan for PRC-005-6, </w:t>
      </w:r>
      <w:r>
        <w:rPr>
          <w:sz w:val="26"/>
          <w:szCs w:val="26"/>
        </w:rPr>
        <w:t>and</w:t>
      </w:r>
      <w:r w:rsidRPr="00072438">
        <w:rPr>
          <w:sz w:val="26"/>
          <w:szCs w:val="26"/>
        </w:rPr>
        <w:t xml:space="preserve"> the retirement of previous versions of Reliability Standard PRC-005. </w:t>
      </w:r>
    </w:p>
    <w:p w14:paraId="55C03329" w14:textId="1F9A41DB" w:rsidR="003F7920" w:rsidRDefault="00072438" w:rsidP="001D635F">
      <w:pPr>
        <w:spacing w:line="480" w:lineRule="auto"/>
        <w:rPr>
          <w:sz w:val="26"/>
          <w:szCs w:val="26"/>
        </w:rPr>
      </w:pPr>
      <w:r>
        <w:rPr>
          <w:sz w:val="26"/>
          <w:szCs w:val="26"/>
        </w:rPr>
        <w:t>NERC explained</w:t>
      </w:r>
      <w:r w:rsidRPr="00072438">
        <w:rPr>
          <w:sz w:val="26"/>
          <w:szCs w:val="26"/>
        </w:rPr>
        <w:t xml:space="preserve"> in its petition that Reliability Standard PRC-005-6 represents an improvement upon the most recently-approved version of the standard, PRC-005-4</w:t>
      </w:r>
      <w:r>
        <w:rPr>
          <w:sz w:val="26"/>
          <w:szCs w:val="26"/>
        </w:rPr>
        <w:t>.</w:t>
      </w:r>
      <w:r w:rsidR="0033182C" w:rsidRPr="00685103">
        <w:rPr>
          <w:rStyle w:val="FootnoteReference"/>
          <w:sz w:val="26"/>
          <w:szCs w:val="26"/>
          <w:vertAlign w:val="superscript"/>
        </w:rPr>
        <w:footnoteReference w:id="7"/>
      </w:r>
      <w:r w:rsidR="00F675E8" w:rsidRPr="00685103">
        <w:rPr>
          <w:sz w:val="26"/>
          <w:szCs w:val="26"/>
          <w:vertAlign w:val="superscript"/>
        </w:rPr>
        <w:t xml:space="preserve"> </w:t>
      </w:r>
      <w:r w:rsidR="00F675E8">
        <w:rPr>
          <w:sz w:val="26"/>
          <w:szCs w:val="26"/>
        </w:rPr>
        <w:t>FERC approved the proposed Reliability Standard PRC-005-6 on December 18, 2015.</w:t>
      </w:r>
      <w:r w:rsidR="00F675E8" w:rsidRPr="00685103">
        <w:rPr>
          <w:rStyle w:val="FootnoteReference"/>
          <w:sz w:val="26"/>
          <w:szCs w:val="26"/>
          <w:vertAlign w:val="superscript"/>
        </w:rPr>
        <w:footnoteReference w:id="8"/>
      </w:r>
    </w:p>
    <w:p w14:paraId="35EC7372" w14:textId="7F3906DD" w:rsidR="00CF5290" w:rsidRPr="00E141E0" w:rsidRDefault="001D635F" w:rsidP="001D635F">
      <w:pPr>
        <w:spacing w:line="480" w:lineRule="auto"/>
        <w:rPr>
          <w:sz w:val="26"/>
          <w:szCs w:val="26"/>
        </w:rPr>
      </w:pPr>
      <w:r w:rsidRPr="00E141E0">
        <w:rPr>
          <w:i/>
          <w:sz w:val="26"/>
          <w:szCs w:val="26"/>
        </w:rPr>
        <w:t>Type of Respondents:</w:t>
      </w:r>
      <w:r w:rsidRPr="00A51098">
        <w:rPr>
          <w:sz w:val="26"/>
          <w:szCs w:val="26"/>
        </w:rPr>
        <w:t xml:space="preserve"> </w:t>
      </w:r>
      <w:r w:rsidR="00A51098">
        <w:rPr>
          <w:sz w:val="26"/>
          <w:szCs w:val="26"/>
        </w:rPr>
        <w:t xml:space="preserve"> </w:t>
      </w:r>
      <w:r w:rsidR="00072438" w:rsidRPr="00072438">
        <w:rPr>
          <w:sz w:val="26"/>
          <w:szCs w:val="26"/>
        </w:rPr>
        <w:t>Transmission Owner</w:t>
      </w:r>
      <w:r w:rsidR="00072438">
        <w:rPr>
          <w:sz w:val="26"/>
          <w:szCs w:val="26"/>
        </w:rPr>
        <w:t>s</w:t>
      </w:r>
      <w:r w:rsidR="00F643A8">
        <w:rPr>
          <w:sz w:val="26"/>
          <w:szCs w:val="26"/>
        </w:rPr>
        <w:t xml:space="preserve"> (TO)</w:t>
      </w:r>
      <w:r w:rsidR="00072438">
        <w:rPr>
          <w:sz w:val="26"/>
          <w:szCs w:val="26"/>
        </w:rPr>
        <w:t xml:space="preserve">, </w:t>
      </w:r>
      <w:r w:rsidR="00072438" w:rsidRPr="00072438">
        <w:rPr>
          <w:sz w:val="26"/>
          <w:szCs w:val="26"/>
        </w:rPr>
        <w:t>Generator Owner</w:t>
      </w:r>
      <w:r w:rsidR="00072438">
        <w:rPr>
          <w:sz w:val="26"/>
          <w:szCs w:val="26"/>
        </w:rPr>
        <w:t>s</w:t>
      </w:r>
      <w:r w:rsidR="00F643A8">
        <w:rPr>
          <w:sz w:val="26"/>
          <w:szCs w:val="26"/>
        </w:rPr>
        <w:t xml:space="preserve"> (GO)</w:t>
      </w:r>
      <w:r w:rsidR="00072438">
        <w:rPr>
          <w:sz w:val="26"/>
          <w:szCs w:val="26"/>
        </w:rPr>
        <w:t xml:space="preserve">, and </w:t>
      </w:r>
      <w:r w:rsidR="00072438" w:rsidRPr="00072438">
        <w:rPr>
          <w:sz w:val="26"/>
          <w:szCs w:val="26"/>
        </w:rPr>
        <w:t>Distribution Provider</w:t>
      </w:r>
      <w:r w:rsidR="00072438">
        <w:rPr>
          <w:sz w:val="26"/>
          <w:szCs w:val="26"/>
        </w:rPr>
        <w:t>s</w:t>
      </w:r>
    </w:p>
    <w:p w14:paraId="06D1EF39" w14:textId="7BDD440C" w:rsidR="00603C93" w:rsidRDefault="001D635F" w:rsidP="001D635F">
      <w:pPr>
        <w:pStyle w:val="FERCparanumber"/>
        <w:numPr>
          <w:ilvl w:val="0"/>
          <w:numId w:val="0"/>
        </w:numPr>
        <w:rPr>
          <w:szCs w:val="26"/>
        </w:rPr>
      </w:pPr>
      <w:r w:rsidRPr="00E141E0">
        <w:rPr>
          <w:i/>
          <w:szCs w:val="26"/>
        </w:rPr>
        <w:t>Estimate of Annual Burden</w:t>
      </w:r>
      <w:r w:rsidR="001C2FFE" w:rsidRPr="001C2FFE">
        <w:rPr>
          <w:szCs w:val="26"/>
        </w:rPr>
        <w:t>.</w:t>
      </w:r>
      <w:r w:rsidRPr="001C2FFE">
        <w:rPr>
          <w:rStyle w:val="FootnoteReference"/>
          <w:szCs w:val="26"/>
          <w:vertAlign w:val="superscript"/>
        </w:rPr>
        <w:footnoteReference w:id="9"/>
      </w:r>
      <w:r w:rsidR="00F5556D" w:rsidRPr="00273BAC">
        <w:rPr>
          <w:szCs w:val="26"/>
        </w:rPr>
        <w:t xml:space="preserve"> </w:t>
      </w:r>
      <w:r w:rsidR="00A36F06">
        <w:rPr>
          <w:szCs w:val="26"/>
        </w:rPr>
        <w:t xml:space="preserve">Estimates for the </w:t>
      </w:r>
      <w:r w:rsidR="00603C93">
        <w:rPr>
          <w:szCs w:val="26"/>
        </w:rPr>
        <w:t xml:space="preserve">changes to </w:t>
      </w:r>
      <w:r w:rsidR="00A36F06">
        <w:rPr>
          <w:szCs w:val="26"/>
        </w:rPr>
        <w:t xml:space="preserve">burden and cost </w:t>
      </w:r>
      <w:r w:rsidR="00603C93">
        <w:rPr>
          <w:szCs w:val="26"/>
        </w:rPr>
        <w:t xml:space="preserve">due to </w:t>
      </w:r>
      <w:r w:rsidR="00A36F06">
        <w:rPr>
          <w:szCs w:val="26"/>
        </w:rPr>
        <w:t xml:space="preserve">Docket No. </w:t>
      </w:r>
      <w:r w:rsidR="006D5998">
        <w:rPr>
          <w:szCs w:val="26"/>
        </w:rPr>
        <w:t>RD16-2</w:t>
      </w:r>
      <w:r w:rsidR="0090565D">
        <w:rPr>
          <w:szCs w:val="26"/>
        </w:rPr>
        <w:t>-000</w:t>
      </w:r>
      <w:r w:rsidR="00A36F06">
        <w:rPr>
          <w:szCs w:val="26"/>
        </w:rPr>
        <w:t xml:space="preserve"> follow.</w:t>
      </w:r>
    </w:p>
    <w:p w14:paraId="446C110B" w14:textId="490F8F25" w:rsidR="00603C93" w:rsidRDefault="00603C93">
      <w:pPr>
        <w:widowControl/>
        <w:autoSpaceDE/>
        <w:autoSpaceDN/>
        <w:adjustRightInd/>
        <w:rPr>
          <w:sz w:val="26"/>
          <w:szCs w:val="26"/>
        </w:rPr>
      </w:pPr>
    </w:p>
    <w:tbl>
      <w:tblPr>
        <w:tblW w:w="0" w:type="auto"/>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375"/>
        <w:gridCol w:w="1331"/>
        <w:gridCol w:w="1215"/>
        <w:gridCol w:w="1109"/>
        <w:gridCol w:w="1302"/>
        <w:gridCol w:w="1297"/>
      </w:tblGrid>
      <w:tr w:rsidR="00CE6500" w:rsidRPr="0044561C" w14:paraId="35A6926A" w14:textId="77777777" w:rsidTr="003E04E8">
        <w:trPr>
          <w:trHeight w:val="350"/>
          <w:jc w:val="center"/>
        </w:trPr>
        <w:tc>
          <w:tcPr>
            <w:tcW w:w="0" w:type="auto"/>
            <w:gridSpan w:val="7"/>
            <w:tcBorders>
              <w:top w:val="single" w:sz="4" w:space="0" w:color="auto"/>
              <w:left w:val="single" w:sz="4" w:space="0" w:color="auto"/>
              <w:bottom w:val="single" w:sz="4" w:space="0" w:color="auto"/>
              <w:right w:val="single" w:sz="4" w:space="0" w:color="auto"/>
            </w:tcBorders>
            <w:noWrap/>
            <w:vAlign w:val="bottom"/>
          </w:tcPr>
          <w:p w14:paraId="65DEF695" w14:textId="2FCA3ADD" w:rsidR="00CE6500" w:rsidRPr="00783F93" w:rsidRDefault="003E04E8" w:rsidP="003E04E8">
            <w:pPr>
              <w:keepNext/>
              <w:jc w:val="center"/>
              <w:rPr>
                <w:b/>
                <w:sz w:val="20"/>
                <w:szCs w:val="20"/>
              </w:rPr>
            </w:pPr>
            <w:r w:rsidRPr="0044561C">
              <w:rPr>
                <w:b/>
                <w:sz w:val="20"/>
                <w:szCs w:val="20"/>
              </w:rPr>
              <w:t>CHANGES MADE IN RD16-2-000</w:t>
            </w:r>
          </w:p>
        </w:tc>
      </w:tr>
      <w:tr w:rsidR="005101B8" w:rsidRPr="0044561C" w14:paraId="367A4D26" w14:textId="77777777" w:rsidTr="00D6717A">
        <w:trPr>
          <w:trHeight w:val="1556"/>
          <w:jc w:val="center"/>
        </w:trPr>
        <w:tc>
          <w:tcPr>
            <w:tcW w:w="1764" w:type="dxa"/>
            <w:tcBorders>
              <w:top w:val="single" w:sz="4" w:space="0" w:color="auto"/>
              <w:left w:val="single" w:sz="4" w:space="0" w:color="auto"/>
              <w:bottom w:val="single" w:sz="4" w:space="0" w:color="auto"/>
              <w:right w:val="single" w:sz="4" w:space="0" w:color="auto"/>
            </w:tcBorders>
            <w:noWrap/>
            <w:vAlign w:val="bottom"/>
          </w:tcPr>
          <w:p w14:paraId="524BAFA5" w14:textId="7D48A580" w:rsidR="00CE6500" w:rsidRPr="0044561C" w:rsidRDefault="00CE6500" w:rsidP="00CE6500">
            <w:pPr>
              <w:jc w:val="center"/>
              <w:rPr>
                <w:b/>
                <w:sz w:val="20"/>
                <w:szCs w:val="20"/>
              </w:rPr>
            </w:pPr>
            <w:r w:rsidRPr="0044561C">
              <w:rPr>
                <w:sz w:val="20"/>
                <w:szCs w:val="20"/>
              </w:rPr>
              <w:br w:type="page"/>
            </w:r>
            <w:r w:rsidR="009D3693" w:rsidRPr="0044561C">
              <w:rPr>
                <w:b/>
                <w:sz w:val="20"/>
                <w:szCs w:val="20"/>
              </w:rPr>
              <w:t>Reliability Standard</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E1D31" w14:textId="2120B825" w:rsidR="00CE6500" w:rsidRPr="00783F93" w:rsidRDefault="00CE6500" w:rsidP="00CE6500">
            <w:pPr>
              <w:jc w:val="center"/>
              <w:rPr>
                <w:b/>
                <w:sz w:val="20"/>
                <w:szCs w:val="20"/>
              </w:rPr>
            </w:pPr>
            <w:r w:rsidRPr="0044561C">
              <w:rPr>
                <w:b/>
                <w:sz w:val="20"/>
                <w:szCs w:val="20"/>
              </w:rPr>
              <w:t>Number of Respondent</w:t>
            </w:r>
            <w:r w:rsidR="00EB49F9" w:rsidRPr="0044561C">
              <w:rPr>
                <w:b/>
                <w:sz w:val="20"/>
                <w:szCs w:val="20"/>
              </w:rPr>
              <w:t>s</w:t>
            </w:r>
          </w:p>
          <w:p w14:paraId="18D2A8E2" w14:textId="77777777" w:rsidR="00CE6500" w:rsidRPr="00CB0921" w:rsidRDefault="00CE6500" w:rsidP="00CE6500">
            <w:pPr>
              <w:jc w:val="center"/>
              <w:rPr>
                <w:b/>
                <w:sz w:val="20"/>
                <w:szCs w:val="20"/>
              </w:rPr>
            </w:pPr>
            <w:r w:rsidRPr="00CB0921">
              <w:rPr>
                <w:b/>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4A5B5E6" w14:textId="77777777" w:rsidR="00CE6500" w:rsidRPr="0044561C" w:rsidRDefault="00CE6500" w:rsidP="00CE6500">
            <w:pPr>
              <w:jc w:val="center"/>
              <w:rPr>
                <w:b/>
                <w:sz w:val="20"/>
                <w:szCs w:val="20"/>
              </w:rPr>
            </w:pPr>
            <w:r w:rsidRPr="0044561C">
              <w:rPr>
                <w:b/>
                <w:sz w:val="20"/>
                <w:szCs w:val="20"/>
              </w:rPr>
              <w:t>Annual Number of Responses per Respondent</w:t>
            </w:r>
          </w:p>
          <w:p w14:paraId="4440238D" w14:textId="77777777" w:rsidR="00CE6500" w:rsidRPr="0044561C" w:rsidRDefault="00CE6500" w:rsidP="00CE6500">
            <w:pPr>
              <w:jc w:val="center"/>
              <w:rPr>
                <w:b/>
                <w:sz w:val="20"/>
                <w:szCs w:val="20"/>
              </w:rPr>
            </w:pPr>
            <w:r w:rsidRPr="0044561C">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14:paraId="6BA0C0BF" w14:textId="77777777" w:rsidR="00CE6500" w:rsidRPr="0044561C" w:rsidRDefault="00CE6500" w:rsidP="00CE6500">
            <w:pPr>
              <w:jc w:val="center"/>
              <w:rPr>
                <w:b/>
                <w:sz w:val="20"/>
                <w:szCs w:val="20"/>
                <w:highlight w:val="yellow"/>
              </w:rPr>
            </w:pPr>
            <w:r w:rsidRPr="0044561C">
              <w:rPr>
                <w:b/>
                <w:sz w:val="20"/>
                <w:szCs w:val="20"/>
              </w:rPr>
              <w:t>Total Number of Responses (1)*(2)=(3)</w:t>
            </w:r>
          </w:p>
        </w:tc>
        <w:tc>
          <w:tcPr>
            <w:tcW w:w="0" w:type="auto"/>
            <w:tcBorders>
              <w:top w:val="single" w:sz="4" w:space="0" w:color="auto"/>
              <w:left w:val="single" w:sz="4" w:space="0" w:color="auto"/>
              <w:bottom w:val="single" w:sz="4" w:space="0" w:color="auto"/>
              <w:right w:val="single" w:sz="4" w:space="0" w:color="auto"/>
            </w:tcBorders>
            <w:vAlign w:val="bottom"/>
            <w:hideMark/>
          </w:tcPr>
          <w:p w14:paraId="110F4824" w14:textId="79A2DB35" w:rsidR="00CE6500" w:rsidRPr="0044561C" w:rsidRDefault="00CE6500" w:rsidP="00CE6500">
            <w:pPr>
              <w:jc w:val="center"/>
              <w:rPr>
                <w:b/>
                <w:sz w:val="20"/>
                <w:szCs w:val="20"/>
              </w:rPr>
            </w:pPr>
            <w:r w:rsidRPr="0044561C">
              <w:rPr>
                <w:b/>
                <w:sz w:val="20"/>
                <w:szCs w:val="20"/>
              </w:rPr>
              <w:t>Average Burden</w:t>
            </w:r>
            <w:r w:rsidR="00EB49F9" w:rsidRPr="0044561C">
              <w:rPr>
                <w:b/>
                <w:sz w:val="20"/>
                <w:szCs w:val="20"/>
              </w:rPr>
              <w:t xml:space="preserve"> and Cost</w:t>
            </w:r>
            <w:r w:rsidRPr="0044561C">
              <w:rPr>
                <w:b/>
                <w:sz w:val="20"/>
                <w:szCs w:val="20"/>
              </w:rPr>
              <w:t xml:space="preserve"> per Response</w:t>
            </w:r>
          </w:p>
          <w:p w14:paraId="124F3E02" w14:textId="77777777" w:rsidR="00CE6500" w:rsidRPr="0044561C" w:rsidRDefault="00CE6500" w:rsidP="00CE6500">
            <w:pPr>
              <w:jc w:val="center"/>
              <w:rPr>
                <w:b/>
                <w:sz w:val="20"/>
                <w:szCs w:val="20"/>
                <w:highlight w:val="yellow"/>
              </w:rPr>
            </w:pPr>
            <w:r w:rsidRPr="0044561C">
              <w:rPr>
                <w:b/>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050A9DA9" w14:textId="7D5838E5" w:rsidR="00CE6500" w:rsidRPr="0044561C" w:rsidRDefault="00CE6500" w:rsidP="00CE6500">
            <w:pPr>
              <w:ind w:right="71"/>
              <w:jc w:val="center"/>
              <w:rPr>
                <w:b/>
                <w:sz w:val="20"/>
                <w:szCs w:val="20"/>
              </w:rPr>
            </w:pPr>
            <w:r w:rsidRPr="0044561C">
              <w:rPr>
                <w:b/>
                <w:sz w:val="20"/>
                <w:szCs w:val="20"/>
              </w:rPr>
              <w:t xml:space="preserve">Total Annual Burden (Hours) </w:t>
            </w:r>
            <w:r w:rsidR="00EB49F9" w:rsidRPr="0044561C">
              <w:rPr>
                <w:b/>
                <w:sz w:val="20"/>
                <w:szCs w:val="20"/>
              </w:rPr>
              <w:t>and Cost</w:t>
            </w:r>
          </w:p>
          <w:p w14:paraId="034F0216" w14:textId="77777777" w:rsidR="00CE6500" w:rsidRPr="0044561C" w:rsidRDefault="00CE6500" w:rsidP="00CE6500">
            <w:pPr>
              <w:jc w:val="center"/>
              <w:rPr>
                <w:b/>
                <w:sz w:val="20"/>
                <w:szCs w:val="20"/>
                <w:highlight w:val="yellow"/>
              </w:rPr>
            </w:pPr>
            <w:r w:rsidRPr="0044561C">
              <w:rPr>
                <w:b/>
                <w:sz w:val="20"/>
                <w:szCs w:val="20"/>
              </w:rPr>
              <w:t>(3)*(4)=(5)</w:t>
            </w:r>
          </w:p>
        </w:tc>
        <w:tc>
          <w:tcPr>
            <w:tcW w:w="0" w:type="auto"/>
            <w:tcBorders>
              <w:top w:val="single" w:sz="4" w:space="0" w:color="auto"/>
              <w:left w:val="single" w:sz="4" w:space="0" w:color="auto"/>
              <w:bottom w:val="single" w:sz="4" w:space="0" w:color="auto"/>
              <w:right w:val="single" w:sz="4" w:space="0" w:color="auto"/>
            </w:tcBorders>
            <w:vAlign w:val="bottom"/>
          </w:tcPr>
          <w:p w14:paraId="090FC77C" w14:textId="5C5CA008" w:rsidR="00CE6500" w:rsidRPr="0044561C" w:rsidRDefault="00CE6500" w:rsidP="00D67012">
            <w:pPr>
              <w:jc w:val="center"/>
              <w:rPr>
                <w:sz w:val="20"/>
                <w:szCs w:val="20"/>
              </w:rPr>
            </w:pPr>
            <w:r w:rsidRPr="0044561C">
              <w:rPr>
                <w:b/>
                <w:sz w:val="20"/>
                <w:szCs w:val="20"/>
              </w:rPr>
              <w:t>Total Annual Cost</w:t>
            </w:r>
            <w:r w:rsidR="00EB49F9" w:rsidRPr="0044561C">
              <w:rPr>
                <w:b/>
                <w:sz w:val="20"/>
                <w:szCs w:val="20"/>
              </w:rPr>
              <w:t xml:space="preserve"> per Respondent</w:t>
            </w:r>
          </w:p>
          <w:p w14:paraId="551234A4" w14:textId="77FC593D" w:rsidR="00CE6500" w:rsidRPr="0044561C" w:rsidRDefault="00CE6500" w:rsidP="00CE6500">
            <w:pPr>
              <w:jc w:val="center"/>
              <w:rPr>
                <w:b/>
                <w:sz w:val="20"/>
                <w:szCs w:val="20"/>
              </w:rPr>
            </w:pPr>
            <w:r w:rsidRPr="0044561C">
              <w:rPr>
                <w:b/>
                <w:sz w:val="20"/>
                <w:szCs w:val="20"/>
              </w:rPr>
              <w:t>($)</w:t>
            </w:r>
          </w:p>
        </w:tc>
      </w:tr>
      <w:tr w:rsidR="009D3693" w:rsidRPr="0044561C" w14:paraId="53F9BBD3" w14:textId="77777777" w:rsidTr="00503DCE">
        <w:trPr>
          <w:trHeight w:val="314"/>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F1593F" w14:textId="58E733E8" w:rsidR="009D3693" w:rsidRPr="00783F93" w:rsidRDefault="009D3693" w:rsidP="00D6717A">
            <w:pPr>
              <w:jc w:val="center"/>
              <w:rPr>
                <w:sz w:val="20"/>
                <w:szCs w:val="20"/>
              </w:rPr>
            </w:pPr>
            <w:r w:rsidRPr="0044561C">
              <w:rPr>
                <w:b/>
                <w:sz w:val="20"/>
                <w:szCs w:val="20"/>
              </w:rPr>
              <w:t>FERC-725P</w:t>
            </w:r>
            <w:r w:rsidR="009806D9" w:rsidRPr="0044561C">
              <w:rPr>
                <w:b/>
                <w:sz w:val="20"/>
                <w:szCs w:val="20"/>
              </w:rPr>
              <w:t xml:space="preserve"> (</w:t>
            </w:r>
            <w:r w:rsidR="009806D9" w:rsidRPr="00271885">
              <w:rPr>
                <w:b/>
                <w:sz w:val="20"/>
                <w:szCs w:val="20"/>
              </w:rPr>
              <w:t>Reduction</w:t>
            </w:r>
            <w:r w:rsidR="00D6717A" w:rsidRPr="00271885">
              <w:rPr>
                <w:b/>
                <w:sz w:val="20"/>
                <w:szCs w:val="20"/>
              </w:rPr>
              <w:t xml:space="preserve"> due to Replacement</w:t>
            </w:r>
            <w:r w:rsidR="00D6717A" w:rsidRPr="00D6717A">
              <w:rPr>
                <w:b/>
                <w:sz w:val="20"/>
                <w:szCs w:val="20"/>
              </w:rPr>
              <w:t xml:space="preserve"> of PRC-005-3</w:t>
            </w:r>
            <w:r w:rsidR="00FC3A7F">
              <w:rPr>
                <w:b/>
                <w:sz w:val="20"/>
                <w:szCs w:val="20"/>
              </w:rPr>
              <w:t>)</w:t>
            </w:r>
            <w:r w:rsidR="00143F02" w:rsidRPr="00271885">
              <w:rPr>
                <w:rStyle w:val="FootnoteReference"/>
                <w:b/>
                <w:sz w:val="20"/>
                <w:szCs w:val="20"/>
                <w:vertAlign w:val="superscript"/>
              </w:rPr>
              <w:footnoteReference w:id="10"/>
            </w:r>
            <w:r w:rsidR="00271885" w:rsidRPr="00271885">
              <w:rPr>
                <w:b/>
                <w:sz w:val="20"/>
                <w:szCs w:val="20"/>
                <w:vertAlign w:val="superscript"/>
              </w:rPr>
              <w:t xml:space="preserve">, </w:t>
            </w:r>
            <w:r w:rsidR="00271885" w:rsidRPr="00271885">
              <w:rPr>
                <w:rStyle w:val="FootnoteReference"/>
                <w:b/>
                <w:sz w:val="20"/>
                <w:szCs w:val="20"/>
                <w:vertAlign w:val="superscript"/>
              </w:rPr>
              <w:footnoteReference w:id="11"/>
            </w:r>
          </w:p>
        </w:tc>
      </w:tr>
      <w:tr w:rsidR="00271885" w:rsidRPr="0044561C" w14:paraId="68A83E4E" w14:textId="77777777" w:rsidTr="00D6717A">
        <w:trPr>
          <w:trHeight w:val="467"/>
          <w:jc w:val="center"/>
        </w:trPr>
        <w:tc>
          <w:tcPr>
            <w:tcW w:w="1764" w:type="dxa"/>
            <w:tcBorders>
              <w:top w:val="single" w:sz="4" w:space="0" w:color="auto"/>
              <w:left w:val="single" w:sz="4" w:space="0" w:color="auto"/>
              <w:bottom w:val="single" w:sz="4" w:space="0" w:color="auto"/>
              <w:right w:val="single" w:sz="4" w:space="0" w:color="auto"/>
            </w:tcBorders>
            <w:noWrap/>
            <w:vAlign w:val="center"/>
          </w:tcPr>
          <w:p w14:paraId="3B7C0FE0" w14:textId="69337953" w:rsidR="00EB49F9" w:rsidRPr="0044561C" w:rsidRDefault="00EB49F9" w:rsidP="009D3693">
            <w:pPr>
              <w:rPr>
                <w:sz w:val="20"/>
                <w:szCs w:val="20"/>
              </w:rPr>
            </w:pPr>
            <w:r w:rsidRPr="0044561C">
              <w:rPr>
                <w:color w:val="000000"/>
                <w:sz w:val="20"/>
                <w:szCs w:val="20"/>
              </w:rPr>
              <w:t>One-time review of existing plant and substation sites to determine which ones fall under PRC-005-3</w:t>
            </w:r>
          </w:p>
        </w:tc>
        <w:bookmarkStart w:id="1" w:name="RANGE!B5"/>
        <w:tc>
          <w:tcPr>
            <w:tcW w:w="1376" w:type="dxa"/>
            <w:tcBorders>
              <w:top w:val="single" w:sz="4" w:space="0" w:color="auto"/>
              <w:left w:val="single" w:sz="4" w:space="0" w:color="auto"/>
              <w:bottom w:val="single" w:sz="4" w:space="0" w:color="auto"/>
              <w:right w:val="single" w:sz="4" w:space="0" w:color="auto"/>
            </w:tcBorders>
            <w:vAlign w:val="bottom"/>
          </w:tcPr>
          <w:p w14:paraId="2179E748" w14:textId="7E50DD7B" w:rsidR="00EB49F9" w:rsidRPr="00D6717A" w:rsidRDefault="00EB49F9" w:rsidP="00503DCE">
            <w:pPr>
              <w:jc w:val="right"/>
              <w:rPr>
                <w:sz w:val="20"/>
                <w:szCs w:val="20"/>
              </w:rPr>
            </w:pPr>
            <w:r w:rsidRPr="00D6717A">
              <w:rPr>
                <w:sz w:val="20"/>
                <w:szCs w:val="20"/>
                <w:u w:val="single"/>
              </w:rPr>
              <w:fldChar w:fldCharType="begin"/>
            </w:r>
            <w:r w:rsidRPr="00D6717A">
              <w:rPr>
                <w:sz w:val="20"/>
                <w:szCs w:val="20"/>
                <w:u w:val="single"/>
              </w:rPr>
              <w:instrText xml:space="preserve"> HYPERLINK "file:///C:\\Users\\Enbed12\\AppData\\Local\\Microsoft\\Windows\\Temporary%20Internet%20Files\\Content.Outlook\\DHZU4RXE\\PRC-005-6%20NET.xlsx" \l "RANGE!A13" </w:instrText>
            </w:r>
            <w:r w:rsidRPr="00D6717A">
              <w:rPr>
                <w:sz w:val="20"/>
                <w:szCs w:val="20"/>
                <w:u w:val="single"/>
              </w:rPr>
              <w:fldChar w:fldCharType="separate"/>
            </w:r>
            <w:r w:rsidRPr="00D6717A">
              <w:rPr>
                <w:rStyle w:val="Hyperlink"/>
                <w:color w:val="auto"/>
                <w:sz w:val="20"/>
                <w:szCs w:val="20"/>
              </w:rPr>
              <w:t>937</w:t>
            </w:r>
            <w:r w:rsidR="00503DCE" w:rsidRPr="00D6717A">
              <w:rPr>
                <w:rStyle w:val="FootnoteReference"/>
                <w:sz w:val="20"/>
                <w:szCs w:val="20"/>
                <w:u w:val="single"/>
                <w:vertAlign w:val="superscript"/>
              </w:rPr>
              <w:footnoteReference w:id="12"/>
            </w:r>
            <w:r w:rsidRPr="00D6717A">
              <w:rPr>
                <w:sz w:val="20"/>
                <w:szCs w:val="20"/>
                <w:u w:val="single"/>
              </w:rPr>
              <w:fldChar w:fldCharType="end"/>
            </w:r>
            <w:bookmarkEnd w:id="1"/>
          </w:p>
        </w:tc>
        <w:tc>
          <w:tcPr>
            <w:tcW w:w="0" w:type="auto"/>
            <w:tcBorders>
              <w:top w:val="single" w:sz="4" w:space="0" w:color="auto"/>
              <w:left w:val="single" w:sz="4" w:space="0" w:color="auto"/>
              <w:bottom w:val="single" w:sz="4" w:space="0" w:color="auto"/>
              <w:right w:val="single" w:sz="4" w:space="0" w:color="auto"/>
            </w:tcBorders>
            <w:vAlign w:val="bottom"/>
          </w:tcPr>
          <w:p w14:paraId="5CAA8601" w14:textId="14AF625D" w:rsidR="00EB49F9" w:rsidRPr="00CB0921" w:rsidRDefault="00EB49F9" w:rsidP="00313991">
            <w:pPr>
              <w:jc w:val="right"/>
              <w:rPr>
                <w:sz w:val="20"/>
                <w:szCs w:val="20"/>
              </w:rPr>
            </w:pPr>
            <w:r w:rsidRPr="00CB0921">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14E3ADD5" w14:textId="0F51F9C5" w:rsidR="00EB49F9" w:rsidRPr="0044561C" w:rsidRDefault="00EB49F9">
            <w:pPr>
              <w:jc w:val="right"/>
              <w:rPr>
                <w:sz w:val="20"/>
                <w:szCs w:val="20"/>
              </w:rPr>
            </w:pPr>
            <w:r w:rsidRPr="0044561C">
              <w:rPr>
                <w:color w:val="000000"/>
                <w:sz w:val="20"/>
                <w:szCs w:val="20"/>
              </w:rPr>
              <w:t>-937</w:t>
            </w:r>
          </w:p>
        </w:tc>
        <w:tc>
          <w:tcPr>
            <w:tcW w:w="0" w:type="auto"/>
            <w:tcBorders>
              <w:top w:val="single" w:sz="4" w:space="0" w:color="auto"/>
              <w:left w:val="single" w:sz="4" w:space="0" w:color="auto"/>
              <w:bottom w:val="single" w:sz="4" w:space="0" w:color="auto"/>
              <w:right w:val="single" w:sz="4" w:space="0" w:color="auto"/>
            </w:tcBorders>
            <w:vAlign w:val="bottom"/>
          </w:tcPr>
          <w:p w14:paraId="7D907335" w14:textId="1AC004EB" w:rsidR="00EB49F9" w:rsidRPr="0044561C" w:rsidRDefault="00EB49F9">
            <w:pPr>
              <w:jc w:val="right"/>
              <w:rPr>
                <w:sz w:val="20"/>
                <w:szCs w:val="20"/>
              </w:rPr>
            </w:pPr>
            <w:r w:rsidRPr="0044561C">
              <w:rPr>
                <w:color w:val="000000"/>
                <w:sz w:val="20"/>
                <w:szCs w:val="20"/>
              </w:rPr>
              <w:t>2</w:t>
            </w:r>
            <w:r w:rsidR="009806D9" w:rsidRPr="0044561C">
              <w:rPr>
                <w:color w:val="000000"/>
                <w:sz w:val="20"/>
                <w:szCs w:val="20"/>
              </w:rPr>
              <w:t xml:space="preserve"> hrs.; $146</w:t>
            </w:r>
          </w:p>
        </w:tc>
        <w:tc>
          <w:tcPr>
            <w:tcW w:w="0" w:type="auto"/>
            <w:tcBorders>
              <w:top w:val="single" w:sz="4" w:space="0" w:color="auto"/>
              <w:left w:val="single" w:sz="4" w:space="0" w:color="auto"/>
              <w:bottom w:val="single" w:sz="4" w:space="0" w:color="auto"/>
              <w:right w:val="single" w:sz="4" w:space="0" w:color="auto"/>
            </w:tcBorders>
            <w:vAlign w:val="bottom"/>
          </w:tcPr>
          <w:p w14:paraId="5948A4D6" w14:textId="3EAF6763" w:rsidR="009806D9" w:rsidRPr="0044561C" w:rsidRDefault="00EB49F9" w:rsidP="009806D9">
            <w:pPr>
              <w:jc w:val="right"/>
              <w:rPr>
                <w:color w:val="000000"/>
                <w:sz w:val="20"/>
                <w:szCs w:val="20"/>
              </w:rPr>
            </w:pPr>
            <w:r w:rsidRPr="0044561C">
              <w:rPr>
                <w:color w:val="000000"/>
                <w:sz w:val="20"/>
                <w:szCs w:val="20"/>
              </w:rPr>
              <w:t xml:space="preserve">                           </w:t>
            </w:r>
            <w:r w:rsidR="009806D9" w:rsidRPr="0044561C">
              <w:rPr>
                <w:color w:val="000000"/>
                <w:sz w:val="20"/>
                <w:szCs w:val="20"/>
              </w:rPr>
              <w:t>-</w:t>
            </w:r>
            <w:r w:rsidRPr="0044561C">
              <w:rPr>
                <w:color w:val="000000"/>
                <w:sz w:val="20"/>
                <w:szCs w:val="20"/>
              </w:rPr>
              <w:t>1,874</w:t>
            </w:r>
            <w:r w:rsidR="009806D9" w:rsidRPr="0044561C">
              <w:rPr>
                <w:color w:val="000000"/>
                <w:sz w:val="20"/>
                <w:szCs w:val="20"/>
              </w:rPr>
              <w:t xml:space="preserve"> hrs.; </w:t>
            </w:r>
          </w:p>
          <w:p w14:paraId="29A0A640" w14:textId="52E89C0E" w:rsidR="00EB49F9" w:rsidRPr="0044561C" w:rsidRDefault="009806D9" w:rsidP="009806D9">
            <w:pPr>
              <w:jc w:val="right"/>
              <w:rPr>
                <w:sz w:val="20"/>
                <w:szCs w:val="20"/>
              </w:rPr>
            </w:pPr>
            <w:r w:rsidRPr="0044561C">
              <w:rPr>
                <w:sz w:val="20"/>
                <w:szCs w:val="20"/>
              </w:rPr>
              <w:t>-$136,802</w:t>
            </w:r>
          </w:p>
        </w:tc>
        <w:tc>
          <w:tcPr>
            <w:tcW w:w="0" w:type="auto"/>
            <w:tcBorders>
              <w:top w:val="single" w:sz="4" w:space="0" w:color="auto"/>
              <w:left w:val="single" w:sz="4" w:space="0" w:color="auto"/>
              <w:bottom w:val="single" w:sz="4" w:space="0" w:color="auto"/>
              <w:right w:val="single" w:sz="4" w:space="0" w:color="auto"/>
            </w:tcBorders>
            <w:vAlign w:val="bottom"/>
          </w:tcPr>
          <w:p w14:paraId="1316B19B" w14:textId="38CBB77F" w:rsidR="00EB49F9" w:rsidRPr="0044561C" w:rsidRDefault="00503DCE">
            <w:pPr>
              <w:jc w:val="right"/>
              <w:rPr>
                <w:sz w:val="20"/>
                <w:szCs w:val="20"/>
              </w:rPr>
            </w:pPr>
            <w:r w:rsidRPr="0044561C">
              <w:rPr>
                <w:color w:val="000000"/>
                <w:sz w:val="20"/>
                <w:szCs w:val="20"/>
              </w:rPr>
              <w:t>-</w:t>
            </w:r>
            <w:r w:rsidR="00EB49F9" w:rsidRPr="0044561C">
              <w:rPr>
                <w:color w:val="000000"/>
                <w:sz w:val="20"/>
                <w:szCs w:val="20"/>
              </w:rPr>
              <w:t xml:space="preserve">$146.00 </w:t>
            </w:r>
          </w:p>
        </w:tc>
      </w:tr>
      <w:tr w:rsidR="00271885" w:rsidRPr="0044561C" w14:paraId="2C5E3241" w14:textId="77777777" w:rsidTr="00D6717A">
        <w:trPr>
          <w:trHeight w:val="467"/>
          <w:jc w:val="center"/>
        </w:trPr>
        <w:tc>
          <w:tcPr>
            <w:tcW w:w="1764" w:type="dxa"/>
            <w:tcBorders>
              <w:top w:val="single" w:sz="4" w:space="0" w:color="auto"/>
              <w:left w:val="single" w:sz="4" w:space="0" w:color="auto"/>
              <w:bottom w:val="single" w:sz="4" w:space="0" w:color="auto"/>
              <w:right w:val="single" w:sz="4" w:space="0" w:color="auto"/>
            </w:tcBorders>
            <w:noWrap/>
            <w:vAlign w:val="center"/>
          </w:tcPr>
          <w:p w14:paraId="5094C41D" w14:textId="3BC106C4" w:rsidR="00503DCE" w:rsidRPr="0044561C" w:rsidRDefault="00503DCE" w:rsidP="009D3693">
            <w:pPr>
              <w:rPr>
                <w:sz w:val="20"/>
                <w:szCs w:val="20"/>
              </w:rPr>
            </w:pPr>
            <w:r w:rsidRPr="0044561C">
              <w:rPr>
                <w:color w:val="000000"/>
                <w:sz w:val="20"/>
                <w:szCs w:val="20"/>
              </w:rPr>
              <w:t>One-time review and adjustment of existing program</w:t>
            </w:r>
          </w:p>
        </w:tc>
        <w:bookmarkStart w:id="2" w:name="RANGE!B7"/>
        <w:tc>
          <w:tcPr>
            <w:tcW w:w="1376" w:type="dxa"/>
            <w:tcBorders>
              <w:top w:val="single" w:sz="4" w:space="0" w:color="auto"/>
              <w:left w:val="single" w:sz="4" w:space="0" w:color="auto"/>
              <w:bottom w:val="single" w:sz="4" w:space="0" w:color="auto"/>
              <w:right w:val="single" w:sz="4" w:space="0" w:color="auto"/>
            </w:tcBorders>
            <w:vAlign w:val="bottom"/>
          </w:tcPr>
          <w:p w14:paraId="76347B0D" w14:textId="5AB1459A" w:rsidR="00503DCE" w:rsidRPr="00D6717A" w:rsidRDefault="00503DCE" w:rsidP="00503DCE">
            <w:pPr>
              <w:jc w:val="right"/>
              <w:rPr>
                <w:sz w:val="20"/>
                <w:szCs w:val="20"/>
              </w:rPr>
            </w:pPr>
            <w:r w:rsidRPr="00D6717A">
              <w:rPr>
                <w:sz w:val="20"/>
                <w:szCs w:val="20"/>
              </w:rPr>
              <w:fldChar w:fldCharType="begin"/>
            </w:r>
            <w:r w:rsidRPr="00D6717A">
              <w:rPr>
                <w:sz w:val="20"/>
                <w:szCs w:val="20"/>
              </w:rPr>
              <w:instrText xml:space="preserve"> HYPERLINK "file:///C:\\Users\\Enbed12\\AppData\\Local\\Microsoft\\Windows\\Temporary%20Internet%20Files\\Content.MSO\\A68E7E6F.tmp" \l "RANGE!A14" </w:instrText>
            </w:r>
            <w:r w:rsidRPr="00D6717A">
              <w:rPr>
                <w:sz w:val="20"/>
                <w:szCs w:val="20"/>
              </w:rPr>
              <w:fldChar w:fldCharType="separate"/>
            </w:r>
            <w:r w:rsidRPr="00D6717A">
              <w:rPr>
                <w:rStyle w:val="Hyperlink"/>
                <w:color w:val="auto"/>
                <w:sz w:val="20"/>
                <w:szCs w:val="20"/>
                <w:u w:val="none"/>
              </w:rPr>
              <w:t>288</w:t>
            </w:r>
            <w:r w:rsidRPr="00D6717A">
              <w:rPr>
                <w:sz w:val="20"/>
                <w:szCs w:val="20"/>
              </w:rPr>
              <w:fldChar w:fldCharType="end"/>
            </w:r>
            <w:bookmarkEnd w:id="2"/>
            <w:r w:rsidRPr="00D6717A">
              <w:rPr>
                <w:rStyle w:val="FootnoteReference"/>
                <w:sz w:val="20"/>
                <w:szCs w:val="20"/>
                <w:vertAlign w:val="superscript"/>
              </w:rPr>
              <w:footnoteReference w:id="13"/>
            </w:r>
          </w:p>
        </w:tc>
        <w:tc>
          <w:tcPr>
            <w:tcW w:w="0" w:type="auto"/>
            <w:tcBorders>
              <w:top w:val="single" w:sz="4" w:space="0" w:color="auto"/>
              <w:left w:val="single" w:sz="4" w:space="0" w:color="auto"/>
              <w:bottom w:val="single" w:sz="4" w:space="0" w:color="auto"/>
              <w:right w:val="single" w:sz="4" w:space="0" w:color="auto"/>
            </w:tcBorders>
            <w:vAlign w:val="bottom"/>
          </w:tcPr>
          <w:p w14:paraId="56619EDA" w14:textId="275D5863" w:rsidR="00503DCE" w:rsidRPr="00CB0921" w:rsidRDefault="00503DCE" w:rsidP="00313991">
            <w:pPr>
              <w:jc w:val="right"/>
              <w:rPr>
                <w:sz w:val="20"/>
                <w:szCs w:val="20"/>
              </w:rPr>
            </w:pPr>
            <w:r w:rsidRPr="00CB0921">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7A17F812" w14:textId="3559C6C1" w:rsidR="00503DCE" w:rsidRPr="0044561C" w:rsidRDefault="00503DCE" w:rsidP="00503DCE">
            <w:pPr>
              <w:jc w:val="right"/>
              <w:rPr>
                <w:sz w:val="20"/>
                <w:szCs w:val="20"/>
              </w:rPr>
            </w:pPr>
            <w:r w:rsidRPr="0044561C">
              <w:rPr>
                <w:color w:val="000000"/>
                <w:sz w:val="20"/>
                <w:szCs w:val="20"/>
              </w:rPr>
              <w:t>-288</w:t>
            </w:r>
          </w:p>
        </w:tc>
        <w:tc>
          <w:tcPr>
            <w:tcW w:w="0" w:type="auto"/>
            <w:tcBorders>
              <w:top w:val="single" w:sz="4" w:space="0" w:color="auto"/>
              <w:left w:val="single" w:sz="4" w:space="0" w:color="auto"/>
              <w:bottom w:val="single" w:sz="4" w:space="0" w:color="auto"/>
              <w:right w:val="single" w:sz="4" w:space="0" w:color="auto"/>
            </w:tcBorders>
            <w:vAlign w:val="bottom"/>
          </w:tcPr>
          <w:p w14:paraId="25798BCF" w14:textId="77777777" w:rsidR="00503DCE" w:rsidRPr="0044561C" w:rsidRDefault="00503DCE" w:rsidP="00503DCE">
            <w:pPr>
              <w:jc w:val="right"/>
              <w:rPr>
                <w:color w:val="000000"/>
                <w:sz w:val="20"/>
                <w:szCs w:val="20"/>
              </w:rPr>
            </w:pPr>
            <w:r w:rsidRPr="0044561C">
              <w:rPr>
                <w:color w:val="000000"/>
                <w:sz w:val="20"/>
                <w:szCs w:val="20"/>
              </w:rPr>
              <w:t>8 hrs.;</w:t>
            </w:r>
          </w:p>
          <w:p w14:paraId="0494B371" w14:textId="6022DFB0" w:rsidR="00503DCE" w:rsidRPr="0044561C" w:rsidRDefault="00503DCE" w:rsidP="003E04E8">
            <w:pPr>
              <w:jc w:val="right"/>
              <w:rPr>
                <w:sz w:val="20"/>
                <w:szCs w:val="20"/>
              </w:rPr>
            </w:pPr>
            <w:r w:rsidRPr="0044561C">
              <w:rPr>
                <w:color w:val="000000"/>
                <w:sz w:val="20"/>
                <w:szCs w:val="20"/>
              </w:rPr>
              <w:t>$584</w:t>
            </w:r>
          </w:p>
        </w:tc>
        <w:tc>
          <w:tcPr>
            <w:tcW w:w="0" w:type="auto"/>
            <w:tcBorders>
              <w:top w:val="single" w:sz="4" w:space="0" w:color="auto"/>
              <w:left w:val="single" w:sz="4" w:space="0" w:color="auto"/>
              <w:bottom w:val="single" w:sz="4" w:space="0" w:color="auto"/>
              <w:right w:val="single" w:sz="4" w:space="0" w:color="auto"/>
            </w:tcBorders>
            <w:vAlign w:val="bottom"/>
          </w:tcPr>
          <w:p w14:paraId="2843F1D7" w14:textId="77777777" w:rsidR="00271885" w:rsidRDefault="00503DCE" w:rsidP="003E04E8">
            <w:pPr>
              <w:jc w:val="right"/>
              <w:rPr>
                <w:color w:val="000000"/>
                <w:sz w:val="20"/>
                <w:szCs w:val="20"/>
              </w:rPr>
            </w:pPr>
            <w:r w:rsidRPr="0044561C">
              <w:rPr>
                <w:color w:val="000000"/>
                <w:sz w:val="20"/>
                <w:szCs w:val="20"/>
              </w:rPr>
              <w:t xml:space="preserve">                           -2,304 hrs.;</w:t>
            </w:r>
          </w:p>
          <w:p w14:paraId="57B4B4EA" w14:textId="1D18B740" w:rsidR="00503DCE" w:rsidRPr="0044561C" w:rsidRDefault="00503DCE" w:rsidP="003E04E8">
            <w:pPr>
              <w:jc w:val="right"/>
              <w:rPr>
                <w:sz w:val="20"/>
                <w:szCs w:val="20"/>
              </w:rPr>
            </w:pPr>
            <w:r w:rsidRPr="00271885">
              <w:rPr>
                <w:sz w:val="20"/>
                <w:szCs w:val="20"/>
              </w:rPr>
              <w:t>-$168,192</w:t>
            </w:r>
          </w:p>
        </w:tc>
        <w:tc>
          <w:tcPr>
            <w:tcW w:w="0" w:type="auto"/>
            <w:tcBorders>
              <w:top w:val="single" w:sz="4" w:space="0" w:color="auto"/>
              <w:left w:val="single" w:sz="4" w:space="0" w:color="auto"/>
              <w:bottom w:val="single" w:sz="4" w:space="0" w:color="auto"/>
              <w:right w:val="single" w:sz="4" w:space="0" w:color="auto"/>
            </w:tcBorders>
            <w:vAlign w:val="bottom"/>
          </w:tcPr>
          <w:p w14:paraId="4A8D5E0F" w14:textId="08A1CCE8" w:rsidR="00503DCE" w:rsidRPr="0044561C" w:rsidRDefault="00503DCE" w:rsidP="003E04E8">
            <w:pPr>
              <w:jc w:val="right"/>
              <w:rPr>
                <w:sz w:val="20"/>
                <w:szCs w:val="20"/>
              </w:rPr>
            </w:pPr>
            <w:r w:rsidRPr="0044561C">
              <w:rPr>
                <w:color w:val="000000"/>
                <w:sz w:val="20"/>
                <w:szCs w:val="20"/>
              </w:rPr>
              <w:t xml:space="preserve">-$584 </w:t>
            </w:r>
          </w:p>
        </w:tc>
      </w:tr>
      <w:tr w:rsidR="003443C0" w:rsidRPr="0044561C" w14:paraId="3BC663CE" w14:textId="77777777" w:rsidTr="00D6717A">
        <w:trPr>
          <w:trHeight w:val="467"/>
          <w:jc w:val="center"/>
        </w:trPr>
        <w:tc>
          <w:tcPr>
            <w:tcW w:w="1764" w:type="dxa"/>
            <w:tcBorders>
              <w:top w:val="single" w:sz="4" w:space="0" w:color="auto"/>
              <w:left w:val="single" w:sz="4" w:space="0" w:color="auto"/>
              <w:bottom w:val="single" w:sz="4" w:space="0" w:color="auto"/>
              <w:right w:val="single" w:sz="4" w:space="0" w:color="auto"/>
            </w:tcBorders>
            <w:noWrap/>
            <w:vAlign w:val="center"/>
          </w:tcPr>
          <w:p w14:paraId="661969C6" w14:textId="7AB778A5" w:rsidR="00C66B14" w:rsidRPr="0044561C" w:rsidRDefault="00C66B14" w:rsidP="009D3693">
            <w:pPr>
              <w:rPr>
                <w:b/>
                <w:sz w:val="20"/>
                <w:szCs w:val="20"/>
              </w:rPr>
            </w:pPr>
            <w:r w:rsidRPr="0044561C">
              <w:rPr>
                <w:b/>
                <w:sz w:val="20"/>
                <w:szCs w:val="20"/>
              </w:rPr>
              <w:t>Total Reduction to FERC-725P</w:t>
            </w: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FBAE23" w14:textId="77777777" w:rsidR="00C66B14" w:rsidRPr="0044561C" w:rsidRDefault="00C66B14" w:rsidP="005C5A54">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54736C" w14:textId="77777777" w:rsidR="00C66B14" w:rsidRPr="0044561C" w:rsidRDefault="00C66B14" w:rsidP="005C5A54">
            <w:pPr>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BDCAFB3" w14:textId="798E2970" w:rsidR="00C66B14" w:rsidRPr="009756CA" w:rsidRDefault="00C66B14" w:rsidP="005C5A54">
            <w:pPr>
              <w:jc w:val="right"/>
              <w:rPr>
                <w:b/>
                <w:sz w:val="20"/>
                <w:szCs w:val="20"/>
              </w:rPr>
            </w:pPr>
            <w:r w:rsidRPr="00C66B14">
              <w:rPr>
                <w:b/>
                <w:bCs/>
                <w:color w:val="000000"/>
                <w:sz w:val="20"/>
                <w:szCs w:val="20"/>
              </w:rPr>
              <w:t>-1,225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D7271" w14:textId="5DD8AD70" w:rsidR="00C66B14" w:rsidRPr="009756CA" w:rsidRDefault="00C66B14" w:rsidP="005C5A54">
            <w:pPr>
              <w:jc w:val="right"/>
              <w:rPr>
                <w:b/>
                <w:sz w:val="20"/>
                <w:szCs w:val="20"/>
              </w:rPr>
            </w:pPr>
            <w:r w:rsidRPr="009756CA">
              <w:rPr>
                <w:b/>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center"/>
          </w:tcPr>
          <w:p w14:paraId="59936CBD" w14:textId="77777777" w:rsidR="00C66B14" w:rsidRPr="00C66B14" w:rsidRDefault="00C66B14" w:rsidP="005C5A54">
            <w:pPr>
              <w:jc w:val="right"/>
              <w:rPr>
                <w:b/>
                <w:bCs/>
                <w:color w:val="000000"/>
                <w:sz w:val="20"/>
                <w:szCs w:val="20"/>
              </w:rPr>
            </w:pPr>
            <w:r w:rsidRPr="00C66B14">
              <w:rPr>
                <w:b/>
                <w:bCs/>
                <w:color w:val="000000"/>
                <w:sz w:val="20"/>
                <w:szCs w:val="20"/>
              </w:rPr>
              <w:t xml:space="preserve">-4,178 hrs.; </w:t>
            </w:r>
          </w:p>
          <w:p w14:paraId="222C4207" w14:textId="55AAEAD6" w:rsidR="00C66B14" w:rsidRPr="009756CA" w:rsidRDefault="00C66B14" w:rsidP="005C5A54">
            <w:pPr>
              <w:jc w:val="right"/>
              <w:rPr>
                <w:b/>
                <w:sz w:val="20"/>
                <w:szCs w:val="20"/>
              </w:rPr>
            </w:pPr>
            <w:r w:rsidRPr="009756CA">
              <w:rPr>
                <w:b/>
                <w:sz w:val="20"/>
                <w:szCs w:val="20"/>
              </w:rPr>
              <w:t>-$304,994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EDCC61" w14:textId="77777777" w:rsidR="00C66B14" w:rsidRPr="0044561C" w:rsidRDefault="00C66B14" w:rsidP="005C5A54">
            <w:pPr>
              <w:jc w:val="right"/>
              <w:rPr>
                <w:sz w:val="20"/>
                <w:szCs w:val="20"/>
              </w:rPr>
            </w:pPr>
          </w:p>
        </w:tc>
      </w:tr>
      <w:tr w:rsidR="00685103" w:rsidRPr="0044561C" w14:paraId="0C25F0E5" w14:textId="77777777" w:rsidTr="009756CA">
        <w:trPr>
          <w:trHeight w:val="39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C63682" w14:textId="07BF6954" w:rsidR="00685103" w:rsidRPr="0044561C" w:rsidRDefault="00685103" w:rsidP="003F7920">
            <w:pPr>
              <w:jc w:val="center"/>
              <w:rPr>
                <w:sz w:val="20"/>
                <w:szCs w:val="20"/>
              </w:rPr>
            </w:pPr>
            <w:r w:rsidRPr="0044561C">
              <w:rPr>
                <w:b/>
                <w:sz w:val="20"/>
                <w:szCs w:val="20"/>
              </w:rPr>
              <w:t>FERC-725P1</w:t>
            </w:r>
          </w:p>
        </w:tc>
      </w:tr>
      <w:tr w:rsidR="007B23F0" w:rsidRPr="007B23F0" w14:paraId="3ECDD548" w14:textId="77777777" w:rsidTr="00D6717A">
        <w:trPr>
          <w:trHeight w:val="467"/>
          <w:jc w:val="center"/>
        </w:trPr>
        <w:tc>
          <w:tcPr>
            <w:tcW w:w="1764" w:type="dxa"/>
            <w:tcBorders>
              <w:top w:val="single" w:sz="4" w:space="0" w:color="auto"/>
              <w:left w:val="single" w:sz="4" w:space="0" w:color="auto"/>
              <w:bottom w:val="single" w:sz="4" w:space="0" w:color="auto"/>
              <w:right w:val="single" w:sz="4" w:space="0" w:color="auto"/>
            </w:tcBorders>
            <w:noWrap/>
            <w:vAlign w:val="center"/>
          </w:tcPr>
          <w:p w14:paraId="1B423B80" w14:textId="43149632" w:rsidR="00B71F08" w:rsidRPr="00783F93" w:rsidRDefault="00B71F08" w:rsidP="003443C0">
            <w:pPr>
              <w:rPr>
                <w:sz w:val="20"/>
                <w:szCs w:val="20"/>
              </w:rPr>
            </w:pPr>
            <w:r w:rsidRPr="00783F93">
              <w:rPr>
                <w:sz w:val="20"/>
                <w:szCs w:val="20"/>
              </w:rPr>
              <w:t xml:space="preserve">Replacement of </w:t>
            </w:r>
            <w:r w:rsidRPr="00CB0921">
              <w:rPr>
                <w:sz w:val="20"/>
                <w:szCs w:val="20"/>
              </w:rPr>
              <w:t>PRC-005-4</w:t>
            </w:r>
            <w:r w:rsidRPr="00783F93">
              <w:rPr>
                <w:rStyle w:val="FootnoteReference"/>
                <w:sz w:val="20"/>
                <w:szCs w:val="20"/>
                <w:vertAlign w:val="superscript"/>
              </w:rPr>
              <w:footnoteReference w:id="14"/>
            </w:r>
            <w:r w:rsidR="0058028D" w:rsidRPr="00783F93">
              <w:rPr>
                <w:sz w:val="20"/>
                <w:szCs w:val="20"/>
              </w:rPr>
              <w:t xml:space="preserve">, </w:t>
            </w:r>
            <w:r w:rsidR="0058028D" w:rsidRPr="00783F93">
              <w:rPr>
                <w:rStyle w:val="FootnoteReference"/>
                <w:sz w:val="20"/>
                <w:szCs w:val="20"/>
                <w:vertAlign w:val="superscript"/>
              </w:rPr>
              <w:footnoteReference w:id="15"/>
            </w:r>
            <w:r w:rsidR="0058028D" w:rsidRPr="00783F93">
              <w:rPr>
                <w:sz w:val="20"/>
                <w:szCs w:val="20"/>
              </w:rPr>
              <w:t xml:space="preserve"> </w:t>
            </w:r>
            <w:r w:rsidRPr="00CB0921">
              <w:rPr>
                <w:sz w:val="20"/>
                <w:szCs w:val="20"/>
              </w:rPr>
              <w:t>--</w:t>
            </w:r>
            <w:r w:rsidRPr="0044561C">
              <w:rPr>
                <w:sz w:val="20"/>
                <w:szCs w:val="20"/>
              </w:rPr>
              <w:t xml:space="preserve"> </w:t>
            </w:r>
            <w:r w:rsidRPr="00783F93">
              <w:rPr>
                <w:sz w:val="20"/>
                <w:szCs w:val="20"/>
              </w:rPr>
              <w:t>One-time review of sudden pressure relay maintenance program and adjustment</w:t>
            </w:r>
            <w:r w:rsidR="003443C0">
              <w:rPr>
                <w:sz w:val="20"/>
                <w:szCs w:val="20"/>
              </w:rPr>
              <w:t xml:space="preserve"> </w:t>
            </w:r>
            <w:r w:rsidR="003443C0" w:rsidRPr="00CB0921">
              <w:rPr>
                <w:sz w:val="20"/>
                <w:szCs w:val="20"/>
              </w:rPr>
              <w:t xml:space="preserve">(Burden </w:t>
            </w:r>
            <w:r w:rsidR="003443C0" w:rsidRPr="00CB0921">
              <w:rPr>
                <w:sz w:val="20"/>
                <w:szCs w:val="20"/>
              </w:rPr>
              <w:lastRenderedPageBreak/>
              <w:t>Reduction)</w:t>
            </w:r>
          </w:p>
        </w:tc>
        <w:tc>
          <w:tcPr>
            <w:tcW w:w="1376" w:type="dxa"/>
            <w:tcBorders>
              <w:top w:val="single" w:sz="4" w:space="0" w:color="auto"/>
              <w:left w:val="single" w:sz="4" w:space="0" w:color="auto"/>
              <w:bottom w:val="single" w:sz="4" w:space="0" w:color="auto"/>
              <w:right w:val="single" w:sz="4" w:space="0" w:color="auto"/>
            </w:tcBorders>
            <w:vAlign w:val="bottom"/>
          </w:tcPr>
          <w:p w14:paraId="56F154F2" w14:textId="5929DE89" w:rsidR="00B71F08" w:rsidRPr="00783F93" w:rsidRDefault="00B71F08" w:rsidP="00F37E2F">
            <w:pPr>
              <w:jc w:val="right"/>
              <w:rPr>
                <w:sz w:val="20"/>
                <w:szCs w:val="20"/>
              </w:rPr>
            </w:pPr>
            <w:r w:rsidRPr="0044561C">
              <w:rPr>
                <w:color w:val="000000"/>
                <w:sz w:val="20"/>
                <w:szCs w:val="20"/>
              </w:rPr>
              <w:lastRenderedPageBreak/>
              <w:t>1</w:t>
            </w:r>
            <w:r w:rsidR="0058028D" w:rsidRPr="0044561C">
              <w:rPr>
                <w:color w:val="000000"/>
                <w:sz w:val="20"/>
                <w:szCs w:val="20"/>
              </w:rPr>
              <w:t>,</w:t>
            </w:r>
            <w:r w:rsidRPr="0044561C">
              <w:rPr>
                <w:color w:val="000000"/>
                <w:sz w:val="20"/>
                <w:szCs w:val="20"/>
              </w:rPr>
              <w:t>287</w:t>
            </w:r>
          </w:p>
        </w:tc>
        <w:tc>
          <w:tcPr>
            <w:tcW w:w="0" w:type="auto"/>
            <w:tcBorders>
              <w:top w:val="single" w:sz="4" w:space="0" w:color="auto"/>
              <w:left w:val="single" w:sz="4" w:space="0" w:color="auto"/>
              <w:bottom w:val="single" w:sz="4" w:space="0" w:color="auto"/>
              <w:right w:val="single" w:sz="4" w:space="0" w:color="auto"/>
            </w:tcBorders>
            <w:vAlign w:val="bottom"/>
          </w:tcPr>
          <w:p w14:paraId="0354B1A4" w14:textId="0DEAB29B" w:rsidR="00B71F08" w:rsidRPr="00783F93" w:rsidRDefault="00B71F08" w:rsidP="00F37E2F">
            <w:pPr>
              <w:jc w:val="right"/>
              <w:rPr>
                <w:sz w:val="20"/>
                <w:szCs w:val="20"/>
              </w:rPr>
            </w:pPr>
            <w:r w:rsidRPr="0044561C">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632F9F5E" w14:textId="4805909F" w:rsidR="00B71F08" w:rsidRPr="00783F93" w:rsidRDefault="00B71F08" w:rsidP="00F37E2F">
            <w:pPr>
              <w:jc w:val="right"/>
              <w:rPr>
                <w:sz w:val="20"/>
                <w:szCs w:val="20"/>
              </w:rPr>
            </w:pPr>
            <w:r w:rsidRPr="0044561C">
              <w:rPr>
                <w:color w:val="000000"/>
                <w:sz w:val="20"/>
                <w:szCs w:val="20"/>
              </w:rPr>
              <w:t>-1</w:t>
            </w:r>
            <w:r w:rsidR="0058028D" w:rsidRPr="0044561C">
              <w:rPr>
                <w:color w:val="000000"/>
                <w:sz w:val="20"/>
                <w:szCs w:val="20"/>
              </w:rPr>
              <w:t>,</w:t>
            </w:r>
            <w:r w:rsidRPr="0044561C">
              <w:rPr>
                <w:color w:val="000000"/>
                <w:sz w:val="20"/>
                <w:szCs w:val="20"/>
              </w:rPr>
              <w:t>287</w:t>
            </w:r>
          </w:p>
        </w:tc>
        <w:tc>
          <w:tcPr>
            <w:tcW w:w="0" w:type="auto"/>
            <w:tcBorders>
              <w:top w:val="single" w:sz="4" w:space="0" w:color="auto"/>
              <w:left w:val="single" w:sz="4" w:space="0" w:color="auto"/>
              <w:bottom w:val="single" w:sz="4" w:space="0" w:color="auto"/>
              <w:right w:val="single" w:sz="4" w:space="0" w:color="auto"/>
            </w:tcBorders>
            <w:vAlign w:val="bottom"/>
          </w:tcPr>
          <w:p w14:paraId="0087B960" w14:textId="77777777" w:rsidR="00B71F08" w:rsidRPr="0044561C" w:rsidRDefault="00B71F08" w:rsidP="00F37E2F">
            <w:pPr>
              <w:jc w:val="right"/>
              <w:rPr>
                <w:color w:val="000000"/>
                <w:sz w:val="20"/>
                <w:szCs w:val="20"/>
              </w:rPr>
            </w:pPr>
            <w:r w:rsidRPr="0044561C">
              <w:rPr>
                <w:color w:val="000000"/>
                <w:sz w:val="20"/>
                <w:szCs w:val="20"/>
              </w:rPr>
              <w:t>8 hrs.;</w:t>
            </w:r>
          </w:p>
          <w:p w14:paraId="3501BB3C" w14:textId="03E61492" w:rsidR="00B71F08" w:rsidRPr="00CB0921" w:rsidRDefault="00B71F08" w:rsidP="00F37E2F">
            <w:pPr>
              <w:jc w:val="right"/>
              <w:rPr>
                <w:sz w:val="20"/>
                <w:szCs w:val="20"/>
              </w:rPr>
            </w:pPr>
            <w:r w:rsidRPr="00783F93">
              <w:rPr>
                <w:sz w:val="20"/>
                <w:szCs w:val="20"/>
              </w:rPr>
              <w:t>$522.72</w:t>
            </w:r>
          </w:p>
        </w:tc>
        <w:tc>
          <w:tcPr>
            <w:tcW w:w="0" w:type="auto"/>
            <w:tcBorders>
              <w:top w:val="single" w:sz="4" w:space="0" w:color="auto"/>
              <w:left w:val="single" w:sz="4" w:space="0" w:color="auto"/>
              <w:bottom w:val="single" w:sz="4" w:space="0" w:color="auto"/>
              <w:right w:val="single" w:sz="4" w:space="0" w:color="auto"/>
            </w:tcBorders>
            <w:vAlign w:val="bottom"/>
          </w:tcPr>
          <w:p w14:paraId="244C5AB2" w14:textId="1710F2E9" w:rsidR="00B71F08" w:rsidRPr="0044561C" w:rsidRDefault="00B71F08" w:rsidP="00F37E2F">
            <w:pPr>
              <w:jc w:val="right"/>
              <w:rPr>
                <w:color w:val="000000"/>
                <w:sz w:val="20"/>
                <w:szCs w:val="20"/>
              </w:rPr>
            </w:pPr>
            <w:r w:rsidRPr="0044561C">
              <w:rPr>
                <w:color w:val="000000"/>
                <w:sz w:val="20"/>
                <w:szCs w:val="20"/>
              </w:rPr>
              <w:t>-10,296 hrs.;</w:t>
            </w:r>
          </w:p>
          <w:p w14:paraId="1E78AE5D" w14:textId="7B9FDDAC" w:rsidR="00B71F08" w:rsidRPr="00CB0921" w:rsidRDefault="00B71F08" w:rsidP="00F37E2F">
            <w:pPr>
              <w:jc w:val="right"/>
              <w:rPr>
                <w:sz w:val="20"/>
                <w:szCs w:val="20"/>
              </w:rPr>
            </w:pPr>
            <w:r w:rsidRPr="00783F93">
              <w:rPr>
                <w:sz w:val="20"/>
                <w:szCs w:val="20"/>
              </w:rPr>
              <w:t>-</w:t>
            </w:r>
            <w:r w:rsidRPr="00CB0921">
              <w:rPr>
                <w:sz w:val="20"/>
                <w:szCs w:val="20"/>
              </w:rPr>
              <w:t>$672,740.64</w:t>
            </w:r>
          </w:p>
        </w:tc>
        <w:tc>
          <w:tcPr>
            <w:tcW w:w="0" w:type="auto"/>
            <w:tcBorders>
              <w:top w:val="single" w:sz="4" w:space="0" w:color="auto"/>
              <w:left w:val="single" w:sz="4" w:space="0" w:color="auto"/>
              <w:bottom w:val="single" w:sz="4" w:space="0" w:color="auto"/>
              <w:right w:val="single" w:sz="4" w:space="0" w:color="auto"/>
            </w:tcBorders>
            <w:vAlign w:val="bottom"/>
          </w:tcPr>
          <w:p w14:paraId="16C5D6CB" w14:textId="649F3D80" w:rsidR="00B71F08" w:rsidRPr="007B23F0" w:rsidRDefault="007B23F0" w:rsidP="007B23F0">
            <w:pPr>
              <w:jc w:val="right"/>
              <w:rPr>
                <w:sz w:val="20"/>
                <w:szCs w:val="20"/>
              </w:rPr>
            </w:pPr>
            <w:r>
              <w:rPr>
                <w:sz w:val="20"/>
                <w:szCs w:val="20"/>
              </w:rPr>
              <w:t>-$</w:t>
            </w:r>
            <w:r w:rsidR="00B71F08" w:rsidRPr="007B23F0">
              <w:rPr>
                <w:sz w:val="20"/>
                <w:szCs w:val="20"/>
              </w:rPr>
              <w:t>522.72</w:t>
            </w:r>
          </w:p>
        </w:tc>
      </w:tr>
      <w:tr w:rsidR="005101B8" w:rsidRPr="0044561C" w14:paraId="5A5CB453" w14:textId="77777777" w:rsidTr="00D6717A">
        <w:trPr>
          <w:trHeight w:val="467"/>
          <w:jc w:val="center"/>
        </w:trPr>
        <w:tc>
          <w:tcPr>
            <w:tcW w:w="1764" w:type="dxa"/>
            <w:tcBorders>
              <w:top w:val="single" w:sz="4" w:space="0" w:color="auto"/>
              <w:left w:val="single" w:sz="4" w:space="0" w:color="auto"/>
              <w:bottom w:val="single" w:sz="4" w:space="0" w:color="auto"/>
              <w:right w:val="single" w:sz="4" w:space="0" w:color="auto"/>
            </w:tcBorders>
            <w:noWrap/>
          </w:tcPr>
          <w:p w14:paraId="512E9C7B" w14:textId="2E62C20C" w:rsidR="003F7920" w:rsidRPr="00783F93" w:rsidRDefault="0004751A" w:rsidP="0058028D">
            <w:pPr>
              <w:rPr>
                <w:sz w:val="20"/>
                <w:szCs w:val="20"/>
              </w:rPr>
            </w:pPr>
            <w:r w:rsidRPr="00783F93">
              <w:rPr>
                <w:sz w:val="20"/>
                <w:szCs w:val="20"/>
              </w:rPr>
              <w:lastRenderedPageBreak/>
              <w:t>Implementation of PRC-005-6</w:t>
            </w:r>
            <w:r w:rsidR="00577BAA" w:rsidRPr="00CB0921">
              <w:rPr>
                <w:sz w:val="20"/>
                <w:szCs w:val="20"/>
              </w:rPr>
              <w:t xml:space="preserve"> -</w:t>
            </w:r>
            <w:r w:rsidRPr="00CB0921">
              <w:rPr>
                <w:sz w:val="20"/>
                <w:szCs w:val="20"/>
              </w:rPr>
              <w:t xml:space="preserve"> </w:t>
            </w:r>
            <w:r w:rsidR="003F7920" w:rsidRPr="00CB0921">
              <w:rPr>
                <w:rFonts w:eastAsia="Calibri"/>
                <w:sz w:val="20"/>
                <w:szCs w:val="20"/>
              </w:rPr>
              <w:t>One-time review of existing plant and substation sites to determine which ones fall under PRC-005-</w:t>
            </w:r>
            <w:r w:rsidR="0058028D" w:rsidRPr="0044561C">
              <w:rPr>
                <w:rFonts w:eastAsia="Calibri"/>
                <w:sz w:val="20"/>
                <w:szCs w:val="20"/>
              </w:rPr>
              <w:t xml:space="preserve">6 </w:t>
            </w:r>
            <w:r w:rsidR="00577BAA" w:rsidRPr="0044561C">
              <w:rPr>
                <w:sz w:val="20"/>
                <w:szCs w:val="20"/>
              </w:rPr>
              <w:t>(Burden Increase)</w:t>
            </w:r>
          </w:p>
        </w:tc>
        <w:tc>
          <w:tcPr>
            <w:tcW w:w="1376" w:type="dxa"/>
            <w:tcBorders>
              <w:top w:val="single" w:sz="4" w:space="0" w:color="auto"/>
              <w:left w:val="single" w:sz="4" w:space="0" w:color="auto"/>
              <w:bottom w:val="single" w:sz="4" w:space="0" w:color="auto"/>
              <w:right w:val="single" w:sz="4" w:space="0" w:color="auto"/>
            </w:tcBorders>
            <w:vAlign w:val="bottom"/>
          </w:tcPr>
          <w:p w14:paraId="0435EA56" w14:textId="793DD613" w:rsidR="003F7920" w:rsidRPr="005101B8" w:rsidRDefault="003F7920" w:rsidP="00F37E2F">
            <w:pPr>
              <w:jc w:val="right"/>
              <w:rPr>
                <w:sz w:val="20"/>
                <w:szCs w:val="20"/>
              </w:rPr>
            </w:pPr>
            <w:r w:rsidRPr="009756CA">
              <w:rPr>
                <w:rFonts w:eastAsia="Calibri"/>
                <w:sz w:val="20"/>
                <w:szCs w:val="20"/>
              </w:rPr>
              <w:t>937</w:t>
            </w:r>
            <w:r w:rsidRPr="009756CA">
              <w:rPr>
                <w:rStyle w:val="FootnoteReference"/>
                <w:rFonts w:eastAsia="Calibri"/>
                <w:sz w:val="20"/>
                <w:szCs w:val="20"/>
                <w:vertAlign w:val="superscript"/>
              </w:rPr>
              <w:footnoteReference w:id="16"/>
            </w:r>
          </w:p>
        </w:tc>
        <w:tc>
          <w:tcPr>
            <w:tcW w:w="0" w:type="auto"/>
            <w:tcBorders>
              <w:top w:val="single" w:sz="4" w:space="0" w:color="auto"/>
              <w:left w:val="single" w:sz="4" w:space="0" w:color="auto"/>
              <w:bottom w:val="single" w:sz="4" w:space="0" w:color="auto"/>
              <w:right w:val="single" w:sz="4" w:space="0" w:color="auto"/>
            </w:tcBorders>
            <w:vAlign w:val="bottom"/>
          </w:tcPr>
          <w:p w14:paraId="236B9BF1" w14:textId="2112EE23" w:rsidR="003F7920" w:rsidRPr="009756CA" w:rsidRDefault="003F7920" w:rsidP="00F37E2F">
            <w:pPr>
              <w:jc w:val="right"/>
              <w:rPr>
                <w:sz w:val="20"/>
                <w:szCs w:val="20"/>
              </w:rPr>
            </w:pPr>
            <w:r w:rsidRPr="009756CA">
              <w:rPr>
                <w:rFonts w:eastAsia="Calibri"/>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724A36F4" w14:textId="6E467813" w:rsidR="003F7920" w:rsidRPr="0044561C" w:rsidRDefault="003F7920" w:rsidP="00F37E2F">
            <w:pPr>
              <w:jc w:val="right"/>
              <w:rPr>
                <w:sz w:val="20"/>
                <w:szCs w:val="20"/>
              </w:rPr>
            </w:pPr>
            <w:r w:rsidRPr="0044561C">
              <w:rPr>
                <w:rFonts w:eastAsia="Calibri"/>
                <w:sz w:val="20"/>
                <w:szCs w:val="20"/>
              </w:rPr>
              <w:t>937</w:t>
            </w:r>
          </w:p>
        </w:tc>
        <w:tc>
          <w:tcPr>
            <w:tcW w:w="0" w:type="auto"/>
            <w:tcBorders>
              <w:top w:val="single" w:sz="4" w:space="0" w:color="auto"/>
              <w:left w:val="single" w:sz="4" w:space="0" w:color="auto"/>
              <w:bottom w:val="single" w:sz="4" w:space="0" w:color="auto"/>
              <w:right w:val="single" w:sz="4" w:space="0" w:color="auto"/>
            </w:tcBorders>
            <w:vAlign w:val="bottom"/>
          </w:tcPr>
          <w:p w14:paraId="2079560F" w14:textId="4A7F1849" w:rsidR="003F7920" w:rsidRPr="00783F93" w:rsidRDefault="00B80F1C" w:rsidP="00F37E2F">
            <w:pPr>
              <w:spacing w:line="256" w:lineRule="auto"/>
              <w:jc w:val="right"/>
              <w:rPr>
                <w:rFonts w:eastAsia="Calibri"/>
                <w:sz w:val="20"/>
                <w:szCs w:val="20"/>
              </w:rPr>
            </w:pPr>
            <w:r w:rsidRPr="00CB0921">
              <w:rPr>
                <w:rFonts w:eastAsia="Calibri"/>
                <w:sz w:val="20"/>
                <w:szCs w:val="20"/>
              </w:rPr>
              <w:t>2</w:t>
            </w:r>
            <w:r w:rsidR="003F7920" w:rsidRPr="00CB0921">
              <w:rPr>
                <w:rFonts w:eastAsia="Calibri"/>
                <w:sz w:val="20"/>
                <w:szCs w:val="20"/>
              </w:rPr>
              <w:t xml:space="preserve"> h</w:t>
            </w:r>
            <w:r w:rsidR="003443C0">
              <w:rPr>
                <w:rFonts w:eastAsia="Calibri"/>
                <w:sz w:val="20"/>
                <w:szCs w:val="20"/>
              </w:rPr>
              <w:t>rs.;</w:t>
            </w:r>
          </w:p>
          <w:p w14:paraId="242B16A5" w14:textId="2DA9E364" w:rsidR="003F7920" w:rsidRPr="00783F93" w:rsidRDefault="003F7920" w:rsidP="00F37E2F">
            <w:pPr>
              <w:jc w:val="right"/>
              <w:rPr>
                <w:sz w:val="20"/>
                <w:szCs w:val="20"/>
              </w:rPr>
            </w:pPr>
            <w:r w:rsidRPr="00783F93">
              <w:rPr>
                <w:rFonts w:eastAsia="Calibri"/>
                <w:sz w:val="20"/>
                <w:szCs w:val="20"/>
              </w:rPr>
              <w:t>$</w:t>
            </w:r>
            <w:r w:rsidR="00B80F1C" w:rsidRPr="00CB0921">
              <w:rPr>
                <w:rFonts w:eastAsia="Calibri"/>
                <w:sz w:val="20"/>
                <w:szCs w:val="20"/>
              </w:rPr>
              <w:t>145</w:t>
            </w:r>
          </w:p>
        </w:tc>
        <w:tc>
          <w:tcPr>
            <w:tcW w:w="0" w:type="auto"/>
            <w:tcBorders>
              <w:top w:val="single" w:sz="4" w:space="0" w:color="auto"/>
              <w:left w:val="single" w:sz="4" w:space="0" w:color="auto"/>
              <w:bottom w:val="single" w:sz="4" w:space="0" w:color="auto"/>
              <w:right w:val="single" w:sz="4" w:space="0" w:color="auto"/>
            </w:tcBorders>
            <w:vAlign w:val="bottom"/>
          </w:tcPr>
          <w:p w14:paraId="25E98A2C" w14:textId="77777777" w:rsidR="007B23F0" w:rsidRDefault="00B80F1C" w:rsidP="007B23F0">
            <w:pPr>
              <w:jc w:val="right"/>
              <w:rPr>
                <w:rFonts w:eastAsia="Calibri"/>
                <w:sz w:val="20"/>
                <w:szCs w:val="20"/>
              </w:rPr>
            </w:pPr>
            <w:r w:rsidRPr="00CB0921">
              <w:rPr>
                <w:rFonts w:eastAsia="Calibri"/>
                <w:sz w:val="20"/>
                <w:szCs w:val="20"/>
              </w:rPr>
              <w:t>1,874</w:t>
            </w:r>
            <w:r w:rsidR="0004751A" w:rsidRPr="0044561C">
              <w:rPr>
                <w:rFonts w:eastAsia="Calibri"/>
                <w:sz w:val="20"/>
                <w:szCs w:val="20"/>
              </w:rPr>
              <w:t xml:space="preserve"> hrs.;</w:t>
            </w:r>
          </w:p>
          <w:p w14:paraId="24106FEA" w14:textId="50436780" w:rsidR="003F7920" w:rsidRPr="00783F93" w:rsidRDefault="00B80F1C" w:rsidP="007B23F0">
            <w:pPr>
              <w:jc w:val="right"/>
              <w:rPr>
                <w:sz w:val="20"/>
                <w:szCs w:val="20"/>
              </w:rPr>
            </w:pPr>
            <w:r w:rsidRPr="0044561C">
              <w:rPr>
                <w:rFonts w:eastAsia="Calibri"/>
                <w:sz w:val="20"/>
                <w:szCs w:val="20"/>
              </w:rPr>
              <w:t>$135,397</w:t>
            </w:r>
          </w:p>
        </w:tc>
        <w:tc>
          <w:tcPr>
            <w:tcW w:w="0" w:type="auto"/>
            <w:tcBorders>
              <w:top w:val="single" w:sz="4" w:space="0" w:color="auto"/>
              <w:left w:val="single" w:sz="4" w:space="0" w:color="auto"/>
              <w:bottom w:val="single" w:sz="4" w:space="0" w:color="auto"/>
              <w:right w:val="single" w:sz="4" w:space="0" w:color="auto"/>
            </w:tcBorders>
            <w:vAlign w:val="bottom"/>
          </w:tcPr>
          <w:p w14:paraId="25A231C9" w14:textId="08DB2BB5" w:rsidR="003F7920" w:rsidRPr="0044561C" w:rsidRDefault="003443C0" w:rsidP="00F37E2F">
            <w:pPr>
              <w:jc w:val="right"/>
              <w:rPr>
                <w:sz w:val="20"/>
                <w:szCs w:val="20"/>
              </w:rPr>
            </w:pPr>
            <w:r>
              <w:rPr>
                <w:rFonts w:eastAsia="Calibri"/>
                <w:sz w:val="20"/>
                <w:szCs w:val="20"/>
              </w:rPr>
              <w:t>$144.50</w:t>
            </w:r>
          </w:p>
        </w:tc>
      </w:tr>
      <w:tr w:rsidR="005101B8" w:rsidRPr="0044561C" w14:paraId="1F16F8BE" w14:textId="77777777" w:rsidTr="00D6717A">
        <w:trPr>
          <w:trHeight w:val="467"/>
          <w:jc w:val="center"/>
        </w:trPr>
        <w:tc>
          <w:tcPr>
            <w:tcW w:w="1764" w:type="dxa"/>
            <w:tcBorders>
              <w:top w:val="single" w:sz="4" w:space="0" w:color="auto"/>
              <w:left w:val="single" w:sz="4" w:space="0" w:color="auto"/>
              <w:bottom w:val="single" w:sz="4" w:space="0" w:color="auto"/>
              <w:right w:val="single" w:sz="4" w:space="0" w:color="auto"/>
            </w:tcBorders>
            <w:noWrap/>
          </w:tcPr>
          <w:p w14:paraId="353804E9" w14:textId="76F52A7C" w:rsidR="003443C0" w:rsidRPr="0044561C" w:rsidRDefault="003443C0" w:rsidP="00577BAA">
            <w:pPr>
              <w:rPr>
                <w:sz w:val="20"/>
                <w:szCs w:val="20"/>
              </w:rPr>
            </w:pPr>
            <w:r w:rsidRPr="0044561C">
              <w:rPr>
                <w:sz w:val="20"/>
                <w:szCs w:val="20"/>
              </w:rPr>
              <w:t>Implementation of PRC-005-6 -</w:t>
            </w:r>
            <w:r>
              <w:t xml:space="preserve"> </w:t>
            </w:r>
            <w:r w:rsidRPr="003443C0">
              <w:rPr>
                <w:rFonts w:eastAsia="Calibri"/>
                <w:sz w:val="20"/>
                <w:szCs w:val="20"/>
              </w:rPr>
              <w:t>One-time review and adjustment of existing program for reclosing relays and associated equipment</w:t>
            </w:r>
            <w:r w:rsidRPr="003443C0" w:rsidDel="003443C0">
              <w:rPr>
                <w:rFonts w:eastAsia="Calibri"/>
                <w:sz w:val="20"/>
                <w:szCs w:val="20"/>
              </w:rPr>
              <w:t xml:space="preserve"> </w:t>
            </w:r>
            <w:r w:rsidRPr="0044561C">
              <w:rPr>
                <w:sz w:val="20"/>
                <w:szCs w:val="20"/>
              </w:rPr>
              <w:t>(Burden Increase)</w:t>
            </w:r>
          </w:p>
        </w:tc>
        <w:tc>
          <w:tcPr>
            <w:tcW w:w="1376" w:type="dxa"/>
            <w:tcBorders>
              <w:top w:val="single" w:sz="4" w:space="0" w:color="auto"/>
              <w:left w:val="single" w:sz="4" w:space="0" w:color="auto"/>
              <w:bottom w:val="single" w:sz="4" w:space="0" w:color="auto"/>
              <w:right w:val="single" w:sz="4" w:space="0" w:color="auto"/>
            </w:tcBorders>
            <w:vAlign w:val="bottom"/>
          </w:tcPr>
          <w:p w14:paraId="41212EF8" w14:textId="176FB2E3" w:rsidR="003443C0" w:rsidRPr="00783F93" w:rsidRDefault="003443C0" w:rsidP="00F37E2F">
            <w:pPr>
              <w:jc w:val="right"/>
              <w:rPr>
                <w:sz w:val="20"/>
                <w:szCs w:val="20"/>
              </w:rPr>
            </w:pPr>
            <w:r>
              <w:rPr>
                <w:sz w:val="20"/>
                <w:szCs w:val="20"/>
              </w:rPr>
              <w:t>288</w:t>
            </w:r>
          </w:p>
        </w:tc>
        <w:tc>
          <w:tcPr>
            <w:tcW w:w="0" w:type="auto"/>
            <w:tcBorders>
              <w:top w:val="single" w:sz="4" w:space="0" w:color="auto"/>
              <w:left w:val="single" w:sz="4" w:space="0" w:color="auto"/>
              <w:bottom w:val="single" w:sz="4" w:space="0" w:color="auto"/>
              <w:right w:val="single" w:sz="4" w:space="0" w:color="auto"/>
            </w:tcBorders>
            <w:vAlign w:val="bottom"/>
          </w:tcPr>
          <w:p w14:paraId="3113AF25" w14:textId="332E6BFB" w:rsidR="003443C0" w:rsidRPr="00CB0921" w:rsidRDefault="003443C0" w:rsidP="00F37E2F">
            <w:pPr>
              <w:jc w:val="right"/>
              <w:rPr>
                <w:sz w:val="20"/>
                <w:szCs w:val="20"/>
              </w:rPr>
            </w:pPr>
            <w:r>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5B32EA1E" w14:textId="16F15AE5" w:rsidR="003443C0" w:rsidRPr="0044561C" w:rsidRDefault="003443C0" w:rsidP="00F37E2F">
            <w:pPr>
              <w:jc w:val="right"/>
              <w:rPr>
                <w:sz w:val="20"/>
                <w:szCs w:val="20"/>
              </w:rPr>
            </w:pPr>
            <w:r>
              <w:rPr>
                <w:color w:val="000000"/>
                <w:sz w:val="20"/>
                <w:szCs w:val="20"/>
              </w:rPr>
              <w:t>288</w:t>
            </w:r>
          </w:p>
        </w:tc>
        <w:tc>
          <w:tcPr>
            <w:tcW w:w="0" w:type="auto"/>
            <w:tcBorders>
              <w:top w:val="single" w:sz="4" w:space="0" w:color="auto"/>
              <w:left w:val="single" w:sz="4" w:space="0" w:color="auto"/>
              <w:bottom w:val="single" w:sz="4" w:space="0" w:color="auto"/>
              <w:right w:val="single" w:sz="4" w:space="0" w:color="auto"/>
            </w:tcBorders>
            <w:vAlign w:val="bottom"/>
          </w:tcPr>
          <w:p w14:paraId="3C4EC89B" w14:textId="4438CD72" w:rsidR="003443C0" w:rsidRPr="003443C0" w:rsidRDefault="003443C0" w:rsidP="00F37E2F">
            <w:pPr>
              <w:spacing w:line="256" w:lineRule="auto"/>
              <w:jc w:val="right"/>
              <w:rPr>
                <w:rFonts w:eastAsia="Calibri"/>
                <w:sz w:val="20"/>
                <w:szCs w:val="20"/>
              </w:rPr>
            </w:pPr>
            <w:r w:rsidRPr="003443C0">
              <w:rPr>
                <w:color w:val="000000"/>
                <w:sz w:val="20"/>
                <w:szCs w:val="20"/>
              </w:rPr>
              <w:t>8.5</w:t>
            </w:r>
            <w:r w:rsidRPr="003443C0">
              <w:rPr>
                <w:rFonts w:eastAsia="Calibri"/>
                <w:sz w:val="20"/>
                <w:szCs w:val="20"/>
              </w:rPr>
              <w:t xml:space="preserve"> hrs.;</w:t>
            </w:r>
          </w:p>
          <w:p w14:paraId="4B4C6C45" w14:textId="38AC18F2" w:rsidR="003443C0" w:rsidRPr="003443C0" w:rsidRDefault="003443C0" w:rsidP="00F37E2F">
            <w:pPr>
              <w:jc w:val="right"/>
              <w:rPr>
                <w:sz w:val="20"/>
                <w:szCs w:val="20"/>
              </w:rPr>
            </w:pPr>
            <w:r w:rsidRPr="009756CA">
              <w:rPr>
                <w:sz w:val="20"/>
                <w:szCs w:val="20"/>
              </w:rPr>
              <w:t>$614</w:t>
            </w:r>
          </w:p>
        </w:tc>
        <w:tc>
          <w:tcPr>
            <w:tcW w:w="0" w:type="auto"/>
            <w:tcBorders>
              <w:top w:val="single" w:sz="4" w:space="0" w:color="auto"/>
              <w:left w:val="single" w:sz="4" w:space="0" w:color="auto"/>
              <w:bottom w:val="single" w:sz="4" w:space="0" w:color="auto"/>
              <w:right w:val="single" w:sz="4" w:space="0" w:color="auto"/>
            </w:tcBorders>
            <w:vAlign w:val="bottom"/>
          </w:tcPr>
          <w:p w14:paraId="0DE80CA2" w14:textId="77777777" w:rsidR="003443C0" w:rsidRPr="005101B8" w:rsidRDefault="003443C0" w:rsidP="00F37E2F">
            <w:pPr>
              <w:spacing w:line="256" w:lineRule="auto"/>
              <w:jc w:val="right"/>
              <w:rPr>
                <w:color w:val="000000"/>
                <w:sz w:val="20"/>
                <w:szCs w:val="20"/>
              </w:rPr>
            </w:pPr>
            <w:r w:rsidRPr="005101B8">
              <w:rPr>
                <w:color w:val="000000"/>
                <w:sz w:val="20"/>
                <w:szCs w:val="20"/>
              </w:rPr>
              <w:t>2,448 hrs.;</w:t>
            </w:r>
          </w:p>
          <w:p w14:paraId="4DE27812" w14:textId="57E620B5" w:rsidR="003443C0" w:rsidRPr="003443C0" w:rsidRDefault="003443C0" w:rsidP="00F37E2F">
            <w:pPr>
              <w:spacing w:line="256" w:lineRule="auto"/>
              <w:jc w:val="right"/>
              <w:rPr>
                <w:sz w:val="20"/>
                <w:szCs w:val="20"/>
              </w:rPr>
            </w:pPr>
            <w:r w:rsidRPr="009756CA">
              <w:rPr>
                <w:sz w:val="20"/>
                <w:szCs w:val="20"/>
              </w:rPr>
              <w:t>$176,868</w:t>
            </w:r>
          </w:p>
        </w:tc>
        <w:tc>
          <w:tcPr>
            <w:tcW w:w="0" w:type="auto"/>
            <w:tcBorders>
              <w:top w:val="single" w:sz="4" w:space="0" w:color="auto"/>
              <w:left w:val="single" w:sz="4" w:space="0" w:color="auto"/>
              <w:bottom w:val="single" w:sz="4" w:space="0" w:color="auto"/>
              <w:right w:val="single" w:sz="4" w:space="0" w:color="auto"/>
            </w:tcBorders>
            <w:vAlign w:val="bottom"/>
          </w:tcPr>
          <w:p w14:paraId="04251EB0" w14:textId="3281B611" w:rsidR="003443C0" w:rsidRPr="0044561C" w:rsidRDefault="003443C0" w:rsidP="00F37E2F">
            <w:pPr>
              <w:jc w:val="right"/>
              <w:rPr>
                <w:sz w:val="20"/>
                <w:szCs w:val="20"/>
              </w:rPr>
            </w:pPr>
            <w:r>
              <w:rPr>
                <w:color w:val="000000"/>
                <w:sz w:val="20"/>
                <w:szCs w:val="20"/>
              </w:rPr>
              <w:t xml:space="preserve">$614 </w:t>
            </w:r>
          </w:p>
        </w:tc>
      </w:tr>
      <w:tr w:rsidR="005101B8" w:rsidRPr="0044561C" w14:paraId="3CF578B3" w14:textId="77777777" w:rsidTr="00D6717A">
        <w:trPr>
          <w:trHeight w:val="467"/>
          <w:jc w:val="center"/>
        </w:trPr>
        <w:tc>
          <w:tcPr>
            <w:tcW w:w="1764" w:type="dxa"/>
            <w:tcBorders>
              <w:top w:val="single" w:sz="4" w:space="0" w:color="auto"/>
              <w:left w:val="single" w:sz="4" w:space="0" w:color="auto"/>
              <w:bottom w:val="single" w:sz="4" w:space="0" w:color="auto"/>
              <w:right w:val="single" w:sz="4" w:space="0" w:color="auto"/>
            </w:tcBorders>
            <w:noWrap/>
            <w:vAlign w:val="center"/>
          </w:tcPr>
          <w:p w14:paraId="073E48A9" w14:textId="2DBF1D7C" w:rsidR="005101B8" w:rsidRPr="009756CA" w:rsidRDefault="005101B8" w:rsidP="00CE6500">
            <w:pPr>
              <w:rPr>
                <w:sz w:val="20"/>
                <w:szCs w:val="20"/>
              </w:rPr>
            </w:pPr>
            <w:r w:rsidRPr="0044561C">
              <w:rPr>
                <w:sz w:val="20"/>
                <w:szCs w:val="20"/>
              </w:rPr>
              <w:t>Implementation of PRC-005-6 -</w:t>
            </w:r>
            <w:r>
              <w:t xml:space="preserve"> </w:t>
            </w:r>
            <w:r w:rsidRPr="009756CA">
              <w:rPr>
                <w:sz w:val="20"/>
                <w:szCs w:val="20"/>
              </w:rPr>
              <w:t>One-time review and adjustment of existing program for sudden pressure relays</w:t>
            </w:r>
            <w:r>
              <w:rPr>
                <w:sz w:val="20"/>
                <w:szCs w:val="20"/>
              </w:rPr>
              <w:t xml:space="preserve"> </w:t>
            </w:r>
            <w:r w:rsidRPr="003443C0">
              <w:rPr>
                <w:sz w:val="20"/>
                <w:szCs w:val="20"/>
              </w:rPr>
              <w:t>(Burden Increase)</w:t>
            </w: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761DA2" w14:textId="769864DC" w:rsidR="005101B8" w:rsidRPr="0044561C" w:rsidRDefault="005101B8" w:rsidP="00F37E2F">
            <w:pPr>
              <w:jc w:val="right"/>
              <w:rPr>
                <w:sz w:val="20"/>
                <w:szCs w:val="20"/>
                <w:highlight w:val="yellow"/>
              </w:rPr>
            </w:pPr>
            <w:r>
              <w:rPr>
                <w:color w:val="000000"/>
                <w:sz w:val="20"/>
                <w:szCs w:val="20"/>
              </w:rPr>
              <w:t>1,287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5BD06D" w14:textId="10CB506F" w:rsidR="005101B8" w:rsidRPr="0044561C" w:rsidRDefault="005101B8" w:rsidP="00F37E2F">
            <w:pPr>
              <w:jc w:val="right"/>
              <w:rPr>
                <w:sz w:val="20"/>
                <w:szCs w:val="20"/>
                <w:highlight w:val="yellow"/>
              </w:rPr>
            </w:pPr>
            <w:r>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4657DA1C" w14:textId="4F624947" w:rsidR="005101B8" w:rsidRPr="0044561C" w:rsidRDefault="005101B8" w:rsidP="00F37E2F">
            <w:pPr>
              <w:jc w:val="right"/>
              <w:rPr>
                <w:sz w:val="20"/>
                <w:szCs w:val="20"/>
                <w:highlight w:val="yellow"/>
              </w:rPr>
            </w:pPr>
            <w:r>
              <w:rPr>
                <w:color w:val="000000"/>
                <w:sz w:val="20"/>
                <w:szCs w:val="20"/>
              </w:rPr>
              <w:t>1,287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B40044" w14:textId="77777777" w:rsidR="005101B8" w:rsidRDefault="005101B8" w:rsidP="00F37E2F">
            <w:pPr>
              <w:jc w:val="right"/>
              <w:rPr>
                <w:color w:val="000000"/>
                <w:sz w:val="20"/>
                <w:szCs w:val="20"/>
              </w:rPr>
            </w:pPr>
            <w:r>
              <w:rPr>
                <w:color w:val="000000"/>
                <w:sz w:val="20"/>
                <w:szCs w:val="20"/>
              </w:rPr>
              <w:t>8</w:t>
            </w:r>
            <w:r w:rsidR="009756CA">
              <w:rPr>
                <w:color w:val="000000"/>
                <w:sz w:val="20"/>
                <w:szCs w:val="20"/>
              </w:rPr>
              <w:t xml:space="preserve"> hrs.;</w:t>
            </w:r>
          </w:p>
          <w:p w14:paraId="33574F65" w14:textId="303F9510" w:rsidR="009756CA" w:rsidRPr="0044561C" w:rsidRDefault="009756CA" w:rsidP="00F37E2F">
            <w:pPr>
              <w:jc w:val="right"/>
              <w:rPr>
                <w:sz w:val="20"/>
                <w:szCs w:val="20"/>
                <w:highlight w:val="yellow"/>
              </w:rPr>
            </w:pPr>
            <w:r w:rsidRPr="009756CA">
              <w:rPr>
                <w:sz w:val="20"/>
                <w:szCs w:val="20"/>
              </w:rPr>
              <w:t>$531.60</w:t>
            </w:r>
          </w:p>
        </w:tc>
        <w:tc>
          <w:tcPr>
            <w:tcW w:w="0" w:type="auto"/>
            <w:tcBorders>
              <w:top w:val="single" w:sz="4" w:space="0" w:color="auto"/>
              <w:left w:val="single" w:sz="4" w:space="0" w:color="auto"/>
              <w:bottom w:val="single" w:sz="4" w:space="0" w:color="auto"/>
              <w:right w:val="single" w:sz="4" w:space="0" w:color="auto"/>
            </w:tcBorders>
            <w:vAlign w:val="bottom"/>
          </w:tcPr>
          <w:p w14:paraId="7514509B" w14:textId="77777777" w:rsidR="009756CA" w:rsidRDefault="005101B8" w:rsidP="00F37E2F">
            <w:pPr>
              <w:jc w:val="right"/>
              <w:rPr>
                <w:color w:val="000000"/>
                <w:sz w:val="20"/>
                <w:szCs w:val="20"/>
              </w:rPr>
            </w:pPr>
            <w:r>
              <w:rPr>
                <w:color w:val="000000"/>
                <w:sz w:val="20"/>
                <w:szCs w:val="20"/>
              </w:rPr>
              <w:t>10,296</w:t>
            </w:r>
            <w:r w:rsidR="009756CA">
              <w:rPr>
                <w:color w:val="000000"/>
                <w:sz w:val="20"/>
                <w:szCs w:val="20"/>
              </w:rPr>
              <w:t xml:space="preserve"> hrs.;</w:t>
            </w:r>
          </w:p>
          <w:p w14:paraId="378DACC2" w14:textId="6FE063B0" w:rsidR="009756CA" w:rsidRPr="0044561C" w:rsidRDefault="009756CA" w:rsidP="00F37E2F">
            <w:pPr>
              <w:jc w:val="right"/>
              <w:rPr>
                <w:sz w:val="20"/>
                <w:szCs w:val="20"/>
                <w:highlight w:val="yellow"/>
              </w:rPr>
            </w:pPr>
            <w:r w:rsidRPr="009756CA">
              <w:rPr>
                <w:color w:val="000000"/>
                <w:sz w:val="20"/>
                <w:szCs w:val="20"/>
              </w:rPr>
              <w:t>$684,169.20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296ADD" w14:textId="51374796" w:rsidR="005101B8" w:rsidRPr="0044561C" w:rsidRDefault="005101B8" w:rsidP="00F37E2F">
            <w:pPr>
              <w:jc w:val="right"/>
              <w:rPr>
                <w:sz w:val="20"/>
                <w:szCs w:val="20"/>
                <w:highlight w:val="yellow"/>
              </w:rPr>
            </w:pPr>
            <w:r>
              <w:rPr>
                <w:color w:val="000000"/>
                <w:sz w:val="20"/>
                <w:szCs w:val="20"/>
              </w:rPr>
              <w:t xml:space="preserve">                      </w:t>
            </w:r>
            <w:r w:rsidR="009756CA">
              <w:rPr>
                <w:color w:val="000000"/>
                <w:sz w:val="20"/>
                <w:szCs w:val="20"/>
              </w:rPr>
              <w:t>$</w:t>
            </w:r>
            <w:r>
              <w:rPr>
                <w:color w:val="000000"/>
                <w:sz w:val="20"/>
                <w:szCs w:val="20"/>
              </w:rPr>
              <w:t xml:space="preserve">531.60 </w:t>
            </w:r>
          </w:p>
        </w:tc>
      </w:tr>
      <w:tr w:rsidR="003443C0" w:rsidRPr="00F37E2F" w14:paraId="7FEAFE02" w14:textId="77777777" w:rsidTr="00D6717A">
        <w:trPr>
          <w:trHeight w:val="467"/>
          <w:jc w:val="center"/>
        </w:trPr>
        <w:tc>
          <w:tcPr>
            <w:tcW w:w="1764" w:type="dxa"/>
            <w:tcBorders>
              <w:top w:val="single" w:sz="4" w:space="0" w:color="auto"/>
              <w:left w:val="single" w:sz="4" w:space="0" w:color="auto"/>
              <w:bottom w:val="single" w:sz="4" w:space="0" w:color="auto"/>
              <w:right w:val="single" w:sz="4" w:space="0" w:color="auto"/>
            </w:tcBorders>
            <w:noWrap/>
            <w:vAlign w:val="center"/>
          </w:tcPr>
          <w:p w14:paraId="68981F9A" w14:textId="3121D667" w:rsidR="00603C93" w:rsidRPr="0044561C" w:rsidRDefault="00603C93" w:rsidP="00CE6500">
            <w:pPr>
              <w:rPr>
                <w:b/>
                <w:sz w:val="20"/>
                <w:szCs w:val="20"/>
              </w:rPr>
            </w:pPr>
            <w:r w:rsidRPr="0044561C">
              <w:rPr>
                <w:b/>
                <w:sz w:val="20"/>
                <w:szCs w:val="20"/>
              </w:rPr>
              <w:t xml:space="preserve">Total </w:t>
            </w:r>
            <w:r w:rsidR="005101B8">
              <w:rPr>
                <w:b/>
                <w:sz w:val="20"/>
                <w:szCs w:val="20"/>
              </w:rPr>
              <w:t xml:space="preserve">Net </w:t>
            </w:r>
            <w:r w:rsidRPr="0044561C">
              <w:rPr>
                <w:b/>
                <w:sz w:val="20"/>
                <w:szCs w:val="20"/>
              </w:rPr>
              <w:t>Increase to FERC-725P1</w:t>
            </w: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014158" w14:textId="77777777" w:rsidR="00603C93" w:rsidRPr="0044561C" w:rsidRDefault="00603C93" w:rsidP="00F37E2F">
            <w:pPr>
              <w:jc w:val="right"/>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34A41C" w14:textId="77777777" w:rsidR="00603C93" w:rsidRPr="0044561C" w:rsidRDefault="00603C93" w:rsidP="00F37E2F">
            <w:pPr>
              <w:jc w:val="right"/>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14:paraId="2488A987" w14:textId="6DEA41E1" w:rsidR="00603C93" w:rsidRPr="0044561C" w:rsidRDefault="00F37E2F" w:rsidP="00F37E2F">
            <w:pPr>
              <w:jc w:val="right"/>
              <w:rPr>
                <w:sz w:val="20"/>
                <w:szCs w:val="20"/>
                <w:highlight w:val="yellow"/>
              </w:rPr>
            </w:pPr>
            <w:r w:rsidRPr="00F37E2F">
              <w:rPr>
                <w:sz w:val="20"/>
                <w:szCs w:val="20"/>
              </w:rPr>
              <w:t>2,512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DC7457" w14:textId="77777777" w:rsidR="00603C93" w:rsidRPr="0044561C" w:rsidRDefault="00603C93" w:rsidP="00F37E2F">
            <w:pPr>
              <w:jc w:val="right"/>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14:paraId="3431CB46" w14:textId="77777777" w:rsidR="00F37E2F" w:rsidRDefault="009756CA" w:rsidP="00F37E2F">
            <w:pPr>
              <w:jc w:val="right"/>
              <w:rPr>
                <w:sz w:val="20"/>
                <w:szCs w:val="20"/>
              </w:rPr>
            </w:pPr>
            <w:r w:rsidRPr="00F37E2F">
              <w:rPr>
                <w:sz w:val="20"/>
                <w:szCs w:val="20"/>
              </w:rPr>
              <w:t>4,332 hrs.</w:t>
            </w:r>
            <w:r w:rsidR="00F37E2F">
              <w:rPr>
                <w:sz w:val="20"/>
                <w:szCs w:val="20"/>
              </w:rPr>
              <w:t>;</w:t>
            </w:r>
          </w:p>
          <w:p w14:paraId="0967EE59" w14:textId="3DAF9F45" w:rsidR="00603C93" w:rsidRPr="00F37E2F" w:rsidRDefault="00F37E2F" w:rsidP="00F37E2F">
            <w:pPr>
              <w:jc w:val="right"/>
              <w:rPr>
                <w:sz w:val="20"/>
                <w:szCs w:val="20"/>
              </w:rPr>
            </w:pPr>
            <w:r>
              <w:rPr>
                <w:sz w:val="20"/>
                <w:szCs w:val="20"/>
              </w:rPr>
              <w:t>$323,693.56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2F7D68" w14:textId="77777777" w:rsidR="00603C93" w:rsidRPr="00F37E2F" w:rsidRDefault="00603C93" w:rsidP="00F37E2F">
            <w:pPr>
              <w:jc w:val="right"/>
              <w:rPr>
                <w:sz w:val="20"/>
                <w:szCs w:val="20"/>
              </w:rPr>
            </w:pPr>
          </w:p>
        </w:tc>
      </w:tr>
      <w:tr w:rsidR="003443C0" w:rsidRPr="0044561C" w14:paraId="781B6963" w14:textId="77777777" w:rsidTr="00D6717A">
        <w:trPr>
          <w:trHeight w:val="467"/>
          <w:jc w:val="center"/>
        </w:trPr>
        <w:tc>
          <w:tcPr>
            <w:tcW w:w="1764" w:type="dxa"/>
            <w:tcBorders>
              <w:top w:val="single" w:sz="4" w:space="0" w:color="auto"/>
              <w:left w:val="single" w:sz="4" w:space="0" w:color="auto"/>
              <w:bottom w:val="single" w:sz="4" w:space="0" w:color="auto"/>
              <w:right w:val="single" w:sz="4" w:space="0" w:color="auto"/>
            </w:tcBorders>
            <w:noWrap/>
            <w:vAlign w:val="center"/>
            <w:hideMark/>
          </w:tcPr>
          <w:p w14:paraId="0E5288FD" w14:textId="75501AE9" w:rsidR="00603C93" w:rsidRPr="0044561C" w:rsidRDefault="00603C93" w:rsidP="00CE6500">
            <w:pPr>
              <w:rPr>
                <w:b/>
                <w:sz w:val="20"/>
                <w:szCs w:val="20"/>
              </w:rPr>
            </w:pPr>
            <w:r w:rsidRPr="0044561C">
              <w:rPr>
                <w:b/>
                <w:sz w:val="20"/>
                <w:szCs w:val="20"/>
              </w:rPr>
              <w:t>Total Net Change, due to RD16-2</w:t>
            </w: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5E19FF" w14:textId="4A9E4CAD" w:rsidR="00603C93" w:rsidRPr="0044561C" w:rsidRDefault="00603C93" w:rsidP="00F37E2F">
            <w:pPr>
              <w:jc w:val="right"/>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17F513" w14:textId="77777777" w:rsidR="00603C93" w:rsidRPr="0044561C" w:rsidRDefault="00603C93" w:rsidP="00F37E2F">
            <w:pPr>
              <w:jc w:val="right"/>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14:paraId="3A219E8A" w14:textId="09A50D07" w:rsidR="00603C93" w:rsidRPr="00F37E2F" w:rsidRDefault="00F37E2F" w:rsidP="00F37E2F">
            <w:pPr>
              <w:jc w:val="right"/>
              <w:rPr>
                <w:b/>
                <w:sz w:val="20"/>
                <w:szCs w:val="20"/>
                <w:highlight w:val="yellow"/>
              </w:rPr>
            </w:pPr>
            <w:r w:rsidRPr="00F37E2F">
              <w:rPr>
                <w:b/>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CBD64C" w14:textId="77777777" w:rsidR="00603C93" w:rsidRPr="00F37E2F" w:rsidRDefault="00603C93" w:rsidP="00F37E2F">
            <w:pPr>
              <w:jc w:val="right"/>
              <w:rPr>
                <w:b/>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14:paraId="62B358CF" w14:textId="19C805F9" w:rsidR="005B66FD" w:rsidRPr="00F37E2F" w:rsidRDefault="00F37E2F" w:rsidP="00F37E2F">
            <w:pPr>
              <w:jc w:val="right"/>
              <w:rPr>
                <w:b/>
                <w:sz w:val="20"/>
                <w:szCs w:val="20"/>
              </w:rPr>
            </w:pPr>
            <w:r w:rsidRPr="00F37E2F">
              <w:rPr>
                <w:b/>
                <w:bCs/>
                <w:color w:val="000000"/>
                <w:sz w:val="20"/>
                <w:szCs w:val="20"/>
              </w:rPr>
              <w:t>144</w:t>
            </w:r>
            <w:r w:rsidR="005B66FD" w:rsidRPr="00F37E2F">
              <w:rPr>
                <w:b/>
                <w:sz w:val="20"/>
                <w:szCs w:val="20"/>
              </w:rPr>
              <w:t xml:space="preserve"> hrs.; </w:t>
            </w:r>
          </w:p>
          <w:p w14:paraId="44E8E3FF" w14:textId="2999EA5D" w:rsidR="00603C93" w:rsidRPr="00F37E2F" w:rsidRDefault="00F37E2F" w:rsidP="00F37E2F">
            <w:pPr>
              <w:jc w:val="right"/>
              <w:rPr>
                <w:b/>
                <w:sz w:val="20"/>
                <w:szCs w:val="20"/>
                <w:highlight w:val="yellow"/>
              </w:rPr>
            </w:pPr>
            <w:r w:rsidRPr="00F37E2F">
              <w:rPr>
                <w:b/>
                <w:sz w:val="20"/>
                <w:szCs w:val="20"/>
              </w:rPr>
              <w:t>$18,699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7F84EE" w14:textId="5E5369E2" w:rsidR="00603C93" w:rsidRPr="0044561C" w:rsidRDefault="00603C93" w:rsidP="00F37E2F">
            <w:pPr>
              <w:jc w:val="right"/>
              <w:rPr>
                <w:sz w:val="20"/>
                <w:szCs w:val="20"/>
                <w:highlight w:val="yellow"/>
              </w:rPr>
            </w:pPr>
          </w:p>
        </w:tc>
      </w:tr>
    </w:tbl>
    <w:p w14:paraId="5887BD29" w14:textId="201BE504" w:rsidR="00241F8D" w:rsidRDefault="00241F8D" w:rsidP="001C2FFE">
      <w:pPr>
        <w:widowControl/>
        <w:rPr>
          <w:sz w:val="26"/>
          <w:szCs w:val="26"/>
        </w:rPr>
      </w:pPr>
    </w:p>
    <w:p w14:paraId="692D83D9" w14:textId="1227FAEB" w:rsidR="001C2FFE" w:rsidRDefault="001C2FFE" w:rsidP="001C2FFE">
      <w:pPr>
        <w:widowControl/>
        <w:rPr>
          <w:sz w:val="26"/>
          <w:szCs w:val="26"/>
        </w:rPr>
      </w:pPr>
    </w:p>
    <w:p w14:paraId="22D1D01B" w14:textId="66296144" w:rsidR="001C2FFE" w:rsidRDefault="001C2FFE" w:rsidP="001C2FFE">
      <w:pPr>
        <w:widowControl/>
        <w:rPr>
          <w:sz w:val="26"/>
          <w:szCs w:val="26"/>
        </w:rPr>
      </w:pPr>
    </w:p>
    <w:p w14:paraId="5C855627" w14:textId="0246F7F4" w:rsidR="001C2FFE" w:rsidRDefault="001C2FFE" w:rsidP="001C2FFE">
      <w:pPr>
        <w:widowControl/>
        <w:rPr>
          <w:sz w:val="26"/>
          <w:szCs w:val="26"/>
        </w:rPr>
      </w:pPr>
    </w:p>
    <w:p w14:paraId="77A300B0" w14:textId="3BE7D723" w:rsidR="001C2FFE" w:rsidRPr="001C2FFE" w:rsidRDefault="001C2FFE" w:rsidP="001C2FFE">
      <w:pPr>
        <w:widowControl/>
        <w:ind w:firstLine="2606"/>
        <w:jc w:val="center"/>
        <w:rPr>
          <w:sz w:val="26"/>
        </w:rPr>
      </w:pPr>
      <w:r w:rsidRPr="001C2FFE">
        <w:rPr>
          <w:sz w:val="26"/>
        </w:rPr>
        <w:t>Nathaniel J. Davis, Sr.,</w:t>
      </w:r>
    </w:p>
    <w:p w14:paraId="1450C823" w14:textId="48353BA5" w:rsidR="001C2FFE" w:rsidRPr="001C2FFE" w:rsidRDefault="001C2FFE" w:rsidP="001C2FFE">
      <w:pPr>
        <w:widowControl/>
        <w:ind w:firstLine="2606"/>
        <w:jc w:val="center"/>
      </w:pPr>
      <w:r w:rsidRPr="001C2FFE">
        <w:rPr>
          <w:sz w:val="26"/>
        </w:rPr>
        <w:t>Deputy Secretary.</w:t>
      </w:r>
    </w:p>
    <w:p w14:paraId="6D6E4F5F" w14:textId="77777777" w:rsidR="001C2FFE" w:rsidRPr="00E141E0" w:rsidRDefault="001C2FFE" w:rsidP="001C2FFE">
      <w:pPr>
        <w:widowControl/>
        <w:rPr>
          <w:sz w:val="26"/>
          <w:szCs w:val="26"/>
        </w:rPr>
      </w:pPr>
    </w:p>
    <w:sectPr w:rsidR="001C2FFE" w:rsidRPr="00E141E0" w:rsidSect="001C2FFE">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03970" w14:textId="77777777" w:rsidR="0044629A" w:rsidRDefault="0044629A">
      <w:r>
        <w:separator/>
      </w:r>
    </w:p>
  </w:endnote>
  <w:endnote w:type="continuationSeparator" w:id="0">
    <w:p w14:paraId="09BE58DD" w14:textId="77777777" w:rsidR="0044629A" w:rsidRDefault="0044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30" w14:textId="77777777" w:rsidR="00C81C26" w:rsidRDefault="00C81C26">
    <w:pPr>
      <w:pStyle w:val="Footer"/>
      <w:jc w:val="right"/>
    </w:pPr>
  </w:p>
  <w:p w14:paraId="5887BD31" w14:textId="77777777" w:rsidR="00C81C26" w:rsidRDefault="00C81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34" w14:textId="77777777" w:rsidR="00C81C26" w:rsidRDefault="00C81C26">
    <w:pPr>
      <w:pStyle w:val="Footer"/>
      <w:jc w:val="right"/>
    </w:pPr>
  </w:p>
  <w:p w14:paraId="5887BD35" w14:textId="77777777" w:rsidR="00C81C26" w:rsidRDefault="00C81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E6A49" w14:textId="77777777" w:rsidR="0044629A" w:rsidRDefault="0044629A">
      <w:r>
        <w:separator/>
      </w:r>
    </w:p>
  </w:footnote>
  <w:footnote w:type="continuationSeparator" w:id="0">
    <w:p w14:paraId="61A9FB24" w14:textId="77777777" w:rsidR="0044629A" w:rsidRDefault="0044629A">
      <w:r>
        <w:continuationSeparator/>
      </w:r>
    </w:p>
  </w:footnote>
  <w:footnote w:id="1">
    <w:p w14:paraId="3F2583FF" w14:textId="3C3B7654" w:rsidR="00C81C26" w:rsidRPr="00A4214A" w:rsidRDefault="00C81C26" w:rsidP="00685103">
      <w:pPr>
        <w:pStyle w:val="FootnoteText"/>
        <w:rPr>
          <w:sz w:val="26"/>
          <w:szCs w:val="26"/>
        </w:rPr>
      </w:pPr>
      <w:r w:rsidRPr="001C2FFE">
        <w:rPr>
          <w:rStyle w:val="FootnoteReference"/>
          <w:sz w:val="26"/>
          <w:szCs w:val="26"/>
          <w:vertAlign w:val="superscript"/>
        </w:rPr>
        <w:footnoteRef/>
      </w:r>
      <w:r w:rsidRPr="00A4214A">
        <w:rPr>
          <w:sz w:val="26"/>
          <w:szCs w:val="26"/>
        </w:rPr>
        <w:t xml:space="preserve"> </w:t>
      </w:r>
      <w:r w:rsidR="00022E14">
        <w:rPr>
          <w:sz w:val="26"/>
          <w:szCs w:val="26"/>
        </w:rPr>
        <w:t xml:space="preserve"> </w:t>
      </w:r>
      <w:r w:rsidRPr="00A4214A">
        <w:rPr>
          <w:sz w:val="26"/>
          <w:szCs w:val="26"/>
        </w:rPr>
        <w:t>In the future</w:t>
      </w:r>
      <w:r w:rsidR="00EC770A">
        <w:rPr>
          <w:sz w:val="26"/>
          <w:szCs w:val="26"/>
        </w:rPr>
        <w:t>,</w:t>
      </w:r>
      <w:r w:rsidR="00462805">
        <w:rPr>
          <w:sz w:val="26"/>
          <w:szCs w:val="26"/>
        </w:rPr>
        <w:t xml:space="preserve"> to consolidate reporting requirements associated with the PRC Standards</w:t>
      </w:r>
      <w:r w:rsidRPr="00A4214A">
        <w:rPr>
          <w:sz w:val="26"/>
          <w:szCs w:val="26"/>
        </w:rPr>
        <w:t xml:space="preserve">, </w:t>
      </w:r>
      <w:r w:rsidR="00EC770A">
        <w:rPr>
          <w:sz w:val="26"/>
          <w:szCs w:val="26"/>
        </w:rPr>
        <w:t xml:space="preserve">the Commission plans to transfer </w:t>
      </w:r>
      <w:r w:rsidRPr="00A4214A">
        <w:rPr>
          <w:sz w:val="26"/>
          <w:szCs w:val="26"/>
        </w:rPr>
        <w:t>the burden associated with Reliability Standard PRC-</w:t>
      </w:r>
      <w:r w:rsidR="006D5998">
        <w:rPr>
          <w:sz w:val="26"/>
          <w:szCs w:val="26"/>
        </w:rPr>
        <w:t>005-6</w:t>
      </w:r>
      <w:r w:rsidRPr="00A4214A">
        <w:rPr>
          <w:sz w:val="26"/>
          <w:szCs w:val="26"/>
        </w:rPr>
        <w:t xml:space="preserve"> </w:t>
      </w:r>
      <w:r w:rsidR="006D5998">
        <w:rPr>
          <w:sz w:val="26"/>
          <w:szCs w:val="26"/>
        </w:rPr>
        <w:t xml:space="preserve">to FERC-725G (OMB Control No. 1902-0252) </w:t>
      </w:r>
      <w:r w:rsidR="00462805">
        <w:rPr>
          <w:sz w:val="26"/>
          <w:szCs w:val="26"/>
        </w:rPr>
        <w:t xml:space="preserve">and </w:t>
      </w:r>
      <w:r w:rsidRPr="00A4214A">
        <w:rPr>
          <w:sz w:val="26"/>
          <w:szCs w:val="26"/>
        </w:rPr>
        <w:t>removed from FERC-725</w:t>
      </w:r>
      <w:r w:rsidR="006D5998">
        <w:rPr>
          <w:sz w:val="26"/>
          <w:szCs w:val="26"/>
        </w:rPr>
        <w:t>P and FERC-725P1</w:t>
      </w:r>
      <w:r w:rsidRPr="00A4214A">
        <w:rPr>
          <w:sz w:val="26"/>
          <w:szCs w:val="26"/>
        </w:rPr>
        <w:t>.</w:t>
      </w:r>
    </w:p>
  </w:footnote>
  <w:footnote w:id="2">
    <w:p w14:paraId="06C2A24D" w14:textId="24EF5571" w:rsidR="008C06EA" w:rsidRPr="00A4214A" w:rsidRDefault="008C06EA" w:rsidP="00685103">
      <w:pPr>
        <w:pStyle w:val="FootnoteText"/>
        <w:rPr>
          <w:b/>
          <w:sz w:val="26"/>
          <w:szCs w:val="26"/>
        </w:rPr>
      </w:pPr>
      <w:r w:rsidRPr="001C2FFE">
        <w:rPr>
          <w:rStyle w:val="FootnoteReference"/>
          <w:sz w:val="26"/>
          <w:szCs w:val="26"/>
          <w:vertAlign w:val="superscript"/>
        </w:rPr>
        <w:footnoteRef/>
      </w:r>
      <w:r w:rsidRPr="00A4214A">
        <w:rPr>
          <w:sz w:val="26"/>
          <w:szCs w:val="26"/>
        </w:rPr>
        <w:t xml:space="preserve">  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824</w:t>
      </w:r>
      <w:r w:rsidRPr="00A4214A">
        <w:rPr>
          <w:i/>
          <w:sz w:val="26"/>
          <w:szCs w:val="26"/>
        </w:rPr>
        <w:t>o</w:t>
      </w:r>
      <w:r>
        <w:rPr>
          <w:sz w:val="26"/>
          <w:szCs w:val="26"/>
        </w:rPr>
        <w:t xml:space="preserve"> (2012)</w:t>
      </w:r>
      <w:r w:rsidRPr="00A4214A">
        <w:rPr>
          <w:sz w:val="26"/>
          <w:szCs w:val="26"/>
        </w:rPr>
        <w:t>.</w:t>
      </w:r>
    </w:p>
  </w:footnote>
  <w:footnote w:id="3">
    <w:p w14:paraId="20CF269F" w14:textId="09BE953D" w:rsidR="00C81C26" w:rsidRPr="00A4214A" w:rsidRDefault="00C81C26" w:rsidP="00685103">
      <w:pPr>
        <w:pStyle w:val="FootnoteText"/>
        <w:rPr>
          <w:sz w:val="26"/>
          <w:szCs w:val="26"/>
        </w:rPr>
      </w:pPr>
      <w:r w:rsidRPr="001C2FFE">
        <w:rPr>
          <w:rStyle w:val="FootnoteReference"/>
          <w:sz w:val="26"/>
          <w:szCs w:val="26"/>
          <w:vertAlign w:val="superscript"/>
        </w:rPr>
        <w:footnoteRef/>
      </w:r>
      <w:r w:rsidR="00022E14">
        <w:rPr>
          <w:sz w:val="26"/>
          <w:szCs w:val="26"/>
        </w:rPr>
        <w:t xml:space="preserve"> </w:t>
      </w:r>
      <w:r w:rsidRPr="00A4214A">
        <w:rPr>
          <w:sz w:val="26"/>
          <w:szCs w:val="26"/>
        </w:rPr>
        <w:t xml:space="preserve"> Energy Policy Act of 2005, Pub. L. No. 109-58, Title XII, Subtitle A, 119 Stat. 594, 941</w:t>
      </w:r>
      <w:r w:rsidR="00B86A75">
        <w:rPr>
          <w:sz w:val="26"/>
          <w:szCs w:val="26"/>
        </w:rPr>
        <w:t xml:space="preserve"> (codified at</w:t>
      </w:r>
      <w:r w:rsidRPr="00A4214A">
        <w:rPr>
          <w:sz w:val="26"/>
          <w:szCs w:val="26"/>
        </w:rPr>
        <w:t xml:space="preserve"> 16 U</w:t>
      </w:r>
      <w:r w:rsidR="007D6FF9">
        <w:rPr>
          <w:sz w:val="26"/>
          <w:szCs w:val="26"/>
        </w:rPr>
        <w:t>.</w:t>
      </w:r>
      <w:r w:rsidRPr="00A4214A">
        <w:rPr>
          <w:sz w:val="26"/>
          <w:szCs w:val="26"/>
        </w:rPr>
        <w:t>S</w:t>
      </w:r>
      <w:r w:rsidR="007D6FF9">
        <w:rPr>
          <w:sz w:val="26"/>
          <w:szCs w:val="26"/>
        </w:rPr>
        <w:t>.</w:t>
      </w:r>
      <w:r w:rsidRPr="00A4214A">
        <w:rPr>
          <w:sz w:val="26"/>
          <w:szCs w:val="26"/>
        </w:rPr>
        <w:t>C</w:t>
      </w:r>
      <w:r w:rsidR="007D6FF9">
        <w:rPr>
          <w:sz w:val="26"/>
          <w:szCs w:val="26"/>
        </w:rPr>
        <w:t>.</w:t>
      </w:r>
      <w:r w:rsidRPr="00A4214A">
        <w:rPr>
          <w:sz w:val="26"/>
          <w:szCs w:val="26"/>
        </w:rPr>
        <w:t xml:space="preserve"> 824</w:t>
      </w:r>
      <w:r w:rsidRPr="00A4214A">
        <w:rPr>
          <w:i/>
          <w:sz w:val="26"/>
          <w:szCs w:val="26"/>
        </w:rPr>
        <w:t>o</w:t>
      </w:r>
      <w:r w:rsidR="00B86A75">
        <w:rPr>
          <w:sz w:val="26"/>
          <w:szCs w:val="26"/>
        </w:rPr>
        <w:t>)</w:t>
      </w:r>
      <w:r w:rsidRPr="00A4214A">
        <w:rPr>
          <w:sz w:val="26"/>
          <w:szCs w:val="26"/>
        </w:rPr>
        <w:t>.</w:t>
      </w:r>
    </w:p>
  </w:footnote>
  <w:footnote w:id="4">
    <w:p w14:paraId="46096054" w14:textId="501FE9F0" w:rsidR="00C81C26" w:rsidRPr="00A4214A" w:rsidRDefault="00C81C26" w:rsidP="00685103">
      <w:pPr>
        <w:pStyle w:val="FootnoteText"/>
        <w:rPr>
          <w:sz w:val="26"/>
          <w:szCs w:val="26"/>
        </w:rPr>
      </w:pPr>
      <w:r w:rsidRPr="001C2FFE">
        <w:rPr>
          <w:rStyle w:val="FootnoteReference"/>
          <w:sz w:val="26"/>
          <w:szCs w:val="26"/>
          <w:vertAlign w:val="superscript"/>
        </w:rPr>
        <w:footnoteRef/>
      </w:r>
      <w:r w:rsidRPr="00A4214A">
        <w:rPr>
          <w:sz w:val="26"/>
          <w:szCs w:val="26"/>
        </w:rPr>
        <w:t xml:space="preserve">  16 U</w:t>
      </w:r>
      <w:r w:rsidR="007D6FF9">
        <w:rPr>
          <w:sz w:val="26"/>
          <w:szCs w:val="26"/>
        </w:rPr>
        <w:t>.</w:t>
      </w:r>
      <w:r w:rsidRPr="00A4214A">
        <w:rPr>
          <w:sz w:val="26"/>
          <w:szCs w:val="26"/>
        </w:rPr>
        <w:t>S</w:t>
      </w:r>
      <w:r w:rsidR="007D6FF9">
        <w:rPr>
          <w:sz w:val="26"/>
          <w:szCs w:val="26"/>
        </w:rPr>
        <w:t>.</w:t>
      </w:r>
      <w:r w:rsidRPr="00A4214A">
        <w:rPr>
          <w:sz w:val="26"/>
          <w:szCs w:val="26"/>
        </w:rPr>
        <w:t>C</w:t>
      </w:r>
      <w:r w:rsidR="007D6FF9">
        <w:rPr>
          <w:sz w:val="26"/>
          <w:szCs w:val="26"/>
        </w:rPr>
        <w:t>.</w:t>
      </w:r>
      <w:r w:rsidRPr="00A4214A">
        <w:rPr>
          <w:sz w:val="26"/>
          <w:szCs w:val="26"/>
        </w:rPr>
        <w:t xml:space="preserve"> 824</w:t>
      </w:r>
      <w:r w:rsidRPr="00A4214A">
        <w:rPr>
          <w:i/>
          <w:sz w:val="26"/>
          <w:szCs w:val="26"/>
        </w:rPr>
        <w:t>o</w:t>
      </w:r>
      <w:r w:rsidRPr="00A4214A">
        <w:rPr>
          <w:sz w:val="26"/>
          <w:szCs w:val="26"/>
        </w:rPr>
        <w:t>(e)(3).</w:t>
      </w:r>
    </w:p>
  </w:footnote>
  <w:footnote w:id="5">
    <w:p w14:paraId="70C143B0" w14:textId="77777777" w:rsidR="00C81C26" w:rsidRPr="00685103" w:rsidRDefault="00C81C26" w:rsidP="00685103">
      <w:pPr>
        <w:pStyle w:val="FootnoteText"/>
        <w:keepLines/>
        <w:rPr>
          <w:sz w:val="26"/>
          <w:szCs w:val="26"/>
        </w:rPr>
      </w:pPr>
      <w:r w:rsidRPr="001C2FFE">
        <w:rPr>
          <w:rStyle w:val="FootnoteReference"/>
          <w:sz w:val="26"/>
          <w:szCs w:val="26"/>
          <w:vertAlign w:val="superscript"/>
        </w:rPr>
        <w:footnoteRef/>
      </w:r>
      <w:r w:rsidRPr="00685103">
        <w:rPr>
          <w:sz w:val="26"/>
          <w:szCs w:val="26"/>
        </w:rPr>
        <w:t xml:space="preserve">  </w:t>
      </w:r>
      <w:r w:rsidRPr="00685103">
        <w:rPr>
          <w:i/>
          <w:iCs/>
          <w:sz w:val="26"/>
          <w:szCs w:val="26"/>
        </w:rPr>
        <w:t>Rules Concerning Certification of the Electric Reliability Organization; and Procedures for the Establishment, Approval, and Enforcement of Electric Reliability Standards</w:t>
      </w:r>
      <w:r w:rsidRPr="00685103">
        <w:rPr>
          <w:sz w:val="26"/>
          <w:szCs w:val="26"/>
        </w:rPr>
        <w:t xml:space="preserve">, Order No. 672, FERC Stats. &amp; Regs. ¶ 31,204, </w:t>
      </w:r>
      <w:r w:rsidRPr="00685103">
        <w:rPr>
          <w:i/>
          <w:iCs/>
          <w:sz w:val="26"/>
          <w:szCs w:val="26"/>
        </w:rPr>
        <w:t>order on reh’g</w:t>
      </w:r>
      <w:r w:rsidRPr="00685103">
        <w:rPr>
          <w:sz w:val="26"/>
          <w:szCs w:val="26"/>
        </w:rPr>
        <w:t>, Order No. 672-A, FERC Stats. &amp; Regs. ¶ 31,212 (2006).</w:t>
      </w:r>
    </w:p>
  </w:footnote>
  <w:footnote w:id="6">
    <w:p w14:paraId="120A246E" w14:textId="30078E97" w:rsidR="00863D20" w:rsidRPr="00685103" w:rsidRDefault="006E258B" w:rsidP="00685103">
      <w:pPr>
        <w:pStyle w:val="FootnoteText"/>
        <w:rPr>
          <w:sz w:val="26"/>
          <w:szCs w:val="26"/>
        </w:rPr>
      </w:pPr>
      <w:r w:rsidRPr="001C2FFE">
        <w:rPr>
          <w:rStyle w:val="FootnoteReference"/>
          <w:sz w:val="26"/>
          <w:szCs w:val="26"/>
          <w:vertAlign w:val="superscript"/>
        </w:rPr>
        <w:footnoteRef/>
      </w:r>
      <w:r w:rsidRPr="00685103">
        <w:rPr>
          <w:sz w:val="26"/>
          <w:szCs w:val="26"/>
        </w:rPr>
        <w:t xml:space="preserve">  </w:t>
      </w:r>
      <w:r w:rsidR="00863D20" w:rsidRPr="00685103">
        <w:rPr>
          <w:i/>
          <w:sz w:val="26"/>
          <w:szCs w:val="26"/>
        </w:rPr>
        <w:t>North American Electric Reliability Corp</w:t>
      </w:r>
      <w:r w:rsidR="00863D20" w:rsidRPr="00685103">
        <w:rPr>
          <w:sz w:val="26"/>
          <w:szCs w:val="26"/>
        </w:rPr>
        <w:t xml:space="preserve">., 116 FERC ¶ 61,062, </w:t>
      </w:r>
      <w:r w:rsidR="00863D20" w:rsidRPr="00685103">
        <w:rPr>
          <w:i/>
          <w:sz w:val="26"/>
          <w:szCs w:val="26"/>
        </w:rPr>
        <w:t>order on reh’g and compliance</w:t>
      </w:r>
      <w:r w:rsidR="00863D20" w:rsidRPr="00685103">
        <w:rPr>
          <w:sz w:val="26"/>
          <w:szCs w:val="26"/>
        </w:rPr>
        <w:t>, 117 FERC ¶ 61,126 (2006),</w:t>
      </w:r>
      <w:r w:rsidR="00863D20" w:rsidRPr="00685103">
        <w:rPr>
          <w:i/>
          <w:sz w:val="26"/>
          <w:szCs w:val="26"/>
        </w:rPr>
        <w:t xml:space="preserve"> order on compliance</w:t>
      </w:r>
      <w:r w:rsidR="00863D20" w:rsidRPr="00685103">
        <w:rPr>
          <w:sz w:val="26"/>
          <w:szCs w:val="26"/>
        </w:rPr>
        <w:t xml:space="preserve">, 118 FERC ¶ 61,190, </w:t>
      </w:r>
      <w:r w:rsidR="00863D20" w:rsidRPr="00685103">
        <w:rPr>
          <w:i/>
          <w:sz w:val="26"/>
          <w:szCs w:val="26"/>
        </w:rPr>
        <w:t>order on reh’g</w:t>
      </w:r>
      <w:r w:rsidR="00863D20" w:rsidRPr="00685103">
        <w:rPr>
          <w:sz w:val="26"/>
          <w:szCs w:val="26"/>
        </w:rPr>
        <w:t xml:space="preserve">, 119 FERC ¶ 61,046 (2007), </w:t>
      </w:r>
      <w:r w:rsidR="00863D20" w:rsidRPr="00685103">
        <w:rPr>
          <w:i/>
          <w:sz w:val="26"/>
          <w:szCs w:val="26"/>
        </w:rPr>
        <w:t>aff’d sub nom. Alcoa Inc. v. FERC</w:t>
      </w:r>
      <w:r w:rsidR="00863D20" w:rsidRPr="00685103">
        <w:rPr>
          <w:sz w:val="26"/>
          <w:szCs w:val="26"/>
        </w:rPr>
        <w:t>, 564 F.3d 1342 (D.C. Cir. 2009).</w:t>
      </w:r>
    </w:p>
  </w:footnote>
  <w:footnote w:id="7">
    <w:p w14:paraId="23E23432" w14:textId="0175A838" w:rsidR="0033182C" w:rsidRPr="00685103" w:rsidRDefault="0033182C" w:rsidP="00685103">
      <w:pPr>
        <w:pStyle w:val="FootnoteText"/>
        <w:rPr>
          <w:sz w:val="26"/>
          <w:szCs w:val="26"/>
        </w:rPr>
      </w:pPr>
      <w:r w:rsidRPr="001C2FFE">
        <w:rPr>
          <w:rStyle w:val="FootnoteReference"/>
          <w:sz w:val="26"/>
          <w:szCs w:val="26"/>
          <w:vertAlign w:val="superscript"/>
        </w:rPr>
        <w:footnoteRef/>
      </w:r>
      <w:r w:rsidRPr="001C2FFE">
        <w:rPr>
          <w:sz w:val="26"/>
          <w:szCs w:val="26"/>
          <w:vertAlign w:val="superscript"/>
        </w:rPr>
        <w:t xml:space="preserve"> </w:t>
      </w:r>
      <w:r w:rsidRPr="00685103">
        <w:rPr>
          <w:sz w:val="26"/>
          <w:szCs w:val="26"/>
        </w:rPr>
        <w:t xml:space="preserve">As noted in NERC’s petition, NERC filed a separate motion to delay implementation of the approved, but not yet effective, versions of the PRC-005 Reliability Standard in Docket Nos. RM14-8-000 (PRC-005-3), RD15-3-000 (PRC-005-3(i)), and RM15-9-000 (PRC-005-4) until after the Commission issues an order or rule regarding proposed PRC-005-6.  NERC’s motion was granted in a delegated letter order issued December 4, 2015.  See North American Elec. Reliability Corp., Docket Nos. RM14-8-000 et al. (Dec. 4, 2015) (delegated letter order).  </w:t>
      </w:r>
    </w:p>
  </w:footnote>
  <w:footnote w:id="8">
    <w:p w14:paraId="1E199937" w14:textId="766429C5" w:rsidR="00F675E8" w:rsidRPr="00685103" w:rsidRDefault="00F675E8" w:rsidP="00685103">
      <w:pPr>
        <w:pStyle w:val="FootnoteText"/>
        <w:rPr>
          <w:sz w:val="26"/>
          <w:szCs w:val="26"/>
        </w:rPr>
      </w:pPr>
      <w:r w:rsidRPr="001C2FFE">
        <w:rPr>
          <w:rStyle w:val="FootnoteReference"/>
          <w:sz w:val="26"/>
          <w:szCs w:val="26"/>
          <w:vertAlign w:val="superscript"/>
        </w:rPr>
        <w:footnoteRef/>
      </w:r>
      <w:r w:rsidRPr="00685103">
        <w:rPr>
          <w:sz w:val="26"/>
          <w:szCs w:val="26"/>
        </w:rPr>
        <w:t xml:space="preserve"> The Delegated </w:t>
      </w:r>
      <w:r w:rsidR="0033182C" w:rsidRPr="00685103">
        <w:rPr>
          <w:sz w:val="26"/>
          <w:szCs w:val="26"/>
        </w:rPr>
        <w:t xml:space="preserve">Letter </w:t>
      </w:r>
      <w:r w:rsidRPr="00685103">
        <w:rPr>
          <w:sz w:val="26"/>
          <w:szCs w:val="26"/>
        </w:rPr>
        <w:t>Order is available in FERC’s eLibrary at http://elibrary.ferc.gov/idmws/common/opennat.asp?fileID=14076238.</w:t>
      </w:r>
    </w:p>
  </w:footnote>
  <w:footnote w:id="9">
    <w:p w14:paraId="00914A6E" w14:textId="1B05F79A" w:rsidR="00C81C26" w:rsidRPr="00685103" w:rsidRDefault="00C81C26" w:rsidP="00271885">
      <w:pPr>
        <w:pStyle w:val="FootnoteText"/>
        <w:rPr>
          <w:sz w:val="26"/>
          <w:szCs w:val="26"/>
        </w:rPr>
      </w:pPr>
      <w:r w:rsidRPr="001C2FFE">
        <w:rPr>
          <w:rStyle w:val="FootnoteReference"/>
          <w:sz w:val="26"/>
          <w:szCs w:val="26"/>
          <w:vertAlign w:val="superscript"/>
        </w:rPr>
        <w:footnoteRef/>
      </w:r>
      <w:r w:rsidRPr="00685103">
        <w:rPr>
          <w:sz w:val="26"/>
          <w:szCs w:val="26"/>
        </w:rPr>
        <w:t xml:space="preserve"> </w:t>
      </w:r>
      <w:r w:rsidR="00F5556D" w:rsidRPr="00685103">
        <w:rPr>
          <w:sz w:val="26"/>
          <w:szCs w:val="26"/>
        </w:rPr>
        <w:t xml:space="preserve"> </w:t>
      </w:r>
      <w:r w:rsidRPr="00685103">
        <w:rPr>
          <w:sz w:val="26"/>
          <w:szCs w:val="26"/>
        </w:rPr>
        <w:t xml:space="preserve">The Commission defines burden as the total time, effort, or financial resources expended by persons to generate, maintain, retain, or disclose or provide information to or for a </w:t>
      </w:r>
      <w:r w:rsidR="007914AC" w:rsidRPr="00685103">
        <w:rPr>
          <w:sz w:val="26"/>
          <w:szCs w:val="26"/>
        </w:rPr>
        <w:t>f</w:t>
      </w:r>
      <w:r w:rsidRPr="00685103">
        <w:rPr>
          <w:sz w:val="26"/>
          <w:szCs w:val="26"/>
        </w:rPr>
        <w:t xml:space="preserve">ederal agency.  </w:t>
      </w:r>
      <w:r w:rsidR="00A550B1" w:rsidRPr="00685103">
        <w:rPr>
          <w:sz w:val="26"/>
          <w:szCs w:val="26"/>
        </w:rPr>
        <w:t xml:space="preserve">5 CFR 1320.3 (2014) (explaining </w:t>
      </w:r>
      <w:r w:rsidRPr="00685103">
        <w:rPr>
          <w:sz w:val="26"/>
          <w:szCs w:val="26"/>
        </w:rPr>
        <w:t>what is included in the information collection burden</w:t>
      </w:r>
      <w:r w:rsidR="00A550B1" w:rsidRPr="00685103">
        <w:rPr>
          <w:sz w:val="26"/>
          <w:szCs w:val="26"/>
        </w:rPr>
        <w:t>)</w:t>
      </w:r>
      <w:r w:rsidRPr="00685103">
        <w:rPr>
          <w:sz w:val="26"/>
          <w:szCs w:val="26"/>
        </w:rPr>
        <w:t>.</w:t>
      </w:r>
    </w:p>
  </w:footnote>
  <w:footnote w:id="10">
    <w:p w14:paraId="0C2DABFE" w14:textId="524A0F63" w:rsidR="00143F02" w:rsidRPr="00271885" w:rsidRDefault="00143F02">
      <w:pPr>
        <w:pStyle w:val="FootnoteText"/>
        <w:rPr>
          <w:sz w:val="26"/>
          <w:szCs w:val="26"/>
        </w:rPr>
      </w:pPr>
      <w:r w:rsidRPr="001C2FFE">
        <w:rPr>
          <w:rStyle w:val="FootnoteReference"/>
          <w:sz w:val="26"/>
          <w:szCs w:val="26"/>
          <w:vertAlign w:val="superscript"/>
        </w:rPr>
        <w:footnoteRef/>
      </w:r>
      <w:r w:rsidRPr="00271885">
        <w:rPr>
          <w:sz w:val="26"/>
          <w:szCs w:val="26"/>
        </w:rPr>
        <w:t xml:space="preserve"> The estimates for cost per response are derived using the following formula: Average Burden Hours per Response * $73 per Hour = Average Cost per Response.  The hourly cost figure comes from the average of the salary plus benefits for a manager and an engineer (rounded to the nearest dollar).  The figures are taken from the Bureau of Labor Statistics at (http://bls.gov/oes/current/naics3_221000.htm).  </w:t>
      </w:r>
    </w:p>
  </w:footnote>
  <w:footnote w:id="11">
    <w:p w14:paraId="2843C259" w14:textId="006F4E52" w:rsidR="00271885" w:rsidRPr="00271885" w:rsidRDefault="00271885">
      <w:pPr>
        <w:pStyle w:val="FootnoteText"/>
        <w:rPr>
          <w:sz w:val="26"/>
          <w:szCs w:val="26"/>
        </w:rPr>
      </w:pPr>
      <w:r w:rsidRPr="001C2FFE">
        <w:rPr>
          <w:rStyle w:val="FootnoteReference"/>
          <w:sz w:val="26"/>
          <w:szCs w:val="26"/>
          <w:vertAlign w:val="superscript"/>
        </w:rPr>
        <w:footnoteRef/>
      </w:r>
      <w:r w:rsidRPr="00271885">
        <w:rPr>
          <w:sz w:val="26"/>
          <w:szCs w:val="26"/>
        </w:rPr>
        <w:t xml:space="preserve"> Implemented in Docket RM14-8.</w:t>
      </w:r>
    </w:p>
  </w:footnote>
  <w:footnote w:id="12">
    <w:p w14:paraId="126B8826" w14:textId="227A509C" w:rsidR="00503DCE" w:rsidRPr="00271885" w:rsidRDefault="00503DCE">
      <w:pPr>
        <w:pStyle w:val="FootnoteText"/>
        <w:rPr>
          <w:sz w:val="26"/>
          <w:szCs w:val="26"/>
        </w:rPr>
      </w:pPr>
      <w:r w:rsidRPr="001C2FFE">
        <w:rPr>
          <w:rStyle w:val="FootnoteReference"/>
          <w:sz w:val="26"/>
          <w:szCs w:val="26"/>
          <w:vertAlign w:val="superscript"/>
        </w:rPr>
        <w:footnoteRef/>
      </w:r>
      <w:r w:rsidRPr="00271885">
        <w:rPr>
          <w:sz w:val="26"/>
          <w:szCs w:val="26"/>
        </w:rPr>
        <w:t xml:space="preserve"> This figure reflects the generator owners and transmission owners identified in the NERC Compliance Registry as of May 28, 2014.</w:t>
      </w:r>
    </w:p>
  </w:footnote>
  <w:footnote w:id="13">
    <w:p w14:paraId="5DC81E54" w14:textId="79857314" w:rsidR="00503DCE" w:rsidRPr="00271885" w:rsidRDefault="00503DCE">
      <w:pPr>
        <w:pStyle w:val="FootnoteText"/>
        <w:rPr>
          <w:sz w:val="26"/>
          <w:szCs w:val="26"/>
        </w:rPr>
      </w:pPr>
      <w:r w:rsidRPr="001C2FFE">
        <w:rPr>
          <w:rStyle w:val="FootnoteReference"/>
          <w:sz w:val="26"/>
          <w:szCs w:val="26"/>
          <w:vertAlign w:val="superscript"/>
        </w:rPr>
        <w:footnoteRef/>
      </w:r>
      <w:r w:rsidRPr="001C2FFE">
        <w:rPr>
          <w:sz w:val="26"/>
          <w:szCs w:val="26"/>
          <w:vertAlign w:val="superscript"/>
        </w:rPr>
        <w:t xml:space="preserve"> </w:t>
      </w:r>
      <w:r w:rsidRPr="00271885">
        <w:rPr>
          <w:sz w:val="26"/>
          <w:szCs w:val="26"/>
        </w:rPr>
        <w:t xml:space="preserve">This figure is a subset of GOs and TOs, as discussed in </w:t>
      </w:r>
      <w:r w:rsidR="00CB0921" w:rsidRPr="00271885">
        <w:rPr>
          <w:sz w:val="26"/>
          <w:szCs w:val="26"/>
        </w:rPr>
        <w:t xml:space="preserve">Order 803 (Docket No.RM14-8), </w:t>
      </w:r>
      <w:r w:rsidRPr="00271885">
        <w:rPr>
          <w:sz w:val="26"/>
          <w:szCs w:val="26"/>
        </w:rPr>
        <w:t>P 41.</w:t>
      </w:r>
    </w:p>
  </w:footnote>
  <w:footnote w:id="14">
    <w:p w14:paraId="2B080655" w14:textId="0AA54807" w:rsidR="00B71F08" w:rsidRPr="00271885" w:rsidRDefault="00B71F08">
      <w:pPr>
        <w:pStyle w:val="FootnoteText"/>
        <w:rPr>
          <w:sz w:val="26"/>
          <w:szCs w:val="26"/>
        </w:rPr>
      </w:pPr>
      <w:r w:rsidRPr="001C2FFE">
        <w:rPr>
          <w:rStyle w:val="FootnoteReference"/>
          <w:sz w:val="26"/>
          <w:szCs w:val="26"/>
          <w:vertAlign w:val="superscript"/>
        </w:rPr>
        <w:footnoteRef/>
      </w:r>
      <w:r w:rsidRPr="00271885">
        <w:rPr>
          <w:sz w:val="26"/>
          <w:szCs w:val="26"/>
        </w:rPr>
        <w:t xml:space="preserve"> Implemented in Docket RM15-9</w:t>
      </w:r>
      <w:r w:rsidR="00D6717A" w:rsidRPr="00271885">
        <w:rPr>
          <w:sz w:val="26"/>
          <w:szCs w:val="26"/>
        </w:rPr>
        <w:t>.</w:t>
      </w:r>
    </w:p>
  </w:footnote>
  <w:footnote w:id="15">
    <w:p w14:paraId="73384075" w14:textId="72888A3A" w:rsidR="0058028D" w:rsidRPr="00271885" w:rsidRDefault="0058028D">
      <w:pPr>
        <w:pStyle w:val="FootnoteText"/>
        <w:rPr>
          <w:sz w:val="26"/>
          <w:szCs w:val="26"/>
        </w:rPr>
      </w:pPr>
      <w:r w:rsidRPr="001C2FFE">
        <w:rPr>
          <w:rStyle w:val="FootnoteReference"/>
          <w:sz w:val="26"/>
          <w:szCs w:val="26"/>
          <w:vertAlign w:val="superscript"/>
        </w:rPr>
        <w:footnoteRef/>
      </w:r>
      <w:r w:rsidR="001C2FFE">
        <w:rPr>
          <w:sz w:val="26"/>
          <w:szCs w:val="26"/>
        </w:rPr>
        <w:t xml:space="preserve"> </w:t>
      </w:r>
      <w:r w:rsidRPr="00271885">
        <w:rPr>
          <w:sz w:val="26"/>
          <w:szCs w:val="26"/>
        </w:rPr>
        <w:t xml:space="preserve">The estimates for cost per response are derived using the following formula: Average Burden Hours per Response * $65.34 per Hour = Average Cost per Response.  The hourly cost figure comes from the average of the salary plus benefits for an engineer (rounded to the nearest dollar).  The figures are taken from the Bureau of Labor Statistics at (http://bls.gov/oes/current/naics3_221000.htm).   </w:t>
      </w:r>
    </w:p>
  </w:footnote>
  <w:footnote w:id="16">
    <w:p w14:paraId="41D8466F" w14:textId="77777777" w:rsidR="003F7920" w:rsidRPr="00271885" w:rsidRDefault="003F7920" w:rsidP="00B94A5A">
      <w:pPr>
        <w:pStyle w:val="FootnoteText"/>
        <w:rPr>
          <w:sz w:val="26"/>
          <w:szCs w:val="26"/>
        </w:rPr>
      </w:pPr>
      <w:r w:rsidRPr="001C2FFE">
        <w:rPr>
          <w:rStyle w:val="FootnoteReference"/>
          <w:sz w:val="26"/>
          <w:szCs w:val="26"/>
          <w:vertAlign w:val="superscript"/>
        </w:rPr>
        <w:footnoteRef/>
      </w:r>
      <w:r w:rsidRPr="00271885">
        <w:rPr>
          <w:sz w:val="26"/>
          <w:szCs w:val="26"/>
        </w:rPr>
        <w:t xml:space="preserve"> This figure reflects the generator owners and transmission owners identified in the NERC Compliance Registry as of May 28,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2E" w14:textId="7CAC0AF9" w:rsidR="00C81C26" w:rsidRDefault="00C81C26" w:rsidP="00241F8D">
    <w:pPr>
      <w:tabs>
        <w:tab w:val="left" w:pos="4625"/>
        <w:tab w:val="center" w:pos="4680"/>
      </w:tabs>
      <w:rPr>
        <w:sz w:val="26"/>
        <w:szCs w:val="26"/>
      </w:rPr>
    </w:pPr>
    <w:r>
      <w:rPr>
        <w:sz w:val="26"/>
        <w:szCs w:val="26"/>
      </w:rPr>
      <w:t xml:space="preserve">Docket No. </w:t>
    </w:r>
    <w:r w:rsidR="006D5998">
      <w:rPr>
        <w:sz w:val="26"/>
        <w:szCs w:val="26"/>
      </w:rPr>
      <w:t>RD16-2</w:t>
    </w:r>
    <w:r>
      <w:rPr>
        <w:sz w:val="26"/>
        <w:szCs w:val="26"/>
      </w:rPr>
      <w:t>-</w:t>
    </w:r>
    <w:r w:rsidRPr="00FD6160">
      <w:rPr>
        <w:sz w:val="26"/>
        <w:szCs w:val="26"/>
      </w:rPr>
      <w:t>000</w:t>
    </w:r>
    <w:r>
      <w:rPr>
        <w:sz w:val="26"/>
        <w:szCs w:val="26"/>
      </w:rPr>
      <w:tab/>
    </w:r>
    <w:r>
      <w:rPr>
        <w:sz w:val="26"/>
        <w:szCs w:val="26"/>
      </w:rPr>
      <w:tab/>
    </w:r>
    <w:r>
      <w:rPr>
        <w:sz w:val="26"/>
        <w:szCs w:val="26"/>
      </w:rPr>
      <w:fldChar w:fldCharType="begin"/>
    </w:r>
    <w:r>
      <w:rPr>
        <w:sz w:val="26"/>
        <w:szCs w:val="26"/>
      </w:rPr>
      <w:instrText xml:space="preserve"> PAGE  \* Arabic  \* MERGEFORMAT </w:instrText>
    </w:r>
    <w:r>
      <w:rPr>
        <w:sz w:val="26"/>
        <w:szCs w:val="26"/>
      </w:rPr>
      <w:fldChar w:fldCharType="separate"/>
    </w:r>
    <w:r w:rsidR="00DB62B3">
      <w:rPr>
        <w:noProof/>
        <w:sz w:val="26"/>
        <w:szCs w:val="26"/>
      </w:rPr>
      <w:t>6</w:t>
    </w:r>
    <w:r>
      <w:rPr>
        <w:sz w:val="26"/>
        <w:szCs w:val="26"/>
      </w:rPr>
      <w:fldChar w:fldCharType="end"/>
    </w:r>
  </w:p>
  <w:p w14:paraId="5887BD2F" w14:textId="77777777" w:rsidR="00C81C26" w:rsidRDefault="00C81C26" w:rsidP="00241F8D">
    <w:pPr>
      <w:tabs>
        <w:tab w:val="left" w:pos="4625"/>
        <w:tab w:val="center" w:pos="46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32" w14:textId="2F687439" w:rsidR="00C81C26" w:rsidRDefault="00C81C26">
    <w:pPr>
      <w:pStyle w:val="Header"/>
      <w:jc w:val="center"/>
    </w:pPr>
  </w:p>
  <w:p w14:paraId="5887BD33" w14:textId="77777777" w:rsidR="00C81C26" w:rsidRDefault="00C81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FE0A4E"/>
    <w:lvl w:ilvl="0">
      <w:start w:val="1"/>
      <w:numFmt w:val="bullet"/>
      <w:lvlText w:val=""/>
      <w:lvlJc w:val="left"/>
      <w:pPr>
        <w:tabs>
          <w:tab w:val="num" w:pos="360"/>
        </w:tabs>
        <w:ind w:left="360" w:hanging="360"/>
      </w:pPr>
      <w:rPr>
        <w:rFonts w:ascii="Symbol" w:hAnsi="Symbol" w:hint="default"/>
      </w:rPr>
    </w:lvl>
  </w:abstractNum>
  <w:abstractNum w:abstractNumId="1">
    <w:nsid w:val="10C87709"/>
    <w:multiLevelType w:val="hybridMultilevel"/>
    <w:tmpl w:val="B5B42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57323B"/>
    <w:multiLevelType w:val="hybridMultilevel"/>
    <w:tmpl w:val="8CC6F802"/>
    <w:lvl w:ilvl="0" w:tplc="12C2E0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46187"/>
    <w:multiLevelType w:val="hybridMultilevel"/>
    <w:tmpl w:val="9DCC217A"/>
    <w:lvl w:ilvl="0" w:tplc="FFFFFFFF">
      <w:start w:val="1"/>
      <w:numFmt w:val="bullet"/>
      <w:lvlText w:val=""/>
      <w:lvlJc w:val="left"/>
      <w:pPr>
        <w:tabs>
          <w:tab w:val="num" w:pos="36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E4E4DD3"/>
    <w:multiLevelType w:val="hybridMultilevel"/>
    <w:tmpl w:val="8EBADEA0"/>
    <w:lvl w:ilvl="0" w:tplc="E4FAF836">
      <w:start w:val="1"/>
      <w:numFmt w:val="decimal"/>
      <w:pStyle w:val="FERCparanumber"/>
      <w:lvlText w:val="%1."/>
      <w:lvlJc w:val="left"/>
      <w:pPr>
        <w:tabs>
          <w:tab w:val="num" w:pos="720"/>
        </w:tabs>
        <w:ind w:left="0" w:firstLine="0"/>
      </w:pPr>
      <w:rPr>
        <w:rFonts w:hint="default"/>
      </w:rPr>
    </w:lvl>
    <w:lvl w:ilvl="1" w:tplc="04090019">
      <w:start w:val="2"/>
      <w:numFmt w:val="upp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EA"/>
    <w:rsid w:val="00001F5C"/>
    <w:rsid w:val="00002327"/>
    <w:rsid w:val="000041DD"/>
    <w:rsid w:val="0001126B"/>
    <w:rsid w:val="000156B9"/>
    <w:rsid w:val="00015E54"/>
    <w:rsid w:val="00020514"/>
    <w:rsid w:val="00020E15"/>
    <w:rsid w:val="00021A92"/>
    <w:rsid w:val="00022E14"/>
    <w:rsid w:val="00031A66"/>
    <w:rsid w:val="00033011"/>
    <w:rsid w:val="0003629F"/>
    <w:rsid w:val="00042B53"/>
    <w:rsid w:val="0004751A"/>
    <w:rsid w:val="0004765F"/>
    <w:rsid w:val="000500F1"/>
    <w:rsid w:val="00053A71"/>
    <w:rsid w:val="0005598B"/>
    <w:rsid w:val="00061C56"/>
    <w:rsid w:val="0006484B"/>
    <w:rsid w:val="00072438"/>
    <w:rsid w:val="00076204"/>
    <w:rsid w:val="00076A90"/>
    <w:rsid w:val="000819B8"/>
    <w:rsid w:val="000823CB"/>
    <w:rsid w:val="00084A8E"/>
    <w:rsid w:val="00091C6C"/>
    <w:rsid w:val="0009463B"/>
    <w:rsid w:val="00094C60"/>
    <w:rsid w:val="00097D90"/>
    <w:rsid w:val="000A4E0B"/>
    <w:rsid w:val="000A54D0"/>
    <w:rsid w:val="000B575A"/>
    <w:rsid w:val="000D24CE"/>
    <w:rsid w:val="000D347D"/>
    <w:rsid w:val="000E2627"/>
    <w:rsid w:val="000E451E"/>
    <w:rsid w:val="000E4FD8"/>
    <w:rsid w:val="000E6AF3"/>
    <w:rsid w:val="000F3DDC"/>
    <w:rsid w:val="000F3EC3"/>
    <w:rsid w:val="000F4891"/>
    <w:rsid w:val="000F4D25"/>
    <w:rsid w:val="000F7B9C"/>
    <w:rsid w:val="0010044A"/>
    <w:rsid w:val="00100800"/>
    <w:rsid w:val="00101C13"/>
    <w:rsid w:val="0010300D"/>
    <w:rsid w:val="00107504"/>
    <w:rsid w:val="00112239"/>
    <w:rsid w:val="00124BE9"/>
    <w:rsid w:val="00126D1F"/>
    <w:rsid w:val="00130035"/>
    <w:rsid w:val="001305E8"/>
    <w:rsid w:val="00133EE7"/>
    <w:rsid w:val="00136D4A"/>
    <w:rsid w:val="0013706E"/>
    <w:rsid w:val="00143544"/>
    <w:rsid w:val="00143F02"/>
    <w:rsid w:val="00144339"/>
    <w:rsid w:val="001472A3"/>
    <w:rsid w:val="001474B8"/>
    <w:rsid w:val="00147AA7"/>
    <w:rsid w:val="00150EAE"/>
    <w:rsid w:val="00156D19"/>
    <w:rsid w:val="00157E30"/>
    <w:rsid w:val="00160994"/>
    <w:rsid w:val="00160DC1"/>
    <w:rsid w:val="00186873"/>
    <w:rsid w:val="00194BB5"/>
    <w:rsid w:val="00195113"/>
    <w:rsid w:val="00195DDE"/>
    <w:rsid w:val="001A0B38"/>
    <w:rsid w:val="001A2E18"/>
    <w:rsid w:val="001A4876"/>
    <w:rsid w:val="001B27CA"/>
    <w:rsid w:val="001B590E"/>
    <w:rsid w:val="001B6BF5"/>
    <w:rsid w:val="001C08D7"/>
    <w:rsid w:val="001C2FFE"/>
    <w:rsid w:val="001C34F5"/>
    <w:rsid w:val="001C40D6"/>
    <w:rsid w:val="001C4136"/>
    <w:rsid w:val="001C66D6"/>
    <w:rsid w:val="001C6C49"/>
    <w:rsid w:val="001C7481"/>
    <w:rsid w:val="001D2214"/>
    <w:rsid w:val="001D2AC9"/>
    <w:rsid w:val="001D325F"/>
    <w:rsid w:val="001D635F"/>
    <w:rsid w:val="001D75FF"/>
    <w:rsid w:val="001E1651"/>
    <w:rsid w:val="001E1AB7"/>
    <w:rsid w:val="001E2195"/>
    <w:rsid w:val="001E48EC"/>
    <w:rsid w:val="001E531A"/>
    <w:rsid w:val="001E7E57"/>
    <w:rsid w:val="001F0CB7"/>
    <w:rsid w:val="001F3F25"/>
    <w:rsid w:val="001F4465"/>
    <w:rsid w:val="001F565E"/>
    <w:rsid w:val="00201F65"/>
    <w:rsid w:val="002029A1"/>
    <w:rsid w:val="0021394F"/>
    <w:rsid w:val="0022254B"/>
    <w:rsid w:val="00223B14"/>
    <w:rsid w:val="00236815"/>
    <w:rsid w:val="00241F8D"/>
    <w:rsid w:val="00242E29"/>
    <w:rsid w:val="0024574C"/>
    <w:rsid w:val="00252E6B"/>
    <w:rsid w:val="002530C0"/>
    <w:rsid w:val="00263592"/>
    <w:rsid w:val="002650C0"/>
    <w:rsid w:val="00265661"/>
    <w:rsid w:val="0027032E"/>
    <w:rsid w:val="00271047"/>
    <w:rsid w:val="00271885"/>
    <w:rsid w:val="00273BAC"/>
    <w:rsid w:val="0029140B"/>
    <w:rsid w:val="00291625"/>
    <w:rsid w:val="002937CD"/>
    <w:rsid w:val="0029716E"/>
    <w:rsid w:val="002A6F04"/>
    <w:rsid w:val="002B14B3"/>
    <w:rsid w:val="002B315B"/>
    <w:rsid w:val="002B3B60"/>
    <w:rsid w:val="002C00E0"/>
    <w:rsid w:val="002C5936"/>
    <w:rsid w:val="002C668F"/>
    <w:rsid w:val="002D0D17"/>
    <w:rsid w:val="002E787D"/>
    <w:rsid w:val="002F19BF"/>
    <w:rsid w:val="002F4D29"/>
    <w:rsid w:val="002F6C9A"/>
    <w:rsid w:val="00301A76"/>
    <w:rsid w:val="00302F28"/>
    <w:rsid w:val="003048C0"/>
    <w:rsid w:val="003109C5"/>
    <w:rsid w:val="00313991"/>
    <w:rsid w:val="00316147"/>
    <w:rsid w:val="00317693"/>
    <w:rsid w:val="00317B02"/>
    <w:rsid w:val="00322454"/>
    <w:rsid w:val="00322758"/>
    <w:rsid w:val="00322CE9"/>
    <w:rsid w:val="003249FE"/>
    <w:rsid w:val="0033182C"/>
    <w:rsid w:val="0033213E"/>
    <w:rsid w:val="00336A1D"/>
    <w:rsid w:val="00340456"/>
    <w:rsid w:val="00341449"/>
    <w:rsid w:val="003443C0"/>
    <w:rsid w:val="00346037"/>
    <w:rsid w:val="00347892"/>
    <w:rsid w:val="00351ED1"/>
    <w:rsid w:val="00352E0C"/>
    <w:rsid w:val="003532C7"/>
    <w:rsid w:val="003548B6"/>
    <w:rsid w:val="00355022"/>
    <w:rsid w:val="00355C37"/>
    <w:rsid w:val="00362E75"/>
    <w:rsid w:val="00364401"/>
    <w:rsid w:val="00364A7C"/>
    <w:rsid w:val="00364AF9"/>
    <w:rsid w:val="00366F10"/>
    <w:rsid w:val="00370E84"/>
    <w:rsid w:val="003729BB"/>
    <w:rsid w:val="00375906"/>
    <w:rsid w:val="003765E2"/>
    <w:rsid w:val="00377441"/>
    <w:rsid w:val="003804B5"/>
    <w:rsid w:val="00387051"/>
    <w:rsid w:val="0038717B"/>
    <w:rsid w:val="003904BE"/>
    <w:rsid w:val="00391678"/>
    <w:rsid w:val="003A38C4"/>
    <w:rsid w:val="003A43CF"/>
    <w:rsid w:val="003A47F1"/>
    <w:rsid w:val="003A4E4D"/>
    <w:rsid w:val="003B2151"/>
    <w:rsid w:val="003B2227"/>
    <w:rsid w:val="003C30A7"/>
    <w:rsid w:val="003D5F1E"/>
    <w:rsid w:val="003E03C2"/>
    <w:rsid w:val="003E04E8"/>
    <w:rsid w:val="003E13F8"/>
    <w:rsid w:val="003E346F"/>
    <w:rsid w:val="003E485A"/>
    <w:rsid w:val="003E7424"/>
    <w:rsid w:val="003E7CEA"/>
    <w:rsid w:val="003F146A"/>
    <w:rsid w:val="003F1B02"/>
    <w:rsid w:val="003F7920"/>
    <w:rsid w:val="00402D17"/>
    <w:rsid w:val="004040EE"/>
    <w:rsid w:val="00404F98"/>
    <w:rsid w:val="00405652"/>
    <w:rsid w:val="00405A2A"/>
    <w:rsid w:val="004125FA"/>
    <w:rsid w:val="00412FE8"/>
    <w:rsid w:val="00413B28"/>
    <w:rsid w:val="004159D6"/>
    <w:rsid w:val="00421ACA"/>
    <w:rsid w:val="0042301D"/>
    <w:rsid w:val="00425158"/>
    <w:rsid w:val="00427AD4"/>
    <w:rsid w:val="004308B7"/>
    <w:rsid w:val="00435FF8"/>
    <w:rsid w:val="004362EF"/>
    <w:rsid w:val="00437512"/>
    <w:rsid w:val="004378C6"/>
    <w:rsid w:val="00443430"/>
    <w:rsid w:val="004438E9"/>
    <w:rsid w:val="0044561C"/>
    <w:rsid w:val="0044629A"/>
    <w:rsid w:val="00453D0A"/>
    <w:rsid w:val="00456216"/>
    <w:rsid w:val="00462805"/>
    <w:rsid w:val="00462AC3"/>
    <w:rsid w:val="00466E84"/>
    <w:rsid w:val="00466F4A"/>
    <w:rsid w:val="004672D7"/>
    <w:rsid w:val="00470373"/>
    <w:rsid w:val="00473478"/>
    <w:rsid w:val="00474116"/>
    <w:rsid w:val="00475BED"/>
    <w:rsid w:val="0047725F"/>
    <w:rsid w:val="00482A44"/>
    <w:rsid w:val="00482EB4"/>
    <w:rsid w:val="004963F3"/>
    <w:rsid w:val="00496EBC"/>
    <w:rsid w:val="004A2EAB"/>
    <w:rsid w:val="004A2F1D"/>
    <w:rsid w:val="004A2FF6"/>
    <w:rsid w:val="004A6201"/>
    <w:rsid w:val="004B367B"/>
    <w:rsid w:val="004B538E"/>
    <w:rsid w:val="004C283E"/>
    <w:rsid w:val="004C3175"/>
    <w:rsid w:val="004C3815"/>
    <w:rsid w:val="004C7892"/>
    <w:rsid w:val="004D14DA"/>
    <w:rsid w:val="004D2815"/>
    <w:rsid w:val="004D3E71"/>
    <w:rsid w:val="004E1B06"/>
    <w:rsid w:val="004E1EEE"/>
    <w:rsid w:val="004E2FDE"/>
    <w:rsid w:val="004E569B"/>
    <w:rsid w:val="004E588A"/>
    <w:rsid w:val="004F0838"/>
    <w:rsid w:val="00500A8A"/>
    <w:rsid w:val="00502726"/>
    <w:rsid w:val="00503DCE"/>
    <w:rsid w:val="005101B8"/>
    <w:rsid w:val="00516070"/>
    <w:rsid w:val="005212B0"/>
    <w:rsid w:val="00521C12"/>
    <w:rsid w:val="00525FF9"/>
    <w:rsid w:val="00530A57"/>
    <w:rsid w:val="005316CB"/>
    <w:rsid w:val="00533361"/>
    <w:rsid w:val="00533A94"/>
    <w:rsid w:val="005467A5"/>
    <w:rsid w:val="005555C3"/>
    <w:rsid w:val="0055731A"/>
    <w:rsid w:val="00561AD8"/>
    <w:rsid w:val="00562FBD"/>
    <w:rsid w:val="005649FB"/>
    <w:rsid w:val="005668E9"/>
    <w:rsid w:val="00567335"/>
    <w:rsid w:val="00567736"/>
    <w:rsid w:val="00570E42"/>
    <w:rsid w:val="00577BAA"/>
    <w:rsid w:val="0058028D"/>
    <w:rsid w:val="00583BA8"/>
    <w:rsid w:val="00583CD8"/>
    <w:rsid w:val="00584B09"/>
    <w:rsid w:val="005879DE"/>
    <w:rsid w:val="00590576"/>
    <w:rsid w:val="00591CE9"/>
    <w:rsid w:val="00594693"/>
    <w:rsid w:val="005964F3"/>
    <w:rsid w:val="005A07F5"/>
    <w:rsid w:val="005B1BA4"/>
    <w:rsid w:val="005B524E"/>
    <w:rsid w:val="005B66FD"/>
    <w:rsid w:val="005C0209"/>
    <w:rsid w:val="005C4303"/>
    <w:rsid w:val="005C5A54"/>
    <w:rsid w:val="005D178D"/>
    <w:rsid w:val="005D40CA"/>
    <w:rsid w:val="005D598C"/>
    <w:rsid w:val="005E04F4"/>
    <w:rsid w:val="005E46EC"/>
    <w:rsid w:val="005E60DB"/>
    <w:rsid w:val="005F34E4"/>
    <w:rsid w:val="005F620F"/>
    <w:rsid w:val="005F71B2"/>
    <w:rsid w:val="00603179"/>
    <w:rsid w:val="00603C93"/>
    <w:rsid w:val="00605174"/>
    <w:rsid w:val="0060551A"/>
    <w:rsid w:val="0061135C"/>
    <w:rsid w:val="0061355B"/>
    <w:rsid w:val="00615A6A"/>
    <w:rsid w:val="006165A8"/>
    <w:rsid w:val="00616AB5"/>
    <w:rsid w:val="0062507F"/>
    <w:rsid w:val="006265C5"/>
    <w:rsid w:val="00627C97"/>
    <w:rsid w:val="006409EE"/>
    <w:rsid w:val="006424E6"/>
    <w:rsid w:val="00642FE5"/>
    <w:rsid w:val="006442F9"/>
    <w:rsid w:val="00644AD4"/>
    <w:rsid w:val="00645C86"/>
    <w:rsid w:val="00646DDF"/>
    <w:rsid w:val="00653E95"/>
    <w:rsid w:val="00655C8F"/>
    <w:rsid w:val="006563C5"/>
    <w:rsid w:val="006577F2"/>
    <w:rsid w:val="0066010A"/>
    <w:rsid w:val="00663917"/>
    <w:rsid w:val="00665AB3"/>
    <w:rsid w:val="00672AC7"/>
    <w:rsid w:val="00674F4B"/>
    <w:rsid w:val="006758A7"/>
    <w:rsid w:val="006774D3"/>
    <w:rsid w:val="0067783C"/>
    <w:rsid w:val="00677855"/>
    <w:rsid w:val="00683870"/>
    <w:rsid w:val="00685103"/>
    <w:rsid w:val="00685F8E"/>
    <w:rsid w:val="00693389"/>
    <w:rsid w:val="00693EFE"/>
    <w:rsid w:val="006947DD"/>
    <w:rsid w:val="006A089E"/>
    <w:rsid w:val="006A1547"/>
    <w:rsid w:val="006A33BC"/>
    <w:rsid w:val="006B132D"/>
    <w:rsid w:val="006B2E82"/>
    <w:rsid w:val="006B44BD"/>
    <w:rsid w:val="006C254E"/>
    <w:rsid w:val="006C37C9"/>
    <w:rsid w:val="006C562E"/>
    <w:rsid w:val="006D04B2"/>
    <w:rsid w:val="006D1C49"/>
    <w:rsid w:val="006D315B"/>
    <w:rsid w:val="006D489A"/>
    <w:rsid w:val="006D5998"/>
    <w:rsid w:val="006D75C8"/>
    <w:rsid w:val="006E0062"/>
    <w:rsid w:val="006E120D"/>
    <w:rsid w:val="006E1DA9"/>
    <w:rsid w:val="006E258B"/>
    <w:rsid w:val="006E38A9"/>
    <w:rsid w:val="006E3DC4"/>
    <w:rsid w:val="006E4234"/>
    <w:rsid w:val="006F5426"/>
    <w:rsid w:val="006F63AF"/>
    <w:rsid w:val="0070362B"/>
    <w:rsid w:val="00706187"/>
    <w:rsid w:val="0070764E"/>
    <w:rsid w:val="00707C6B"/>
    <w:rsid w:val="00710374"/>
    <w:rsid w:val="00711332"/>
    <w:rsid w:val="00716801"/>
    <w:rsid w:val="00720452"/>
    <w:rsid w:val="00720D05"/>
    <w:rsid w:val="00722BDF"/>
    <w:rsid w:val="00726927"/>
    <w:rsid w:val="00734FCE"/>
    <w:rsid w:val="0074037E"/>
    <w:rsid w:val="007500A6"/>
    <w:rsid w:val="00756ED2"/>
    <w:rsid w:val="00760262"/>
    <w:rsid w:val="00764E90"/>
    <w:rsid w:val="00766E5F"/>
    <w:rsid w:val="007701EA"/>
    <w:rsid w:val="0077092B"/>
    <w:rsid w:val="00773C9A"/>
    <w:rsid w:val="00775A04"/>
    <w:rsid w:val="00775C82"/>
    <w:rsid w:val="00776524"/>
    <w:rsid w:val="007765CA"/>
    <w:rsid w:val="00783F93"/>
    <w:rsid w:val="00786F41"/>
    <w:rsid w:val="007872FC"/>
    <w:rsid w:val="007914AC"/>
    <w:rsid w:val="00797FED"/>
    <w:rsid w:val="007A3FDC"/>
    <w:rsid w:val="007A4A9E"/>
    <w:rsid w:val="007A67B7"/>
    <w:rsid w:val="007A6E6A"/>
    <w:rsid w:val="007B0394"/>
    <w:rsid w:val="007B15AC"/>
    <w:rsid w:val="007B17F0"/>
    <w:rsid w:val="007B23F0"/>
    <w:rsid w:val="007B2C36"/>
    <w:rsid w:val="007B387A"/>
    <w:rsid w:val="007C30D6"/>
    <w:rsid w:val="007C5A59"/>
    <w:rsid w:val="007C6F67"/>
    <w:rsid w:val="007D0C48"/>
    <w:rsid w:val="007D0D58"/>
    <w:rsid w:val="007D1C72"/>
    <w:rsid w:val="007D36FD"/>
    <w:rsid w:val="007D6FF9"/>
    <w:rsid w:val="007E0EEF"/>
    <w:rsid w:val="007E284F"/>
    <w:rsid w:val="007E473D"/>
    <w:rsid w:val="007E5F9E"/>
    <w:rsid w:val="007F0370"/>
    <w:rsid w:val="008033ED"/>
    <w:rsid w:val="00803A9A"/>
    <w:rsid w:val="00804AC2"/>
    <w:rsid w:val="008064D0"/>
    <w:rsid w:val="00806CE0"/>
    <w:rsid w:val="00807377"/>
    <w:rsid w:val="0080797E"/>
    <w:rsid w:val="0081269C"/>
    <w:rsid w:val="00812D62"/>
    <w:rsid w:val="00814151"/>
    <w:rsid w:val="0081505F"/>
    <w:rsid w:val="00822994"/>
    <w:rsid w:val="00825115"/>
    <w:rsid w:val="00826587"/>
    <w:rsid w:val="008270D5"/>
    <w:rsid w:val="008343BA"/>
    <w:rsid w:val="00837A77"/>
    <w:rsid w:val="00837B60"/>
    <w:rsid w:val="008407E9"/>
    <w:rsid w:val="00841E8B"/>
    <w:rsid w:val="008442AA"/>
    <w:rsid w:val="00844D6A"/>
    <w:rsid w:val="0084564B"/>
    <w:rsid w:val="0084609A"/>
    <w:rsid w:val="008465A4"/>
    <w:rsid w:val="00847122"/>
    <w:rsid w:val="0085131C"/>
    <w:rsid w:val="00855DD0"/>
    <w:rsid w:val="00861289"/>
    <w:rsid w:val="00862B58"/>
    <w:rsid w:val="00863D20"/>
    <w:rsid w:val="008661CB"/>
    <w:rsid w:val="00866555"/>
    <w:rsid w:val="00866CE4"/>
    <w:rsid w:val="00880EE3"/>
    <w:rsid w:val="00884AE4"/>
    <w:rsid w:val="0088721D"/>
    <w:rsid w:val="008875AB"/>
    <w:rsid w:val="00887A28"/>
    <w:rsid w:val="00891248"/>
    <w:rsid w:val="00892BA3"/>
    <w:rsid w:val="008A1555"/>
    <w:rsid w:val="008A6190"/>
    <w:rsid w:val="008A7389"/>
    <w:rsid w:val="008B0155"/>
    <w:rsid w:val="008B4880"/>
    <w:rsid w:val="008B7291"/>
    <w:rsid w:val="008C069A"/>
    <w:rsid w:val="008C06EA"/>
    <w:rsid w:val="008C5AFD"/>
    <w:rsid w:val="008C62CC"/>
    <w:rsid w:val="008D0189"/>
    <w:rsid w:val="008D13AA"/>
    <w:rsid w:val="008E14A4"/>
    <w:rsid w:val="008E43ED"/>
    <w:rsid w:val="008E73EC"/>
    <w:rsid w:val="008F11A3"/>
    <w:rsid w:val="008F1F5B"/>
    <w:rsid w:val="008F43C7"/>
    <w:rsid w:val="00903418"/>
    <w:rsid w:val="009038D7"/>
    <w:rsid w:val="0090565D"/>
    <w:rsid w:val="00907F75"/>
    <w:rsid w:val="0091136E"/>
    <w:rsid w:val="00914319"/>
    <w:rsid w:val="00921249"/>
    <w:rsid w:val="0092522B"/>
    <w:rsid w:val="0092635D"/>
    <w:rsid w:val="00931B48"/>
    <w:rsid w:val="00931CE1"/>
    <w:rsid w:val="009326A4"/>
    <w:rsid w:val="00935600"/>
    <w:rsid w:val="00936E94"/>
    <w:rsid w:val="00950260"/>
    <w:rsid w:val="00953329"/>
    <w:rsid w:val="00955196"/>
    <w:rsid w:val="00960A24"/>
    <w:rsid w:val="00961530"/>
    <w:rsid w:val="00971612"/>
    <w:rsid w:val="00974220"/>
    <w:rsid w:val="009756CA"/>
    <w:rsid w:val="00975C01"/>
    <w:rsid w:val="00980290"/>
    <w:rsid w:val="009806D9"/>
    <w:rsid w:val="00980E20"/>
    <w:rsid w:val="009826F6"/>
    <w:rsid w:val="00990713"/>
    <w:rsid w:val="00992150"/>
    <w:rsid w:val="009A187C"/>
    <w:rsid w:val="009A1AD7"/>
    <w:rsid w:val="009A286B"/>
    <w:rsid w:val="009A3CB6"/>
    <w:rsid w:val="009A4280"/>
    <w:rsid w:val="009A4C8D"/>
    <w:rsid w:val="009A5126"/>
    <w:rsid w:val="009B64FA"/>
    <w:rsid w:val="009C3630"/>
    <w:rsid w:val="009D3693"/>
    <w:rsid w:val="009E2AA8"/>
    <w:rsid w:val="009E3F31"/>
    <w:rsid w:val="009E6891"/>
    <w:rsid w:val="009F1AF5"/>
    <w:rsid w:val="009F6363"/>
    <w:rsid w:val="00A020A7"/>
    <w:rsid w:val="00A022E6"/>
    <w:rsid w:val="00A02408"/>
    <w:rsid w:val="00A0605F"/>
    <w:rsid w:val="00A10D20"/>
    <w:rsid w:val="00A1116D"/>
    <w:rsid w:val="00A158C0"/>
    <w:rsid w:val="00A15C5E"/>
    <w:rsid w:val="00A21B8F"/>
    <w:rsid w:val="00A3310C"/>
    <w:rsid w:val="00A3495F"/>
    <w:rsid w:val="00A36F06"/>
    <w:rsid w:val="00A41358"/>
    <w:rsid w:val="00A4214A"/>
    <w:rsid w:val="00A51098"/>
    <w:rsid w:val="00A53BF4"/>
    <w:rsid w:val="00A545C4"/>
    <w:rsid w:val="00A550B1"/>
    <w:rsid w:val="00A63C97"/>
    <w:rsid w:val="00A64455"/>
    <w:rsid w:val="00A6767C"/>
    <w:rsid w:val="00A6767F"/>
    <w:rsid w:val="00A7260E"/>
    <w:rsid w:val="00A750B7"/>
    <w:rsid w:val="00A755D8"/>
    <w:rsid w:val="00A765BA"/>
    <w:rsid w:val="00A774BE"/>
    <w:rsid w:val="00A82350"/>
    <w:rsid w:val="00A83E59"/>
    <w:rsid w:val="00A8416C"/>
    <w:rsid w:val="00A849DF"/>
    <w:rsid w:val="00A8661E"/>
    <w:rsid w:val="00A90075"/>
    <w:rsid w:val="00A91E24"/>
    <w:rsid w:val="00AA12A4"/>
    <w:rsid w:val="00AA4B8E"/>
    <w:rsid w:val="00AA6C97"/>
    <w:rsid w:val="00AB0DBE"/>
    <w:rsid w:val="00AB3C43"/>
    <w:rsid w:val="00AB4EF8"/>
    <w:rsid w:val="00AC2A9E"/>
    <w:rsid w:val="00AC4502"/>
    <w:rsid w:val="00AD076D"/>
    <w:rsid w:val="00AE01FA"/>
    <w:rsid w:val="00AE20E7"/>
    <w:rsid w:val="00AF0D17"/>
    <w:rsid w:val="00AF14AF"/>
    <w:rsid w:val="00AF35D8"/>
    <w:rsid w:val="00AF380A"/>
    <w:rsid w:val="00AF5FD5"/>
    <w:rsid w:val="00AF6B90"/>
    <w:rsid w:val="00AF7D2C"/>
    <w:rsid w:val="00B0057F"/>
    <w:rsid w:val="00B01C91"/>
    <w:rsid w:val="00B039A0"/>
    <w:rsid w:val="00B06FA2"/>
    <w:rsid w:val="00B133D0"/>
    <w:rsid w:val="00B13722"/>
    <w:rsid w:val="00B1429A"/>
    <w:rsid w:val="00B25890"/>
    <w:rsid w:val="00B30714"/>
    <w:rsid w:val="00B34E1C"/>
    <w:rsid w:val="00B40EAF"/>
    <w:rsid w:val="00B42509"/>
    <w:rsid w:val="00B42ACC"/>
    <w:rsid w:val="00B42C27"/>
    <w:rsid w:val="00B43C67"/>
    <w:rsid w:val="00B505F6"/>
    <w:rsid w:val="00B50765"/>
    <w:rsid w:val="00B529F3"/>
    <w:rsid w:val="00B531AC"/>
    <w:rsid w:val="00B60CE4"/>
    <w:rsid w:val="00B71F08"/>
    <w:rsid w:val="00B80F1C"/>
    <w:rsid w:val="00B83A1D"/>
    <w:rsid w:val="00B86A75"/>
    <w:rsid w:val="00B87B75"/>
    <w:rsid w:val="00B976CD"/>
    <w:rsid w:val="00BA2F66"/>
    <w:rsid w:val="00BA7754"/>
    <w:rsid w:val="00BB320A"/>
    <w:rsid w:val="00BB760C"/>
    <w:rsid w:val="00BC3E29"/>
    <w:rsid w:val="00BC4870"/>
    <w:rsid w:val="00BC7496"/>
    <w:rsid w:val="00BD0C36"/>
    <w:rsid w:val="00BD19BD"/>
    <w:rsid w:val="00BD41F2"/>
    <w:rsid w:val="00BE0560"/>
    <w:rsid w:val="00BF175F"/>
    <w:rsid w:val="00BF1C5D"/>
    <w:rsid w:val="00BF3ED6"/>
    <w:rsid w:val="00BF7571"/>
    <w:rsid w:val="00C00B0E"/>
    <w:rsid w:val="00C0134C"/>
    <w:rsid w:val="00C05699"/>
    <w:rsid w:val="00C068C6"/>
    <w:rsid w:val="00C121AB"/>
    <w:rsid w:val="00C12370"/>
    <w:rsid w:val="00C12F9F"/>
    <w:rsid w:val="00C13EA7"/>
    <w:rsid w:val="00C21CC7"/>
    <w:rsid w:val="00C3434B"/>
    <w:rsid w:val="00C41DF1"/>
    <w:rsid w:val="00C466C9"/>
    <w:rsid w:val="00C46798"/>
    <w:rsid w:val="00C46EC1"/>
    <w:rsid w:val="00C52638"/>
    <w:rsid w:val="00C566EF"/>
    <w:rsid w:val="00C65EA4"/>
    <w:rsid w:val="00C65F42"/>
    <w:rsid w:val="00C66B14"/>
    <w:rsid w:val="00C679C8"/>
    <w:rsid w:val="00C67E63"/>
    <w:rsid w:val="00C705D7"/>
    <w:rsid w:val="00C72C4E"/>
    <w:rsid w:val="00C7309D"/>
    <w:rsid w:val="00C81C26"/>
    <w:rsid w:val="00C82E38"/>
    <w:rsid w:val="00C85500"/>
    <w:rsid w:val="00C85533"/>
    <w:rsid w:val="00C93E34"/>
    <w:rsid w:val="00CA3D1F"/>
    <w:rsid w:val="00CA785A"/>
    <w:rsid w:val="00CB0921"/>
    <w:rsid w:val="00CB290D"/>
    <w:rsid w:val="00CB37B0"/>
    <w:rsid w:val="00CB5FEA"/>
    <w:rsid w:val="00CB7C2D"/>
    <w:rsid w:val="00CB7CC5"/>
    <w:rsid w:val="00CC482C"/>
    <w:rsid w:val="00CD14FF"/>
    <w:rsid w:val="00CD2E42"/>
    <w:rsid w:val="00CD5132"/>
    <w:rsid w:val="00CD608C"/>
    <w:rsid w:val="00CD6513"/>
    <w:rsid w:val="00CE12F4"/>
    <w:rsid w:val="00CE5076"/>
    <w:rsid w:val="00CE5FB8"/>
    <w:rsid w:val="00CE6500"/>
    <w:rsid w:val="00CE7276"/>
    <w:rsid w:val="00CF101F"/>
    <w:rsid w:val="00CF1C50"/>
    <w:rsid w:val="00CF2165"/>
    <w:rsid w:val="00CF5290"/>
    <w:rsid w:val="00CF535E"/>
    <w:rsid w:val="00CF58A3"/>
    <w:rsid w:val="00D00E6D"/>
    <w:rsid w:val="00D03781"/>
    <w:rsid w:val="00D067D0"/>
    <w:rsid w:val="00D10582"/>
    <w:rsid w:val="00D12110"/>
    <w:rsid w:val="00D177C3"/>
    <w:rsid w:val="00D22931"/>
    <w:rsid w:val="00D22B7D"/>
    <w:rsid w:val="00D22FBE"/>
    <w:rsid w:val="00D24945"/>
    <w:rsid w:val="00D30AB7"/>
    <w:rsid w:val="00D32A04"/>
    <w:rsid w:val="00D42400"/>
    <w:rsid w:val="00D4244D"/>
    <w:rsid w:val="00D44B70"/>
    <w:rsid w:val="00D460BF"/>
    <w:rsid w:val="00D46ACE"/>
    <w:rsid w:val="00D47744"/>
    <w:rsid w:val="00D47B07"/>
    <w:rsid w:val="00D51637"/>
    <w:rsid w:val="00D55AF3"/>
    <w:rsid w:val="00D606D1"/>
    <w:rsid w:val="00D626C0"/>
    <w:rsid w:val="00D635D8"/>
    <w:rsid w:val="00D64D41"/>
    <w:rsid w:val="00D64EFA"/>
    <w:rsid w:val="00D6578F"/>
    <w:rsid w:val="00D66AB3"/>
    <w:rsid w:val="00D67012"/>
    <w:rsid w:val="00D6717A"/>
    <w:rsid w:val="00D6793D"/>
    <w:rsid w:val="00D67FEA"/>
    <w:rsid w:val="00D7272C"/>
    <w:rsid w:val="00D74A26"/>
    <w:rsid w:val="00D90337"/>
    <w:rsid w:val="00D919BB"/>
    <w:rsid w:val="00D93EFF"/>
    <w:rsid w:val="00D9485A"/>
    <w:rsid w:val="00D94E89"/>
    <w:rsid w:val="00DA04EE"/>
    <w:rsid w:val="00DA1CED"/>
    <w:rsid w:val="00DA5D11"/>
    <w:rsid w:val="00DA7316"/>
    <w:rsid w:val="00DB35B8"/>
    <w:rsid w:val="00DB62B3"/>
    <w:rsid w:val="00DB6686"/>
    <w:rsid w:val="00DC0380"/>
    <w:rsid w:val="00DC33B9"/>
    <w:rsid w:val="00DC5263"/>
    <w:rsid w:val="00DC6C17"/>
    <w:rsid w:val="00DC730C"/>
    <w:rsid w:val="00DE6561"/>
    <w:rsid w:val="00DF220C"/>
    <w:rsid w:val="00DF405E"/>
    <w:rsid w:val="00DF7AAF"/>
    <w:rsid w:val="00E04F40"/>
    <w:rsid w:val="00E141E0"/>
    <w:rsid w:val="00E15888"/>
    <w:rsid w:val="00E17090"/>
    <w:rsid w:val="00E241E5"/>
    <w:rsid w:val="00E26D56"/>
    <w:rsid w:val="00E27D6E"/>
    <w:rsid w:val="00E31EE4"/>
    <w:rsid w:val="00E412BD"/>
    <w:rsid w:val="00E42004"/>
    <w:rsid w:val="00E4253D"/>
    <w:rsid w:val="00E4751B"/>
    <w:rsid w:val="00E57BD2"/>
    <w:rsid w:val="00E612A8"/>
    <w:rsid w:val="00E6195A"/>
    <w:rsid w:val="00E62177"/>
    <w:rsid w:val="00E6270C"/>
    <w:rsid w:val="00E6412F"/>
    <w:rsid w:val="00E66A2F"/>
    <w:rsid w:val="00E877F6"/>
    <w:rsid w:val="00E901D6"/>
    <w:rsid w:val="00E92E04"/>
    <w:rsid w:val="00E954DC"/>
    <w:rsid w:val="00E97F39"/>
    <w:rsid w:val="00EA1423"/>
    <w:rsid w:val="00EA1EE3"/>
    <w:rsid w:val="00EA2901"/>
    <w:rsid w:val="00EA2AB6"/>
    <w:rsid w:val="00EA3838"/>
    <w:rsid w:val="00EB25CC"/>
    <w:rsid w:val="00EB3CFA"/>
    <w:rsid w:val="00EB49F9"/>
    <w:rsid w:val="00EB7440"/>
    <w:rsid w:val="00EC3F1F"/>
    <w:rsid w:val="00EC770A"/>
    <w:rsid w:val="00EC797E"/>
    <w:rsid w:val="00ED0242"/>
    <w:rsid w:val="00ED18D4"/>
    <w:rsid w:val="00ED1C1A"/>
    <w:rsid w:val="00ED6358"/>
    <w:rsid w:val="00EE361E"/>
    <w:rsid w:val="00EE3898"/>
    <w:rsid w:val="00EE42C9"/>
    <w:rsid w:val="00EE46CA"/>
    <w:rsid w:val="00EE67A5"/>
    <w:rsid w:val="00EF48B8"/>
    <w:rsid w:val="00F01B2F"/>
    <w:rsid w:val="00F06217"/>
    <w:rsid w:val="00F10F42"/>
    <w:rsid w:val="00F11B11"/>
    <w:rsid w:val="00F13BC6"/>
    <w:rsid w:val="00F13C26"/>
    <w:rsid w:val="00F15F42"/>
    <w:rsid w:val="00F203FD"/>
    <w:rsid w:val="00F23001"/>
    <w:rsid w:val="00F23043"/>
    <w:rsid w:val="00F23CFF"/>
    <w:rsid w:val="00F266EA"/>
    <w:rsid w:val="00F355DE"/>
    <w:rsid w:val="00F364D9"/>
    <w:rsid w:val="00F37E2F"/>
    <w:rsid w:val="00F431E9"/>
    <w:rsid w:val="00F4328A"/>
    <w:rsid w:val="00F45AD2"/>
    <w:rsid w:val="00F514F5"/>
    <w:rsid w:val="00F52789"/>
    <w:rsid w:val="00F5556D"/>
    <w:rsid w:val="00F60037"/>
    <w:rsid w:val="00F6089E"/>
    <w:rsid w:val="00F60AC7"/>
    <w:rsid w:val="00F6110D"/>
    <w:rsid w:val="00F643A8"/>
    <w:rsid w:val="00F675E8"/>
    <w:rsid w:val="00F74C41"/>
    <w:rsid w:val="00F753E8"/>
    <w:rsid w:val="00F773C1"/>
    <w:rsid w:val="00F81760"/>
    <w:rsid w:val="00F8271D"/>
    <w:rsid w:val="00F84324"/>
    <w:rsid w:val="00F900B0"/>
    <w:rsid w:val="00F93E43"/>
    <w:rsid w:val="00F95AB3"/>
    <w:rsid w:val="00F96F84"/>
    <w:rsid w:val="00FA1209"/>
    <w:rsid w:val="00FA4BCE"/>
    <w:rsid w:val="00FA5A5E"/>
    <w:rsid w:val="00FB05E5"/>
    <w:rsid w:val="00FB23CC"/>
    <w:rsid w:val="00FB4342"/>
    <w:rsid w:val="00FC2921"/>
    <w:rsid w:val="00FC3A7F"/>
    <w:rsid w:val="00FC4C09"/>
    <w:rsid w:val="00FC5D4C"/>
    <w:rsid w:val="00FD02B2"/>
    <w:rsid w:val="00FD3F8F"/>
    <w:rsid w:val="00FD6160"/>
    <w:rsid w:val="00FE3109"/>
    <w:rsid w:val="00FE3587"/>
    <w:rsid w:val="00FE6081"/>
    <w:rsid w:val="00FF169E"/>
    <w:rsid w:val="00FF1742"/>
    <w:rsid w:val="00FF195D"/>
    <w:rsid w:val="00FF271A"/>
    <w:rsid w:val="00FF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887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List Number 5"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F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style>
  <w:style w:type="character" w:customStyle="1" w:styleId="Hypertext">
    <w:name w:val="Hypertext"/>
    <w:rPr>
      <w:color w:val="0000FF"/>
      <w:u w:val="single"/>
    </w:rPr>
  </w:style>
  <w:style w:type="character" w:styleId="Hyperlink">
    <w:name w:val="Hyperlink"/>
    <w:uiPriority w:val="99"/>
    <w:rsid w:val="00F60AC7"/>
    <w:rPr>
      <w:color w:val="0000FF"/>
      <w:u w:val="single"/>
    </w:rPr>
  </w:style>
  <w:style w:type="paragraph" w:styleId="Header">
    <w:name w:val="header"/>
    <w:basedOn w:val="Normal"/>
    <w:link w:val="HeaderChar"/>
    <w:uiPriority w:val="99"/>
    <w:rsid w:val="00FF1742"/>
    <w:pPr>
      <w:tabs>
        <w:tab w:val="center" w:pos="4320"/>
        <w:tab w:val="right" w:pos="8640"/>
      </w:tabs>
    </w:pPr>
  </w:style>
  <w:style w:type="paragraph" w:styleId="Footer">
    <w:name w:val="footer"/>
    <w:basedOn w:val="Normal"/>
    <w:link w:val="FooterChar"/>
    <w:uiPriority w:val="99"/>
    <w:rsid w:val="00FF1742"/>
    <w:pPr>
      <w:tabs>
        <w:tab w:val="center" w:pos="4320"/>
        <w:tab w:val="right" w:pos="8640"/>
      </w:tabs>
    </w:pPr>
  </w:style>
  <w:style w:type="character" w:styleId="FollowedHyperlink">
    <w:name w:val="FollowedHyperlink"/>
    <w:rsid w:val="005E60DB"/>
    <w:rPr>
      <w:color w:val="800080"/>
      <w:u w:val="single"/>
    </w:rPr>
  </w:style>
  <w:style w:type="character" w:styleId="PageNumber">
    <w:name w:val="page number"/>
    <w:basedOn w:val="DefaultParagraphFont"/>
    <w:rsid w:val="008407E9"/>
  </w:style>
  <w:style w:type="paragraph" w:customStyle="1" w:styleId="FERCparanumber">
    <w:name w:val="FERC paranumber"/>
    <w:basedOn w:val="Normal"/>
    <w:link w:val="FERCparanumberChar1"/>
    <w:rsid w:val="00A64455"/>
    <w:pPr>
      <w:widowControl/>
      <w:numPr>
        <w:numId w:val="1"/>
      </w:numPr>
      <w:spacing w:line="480" w:lineRule="auto"/>
    </w:pPr>
    <w:rPr>
      <w:sz w:val="26"/>
    </w:rPr>
  </w:style>
  <w:style w:type="character" w:customStyle="1" w:styleId="FERCparanumberChar1">
    <w:name w:val="FERC paranumber Char1"/>
    <w:link w:val="FERCparanumber"/>
    <w:rsid w:val="00A64455"/>
    <w:rPr>
      <w:sz w:val="26"/>
      <w:szCs w:val="24"/>
      <w:lang w:val="en-US" w:eastAsia="en-US" w:bidi="ar-SA"/>
    </w:rPr>
  </w:style>
  <w:style w:type="paragraph" w:customStyle="1" w:styleId="Default">
    <w:name w:val="Default"/>
    <w:rsid w:val="004D14DA"/>
    <w:pPr>
      <w:autoSpaceDE w:val="0"/>
      <w:autoSpaceDN w:val="0"/>
      <w:adjustRightInd w:val="0"/>
    </w:pPr>
    <w:rPr>
      <w:color w:val="000000"/>
      <w:sz w:val="24"/>
      <w:szCs w:val="24"/>
    </w:rPr>
  </w:style>
  <w:style w:type="table" w:styleId="TableGrid">
    <w:name w:val="Table Grid"/>
    <w:basedOn w:val="TableNormal"/>
    <w:rsid w:val="00F514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uiPriority w:val="99"/>
    <w:rsid w:val="00646DDF"/>
    <w:rPr>
      <w:sz w:val="20"/>
      <w:szCs w:val="20"/>
    </w:rPr>
  </w:style>
  <w:style w:type="paragraph" w:styleId="ListNumber5">
    <w:name w:val="List Number 5"/>
    <w:basedOn w:val="Normal"/>
    <w:uiPriority w:val="99"/>
    <w:rsid w:val="003109C5"/>
    <w:pPr>
      <w:tabs>
        <w:tab w:val="num" w:pos="1800"/>
      </w:tabs>
      <w:ind w:left="1800" w:hanging="360"/>
    </w:pPr>
    <w:rPr>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link w:val="FootnoteText"/>
    <w:uiPriority w:val="99"/>
    <w:locked/>
    <w:rsid w:val="003109C5"/>
  </w:style>
  <w:style w:type="paragraph" w:styleId="BalloonText">
    <w:name w:val="Balloon Text"/>
    <w:basedOn w:val="Normal"/>
    <w:link w:val="BalloonTextChar"/>
    <w:rsid w:val="0047725F"/>
    <w:rPr>
      <w:rFonts w:ascii="Tahoma" w:hAnsi="Tahoma" w:cs="Tahoma"/>
      <w:sz w:val="16"/>
      <w:szCs w:val="16"/>
    </w:rPr>
  </w:style>
  <w:style w:type="character" w:customStyle="1" w:styleId="BalloonTextChar">
    <w:name w:val="Balloon Text Char"/>
    <w:link w:val="BalloonText"/>
    <w:rsid w:val="0047725F"/>
    <w:rPr>
      <w:rFonts w:ascii="Tahoma" w:hAnsi="Tahoma" w:cs="Tahoma"/>
      <w:sz w:val="16"/>
      <w:szCs w:val="16"/>
    </w:rPr>
  </w:style>
  <w:style w:type="character" w:customStyle="1" w:styleId="fnChar1">
    <w:name w:val="fn Char1"/>
    <w:aliases w:val="Footnote Text Char1 Char3,Footnote Text Char Char Char2,Footnote Text Char1 Char Char2,Footnote Text Char Char Char Char1,Footnote Text MRP Char1,Footnote Text Char1 Char Char Char1,Footnote Text Char1 Char1 Char1"/>
    <w:uiPriority w:val="99"/>
    <w:rsid w:val="00707C6B"/>
    <w:rPr>
      <w:sz w:val="26"/>
      <w:lang w:val="en-US" w:eastAsia="en-US" w:bidi="ar-SA"/>
    </w:rPr>
  </w:style>
  <w:style w:type="paragraph" w:customStyle="1" w:styleId="LegalFormat">
    <w:name w:val="Legal Format"/>
    <w:basedOn w:val="ListContinue"/>
    <w:rsid w:val="00AF14AF"/>
    <w:pPr>
      <w:widowControl/>
      <w:tabs>
        <w:tab w:val="num" w:pos="360"/>
      </w:tabs>
      <w:autoSpaceDE/>
      <w:autoSpaceDN/>
      <w:adjustRightInd/>
      <w:spacing w:after="240"/>
      <w:ind w:left="720" w:hanging="360"/>
      <w:contextualSpacing w:val="0"/>
    </w:pPr>
    <w:rPr>
      <w:sz w:val="26"/>
      <w:szCs w:val="26"/>
    </w:rPr>
  </w:style>
  <w:style w:type="paragraph" w:styleId="ListContinue">
    <w:name w:val="List Continue"/>
    <w:basedOn w:val="Normal"/>
    <w:rsid w:val="00AF14AF"/>
    <w:pPr>
      <w:spacing w:after="120"/>
      <w:ind w:left="360"/>
      <w:contextualSpacing/>
    </w:pPr>
  </w:style>
  <w:style w:type="character" w:customStyle="1" w:styleId="FooterChar">
    <w:name w:val="Footer Char"/>
    <w:link w:val="Footer"/>
    <w:uiPriority w:val="99"/>
    <w:rsid w:val="00756ED2"/>
    <w:rPr>
      <w:sz w:val="24"/>
      <w:szCs w:val="24"/>
    </w:rPr>
  </w:style>
  <w:style w:type="character" w:customStyle="1" w:styleId="HeaderChar">
    <w:name w:val="Header Char"/>
    <w:basedOn w:val="DefaultParagraphFont"/>
    <w:link w:val="Header"/>
    <w:uiPriority w:val="99"/>
    <w:rsid w:val="00F93E43"/>
    <w:rPr>
      <w:sz w:val="24"/>
      <w:szCs w:val="24"/>
    </w:rPr>
  </w:style>
  <w:style w:type="character" w:styleId="PlaceholderText">
    <w:name w:val="Placeholder Text"/>
    <w:basedOn w:val="DefaultParagraphFont"/>
    <w:uiPriority w:val="99"/>
    <w:semiHidden/>
    <w:rsid w:val="006E120D"/>
    <w:rPr>
      <w:color w:val="808080"/>
    </w:rPr>
  </w:style>
  <w:style w:type="character" w:styleId="CommentReference">
    <w:name w:val="annotation reference"/>
    <w:basedOn w:val="DefaultParagraphFont"/>
    <w:rsid w:val="007D36FD"/>
    <w:rPr>
      <w:sz w:val="16"/>
      <w:szCs w:val="16"/>
    </w:rPr>
  </w:style>
  <w:style w:type="paragraph" w:styleId="CommentText">
    <w:name w:val="annotation text"/>
    <w:basedOn w:val="Normal"/>
    <w:link w:val="CommentTextChar"/>
    <w:rsid w:val="007D36FD"/>
    <w:rPr>
      <w:sz w:val="20"/>
      <w:szCs w:val="20"/>
    </w:rPr>
  </w:style>
  <w:style w:type="character" w:customStyle="1" w:styleId="CommentTextChar">
    <w:name w:val="Comment Text Char"/>
    <w:basedOn w:val="DefaultParagraphFont"/>
    <w:link w:val="CommentText"/>
    <w:rsid w:val="007D36FD"/>
  </w:style>
  <w:style w:type="paragraph" w:styleId="CommentSubject">
    <w:name w:val="annotation subject"/>
    <w:basedOn w:val="CommentText"/>
    <w:next w:val="CommentText"/>
    <w:link w:val="CommentSubjectChar"/>
    <w:rsid w:val="007D36FD"/>
    <w:rPr>
      <w:b/>
      <w:bCs/>
    </w:rPr>
  </w:style>
  <w:style w:type="character" w:customStyle="1" w:styleId="CommentSubjectChar">
    <w:name w:val="Comment Subject Char"/>
    <w:basedOn w:val="CommentTextChar"/>
    <w:link w:val="CommentSubject"/>
    <w:rsid w:val="007D36FD"/>
    <w:rPr>
      <w:b/>
      <w:bCs/>
    </w:rPr>
  </w:style>
  <w:style w:type="paragraph" w:styleId="EndnoteText">
    <w:name w:val="endnote text"/>
    <w:basedOn w:val="Normal"/>
    <w:link w:val="EndnoteTextChar"/>
    <w:rsid w:val="00A83E59"/>
    <w:rPr>
      <w:sz w:val="20"/>
      <w:szCs w:val="20"/>
    </w:rPr>
  </w:style>
  <w:style w:type="character" w:customStyle="1" w:styleId="EndnoteTextChar">
    <w:name w:val="Endnote Text Char"/>
    <w:basedOn w:val="DefaultParagraphFont"/>
    <w:link w:val="EndnoteText"/>
    <w:rsid w:val="00A83E59"/>
  </w:style>
  <w:style w:type="character" w:styleId="EndnoteReference">
    <w:name w:val="endnote reference"/>
    <w:basedOn w:val="DefaultParagraphFont"/>
    <w:rsid w:val="00A83E59"/>
    <w:rPr>
      <w:vertAlign w:val="superscript"/>
    </w:rPr>
  </w:style>
  <w:style w:type="paragraph" w:styleId="ListParagraph">
    <w:name w:val="List Paragraph"/>
    <w:basedOn w:val="Normal"/>
    <w:uiPriority w:val="34"/>
    <w:qFormat/>
    <w:rsid w:val="000F4891"/>
    <w:pPr>
      <w:ind w:left="720"/>
      <w:contextualSpacing/>
    </w:pPr>
  </w:style>
  <w:style w:type="character" w:customStyle="1" w:styleId="StyleFootnoteReference">
    <w:name w:val="Style Footnote Reference"/>
    <w:basedOn w:val="FootnoteReference"/>
    <w:rsid w:val="008C06EA"/>
    <w:rPr>
      <w:rFonts w:ascii="Times New Roman" w:hAnsi="Times New Roman"/>
      <w:b/>
      <w:caps w:val="0"/>
      <w:smallCaps w:val="0"/>
      <w:strike w:val="0"/>
      <w:dstrike w:val="0"/>
      <w:vanish w:val="0"/>
      <w:sz w:val="26"/>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List Number 5"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F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style>
  <w:style w:type="character" w:customStyle="1" w:styleId="Hypertext">
    <w:name w:val="Hypertext"/>
    <w:rPr>
      <w:color w:val="0000FF"/>
      <w:u w:val="single"/>
    </w:rPr>
  </w:style>
  <w:style w:type="character" w:styleId="Hyperlink">
    <w:name w:val="Hyperlink"/>
    <w:uiPriority w:val="99"/>
    <w:rsid w:val="00F60AC7"/>
    <w:rPr>
      <w:color w:val="0000FF"/>
      <w:u w:val="single"/>
    </w:rPr>
  </w:style>
  <w:style w:type="paragraph" w:styleId="Header">
    <w:name w:val="header"/>
    <w:basedOn w:val="Normal"/>
    <w:link w:val="HeaderChar"/>
    <w:uiPriority w:val="99"/>
    <w:rsid w:val="00FF1742"/>
    <w:pPr>
      <w:tabs>
        <w:tab w:val="center" w:pos="4320"/>
        <w:tab w:val="right" w:pos="8640"/>
      </w:tabs>
    </w:pPr>
  </w:style>
  <w:style w:type="paragraph" w:styleId="Footer">
    <w:name w:val="footer"/>
    <w:basedOn w:val="Normal"/>
    <w:link w:val="FooterChar"/>
    <w:uiPriority w:val="99"/>
    <w:rsid w:val="00FF1742"/>
    <w:pPr>
      <w:tabs>
        <w:tab w:val="center" w:pos="4320"/>
        <w:tab w:val="right" w:pos="8640"/>
      </w:tabs>
    </w:pPr>
  </w:style>
  <w:style w:type="character" w:styleId="FollowedHyperlink">
    <w:name w:val="FollowedHyperlink"/>
    <w:rsid w:val="005E60DB"/>
    <w:rPr>
      <w:color w:val="800080"/>
      <w:u w:val="single"/>
    </w:rPr>
  </w:style>
  <w:style w:type="character" w:styleId="PageNumber">
    <w:name w:val="page number"/>
    <w:basedOn w:val="DefaultParagraphFont"/>
    <w:rsid w:val="008407E9"/>
  </w:style>
  <w:style w:type="paragraph" w:customStyle="1" w:styleId="FERCparanumber">
    <w:name w:val="FERC paranumber"/>
    <w:basedOn w:val="Normal"/>
    <w:link w:val="FERCparanumberChar1"/>
    <w:rsid w:val="00A64455"/>
    <w:pPr>
      <w:widowControl/>
      <w:numPr>
        <w:numId w:val="1"/>
      </w:numPr>
      <w:spacing w:line="480" w:lineRule="auto"/>
    </w:pPr>
    <w:rPr>
      <w:sz w:val="26"/>
    </w:rPr>
  </w:style>
  <w:style w:type="character" w:customStyle="1" w:styleId="FERCparanumberChar1">
    <w:name w:val="FERC paranumber Char1"/>
    <w:link w:val="FERCparanumber"/>
    <w:rsid w:val="00A64455"/>
    <w:rPr>
      <w:sz w:val="26"/>
      <w:szCs w:val="24"/>
      <w:lang w:val="en-US" w:eastAsia="en-US" w:bidi="ar-SA"/>
    </w:rPr>
  </w:style>
  <w:style w:type="paragraph" w:customStyle="1" w:styleId="Default">
    <w:name w:val="Default"/>
    <w:rsid w:val="004D14DA"/>
    <w:pPr>
      <w:autoSpaceDE w:val="0"/>
      <w:autoSpaceDN w:val="0"/>
      <w:adjustRightInd w:val="0"/>
    </w:pPr>
    <w:rPr>
      <w:color w:val="000000"/>
      <w:sz w:val="24"/>
      <w:szCs w:val="24"/>
    </w:rPr>
  </w:style>
  <w:style w:type="table" w:styleId="TableGrid">
    <w:name w:val="Table Grid"/>
    <w:basedOn w:val="TableNormal"/>
    <w:rsid w:val="00F514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uiPriority w:val="99"/>
    <w:rsid w:val="00646DDF"/>
    <w:rPr>
      <w:sz w:val="20"/>
      <w:szCs w:val="20"/>
    </w:rPr>
  </w:style>
  <w:style w:type="paragraph" w:styleId="ListNumber5">
    <w:name w:val="List Number 5"/>
    <w:basedOn w:val="Normal"/>
    <w:uiPriority w:val="99"/>
    <w:rsid w:val="003109C5"/>
    <w:pPr>
      <w:tabs>
        <w:tab w:val="num" w:pos="1800"/>
      </w:tabs>
      <w:ind w:left="1800" w:hanging="360"/>
    </w:pPr>
    <w:rPr>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link w:val="FootnoteText"/>
    <w:uiPriority w:val="99"/>
    <w:locked/>
    <w:rsid w:val="003109C5"/>
  </w:style>
  <w:style w:type="paragraph" w:styleId="BalloonText">
    <w:name w:val="Balloon Text"/>
    <w:basedOn w:val="Normal"/>
    <w:link w:val="BalloonTextChar"/>
    <w:rsid w:val="0047725F"/>
    <w:rPr>
      <w:rFonts w:ascii="Tahoma" w:hAnsi="Tahoma" w:cs="Tahoma"/>
      <w:sz w:val="16"/>
      <w:szCs w:val="16"/>
    </w:rPr>
  </w:style>
  <w:style w:type="character" w:customStyle="1" w:styleId="BalloonTextChar">
    <w:name w:val="Balloon Text Char"/>
    <w:link w:val="BalloonText"/>
    <w:rsid w:val="0047725F"/>
    <w:rPr>
      <w:rFonts w:ascii="Tahoma" w:hAnsi="Tahoma" w:cs="Tahoma"/>
      <w:sz w:val="16"/>
      <w:szCs w:val="16"/>
    </w:rPr>
  </w:style>
  <w:style w:type="character" w:customStyle="1" w:styleId="fnChar1">
    <w:name w:val="fn Char1"/>
    <w:aliases w:val="Footnote Text Char1 Char3,Footnote Text Char Char Char2,Footnote Text Char1 Char Char2,Footnote Text Char Char Char Char1,Footnote Text MRP Char1,Footnote Text Char1 Char Char Char1,Footnote Text Char1 Char1 Char1"/>
    <w:uiPriority w:val="99"/>
    <w:rsid w:val="00707C6B"/>
    <w:rPr>
      <w:sz w:val="26"/>
      <w:lang w:val="en-US" w:eastAsia="en-US" w:bidi="ar-SA"/>
    </w:rPr>
  </w:style>
  <w:style w:type="paragraph" w:customStyle="1" w:styleId="LegalFormat">
    <w:name w:val="Legal Format"/>
    <w:basedOn w:val="ListContinue"/>
    <w:rsid w:val="00AF14AF"/>
    <w:pPr>
      <w:widowControl/>
      <w:tabs>
        <w:tab w:val="num" w:pos="360"/>
      </w:tabs>
      <w:autoSpaceDE/>
      <w:autoSpaceDN/>
      <w:adjustRightInd/>
      <w:spacing w:after="240"/>
      <w:ind w:left="720" w:hanging="360"/>
      <w:contextualSpacing w:val="0"/>
    </w:pPr>
    <w:rPr>
      <w:sz w:val="26"/>
      <w:szCs w:val="26"/>
    </w:rPr>
  </w:style>
  <w:style w:type="paragraph" w:styleId="ListContinue">
    <w:name w:val="List Continue"/>
    <w:basedOn w:val="Normal"/>
    <w:rsid w:val="00AF14AF"/>
    <w:pPr>
      <w:spacing w:after="120"/>
      <w:ind w:left="360"/>
      <w:contextualSpacing/>
    </w:pPr>
  </w:style>
  <w:style w:type="character" w:customStyle="1" w:styleId="FooterChar">
    <w:name w:val="Footer Char"/>
    <w:link w:val="Footer"/>
    <w:uiPriority w:val="99"/>
    <w:rsid w:val="00756ED2"/>
    <w:rPr>
      <w:sz w:val="24"/>
      <w:szCs w:val="24"/>
    </w:rPr>
  </w:style>
  <w:style w:type="character" w:customStyle="1" w:styleId="HeaderChar">
    <w:name w:val="Header Char"/>
    <w:basedOn w:val="DefaultParagraphFont"/>
    <w:link w:val="Header"/>
    <w:uiPriority w:val="99"/>
    <w:rsid w:val="00F93E43"/>
    <w:rPr>
      <w:sz w:val="24"/>
      <w:szCs w:val="24"/>
    </w:rPr>
  </w:style>
  <w:style w:type="character" w:styleId="PlaceholderText">
    <w:name w:val="Placeholder Text"/>
    <w:basedOn w:val="DefaultParagraphFont"/>
    <w:uiPriority w:val="99"/>
    <w:semiHidden/>
    <w:rsid w:val="006E120D"/>
    <w:rPr>
      <w:color w:val="808080"/>
    </w:rPr>
  </w:style>
  <w:style w:type="character" w:styleId="CommentReference">
    <w:name w:val="annotation reference"/>
    <w:basedOn w:val="DefaultParagraphFont"/>
    <w:rsid w:val="007D36FD"/>
    <w:rPr>
      <w:sz w:val="16"/>
      <w:szCs w:val="16"/>
    </w:rPr>
  </w:style>
  <w:style w:type="paragraph" w:styleId="CommentText">
    <w:name w:val="annotation text"/>
    <w:basedOn w:val="Normal"/>
    <w:link w:val="CommentTextChar"/>
    <w:rsid w:val="007D36FD"/>
    <w:rPr>
      <w:sz w:val="20"/>
      <w:szCs w:val="20"/>
    </w:rPr>
  </w:style>
  <w:style w:type="character" w:customStyle="1" w:styleId="CommentTextChar">
    <w:name w:val="Comment Text Char"/>
    <w:basedOn w:val="DefaultParagraphFont"/>
    <w:link w:val="CommentText"/>
    <w:rsid w:val="007D36FD"/>
  </w:style>
  <w:style w:type="paragraph" w:styleId="CommentSubject">
    <w:name w:val="annotation subject"/>
    <w:basedOn w:val="CommentText"/>
    <w:next w:val="CommentText"/>
    <w:link w:val="CommentSubjectChar"/>
    <w:rsid w:val="007D36FD"/>
    <w:rPr>
      <w:b/>
      <w:bCs/>
    </w:rPr>
  </w:style>
  <w:style w:type="character" w:customStyle="1" w:styleId="CommentSubjectChar">
    <w:name w:val="Comment Subject Char"/>
    <w:basedOn w:val="CommentTextChar"/>
    <w:link w:val="CommentSubject"/>
    <w:rsid w:val="007D36FD"/>
    <w:rPr>
      <w:b/>
      <w:bCs/>
    </w:rPr>
  </w:style>
  <w:style w:type="paragraph" w:styleId="EndnoteText">
    <w:name w:val="endnote text"/>
    <w:basedOn w:val="Normal"/>
    <w:link w:val="EndnoteTextChar"/>
    <w:rsid w:val="00A83E59"/>
    <w:rPr>
      <w:sz w:val="20"/>
      <w:szCs w:val="20"/>
    </w:rPr>
  </w:style>
  <w:style w:type="character" w:customStyle="1" w:styleId="EndnoteTextChar">
    <w:name w:val="Endnote Text Char"/>
    <w:basedOn w:val="DefaultParagraphFont"/>
    <w:link w:val="EndnoteText"/>
    <w:rsid w:val="00A83E59"/>
  </w:style>
  <w:style w:type="character" w:styleId="EndnoteReference">
    <w:name w:val="endnote reference"/>
    <w:basedOn w:val="DefaultParagraphFont"/>
    <w:rsid w:val="00A83E59"/>
    <w:rPr>
      <w:vertAlign w:val="superscript"/>
    </w:rPr>
  </w:style>
  <w:style w:type="paragraph" w:styleId="ListParagraph">
    <w:name w:val="List Paragraph"/>
    <w:basedOn w:val="Normal"/>
    <w:uiPriority w:val="34"/>
    <w:qFormat/>
    <w:rsid w:val="000F4891"/>
    <w:pPr>
      <w:ind w:left="720"/>
      <w:contextualSpacing/>
    </w:pPr>
  </w:style>
  <w:style w:type="character" w:customStyle="1" w:styleId="StyleFootnoteReference">
    <w:name w:val="Style Footnote Reference"/>
    <w:basedOn w:val="FootnoteReference"/>
    <w:rsid w:val="008C06EA"/>
    <w:rPr>
      <w:rFonts w:ascii="Times New Roman" w:hAnsi="Times New Roman"/>
      <w:b/>
      <w:caps w:val="0"/>
      <w:smallCaps w:val="0"/>
      <w:strike w:val="0"/>
      <w:dstrike w:val="0"/>
      <w:vanish w:val="0"/>
      <w:sz w:val="26"/>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7677">
      <w:bodyDiv w:val="1"/>
      <w:marLeft w:val="0"/>
      <w:marRight w:val="0"/>
      <w:marTop w:val="0"/>
      <w:marBottom w:val="0"/>
      <w:divBdr>
        <w:top w:val="none" w:sz="0" w:space="0" w:color="auto"/>
        <w:left w:val="none" w:sz="0" w:space="0" w:color="auto"/>
        <w:bottom w:val="none" w:sz="0" w:space="0" w:color="auto"/>
        <w:right w:val="none" w:sz="0" w:space="0" w:color="auto"/>
      </w:divBdr>
    </w:div>
    <w:div w:id="1730958402">
      <w:bodyDiv w:val="1"/>
      <w:marLeft w:val="0"/>
      <w:marRight w:val="0"/>
      <w:marTop w:val="0"/>
      <w:marBottom w:val="0"/>
      <w:divBdr>
        <w:top w:val="none" w:sz="0" w:space="0" w:color="auto"/>
        <w:left w:val="none" w:sz="0" w:space="0" w:color="auto"/>
        <w:bottom w:val="none" w:sz="0" w:space="0" w:color="auto"/>
        <w:right w:val="none" w:sz="0" w:space="0" w:color="auto"/>
      </w:divBdr>
    </w:div>
    <w:div w:id="17759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enewal_x0020_Document_x0020_Type xmlns="d6eefc7d-9817-4fa6-84d5-3bc009be21b8">60-Day Notice</Renewal_x0020_Document_x0020_Type>
    <Rulemaking_x0020_Document_x0020_Type xmlns="d6eefc7d-9817-4fa6-84d5-3bc009be21b8">NOI, Policy Statements, and Rehearing</Rulemaking_x0020_Document_x0020_Type>
    <_x0033__x002e__x0020_Docket_x0020_Number xmlns="d6eefc7d-9817-4fa6-84d5-3bc009be21b8" xsi:nil="true"/>
    <_x0031__x002e__x0020_Collection_x0020_Number xmlns="d6eefc7d-9817-4fa6-84d5-3bc009be21b8">725P</_x0031__x002e__x0020_Collection_x0020_Number>
    <Date xmlns="d6eefc7d-9817-4fa6-84d5-3bc009be21b8">2015-12-29T00:00:00-05:00</Date>
    <Status xmlns="d6eefc7d-9817-4fa6-84d5-3bc009be21b8">Issued</Status>
    <_x0032__x002e__x0020_Docket_x0020_Number xmlns="d6eefc7d-9817-4fa6-84d5-3bc009be21b8" xsi:nil="true"/>
    <_x0032__x002e__x0020_Collection_x0020_Number xmlns="d6eefc7d-9817-4fa6-84d5-3bc009be21b8">725P1</_x0032__x002e__x0020_Collection_x0020_Number>
    <_x0031__x002e__x0020_Docket_x0020_Number xmlns="d6eefc7d-9817-4fa6-84d5-3bc009be21b8">RD16-2</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900D-E490-49F5-A068-A3521DDC8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E145C-9620-4979-8F51-4D51D0D1967C}">
  <ds:schemaRefs>
    <ds:schemaRef ds:uri="http://purl.org/dc/terms/"/>
    <ds:schemaRef ds:uri="d6eefc7d-9817-4fa6-84d5-3bc009be21b8"/>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F690B93-A163-461A-9BF2-30EBA5AD4546}">
  <ds:schemaRefs>
    <ds:schemaRef ds:uri="http://schemas.microsoft.com/sharepoint/v3/contenttype/forms"/>
  </ds:schemaRefs>
</ds:datastoreItem>
</file>

<file path=customXml/itemProps4.xml><?xml version="1.0" encoding="utf-8"?>
<ds:datastoreItem xmlns:ds="http://schemas.openxmlformats.org/officeDocument/2006/customXml" ds:itemID="{5D914D4F-343E-403A-8EBE-0CF43F38B358}">
  <ds:schemaRefs>
    <ds:schemaRef ds:uri="http://schemas.microsoft.com/office/2006/metadata/customXsn"/>
  </ds:schemaRefs>
</ds:datastoreItem>
</file>

<file path=customXml/itemProps5.xml><?xml version="1.0" encoding="utf-8"?>
<ds:datastoreItem xmlns:ds="http://schemas.openxmlformats.org/officeDocument/2006/customXml" ds:itemID="{5CEB8359-1F95-4521-985F-68BFA4CF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5972</Characters>
  <Application>Microsoft Office Word</Application>
  <DocSecurity>0</DocSecurity>
  <Lines>142</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6968</CharactersWithSpaces>
  <SharedDoc>false</SharedDoc>
  <HyperlinkBase/>
  <HLinks>
    <vt:vector size="6" baseType="variant">
      <vt:variant>
        <vt:i4>5308487</vt:i4>
      </vt:variant>
      <vt:variant>
        <vt:i4>0</vt:i4>
      </vt:variant>
      <vt:variant>
        <vt:i4>0</vt:i4>
      </vt:variant>
      <vt:variant>
        <vt:i4>5</vt:i4>
      </vt:variant>
      <vt:variant>
        <vt:lpwstr>http://www.ferc.gov/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2016-03-03T13:42:00Z</dcterms:created>
  <dcterms:modified xsi:type="dcterms:W3CDTF">2016-03-03T13:42:00Z</dcterms:modified>
  <dc:identifier/>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