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CA4A" w14:textId="2CDAF581" w:rsidR="00B3407F" w:rsidRPr="007A16CD" w:rsidRDefault="00E64A48" w:rsidP="00F97B37">
      <w:pPr>
        <w:spacing w:after="0" w:line="240" w:lineRule="auto"/>
        <w:jc w:val="center"/>
        <w:rPr>
          <w:rFonts w:ascii="Times New Roman" w:hAnsi="Times New Roman" w:cs="Times New Roman"/>
          <w:sz w:val="24"/>
          <w:szCs w:val="24"/>
        </w:rPr>
      </w:pPr>
      <w:r w:rsidRPr="007A16CD">
        <w:rPr>
          <w:rFonts w:ascii="Times New Roman" w:hAnsi="Times New Roman" w:cs="Times New Roman"/>
          <w:sz w:val="24"/>
          <w:szCs w:val="24"/>
        </w:rPr>
        <w:t xml:space="preserve">Consolidated </w:t>
      </w:r>
      <w:r w:rsidR="00B3407F" w:rsidRPr="007A16CD">
        <w:rPr>
          <w:rFonts w:ascii="Times New Roman" w:hAnsi="Times New Roman" w:cs="Times New Roman"/>
          <w:sz w:val="24"/>
          <w:szCs w:val="24"/>
        </w:rPr>
        <w:t>Supporting Statement</w:t>
      </w:r>
      <w:r w:rsidRPr="007A16CD">
        <w:rPr>
          <w:rFonts w:ascii="Times New Roman" w:hAnsi="Times New Roman" w:cs="Times New Roman"/>
          <w:sz w:val="24"/>
          <w:szCs w:val="24"/>
        </w:rPr>
        <w:t xml:space="preserve"> for</w:t>
      </w:r>
    </w:p>
    <w:p w14:paraId="50AD0657" w14:textId="7E9C387E" w:rsidR="00C2647E" w:rsidRPr="007A16CD" w:rsidRDefault="00B3407F"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FERC-725</w:t>
      </w:r>
      <w:r w:rsidR="00487C75" w:rsidRPr="007A16CD">
        <w:rPr>
          <w:rFonts w:ascii="Times New Roman" w:hAnsi="Times New Roman" w:cs="Times New Roman"/>
          <w:b/>
          <w:sz w:val="24"/>
          <w:szCs w:val="24"/>
        </w:rPr>
        <w:t>P1</w:t>
      </w:r>
      <w:r w:rsidRPr="007A16CD">
        <w:rPr>
          <w:rFonts w:ascii="Times New Roman" w:hAnsi="Times New Roman" w:cs="Times New Roman"/>
          <w:b/>
          <w:sz w:val="24"/>
          <w:szCs w:val="24"/>
        </w:rPr>
        <w:t xml:space="preserve"> </w:t>
      </w:r>
      <w:r w:rsidR="00C2647E" w:rsidRPr="007A16CD">
        <w:rPr>
          <w:rFonts w:ascii="Times New Roman" w:hAnsi="Times New Roman" w:cs="Times New Roman"/>
          <w:b/>
          <w:sz w:val="24"/>
          <w:szCs w:val="24"/>
        </w:rPr>
        <w:t>(</w:t>
      </w:r>
      <w:r w:rsidRPr="007A16CD">
        <w:rPr>
          <w:rFonts w:ascii="Times New Roman" w:hAnsi="Times New Roman" w:cs="Times New Roman"/>
          <w:b/>
          <w:sz w:val="24"/>
          <w:szCs w:val="24"/>
        </w:rPr>
        <w:t>Mandatory Reliability Standards</w:t>
      </w:r>
      <w:r w:rsidR="006E33D4" w:rsidRPr="007A16CD">
        <w:rPr>
          <w:rFonts w:ascii="Times New Roman" w:hAnsi="Times New Roman" w:cs="Times New Roman"/>
          <w:b/>
          <w:sz w:val="24"/>
          <w:szCs w:val="24"/>
        </w:rPr>
        <w:t xml:space="preserve">: </w:t>
      </w:r>
      <w:r w:rsidR="00487C75" w:rsidRPr="007A16CD">
        <w:rPr>
          <w:rFonts w:ascii="Times New Roman" w:hAnsi="Times New Roman" w:cs="Times New Roman"/>
          <w:b/>
          <w:sz w:val="24"/>
          <w:szCs w:val="24"/>
        </w:rPr>
        <w:t>PRC-005-</w:t>
      </w:r>
      <w:r w:rsidR="008C2995">
        <w:rPr>
          <w:rFonts w:ascii="Times New Roman" w:hAnsi="Times New Roman" w:cs="Times New Roman"/>
          <w:b/>
          <w:sz w:val="24"/>
          <w:szCs w:val="24"/>
        </w:rPr>
        <w:t>6</w:t>
      </w:r>
      <w:r w:rsidR="006E33D4" w:rsidRPr="007A16CD">
        <w:rPr>
          <w:rFonts w:ascii="Times New Roman" w:hAnsi="Times New Roman" w:cs="Times New Roman"/>
          <w:b/>
          <w:sz w:val="24"/>
          <w:szCs w:val="24"/>
        </w:rPr>
        <w:t>Reliability Standard</w:t>
      </w:r>
      <w:r w:rsidR="00C2647E" w:rsidRPr="007A16CD">
        <w:rPr>
          <w:rFonts w:ascii="Times New Roman" w:hAnsi="Times New Roman" w:cs="Times New Roman"/>
          <w:b/>
          <w:sz w:val="24"/>
          <w:szCs w:val="24"/>
        </w:rPr>
        <w:t xml:space="preserve">) and </w:t>
      </w:r>
    </w:p>
    <w:p w14:paraId="72B7DA71" w14:textId="77777777" w:rsidR="00A203E8" w:rsidRPr="007A16CD" w:rsidRDefault="00C2647E"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FERC-725P (</w:t>
      </w:r>
      <w:r w:rsidR="00E64A48" w:rsidRPr="007A16CD">
        <w:rPr>
          <w:rFonts w:ascii="Times New Roman" w:hAnsi="Times New Roman" w:cs="Times New Roman"/>
          <w:b/>
          <w:sz w:val="24"/>
          <w:szCs w:val="24"/>
        </w:rPr>
        <w:t xml:space="preserve">Mandatory Reliability Standards </w:t>
      </w:r>
      <w:bookmarkStart w:id="0" w:name="_GoBack"/>
      <w:bookmarkEnd w:id="0"/>
      <w:r w:rsidR="00E64A48" w:rsidRPr="007A16CD">
        <w:rPr>
          <w:rFonts w:ascii="Times New Roman" w:hAnsi="Times New Roman" w:cs="Times New Roman"/>
          <w:b/>
          <w:sz w:val="24"/>
          <w:szCs w:val="24"/>
        </w:rPr>
        <w:t xml:space="preserve">for the Bulk-Power System: </w:t>
      </w:r>
    </w:p>
    <w:p w14:paraId="73F463E1" w14:textId="332B1C55" w:rsidR="00B3407F" w:rsidRPr="007A16CD" w:rsidRDefault="00E64A48"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PRC Reliability Standards</w:t>
      </w:r>
      <w:r w:rsidR="00C2647E" w:rsidRPr="007A16CD">
        <w:rPr>
          <w:rFonts w:ascii="Times New Roman" w:hAnsi="Times New Roman" w:cs="Times New Roman"/>
          <w:b/>
          <w:sz w:val="24"/>
          <w:szCs w:val="24"/>
        </w:rPr>
        <w:t>)</w:t>
      </w:r>
      <w:r w:rsidRPr="007A16CD">
        <w:rPr>
          <w:rFonts w:ascii="Times New Roman" w:hAnsi="Times New Roman" w:cs="Times New Roman"/>
          <w:b/>
          <w:sz w:val="24"/>
          <w:szCs w:val="24"/>
        </w:rPr>
        <w:t>,</w:t>
      </w:r>
      <w:r w:rsidR="00B63139" w:rsidRPr="007A16CD">
        <w:rPr>
          <w:rFonts w:ascii="Times New Roman" w:hAnsi="Times New Roman" w:cs="Times New Roman"/>
          <w:b/>
          <w:sz w:val="24"/>
          <w:szCs w:val="24"/>
        </w:rPr>
        <w:t xml:space="preserve"> </w:t>
      </w:r>
      <w:r w:rsidR="00212FCA" w:rsidRPr="007A16CD">
        <w:rPr>
          <w:rFonts w:ascii="Times New Roman" w:hAnsi="Times New Roman" w:cs="Times New Roman"/>
          <w:b/>
          <w:sz w:val="24"/>
          <w:szCs w:val="24"/>
        </w:rPr>
        <w:t xml:space="preserve"> </w:t>
      </w:r>
    </w:p>
    <w:p w14:paraId="01A89744" w14:textId="74C263BF" w:rsidR="00B3407F" w:rsidRPr="007A16CD" w:rsidRDefault="00C2647E" w:rsidP="00F97B37">
      <w:pPr>
        <w:spacing w:after="0" w:line="240" w:lineRule="auto"/>
        <w:jc w:val="center"/>
        <w:rPr>
          <w:rFonts w:ascii="Times New Roman" w:hAnsi="Times New Roman" w:cs="Times New Roman"/>
          <w:sz w:val="24"/>
          <w:szCs w:val="24"/>
        </w:rPr>
      </w:pPr>
      <w:r w:rsidRPr="007A16CD">
        <w:rPr>
          <w:rFonts w:ascii="Times New Roman" w:hAnsi="Times New Roman" w:cs="Times New Roman"/>
          <w:sz w:val="24"/>
          <w:szCs w:val="24"/>
        </w:rPr>
        <w:t xml:space="preserve">as modified by </w:t>
      </w:r>
      <w:r w:rsidR="00492E19">
        <w:rPr>
          <w:rFonts w:ascii="Times New Roman" w:hAnsi="Times New Roman" w:cs="Times New Roman"/>
          <w:sz w:val="24"/>
          <w:szCs w:val="24"/>
        </w:rPr>
        <w:t xml:space="preserve">Delegated </w:t>
      </w:r>
      <w:r w:rsidRPr="007A16CD">
        <w:rPr>
          <w:rFonts w:ascii="Times New Roman" w:hAnsi="Times New Roman" w:cs="Times New Roman"/>
          <w:sz w:val="24"/>
          <w:szCs w:val="24"/>
        </w:rPr>
        <w:t xml:space="preserve">Order </w:t>
      </w:r>
      <w:r w:rsidR="00487C75" w:rsidRPr="007A16CD">
        <w:rPr>
          <w:rFonts w:ascii="Times New Roman" w:hAnsi="Times New Roman" w:cs="Times New Roman"/>
          <w:sz w:val="24"/>
          <w:szCs w:val="24"/>
        </w:rPr>
        <w:t xml:space="preserve">in </w:t>
      </w:r>
      <w:r w:rsidRPr="007A16CD">
        <w:rPr>
          <w:rFonts w:ascii="Times New Roman" w:hAnsi="Times New Roman" w:cs="Times New Roman"/>
          <w:sz w:val="24"/>
          <w:szCs w:val="24"/>
        </w:rPr>
        <w:t xml:space="preserve">Docket No. </w:t>
      </w:r>
      <w:r w:rsidR="00B3407F" w:rsidRPr="007A16CD">
        <w:rPr>
          <w:rFonts w:ascii="Times New Roman" w:hAnsi="Times New Roman" w:cs="Times New Roman"/>
          <w:sz w:val="24"/>
          <w:szCs w:val="24"/>
        </w:rPr>
        <w:t>R</w:t>
      </w:r>
      <w:r w:rsidRPr="007A16CD">
        <w:rPr>
          <w:rFonts w:ascii="Times New Roman" w:hAnsi="Times New Roman" w:cs="Times New Roman"/>
          <w:sz w:val="24"/>
          <w:szCs w:val="24"/>
        </w:rPr>
        <w:t>D</w:t>
      </w:r>
      <w:r w:rsidR="00B3407F" w:rsidRPr="007A16CD">
        <w:rPr>
          <w:rFonts w:ascii="Times New Roman" w:hAnsi="Times New Roman" w:cs="Times New Roman"/>
          <w:sz w:val="24"/>
          <w:szCs w:val="24"/>
        </w:rPr>
        <w:t>1</w:t>
      </w:r>
      <w:r w:rsidRPr="007A16CD">
        <w:rPr>
          <w:rFonts w:ascii="Times New Roman" w:hAnsi="Times New Roman" w:cs="Times New Roman"/>
          <w:sz w:val="24"/>
          <w:szCs w:val="24"/>
        </w:rPr>
        <w:t>6</w:t>
      </w:r>
      <w:r w:rsidR="00487C75" w:rsidRPr="007A16CD">
        <w:rPr>
          <w:rFonts w:ascii="Times New Roman" w:hAnsi="Times New Roman" w:cs="Times New Roman"/>
          <w:sz w:val="24"/>
          <w:szCs w:val="24"/>
        </w:rPr>
        <w:t>-</w:t>
      </w:r>
      <w:r w:rsidRPr="007A16CD">
        <w:rPr>
          <w:rFonts w:ascii="Times New Roman" w:hAnsi="Times New Roman" w:cs="Times New Roman"/>
          <w:sz w:val="24"/>
          <w:szCs w:val="24"/>
        </w:rPr>
        <w:t>2</w:t>
      </w:r>
      <w:r w:rsidR="00B3407F" w:rsidRPr="007A16CD">
        <w:rPr>
          <w:rFonts w:ascii="Times New Roman" w:hAnsi="Times New Roman" w:cs="Times New Roman"/>
          <w:sz w:val="24"/>
          <w:szCs w:val="24"/>
        </w:rPr>
        <w:t>-000</w:t>
      </w:r>
    </w:p>
    <w:p w14:paraId="7FDB6396" w14:textId="77777777" w:rsidR="00FD66F1" w:rsidRPr="007A16CD" w:rsidRDefault="00FD66F1" w:rsidP="00F97B37">
      <w:pPr>
        <w:spacing w:after="0" w:line="240" w:lineRule="auto"/>
        <w:rPr>
          <w:rFonts w:ascii="Times New Roman" w:hAnsi="Times New Roman" w:cs="Times New Roman"/>
          <w:sz w:val="24"/>
          <w:szCs w:val="24"/>
        </w:rPr>
      </w:pPr>
    </w:p>
    <w:p w14:paraId="60201F05" w14:textId="77777777" w:rsidR="00FA7E6B" w:rsidRPr="007A16CD" w:rsidRDefault="00FA7E6B" w:rsidP="00F97B37">
      <w:pPr>
        <w:tabs>
          <w:tab w:val="left" w:pos="1080"/>
        </w:tabs>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 Federal Energy Regulatory Commission (FERC or Commission) is requesting that the Office of Management and Budget (OMB) approve the reporting and recordkeeping requirements in Reliability Standard PRC-005-6 (and related implementation plan), as well as the retirement of previous versions of Reliability Standard PRC-005, as approved by FERC’s Delegated Order in Docket No. RD16-2.   [</w:t>
      </w:r>
      <w:r w:rsidR="00C37770" w:rsidRPr="007A16CD">
        <w:rPr>
          <w:rFonts w:ascii="Times New Roman" w:hAnsi="Times New Roman" w:cs="Times New Roman"/>
          <w:sz w:val="24"/>
          <w:szCs w:val="24"/>
        </w:rPr>
        <w:t>The reporting and recordk</w:t>
      </w:r>
      <w:r w:rsidR="00487C75" w:rsidRPr="007A16CD">
        <w:rPr>
          <w:rFonts w:ascii="Times New Roman" w:hAnsi="Times New Roman" w:cs="Times New Roman"/>
          <w:sz w:val="24"/>
          <w:szCs w:val="24"/>
        </w:rPr>
        <w:t>eeping requirements for Reliability Standard PRC-005-4</w:t>
      </w:r>
      <w:r w:rsidR="00C37770" w:rsidRPr="007A16CD">
        <w:rPr>
          <w:rFonts w:ascii="Times New Roman" w:hAnsi="Times New Roman" w:cs="Times New Roman"/>
          <w:sz w:val="24"/>
          <w:szCs w:val="24"/>
        </w:rPr>
        <w:t xml:space="preserve"> </w:t>
      </w:r>
      <w:r w:rsidR="0087477C" w:rsidRPr="007A16CD">
        <w:rPr>
          <w:rFonts w:ascii="Times New Roman" w:hAnsi="Times New Roman" w:cs="Times New Roman"/>
          <w:sz w:val="24"/>
          <w:szCs w:val="24"/>
        </w:rPr>
        <w:t>(</w:t>
      </w:r>
      <w:r w:rsidR="000B4B39" w:rsidRPr="007A16CD">
        <w:rPr>
          <w:rFonts w:ascii="Times New Roman" w:hAnsi="Times New Roman" w:cs="Times New Roman"/>
          <w:sz w:val="24"/>
          <w:szCs w:val="24"/>
        </w:rPr>
        <w:t>Protection System, Automatic Reclosing and Sudden Pressure Relaying Maintenance</w:t>
      </w:r>
      <w:r w:rsidR="0087477C" w:rsidRPr="007A16CD">
        <w:rPr>
          <w:rFonts w:ascii="Times New Roman" w:hAnsi="Times New Roman" w:cs="Times New Roman"/>
          <w:sz w:val="24"/>
          <w:szCs w:val="24"/>
        </w:rPr>
        <w:t xml:space="preserve">) </w:t>
      </w:r>
      <w:r w:rsidR="00E64A48" w:rsidRPr="007A16CD">
        <w:rPr>
          <w:rFonts w:ascii="Times New Roman" w:hAnsi="Times New Roman" w:cs="Times New Roman"/>
          <w:sz w:val="24"/>
          <w:szCs w:val="24"/>
        </w:rPr>
        <w:t>are included in</w:t>
      </w:r>
      <w:r w:rsidR="00487C75" w:rsidRPr="007A16CD">
        <w:rPr>
          <w:rFonts w:ascii="Times New Roman" w:hAnsi="Times New Roman" w:cs="Times New Roman"/>
          <w:sz w:val="24"/>
          <w:szCs w:val="24"/>
        </w:rPr>
        <w:t xml:space="preserve"> FERC-725P1</w:t>
      </w:r>
      <w:r w:rsidR="00C37770" w:rsidRPr="007A16CD">
        <w:rPr>
          <w:rFonts w:ascii="Times New Roman" w:hAnsi="Times New Roman" w:cs="Times New Roman"/>
          <w:sz w:val="24"/>
          <w:szCs w:val="24"/>
        </w:rPr>
        <w:t xml:space="preserve">.  </w:t>
      </w:r>
      <w:r w:rsidR="00E64A48" w:rsidRPr="007A16CD">
        <w:rPr>
          <w:rFonts w:ascii="Times New Roman" w:hAnsi="Times New Roman" w:cs="Times New Roman"/>
          <w:sz w:val="24"/>
          <w:szCs w:val="24"/>
        </w:rPr>
        <w:t>Other Reliability Standards (including Reliability Standard PRC-005-3) in the PRC</w:t>
      </w:r>
      <w:r w:rsidR="00E64A48" w:rsidRPr="007A16CD">
        <w:rPr>
          <w:rStyle w:val="FootnoteReference"/>
          <w:rFonts w:ascii="Times New Roman" w:hAnsi="Times New Roman" w:cs="Times New Roman"/>
          <w:sz w:val="24"/>
          <w:szCs w:val="24"/>
          <w:vertAlign w:val="superscript"/>
        </w:rPr>
        <w:footnoteReference w:id="1"/>
      </w:r>
      <w:r w:rsidR="00E64A48" w:rsidRPr="007A16CD">
        <w:rPr>
          <w:rFonts w:ascii="Times New Roman" w:hAnsi="Times New Roman" w:cs="Times New Roman"/>
          <w:sz w:val="24"/>
          <w:szCs w:val="24"/>
        </w:rPr>
        <w:t xml:space="preserve"> ‘family’ are covered under FERC-725P</w:t>
      </w:r>
      <w:r w:rsidR="00944B9C" w:rsidRPr="007A16CD">
        <w:rPr>
          <w:rFonts w:ascii="Times New Roman" w:hAnsi="Times New Roman" w:cs="Times New Roman"/>
          <w:sz w:val="24"/>
          <w:szCs w:val="24"/>
        </w:rPr>
        <w:t>.</w:t>
      </w:r>
      <w:r w:rsidRPr="007A16CD">
        <w:rPr>
          <w:rFonts w:ascii="Times New Roman" w:hAnsi="Times New Roman" w:cs="Times New Roman"/>
          <w:sz w:val="24"/>
          <w:szCs w:val="24"/>
        </w:rPr>
        <w:t xml:space="preserve">]  </w:t>
      </w:r>
    </w:p>
    <w:p w14:paraId="46691960" w14:textId="77777777" w:rsidR="00FA7E6B" w:rsidRPr="007A16CD" w:rsidRDefault="00FA7E6B" w:rsidP="00F97B37">
      <w:pPr>
        <w:tabs>
          <w:tab w:val="left" w:pos="1080"/>
        </w:tabs>
        <w:spacing w:after="0" w:line="240" w:lineRule="auto"/>
        <w:rPr>
          <w:rFonts w:ascii="Times New Roman" w:hAnsi="Times New Roman" w:cs="Times New Roman"/>
          <w:sz w:val="24"/>
          <w:szCs w:val="24"/>
        </w:rPr>
      </w:pPr>
    </w:p>
    <w:p w14:paraId="1FCA28B3" w14:textId="771D3044" w:rsidR="00876154" w:rsidRPr="007A16CD" w:rsidRDefault="000A2881" w:rsidP="00F97B37">
      <w:pPr>
        <w:tabs>
          <w:tab w:val="left" w:pos="1080"/>
        </w:tabs>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 Commission is submitting this consolidated supporting statement to describe the changes to burden and cost in FERC-725P and FERC-725P1, due to Docket No. RD16-2.</w:t>
      </w:r>
      <w:r w:rsidR="00026358" w:rsidRPr="007A16CD">
        <w:rPr>
          <w:rFonts w:ascii="Times New Roman" w:hAnsi="Times New Roman" w:cs="Times New Roman"/>
          <w:i/>
          <w:sz w:val="24"/>
          <w:szCs w:val="24"/>
        </w:rPr>
        <w:t xml:space="preserve">  Note that, if approved by OMB, the FERC-725P (a temporary collection number) will have a 0 burden and will be eliminated by this action and the changes in Docket RD16-2.</w:t>
      </w:r>
    </w:p>
    <w:p w14:paraId="7CA1761F" w14:textId="77777777" w:rsidR="00C37770" w:rsidRPr="007A16CD" w:rsidRDefault="00C37770" w:rsidP="00F97B37">
      <w:pPr>
        <w:spacing w:after="0" w:line="240" w:lineRule="auto"/>
        <w:rPr>
          <w:rFonts w:ascii="Times New Roman" w:hAnsi="Times New Roman" w:cs="Times New Roman"/>
          <w:sz w:val="24"/>
          <w:szCs w:val="24"/>
        </w:rPr>
      </w:pPr>
    </w:p>
    <w:p w14:paraId="69F1681D" w14:textId="51FEA09A" w:rsidR="00A72E7B" w:rsidRPr="007A16CD" w:rsidRDefault="00A72E7B" w:rsidP="00F97B37">
      <w:pPr>
        <w:pStyle w:val="ListParagraph"/>
        <w:numPr>
          <w:ilvl w:val="0"/>
          <w:numId w:val="1"/>
        </w:numPr>
        <w:spacing w:after="0" w:line="240" w:lineRule="auto"/>
        <w:ind w:left="360"/>
        <w:rPr>
          <w:rFonts w:ascii="Times New Roman" w:hAnsi="Times New Roman" w:cs="Times New Roman"/>
          <w:b/>
          <w:sz w:val="24"/>
          <w:szCs w:val="24"/>
        </w:rPr>
      </w:pPr>
      <w:r w:rsidRPr="007A16CD">
        <w:rPr>
          <w:rFonts w:ascii="Times New Roman" w:hAnsi="Times New Roman" w:cs="Times New Roman"/>
          <w:b/>
          <w:sz w:val="24"/>
          <w:szCs w:val="24"/>
        </w:rPr>
        <w:t>CIRCUMSTANCES THAT MAKE THE COLLECTION OF INFORMATION NECESSARY</w:t>
      </w:r>
    </w:p>
    <w:p w14:paraId="6D33FE6B" w14:textId="77777777" w:rsidR="00A72E7B" w:rsidRPr="007A16CD" w:rsidRDefault="00A72E7B" w:rsidP="00F97B37">
      <w:pPr>
        <w:spacing w:after="0" w:line="240" w:lineRule="auto"/>
        <w:rPr>
          <w:rFonts w:ascii="Times New Roman" w:hAnsi="Times New Roman" w:cs="Times New Roman"/>
          <w:sz w:val="24"/>
          <w:szCs w:val="24"/>
        </w:rPr>
      </w:pPr>
    </w:p>
    <w:p w14:paraId="7EB43F8F" w14:textId="77777777" w:rsidR="00DF401D" w:rsidRPr="007A16CD" w:rsidRDefault="00DF401D" w:rsidP="00F97B37">
      <w:pPr>
        <w:pStyle w:val="FERCparanumber"/>
        <w:widowControl/>
        <w:numPr>
          <w:ilvl w:val="0"/>
          <w:numId w:val="0"/>
        </w:numPr>
        <w:spacing w:line="240" w:lineRule="auto"/>
        <w:rPr>
          <w:sz w:val="24"/>
        </w:rPr>
      </w:pPr>
      <w:r w:rsidRPr="007A16CD">
        <w:rPr>
          <w:sz w:val="24"/>
        </w:rPr>
        <w:t>On August 8, 2005, The Electricity Modernization Act of 2005, which is Title XII of the Energy Policy Act of 2005 (EPAct 2005), was enacted into law.</w:t>
      </w:r>
      <w:r w:rsidRPr="007A16CD">
        <w:rPr>
          <w:rStyle w:val="FootnoteReference"/>
          <w:sz w:val="24"/>
          <w:vertAlign w:val="superscript"/>
        </w:rPr>
        <w:footnoteReference w:id="2"/>
      </w:r>
      <w:r w:rsidRPr="007A16CD">
        <w:rPr>
          <w:sz w:val="24"/>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sidRPr="007A16CD">
        <w:rPr>
          <w:sz w:val="24"/>
        </w:rPr>
        <w:t>,</w:t>
      </w:r>
      <w:r w:rsidRPr="007A16CD">
        <w:rPr>
          <w:sz w:val="24"/>
        </w:rPr>
        <w:t xml:space="preserve"> the Reliability Standards may be enforced by the ERO, subject to Commission oversight. </w:t>
      </w:r>
    </w:p>
    <w:p w14:paraId="63F75858" w14:textId="77777777" w:rsidR="00DF401D" w:rsidRPr="007A16CD" w:rsidRDefault="00DF401D" w:rsidP="00F97B37">
      <w:pPr>
        <w:spacing w:after="0" w:line="240" w:lineRule="auto"/>
        <w:rPr>
          <w:rFonts w:ascii="Times New Roman" w:hAnsi="Times New Roman" w:cs="Times New Roman"/>
          <w:sz w:val="24"/>
          <w:szCs w:val="24"/>
        </w:rPr>
      </w:pPr>
    </w:p>
    <w:p w14:paraId="32EE7644" w14:textId="0FEEB1DF" w:rsidR="00A203E8" w:rsidRPr="007A16CD" w:rsidRDefault="00A203E8"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On February 3, 2006, the Commission issued Order No. 672, implementing section 215 of the FPA.</w:t>
      </w:r>
      <w:r w:rsidRPr="007A16CD">
        <w:rPr>
          <w:rFonts w:ascii="Times New Roman" w:hAnsi="Times New Roman" w:cs="Times New Roman"/>
          <w:sz w:val="24"/>
          <w:szCs w:val="24"/>
          <w:vertAlign w:val="superscript"/>
        </w:rPr>
        <w:footnoteReference w:id="3"/>
      </w:r>
      <w:r w:rsidRPr="007A16CD">
        <w:rPr>
          <w:rFonts w:ascii="Times New Roman" w:hAnsi="Times New Roman" w:cs="Times New Roman"/>
          <w:sz w:val="24"/>
          <w:szCs w:val="24"/>
        </w:rPr>
        <w:t xml:space="preserve">  Pursuant to Order No. 672, the Commission certified one organization, North American Electric Reliability Corporation (NERC), as the ERO.</w:t>
      </w:r>
      <w:r w:rsidRPr="007A16CD">
        <w:rPr>
          <w:rFonts w:ascii="Times New Roman" w:hAnsi="Times New Roman" w:cs="Times New Roman"/>
          <w:sz w:val="24"/>
          <w:szCs w:val="24"/>
          <w:vertAlign w:val="superscript"/>
        </w:rPr>
        <w:footnoteReference w:id="4"/>
      </w:r>
      <w:r w:rsidRPr="007A16CD">
        <w:rPr>
          <w:rFonts w:ascii="Times New Roman" w:hAnsi="Times New Roman" w:cs="Times New Roman"/>
          <w:sz w:val="24"/>
          <w:szCs w:val="24"/>
        </w:rPr>
        <w:t xml:space="preserve">  The Reliability Standards developed by the ERO and approved by the Commission apply to users, owners and operators of the Bulk-Power System as set forth in each Reliability Standard.</w:t>
      </w:r>
    </w:p>
    <w:p w14:paraId="56CF206B" w14:textId="77777777" w:rsidR="00A203E8" w:rsidRPr="007A16CD" w:rsidRDefault="00A203E8" w:rsidP="00F97B37">
      <w:pPr>
        <w:spacing w:after="0" w:line="240" w:lineRule="auto"/>
        <w:rPr>
          <w:rFonts w:ascii="Times New Roman" w:hAnsi="Times New Roman" w:cs="Times New Roman"/>
          <w:sz w:val="24"/>
          <w:szCs w:val="24"/>
        </w:rPr>
      </w:pPr>
    </w:p>
    <w:p w14:paraId="14E8CF29" w14:textId="09AB730B" w:rsidR="0087477C" w:rsidRPr="007A16CD" w:rsidRDefault="00A203E8"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lastRenderedPageBreak/>
        <w:t>On November 13, 2015, the North American Electric Reliability Corporation (NERC) filed a petition</w:t>
      </w:r>
      <w:r w:rsidRPr="007A16CD">
        <w:rPr>
          <w:rStyle w:val="FootnoteReference"/>
          <w:rFonts w:ascii="Times New Roman" w:hAnsi="Times New Roman" w:cs="Times New Roman"/>
          <w:sz w:val="24"/>
          <w:szCs w:val="24"/>
          <w:vertAlign w:val="superscript"/>
        </w:rPr>
        <w:footnoteReference w:id="5"/>
      </w:r>
      <w:r w:rsidRPr="007A16CD">
        <w:rPr>
          <w:rFonts w:ascii="Times New Roman" w:hAnsi="Times New Roman" w:cs="Times New Roman"/>
          <w:sz w:val="24"/>
          <w:szCs w:val="24"/>
        </w:rPr>
        <w:t xml:space="preserve"> for Commission approval of proposed Reliability Standard PRC-005-6</w:t>
      </w:r>
      <w:r w:rsidR="00A56FDA" w:rsidRPr="007A16CD">
        <w:rPr>
          <w:rStyle w:val="FootnoteReference"/>
          <w:rFonts w:ascii="Times New Roman" w:hAnsi="Times New Roman" w:cs="Times New Roman"/>
          <w:sz w:val="24"/>
          <w:szCs w:val="24"/>
          <w:vertAlign w:val="superscript"/>
        </w:rPr>
        <w:footnoteReference w:id="6"/>
      </w:r>
      <w:r w:rsidRPr="007A16CD">
        <w:rPr>
          <w:rFonts w:ascii="Times New Roman" w:hAnsi="Times New Roman" w:cs="Times New Roman"/>
          <w:sz w:val="24"/>
          <w:szCs w:val="24"/>
        </w:rPr>
        <w:t xml:space="preserve"> (Protection System, Automatic Reclosing, and Sudden Pressure Relaying Maintenance).  NERC also requested approval of the proposed implementation plan for PRC-005-6, and the retirement of previous versions of Reliability Standard PRC-005. </w:t>
      </w:r>
      <w:r w:rsidR="000A2881" w:rsidRPr="007A16CD">
        <w:rPr>
          <w:rFonts w:ascii="Times New Roman" w:hAnsi="Times New Roman" w:cs="Times New Roman"/>
          <w:sz w:val="24"/>
          <w:szCs w:val="24"/>
        </w:rPr>
        <w:t xml:space="preserve"> </w:t>
      </w:r>
      <w:r w:rsidRPr="007A16CD">
        <w:rPr>
          <w:rFonts w:ascii="Times New Roman" w:hAnsi="Times New Roman" w:cs="Times New Roman"/>
          <w:sz w:val="24"/>
          <w:szCs w:val="24"/>
        </w:rPr>
        <w:t>NERC explained in its petition that Reliability Standard PRC-005-6 represents an improvement upon the most recently-approved version of the standard, PRC-005-4.</w:t>
      </w:r>
      <w:r w:rsidRPr="007A16CD">
        <w:rPr>
          <w:rStyle w:val="FootnoteReference"/>
          <w:rFonts w:ascii="Times New Roman" w:hAnsi="Times New Roman" w:cs="Times New Roman"/>
          <w:sz w:val="24"/>
          <w:szCs w:val="24"/>
          <w:vertAlign w:val="superscript"/>
        </w:rPr>
        <w:footnoteReference w:id="7"/>
      </w:r>
      <w:r w:rsidRPr="007A16CD">
        <w:rPr>
          <w:rFonts w:ascii="Times New Roman" w:hAnsi="Times New Roman" w:cs="Times New Roman"/>
          <w:sz w:val="24"/>
          <w:szCs w:val="24"/>
          <w:vertAlign w:val="superscript"/>
        </w:rPr>
        <w:t xml:space="preserve"> </w:t>
      </w:r>
      <w:r w:rsidRPr="007A16CD">
        <w:rPr>
          <w:rFonts w:ascii="Times New Roman" w:hAnsi="Times New Roman" w:cs="Times New Roman"/>
          <w:sz w:val="24"/>
          <w:szCs w:val="24"/>
        </w:rPr>
        <w:t xml:space="preserve"> </w:t>
      </w:r>
      <w:r w:rsidR="006C3B18" w:rsidRPr="007A16CD">
        <w:rPr>
          <w:rFonts w:ascii="Times New Roman" w:hAnsi="Times New Roman" w:cs="Times New Roman"/>
          <w:sz w:val="24"/>
          <w:szCs w:val="24"/>
        </w:rPr>
        <w:t xml:space="preserve">In a Delegated Letter Order on December 18, 2015, </w:t>
      </w:r>
      <w:r w:rsidRPr="007A16CD">
        <w:rPr>
          <w:rFonts w:ascii="Times New Roman" w:hAnsi="Times New Roman" w:cs="Times New Roman"/>
          <w:sz w:val="24"/>
          <w:szCs w:val="24"/>
        </w:rPr>
        <w:t>FERC approved the proposed Reliability Standard PRC-005-6.</w:t>
      </w:r>
      <w:r w:rsidR="000A2881" w:rsidRPr="007A16CD">
        <w:rPr>
          <w:rStyle w:val="FootnoteReference"/>
          <w:rFonts w:ascii="Times New Roman" w:hAnsi="Times New Roman" w:cs="Times New Roman"/>
          <w:sz w:val="24"/>
          <w:szCs w:val="24"/>
          <w:vertAlign w:val="superscript"/>
        </w:rPr>
        <w:footnoteReference w:id="8"/>
      </w:r>
      <w:r w:rsidRPr="007A16CD">
        <w:rPr>
          <w:rFonts w:ascii="Times New Roman" w:hAnsi="Times New Roman" w:cs="Times New Roman"/>
          <w:sz w:val="24"/>
          <w:szCs w:val="24"/>
          <w:vertAlign w:val="superscript"/>
        </w:rPr>
        <w:t xml:space="preserve"> </w:t>
      </w:r>
    </w:p>
    <w:p w14:paraId="178D0DC0" w14:textId="662BEC79" w:rsidR="000A2881" w:rsidRPr="007A16CD" w:rsidRDefault="000A2881" w:rsidP="00F97B37">
      <w:pPr>
        <w:spacing w:after="0" w:line="240" w:lineRule="auto"/>
        <w:rPr>
          <w:rFonts w:ascii="Times New Roman" w:hAnsi="Times New Roman" w:cs="Times New Roman"/>
          <w:sz w:val="24"/>
          <w:szCs w:val="24"/>
        </w:rPr>
      </w:pPr>
    </w:p>
    <w:p w14:paraId="6371C6B7" w14:textId="77777777" w:rsidR="00A72E7B" w:rsidRPr="007A16CD" w:rsidRDefault="00EB3E6F" w:rsidP="00F97B37">
      <w:pPr>
        <w:pStyle w:val="ListParagraph"/>
        <w:numPr>
          <w:ilvl w:val="0"/>
          <w:numId w:val="1"/>
        </w:numPr>
        <w:spacing w:after="0" w:line="240" w:lineRule="auto"/>
        <w:ind w:left="360"/>
        <w:rPr>
          <w:rFonts w:ascii="Times New Roman" w:hAnsi="Times New Roman" w:cs="Times New Roman"/>
          <w:b/>
          <w:sz w:val="24"/>
          <w:szCs w:val="24"/>
        </w:rPr>
      </w:pPr>
      <w:r w:rsidRPr="007A16CD">
        <w:rPr>
          <w:rFonts w:ascii="Times New Roman" w:hAnsi="Times New Roman" w:cs="Times New Roman"/>
          <w:b/>
          <w:sz w:val="24"/>
          <w:szCs w:val="24"/>
        </w:rPr>
        <w:t>HOW, BY WHOM, AND FOR WHAT PURPOSE THE INFORMATION IS TO BE USED AND THE CONSEQUENCES OF NOT COLLECTING THE INFORMATION</w:t>
      </w:r>
    </w:p>
    <w:p w14:paraId="0E6092BF" w14:textId="77777777" w:rsidR="00FF5850" w:rsidRPr="007A16CD" w:rsidRDefault="00FF5850" w:rsidP="00F97B37">
      <w:pPr>
        <w:spacing w:after="0" w:line="240" w:lineRule="auto"/>
        <w:rPr>
          <w:rFonts w:ascii="Times New Roman" w:hAnsi="Times New Roman" w:cs="Times New Roman"/>
          <w:sz w:val="24"/>
          <w:szCs w:val="24"/>
        </w:rPr>
      </w:pPr>
    </w:p>
    <w:p w14:paraId="1EE1542B" w14:textId="5A49B486" w:rsidR="003B25DD" w:rsidRPr="007A16CD" w:rsidRDefault="00FF5850"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As stated by NERC in the Executive Summary of its Petition [footnotes omitted]:</w:t>
      </w:r>
    </w:p>
    <w:p w14:paraId="1EE53CDD" w14:textId="77777777" w:rsidR="00FF5850" w:rsidRPr="007A16CD" w:rsidRDefault="00FF5850" w:rsidP="00F97B37">
      <w:pPr>
        <w:spacing w:after="0" w:line="240" w:lineRule="auto"/>
        <w:rPr>
          <w:rFonts w:ascii="Times New Roman" w:hAnsi="Times New Roman" w:cs="Times New Roman"/>
          <w:sz w:val="24"/>
          <w:szCs w:val="24"/>
        </w:rPr>
      </w:pPr>
    </w:p>
    <w:p w14:paraId="35FFD911" w14:textId="6450F3D6" w:rsidR="00FF5850" w:rsidRPr="007A16CD" w:rsidRDefault="00FF5850"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 xml:space="preserve">“The PRC-005 Reliability Standard helps ensure that entities have a program for the </w:t>
      </w:r>
    </w:p>
    <w:p w14:paraId="79A7ED96" w14:textId="41080C97" w:rsidR="00FF5850" w:rsidRPr="007A16CD" w:rsidRDefault="00FF5850"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maintenance of their applicable Protection Systems, Automatic Reclosing, and Sudden Pressure Relaying so that they are kept in working order. The standard has been revised several times since its initial approval in Order No. 693 to incorporate interpretations, clarify applicability, and respond to Commission directives. Following a restructuring of the standard in PRC-005-2, a number of versions have been developed, including currently-effective PRC-005-2(i), Commission-approved but not yet effective versions PRC-005-3, PRC-005-3(i), and PRC-005-4, and pending versions PRC-005-2(ii) and PRC-005-3(ii).</w:t>
      </w:r>
    </w:p>
    <w:p w14:paraId="6CD7C250" w14:textId="77777777" w:rsidR="00FF5850" w:rsidRPr="007A16CD" w:rsidRDefault="00FF5850" w:rsidP="00F97B37">
      <w:pPr>
        <w:spacing w:after="0" w:line="240" w:lineRule="auto"/>
        <w:ind w:left="720"/>
        <w:rPr>
          <w:rFonts w:ascii="Times New Roman" w:hAnsi="Times New Roman" w:cs="Times New Roman"/>
          <w:sz w:val="24"/>
          <w:szCs w:val="24"/>
        </w:rPr>
      </w:pPr>
    </w:p>
    <w:p w14:paraId="6BA28420" w14:textId="7C445D36" w:rsidR="00FF5850" w:rsidRPr="007A16CD" w:rsidRDefault="00FF5850"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In this petition, NERC proposes additional modifications that improve upon the most recent Commission-approved version, PRC-005-4, in two respects. First, proposed Reliability Standard PRC-005-6 revises the standard to include supervisory devices and functions associated with applicable autoreclosing relay schemes. Reliability is improved by extending the protections of a strong Protection System Maintenance Program to these devices consistent with Order No. 803.</w:t>
      </w:r>
    </w:p>
    <w:p w14:paraId="54B39DE2" w14:textId="77777777" w:rsidR="00FF5850" w:rsidRPr="007A16CD" w:rsidRDefault="00FF5850" w:rsidP="00F97B37">
      <w:pPr>
        <w:spacing w:after="0" w:line="240" w:lineRule="auto"/>
        <w:ind w:left="720"/>
        <w:rPr>
          <w:rFonts w:ascii="Times New Roman" w:hAnsi="Times New Roman" w:cs="Times New Roman"/>
          <w:sz w:val="24"/>
          <w:szCs w:val="24"/>
        </w:rPr>
      </w:pPr>
    </w:p>
    <w:p w14:paraId="2C284DDC" w14:textId="35037FCA" w:rsidR="00FF5850" w:rsidRPr="007A16CD" w:rsidRDefault="00FF5850"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 xml:space="preserve">Second, proposed Reliability Standard PRC-005-6 includes a revision to the PRC-005 standard that was included in prior versions of the standard but, as explained further below, was not carried forward to PRC-005-4 due to the timing of the development of that version. Specifically, proposed Reliability Standard PRC-005-6 includes Commission-approved revisions addressing the applicability of PRC-005 to owners of dispersed generation resources. As explained in greater detail below, these revisions </w:t>
      </w:r>
      <w:r w:rsidRPr="007A16CD">
        <w:rPr>
          <w:rFonts w:ascii="Times New Roman" w:hAnsi="Times New Roman" w:cs="Times New Roman"/>
          <w:sz w:val="24"/>
          <w:szCs w:val="24"/>
        </w:rPr>
        <w:lastRenderedPageBreak/>
        <w:t>reflect the determination of the standard drafting team for Project 2014-01 Standards Applicability for Dispersed Generation Resources that while the components of dispersed power generation, such as individual wind or solar units, often do not pose a significant risk to the reliability of the Bulk-Power System when evaluated individually, reliability could be improved by ensuring the equipment utilized to aggregate these individual units to a common point of interconnection with the Bulk-Power System is operated and maintained as required by the PRC-005 Reliability Standard.</w:t>
      </w:r>
    </w:p>
    <w:p w14:paraId="624A3016" w14:textId="77777777" w:rsidR="00FF5850" w:rsidRPr="007A16CD" w:rsidRDefault="00FF5850" w:rsidP="00F97B37">
      <w:pPr>
        <w:spacing w:after="0" w:line="240" w:lineRule="auto"/>
        <w:ind w:left="720"/>
        <w:rPr>
          <w:rFonts w:ascii="Times New Roman" w:hAnsi="Times New Roman" w:cs="Times New Roman"/>
          <w:sz w:val="24"/>
          <w:szCs w:val="24"/>
        </w:rPr>
      </w:pPr>
    </w:p>
    <w:p w14:paraId="23251C9F" w14:textId="1BFD8717" w:rsidR="00FF5850" w:rsidRPr="007A16CD" w:rsidRDefault="00FF5850"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 xml:space="preserve">Additionally, as there are now multiple versions of the PRC-005 Reliability Standard </w:t>
      </w:r>
    </w:p>
    <w:p w14:paraId="69CD6E9B" w14:textId="574BBE0C" w:rsidR="00FF5850" w:rsidRPr="007A16CD" w:rsidRDefault="00FF5850"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pending enforcement or Commission approval, the implementation plan for proposed PRC-005-6 is designed to assist registered entities and the ERO Enterprise in their transition efforts by simplifying and streamlining the implementation approach for all of the newly-applicable systems introduced in the versions of PRC-005 not yet in effect. As discussed below, the proposed implementation plan retains the reasonable, phased-in implementation approach of past plans, which require registered entities to gradually ensure compliance of a percentage of their devices until they reach 100% compliance. However, NERC proposes to replace the patchwork implementation of requirements for the systems introduced by each successive PRC-005 version with an implementation plan that aligns compliance dates for all newly applicable systems.</w:t>
      </w:r>
    </w:p>
    <w:p w14:paraId="54DA05EA" w14:textId="77777777" w:rsidR="00FF5850" w:rsidRPr="007A16CD" w:rsidRDefault="00FF5850" w:rsidP="00F97B37">
      <w:pPr>
        <w:spacing w:after="0" w:line="240" w:lineRule="auto"/>
        <w:ind w:left="720"/>
        <w:rPr>
          <w:rFonts w:ascii="Times New Roman" w:hAnsi="Times New Roman" w:cs="Times New Roman"/>
          <w:sz w:val="24"/>
          <w:szCs w:val="24"/>
        </w:rPr>
      </w:pPr>
    </w:p>
    <w:p w14:paraId="312F9C0A" w14:textId="107C5F4C" w:rsidR="00FF5850" w:rsidRPr="007A16CD" w:rsidRDefault="00FF5850"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Aligning the dates by which registered entities must be compliant for all newly applicable systems necessitates a slight delay from the staggered timeframe contemplated by previous PRC-005 implementation plans. However, the proposed approach advances reliability by: (1) allowing entities sufficient time to develop comprehensive Protection System Maintenance Programs to address all new applicable systems, thereby decreasing the number of opportunities for misidentified and missed devices across successive program revisions and across multiple compliance schedules; (2) promoting the efficient use of entity and ERO Enterprise resources by eliminating the need to create and audit multiple, successive revisions to entity Protection System Maintenance Programs; and (3) providing NERC additional time to provide additional education and outreach to industry regarding the implementation of this important Reliability Standard.”</w:t>
      </w:r>
    </w:p>
    <w:p w14:paraId="6D261075" w14:textId="34D986C0" w:rsidR="00A56FDA" w:rsidRPr="007A16CD" w:rsidRDefault="00A56FDA" w:rsidP="00F97B37">
      <w:pPr>
        <w:spacing w:after="0" w:line="240" w:lineRule="auto"/>
        <w:ind w:left="720"/>
        <w:rPr>
          <w:rFonts w:ascii="Times New Roman" w:hAnsi="Times New Roman" w:cs="Times New Roman"/>
          <w:sz w:val="24"/>
          <w:szCs w:val="24"/>
        </w:rPr>
      </w:pPr>
    </w:p>
    <w:p w14:paraId="13E993EB" w14:textId="77777777" w:rsidR="00A56FDA" w:rsidRPr="007A16CD" w:rsidRDefault="00A56FDA" w:rsidP="00F97B37">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In short, NERC maintains that this approach will:</w:t>
      </w:r>
    </w:p>
    <w:p w14:paraId="509488F1" w14:textId="77777777" w:rsidR="00A56FDA" w:rsidRPr="007A16CD" w:rsidRDefault="00A56FDA" w:rsidP="00F97B37">
      <w:pPr>
        <w:pStyle w:val="ListParagraph"/>
        <w:numPr>
          <w:ilvl w:val="0"/>
          <w:numId w:val="27"/>
        </w:num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simplify and streamline the implementation process, with only a slight delay in the compliance deadlines associated with the testing and maintenance requirements for newly-applicable systems,</w:t>
      </w:r>
    </w:p>
    <w:p w14:paraId="392D6702" w14:textId="77777777" w:rsidR="00A56FDA" w:rsidRPr="007A16CD" w:rsidRDefault="00A56FDA" w:rsidP="00F97B37">
      <w:pPr>
        <w:pStyle w:val="ListParagraph"/>
        <w:numPr>
          <w:ilvl w:val="0"/>
          <w:numId w:val="27"/>
        </w:num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result in fewer errors, omissions, and misidentified devices when setting up maintenance programs</w:t>
      </w:r>
    </w:p>
    <w:p w14:paraId="3BC82D1E" w14:textId="48564097" w:rsidR="00A56FDA" w:rsidRPr="007A16CD" w:rsidRDefault="00A56FDA" w:rsidP="00F97B37">
      <w:pPr>
        <w:pStyle w:val="ListParagraph"/>
        <w:numPr>
          <w:ilvl w:val="0"/>
          <w:numId w:val="27"/>
        </w:num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decrease the potential for confusions and missed device testing when implementing the maintenance programs</w:t>
      </w:r>
    </w:p>
    <w:p w14:paraId="7FBE3834" w14:textId="2FF8AA10" w:rsidR="00A56FDA" w:rsidRPr="007A16CD" w:rsidRDefault="00A56FDA" w:rsidP="00F97B37">
      <w:pPr>
        <w:pStyle w:val="ListParagraph"/>
        <w:numPr>
          <w:ilvl w:val="0"/>
          <w:numId w:val="27"/>
        </w:num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promote the efficient use of both registered entity and ERO Enterprise resources, and </w:t>
      </w:r>
    </w:p>
    <w:p w14:paraId="79D32904" w14:textId="3F7F21F8" w:rsidR="00A56FDA" w:rsidRPr="007A16CD" w:rsidRDefault="00A56FDA" w:rsidP="00F97B37">
      <w:pPr>
        <w:pStyle w:val="ListParagraph"/>
        <w:numPr>
          <w:ilvl w:val="0"/>
          <w:numId w:val="27"/>
        </w:num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allow NERC additional time to conduct outreach and provide training on the revised protection system maintenance standard.  </w:t>
      </w:r>
    </w:p>
    <w:p w14:paraId="0C41FA10" w14:textId="589F4EEC" w:rsidR="00432B8F" w:rsidRPr="007A16CD" w:rsidRDefault="00432B8F" w:rsidP="00F97B37">
      <w:pPr>
        <w:spacing w:after="0" w:line="240" w:lineRule="auto"/>
        <w:rPr>
          <w:rFonts w:ascii="Times New Roman" w:hAnsi="Times New Roman" w:cs="Times New Roman"/>
          <w:sz w:val="24"/>
          <w:szCs w:val="24"/>
        </w:rPr>
      </w:pPr>
    </w:p>
    <w:p w14:paraId="75BE7A5A" w14:textId="77777777" w:rsidR="00EB3E6F" w:rsidRPr="007A16CD" w:rsidRDefault="00EB3E6F"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lastRenderedPageBreak/>
        <w:t>DESCRIBE ANY CONSIDERATION OF THE USE OF IMPROVED INFORMATION TECHNOLOGY TO REDUCE THE BURDEN AND TECHNICAL OR LEGAL OBSTACLES TO REDUCING BURDEN</w:t>
      </w:r>
    </w:p>
    <w:p w14:paraId="2768CDA0" w14:textId="77777777" w:rsidR="00EB3E6F" w:rsidRPr="007A16CD" w:rsidRDefault="00EB3E6F" w:rsidP="00F97B37">
      <w:pPr>
        <w:spacing w:after="0" w:line="240" w:lineRule="auto"/>
        <w:rPr>
          <w:rFonts w:ascii="Times New Roman" w:hAnsi="Times New Roman" w:cs="Times New Roman"/>
          <w:sz w:val="24"/>
          <w:szCs w:val="24"/>
        </w:rPr>
      </w:pPr>
    </w:p>
    <w:p w14:paraId="51B508E0" w14:textId="09B7CF01" w:rsidR="00693371" w:rsidRPr="007A16CD" w:rsidRDefault="00693371"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The use of current or improved technology is not covered in Reliability Standards, and is therefore left to the discretion of each reporting entity. </w:t>
      </w:r>
      <w:r w:rsidR="00004B78" w:rsidRPr="007A16CD">
        <w:rPr>
          <w:rFonts w:ascii="Times New Roman" w:hAnsi="Times New Roman" w:cs="Times New Roman"/>
          <w:sz w:val="24"/>
          <w:szCs w:val="24"/>
        </w:rPr>
        <w:t xml:space="preserve"> </w:t>
      </w:r>
      <w:r w:rsidRPr="007A16CD">
        <w:rPr>
          <w:rFonts w:ascii="Times New Roman" w:hAnsi="Times New Roman" w:cs="Times New Roman"/>
          <w:sz w:val="24"/>
          <w:szCs w:val="24"/>
        </w:rPr>
        <w:t>We think that nearly all of the respondents are likely to make and keep related records in an elect</w:t>
      </w:r>
      <w:r w:rsidR="000E7A2C" w:rsidRPr="007A16CD">
        <w:rPr>
          <w:rFonts w:ascii="Times New Roman" w:hAnsi="Times New Roman" w:cs="Times New Roman"/>
          <w:sz w:val="24"/>
          <w:szCs w:val="24"/>
        </w:rPr>
        <w:t xml:space="preserve">ronic format.  Each of the </w:t>
      </w:r>
      <w:r w:rsidRPr="007A16CD">
        <w:rPr>
          <w:rFonts w:ascii="Times New Roman" w:hAnsi="Times New Roman" w:cs="Times New Roman"/>
          <w:sz w:val="24"/>
          <w:szCs w:val="24"/>
        </w:rPr>
        <w:t>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w:t>
      </w:r>
      <w:r w:rsidR="00A56FDA" w:rsidRPr="007A16CD">
        <w:rPr>
          <w:rFonts w:ascii="Times New Roman" w:hAnsi="Times New Roman" w:cs="Times New Roman"/>
          <w:sz w:val="24"/>
          <w:szCs w:val="24"/>
        </w:rPr>
        <w:t>-</w:t>
      </w:r>
      <w:r w:rsidRPr="007A16CD">
        <w:rPr>
          <w:rFonts w:ascii="Times New Roman" w:hAnsi="Times New Roman" w:cs="Times New Roman"/>
          <w:sz w:val="24"/>
          <w:szCs w:val="24"/>
        </w:rPr>
        <w:t>protected user interface.</w:t>
      </w:r>
    </w:p>
    <w:p w14:paraId="29226A72" w14:textId="77777777" w:rsidR="00693371" w:rsidRPr="007A16CD" w:rsidRDefault="00693371" w:rsidP="00F97B37">
      <w:pPr>
        <w:spacing w:after="0" w:line="240" w:lineRule="auto"/>
        <w:rPr>
          <w:rFonts w:ascii="Times New Roman" w:hAnsi="Times New Roman" w:cs="Times New Roman"/>
          <w:sz w:val="24"/>
          <w:szCs w:val="24"/>
        </w:rPr>
      </w:pPr>
    </w:p>
    <w:p w14:paraId="30CBC552" w14:textId="4D1039E8" w:rsidR="00EB3E6F" w:rsidRPr="007A16CD" w:rsidRDefault="00693371"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 submittals are not made to FERC.</w:t>
      </w:r>
    </w:p>
    <w:p w14:paraId="5A74C757" w14:textId="77777777" w:rsidR="00693371" w:rsidRPr="007A16CD" w:rsidRDefault="00693371" w:rsidP="00F97B37">
      <w:pPr>
        <w:spacing w:after="0" w:line="240" w:lineRule="auto"/>
        <w:rPr>
          <w:rFonts w:ascii="Times New Roman" w:hAnsi="Times New Roman" w:cs="Times New Roman"/>
          <w:sz w:val="24"/>
          <w:szCs w:val="24"/>
        </w:rPr>
      </w:pPr>
    </w:p>
    <w:p w14:paraId="145DA2A6" w14:textId="77777777" w:rsidR="00EB3E6F" w:rsidRPr="007A16CD" w:rsidRDefault="00EB3E6F"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DESCRIBE EFFORTS TO IDENTIF</w:t>
      </w:r>
      <w:r w:rsidR="00E05FA3" w:rsidRPr="007A16CD">
        <w:rPr>
          <w:rFonts w:ascii="Times New Roman" w:hAnsi="Times New Roman" w:cs="Times New Roman"/>
          <w:b/>
          <w:sz w:val="24"/>
          <w:szCs w:val="24"/>
        </w:rPr>
        <w:t>Y</w:t>
      </w:r>
      <w:r w:rsidRPr="007A16CD">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7357532" w14:textId="77777777" w:rsidR="00EB3E6F" w:rsidRPr="007A16CD" w:rsidRDefault="00EB3E6F" w:rsidP="00F97B37">
      <w:pPr>
        <w:spacing w:after="0" w:line="240" w:lineRule="auto"/>
        <w:rPr>
          <w:rFonts w:ascii="Times New Roman" w:hAnsi="Times New Roman" w:cs="Times New Roman"/>
          <w:sz w:val="24"/>
          <w:szCs w:val="24"/>
        </w:rPr>
      </w:pPr>
    </w:p>
    <w:p w14:paraId="08DDF687" w14:textId="3CA7043C" w:rsidR="00EB3E6F" w:rsidRPr="007A16CD" w:rsidRDefault="00C00D70"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r w:rsidR="00693371" w:rsidRPr="007A16CD">
        <w:rPr>
          <w:rFonts w:ascii="Times New Roman" w:hAnsi="Times New Roman" w:cs="Times New Roman"/>
          <w:sz w:val="24"/>
          <w:szCs w:val="24"/>
        </w:rPr>
        <w:t xml:space="preserve"> In addition, the standard-developing group (the ERO and various stakeholders) think it needs to be addressed, as indicated in the NERC petition.</w:t>
      </w:r>
    </w:p>
    <w:p w14:paraId="46475A15" w14:textId="77777777" w:rsidR="00C00D70" w:rsidRPr="007A16CD" w:rsidRDefault="00C00D70" w:rsidP="00F97B37">
      <w:pPr>
        <w:spacing w:after="0" w:line="240" w:lineRule="auto"/>
        <w:rPr>
          <w:rFonts w:ascii="Times New Roman" w:hAnsi="Times New Roman" w:cs="Times New Roman"/>
          <w:sz w:val="24"/>
          <w:szCs w:val="24"/>
        </w:rPr>
      </w:pPr>
    </w:p>
    <w:p w14:paraId="3A57A495" w14:textId="048A1048" w:rsidR="00EB3E6F" w:rsidRPr="007A16CD" w:rsidRDefault="00EB3E6F"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METHODS USED TO MINIMIZE THE BURDEN IN COLLECTION OF INFORMATION INVOLVING SMALL ENTITIES</w:t>
      </w:r>
    </w:p>
    <w:p w14:paraId="4F51B082" w14:textId="77777777" w:rsidR="00EB3E6F" w:rsidRPr="007A16CD" w:rsidRDefault="00EB3E6F" w:rsidP="00F97B37">
      <w:pPr>
        <w:spacing w:after="0" w:line="240" w:lineRule="auto"/>
        <w:rPr>
          <w:rFonts w:ascii="Times New Roman" w:hAnsi="Times New Roman" w:cs="Times New Roman"/>
          <w:sz w:val="24"/>
          <w:szCs w:val="24"/>
        </w:rPr>
      </w:pPr>
    </w:p>
    <w:p w14:paraId="637F3441" w14:textId="77777777" w:rsidR="00693371" w:rsidRPr="007A16CD" w:rsidRDefault="00693371"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22047C5B" w14:textId="77777777" w:rsidR="00693371" w:rsidRPr="007A16CD" w:rsidRDefault="00693371" w:rsidP="00F97B37">
      <w:pPr>
        <w:spacing w:after="0" w:line="240" w:lineRule="auto"/>
        <w:rPr>
          <w:rFonts w:ascii="Times New Roman" w:hAnsi="Times New Roman" w:cs="Times New Roman"/>
          <w:sz w:val="24"/>
          <w:szCs w:val="24"/>
        </w:rPr>
      </w:pPr>
    </w:p>
    <w:p w14:paraId="39BA6D31" w14:textId="0BCAB003" w:rsidR="00EB3E6F" w:rsidRPr="007A16CD" w:rsidRDefault="00693371"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Detailed information regarding these options </w:t>
      </w:r>
      <w:r w:rsidR="00A337D1" w:rsidRPr="007A16CD">
        <w:rPr>
          <w:rFonts w:ascii="Times New Roman" w:hAnsi="Times New Roman" w:cs="Times New Roman"/>
          <w:sz w:val="24"/>
          <w:szCs w:val="24"/>
        </w:rPr>
        <w:t xml:space="preserve">is </w:t>
      </w:r>
      <w:r w:rsidRPr="007A16CD">
        <w:rPr>
          <w:rFonts w:ascii="Times New Roman" w:hAnsi="Times New Roman" w:cs="Times New Roman"/>
          <w:sz w:val="24"/>
          <w:szCs w:val="24"/>
        </w:rPr>
        <w:t>available in NERC’s Rules of Pro</w:t>
      </w:r>
      <w:r w:rsidR="008D06B5" w:rsidRPr="007A16CD">
        <w:rPr>
          <w:rFonts w:ascii="Times New Roman" w:hAnsi="Times New Roman" w:cs="Times New Roman"/>
          <w:sz w:val="24"/>
          <w:szCs w:val="24"/>
        </w:rPr>
        <w:t>cedure at sections 507 and 508</w:t>
      </w:r>
      <w:r w:rsidRPr="007A16CD">
        <w:rPr>
          <w:rStyle w:val="FootnoteReference"/>
          <w:rFonts w:ascii="Times New Roman" w:hAnsi="Times New Roman" w:cs="Times New Roman"/>
          <w:sz w:val="24"/>
          <w:szCs w:val="24"/>
          <w:vertAlign w:val="superscript"/>
        </w:rPr>
        <w:footnoteReference w:id="9"/>
      </w:r>
      <w:r w:rsidR="008D06B5" w:rsidRPr="007A16CD">
        <w:rPr>
          <w:rFonts w:ascii="Times New Roman" w:hAnsi="Times New Roman" w:cs="Times New Roman"/>
          <w:sz w:val="24"/>
          <w:szCs w:val="24"/>
        </w:rPr>
        <w:t>.</w:t>
      </w:r>
      <w:r w:rsidRPr="007A16CD">
        <w:rPr>
          <w:rFonts w:ascii="Times New Roman" w:hAnsi="Times New Roman" w:cs="Times New Roman"/>
          <w:sz w:val="24"/>
          <w:szCs w:val="24"/>
          <w:vertAlign w:val="superscript"/>
        </w:rPr>
        <w:t xml:space="preserve"> </w:t>
      </w:r>
      <w:r w:rsidRPr="007A16CD">
        <w:rPr>
          <w:rFonts w:ascii="Times New Roman" w:hAnsi="Times New Roman" w:cs="Times New Roman"/>
          <w:sz w:val="24"/>
          <w:szCs w:val="24"/>
        </w:rPr>
        <w:t xml:space="preserve"> </w:t>
      </w:r>
    </w:p>
    <w:p w14:paraId="1D266F35" w14:textId="77777777" w:rsidR="00DE00F4" w:rsidRPr="007A16CD" w:rsidRDefault="00DE00F4" w:rsidP="00F97B37">
      <w:pPr>
        <w:spacing w:after="0" w:line="240" w:lineRule="auto"/>
        <w:rPr>
          <w:rFonts w:ascii="Times New Roman" w:hAnsi="Times New Roman" w:cs="Times New Roman"/>
          <w:sz w:val="24"/>
          <w:szCs w:val="24"/>
        </w:rPr>
      </w:pPr>
    </w:p>
    <w:p w14:paraId="3FFBC266" w14:textId="77777777" w:rsidR="00EB3E6F" w:rsidRPr="007A16CD" w:rsidRDefault="00EB3E6F"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CONSEQUENCE TO FEDERAL PROGRAM IF COLLECTION WERE CONDUCTED LESS FREQUENTLY</w:t>
      </w:r>
    </w:p>
    <w:p w14:paraId="385D957A" w14:textId="77777777" w:rsidR="00EB3E6F" w:rsidRPr="007A16CD" w:rsidRDefault="00EB3E6F" w:rsidP="00F97B37">
      <w:pPr>
        <w:spacing w:after="0" w:line="240" w:lineRule="auto"/>
        <w:rPr>
          <w:rFonts w:ascii="Times New Roman" w:hAnsi="Times New Roman" w:cs="Times New Roman"/>
          <w:sz w:val="24"/>
          <w:szCs w:val="24"/>
        </w:rPr>
      </w:pPr>
    </w:p>
    <w:p w14:paraId="1BD57752" w14:textId="0E925628" w:rsidR="003E56A0" w:rsidRPr="007A16CD" w:rsidRDefault="00B8628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If this standard and the associated information collection requirements did not exist or were performed less frequently</w:t>
      </w:r>
      <w:r w:rsidR="004B01EE" w:rsidRPr="007A16CD">
        <w:rPr>
          <w:rFonts w:ascii="Times New Roman" w:hAnsi="Times New Roman" w:cs="Times New Roman"/>
          <w:sz w:val="24"/>
          <w:szCs w:val="24"/>
        </w:rPr>
        <w:t>,</w:t>
      </w:r>
      <w:r w:rsidRPr="007A16CD">
        <w:rPr>
          <w:rFonts w:ascii="Times New Roman" w:hAnsi="Times New Roman" w:cs="Times New Roman"/>
          <w:sz w:val="24"/>
          <w:szCs w:val="24"/>
        </w:rPr>
        <w:t xml:space="preserve"> </w:t>
      </w:r>
      <w:r w:rsidR="00004B78" w:rsidRPr="007A16CD">
        <w:rPr>
          <w:rFonts w:ascii="Times New Roman" w:hAnsi="Times New Roman" w:cs="Times New Roman"/>
          <w:sz w:val="24"/>
          <w:szCs w:val="24"/>
        </w:rPr>
        <w:t xml:space="preserve">it would not be possible to ensure that applicable entities are performing required maintenance on devices that could, if not properly maintained, affect the reliability of the Bulk-Power System.  This </w:t>
      </w:r>
      <w:r w:rsidR="004B01EE" w:rsidRPr="007A16CD">
        <w:rPr>
          <w:rFonts w:ascii="Times New Roman" w:hAnsi="Times New Roman" w:cs="Times New Roman"/>
          <w:sz w:val="24"/>
          <w:szCs w:val="24"/>
        </w:rPr>
        <w:t>would likely</w:t>
      </w:r>
      <w:r w:rsidRPr="007A16CD">
        <w:rPr>
          <w:rFonts w:ascii="Times New Roman" w:hAnsi="Times New Roman" w:cs="Times New Roman"/>
          <w:sz w:val="24"/>
          <w:szCs w:val="24"/>
        </w:rPr>
        <w:t xml:space="preserve"> lead to </w:t>
      </w:r>
      <w:r w:rsidR="004B01EE" w:rsidRPr="007A16CD">
        <w:rPr>
          <w:rFonts w:ascii="Times New Roman" w:hAnsi="Times New Roman" w:cs="Times New Roman"/>
          <w:sz w:val="24"/>
          <w:szCs w:val="24"/>
        </w:rPr>
        <w:t>lower system reliability</w:t>
      </w:r>
      <w:r w:rsidR="00A337D1" w:rsidRPr="007A16CD">
        <w:rPr>
          <w:rFonts w:ascii="Times New Roman" w:hAnsi="Times New Roman" w:cs="Times New Roman"/>
          <w:sz w:val="24"/>
          <w:szCs w:val="24"/>
        </w:rPr>
        <w:t xml:space="preserve"> and higher vulnerability and risk</w:t>
      </w:r>
      <w:r w:rsidR="00CA4F8C" w:rsidRPr="007A16CD">
        <w:rPr>
          <w:rFonts w:ascii="Times New Roman" w:hAnsi="Times New Roman" w:cs="Times New Roman"/>
          <w:sz w:val="24"/>
          <w:szCs w:val="24"/>
        </w:rPr>
        <w:t>,</w:t>
      </w:r>
      <w:r w:rsidR="004B01EE" w:rsidRPr="007A16CD">
        <w:rPr>
          <w:rFonts w:ascii="Times New Roman" w:hAnsi="Times New Roman" w:cs="Times New Roman"/>
          <w:sz w:val="24"/>
          <w:szCs w:val="24"/>
        </w:rPr>
        <w:t xml:space="preserve"> such as transmission system outages and loss of load</w:t>
      </w:r>
      <w:r w:rsidRPr="007A16CD">
        <w:rPr>
          <w:rFonts w:ascii="Times New Roman" w:hAnsi="Times New Roman" w:cs="Times New Roman"/>
          <w:sz w:val="24"/>
          <w:szCs w:val="24"/>
        </w:rPr>
        <w:t>.</w:t>
      </w:r>
      <w:r w:rsidR="00004B78" w:rsidRPr="007A16CD">
        <w:rPr>
          <w:rFonts w:ascii="Times New Roman" w:hAnsi="Times New Roman" w:cs="Times New Roman"/>
          <w:sz w:val="24"/>
          <w:szCs w:val="24"/>
        </w:rPr>
        <w:t xml:space="preserve">  </w:t>
      </w:r>
    </w:p>
    <w:p w14:paraId="6661EC89" w14:textId="77777777" w:rsidR="003E56A0" w:rsidRPr="007A16CD" w:rsidRDefault="003E56A0" w:rsidP="00F97B37">
      <w:pPr>
        <w:spacing w:after="0" w:line="240" w:lineRule="auto"/>
        <w:rPr>
          <w:rFonts w:ascii="Times New Roman" w:hAnsi="Times New Roman" w:cs="Times New Roman"/>
          <w:sz w:val="24"/>
          <w:szCs w:val="24"/>
        </w:rPr>
      </w:pPr>
    </w:p>
    <w:p w14:paraId="16C9DA80" w14:textId="62E44785" w:rsidR="00B86284" w:rsidRPr="007A16CD" w:rsidRDefault="00B86284" w:rsidP="00F97B37">
      <w:pPr>
        <w:spacing w:after="0" w:line="240" w:lineRule="auto"/>
        <w:rPr>
          <w:rFonts w:ascii="Times New Roman" w:hAnsi="Times New Roman" w:cs="Times New Roman"/>
          <w:sz w:val="24"/>
          <w:szCs w:val="24"/>
        </w:rPr>
      </w:pPr>
    </w:p>
    <w:p w14:paraId="58D02FFF" w14:textId="77777777" w:rsidR="00EB3E6F" w:rsidRPr="007A16CD" w:rsidRDefault="00EB3E6F"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EXPLAIN ANY SPECIAL CIRCUMSTANCES RELATING TO THE INFORMATION COLLECTION</w:t>
      </w:r>
    </w:p>
    <w:p w14:paraId="45CE3F20" w14:textId="77777777" w:rsidR="00EB3E6F" w:rsidRPr="007A16CD" w:rsidRDefault="00EB3E6F" w:rsidP="00F97B37">
      <w:pPr>
        <w:spacing w:after="0" w:line="240" w:lineRule="auto"/>
        <w:rPr>
          <w:rFonts w:ascii="Times New Roman" w:hAnsi="Times New Roman" w:cs="Times New Roman"/>
          <w:sz w:val="24"/>
          <w:szCs w:val="24"/>
        </w:rPr>
      </w:pPr>
    </w:p>
    <w:p w14:paraId="14588146" w14:textId="54A303A6" w:rsidR="00C60EDC" w:rsidRPr="007A16CD" w:rsidRDefault="00C60EDC"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There are some special circumstances as described in 5 CFR 1320.5(d)(2) related to this information collection.</w:t>
      </w:r>
      <w:r w:rsidR="001F6FF8" w:rsidRPr="007A16CD">
        <w:rPr>
          <w:rFonts w:ascii="Times New Roman" w:hAnsi="Times New Roman" w:cs="Times New Roman"/>
          <w:sz w:val="24"/>
          <w:szCs w:val="24"/>
        </w:rPr>
        <w:t xml:space="preserve">  </w:t>
      </w:r>
    </w:p>
    <w:p w14:paraId="5FB0D986" w14:textId="77777777" w:rsidR="000E18A0" w:rsidRPr="007A16CD" w:rsidRDefault="000E18A0" w:rsidP="00F97B37">
      <w:pPr>
        <w:spacing w:after="0" w:line="240" w:lineRule="auto"/>
        <w:rPr>
          <w:rFonts w:ascii="Times New Roman" w:hAnsi="Times New Roman" w:cs="Times New Roman"/>
          <w:sz w:val="24"/>
          <w:szCs w:val="24"/>
        </w:rPr>
      </w:pPr>
    </w:p>
    <w:p w14:paraId="7010EEB8" w14:textId="242C98F7" w:rsidR="000E18A0" w:rsidRPr="007A16CD" w:rsidRDefault="006D02CB"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Audits are generally performed every three years, so records are generally retained three years or less.  However s</w:t>
      </w:r>
      <w:r w:rsidR="000E18A0" w:rsidRPr="007A16CD">
        <w:rPr>
          <w:rFonts w:ascii="Times New Roman" w:hAnsi="Times New Roman" w:cs="Times New Roman"/>
          <w:sz w:val="24"/>
          <w:szCs w:val="24"/>
        </w:rPr>
        <w:t xml:space="preserve">ome of the evidence must be retained </w:t>
      </w:r>
      <w:r w:rsidRPr="007A16CD">
        <w:rPr>
          <w:rFonts w:ascii="Times New Roman" w:hAnsi="Times New Roman" w:cs="Times New Roman"/>
          <w:sz w:val="24"/>
          <w:szCs w:val="24"/>
        </w:rPr>
        <w:t>longer , e.g., if there is an investigation.  T</w:t>
      </w:r>
      <w:r w:rsidR="000E18A0" w:rsidRPr="007A16CD">
        <w:rPr>
          <w:rFonts w:ascii="Times New Roman" w:hAnsi="Times New Roman" w:cs="Times New Roman"/>
          <w:sz w:val="24"/>
          <w:szCs w:val="24"/>
        </w:rPr>
        <w:t>he Evidence R</w:t>
      </w:r>
      <w:r w:rsidR="009B556B" w:rsidRPr="007A16CD">
        <w:rPr>
          <w:rFonts w:ascii="Times New Roman" w:hAnsi="Times New Roman" w:cs="Times New Roman"/>
          <w:sz w:val="24"/>
          <w:szCs w:val="24"/>
        </w:rPr>
        <w:t>etention section of the</w:t>
      </w:r>
      <w:r w:rsidR="000E18A0" w:rsidRPr="007A16CD">
        <w:rPr>
          <w:rFonts w:ascii="Times New Roman" w:hAnsi="Times New Roman" w:cs="Times New Roman"/>
          <w:sz w:val="24"/>
          <w:szCs w:val="24"/>
        </w:rPr>
        <w:t xml:space="preserve"> standard</w:t>
      </w:r>
      <w:r w:rsidRPr="007A16CD">
        <w:rPr>
          <w:rFonts w:ascii="Times New Roman" w:hAnsi="Times New Roman" w:cs="Times New Roman"/>
          <w:sz w:val="24"/>
          <w:szCs w:val="24"/>
        </w:rPr>
        <w:t xml:space="preserve"> follows</w:t>
      </w:r>
      <w:r w:rsidR="000E18A0" w:rsidRPr="007A16CD">
        <w:rPr>
          <w:rFonts w:ascii="Times New Roman" w:hAnsi="Times New Roman" w:cs="Times New Roman"/>
          <w:sz w:val="24"/>
          <w:szCs w:val="24"/>
        </w:rPr>
        <w:t>.</w:t>
      </w:r>
    </w:p>
    <w:p w14:paraId="3E30A26C" w14:textId="77777777" w:rsidR="00314874" w:rsidRPr="007A16CD" w:rsidRDefault="00314874" w:rsidP="00F97B37">
      <w:pPr>
        <w:spacing w:after="0" w:line="240" w:lineRule="auto"/>
        <w:rPr>
          <w:rFonts w:ascii="Times New Roman" w:hAnsi="Times New Roman" w:cs="Times New Roman"/>
          <w:sz w:val="24"/>
          <w:szCs w:val="24"/>
        </w:rPr>
      </w:pPr>
    </w:p>
    <w:p w14:paraId="554764C5" w14:textId="123012CB" w:rsidR="00781AC3" w:rsidRPr="007A16CD" w:rsidRDefault="006D02CB" w:rsidP="00781AC3">
      <w:pPr>
        <w:spacing w:after="0" w:line="240" w:lineRule="auto"/>
        <w:ind w:left="720"/>
        <w:rPr>
          <w:rFonts w:ascii="Times New Roman" w:hAnsi="Times New Roman" w:cs="Times New Roman"/>
          <w:sz w:val="24"/>
          <w:szCs w:val="24"/>
        </w:rPr>
      </w:pPr>
      <w:r w:rsidRPr="007A16CD">
        <w:rPr>
          <w:rFonts w:ascii="Times New Roman" w:hAnsi="Times New Roman" w:cs="Times New Roman"/>
          <w:b/>
          <w:bCs/>
          <w:sz w:val="24"/>
          <w:szCs w:val="24"/>
        </w:rPr>
        <w:t>“</w:t>
      </w:r>
      <w:r w:rsidR="00781AC3" w:rsidRPr="007A16CD">
        <w:rPr>
          <w:rFonts w:ascii="Times New Roman" w:hAnsi="Times New Roman" w:cs="Times New Roman"/>
          <w:b/>
          <w:bCs/>
          <w:sz w:val="24"/>
          <w:szCs w:val="24"/>
        </w:rPr>
        <w:t>1.2. Evidence Retention</w:t>
      </w:r>
    </w:p>
    <w:p w14:paraId="2EF1B5A8" w14:textId="77777777" w:rsidR="00781AC3" w:rsidRPr="007A16CD" w:rsidRDefault="00781AC3" w:rsidP="00781AC3">
      <w:pPr>
        <w:spacing w:after="0" w:line="240" w:lineRule="auto"/>
        <w:ind w:left="720"/>
        <w:rPr>
          <w:rFonts w:ascii="Times New Roman" w:hAnsi="Times New Roman" w:cs="Times New Roman"/>
          <w:sz w:val="24"/>
          <w:szCs w:val="24"/>
        </w:rPr>
      </w:pPr>
    </w:p>
    <w:p w14:paraId="09D2AA94" w14:textId="77777777" w:rsidR="00781AC3" w:rsidRPr="007A16CD" w:rsidRDefault="00781AC3" w:rsidP="00781AC3">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w:t>
      </w:r>
    </w:p>
    <w:p w14:paraId="71E69A3F" w14:textId="77777777" w:rsidR="00781AC3" w:rsidRPr="007A16CD" w:rsidRDefault="00781AC3" w:rsidP="00781AC3">
      <w:pPr>
        <w:spacing w:after="0" w:line="240" w:lineRule="auto"/>
        <w:ind w:left="720"/>
        <w:rPr>
          <w:rFonts w:ascii="Times New Roman" w:hAnsi="Times New Roman" w:cs="Times New Roman"/>
          <w:sz w:val="24"/>
          <w:szCs w:val="24"/>
        </w:rPr>
      </w:pPr>
    </w:p>
    <w:p w14:paraId="36B862B7" w14:textId="77777777" w:rsidR="00781AC3" w:rsidRPr="007A16CD" w:rsidRDefault="00781AC3" w:rsidP="00781AC3">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The Transmission Owner, Generator Owner, and Distribution Provider shall each keep data or evidence to show compliance as identified below unless directed by its Compliance Enforcement Authority to retain specific evidence for a longer period of time as part of an investigation.</w:t>
      </w:r>
    </w:p>
    <w:p w14:paraId="5AAFDBAC" w14:textId="77777777" w:rsidR="00781AC3" w:rsidRPr="007A16CD" w:rsidRDefault="00781AC3" w:rsidP="00781AC3">
      <w:pPr>
        <w:spacing w:after="0" w:line="240" w:lineRule="auto"/>
        <w:ind w:left="720"/>
        <w:rPr>
          <w:rFonts w:ascii="Times New Roman" w:hAnsi="Times New Roman" w:cs="Times New Roman"/>
          <w:sz w:val="24"/>
          <w:szCs w:val="24"/>
        </w:rPr>
      </w:pPr>
    </w:p>
    <w:p w14:paraId="278B437B" w14:textId="77777777" w:rsidR="00781AC3" w:rsidRPr="007A16CD" w:rsidRDefault="00781AC3" w:rsidP="00781AC3">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For Requirement R1, the Transmission Owner, Generator Owner, and Distribution Provider shall each keep its current dated PSMP, as well as any superseded versions since the preceding compliance audit, including the documentation that specifies the type of maintenance program applied for each Protection System, Automatic Reclosing, or Sudden Pressure Relaying Component Type.</w:t>
      </w:r>
    </w:p>
    <w:p w14:paraId="24A8920A" w14:textId="77777777" w:rsidR="00781AC3" w:rsidRPr="007A16CD" w:rsidRDefault="00781AC3" w:rsidP="00781AC3">
      <w:pPr>
        <w:spacing w:after="0" w:line="240" w:lineRule="auto"/>
        <w:ind w:left="720"/>
        <w:rPr>
          <w:rFonts w:ascii="Times New Roman" w:hAnsi="Times New Roman" w:cs="Times New Roman"/>
          <w:sz w:val="24"/>
          <w:szCs w:val="24"/>
        </w:rPr>
      </w:pPr>
    </w:p>
    <w:p w14:paraId="71F740A1" w14:textId="77777777" w:rsidR="00781AC3" w:rsidRPr="007A16CD" w:rsidRDefault="00781AC3" w:rsidP="00781AC3">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For Requirement R2, Requirement R3, and Requirement R4, in cases where the interval of the maintenance activity is longer than the audit cycle, the Transmission Owner, Generator Owner, and Distribution Provider shall each keep documentation of the most recent performance of that maintenance activity for the Protection System, Automatic Reclosing, or Sudden Pressure Relaying Component. In cases where the interval of the maintenance activity is shorter than the audit cycle, documentation of all performances (in accordance with the tables) of that maintenance activity for the Protection System, Automatic Reclosing, or Sudden Pressure Relaying Component since the previous scheduled audit date shall be retained.</w:t>
      </w:r>
    </w:p>
    <w:p w14:paraId="357746C4" w14:textId="77777777" w:rsidR="00781AC3" w:rsidRPr="007A16CD" w:rsidRDefault="00781AC3" w:rsidP="00781AC3">
      <w:pPr>
        <w:spacing w:after="0" w:line="240" w:lineRule="auto"/>
        <w:ind w:left="720"/>
        <w:rPr>
          <w:rFonts w:ascii="Times New Roman" w:hAnsi="Times New Roman" w:cs="Times New Roman"/>
          <w:sz w:val="24"/>
          <w:szCs w:val="24"/>
        </w:rPr>
      </w:pPr>
    </w:p>
    <w:p w14:paraId="00D8E68D" w14:textId="299B128B" w:rsidR="00781AC3" w:rsidRPr="007A16CD" w:rsidRDefault="00781AC3" w:rsidP="00781AC3">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For Requirement R5 the Transmission Owner, Generator Owner, and Distribution Provider shall each keep documentation of Unresolved Maintenance Issues identified by the entity since the last audit, including all that were resolved since the last audit.</w:t>
      </w:r>
      <w:r w:rsidR="006D02CB" w:rsidRPr="007A16CD">
        <w:rPr>
          <w:rFonts w:ascii="Times New Roman" w:hAnsi="Times New Roman" w:cs="Times New Roman"/>
          <w:sz w:val="24"/>
          <w:szCs w:val="24"/>
        </w:rPr>
        <w:t>”</w:t>
      </w:r>
    </w:p>
    <w:p w14:paraId="3CF02824" w14:textId="77777777" w:rsidR="00EB3E6F" w:rsidRPr="007A16CD" w:rsidRDefault="00EB3E6F" w:rsidP="00F97B37">
      <w:pPr>
        <w:spacing w:after="0" w:line="240" w:lineRule="auto"/>
        <w:rPr>
          <w:rFonts w:ascii="Times New Roman" w:hAnsi="Times New Roman" w:cs="Times New Roman"/>
          <w:sz w:val="24"/>
          <w:szCs w:val="24"/>
        </w:rPr>
      </w:pPr>
    </w:p>
    <w:p w14:paraId="6440C006" w14:textId="77777777" w:rsidR="00EB3E6F" w:rsidRPr="007A16CD" w:rsidRDefault="00EB3E6F"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lastRenderedPageBreak/>
        <w:t>DESCRIBE EFFORTS TO CONSULT OUTSIDE THE AGENCY: SUMMARIZE PUBLIC COMMENTS AND THE AGENCY’S RESPONSE</w:t>
      </w:r>
    </w:p>
    <w:p w14:paraId="231382F1" w14:textId="77777777" w:rsidR="00EB3E6F" w:rsidRPr="007A16CD" w:rsidRDefault="00EB3E6F" w:rsidP="00F97B37">
      <w:pPr>
        <w:spacing w:after="0" w:line="240" w:lineRule="auto"/>
        <w:rPr>
          <w:rFonts w:ascii="Times New Roman" w:hAnsi="Times New Roman" w:cs="Times New Roman"/>
          <w:sz w:val="24"/>
          <w:szCs w:val="24"/>
        </w:rPr>
      </w:pPr>
    </w:p>
    <w:p w14:paraId="6D6D347C" w14:textId="77777777" w:rsidR="000130BD" w:rsidRPr="007A16CD" w:rsidRDefault="0072126E" w:rsidP="00F97B37">
      <w:pPr>
        <w:spacing w:after="0" w:line="240" w:lineRule="auto"/>
        <w:rPr>
          <w:rFonts w:ascii="Times New Roman" w:hAnsi="Times New Roman" w:cs="Times New Roman"/>
          <w:bCs/>
          <w:sz w:val="24"/>
          <w:szCs w:val="24"/>
        </w:rPr>
      </w:pPr>
      <w:r w:rsidRPr="007A16CD">
        <w:rPr>
          <w:rFonts w:ascii="Times New Roman" w:hAnsi="Times New Roman" w:cs="Times New Roman"/>
          <w:bCs/>
          <w:sz w:val="24"/>
          <w:szCs w:val="24"/>
        </w:rPr>
        <w:t xml:space="preserve">The ERO process to establish Reliability Standards is a collaborative process with the ERO, Regional Entities and other stakeholders developing and reviewing drafts, and providing </w:t>
      </w:r>
      <w:r w:rsidR="001F54A4" w:rsidRPr="007A16CD">
        <w:rPr>
          <w:rFonts w:ascii="Times New Roman" w:hAnsi="Times New Roman" w:cs="Times New Roman"/>
          <w:bCs/>
          <w:sz w:val="24"/>
          <w:szCs w:val="24"/>
        </w:rPr>
        <w:t xml:space="preserve">comments, </w:t>
      </w:r>
      <w:r w:rsidR="00DA403C" w:rsidRPr="007A16CD">
        <w:rPr>
          <w:rFonts w:ascii="Times New Roman" w:hAnsi="Times New Roman" w:cs="Times New Roman"/>
          <w:bCs/>
          <w:sz w:val="24"/>
          <w:szCs w:val="24"/>
        </w:rPr>
        <w:t xml:space="preserve">voting, submitting the final draft to the Board for review/approval.  When/if the draft standard is approved, NERC submits </w:t>
      </w:r>
      <w:r w:rsidR="001F54A4" w:rsidRPr="007A16CD">
        <w:rPr>
          <w:rFonts w:ascii="Times New Roman" w:hAnsi="Times New Roman" w:cs="Times New Roman"/>
          <w:bCs/>
          <w:sz w:val="24"/>
          <w:szCs w:val="24"/>
        </w:rPr>
        <w:t>the</w:t>
      </w:r>
      <w:r w:rsidRPr="007A16CD">
        <w:rPr>
          <w:rFonts w:ascii="Times New Roman" w:hAnsi="Times New Roman" w:cs="Times New Roman"/>
          <w:bCs/>
          <w:sz w:val="24"/>
          <w:szCs w:val="24"/>
        </w:rPr>
        <w:t xml:space="preserve"> standard </w:t>
      </w:r>
      <w:r w:rsidR="001F54A4" w:rsidRPr="007A16CD">
        <w:rPr>
          <w:rFonts w:ascii="Times New Roman" w:hAnsi="Times New Roman" w:cs="Times New Roman"/>
          <w:bCs/>
          <w:sz w:val="24"/>
          <w:szCs w:val="24"/>
        </w:rPr>
        <w:t>to the FERC for review</w:t>
      </w:r>
      <w:r w:rsidRPr="007A16CD">
        <w:rPr>
          <w:rFonts w:ascii="Times New Roman" w:hAnsi="Times New Roman" w:cs="Times New Roman"/>
          <w:bCs/>
          <w:sz w:val="24"/>
          <w:szCs w:val="24"/>
        </w:rPr>
        <w:t>.</w:t>
      </w:r>
      <w:r w:rsidRPr="007A16CD">
        <w:rPr>
          <w:rFonts w:ascii="Times New Roman" w:hAnsi="Times New Roman" w:cs="Times New Roman"/>
          <w:b/>
          <w:bCs/>
          <w:sz w:val="24"/>
          <w:szCs w:val="24"/>
          <w:vertAlign w:val="superscript"/>
        </w:rPr>
        <w:footnoteReference w:id="10"/>
      </w:r>
      <w:r w:rsidRPr="007A16CD">
        <w:rPr>
          <w:rFonts w:ascii="Times New Roman" w:hAnsi="Times New Roman" w:cs="Times New Roman"/>
          <w:bCs/>
          <w:sz w:val="24"/>
          <w:szCs w:val="24"/>
        </w:rPr>
        <w:t xml:space="preserve">  </w:t>
      </w:r>
    </w:p>
    <w:p w14:paraId="7B176645" w14:textId="77777777" w:rsidR="000130BD" w:rsidRPr="007A16CD" w:rsidRDefault="000130BD" w:rsidP="00F97B37">
      <w:pPr>
        <w:spacing w:after="0" w:line="240" w:lineRule="auto"/>
        <w:rPr>
          <w:rFonts w:ascii="Times New Roman" w:hAnsi="Times New Roman" w:cs="Times New Roman"/>
          <w:bCs/>
          <w:sz w:val="24"/>
          <w:szCs w:val="24"/>
        </w:rPr>
      </w:pPr>
    </w:p>
    <w:p w14:paraId="62683FE6" w14:textId="73510968" w:rsidR="001A6448" w:rsidRPr="007A16CD" w:rsidRDefault="00DA403C" w:rsidP="00F97B37">
      <w:pPr>
        <w:spacing w:after="0" w:line="240" w:lineRule="auto"/>
        <w:rPr>
          <w:rFonts w:ascii="Times New Roman" w:hAnsi="Times New Roman" w:cs="Times New Roman"/>
          <w:sz w:val="24"/>
          <w:szCs w:val="24"/>
        </w:rPr>
      </w:pPr>
      <w:r w:rsidRPr="007A16CD">
        <w:rPr>
          <w:rFonts w:ascii="Times New Roman" w:hAnsi="Times New Roman" w:cs="Times New Roman"/>
          <w:bCs/>
          <w:sz w:val="24"/>
          <w:szCs w:val="24"/>
        </w:rPr>
        <w:t xml:space="preserve">In addition, the Commission published a 60-day </w:t>
      </w:r>
      <w:r w:rsidR="000130BD" w:rsidRPr="007A16CD">
        <w:rPr>
          <w:rFonts w:ascii="Times New Roman" w:hAnsi="Times New Roman" w:cs="Times New Roman"/>
          <w:bCs/>
          <w:sz w:val="24"/>
          <w:szCs w:val="24"/>
        </w:rPr>
        <w:t xml:space="preserve">PRA </w:t>
      </w:r>
      <w:r w:rsidRPr="007A16CD">
        <w:rPr>
          <w:rFonts w:ascii="Times New Roman" w:hAnsi="Times New Roman" w:cs="Times New Roman"/>
          <w:bCs/>
          <w:sz w:val="24"/>
          <w:szCs w:val="24"/>
        </w:rPr>
        <w:t>Notice</w:t>
      </w:r>
      <w:r w:rsidR="008B2217" w:rsidRPr="007A16CD">
        <w:rPr>
          <w:rStyle w:val="FootnoteReference"/>
          <w:rFonts w:ascii="Times New Roman" w:hAnsi="Times New Roman" w:cs="Times New Roman"/>
          <w:bCs/>
          <w:sz w:val="24"/>
          <w:szCs w:val="24"/>
          <w:vertAlign w:val="superscript"/>
        </w:rPr>
        <w:footnoteReference w:id="11"/>
      </w:r>
      <w:r w:rsidRPr="007A16CD">
        <w:rPr>
          <w:rFonts w:ascii="Times New Roman" w:hAnsi="Times New Roman" w:cs="Times New Roman"/>
          <w:bCs/>
          <w:sz w:val="24"/>
          <w:szCs w:val="24"/>
          <w:vertAlign w:val="superscript"/>
        </w:rPr>
        <w:t xml:space="preserve"> </w:t>
      </w:r>
      <w:r w:rsidR="00C81332" w:rsidRPr="007A16CD">
        <w:rPr>
          <w:rFonts w:ascii="Times New Roman" w:hAnsi="Times New Roman" w:cs="Times New Roman"/>
          <w:bCs/>
          <w:sz w:val="24"/>
          <w:szCs w:val="24"/>
        </w:rPr>
        <w:t>(81</w:t>
      </w:r>
      <w:r w:rsidR="00ED1E6E" w:rsidRPr="007A16CD">
        <w:rPr>
          <w:rFonts w:ascii="Times New Roman" w:hAnsi="Times New Roman" w:cs="Times New Roman"/>
          <w:bCs/>
          <w:sz w:val="24"/>
          <w:szCs w:val="24"/>
        </w:rPr>
        <w:t xml:space="preserve"> </w:t>
      </w:r>
      <w:r w:rsidR="00C81332" w:rsidRPr="007A16CD">
        <w:rPr>
          <w:rFonts w:ascii="Times New Roman" w:hAnsi="Times New Roman" w:cs="Times New Roman"/>
          <w:bCs/>
          <w:sz w:val="24"/>
          <w:szCs w:val="24"/>
        </w:rPr>
        <w:t>FR</w:t>
      </w:r>
      <w:r w:rsidR="00ED1E6E" w:rsidRPr="007A16CD">
        <w:rPr>
          <w:rFonts w:ascii="Times New Roman" w:hAnsi="Times New Roman" w:cs="Times New Roman"/>
          <w:bCs/>
          <w:sz w:val="24"/>
          <w:szCs w:val="24"/>
        </w:rPr>
        <w:t xml:space="preserve"> </w:t>
      </w:r>
      <w:r w:rsidR="00C81332" w:rsidRPr="007A16CD">
        <w:rPr>
          <w:rFonts w:ascii="Times New Roman" w:hAnsi="Times New Roman" w:cs="Times New Roman"/>
          <w:bCs/>
          <w:sz w:val="24"/>
          <w:szCs w:val="24"/>
        </w:rPr>
        <w:t xml:space="preserve">230, </w:t>
      </w:r>
      <w:r w:rsidR="00E53CD3" w:rsidRPr="007A16CD">
        <w:rPr>
          <w:rFonts w:ascii="Times New Roman" w:hAnsi="Times New Roman" w:cs="Times New Roman"/>
          <w:bCs/>
          <w:sz w:val="24"/>
          <w:szCs w:val="24"/>
        </w:rPr>
        <w:t xml:space="preserve">1/5/2016) </w:t>
      </w:r>
      <w:r w:rsidRPr="007A16CD">
        <w:rPr>
          <w:rFonts w:ascii="Times New Roman" w:hAnsi="Times New Roman" w:cs="Times New Roman"/>
          <w:bCs/>
          <w:sz w:val="24"/>
          <w:szCs w:val="24"/>
        </w:rPr>
        <w:t>requesting public comment on the PRA aspects of the standard.</w:t>
      </w:r>
      <w:r w:rsidR="00ED1E6E" w:rsidRPr="007A16CD">
        <w:rPr>
          <w:rFonts w:ascii="Times New Roman" w:hAnsi="Times New Roman" w:cs="Times New Roman"/>
          <w:bCs/>
          <w:sz w:val="24"/>
          <w:szCs w:val="24"/>
        </w:rPr>
        <w:t xml:space="preserve">  </w:t>
      </w:r>
      <w:r w:rsidR="00ED1E6E" w:rsidRPr="007A16CD">
        <w:rPr>
          <w:rFonts w:ascii="Times New Roman" w:hAnsi="Times New Roman" w:cs="Times New Roman"/>
          <w:sz w:val="24"/>
          <w:szCs w:val="24"/>
        </w:rPr>
        <w:t>The</w:t>
      </w:r>
      <w:r w:rsidR="001A6448" w:rsidRPr="007A16CD">
        <w:rPr>
          <w:rFonts w:ascii="Times New Roman" w:hAnsi="Times New Roman" w:cs="Times New Roman"/>
          <w:sz w:val="24"/>
          <w:szCs w:val="24"/>
        </w:rPr>
        <w:t xml:space="preserve"> Commission received no comments</w:t>
      </w:r>
      <w:r w:rsidR="00ED1E6E" w:rsidRPr="007A16CD">
        <w:rPr>
          <w:rFonts w:ascii="Times New Roman" w:hAnsi="Times New Roman" w:cs="Times New Roman"/>
          <w:sz w:val="24"/>
          <w:szCs w:val="24"/>
        </w:rPr>
        <w:t>.</w:t>
      </w:r>
    </w:p>
    <w:p w14:paraId="3F6EEBE8" w14:textId="77777777" w:rsidR="00ED1E6E" w:rsidRPr="007A16CD" w:rsidRDefault="00ED1E6E" w:rsidP="00F97B37">
      <w:pPr>
        <w:spacing w:after="0" w:line="240" w:lineRule="auto"/>
        <w:rPr>
          <w:rFonts w:ascii="Times New Roman" w:hAnsi="Times New Roman" w:cs="Times New Roman"/>
          <w:sz w:val="24"/>
          <w:szCs w:val="24"/>
        </w:rPr>
      </w:pPr>
    </w:p>
    <w:p w14:paraId="4BFC211D" w14:textId="06E2CB1A" w:rsidR="00ED1E6E" w:rsidRPr="007A16CD" w:rsidRDefault="00ED1E6E"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The Commission issued a 30-day </w:t>
      </w:r>
      <w:r w:rsidR="000130BD" w:rsidRPr="007A16CD">
        <w:rPr>
          <w:rFonts w:ascii="Times New Roman" w:hAnsi="Times New Roman" w:cs="Times New Roman"/>
          <w:sz w:val="24"/>
          <w:szCs w:val="24"/>
        </w:rPr>
        <w:t xml:space="preserve">PRA </w:t>
      </w:r>
      <w:r w:rsidRPr="007A16CD">
        <w:rPr>
          <w:rFonts w:ascii="Times New Roman" w:hAnsi="Times New Roman" w:cs="Times New Roman"/>
          <w:sz w:val="24"/>
          <w:szCs w:val="24"/>
        </w:rPr>
        <w:t>Notice which will also be published in the Federal Register for public review and comment.</w:t>
      </w:r>
    </w:p>
    <w:p w14:paraId="5AFA0870" w14:textId="34E6542F" w:rsidR="005462C0" w:rsidRPr="007A16CD" w:rsidRDefault="005462C0" w:rsidP="00F97B37">
      <w:pPr>
        <w:spacing w:after="0" w:line="240" w:lineRule="auto"/>
        <w:rPr>
          <w:rFonts w:ascii="Times New Roman" w:hAnsi="Times New Roman" w:cs="Times New Roman"/>
          <w:sz w:val="24"/>
          <w:szCs w:val="24"/>
        </w:rPr>
      </w:pPr>
    </w:p>
    <w:p w14:paraId="4522982A" w14:textId="77777777" w:rsidR="00EB3E6F" w:rsidRPr="007A16CD" w:rsidRDefault="00D80FBD"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EXPLAIN ANY PAYMENT OR GIFTS TO RESPONDENTS</w:t>
      </w:r>
    </w:p>
    <w:p w14:paraId="5B34572D" w14:textId="77777777" w:rsidR="00D80FBD" w:rsidRPr="007A16CD" w:rsidRDefault="00D80FBD" w:rsidP="00F97B37">
      <w:pPr>
        <w:spacing w:after="0" w:line="240" w:lineRule="auto"/>
        <w:rPr>
          <w:rFonts w:ascii="Times New Roman" w:hAnsi="Times New Roman" w:cs="Times New Roman"/>
          <w:sz w:val="24"/>
          <w:szCs w:val="24"/>
        </w:rPr>
      </w:pPr>
    </w:p>
    <w:p w14:paraId="020143FA" w14:textId="77777777" w:rsidR="0072126E" w:rsidRPr="007A16CD" w:rsidRDefault="0072126E"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 Commission does not make payments or provide gifts for respondents related to this collection.</w:t>
      </w:r>
    </w:p>
    <w:p w14:paraId="05996D25" w14:textId="77777777" w:rsidR="00D80FBD" w:rsidRPr="007A16CD" w:rsidRDefault="00D80FBD" w:rsidP="00F97B37">
      <w:pPr>
        <w:spacing w:after="0" w:line="240" w:lineRule="auto"/>
        <w:rPr>
          <w:rFonts w:ascii="Times New Roman" w:hAnsi="Times New Roman" w:cs="Times New Roman"/>
          <w:sz w:val="24"/>
          <w:szCs w:val="24"/>
        </w:rPr>
      </w:pPr>
    </w:p>
    <w:p w14:paraId="69FCD512" w14:textId="77777777" w:rsidR="00D80FBD" w:rsidRPr="007A16CD" w:rsidRDefault="00D80FBD"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DESCRIBE ANY ASSURANCE OF CONFIDENTIALITY PROVIDED TO RESPONDENTS</w:t>
      </w:r>
    </w:p>
    <w:p w14:paraId="2386FFF5" w14:textId="77777777" w:rsidR="00DF19E8" w:rsidRPr="007A16CD" w:rsidRDefault="00DF19E8" w:rsidP="00F97B37">
      <w:pPr>
        <w:spacing w:after="0" w:line="240" w:lineRule="auto"/>
        <w:rPr>
          <w:rFonts w:ascii="Times New Roman" w:hAnsi="Times New Roman" w:cs="Times New Roman"/>
          <w:sz w:val="24"/>
          <w:szCs w:val="24"/>
        </w:rPr>
      </w:pPr>
    </w:p>
    <w:p w14:paraId="4E1368AE" w14:textId="5C00A88B" w:rsidR="00E7335D" w:rsidRPr="007A16CD" w:rsidRDefault="00E7335D"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According to th</w:t>
      </w:r>
      <w:r w:rsidR="003E56A0" w:rsidRPr="007A16CD">
        <w:rPr>
          <w:rFonts w:ascii="Times New Roman" w:hAnsi="Times New Roman" w:cs="Times New Roman"/>
          <w:sz w:val="24"/>
          <w:szCs w:val="24"/>
        </w:rPr>
        <w:t xml:space="preserve">e NERC Rule of Procedure 1502, </w:t>
      </w:r>
      <w:r w:rsidRPr="007A16CD">
        <w:rPr>
          <w:rFonts w:ascii="Times New Roman" w:hAnsi="Times New Roman" w:cs="Times New Roman"/>
          <w:sz w:val="24"/>
          <w:szCs w:val="24"/>
        </w:rPr>
        <w:t>“a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59A3BC51" w14:textId="77777777" w:rsidR="00E7335D" w:rsidRPr="007A16CD" w:rsidRDefault="00E7335D" w:rsidP="00F97B37">
      <w:pPr>
        <w:spacing w:after="0" w:line="240" w:lineRule="auto"/>
        <w:rPr>
          <w:rFonts w:ascii="Times New Roman" w:hAnsi="Times New Roman" w:cs="Times New Roman"/>
          <w:sz w:val="24"/>
          <w:szCs w:val="24"/>
        </w:rPr>
      </w:pPr>
    </w:p>
    <w:p w14:paraId="25B62F54" w14:textId="4C96EEEA" w:rsidR="00D80FBD" w:rsidRPr="007A16CD" w:rsidRDefault="00E7335D"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Responding entities do not submit the information collected under the approved Reliability Standards to FERC.  Rather, they maintain it internally</w:t>
      </w:r>
      <w:r w:rsidR="000130BD" w:rsidRPr="007A16CD">
        <w:rPr>
          <w:rFonts w:ascii="Times New Roman" w:hAnsi="Times New Roman" w:cs="Times New Roman"/>
          <w:sz w:val="24"/>
          <w:szCs w:val="24"/>
        </w:rPr>
        <w:t xml:space="preserve"> and provide access to the Compliance Enforcement Authority (NERC or the Regional Entity)</w:t>
      </w:r>
      <w:r w:rsidRPr="007A16CD">
        <w:rPr>
          <w:rFonts w:ascii="Times New Roman" w:hAnsi="Times New Roman" w:cs="Times New Roman"/>
          <w:sz w:val="24"/>
          <w:szCs w:val="24"/>
        </w:rPr>
        <w:t xml:space="preserve">.  Since there are no submissions made to FERC, FERC provides no specific provisions in order to protect confidentiality unless and until any such information is submitted to FERC as part of an enforcement action or other compliance review. </w:t>
      </w:r>
    </w:p>
    <w:p w14:paraId="7E88157E" w14:textId="77777777" w:rsidR="00E7335D" w:rsidRPr="007A16CD" w:rsidRDefault="00E7335D" w:rsidP="00F97B37">
      <w:pPr>
        <w:spacing w:after="0" w:line="240" w:lineRule="auto"/>
        <w:rPr>
          <w:rFonts w:ascii="Times New Roman" w:hAnsi="Times New Roman" w:cs="Times New Roman"/>
          <w:sz w:val="24"/>
          <w:szCs w:val="24"/>
        </w:rPr>
      </w:pPr>
    </w:p>
    <w:p w14:paraId="59425FEA" w14:textId="29E8E74F" w:rsidR="00D80FBD" w:rsidRPr="007A16CD" w:rsidRDefault="00D80FBD"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PROVIDE ADDITIONAL JUSTIFICATION FOR ANY QUESTIONS OF A SENSITIVE NATURE</w:t>
      </w:r>
      <w:r w:rsidR="00890E28" w:rsidRPr="007A16CD">
        <w:rPr>
          <w:rFonts w:ascii="Times New Roman" w:hAnsi="Times New Roman" w:cs="Times New Roman"/>
          <w:b/>
          <w:sz w:val="24"/>
          <w:szCs w:val="24"/>
        </w:rPr>
        <w:t>, SUCH AS SEXUAL BEHAVIOR AND ATTITUDES, RELIGIOUS BELIEFS, AND OTHER MATTERS THAT ARE COMMONLY CONSIDERED PRIVATE.</w:t>
      </w:r>
    </w:p>
    <w:p w14:paraId="626668E6" w14:textId="77777777" w:rsidR="00D80FBD" w:rsidRPr="007A16CD" w:rsidRDefault="00D80FBD" w:rsidP="00F97B37">
      <w:pPr>
        <w:spacing w:after="0" w:line="240" w:lineRule="auto"/>
        <w:rPr>
          <w:rFonts w:ascii="Times New Roman" w:hAnsi="Times New Roman" w:cs="Times New Roman"/>
          <w:sz w:val="24"/>
          <w:szCs w:val="24"/>
        </w:rPr>
      </w:pPr>
    </w:p>
    <w:p w14:paraId="0DD3380B" w14:textId="77777777" w:rsidR="00A4336A" w:rsidRPr="007A16CD" w:rsidRDefault="00A4336A"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This collection does not include any questions of a sensitive nature.</w:t>
      </w:r>
    </w:p>
    <w:p w14:paraId="7B19B477" w14:textId="77777777" w:rsidR="00D80FBD" w:rsidRPr="007A16CD" w:rsidRDefault="00D80FBD" w:rsidP="00F97B37">
      <w:pPr>
        <w:spacing w:after="0" w:line="240" w:lineRule="auto"/>
        <w:rPr>
          <w:rFonts w:ascii="Times New Roman" w:hAnsi="Times New Roman" w:cs="Times New Roman"/>
          <w:sz w:val="24"/>
          <w:szCs w:val="24"/>
        </w:rPr>
      </w:pPr>
    </w:p>
    <w:p w14:paraId="242D3B75" w14:textId="77777777" w:rsidR="00D80FBD" w:rsidRPr="007A16CD" w:rsidRDefault="00D80FBD"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ESTIMATED BURDEN OF COLLECTION OF INFORMATION</w:t>
      </w:r>
    </w:p>
    <w:p w14:paraId="06C9D189" w14:textId="7448C7AF" w:rsidR="00145101" w:rsidRPr="007A16CD" w:rsidRDefault="00145101" w:rsidP="00A76F30">
      <w:pPr>
        <w:spacing w:after="0" w:line="240" w:lineRule="auto"/>
        <w:rPr>
          <w:rFonts w:ascii="Times New Roman" w:hAnsi="Times New Roman" w:cs="Times New Roman"/>
          <w:sz w:val="24"/>
          <w:szCs w:val="24"/>
        </w:rPr>
      </w:pPr>
    </w:p>
    <w:p w14:paraId="1115124E" w14:textId="77777777" w:rsidR="00145101" w:rsidRPr="007A16CD" w:rsidRDefault="00145101" w:rsidP="00145101">
      <w:pPr>
        <w:autoSpaceDE w:val="0"/>
        <w:autoSpaceDN w:val="0"/>
        <w:adjustRightInd w:val="0"/>
        <w:spacing w:after="0" w:line="480" w:lineRule="auto"/>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Estimates for the changes to burden and cost due to Docket No. RD16-2-000 follow.</w:t>
      </w:r>
    </w:p>
    <w:p w14:paraId="706BEEC8" w14:textId="77777777" w:rsidR="00145101" w:rsidRPr="007A16CD" w:rsidRDefault="00145101" w:rsidP="00145101">
      <w:pPr>
        <w:spacing w:after="0" w:line="240" w:lineRule="auto"/>
        <w:rPr>
          <w:rFonts w:ascii="Times New Roman" w:eastAsia="Times New Roman" w:hAnsi="Times New Roman" w:cs="Times New Roman"/>
          <w:sz w:val="24"/>
          <w:szCs w:val="24"/>
        </w:rPr>
      </w:pPr>
    </w:p>
    <w:tbl>
      <w:tblPr>
        <w:tblW w:w="0" w:type="auto"/>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23"/>
        <w:gridCol w:w="1338"/>
        <w:gridCol w:w="1229"/>
        <w:gridCol w:w="1104"/>
        <w:gridCol w:w="1325"/>
        <w:gridCol w:w="16"/>
        <w:gridCol w:w="1338"/>
      </w:tblGrid>
      <w:tr w:rsidR="00145101" w:rsidRPr="007A16CD" w14:paraId="60E835D7" w14:textId="77777777" w:rsidTr="00B545FD">
        <w:trPr>
          <w:trHeight w:val="350"/>
          <w:jc w:val="center"/>
        </w:trPr>
        <w:tc>
          <w:tcPr>
            <w:tcW w:w="0" w:type="auto"/>
            <w:gridSpan w:val="8"/>
            <w:shd w:val="clear" w:color="auto" w:fill="D9D9D9" w:themeFill="background1" w:themeFillShade="D9"/>
            <w:noWrap/>
            <w:vAlign w:val="bottom"/>
          </w:tcPr>
          <w:p w14:paraId="77B4748D" w14:textId="2585D6C1" w:rsidR="00145101" w:rsidRPr="007A16CD" w:rsidRDefault="00A76F30" w:rsidP="00145101">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 xml:space="preserve">Changes Made In </w:t>
            </w:r>
            <w:r w:rsidR="00145101" w:rsidRPr="007A16CD">
              <w:rPr>
                <w:rFonts w:ascii="Times New Roman" w:eastAsia="Times New Roman" w:hAnsi="Times New Roman" w:cs="Times New Roman"/>
                <w:b/>
                <w:sz w:val="24"/>
                <w:szCs w:val="24"/>
              </w:rPr>
              <w:t>Docket No. RD16-2-000</w:t>
            </w:r>
          </w:p>
        </w:tc>
      </w:tr>
      <w:tr w:rsidR="00145101" w:rsidRPr="007A16CD" w14:paraId="0025C629" w14:textId="77777777" w:rsidTr="007A16CD">
        <w:trPr>
          <w:trHeight w:val="1556"/>
          <w:jc w:val="center"/>
        </w:trPr>
        <w:tc>
          <w:tcPr>
            <w:tcW w:w="1645" w:type="dxa"/>
            <w:noWrap/>
            <w:vAlign w:val="bottom"/>
          </w:tcPr>
          <w:p w14:paraId="4766533E"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sz w:val="24"/>
                <w:szCs w:val="24"/>
              </w:rPr>
              <w:br w:type="page"/>
            </w:r>
            <w:r w:rsidRPr="007A16CD">
              <w:rPr>
                <w:rFonts w:ascii="Times New Roman" w:eastAsia="Times New Roman" w:hAnsi="Times New Roman" w:cs="Times New Roman"/>
                <w:b/>
                <w:sz w:val="24"/>
                <w:szCs w:val="24"/>
              </w:rPr>
              <w:t>Reliability Standard</w:t>
            </w:r>
          </w:p>
        </w:tc>
        <w:tc>
          <w:tcPr>
            <w:tcW w:w="1422" w:type="dxa"/>
            <w:shd w:val="clear" w:color="auto" w:fill="auto"/>
            <w:vAlign w:val="bottom"/>
            <w:hideMark/>
          </w:tcPr>
          <w:p w14:paraId="3B945F12"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Number of Respondents</w:t>
            </w:r>
          </w:p>
          <w:p w14:paraId="460FFE72"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(1)</w:t>
            </w:r>
          </w:p>
        </w:tc>
        <w:tc>
          <w:tcPr>
            <w:tcW w:w="0" w:type="auto"/>
            <w:shd w:val="clear" w:color="auto" w:fill="auto"/>
            <w:vAlign w:val="bottom"/>
            <w:hideMark/>
          </w:tcPr>
          <w:p w14:paraId="6EA12B23"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Annual Number of Responses per Respondent</w:t>
            </w:r>
          </w:p>
          <w:p w14:paraId="3800C1BF"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(2)</w:t>
            </w:r>
          </w:p>
        </w:tc>
        <w:tc>
          <w:tcPr>
            <w:tcW w:w="0" w:type="auto"/>
            <w:vAlign w:val="bottom"/>
            <w:hideMark/>
          </w:tcPr>
          <w:p w14:paraId="101582BF"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Total Number of Responses (1)*(2)=(3)</w:t>
            </w:r>
          </w:p>
        </w:tc>
        <w:tc>
          <w:tcPr>
            <w:tcW w:w="0" w:type="auto"/>
            <w:vAlign w:val="bottom"/>
            <w:hideMark/>
          </w:tcPr>
          <w:p w14:paraId="2445A25E"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Average Burden and Cost per Response</w:t>
            </w:r>
          </w:p>
          <w:p w14:paraId="1E72C6D8"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(4)</w:t>
            </w:r>
          </w:p>
        </w:tc>
        <w:tc>
          <w:tcPr>
            <w:tcW w:w="0" w:type="auto"/>
            <w:vAlign w:val="bottom"/>
            <w:hideMark/>
          </w:tcPr>
          <w:p w14:paraId="34430604" w14:textId="77777777" w:rsidR="00145101" w:rsidRPr="007A16CD" w:rsidRDefault="00145101" w:rsidP="00145101">
            <w:pPr>
              <w:widowControl w:val="0"/>
              <w:autoSpaceDE w:val="0"/>
              <w:autoSpaceDN w:val="0"/>
              <w:adjustRightInd w:val="0"/>
              <w:spacing w:after="0" w:line="240" w:lineRule="auto"/>
              <w:ind w:right="71"/>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Total Annual Burden (Hours) and Cost</w:t>
            </w:r>
          </w:p>
          <w:p w14:paraId="0A4A8E1D"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(3)*(4)=(5)</w:t>
            </w:r>
          </w:p>
        </w:tc>
        <w:tc>
          <w:tcPr>
            <w:tcW w:w="0" w:type="auto"/>
            <w:gridSpan w:val="2"/>
            <w:vAlign w:val="bottom"/>
          </w:tcPr>
          <w:p w14:paraId="693AAD06"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16CD">
              <w:rPr>
                <w:rFonts w:ascii="Times New Roman" w:eastAsia="Times New Roman" w:hAnsi="Times New Roman" w:cs="Times New Roman"/>
                <w:b/>
                <w:sz w:val="24"/>
                <w:szCs w:val="24"/>
              </w:rPr>
              <w:t>Total Annual Cost per Respondent</w:t>
            </w:r>
          </w:p>
          <w:p w14:paraId="0B0CABC1"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w:t>
            </w:r>
          </w:p>
        </w:tc>
      </w:tr>
      <w:tr w:rsidR="00145101" w:rsidRPr="007A16CD" w14:paraId="789D7363" w14:textId="77777777" w:rsidTr="00B545FD">
        <w:trPr>
          <w:trHeight w:val="314"/>
          <w:jc w:val="center"/>
        </w:trPr>
        <w:tc>
          <w:tcPr>
            <w:tcW w:w="0" w:type="auto"/>
            <w:gridSpan w:val="8"/>
            <w:shd w:val="clear" w:color="auto" w:fill="D9D9D9" w:themeFill="background1" w:themeFillShade="D9"/>
            <w:noWrap/>
            <w:vAlign w:val="center"/>
          </w:tcPr>
          <w:p w14:paraId="442FCB77"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16CD">
              <w:rPr>
                <w:rFonts w:ascii="Times New Roman" w:eastAsia="Times New Roman" w:hAnsi="Times New Roman" w:cs="Times New Roman"/>
                <w:b/>
                <w:sz w:val="24"/>
                <w:szCs w:val="24"/>
              </w:rPr>
              <w:t>FERC-725P (Reduction due to Replacement of PRC-005-3)</w:t>
            </w:r>
            <w:r w:rsidRPr="007A16CD">
              <w:rPr>
                <w:rFonts w:ascii="Times New Roman" w:eastAsia="Times New Roman" w:hAnsi="Times New Roman" w:cs="Times New Roman"/>
                <w:b/>
                <w:sz w:val="24"/>
                <w:szCs w:val="24"/>
                <w:vertAlign w:val="superscript"/>
              </w:rPr>
              <w:footnoteReference w:id="12"/>
            </w:r>
            <w:r w:rsidRPr="007A16CD">
              <w:rPr>
                <w:rFonts w:ascii="Times New Roman" w:eastAsia="Times New Roman" w:hAnsi="Times New Roman" w:cs="Times New Roman"/>
                <w:b/>
                <w:sz w:val="24"/>
                <w:szCs w:val="24"/>
                <w:vertAlign w:val="superscript"/>
              </w:rPr>
              <w:t xml:space="preserve">, </w:t>
            </w:r>
            <w:r w:rsidRPr="007A16CD">
              <w:rPr>
                <w:rFonts w:ascii="Times New Roman" w:eastAsia="Times New Roman" w:hAnsi="Times New Roman" w:cs="Times New Roman"/>
                <w:b/>
                <w:sz w:val="24"/>
                <w:szCs w:val="24"/>
                <w:vertAlign w:val="superscript"/>
              </w:rPr>
              <w:footnoteReference w:id="13"/>
            </w:r>
          </w:p>
        </w:tc>
      </w:tr>
      <w:tr w:rsidR="00145101" w:rsidRPr="007A16CD" w14:paraId="594F7F53" w14:textId="77777777" w:rsidTr="007A16CD">
        <w:trPr>
          <w:trHeight w:val="467"/>
          <w:jc w:val="center"/>
        </w:trPr>
        <w:tc>
          <w:tcPr>
            <w:tcW w:w="1645" w:type="dxa"/>
            <w:noWrap/>
            <w:vAlign w:val="center"/>
          </w:tcPr>
          <w:p w14:paraId="4B609F6A" w14:textId="77777777"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One-time review of existing plant and substation sites to determine which ones fall under PRC-005-3</w:t>
            </w:r>
          </w:p>
        </w:tc>
        <w:bookmarkStart w:id="1" w:name="RANGE!B5"/>
        <w:tc>
          <w:tcPr>
            <w:tcW w:w="1422" w:type="dxa"/>
            <w:vAlign w:val="bottom"/>
          </w:tcPr>
          <w:p w14:paraId="54D0887D"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u w:val="single"/>
              </w:rPr>
              <w:fldChar w:fldCharType="begin"/>
            </w:r>
            <w:r w:rsidRPr="007A16CD">
              <w:rPr>
                <w:rFonts w:ascii="Times New Roman" w:eastAsia="Times New Roman" w:hAnsi="Times New Roman" w:cs="Times New Roman"/>
                <w:sz w:val="24"/>
                <w:szCs w:val="24"/>
                <w:u w:val="single"/>
              </w:rPr>
              <w:instrText xml:space="preserve"> HYPERLINK "file:///C:\\Users\\Enbed12\\AppData\\Local\\Microsoft\\Windows\\Temporary%20Internet%20Files\\Content.Outlook\\DHZU4RXE\\PRC-005-6%20NET.xlsx" \l "RANGE!A13" </w:instrText>
            </w:r>
            <w:r w:rsidRPr="007A16CD">
              <w:rPr>
                <w:rFonts w:ascii="Times New Roman" w:eastAsia="Times New Roman" w:hAnsi="Times New Roman" w:cs="Times New Roman"/>
                <w:sz w:val="24"/>
                <w:szCs w:val="24"/>
                <w:u w:val="single"/>
              </w:rPr>
              <w:fldChar w:fldCharType="separate"/>
            </w:r>
            <w:r w:rsidRPr="007A16CD">
              <w:rPr>
                <w:rFonts w:ascii="Times New Roman" w:eastAsia="Times New Roman" w:hAnsi="Times New Roman" w:cs="Times New Roman"/>
                <w:color w:val="0000FF"/>
                <w:sz w:val="24"/>
                <w:szCs w:val="24"/>
                <w:u w:val="single"/>
              </w:rPr>
              <w:t>937</w:t>
            </w:r>
            <w:r w:rsidRPr="007A16CD">
              <w:rPr>
                <w:rFonts w:ascii="Times New Roman" w:eastAsia="Times New Roman" w:hAnsi="Times New Roman" w:cs="Times New Roman"/>
                <w:sz w:val="24"/>
                <w:szCs w:val="24"/>
                <w:u w:val="single"/>
                <w:vertAlign w:val="superscript"/>
              </w:rPr>
              <w:footnoteReference w:id="14"/>
            </w:r>
            <w:r w:rsidRPr="007A16CD">
              <w:rPr>
                <w:rFonts w:ascii="Times New Roman" w:eastAsia="Times New Roman" w:hAnsi="Times New Roman" w:cs="Times New Roman"/>
                <w:sz w:val="24"/>
                <w:szCs w:val="24"/>
                <w:u w:val="single"/>
              </w:rPr>
              <w:fldChar w:fldCharType="end"/>
            </w:r>
            <w:bookmarkEnd w:id="1"/>
          </w:p>
        </w:tc>
        <w:tc>
          <w:tcPr>
            <w:tcW w:w="0" w:type="auto"/>
            <w:vAlign w:val="bottom"/>
          </w:tcPr>
          <w:p w14:paraId="5F10FB39"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w:t>
            </w:r>
          </w:p>
        </w:tc>
        <w:tc>
          <w:tcPr>
            <w:tcW w:w="0" w:type="auto"/>
            <w:vAlign w:val="bottom"/>
          </w:tcPr>
          <w:p w14:paraId="2982B56A"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-937</w:t>
            </w:r>
          </w:p>
        </w:tc>
        <w:tc>
          <w:tcPr>
            <w:tcW w:w="0" w:type="auto"/>
            <w:vAlign w:val="bottom"/>
          </w:tcPr>
          <w:p w14:paraId="16767914"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2 hrs.; $146</w:t>
            </w:r>
          </w:p>
        </w:tc>
        <w:tc>
          <w:tcPr>
            <w:tcW w:w="0" w:type="auto"/>
            <w:vAlign w:val="bottom"/>
          </w:tcPr>
          <w:p w14:paraId="5A0FB860"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 xml:space="preserve">                           -1,874 hrs.; </w:t>
            </w:r>
          </w:p>
          <w:p w14:paraId="282118FD"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-$136,802</w:t>
            </w:r>
          </w:p>
        </w:tc>
        <w:tc>
          <w:tcPr>
            <w:tcW w:w="0" w:type="auto"/>
            <w:gridSpan w:val="2"/>
            <w:vAlign w:val="bottom"/>
          </w:tcPr>
          <w:p w14:paraId="18C85AC9"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 xml:space="preserve">-$146.00 </w:t>
            </w:r>
          </w:p>
        </w:tc>
      </w:tr>
      <w:tr w:rsidR="00145101" w:rsidRPr="007A16CD" w14:paraId="633709DF" w14:textId="77777777" w:rsidTr="007A16CD">
        <w:trPr>
          <w:trHeight w:val="467"/>
          <w:jc w:val="center"/>
        </w:trPr>
        <w:tc>
          <w:tcPr>
            <w:tcW w:w="1645" w:type="dxa"/>
            <w:noWrap/>
            <w:vAlign w:val="center"/>
          </w:tcPr>
          <w:p w14:paraId="59D476BB" w14:textId="77777777"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One-time review and adjustment of existing program</w:t>
            </w:r>
          </w:p>
        </w:tc>
        <w:bookmarkStart w:id="2" w:name="RANGE!B7"/>
        <w:tc>
          <w:tcPr>
            <w:tcW w:w="1422" w:type="dxa"/>
            <w:vAlign w:val="bottom"/>
          </w:tcPr>
          <w:p w14:paraId="46DBCD22"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fldChar w:fldCharType="begin"/>
            </w:r>
            <w:r w:rsidRPr="007A16CD">
              <w:rPr>
                <w:rFonts w:ascii="Times New Roman" w:eastAsia="Times New Roman" w:hAnsi="Times New Roman" w:cs="Times New Roman"/>
                <w:sz w:val="24"/>
                <w:szCs w:val="24"/>
              </w:rPr>
              <w:instrText xml:space="preserve"> HYPERLINK "file:///C:\\Users\\Enbed12\\AppData\\Local\\Microsoft\\Windows\\Temporary%20Internet%20Files\\Content.MSO\\A68E7E6F.tmp" \l "RANGE!A14" </w:instrText>
            </w:r>
            <w:r w:rsidRPr="007A16CD">
              <w:rPr>
                <w:rFonts w:ascii="Times New Roman" w:eastAsia="Times New Roman" w:hAnsi="Times New Roman" w:cs="Times New Roman"/>
                <w:sz w:val="24"/>
                <w:szCs w:val="24"/>
              </w:rPr>
              <w:fldChar w:fldCharType="separate"/>
            </w:r>
            <w:r w:rsidRPr="007A16CD">
              <w:rPr>
                <w:rFonts w:ascii="Times New Roman" w:eastAsia="Times New Roman" w:hAnsi="Times New Roman" w:cs="Times New Roman"/>
                <w:color w:val="0000FF"/>
                <w:sz w:val="24"/>
                <w:szCs w:val="24"/>
                <w:u w:val="single"/>
              </w:rPr>
              <w:t>288</w:t>
            </w:r>
            <w:r w:rsidRPr="007A16CD">
              <w:rPr>
                <w:rFonts w:ascii="Times New Roman" w:eastAsia="Times New Roman" w:hAnsi="Times New Roman" w:cs="Times New Roman"/>
                <w:sz w:val="24"/>
                <w:szCs w:val="24"/>
              </w:rPr>
              <w:fldChar w:fldCharType="end"/>
            </w:r>
            <w:bookmarkEnd w:id="2"/>
            <w:r w:rsidRPr="007A16CD">
              <w:rPr>
                <w:rFonts w:ascii="Times New Roman" w:eastAsia="Times New Roman" w:hAnsi="Times New Roman" w:cs="Times New Roman"/>
                <w:sz w:val="24"/>
                <w:szCs w:val="24"/>
                <w:vertAlign w:val="superscript"/>
              </w:rPr>
              <w:footnoteReference w:id="15"/>
            </w:r>
          </w:p>
        </w:tc>
        <w:tc>
          <w:tcPr>
            <w:tcW w:w="0" w:type="auto"/>
            <w:vAlign w:val="bottom"/>
          </w:tcPr>
          <w:p w14:paraId="79596C16"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w:t>
            </w:r>
          </w:p>
        </w:tc>
        <w:tc>
          <w:tcPr>
            <w:tcW w:w="0" w:type="auto"/>
            <w:vAlign w:val="bottom"/>
          </w:tcPr>
          <w:p w14:paraId="769486EB"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-288</w:t>
            </w:r>
          </w:p>
        </w:tc>
        <w:tc>
          <w:tcPr>
            <w:tcW w:w="0" w:type="auto"/>
            <w:vAlign w:val="bottom"/>
          </w:tcPr>
          <w:p w14:paraId="3B08DA09"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8 hrs.;</w:t>
            </w:r>
          </w:p>
          <w:p w14:paraId="5DA15E10"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$584</w:t>
            </w:r>
          </w:p>
        </w:tc>
        <w:tc>
          <w:tcPr>
            <w:tcW w:w="0" w:type="auto"/>
            <w:vAlign w:val="bottom"/>
          </w:tcPr>
          <w:p w14:paraId="12A28101"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 xml:space="preserve">                           -2,304 hrs.;</w:t>
            </w:r>
          </w:p>
          <w:p w14:paraId="7F3BBA22"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-$168,192</w:t>
            </w:r>
          </w:p>
        </w:tc>
        <w:tc>
          <w:tcPr>
            <w:tcW w:w="0" w:type="auto"/>
            <w:gridSpan w:val="2"/>
            <w:vAlign w:val="bottom"/>
          </w:tcPr>
          <w:p w14:paraId="3160A217"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 xml:space="preserve">-$584 </w:t>
            </w:r>
          </w:p>
        </w:tc>
      </w:tr>
      <w:tr w:rsidR="007A16CD" w:rsidRPr="007A16CD" w14:paraId="461A2946" w14:textId="77777777" w:rsidTr="007A16CD">
        <w:trPr>
          <w:trHeight w:val="467"/>
          <w:jc w:val="center"/>
        </w:trPr>
        <w:tc>
          <w:tcPr>
            <w:tcW w:w="1645" w:type="dxa"/>
            <w:noWrap/>
            <w:vAlign w:val="center"/>
          </w:tcPr>
          <w:p w14:paraId="51828EB8" w14:textId="77777777"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Total Reduction to FERC-725P</w:t>
            </w:r>
          </w:p>
        </w:tc>
        <w:tc>
          <w:tcPr>
            <w:tcW w:w="1422" w:type="dxa"/>
            <w:shd w:val="clear" w:color="auto" w:fill="D9D9D9" w:themeFill="background1" w:themeFillShade="D9"/>
            <w:vAlign w:val="bottom"/>
          </w:tcPr>
          <w:p w14:paraId="18AA1977"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0" w:type="auto"/>
            <w:shd w:val="clear" w:color="auto" w:fill="D9D9D9" w:themeFill="background1" w:themeFillShade="D9"/>
            <w:vAlign w:val="bottom"/>
          </w:tcPr>
          <w:p w14:paraId="509F9DEE"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0" w:type="auto"/>
            <w:vAlign w:val="center"/>
          </w:tcPr>
          <w:p w14:paraId="167A9A0A"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7A16CD">
              <w:rPr>
                <w:rFonts w:ascii="Times New Roman" w:eastAsia="Times New Roman" w:hAnsi="Times New Roman" w:cs="Times New Roman"/>
                <w:b/>
                <w:bCs/>
                <w:color w:val="000000"/>
                <w:sz w:val="24"/>
                <w:szCs w:val="24"/>
              </w:rPr>
              <w:t>-1,225</w:t>
            </w:r>
          </w:p>
        </w:tc>
        <w:tc>
          <w:tcPr>
            <w:tcW w:w="0" w:type="auto"/>
            <w:shd w:val="clear" w:color="auto" w:fill="D9D9D9" w:themeFill="background1" w:themeFillShade="D9"/>
            <w:vAlign w:val="center"/>
          </w:tcPr>
          <w:p w14:paraId="78743EA8"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7A16CD">
              <w:rPr>
                <w:rFonts w:ascii="Times New Roman" w:eastAsia="Times New Roman" w:hAnsi="Times New Roman" w:cs="Times New Roman"/>
                <w:b/>
                <w:color w:val="000000"/>
                <w:sz w:val="24"/>
                <w:szCs w:val="24"/>
              </w:rPr>
              <w:t> </w:t>
            </w:r>
          </w:p>
        </w:tc>
        <w:tc>
          <w:tcPr>
            <w:tcW w:w="0" w:type="auto"/>
            <w:vAlign w:val="center"/>
          </w:tcPr>
          <w:p w14:paraId="1E94A8BF"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7A16CD">
              <w:rPr>
                <w:rFonts w:ascii="Times New Roman" w:eastAsia="Times New Roman" w:hAnsi="Times New Roman" w:cs="Times New Roman"/>
                <w:b/>
                <w:bCs/>
                <w:color w:val="000000"/>
                <w:sz w:val="24"/>
                <w:szCs w:val="24"/>
              </w:rPr>
              <w:t xml:space="preserve">-4,178 hrs.; </w:t>
            </w:r>
          </w:p>
          <w:p w14:paraId="481A68A6"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-$304,994</w:t>
            </w:r>
          </w:p>
        </w:tc>
        <w:tc>
          <w:tcPr>
            <w:tcW w:w="0" w:type="auto"/>
            <w:gridSpan w:val="2"/>
            <w:shd w:val="clear" w:color="auto" w:fill="D9D9D9" w:themeFill="background1" w:themeFillShade="D9"/>
            <w:vAlign w:val="bottom"/>
          </w:tcPr>
          <w:p w14:paraId="382D8A29"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145101" w:rsidRPr="007A16CD" w14:paraId="5E223404" w14:textId="77777777" w:rsidTr="00B545FD">
        <w:trPr>
          <w:trHeight w:val="395"/>
          <w:jc w:val="center"/>
        </w:trPr>
        <w:tc>
          <w:tcPr>
            <w:tcW w:w="0" w:type="auto"/>
            <w:gridSpan w:val="8"/>
            <w:shd w:val="clear" w:color="auto" w:fill="D9D9D9" w:themeFill="background1" w:themeFillShade="D9"/>
            <w:noWrap/>
            <w:vAlign w:val="center"/>
          </w:tcPr>
          <w:p w14:paraId="74AE4F39" w14:textId="77777777" w:rsidR="00145101" w:rsidRPr="007A16CD" w:rsidRDefault="00145101" w:rsidP="001451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16CD">
              <w:rPr>
                <w:rFonts w:ascii="Times New Roman" w:eastAsia="Times New Roman" w:hAnsi="Times New Roman" w:cs="Times New Roman"/>
                <w:b/>
                <w:sz w:val="24"/>
                <w:szCs w:val="24"/>
              </w:rPr>
              <w:t>FERC-725P1</w:t>
            </w:r>
          </w:p>
        </w:tc>
      </w:tr>
      <w:tr w:rsidR="007A16CD" w:rsidRPr="007A16CD" w14:paraId="382CC225" w14:textId="77777777" w:rsidTr="007A16CD">
        <w:trPr>
          <w:trHeight w:val="467"/>
          <w:jc w:val="center"/>
        </w:trPr>
        <w:tc>
          <w:tcPr>
            <w:tcW w:w="1645" w:type="dxa"/>
            <w:noWrap/>
            <w:vAlign w:val="center"/>
          </w:tcPr>
          <w:p w14:paraId="61327676" w14:textId="77777777"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Replacement of PRC-005-4</w:t>
            </w:r>
            <w:r w:rsidRPr="007A16CD">
              <w:rPr>
                <w:rFonts w:ascii="Times New Roman" w:eastAsia="Times New Roman" w:hAnsi="Times New Roman" w:cs="Times New Roman"/>
                <w:sz w:val="24"/>
                <w:szCs w:val="24"/>
                <w:vertAlign w:val="superscript"/>
              </w:rPr>
              <w:footnoteReference w:id="16"/>
            </w:r>
            <w:r w:rsidRPr="007A16CD">
              <w:rPr>
                <w:rFonts w:ascii="Times New Roman" w:eastAsia="Times New Roman" w:hAnsi="Times New Roman" w:cs="Times New Roman"/>
                <w:sz w:val="24"/>
                <w:szCs w:val="24"/>
              </w:rPr>
              <w:t xml:space="preserve">, </w:t>
            </w:r>
            <w:r w:rsidRPr="007A16CD">
              <w:rPr>
                <w:rFonts w:ascii="Times New Roman" w:eastAsia="Times New Roman" w:hAnsi="Times New Roman" w:cs="Times New Roman"/>
                <w:sz w:val="24"/>
                <w:szCs w:val="24"/>
                <w:vertAlign w:val="superscript"/>
              </w:rPr>
              <w:footnoteReference w:id="17"/>
            </w:r>
            <w:r w:rsidRPr="007A16CD">
              <w:rPr>
                <w:rFonts w:ascii="Times New Roman" w:eastAsia="Times New Roman" w:hAnsi="Times New Roman" w:cs="Times New Roman"/>
                <w:sz w:val="24"/>
                <w:szCs w:val="24"/>
              </w:rPr>
              <w:t xml:space="preserve"> -- One-</w:t>
            </w:r>
            <w:r w:rsidRPr="007A16CD">
              <w:rPr>
                <w:rFonts w:ascii="Times New Roman" w:eastAsia="Times New Roman" w:hAnsi="Times New Roman" w:cs="Times New Roman"/>
                <w:sz w:val="24"/>
                <w:szCs w:val="24"/>
              </w:rPr>
              <w:lastRenderedPageBreak/>
              <w:t>time review of sudden pressure relay maintenance program and adjustment (Burden Reduction)</w:t>
            </w:r>
          </w:p>
        </w:tc>
        <w:tc>
          <w:tcPr>
            <w:tcW w:w="1422" w:type="dxa"/>
            <w:vAlign w:val="bottom"/>
          </w:tcPr>
          <w:p w14:paraId="67F7741E"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lastRenderedPageBreak/>
              <w:t>1,287</w:t>
            </w:r>
          </w:p>
        </w:tc>
        <w:tc>
          <w:tcPr>
            <w:tcW w:w="0" w:type="auto"/>
            <w:vAlign w:val="bottom"/>
          </w:tcPr>
          <w:p w14:paraId="1B2E8847"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w:t>
            </w:r>
          </w:p>
        </w:tc>
        <w:tc>
          <w:tcPr>
            <w:tcW w:w="0" w:type="auto"/>
            <w:vAlign w:val="bottom"/>
          </w:tcPr>
          <w:p w14:paraId="632EDC6A"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-1,287</w:t>
            </w:r>
          </w:p>
        </w:tc>
        <w:tc>
          <w:tcPr>
            <w:tcW w:w="0" w:type="auto"/>
            <w:vAlign w:val="bottom"/>
          </w:tcPr>
          <w:p w14:paraId="17CAB96F"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8 hrs.;</w:t>
            </w:r>
          </w:p>
          <w:p w14:paraId="57389284"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$522.72</w:t>
            </w:r>
          </w:p>
        </w:tc>
        <w:tc>
          <w:tcPr>
            <w:tcW w:w="1415" w:type="dxa"/>
            <w:gridSpan w:val="2"/>
            <w:vAlign w:val="bottom"/>
          </w:tcPr>
          <w:p w14:paraId="3059BED3" w14:textId="77777777" w:rsidR="00145101" w:rsidRPr="007A16CD" w:rsidRDefault="00145101" w:rsidP="007A16C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-10,296 hrs.;</w:t>
            </w:r>
          </w:p>
          <w:p w14:paraId="7DFA7B91" w14:textId="77777777" w:rsidR="00145101" w:rsidRPr="007A16CD" w:rsidRDefault="00145101" w:rsidP="007A16C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w:t>
            </w:r>
            <w:r w:rsidRPr="007A16CD">
              <w:rPr>
                <w:rFonts w:ascii="Times New Roman" w:eastAsia="Times New Roman" w:hAnsi="Times New Roman" w:cs="Times New Roman"/>
                <w:sz w:val="24"/>
                <w:szCs w:val="24"/>
              </w:rPr>
              <w:lastRenderedPageBreak/>
              <w:t>$672,740.64</w:t>
            </w:r>
          </w:p>
        </w:tc>
        <w:tc>
          <w:tcPr>
            <w:tcW w:w="1244" w:type="dxa"/>
            <w:vAlign w:val="bottom"/>
          </w:tcPr>
          <w:p w14:paraId="0D635E7E"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lastRenderedPageBreak/>
              <w:t>-$522.72</w:t>
            </w:r>
          </w:p>
        </w:tc>
      </w:tr>
      <w:tr w:rsidR="00145101" w:rsidRPr="007A16CD" w14:paraId="612DD4A6" w14:textId="77777777" w:rsidTr="007A16CD">
        <w:trPr>
          <w:trHeight w:val="467"/>
          <w:jc w:val="center"/>
        </w:trPr>
        <w:tc>
          <w:tcPr>
            <w:tcW w:w="1645" w:type="dxa"/>
            <w:noWrap/>
          </w:tcPr>
          <w:p w14:paraId="2820CC07" w14:textId="191FB077"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lastRenderedPageBreak/>
              <w:t xml:space="preserve">Implementation of PRC-005-6 - </w:t>
            </w:r>
            <w:r w:rsidRPr="007A16CD">
              <w:rPr>
                <w:rFonts w:ascii="Times New Roman" w:eastAsia="Calibri" w:hAnsi="Times New Roman" w:cs="Times New Roman"/>
                <w:sz w:val="24"/>
                <w:szCs w:val="24"/>
              </w:rPr>
              <w:t xml:space="preserve">One-time review of existing plant and substation sites to determine which ones fall under PRC-005-6 </w:t>
            </w:r>
            <w:r w:rsidR="00541C47" w:rsidRPr="007A16CD">
              <w:rPr>
                <w:rStyle w:val="FootnoteReference"/>
                <w:rFonts w:ascii="Times New Roman" w:eastAsia="Calibri" w:hAnsi="Times New Roman" w:cs="Times New Roman"/>
                <w:sz w:val="24"/>
                <w:szCs w:val="24"/>
                <w:vertAlign w:val="superscript"/>
              </w:rPr>
              <w:footnoteReference w:id="18"/>
            </w:r>
            <w:r w:rsidR="00541C47" w:rsidRPr="007A16CD">
              <w:rPr>
                <w:rFonts w:ascii="Times New Roman" w:eastAsia="Calibri" w:hAnsi="Times New Roman" w:cs="Times New Roman"/>
                <w:sz w:val="24"/>
                <w:szCs w:val="24"/>
                <w:vertAlign w:val="superscript"/>
              </w:rPr>
              <w:t xml:space="preserve"> </w:t>
            </w:r>
            <w:r w:rsidRPr="007A16CD">
              <w:rPr>
                <w:rFonts w:ascii="Times New Roman" w:eastAsia="Times New Roman" w:hAnsi="Times New Roman" w:cs="Times New Roman"/>
                <w:sz w:val="24"/>
                <w:szCs w:val="24"/>
              </w:rPr>
              <w:t>(Burden Increase)</w:t>
            </w:r>
          </w:p>
        </w:tc>
        <w:tc>
          <w:tcPr>
            <w:tcW w:w="1422" w:type="dxa"/>
            <w:vAlign w:val="bottom"/>
          </w:tcPr>
          <w:p w14:paraId="0D3FE011"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Calibri" w:hAnsi="Times New Roman" w:cs="Times New Roman"/>
                <w:sz w:val="24"/>
                <w:szCs w:val="24"/>
              </w:rPr>
              <w:t>937</w:t>
            </w:r>
            <w:r w:rsidRPr="007A16CD">
              <w:rPr>
                <w:rFonts w:ascii="Times New Roman" w:eastAsia="Calibri" w:hAnsi="Times New Roman" w:cs="Times New Roman"/>
                <w:sz w:val="24"/>
                <w:szCs w:val="24"/>
                <w:vertAlign w:val="superscript"/>
              </w:rPr>
              <w:footnoteReference w:id="19"/>
            </w:r>
          </w:p>
        </w:tc>
        <w:tc>
          <w:tcPr>
            <w:tcW w:w="0" w:type="auto"/>
            <w:vAlign w:val="bottom"/>
          </w:tcPr>
          <w:p w14:paraId="6683B681"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Calibri" w:hAnsi="Times New Roman" w:cs="Times New Roman"/>
                <w:sz w:val="24"/>
                <w:szCs w:val="24"/>
              </w:rPr>
              <w:t>1</w:t>
            </w:r>
          </w:p>
        </w:tc>
        <w:tc>
          <w:tcPr>
            <w:tcW w:w="0" w:type="auto"/>
            <w:vAlign w:val="bottom"/>
          </w:tcPr>
          <w:p w14:paraId="65FD53E5"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Calibri" w:hAnsi="Times New Roman" w:cs="Times New Roman"/>
                <w:sz w:val="24"/>
                <w:szCs w:val="24"/>
              </w:rPr>
              <w:t>937</w:t>
            </w:r>
          </w:p>
        </w:tc>
        <w:tc>
          <w:tcPr>
            <w:tcW w:w="0" w:type="auto"/>
            <w:vAlign w:val="bottom"/>
          </w:tcPr>
          <w:p w14:paraId="42885AA6" w14:textId="77777777" w:rsidR="00145101" w:rsidRPr="007A16CD" w:rsidRDefault="00145101" w:rsidP="00145101">
            <w:pPr>
              <w:widowControl w:val="0"/>
              <w:autoSpaceDE w:val="0"/>
              <w:autoSpaceDN w:val="0"/>
              <w:adjustRightInd w:val="0"/>
              <w:spacing w:after="0" w:line="256" w:lineRule="auto"/>
              <w:jc w:val="right"/>
              <w:rPr>
                <w:rFonts w:ascii="Times New Roman" w:eastAsia="Calibri" w:hAnsi="Times New Roman" w:cs="Times New Roman"/>
                <w:sz w:val="24"/>
                <w:szCs w:val="24"/>
              </w:rPr>
            </w:pPr>
            <w:r w:rsidRPr="007A16CD">
              <w:rPr>
                <w:rFonts w:ascii="Times New Roman" w:eastAsia="Calibri" w:hAnsi="Times New Roman" w:cs="Times New Roman"/>
                <w:sz w:val="24"/>
                <w:szCs w:val="24"/>
              </w:rPr>
              <w:t>2 hrs.;</w:t>
            </w:r>
          </w:p>
          <w:p w14:paraId="040A5FB6"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Calibri" w:hAnsi="Times New Roman" w:cs="Times New Roman"/>
                <w:sz w:val="24"/>
                <w:szCs w:val="24"/>
              </w:rPr>
              <w:t>$145</w:t>
            </w:r>
          </w:p>
        </w:tc>
        <w:tc>
          <w:tcPr>
            <w:tcW w:w="0" w:type="auto"/>
            <w:vAlign w:val="bottom"/>
          </w:tcPr>
          <w:p w14:paraId="1D066E95" w14:textId="77777777" w:rsidR="00145101" w:rsidRPr="007A16CD" w:rsidRDefault="00145101" w:rsidP="0014510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A16CD">
              <w:rPr>
                <w:rFonts w:ascii="Times New Roman" w:eastAsia="Calibri" w:hAnsi="Times New Roman" w:cs="Times New Roman"/>
                <w:sz w:val="24"/>
                <w:szCs w:val="24"/>
              </w:rPr>
              <w:t>1,874 hrs.;</w:t>
            </w:r>
          </w:p>
          <w:p w14:paraId="1ACD1D14" w14:textId="783695F5" w:rsidR="00145101" w:rsidRPr="007A16CD" w:rsidRDefault="00145101" w:rsidP="001F196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Calibri" w:hAnsi="Times New Roman" w:cs="Times New Roman"/>
                <w:sz w:val="24"/>
                <w:szCs w:val="24"/>
              </w:rPr>
              <w:t>$135,</w:t>
            </w:r>
            <w:r w:rsidR="001F196E" w:rsidRPr="007A16CD">
              <w:rPr>
                <w:rFonts w:ascii="Times New Roman" w:eastAsia="Calibri" w:hAnsi="Times New Roman" w:cs="Times New Roman"/>
                <w:sz w:val="24"/>
                <w:szCs w:val="24"/>
              </w:rPr>
              <w:t>396.50</w:t>
            </w:r>
          </w:p>
        </w:tc>
        <w:tc>
          <w:tcPr>
            <w:tcW w:w="0" w:type="auto"/>
            <w:gridSpan w:val="2"/>
            <w:vAlign w:val="bottom"/>
          </w:tcPr>
          <w:p w14:paraId="49E13EAA"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Calibri" w:hAnsi="Times New Roman" w:cs="Times New Roman"/>
                <w:sz w:val="24"/>
                <w:szCs w:val="24"/>
              </w:rPr>
              <w:t>$144.50</w:t>
            </w:r>
          </w:p>
        </w:tc>
      </w:tr>
      <w:tr w:rsidR="007A16CD" w:rsidRPr="007A16CD" w14:paraId="349BB30F" w14:textId="77777777" w:rsidTr="007A16CD">
        <w:trPr>
          <w:trHeight w:val="467"/>
          <w:jc w:val="center"/>
        </w:trPr>
        <w:tc>
          <w:tcPr>
            <w:tcW w:w="1645" w:type="dxa"/>
            <w:noWrap/>
          </w:tcPr>
          <w:p w14:paraId="3643DCCA" w14:textId="63FF1822"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 xml:space="preserve">Implementation of PRC-005-6 - </w:t>
            </w:r>
            <w:r w:rsidRPr="007A16CD">
              <w:rPr>
                <w:rFonts w:ascii="Times New Roman" w:eastAsia="Calibri" w:hAnsi="Times New Roman" w:cs="Times New Roman"/>
                <w:sz w:val="24"/>
                <w:szCs w:val="24"/>
              </w:rPr>
              <w:t>One-time review and adjustment of existing program for reclosing relays and associated equipment</w:t>
            </w:r>
            <w:r w:rsidRPr="007A16CD" w:rsidDel="003443C0">
              <w:rPr>
                <w:rFonts w:ascii="Times New Roman" w:eastAsia="Calibri" w:hAnsi="Times New Roman" w:cs="Times New Roman"/>
                <w:sz w:val="24"/>
                <w:szCs w:val="24"/>
              </w:rPr>
              <w:t xml:space="preserve"> </w:t>
            </w:r>
            <w:r w:rsidR="001F196E" w:rsidRPr="007A16CD">
              <w:rPr>
                <w:rStyle w:val="FootnoteReference"/>
                <w:rFonts w:ascii="Times New Roman" w:eastAsia="Calibri" w:hAnsi="Times New Roman" w:cs="Times New Roman"/>
                <w:sz w:val="24"/>
                <w:szCs w:val="24"/>
                <w:vertAlign w:val="superscript"/>
              </w:rPr>
              <w:footnoteReference w:id="20"/>
            </w:r>
            <w:r w:rsidR="001F196E" w:rsidRPr="007A16CD">
              <w:rPr>
                <w:rFonts w:ascii="Times New Roman" w:eastAsia="Times New Roman" w:hAnsi="Times New Roman" w:cs="Times New Roman"/>
                <w:sz w:val="24"/>
                <w:szCs w:val="24"/>
              </w:rPr>
              <w:t xml:space="preserve"> </w:t>
            </w:r>
            <w:r w:rsidRPr="007A16CD">
              <w:rPr>
                <w:rFonts w:ascii="Times New Roman" w:eastAsia="Times New Roman" w:hAnsi="Times New Roman" w:cs="Times New Roman"/>
                <w:sz w:val="24"/>
                <w:szCs w:val="24"/>
              </w:rPr>
              <w:t>(Burden Increase)</w:t>
            </w:r>
          </w:p>
        </w:tc>
        <w:tc>
          <w:tcPr>
            <w:tcW w:w="1422" w:type="dxa"/>
            <w:vAlign w:val="bottom"/>
          </w:tcPr>
          <w:p w14:paraId="647A0E38"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288</w:t>
            </w:r>
          </w:p>
        </w:tc>
        <w:tc>
          <w:tcPr>
            <w:tcW w:w="0" w:type="auto"/>
            <w:vAlign w:val="bottom"/>
          </w:tcPr>
          <w:p w14:paraId="39805635"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w:t>
            </w:r>
          </w:p>
        </w:tc>
        <w:tc>
          <w:tcPr>
            <w:tcW w:w="0" w:type="auto"/>
            <w:vAlign w:val="bottom"/>
          </w:tcPr>
          <w:p w14:paraId="0B77FD42"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288</w:t>
            </w:r>
          </w:p>
        </w:tc>
        <w:tc>
          <w:tcPr>
            <w:tcW w:w="0" w:type="auto"/>
            <w:vAlign w:val="bottom"/>
          </w:tcPr>
          <w:p w14:paraId="153B83D4" w14:textId="77777777" w:rsidR="00145101" w:rsidRPr="007A16CD" w:rsidRDefault="00145101" w:rsidP="00145101">
            <w:pPr>
              <w:widowControl w:val="0"/>
              <w:autoSpaceDE w:val="0"/>
              <w:autoSpaceDN w:val="0"/>
              <w:adjustRightInd w:val="0"/>
              <w:spacing w:after="0" w:line="256" w:lineRule="auto"/>
              <w:jc w:val="right"/>
              <w:rPr>
                <w:rFonts w:ascii="Times New Roman" w:eastAsia="Calibri" w:hAnsi="Times New Roman" w:cs="Times New Roman"/>
                <w:sz w:val="24"/>
                <w:szCs w:val="24"/>
              </w:rPr>
            </w:pPr>
            <w:r w:rsidRPr="007A16CD">
              <w:rPr>
                <w:rFonts w:ascii="Times New Roman" w:eastAsia="Times New Roman" w:hAnsi="Times New Roman" w:cs="Times New Roman"/>
                <w:color w:val="000000"/>
                <w:sz w:val="24"/>
                <w:szCs w:val="24"/>
              </w:rPr>
              <w:t>8.5</w:t>
            </w:r>
            <w:r w:rsidRPr="007A16CD">
              <w:rPr>
                <w:rFonts w:ascii="Times New Roman" w:eastAsia="Calibri" w:hAnsi="Times New Roman" w:cs="Times New Roman"/>
                <w:sz w:val="24"/>
                <w:szCs w:val="24"/>
              </w:rPr>
              <w:t xml:space="preserve"> hrs.;</w:t>
            </w:r>
          </w:p>
          <w:p w14:paraId="273D0DFF"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$614</w:t>
            </w:r>
          </w:p>
        </w:tc>
        <w:tc>
          <w:tcPr>
            <w:tcW w:w="0" w:type="auto"/>
            <w:vAlign w:val="bottom"/>
          </w:tcPr>
          <w:p w14:paraId="6C4EA908" w14:textId="77777777" w:rsidR="00145101" w:rsidRPr="007A16CD" w:rsidRDefault="00145101" w:rsidP="00145101">
            <w:pPr>
              <w:widowControl w:val="0"/>
              <w:autoSpaceDE w:val="0"/>
              <w:autoSpaceDN w:val="0"/>
              <w:adjustRightInd w:val="0"/>
              <w:spacing w:after="0" w:line="256"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2,448 hrs.;</w:t>
            </w:r>
          </w:p>
          <w:p w14:paraId="20B776FE" w14:textId="77777777" w:rsidR="00145101" w:rsidRPr="007A16CD" w:rsidRDefault="00145101" w:rsidP="00145101">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$176,868</w:t>
            </w:r>
          </w:p>
        </w:tc>
        <w:tc>
          <w:tcPr>
            <w:tcW w:w="0" w:type="auto"/>
            <w:gridSpan w:val="2"/>
            <w:vAlign w:val="bottom"/>
          </w:tcPr>
          <w:p w14:paraId="395CB515"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 xml:space="preserve">$614 </w:t>
            </w:r>
          </w:p>
        </w:tc>
      </w:tr>
      <w:tr w:rsidR="007A16CD" w:rsidRPr="007A16CD" w14:paraId="62462EF5" w14:textId="77777777" w:rsidTr="007A16CD">
        <w:trPr>
          <w:trHeight w:val="467"/>
          <w:jc w:val="center"/>
        </w:trPr>
        <w:tc>
          <w:tcPr>
            <w:tcW w:w="1645" w:type="dxa"/>
            <w:noWrap/>
            <w:vAlign w:val="center"/>
          </w:tcPr>
          <w:p w14:paraId="5431046A" w14:textId="418D665C"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lastRenderedPageBreak/>
              <w:t>Implementation of PRC-005-6 - One-time review and adjustment of existing program for sudden pressure relays</w:t>
            </w:r>
            <w:r w:rsidRPr="007A16CD">
              <w:rPr>
                <w:rFonts w:ascii="Times New Roman" w:eastAsia="Times New Roman" w:hAnsi="Times New Roman" w:cs="Times New Roman"/>
                <w:sz w:val="24"/>
                <w:szCs w:val="24"/>
                <w:vertAlign w:val="superscript"/>
              </w:rPr>
              <w:t xml:space="preserve"> </w:t>
            </w:r>
            <w:r w:rsidR="001F196E" w:rsidRPr="007A16CD">
              <w:rPr>
                <w:rStyle w:val="FootnoteReference"/>
                <w:rFonts w:ascii="Times New Roman" w:eastAsia="Times New Roman" w:hAnsi="Times New Roman" w:cs="Times New Roman"/>
                <w:sz w:val="24"/>
                <w:szCs w:val="24"/>
                <w:vertAlign w:val="superscript"/>
              </w:rPr>
              <w:footnoteReference w:id="21"/>
            </w:r>
            <w:r w:rsidR="001F69E8" w:rsidRPr="007A16CD">
              <w:rPr>
                <w:rFonts w:ascii="Times New Roman" w:eastAsia="Times New Roman" w:hAnsi="Times New Roman" w:cs="Times New Roman"/>
                <w:sz w:val="24"/>
                <w:szCs w:val="24"/>
              </w:rPr>
              <w:t xml:space="preserve"> </w:t>
            </w:r>
            <w:r w:rsidRPr="007A16CD">
              <w:rPr>
                <w:rFonts w:ascii="Times New Roman" w:eastAsia="Times New Roman" w:hAnsi="Times New Roman" w:cs="Times New Roman"/>
                <w:sz w:val="24"/>
                <w:szCs w:val="24"/>
              </w:rPr>
              <w:t>(Burden Increase)</w:t>
            </w:r>
          </w:p>
        </w:tc>
        <w:tc>
          <w:tcPr>
            <w:tcW w:w="1422" w:type="dxa"/>
            <w:shd w:val="clear" w:color="auto" w:fill="D9D9D9" w:themeFill="background1" w:themeFillShade="D9"/>
            <w:vAlign w:val="bottom"/>
          </w:tcPr>
          <w:p w14:paraId="778338A9"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1,287</w:t>
            </w:r>
          </w:p>
        </w:tc>
        <w:tc>
          <w:tcPr>
            <w:tcW w:w="0" w:type="auto"/>
            <w:shd w:val="clear" w:color="auto" w:fill="D9D9D9" w:themeFill="background1" w:themeFillShade="D9"/>
            <w:vAlign w:val="bottom"/>
          </w:tcPr>
          <w:p w14:paraId="0021A9A7"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w:t>
            </w:r>
          </w:p>
        </w:tc>
        <w:tc>
          <w:tcPr>
            <w:tcW w:w="0" w:type="auto"/>
            <w:vAlign w:val="bottom"/>
          </w:tcPr>
          <w:p w14:paraId="267621B1"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1,287</w:t>
            </w:r>
          </w:p>
        </w:tc>
        <w:tc>
          <w:tcPr>
            <w:tcW w:w="0" w:type="auto"/>
            <w:shd w:val="clear" w:color="auto" w:fill="D9D9D9" w:themeFill="background1" w:themeFillShade="D9"/>
            <w:vAlign w:val="bottom"/>
          </w:tcPr>
          <w:p w14:paraId="1CF75BB8"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8 hrs.;</w:t>
            </w:r>
          </w:p>
          <w:p w14:paraId="58867098"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$531.60</w:t>
            </w:r>
          </w:p>
        </w:tc>
        <w:tc>
          <w:tcPr>
            <w:tcW w:w="0" w:type="auto"/>
            <w:vAlign w:val="bottom"/>
          </w:tcPr>
          <w:p w14:paraId="389A4D63"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7A16CD">
              <w:rPr>
                <w:rFonts w:ascii="Times New Roman" w:eastAsia="Times New Roman" w:hAnsi="Times New Roman" w:cs="Times New Roman"/>
                <w:color w:val="000000"/>
                <w:sz w:val="24"/>
                <w:szCs w:val="24"/>
              </w:rPr>
              <w:t>10,296 hrs.;</w:t>
            </w:r>
          </w:p>
          <w:p w14:paraId="1297A476"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$684,169.20</w:t>
            </w:r>
          </w:p>
        </w:tc>
        <w:tc>
          <w:tcPr>
            <w:tcW w:w="0" w:type="auto"/>
            <w:gridSpan w:val="2"/>
            <w:shd w:val="clear" w:color="auto" w:fill="D9D9D9" w:themeFill="background1" w:themeFillShade="D9"/>
            <w:vAlign w:val="bottom"/>
          </w:tcPr>
          <w:p w14:paraId="5E8D0002"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color w:val="000000"/>
                <w:sz w:val="24"/>
                <w:szCs w:val="24"/>
              </w:rPr>
              <w:t xml:space="preserve">                      $531.60 </w:t>
            </w:r>
          </w:p>
        </w:tc>
      </w:tr>
      <w:tr w:rsidR="007A16CD" w:rsidRPr="007A16CD" w14:paraId="5F69B6B9" w14:textId="77777777" w:rsidTr="007A16CD">
        <w:trPr>
          <w:trHeight w:val="467"/>
          <w:jc w:val="center"/>
        </w:trPr>
        <w:tc>
          <w:tcPr>
            <w:tcW w:w="1645" w:type="dxa"/>
            <w:noWrap/>
            <w:vAlign w:val="center"/>
          </w:tcPr>
          <w:p w14:paraId="39844BDD" w14:textId="77777777"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Total Net Increase to FERC-725P1</w:t>
            </w:r>
          </w:p>
        </w:tc>
        <w:tc>
          <w:tcPr>
            <w:tcW w:w="1422" w:type="dxa"/>
            <w:shd w:val="clear" w:color="auto" w:fill="D9D9D9" w:themeFill="background1" w:themeFillShade="D9"/>
            <w:vAlign w:val="bottom"/>
          </w:tcPr>
          <w:p w14:paraId="235F357A"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0" w:type="auto"/>
            <w:shd w:val="clear" w:color="auto" w:fill="D9D9D9" w:themeFill="background1" w:themeFillShade="D9"/>
            <w:vAlign w:val="bottom"/>
          </w:tcPr>
          <w:p w14:paraId="16935B25"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0" w:type="auto"/>
            <w:vAlign w:val="bottom"/>
          </w:tcPr>
          <w:p w14:paraId="2E1C5B68" w14:textId="7A878399" w:rsidR="00145101" w:rsidRPr="007A16CD" w:rsidRDefault="00E9414F"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1,225</w:t>
            </w:r>
          </w:p>
        </w:tc>
        <w:tc>
          <w:tcPr>
            <w:tcW w:w="0" w:type="auto"/>
            <w:shd w:val="clear" w:color="auto" w:fill="D9D9D9" w:themeFill="background1" w:themeFillShade="D9"/>
            <w:vAlign w:val="bottom"/>
          </w:tcPr>
          <w:p w14:paraId="10EB6AC4"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0" w:type="auto"/>
            <w:vAlign w:val="bottom"/>
          </w:tcPr>
          <w:p w14:paraId="326BADB5"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4,332 hrs.;</w:t>
            </w:r>
          </w:p>
          <w:p w14:paraId="67F3BDB0" w14:textId="6123D7FB" w:rsidR="00145101" w:rsidRPr="007A16CD" w:rsidRDefault="00145101" w:rsidP="001F196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$323,693.</w:t>
            </w:r>
            <w:r w:rsidR="001F196E" w:rsidRPr="007A16CD">
              <w:rPr>
                <w:rFonts w:ascii="Times New Roman" w:eastAsia="Times New Roman" w:hAnsi="Times New Roman" w:cs="Times New Roman"/>
                <w:sz w:val="24"/>
                <w:szCs w:val="24"/>
              </w:rPr>
              <w:t>06</w:t>
            </w:r>
          </w:p>
        </w:tc>
        <w:tc>
          <w:tcPr>
            <w:tcW w:w="0" w:type="auto"/>
            <w:gridSpan w:val="2"/>
            <w:shd w:val="clear" w:color="auto" w:fill="D9D9D9" w:themeFill="background1" w:themeFillShade="D9"/>
            <w:vAlign w:val="bottom"/>
          </w:tcPr>
          <w:p w14:paraId="0CC0E6FA"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7A16CD" w:rsidRPr="007A16CD" w14:paraId="2966ABCE" w14:textId="77777777" w:rsidTr="007A16CD">
        <w:trPr>
          <w:trHeight w:val="467"/>
          <w:jc w:val="center"/>
        </w:trPr>
        <w:tc>
          <w:tcPr>
            <w:tcW w:w="1645" w:type="dxa"/>
            <w:noWrap/>
            <w:vAlign w:val="center"/>
            <w:hideMark/>
          </w:tcPr>
          <w:p w14:paraId="7593AFFE" w14:textId="77777777" w:rsidR="00145101" w:rsidRPr="007A16CD" w:rsidRDefault="00145101" w:rsidP="00145101">
            <w:pPr>
              <w:widowControl w:val="0"/>
              <w:autoSpaceDE w:val="0"/>
              <w:autoSpaceDN w:val="0"/>
              <w:adjustRightInd w:val="0"/>
              <w:spacing w:after="0" w:line="240" w:lineRule="auto"/>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Total Net Change, due to RD16-2</w:t>
            </w:r>
          </w:p>
        </w:tc>
        <w:tc>
          <w:tcPr>
            <w:tcW w:w="1422" w:type="dxa"/>
            <w:shd w:val="clear" w:color="auto" w:fill="D9D9D9" w:themeFill="background1" w:themeFillShade="D9"/>
            <w:vAlign w:val="bottom"/>
          </w:tcPr>
          <w:p w14:paraId="3DD3ACD8"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0" w:type="auto"/>
            <w:shd w:val="clear" w:color="auto" w:fill="D9D9D9" w:themeFill="background1" w:themeFillShade="D9"/>
            <w:vAlign w:val="bottom"/>
          </w:tcPr>
          <w:p w14:paraId="7C9AA0D3"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0" w:type="auto"/>
            <w:vAlign w:val="bottom"/>
          </w:tcPr>
          <w:p w14:paraId="5318ADFF"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0</w:t>
            </w:r>
          </w:p>
        </w:tc>
        <w:tc>
          <w:tcPr>
            <w:tcW w:w="0" w:type="auto"/>
            <w:shd w:val="clear" w:color="auto" w:fill="D9D9D9" w:themeFill="background1" w:themeFillShade="D9"/>
            <w:vAlign w:val="bottom"/>
          </w:tcPr>
          <w:p w14:paraId="74D7E653"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c>
          <w:tcPr>
            <w:tcW w:w="0" w:type="auto"/>
            <w:vAlign w:val="bottom"/>
          </w:tcPr>
          <w:p w14:paraId="19AC046D"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7A16CD">
              <w:rPr>
                <w:rFonts w:ascii="Times New Roman" w:eastAsia="Times New Roman" w:hAnsi="Times New Roman" w:cs="Times New Roman"/>
                <w:b/>
                <w:bCs/>
                <w:color w:val="000000"/>
                <w:sz w:val="24"/>
                <w:szCs w:val="24"/>
              </w:rPr>
              <w:t>144</w:t>
            </w:r>
            <w:r w:rsidRPr="007A16CD">
              <w:rPr>
                <w:rFonts w:ascii="Times New Roman" w:eastAsia="Times New Roman" w:hAnsi="Times New Roman" w:cs="Times New Roman"/>
                <w:b/>
                <w:sz w:val="24"/>
                <w:szCs w:val="24"/>
              </w:rPr>
              <w:t xml:space="preserve"> hrs.; </w:t>
            </w:r>
          </w:p>
          <w:p w14:paraId="77329041" w14:textId="3EB94E19"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7A16CD">
              <w:rPr>
                <w:rFonts w:ascii="Times New Roman" w:eastAsia="Times New Roman" w:hAnsi="Times New Roman" w:cs="Times New Roman"/>
                <w:b/>
                <w:sz w:val="24"/>
                <w:szCs w:val="24"/>
              </w:rPr>
              <w:t>$18,699</w:t>
            </w:r>
            <w:r w:rsidR="00AA3757" w:rsidRPr="007A16CD">
              <w:rPr>
                <w:rFonts w:ascii="Times New Roman" w:eastAsia="Times New Roman" w:hAnsi="Times New Roman" w:cs="Times New Roman"/>
                <w:b/>
                <w:sz w:val="24"/>
                <w:szCs w:val="24"/>
              </w:rPr>
              <w:t>.06</w:t>
            </w:r>
          </w:p>
        </w:tc>
        <w:tc>
          <w:tcPr>
            <w:tcW w:w="0" w:type="auto"/>
            <w:gridSpan w:val="2"/>
            <w:shd w:val="clear" w:color="auto" w:fill="D9D9D9" w:themeFill="background1" w:themeFillShade="D9"/>
            <w:vAlign w:val="bottom"/>
          </w:tcPr>
          <w:p w14:paraId="69D4F277" w14:textId="77777777" w:rsidR="00145101" w:rsidRPr="007A16CD" w:rsidRDefault="00145101" w:rsidP="0014510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764EC580" w14:textId="77777777" w:rsidR="00A4336A" w:rsidRPr="007A16CD" w:rsidRDefault="00A4336A" w:rsidP="00F97B37">
      <w:pPr>
        <w:spacing w:after="0" w:line="240" w:lineRule="auto"/>
        <w:rPr>
          <w:rFonts w:ascii="Times New Roman" w:hAnsi="Times New Roman" w:cs="Times New Roman"/>
          <w:sz w:val="24"/>
          <w:szCs w:val="24"/>
        </w:rPr>
      </w:pPr>
    </w:p>
    <w:p w14:paraId="28488CF0" w14:textId="1BE2721B" w:rsidR="00462F59" w:rsidRPr="007A16CD" w:rsidRDefault="00E636D7" w:rsidP="00145101">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ESTIMATE OF THE TOTAL ANNUAL COST BURDEN TO RESPONDENTS</w:t>
      </w:r>
    </w:p>
    <w:p w14:paraId="27639EEB" w14:textId="77777777" w:rsidR="00EC1414" w:rsidRPr="007A16CD" w:rsidRDefault="00EC1414" w:rsidP="00F97B37">
      <w:pPr>
        <w:spacing w:after="0" w:line="240" w:lineRule="auto"/>
        <w:rPr>
          <w:rFonts w:ascii="Times New Roman" w:hAnsi="Times New Roman" w:cs="Times New Roman"/>
          <w:sz w:val="24"/>
          <w:szCs w:val="24"/>
        </w:rPr>
      </w:pPr>
    </w:p>
    <w:p w14:paraId="26C6433A" w14:textId="6BDFC5F0" w:rsidR="00EC1414" w:rsidRPr="007A16CD" w:rsidRDefault="00462F59"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There are no non-labor costs currently associated with the FERC-725</w:t>
      </w:r>
      <w:r w:rsidR="002740DE" w:rsidRPr="007A16CD">
        <w:rPr>
          <w:rFonts w:ascii="Times New Roman" w:hAnsi="Times New Roman" w:cs="Times New Roman"/>
          <w:sz w:val="24"/>
          <w:szCs w:val="24"/>
        </w:rPr>
        <w:t>P1</w:t>
      </w:r>
      <w:r w:rsidR="00A76F30" w:rsidRPr="007A16CD">
        <w:rPr>
          <w:rFonts w:ascii="Times New Roman" w:hAnsi="Times New Roman" w:cs="Times New Roman"/>
          <w:sz w:val="24"/>
          <w:szCs w:val="24"/>
        </w:rPr>
        <w:t xml:space="preserve"> or FERC-725P</w:t>
      </w:r>
      <w:r w:rsidRPr="007A16CD">
        <w:rPr>
          <w:rFonts w:ascii="Times New Roman" w:hAnsi="Times New Roman" w:cs="Times New Roman"/>
          <w:sz w:val="24"/>
          <w:szCs w:val="24"/>
        </w:rPr>
        <w:t>.</w:t>
      </w:r>
      <w:r w:rsidR="00EC1414" w:rsidRPr="007A16CD">
        <w:rPr>
          <w:rFonts w:ascii="Times New Roman" w:hAnsi="Times New Roman" w:cs="Times New Roman"/>
          <w:sz w:val="24"/>
          <w:szCs w:val="24"/>
        </w:rPr>
        <w:t xml:space="preserve"> Commission staff assumes that the information collection requirement associated with this rulemaking is consistent with estimates for similar tasks in other Commission-approved Reliability Standards and can be completed by entities using existing hardware and/or software. </w:t>
      </w:r>
    </w:p>
    <w:p w14:paraId="370A4B36" w14:textId="77777777" w:rsidR="00462F59" w:rsidRPr="007A16CD" w:rsidRDefault="00462F59" w:rsidP="00F97B37">
      <w:pPr>
        <w:spacing w:after="0" w:line="240" w:lineRule="auto"/>
        <w:rPr>
          <w:rFonts w:ascii="Times New Roman" w:hAnsi="Times New Roman" w:cs="Times New Roman"/>
          <w:sz w:val="24"/>
          <w:szCs w:val="24"/>
        </w:rPr>
      </w:pPr>
    </w:p>
    <w:p w14:paraId="7319A2D4" w14:textId="232D64AC" w:rsidR="00E636D7" w:rsidRPr="007A16CD" w:rsidRDefault="0002434E"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All of the costs </w:t>
      </w:r>
      <w:r w:rsidR="00A76F30" w:rsidRPr="007A16CD">
        <w:rPr>
          <w:rFonts w:ascii="Times New Roman" w:hAnsi="Times New Roman" w:cs="Times New Roman"/>
          <w:sz w:val="24"/>
          <w:szCs w:val="24"/>
        </w:rPr>
        <w:t xml:space="preserve">resulting from Docket No. RD16-2 </w:t>
      </w:r>
      <w:r w:rsidR="00462F59" w:rsidRPr="007A16CD">
        <w:rPr>
          <w:rFonts w:ascii="Times New Roman" w:hAnsi="Times New Roman" w:cs="Times New Roman"/>
          <w:sz w:val="24"/>
          <w:szCs w:val="24"/>
        </w:rPr>
        <w:t>are associated with burden hours (labor) and described in #12 and 15.</w:t>
      </w:r>
    </w:p>
    <w:p w14:paraId="2BDF3360" w14:textId="77777777" w:rsidR="00462F59" w:rsidRPr="007A16CD" w:rsidRDefault="00462F59" w:rsidP="00F97B37">
      <w:pPr>
        <w:spacing w:after="0" w:line="240" w:lineRule="auto"/>
        <w:rPr>
          <w:rFonts w:ascii="Times New Roman" w:hAnsi="Times New Roman" w:cs="Times New Roman"/>
          <w:sz w:val="24"/>
          <w:szCs w:val="24"/>
        </w:rPr>
      </w:pPr>
    </w:p>
    <w:p w14:paraId="39889A6C" w14:textId="77777777" w:rsidR="00E636D7" w:rsidRPr="007A16CD" w:rsidRDefault="00A276F5"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ESTIMATED ANNUALIZED COST TO FEDERAL GOVERNMENT</w:t>
      </w:r>
    </w:p>
    <w:p w14:paraId="4899015E" w14:textId="77777777" w:rsidR="00A276F5" w:rsidRPr="007A16CD" w:rsidRDefault="00A276F5" w:rsidP="00F97B37">
      <w:pPr>
        <w:spacing w:after="0" w:line="240" w:lineRule="auto"/>
        <w:rPr>
          <w:rFonts w:ascii="Times New Roman" w:hAnsi="Times New Roman" w:cs="Times New Roman"/>
          <w:sz w:val="24"/>
          <w:szCs w:val="24"/>
        </w:rPr>
      </w:pPr>
    </w:p>
    <w:p w14:paraId="30FDB1CE" w14:textId="1C6F57B9" w:rsidR="00C61BCC" w:rsidRPr="007A16CD" w:rsidRDefault="00C61BCC" w:rsidP="00F97B37">
      <w:pPr>
        <w:spacing w:after="0" w:line="240" w:lineRule="auto"/>
        <w:rPr>
          <w:rFonts w:ascii="Times New Roman" w:eastAsia="Calibri" w:hAnsi="Times New Roman" w:cs="Times New Roman"/>
          <w:sz w:val="24"/>
          <w:szCs w:val="24"/>
        </w:rPr>
      </w:pPr>
      <w:r w:rsidRPr="007A16CD">
        <w:rPr>
          <w:rFonts w:ascii="Times New Roman" w:eastAsia="Calibri" w:hAnsi="Times New Roman" w:cs="Times New Roman"/>
          <w:sz w:val="24"/>
          <w:szCs w:val="24"/>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14:paraId="0F9B0873" w14:textId="77777777" w:rsidR="00C61BCC" w:rsidRPr="007A16CD" w:rsidRDefault="00C61BCC" w:rsidP="00F97B37">
      <w:pPr>
        <w:spacing w:after="0" w:line="240" w:lineRule="auto"/>
        <w:rPr>
          <w:rFonts w:ascii="Times New Roman" w:eastAsia="Times New Roman" w:hAnsi="Times New Roman" w:cs="Times New Roman"/>
          <w:sz w:val="24"/>
          <w:szCs w:val="24"/>
        </w:rPr>
      </w:pPr>
    </w:p>
    <w:p w14:paraId="324AEFF5" w14:textId="719D209D" w:rsidR="00EC1414" w:rsidRPr="007A16CD" w:rsidRDefault="00EC1414" w:rsidP="00F97B37">
      <w:pPr>
        <w:spacing w:after="0" w:line="240" w:lineRule="auto"/>
        <w:rPr>
          <w:rFonts w:ascii="Times New Roman" w:eastAsia="Times New Roman" w:hAnsi="Times New Roman" w:cs="Times New Roman"/>
          <w:sz w:val="24"/>
          <w:szCs w:val="24"/>
        </w:rPr>
      </w:pPr>
      <w:r w:rsidRPr="007A16CD">
        <w:rPr>
          <w:rFonts w:ascii="Times New Roman" w:eastAsia="Times New Roman" w:hAnsi="Times New Roman" w:cs="Times New Roman"/>
          <w:sz w:val="24"/>
          <w:szCs w:val="24"/>
        </w:rPr>
        <w:t>The estimated annualized cost to the F</w:t>
      </w:r>
      <w:r w:rsidR="002740DE" w:rsidRPr="007A16CD">
        <w:rPr>
          <w:rFonts w:ascii="Times New Roman" w:eastAsia="Times New Roman" w:hAnsi="Times New Roman" w:cs="Times New Roman"/>
          <w:sz w:val="24"/>
          <w:szCs w:val="24"/>
        </w:rPr>
        <w:t>ederal Government for FERC-725P1</w:t>
      </w:r>
      <w:r w:rsidRPr="007A16CD">
        <w:rPr>
          <w:rFonts w:ascii="Times New Roman" w:eastAsia="Times New Roman" w:hAnsi="Times New Roman" w:cs="Times New Roman"/>
          <w:sz w:val="24"/>
          <w:szCs w:val="24"/>
        </w:rPr>
        <w:t xml:space="preserve"> </w:t>
      </w:r>
      <w:r w:rsidR="003F5FA0" w:rsidRPr="007A16CD">
        <w:rPr>
          <w:rFonts w:ascii="Times New Roman" w:eastAsia="Times New Roman" w:hAnsi="Times New Roman" w:cs="Times New Roman"/>
          <w:sz w:val="24"/>
          <w:szCs w:val="24"/>
        </w:rPr>
        <w:t xml:space="preserve">and FERC-725P </w:t>
      </w:r>
      <w:r w:rsidRPr="007A16CD">
        <w:rPr>
          <w:rFonts w:ascii="Times New Roman" w:eastAsia="Times New Roman" w:hAnsi="Times New Roman" w:cs="Times New Roman"/>
          <w:sz w:val="24"/>
          <w:szCs w:val="24"/>
        </w:rPr>
        <w:t>as related to the requirements i</w:t>
      </w:r>
      <w:r w:rsidR="002740DE" w:rsidRPr="007A16CD">
        <w:rPr>
          <w:rFonts w:ascii="Times New Roman" w:eastAsia="Times New Roman" w:hAnsi="Times New Roman" w:cs="Times New Roman"/>
          <w:sz w:val="24"/>
          <w:szCs w:val="24"/>
        </w:rPr>
        <w:t xml:space="preserve">n the order in Docket No. </w:t>
      </w:r>
      <w:r w:rsidR="003F5FA0" w:rsidRPr="007A16CD">
        <w:rPr>
          <w:rFonts w:ascii="Times New Roman" w:eastAsia="Times New Roman" w:hAnsi="Times New Roman" w:cs="Times New Roman"/>
          <w:sz w:val="24"/>
          <w:szCs w:val="24"/>
        </w:rPr>
        <w:t>RD16-2</w:t>
      </w:r>
      <w:r w:rsidRPr="007A16CD">
        <w:rPr>
          <w:rFonts w:ascii="Times New Roman" w:eastAsia="Times New Roman" w:hAnsi="Times New Roman" w:cs="Times New Roman"/>
          <w:sz w:val="24"/>
          <w:szCs w:val="24"/>
        </w:rPr>
        <w:t>-000 follows:</w:t>
      </w:r>
    </w:p>
    <w:p w14:paraId="67762FB0" w14:textId="77777777" w:rsidR="00EC1414" w:rsidRPr="007A16CD" w:rsidRDefault="00EC1414" w:rsidP="00F97B37">
      <w:pPr>
        <w:spacing w:after="0" w:line="240" w:lineRule="auto"/>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C1414" w:rsidRPr="007A16CD" w14:paraId="1AFEF8B2" w14:textId="77777777" w:rsidTr="00FD336E">
        <w:tc>
          <w:tcPr>
            <w:tcW w:w="3182" w:type="dxa"/>
            <w:tcBorders>
              <w:top w:val="single" w:sz="4" w:space="0" w:color="auto"/>
              <w:left w:val="single" w:sz="4" w:space="0" w:color="auto"/>
              <w:bottom w:val="single" w:sz="4" w:space="0" w:color="auto"/>
              <w:right w:val="single" w:sz="4" w:space="0" w:color="auto"/>
            </w:tcBorders>
            <w:shd w:val="clear" w:color="auto" w:fill="CCCCCC"/>
          </w:tcPr>
          <w:p w14:paraId="671BB698" w14:textId="77777777" w:rsidR="00EC1414" w:rsidRPr="007A16CD" w:rsidRDefault="00EC1414" w:rsidP="00F97B37">
            <w:pPr>
              <w:spacing w:after="0" w:line="240" w:lineRule="auto"/>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tcPr>
          <w:p w14:paraId="2D38D397" w14:textId="77777777" w:rsidR="00EC1414" w:rsidRPr="007A16CD" w:rsidRDefault="00EC1414" w:rsidP="00F97B37">
            <w:p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Number of Federal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tcPr>
          <w:p w14:paraId="781A10AF" w14:textId="77777777" w:rsidR="00EC1414" w:rsidRPr="007A16CD" w:rsidRDefault="00EC1414" w:rsidP="00F97B37">
            <w:p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Estimated Annual Federal Cost</w:t>
            </w:r>
          </w:p>
        </w:tc>
      </w:tr>
      <w:tr w:rsidR="00EC1414" w:rsidRPr="007A16CD" w14:paraId="27E6DB3C" w14:textId="77777777" w:rsidTr="00FD336E">
        <w:tc>
          <w:tcPr>
            <w:tcW w:w="3182" w:type="dxa"/>
            <w:tcBorders>
              <w:top w:val="single" w:sz="4" w:space="0" w:color="auto"/>
              <w:left w:val="single" w:sz="4" w:space="0" w:color="auto"/>
              <w:bottom w:val="single" w:sz="4" w:space="0" w:color="auto"/>
              <w:right w:val="single" w:sz="4" w:space="0" w:color="auto"/>
            </w:tcBorders>
          </w:tcPr>
          <w:p w14:paraId="42978687" w14:textId="79321798"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4A10B5EB" w14:textId="77777777"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tcPr>
          <w:p w14:paraId="7E1FE025" w14:textId="77777777"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$0</w:t>
            </w:r>
          </w:p>
        </w:tc>
      </w:tr>
      <w:tr w:rsidR="00EC1414" w:rsidRPr="007A16CD" w14:paraId="3031D599" w14:textId="77777777" w:rsidTr="00FD336E">
        <w:tc>
          <w:tcPr>
            <w:tcW w:w="3182" w:type="dxa"/>
            <w:tcBorders>
              <w:top w:val="single" w:sz="4" w:space="0" w:color="auto"/>
              <w:left w:val="single" w:sz="4" w:space="0" w:color="auto"/>
              <w:bottom w:val="single" w:sz="4" w:space="0" w:color="auto"/>
              <w:right w:val="single" w:sz="4" w:space="0" w:color="auto"/>
            </w:tcBorders>
          </w:tcPr>
          <w:p w14:paraId="5E7566EF" w14:textId="77777777"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lastRenderedPageBreak/>
              <w:t>PRA</w:t>
            </w:r>
            <w:r w:rsidRPr="007A16CD">
              <w:rPr>
                <w:rFonts w:ascii="Times New Roman" w:hAnsi="Times New Roman" w:cs="Times New Roman"/>
                <w:sz w:val="24"/>
                <w:szCs w:val="24"/>
                <w:vertAlign w:val="superscript"/>
              </w:rPr>
              <w:footnoteReference w:id="22"/>
            </w:r>
            <w:r w:rsidRPr="007A16CD">
              <w:rPr>
                <w:rFonts w:ascii="Times New Roman" w:hAnsi="Times New Roman" w:cs="Times New Roman"/>
                <w:sz w:val="24"/>
                <w:szCs w:val="24"/>
              </w:rPr>
              <w:t xml:space="preserve"> Administrative Cost</w:t>
            </w:r>
            <w:r w:rsidRPr="007A16CD">
              <w:rPr>
                <w:rStyle w:val="FootnoteReference"/>
                <w:rFonts w:ascii="Times New Roman" w:hAnsi="Times New Roman" w:cs="Times New Roman"/>
                <w:sz w:val="24"/>
                <w:szCs w:val="24"/>
                <w:vertAlign w:val="superscript"/>
              </w:rPr>
              <w:footnoteReference w:id="23"/>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58FACC5E" w14:textId="77777777" w:rsidR="00EC1414" w:rsidRPr="007A16CD" w:rsidRDefault="00EC1414" w:rsidP="00F97B37">
            <w:pPr>
              <w:spacing w:after="0" w:line="240" w:lineRule="auto"/>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287F216B" w14:textId="77777777"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$5,193</w:t>
            </w:r>
          </w:p>
        </w:tc>
      </w:tr>
      <w:tr w:rsidR="00EC1414" w:rsidRPr="007A16CD" w14:paraId="6CFCB078" w14:textId="77777777" w:rsidTr="00FD336E">
        <w:tc>
          <w:tcPr>
            <w:tcW w:w="3182" w:type="dxa"/>
            <w:tcBorders>
              <w:top w:val="single" w:sz="4" w:space="0" w:color="auto"/>
              <w:left w:val="single" w:sz="4" w:space="0" w:color="auto"/>
              <w:bottom w:val="single" w:sz="4" w:space="0" w:color="auto"/>
              <w:right w:val="single" w:sz="4" w:space="0" w:color="auto"/>
            </w:tcBorders>
          </w:tcPr>
          <w:p w14:paraId="02DC0C41" w14:textId="77777777"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4ECEB988" w14:textId="77777777" w:rsidR="00EC1414" w:rsidRPr="007A16CD" w:rsidRDefault="00EC1414" w:rsidP="00F97B37">
            <w:pPr>
              <w:spacing w:after="0" w:line="240" w:lineRule="auto"/>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6BB07EC8" w14:textId="77777777"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$5,193</w:t>
            </w:r>
          </w:p>
        </w:tc>
      </w:tr>
    </w:tbl>
    <w:p w14:paraId="52E49934" w14:textId="778E2E00" w:rsidR="00A276F5" w:rsidRPr="007A16CD" w:rsidRDefault="00A276F5" w:rsidP="00F97B37">
      <w:pPr>
        <w:spacing w:after="0" w:line="240" w:lineRule="auto"/>
        <w:rPr>
          <w:rFonts w:ascii="Times New Roman" w:hAnsi="Times New Roman" w:cs="Times New Roman"/>
          <w:sz w:val="24"/>
          <w:szCs w:val="24"/>
        </w:rPr>
      </w:pPr>
    </w:p>
    <w:p w14:paraId="26D64DBD" w14:textId="77777777" w:rsidR="00A276F5" w:rsidRPr="007A16CD" w:rsidRDefault="00A276F5"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REASONS FOR CHANGES IN BURDEN INCLUDING THE NEED FOR ANY INCREASE</w:t>
      </w:r>
    </w:p>
    <w:p w14:paraId="06710A14" w14:textId="77777777" w:rsidR="00DB14A2" w:rsidRPr="007A16CD" w:rsidRDefault="00DB14A2" w:rsidP="00F97B37">
      <w:pPr>
        <w:spacing w:after="0" w:line="240" w:lineRule="auto"/>
        <w:rPr>
          <w:rFonts w:ascii="Times New Roman" w:hAnsi="Times New Roman" w:cs="Times New Roman"/>
          <w:sz w:val="24"/>
          <w:szCs w:val="24"/>
          <w:u w:val="single"/>
        </w:rPr>
      </w:pPr>
    </w:p>
    <w:p w14:paraId="265241F5" w14:textId="5968252B" w:rsidR="00C25BB7" w:rsidRPr="007A16CD" w:rsidRDefault="00C25BB7"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As stated in FERC’s Delegated Order [footnote omitted],</w:t>
      </w:r>
    </w:p>
    <w:p w14:paraId="636B5A6B" w14:textId="72036923" w:rsidR="00EC1414" w:rsidRPr="007A16CD" w:rsidRDefault="00C25BB7" w:rsidP="00206680">
      <w:pPr>
        <w:spacing w:after="0" w:line="240" w:lineRule="auto"/>
        <w:ind w:left="720"/>
        <w:rPr>
          <w:rFonts w:ascii="Times New Roman" w:hAnsi="Times New Roman" w:cs="Times New Roman"/>
          <w:sz w:val="24"/>
          <w:szCs w:val="24"/>
        </w:rPr>
      </w:pPr>
      <w:r w:rsidRPr="007A16CD">
        <w:rPr>
          <w:rFonts w:ascii="Times New Roman" w:hAnsi="Times New Roman" w:cs="Times New Roman"/>
          <w:sz w:val="24"/>
          <w:szCs w:val="24"/>
        </w:rPr>
        <w:t>“NERC maintains that this approach will simplify and streamline the implementation process, with only a slight delay in the compliance deadlines associated with the testing and maintenance requirements for newly-applicable systems.  NERC further maintains that this comprehensive approach will result in fewer errors, omissions, and misidentified devices when setting up maintenance programs, will decrease the potential for confusions and missed device testing when implementing the maintenance programs, and will promote the efficient use of both registered entity and ERO Enterprise resources.  Finally, NERC asserts that this approach will allow NERC additional time to conduct outreach and provide training on the revised protection system maintenance standard.”</w:t>
      </w:r>
    </w:p>
    <w:p w14:paraId="2606E81D" w14:textId="77777777" w:rsidR="00C25BB7" w:rsidRPr="007A16CD" w:rsidRDefault="00C25BB7" w:rsidP="00206680">
      <w:pPr>
        <w:spacing w:after="0" w:line="240" w:lineRule="auto"/>
        <w:ind w:left="720"/>
        <w:rPr>
          <w:rFonts w:ascii="Times New Roman" w:hAnsi="Times New Roman" w:cs="Times New Roman"/>
          <w:sz w:val="24"/>
          <w:szCs w:val="24"/>
        </w:rPr>
      </w:pPr>
    </w:p>
    <w:p w14:paraId="287897EF" w14:textId="676D063B" w:rsidR="00EC1414" w:rsidRPr="007A16CD" w:rsidRDefault="00EC1414"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 estimated revised totals after t</w:t>
      </w:r>
      <w:r w:rsidR="002740DE" w:rsidRPr="007A16CD">
        <w:rPr>
          <w:rFonts w:ascii="Times New Roman" w:hAnsi="Times New Roman" w:cs="Times New Roman"/>
          <w:sz w:val="24"/>
          <w:szCs w:val="24"/>
        </w:rPr>
        <w:t>he changes</w:t>
      </w:r>
      <w:r w:rsidR="00C25BB7" w:rsidRPr="007A16CD">
        <w:rPr>
          <w:rFonts w:ascii="Times New Roman" w:hAnsi="Times New Roman" w:cs="Times New Roman"/>
          <w:sz w:val="24"/>
          <w:szCs w:val="24"/>
        </w:rPr>
        <w:t xml:space="preserve"> </w:t>
      </w:r>
      <w:r w:rsidR="00F27D6C" w:rsidRPr="007A16CD">
        <w:rPr>
          <w:rFonts w:ascii="Times New Roman" w:hAnsi="Times New Roman" w:cs="Times New Roman"/>
          <w:sz w:val="24"/>
          <w:szCs w:val="24"/>
        </w:rPr>
        <w:t xml:space="preserve">in </w:t>
      </w:r>
      <w:r w:rsidR="004E713F" w:rsidRPr="007A16CD">
        <w:rPr>
          <w:rFonts w:ascii="Times New Roman" w:hAnsi="Times New Roman" w:cs="Times New Roman"/>
          <w:sz w:val="24"/>
          <w:szCs w:val="24"/>
        </w:rPr>
        <w:t xml:space="preserve">Docket No. </w:t>
      </w:r>
      <w:r w:rsidR="00F27D6C" w:rsidRPr="007A16CD">
        <w:rPr>
          <w:rFonts w:ascii="Times New Roman" w:hAnsi="Times New Roman" w:cs="Times New Roman"/>
          <w:sz w:val="24"/>
          <w:szCs w:val="24"/>
        </w:rPr>
        <w:t>RD16-2</w:t>
      </w:r>
      <w:r w:rsidRPr="007A16CD">
        <w:rPr>
          <w:rFonts w:ascii="Times New Roman" w:hAnsi="Times New Roman" w:cs="Times New Roman"/>
          <w:sz w:val="24"/>
          <w:szCs w:val="24"/>
        </w:rPr>
        <w:t>-000) follow</w:t>
      </w:r>
      <w:r w:rsidR="00F27D6C" w:rsidRPr="007A16CD">
        <w:rPr>
          <w:rFonts w:ascii="Times New Roman" w:hAnsi="Times New Roman" w:cs="Times New Roman"/>
          <w:sz w:val="24"/>
          <w:szCs w:val="24"/>
        </w:rPr>
        <w:t>.</w:t>
      </w:r>
    </w:p>
    <w:p w14:paraId="5ED68325" w14:textId="77777777" w:rsidR="0092596C" w:rsidRPr="007A16CD" w:rsidRDefault="0092596C" w:rsidP="00F97B37">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7A16CD" w14:paraId="203AEC17" w14:textId="77777777" w:rsidTr="0092596C">
        <w:trPr>
          <w:trHeight w:val="870"/>
        </w:trPr>
        <w:tc>
          <w:tcPr>
            <w:tcW w:w="2679" w:type="dxa"/>
            <w:shd w:val="clear" w:color="auto" w:fill="D9D9D9"/>
            <w:vAlign w:val="bottom"/>
          </w:tcPr>
          <w:p w14:paraId="667204BF" w14:textId="1397693B" w:rsidR="0092596C" w:rsidRPr="007A16CD" w:rsidRDefault="0092596C"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FERC-725</w:t>
            </w:r>
            <w:r w:rsidR="002740DE" w:rsidRPr="007A16CD">
              <w:rPr>
                <w:rFonts w:ascii="Times New Roman" w:hAnsi="Times New Roman" w:cs="Times New Roman"/>
                <w:b/>
                <w:sz w:val="24"/>
                <w:szCs w:val="24"/>
              </w:rPr>
              <w:t>P1</w:t>
            </w:r>
          </w:p>
        </w:tc>
        <w:tc>
          <w:tcPr>
            <w:tcW w:w="1461" w:type="dxa"/>
            <w:shd w:val="clear" w:color="auto" w:fill="D9D9D9"/>
            <w:vAlign w:val="bottom"/>
          </w:tcPr>
          <w:p w14:paraId="3F2CF937" w14:textId="77777777" w:rsidR="0092596C" w:rsidRPr="007A16CD" w:rsidRDefault="0092596C"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Total Request</w:t>
            </w:r>
          </w:p>
        </w:tc>
        <w:tc>
          <w:tcPr>
            <w:tcW w:w="1620" w:type="dxa"/>
            <w:shd w:val="clear" w:color="auto" w:fill="D9D9D9"/>
            <w:vAlign w:val="bottom"/>
          </w:tcPr>
          <w:p w14:paraId="3B61870D" w14:textId="77777777" w:rsidR="0092596C" w:rsidRPr="007A16CD" w:rsidRDefault="0092596C"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Previously Approved</w:t>
            </w:r>
          </w:p>
        </w:tc>
        <w:tc>
          <w:tcPr>
            <w:tcW w:w="1800" w:type="dxa"/>
            <w:shd w:val="clear" w:color="auto" w:fill="D9D9D9"/>
            <w:vAlign w:val="bottom"/>
          </w:tcPr>
          <w:p w14:paraId="2786CFEC" w14:textId="77777777" w:rsidR="0092596C" w:rsidRPr="007A16CD" w:rsidRDefault="0092596C"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Change due to Adjustment in Estimate</w:t>
            </w:r>
          </w:p>
        </w:tc>
        <w:tc>
          <w:tcPr>
            <w:tcW w:w="1800" w:type="dxa"/>
            <w:shd w:val="clear" w:color="auto" w:fill="D9D9D9"/>
            <w:vAlign w:val="bottom"/>
          </w:tcPr>
          <w:p w14:paraId="79E34E2C" w14:textId="77777777" w:rsidR="0092596C" w:rsidRPr="007A16CD" w:rsidRDefault="0092596C" w:rsidP="00F97B37">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Change Due to Agency Discretion</w:t>
            </w:r>
          </w:p>
        </w:tc>
      </w:tr>
      <w:tr w:rsidR="00BD6EEC" w:rsidRPr="007A16CD" w14:paraId="042C8985" w14:textId="77777777" w:rsidTr="0015371C">
        <w:trPr>
          <w:trHeight w:val="591"/>
        </w:trPr>
        <w:tc>
          <w:tcPr>
            <w:tcW w:w="2679" w:type="dxa"/>
            <w:vAlign w:val="bottom"/>
          </w:tcPr>
          <w:p w14:paraId="0F7FFCCF" w14:textId="77777777" w:rsidR="00BD6EEC" w:rsidRPr="007A16CD" w:rsidRDefault="00BD6EEC" w:rsidP="0015371C">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Annual Number of Responses</w:t>
            </w:r>
          </w:p>
        </w:tc>
        <w:tc>
          <w:tcPr>
            <w:tcW w:w="1461" w:type="dxa"/>
            <w:vAlign w:val="bottom"/>
          </w:tcPr>
          <w:p w14:paraId="3C124B7E" w14:textId="3BD070A1" w:rsidR="00BD6EEC" w:rsidRPr="007A16CD" w:rsidRDefault="00AA3757"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2,512</w:t>
            </w:r>
          </w:p>
        </w:tc>
        <w:tc>
          <w:tcPr>
            <w:tcW w:w="1620" w:type="dxa"/>
            <w:vAlign w:val="bottom"/>
          </w:tcPr>
          <w:p w14:paraId="24E706C1" w14:textId="5D89EE3A" w:rsidR="00BD6EEC" w:rsidRPr="007A16CD" w:rsidRDefault="00F27D6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1,287</w:t>
            </w:r>
          </w:p>
        </w:tc>
        <w:tc>
          <w:tcPr>
            <w:tcW w:w="1800" w:type="dxa"/>
            <w:vAlign w:val="bottom"/>
          </w:tcPr>
          <w:p w14:paraId="4DFAD5C1" w14:textId="3EC98F18" w:rsidR="00BD6EEC" w:rsidRPr="007A16CD" w:rsidRDefault="00314874"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800" w:type="dxa"/>
            <w:vAlign w:val="bottom"/>
          </w:tcPr>
          <w:p w14:paraId="2AE73D6F" w14:textId="72B41E98" w:rsidR="00BD6EEC" w:rsidRPr="007A16CD" w:rsidRDefault="0015371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+1,225</w:t>
            </w:r>
          </w:p>
        </w:tc>
      </w:tr>
      <w:tr w:rsidR="00BD6EEC" w:rsidRPr="007A16CD" w14:paraId="384A505A" w14:textId="77777777" w:rsidTr="0015371C">
        <w:trPr>
          <w:trHeight w:val="575"/>
        </w:trPr>
        <w:tc>
          <w:tcPr>
            <w:tcW w:w="2679" w:type="dxa"/>
            <w:vAlign w:val="bottom"/>
          </w:tcPr>
          <w:p w14:paraId="3BA45DA7" w14:textId="7864B14C" w:rsidR="00BD6EEC" w:rsidRPr="007A16CD" w:rsidRDefault="00BD6EEC" w:rsidP="0015371C">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Annual Time Burden (Hr</w:t>
            </w:r>
            <w:r w:rsidR="0015371C" w:rsidRPr="007A16CD">
              <w:rPr>
                <w:rFonts w:ascii="Times New Roman" w:hAnsi="Times New Roman" w:cs="Times New Roman"/>
                <w:sz w:val="24"/>
                <w:szCs w:val="24"/>
              </w:rPr>
              <w:t>.</w:t>
            </w:r>
            <w:r w:rsidRPr="007A16CD">
              <w:rPr>
                <w:rFonts w:ascii="Times New Roman" w:hAnsi="Times New Roman" w:cs="Times New Roman"/>
                <w:sz w:val="24"/>
                <w:szCs w:val="24"/>
              </w:rPr>
              <w:t>)</w:t>
            </w:r>
          </w:p>
        </w:tc>
        <w:tc>
          <w:tcPr>
            <w:tcW w:w="1461" w:type="dxa"/>
            <w:vAlign w:val="bottom"/>
          </w:tcPr>
          <w:p w14:paraId="10EE7478" w14:textId="77777777" w:rsidR="00BD6EEC" w:rsidRPr="007A16CD" w:rsidRDefault="00BD6EEC" w:rsidP="0015371C">
            <w:pPr>
              <w:spacing w:after="0" w:line="240" w:lineRule="auto"/>
              <w:jc w:val="right"/>
              <w:rPr>
                <w:rFonts w:ascii="Times New Roman" w:hAnsi="Times New Roman" w:cs="Times New Roman"/>
                <w:sz w:val="24"/>
                <w:szCs w:val="24"/>
              </w:rPr>
            </w:pPr>
          </w:p>
          <w:p w14:paraId="2BA99B32" w14:textId="467DA77B" w:rsidR="00206680" w:rsidRPr="007A16CD" w:rsidRDefault="00AA3757" w:rsidP="00AA3757">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14,628</w:t>
            </w:r>
          </w:p>
        </w:tc>
        <w:tc>
          <w:tcPr>
            <w:tcW w:w="1620" w:type="dxa"/>
            <w:vAlign w:val="bottom"/>
          </w:tcPr>
          <w:p w14:paraId="24B3AA9A" w14:textId="3A67EFE0" w:rsidR="00BD6EEC" w:rsidRPr="007A16CD" w:rsidRDefault="00F27D6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10,296</w:t>
            </w:r>
          </w:p>
        </w:tc>
        <w:tc>
          <w:tcPr>
            <w:tcW w:w="1800" w:type="dxa"/>
            <w:vAlign w:val="bottom"/>
          </w:tcPr>
          <w:p w14:paraId="1BA49CD4" w14:textId="58B64F1B" w:rsidR="00BD6EEC" w:rsidRPr="007A16CD" w:rsidRDefault="00314874"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800" w:type="dxa"/>
            <w:vAlign w:val="bottom"/>
          </w:tcPr>
          <w:p w14:paraId="1521446A" w14:textId="4FFD2ED4" w:rsidR="00BD6EEC" w:rsidRPr="007A16CD" w:rsidRDefault="0015371C" w:rsidP="0015371C">
            <w:pPr>
              <w:spacing w:after="0" w:line="240" w:lineRule="auto"/>
              <w:jc w:val="right"/>
              <w:rPr>
                <w:rFonts w:ascii="Times New Roman" w:hAnsi="Times New Roman" w:cs="Times New Roman"/>
                <w:sz w:val="24"/>
                <w:szCs w:val="24"/>
                <w:highlight w:val="yellow"/>
              </w:rPr>
            </w:pPr>
            <w:r w:rsidRPr="007A16CD">
              <w:rPr>
                <w:rFonts w:ascii="Times New Roman" w:hAnsi="Times New Roman" w:cs="Times New Roman"/>
                <w:sz w:val="24"/>
                <w:szCs w:val="24"/>
              </w:rPr>
              <w:t>+4,332</w:t>
            </w:r>
          </w:p>
        </w:tc>
      </w:tr>
      <w:tr w:rsidR="0092596C" w:rsidRPr="007A16CD" w14:paraId="2500CEFC" w14:textId="77777777" w:rsidTr="0015371C">
        <w:trPr>
          <w:trHeight w:val="295"/>
        </w:trPr>
        <w:tc>
          <w:tcPr>
            <w:tcW w:w="2679" w:type="dxa"/>
            <w:vAlign w:val="bottom"/>
          </w:tcPr>
          <w:p w14:paraId="15F96F3B" w14:textId="77777777" w:rsidR="0092596C" w:rsidRPr="007A16CD" w:rsidRDefault="0092596C" w:rsidP="0015371C">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Annual Cost Burden ($)</w:t>
            </w:r>
          </w:p>
        </w:tc>
        <w:tc>
          <w:tcPr>
            <w:tcW w:w="1461" w:type="dxa"/>
            <w:vAlign w:val="bottom"/>
          </w:tcPr>
          <w:p w14:paraId="1D2CD871" w14:textId="4B2A0CFE" w:rsidR="0092596C" w:rsidRPr="007A16CD" w:rsidRDefault="00BD6EE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620" w:type="dxa"/>
            <w:vAlign w:val="bottom"/>
          </w:tcPr>
          <w:p w14:paraId="5C782EC1" w14:textId="27415A6B" w:rsidR="0092596C" w:rsidRPr="007A16CD" w:rsidRDefault="00BD6EE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800" w:type="dxa"/>
            <w:vAlign w:val="bottom"/>
          </w:tcPr>
          <w:p w14:paraId="09A69BCD" w14:textId="1136952A" w:rsidR="0092596C" w:rsidRPr="007A16CD" w:rsidRDefault="00BD6EE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800" w:type="dxa"/>
            <w:vAlign w:val="bottom"/>
          </w:tcPr>
          <w:p w14:paraId="57B3BA59" w14:textId="76051B03" w:rsidR="0092596C" w:rsidRPr="007A16CD" w:rsidRDefault="00BD6EE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r>
    </w:tbl>
    <w:p w14:paraId="2B116D8B" w14:textId="77777777" w:rsidR="0092596C" w:rsidRPr="007A16CD" w:rsidRDefault="0092596C" w:rsidP="00F97B37">
      <w:pPr>
        <w:spacing w:after="0" w:line="240" w:lineRule="auto"/>
        <w:rPr>
          <w:rFonts w:ascii="Times New Roman" w:hAnsi="Times New Roman" w:cs="Times New Roman"/>
          <w:sz w:val="24"/>
          <w:szCs w:val="24"/>
        </w:rPr>
      </w:pPr>
    </w:p>
    <w:p w14:paraId="5D9FB529" w14:textId="08C29638" w:rsidR="0015371C" w:rsidRPr="007A16CD" w:rsidRDefault="0015371C" w:rsidP="00F97B37">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15371C" w:rsidRPr="007A16CD" w14:paraId="45005320" w14:textId="77777777" w:rsidTr="00053320">
        <w:trPr>
          <w:trHeight w:val="870"/>
        </w:trPr>
        <w:tc>
          <w:tcPr>
            <w:tcW w:w="2679" w:type="dxa"/>
            <w:shd w:val="clear" w:color="auto" w:fill="D9D9D9"/>
            <w:vAlign w:val="bottom"/>
          </w:tcPr>
          <w:p w14:paraId="7950145C" w14:textId="23B6C9EE" w:rsidR="0015371C" w:rsidRPr="007A16CD" w:rsidRDefault="0015371C" w:rsidP="0015371C">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FERC-725P</w:t>
            </w:r>
          </w:p>
        </w:tc>
        <w:tc>
          <w:tcPr>
            <w:tcW w:w="1461" w:type="dxa"/>
            <w:shd w:val="clear" w:color="auto" w:fill="D9D9D9"/>
            <w:vAlign w:val="bottom"/>
          </w:tcPr>
          <w:p w14:paraId="102A0948" w14:textId="77777777" w:rsidR="0015371C" w:rsidRPr="007A16CD" w:rsidRDefault="0015371C" w:rsidP="0015371C">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Total Request</w:t>
            </w:r>
          </w:p>
        </w:tc>
        <w:tc>
          <w:tcPr>
            <w:tcW w:w="1620" w:type="dxa"/>
            <w:shd w:val="clear" w:color="auto" w:fill="D9D9D9"/>
            <w:vAlign w:val="bottom"/>
          </w:tcPr>
          <w:p w14:paraId="37B2CC60" w14:textId="77777777" w:rsidR="0015371C" w:rsidRPr="007A16CD" w:rsidRDefault="0015371C" w:rsidP="0015371C">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Previously Approved</w:t>
            </w:r>
          </w:p>
        </w:tc>
        <w:tc>
          <w:tcPr>
            <w:tcW w:w="1800" w:type="dxa"/>
            <w:shd w:val="clear" w:color="auto" w:fill="D9D9D9"/>
            <w:vAlign w:val="bottom"/>
          </w:tcPr>
          <w:p w14:paraId="615741B6" w14:textId="77777777" w:rsidR="0015371C" w:rsidRPr="007A16CD" w:rsidRDefault="0015371C" w:rsidP="0015371C">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Change due to Adjustment in Estimate</w:t>
            </w:r>
          </w:p>
        </w:tc>
        <w:tc>
          <w:tcPr>
            <w:tcW w:w="1800" w:type="dxa"/>
            <w:shd w:val="clear" w:color="auto" w:fill="D9D9D9"/>
            <w:vAlign w:val="bottom"/>
          </w:tcPr>
          <w:p w14:paraId="6B80BDDA" w14:textId="77777777" w:rsidR="0015371C" w:rsidRPr="007A16CD" w:rsidRDefault="0015371C" w:rsidP="0015371C">
            <w:pPr>
              <w:spacing w:after="0" w:line="240" w:lineRule="auto"/>
              <w:jc w:val="center"/>
              <w:rPr>
                <w:rFonts w:ascii="Times New Roman" w:hAnsi="Times New Roman" w:cs="Times New Roman"/>
                <w:b/>
                <w:sz w:val="24"/>
                <w:szCs w:val="24"/>
              </w:rPr>
            </w:pPr>
            <w:r w:rsidRPr="007A16CD">
              <w:rPr>
                <w:rFonts w:ascii="Times New Roman" w:hAnsi="Times New Roman" w:cs="Times New Roman"/>
                <w:b/>
                <w:sz w:val="24"/>
                <w:szCs w:val="24"/>
              </w:rPr>
              <w:t>Change Due to Agency Discretion</w:t>
            </w:r>
          </w:p>
        </w:tc>
      </w:tr>
      <w:tr w:rsidR="0015371C" w:rsidRPr="007A16CD" w14:paraId="220B63A8" w14:textId="77777777" w:rsidTr="0015371C">
        <w:trPr>
          <w:trHeight w:val="591"/>
        </w:trPr>
        <w:tc>
          <w:tcPr>
            <w:tcW w:w="2679" w:type="dxa"/>
            <w:vAlign w:val="bottom"/>
          </w:tcPr>
          <w:p w14:paraId="3881C0ED" w14:textId="77777777" w:rsidR="0015371C" w:rsidRPr="007A16CD" w:rsidRDefault="0015371C" w:rsidP="0015371C">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Annual Number of Responses</w:t>
            </w:r>
          </w:p>
        </w:tc>
        <w:tc>
          <w:tcPr>
            <w:tcW w:w="1461" w:type="dxa"/>
            <w:vAlign w:val="bottom"/>
          </w:tcPr>
          <w:p w14:paraId="64D316D1" w14:textId="5D8EEF1A" w:rsidR="0015371C" w:rsidRPr="007A16CD" w:rsidRDefault="00AA3757"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620" w:type="dxa"/>
            <w:vAlign w:val="bottom"/>
          </w:tcPr>
          <w:p w14:paraId="111F3E26" w14:textId="4F7794FB" w:rsidR="0015371C" w:rsidRPr="007A16CD" w:rsidRDefault="00AA3757"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1,225</w:t>
            </w:r>
          </w:p>
        </w:tc>
        <w:tc>
          <w:tcPr>
            <w:tcW w:w="1800" w:type="dxa"/>
            <w:vAlign w:val="bottom"/>
          </w:tcPr>
          <w:p w14:paraId="769FF2B2" w14:textId="205941C1" w:rsidR="0015371C" w:rsidRPr="007A16CD" w:rsidRDefault="0015371C" w:rsidP="0015371C">
            <w:pPr>
              <w:spacing w:after="0" w:line="240" w:lineRule="auto"/>
              <w:jc w:val="right"/>
              <w:rPr>
                <w:rFonts w:ascii="Times New Roman" w:hAnsi="Times New Roman" w:cs="Times New Roman"/>
                <w:sz w:val="24"/>
                <w:szCs w:val="24"/>
              </w:rPr>
            </w:pPr>
          </w:p>
        </w:tc>
        <w:tc>
          <w:tcPr>
            <w:tcW w:w="1800" w:type="dxa"/>
            <w:vAlign w:val="bottom"/>
          </w:tcPr>
          <w:p w14:paraId="712E8E06" w14:textId="3D154482" w:rsidR="0015371C" w:rsidRPr="007A16CD" w:rsidRDefault="0015371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-1,225</w:t>
            </w:r>
          </w:p>
        </w:tc>
      </w:tr>
      <w:tr w:rsidR="0015371C" w:rsidRPr="007A16CD" w14:paraId="2A925DD4" w14:textId="77777777" w:rsidTr="0015371C">
        <w:trPr>
          <w:trHeight w:val="575"/>
        </w:trPr>
        <w:tc>
          <w:tcPr>
            <w:tcW w:w="2679" w:type="dxa"/>
            <w:vAlign w:val="bottom"/>
          </w:tcPr>
          <w:p w14:paraId="29FAF807" w14:textId="1857B919" w:rsidR="0015371C" w:rsidRPr="007A16CD" w:rsidRDefault="0015371C" w:rsidP="0015371C">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Annual Time Burden (Hr.)</w:t>
            </w:r>
          </w:p>
        </w:tc>
        <w:tc>
          <w:tcPr>
            <w:tcW w:w="1461" w:type="dxa"/>
            <w:vAlign w:val="bottom"/>
          </w:tcPr>
          <w:p w14:paraId="1C09EFC6" w14:textId="399B4789" w:rsidR="0015371C" w:rsidRPr="007A16CD" w:rsidRDefault="00AA3757"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620" w:type="dxa"/>
            <w:vAlign w:val="bottom"/>
          </w:tcPr>
          <w:p w14:paraId="4440407E" w14:textId="15143142" w:rsidR="0015371C" w:rsidRPr="007A16CD" w:rsidRDefault="00AA3757"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4,178</w:t>
            </w:r>
          </w:p>
        </w:tc>
        <w:tc>
          <w:tcPr>
            <w:tcW w:w="1800" w:type="dxa"/>
            <w:vAlign w:val="bottom"/>
          </w:tcPr>
          <w:p w14:paraId="6FF6F923" w14:textId="0948031A" w:rsidR="0015371C" w:rsidRPr="007A16CD" w:rsidRDefault="0015371C" w:rsidP="0015371C">
            <w:pPr>
              <w:spacing w:after="0" w:line="240" w:lineRule="auto"/>
              <w:jc w:val="right"/>
              <w:rPr>
                <w:rFonts w:ascii="Times New Roman" w:hAnsi="Times New Roman" w:cs="Times New Roman"/>
                <w:sz w:val="24"/>
                <w:szCs w:val="24"/>
              </w:rPr>
            </w:pPr>
          </w:p>
        </w:tc>
        <w:tc>
          <w:tcPr>
            <w:tcW w:w="1800" w:type="dxa"/>
            <w:vAlign w:val="bottom"/>
          </w:tcPr>
          <w:p w14:paraId="70C0ABF9" w14:textId="390FAC9F" w:rsidR="0015371C" w:rsidRPr="007A16CD" w:rsidRDefault="0015371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-4,178</w:t>
            </w:r>
          </w:p>
        </w:tc>
      </w:tr>
      <w:tr w:rsidR="0015371C" w:rsidRPr="007A16CD" w14:paraId="470847C9" w14:textId="77777777" w:rsidTr="0015371C">
        <w:trPr>
          <w:trHeight w:val="295"/>
        </w:trPr>
        <w:tc>
          <w:tcPr>
            <w:tcW w:w="2679" w:type="dxa"/>
            <w:vAlign w:val="bottom"/>
          </w:tcPr>
          <w:p w14:paraId="4C2656EC" w14:textId="77777777" w:rsidR="0015371C" w:rsidRPr="007A16CD" w:rsidRDefault="0015371C" w:rsidP="0015371C">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Annual Cost Burden ($)</w:t>
            </w:r>
          </w:p>
        </w:tc>
        <w:tc>
          <w:tcPr>
            <w:tcW w:w="1461" w:type="dxa"/>
            <w:vAlign w:val="bottom"/>
          </w:tcPr>
          <w:p w14:paraId="75E16B75" w14:textId="77777777" w:rsidR="0015371C" w:rsidRPr="007A16CD" w:rsidRDefault="0015371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620" w:type="dxa"/>
            <w:vAlign w:val="bottom"/>
          </w:tcPr>
          <w:p w14:paraId="63E44B88" w14:textId="77777777" w:rsidR="0015371C" w:rsidRPr="007A16CD" w:rsidRDefault="0015371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800" w:type="dxa"/>
            <w:vAlign w:val="bottom"/>
          </w:tcPr>
          <w:p w14:paraId="48328D21" w14:textId="77777777" w:rsidR="0015371C" w:rsidRPr="007A16CD" w:rsidRDefault="0015371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c>
          <w:tcPr>
            <w:tcW w:w="1800" w:type="dxa"/>
            <w:vAlign w:val="bottom"/>
          </w:tcPr>
          <w:p w14:paraId="565CF3F8" w14:textId="77777777" w:rsidR="0015371C" w:rsidRPr="007A16CD" w:rsidRDefault="0015371C" w:rsidP="0015371C">
            <w:pPr>
              <w:spacing w:after="0" w:line="240" w:lineRule="auto"/>
              <w:jc w:val="right"/>
              <w:rPr>
                <w:rFonts w:ascii="Times New Roman" w:hAnsi="Times New Roman" w:cs="Times New Roman"/>
                <w:sz w:val="24"/>
                <w:szCs w:val="24"/>
              </w:rPr>
            </w:pPr>
            <w:r w:rsidRPr="007A16CD">
              <w:rPr>
                <w:rFonts w:ascii="Times New Roman" w:hAnsi="Times New Roman" w:cs="Times New Roman"/>
                <w:sz w:val="24"/>
                <w:szCs w:val="24"/>
              </w:rPr>
              <w:t>0</w:t>
            </w:r>
          </w:p>
        </w:tc>
      </w:tr>
    </w:tbl>
    <w:p w14:paraId="391F4767" w14:textId="77777777" w:rsidR="00026358" w:rsidRPr="007A16CD" w:rsidRDefault="00026358" w:rsidP="00F97B37">
      <w:pPr>
        <w:spacing w:after="0" w:line="240" w:lineRule="auto"/>
        <w:rPr>
          <w:rFonts w:ascii="Times New Roman" w:hAnsi="Times New Roman" w:cs="Times New Roman"/>
          <w:i/>
          <w:sz w:val="24"/>
          <w:szCs w:val="24"/>
          <w:highlight w:val="lightGray"/>
        </w:rPr>
      </w:pPr>
    </w:p>
    <w:p w14:paraId="53140B14" w14:textId="4FADD654" w:rsidR="00AA3757" w:rsidRPr="007A16CD" w:rsidRDefault="00AA3757" w:rsidP="00F97B37">
      <w:pPr>
        <w:spacing w:after="0" w:line="240" w:lineRule="auto"/>
        <w:rPr>
          <w:rFonts w:ascii="Times New Roman" w:hAnsi="Times New Roman" w:cs="Times New Roman"/>
          <w:i/>
          <w:sz w:val="24"/>
          <w:szCs w:val="24"/>
        </w:rPr>
      </w:pPr>
      <w:r w:rsidRPr="007A16CD">
        <w:rPr>
          <w:rFonts w:ascii="Times New Roman" w:hAnsi="Times New Roman" w:cs="Times New Roman"/>
          <w:i/>
          <w:sz w:val="24"/>
          <w:szCs w:val="24"/>
          <w:highlight w:val="lightGray"/>
        </w:rPr>
        <w:t xml:space="preserve">Note </w:t>
      </w:r>
      <w:r w:rsidR="00026358" w:rsidRPr="007A16CD">
        <w:rPr>
          <w:rFonts w:ascii="Times New Roman" w:hAnsi="Times New Roman" w:cs="Times New Roman"/>
          <w:i/>
          <w:sz w:val="24"/>
          <w:szCs w:val="24"/>
          <w:highlight w:val="lightGray"/>
        </w:rPr>
        <w:t xml:space="preserve">that if approved by OMB </w:t>
      </w:r>
      <w:r w:rsidRPr="007A16CD">
        <w:rPr>
          <w:rFonts w:ascii="Times New Roman" w:hAnsi="Times New Roman" w:cs="Times New Roman"/>
          <w:i/>
          <w:sz w:val="24"/>
          <w:szCs w:val="24"/>
          <w:highlight w:val="lightGray"/>
        </w:rPr>
        <w:t xml:space="preserve">the FERC-725P (a temporary </w:t>
      </w:r>
      <w:r w:rsidR="004016A5" w:rsidRPr="007A16CD">
        <w:rPr>
          <w:rFonts w:ascii="Times New Roman" w:hAnsi="Times New Roman" w:cs="Times New Roman"/>
          <w:i/>
          <w:sz w:val="24"/>
          <w:szCs w:val="24"/>
          <w:highlight w:val="lightGray"/>
        </w:rPr>
        <w:t xml:space="preserve">information </w:t>
      </w:r>
      <w:r w:rsidRPr="007A16CD">
        <w:rPr>
          <w:rFonts w:ascii="Times New Roman" w:hAnsi="Times New Roman" w:cs="Times New Roman"/>
          <w:i/>
          <w:sz w:val="24"/>
          <w:szCs w:val="24"/>
          <w:highlight w:val="lightGray"/>
        </w:rPr>
        <w:t>collection number) will have a 0 burden and will be eliminated by this action and the changes in Docket RD16-2.</w:t>
      </w:r>
      <w:r w:rsidR="004016A5" w:rsidRPr="007A16CD">
        <w:rPr>
          <w:rFonts w:ascii="Times New Roman" w:hAnsi="Times New Roman" w:cs="Times New Roman"/>
          <w:i/>
          <w:sz w:val="24"/>
          <w:szCs w:val="24"/>
          <w:highlight w:val="lightGray"/>
        </w:rPr>
        <w:t xml:space="preserve">  </w:t>
      </w:r>
    </w:p>
    <w:p w14:paraId="6999BFB1" w14:textId="77777777" w:rsidR="00AA3757" w:rsidRPr="007A16CD" w:rsidRDefault="00AA3757" w:rsidP="00F97B37">
      <w:pPr>
        <w:spacing w:after="0" w:line="240" w:lineRule="auto"/>
        <w:rPr>
          <w:rFonts w:ascii="Times New Roman" w:hAnsi="Times New Roman" w:cs="Times New Roman"/>
          <w:sz w:val="24"/>
          <w:szCs w:val="24"/>
        </w:rPr>
      </w:pPr>
    </w:p>
    <w:p w14:paraId="7520F921" w14:textId="77777777" w:rsidR="00A276F5" w:rsidRPr="007A16CD" w:rsidRDefault="00414F32"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TIME SCHEDULE FOR PUBLICATION OF DATA</w:t>
      </w:r>
    </w:p>
    <w:p w14:paraId="0D0264B9" w14:textId="77777777" w:rsidR="00826750" w:rsidRPr="007A16CD" w:rsidRDefault="00826750" w:rsidP="00F97B37">
      <w:pPr>
        <w:spacing w:after="0" w:line="240" w:lineRule="auto"/>
        <w:rPr>
          <w:rFonts w:ascii="Times New Roman" w:hAnsi="Times New Roman" w:cs="Times New Roman"/>
          <w:sz w:val="24"/>
          <w:szCs w:val="24"/>
        </w:rPr>
      </w:pPr>
    </w:p>
    <w:p w14:paraId="2FDEB8BE" w14:textId="77777777" w:rsidR="00414F32" w:rsidRPr="007A16CD" w:rsidRDefault="00826750"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There are no data publications as part of this collection</w:t>
      </w:r>
    </w:p>
    <w:p w14:paraId="0E6218F5" w14:textId="77777777" w:rsidR="00414F32" w:rsidRPr="007A16CD" w:rsidRDefault="00414F32" w:rsidP="00F97B37">
      <w:pPr>
        <w:spacing w:after="0" w:line="240" w:lineRule="auto"/>
        <w:rPr>
          <w:rFonts w:ascii="Times New Roman" w:hAnsi="Times New Roman" w:cs="Times New Roman"/>
          <w:sz w:val="24"/>
          <w:szCs w:val="24"/>
        </w:rPr>
      </w:pPr>
    </w:p>
    <w:p w14:paraId="646430DD" w14:textId="77777777" w:rsidR="00414F32" w:rsidRPr="007A16CD" w:rsidRDefault="00414F32"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DISPLAY OF EXPIRATION DATE</w:t>
      </w:r>
    </w:p>
    <w:p w14:paraId="72B38186" w14:textId="77777777" w:rsidR="00414F32" w:rsidRPr="007A16CD" w:rsidRDefault="00414F32" w:rsidP="00F97B37">
      <w:pPr>
        <w:spacing w:after="0" w:line="240" w:lineRule="auto"/>
        <w:rPr>
          <w:rFonts w:ascii="Times New Roman" w:hAnsi="Times New Roman" w:cs="Times New Roman"/>
          <w:sz w:val="24"/>
          <w:szCs w:val="24"/>
        </w:rPr>
      </w:pPr>
    </w:p>
    <w:p w14:paraId="2FAF2703" w14:textId="6711E45E" w:rsidR="00414F32" w:rsidRPr="007A16CD" w:rsidRDefault="00C61BCC" w:rsidP="00F97B37">
      <w:pPr>
        <w:spacing w:after="0" w:line="240" w:lineRule="auto"/>
        <w:rPr>
          <w:rFonts w:ascii="Times New Roman" w:hAnsi="Times New Roman" w:cs="Times New Roman"/>
          <w:sz w:val="24"/>
          <w:szCs w:val="24"/>
        </w:rPr>
      </w:pPr>
      <w:r w:rsidRPr="007A16CD">
        <w:rPr>
          <w:rFonts w:ascii="Times New Roman" w:hAnsi="Times New Roman" w:cs="Times New Roman"/>
          <w:sz w:val="24"/>
          <w:szCs w:val="24"/>
        </w:rPr>
        <w:t xml:space="preserve">The expiration date is displayed in a table posted on ferc.gov at </w:t>
      </w:r>
      <w:hyperlink r:id="rId13" w:history="1">
        <w:r w:rsidRPr="007A16CD">
          <w:rPr>
            <w:rStyle w:val="Hyperlink"/>
            <w:rFonts w:ascii="Times New Roman" w:hAnsi="Times New Roman"/>
            <w:sz w:val="24"/>
            <w:szCs w:val="24"/>
          </w:rPr>
          <w:t>http://www.ferc.gov/docs-filing/info-collections.asp</w:t>
        </w:r>
      </w:hyperlink>
      <w:r w:rsidRPr="007A16CD">
        <w:rPr>
          <w:rFonts w:ascii="Times New Roman" w:hAnsi="Times New Roman" w:cs="Times New Roman"/>
          <w:sz w:val="24"/>
          <w:szCs w:val="24"/>
        </w:rPr>
        <w:t>.</w:t>
      </w:r>
    </w:p>
    <w:p w14:paraId="54D67751" w14:textId="77777777" w:rsidR="00C61BCC" w:rsidRPr="007A16CD" w:rsidRDefault="00C61BCC" w:rsidP="00F97B37">
      <w:pPr>
        <w:spacing w:after="0" w:line="240" w:lineRule="auto"/>
        <w:rPr>
          <w:rFonts w:ascii="Times New Roman" w:hAnsi="Times New Roman" w:cs="Times New Roman"/>
          <w:sz w:val="24"/>
          <w:szCs w:val="24"/>
        </w:rPr>
      </w:pPr>
    </w:p>
    <w:p w14:paraId="6D7858E8" w14:textId="77777777" w:rsidR="00414F32" w:rsidRPr="007A16CD" w:rsidRDefault="00414F32" w:rsidP="00F97B37">
      <w:pPr>
        <w:pStyle w:val="ListParagraph"/>
        <w:numPr>
          <w:ilvl w:val="0"/>
          <w:numId w:val="28"/>
        </w:numPr>
        <w:spacing w:after="0" w:line="240" w:lineRule="auto"/>
        <w:rPr>
          <w:rFonts w:ascii="Times New Roman" w:hAnsi="Times New Roman" w:cs="Times New Roman"/>
          <w:b/>
          <w:sz w:val="24"/>
          <w:szCs w:val="24"/>
        </w:rPr>
      </w:pPr>
      <w:r w:rsidRPr="007A16CD">
        <w:rPr>
          <w:rFonts w:ascii="Times New Roman" w:hAnsi="Times New Roman" w:cs="Times New Roman"/>
          <w:b/>
          <w:sz w:val="24"/>
          <w:szCs w:val="24"/>
        </w:rPr>
        <w:t>EXCEPTIONS TO THE CERTIFICATION STATEMENT</w:t>
      </w:r>
    </w:p>
    <w:p w14:paraId="3CF7ACAD" w14:textId="77777777" w:rsidR="0057700F" w:rsidRPr="007A16CD" w:rsidRDefault="0057700F" w:rsidP="00F97B37">
      <w:pPr>
        <w:spacing w:after="0" w:line="240" w:lineRule="auto"/>
        <w:rPr>
          <w:rFonts w:ascii="Times New Roman" w:hAnsi="Times New Roman" w:cs="Times New Roman"/>
          <w:b/>
          <w:sz w:val="24"/>
          <w:szCs w:val="24"/>
        </w:rPr>
      </w:pPr>
    </w:p>
    <w:p w14:paraId="04A82E03" w14:textId="3DC05FE8" w:rsidR="00B16372" w:rsidRPr="007A16CD" w:rsidRDefault="003D6C94" w:rsidP="00F97B37">
      <w:pPr>
        <w:spacing w:after="0" w:line="240" w:lineRule="auto"/>
        <w:rPr>
          <w:rFonts w:ascii="Times New Roman" w:hAnsi="Times New Roman" w:cs="Times New Roman"/>
          <w:b/>
          <w:sz w:val="24"/>
          <w:szCs w:val="24"/>
        </w:rPr>
      </w:pPr>
      <w:r w:rsidRPr="007A16CD">
        <w:rPr>
          <w:rFonts w:ascii="Times New Roman" w:eastAsia="Calibri" w:hAnsi="Times New Roman" w:cs="Times New Roman"/>
          <w:sz w:val="24"/>
          <w:szCs w:val="24"/>
        </w:rPr>
        <w:t>There are no exceptions.</w:t>
      </w:r>
    </w:p>
    <w:p w14:paraId="560027F4" w14:textId="37FAFF89" w:rsidR="00AD7B67" w:rsidRPr="00336D71" w:rsidRDefault="00AD7B67" w:rsidP="00F97B37">
      <w:pPr>
        <w:spacing w:line="240" w:lineRule="auto"/>
        <w:rPr>
          <w:rFonts w:ascii="Times New Roman" w:hAnsi="Times New Roman" w:cs="Times New Roman"/>
          <w:sz w:val="24"/>
          <w:szCs w:val="24"/>
        </w:rPr>
      </w:pPr>
    </w:p>
    <w:sectPr w:rsidR="00AD7B67" w:rsidRPr="00336D71" w:rsidSect="00541C4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3B516" w14:textId="77777777" w:rsidR="00FD336E" w:rsidRDefault="00FD336E" w:rsidP="00FD66F1">
      <w:pPr>
        <w:spacing w:after="0" w:line="240" w:lineRule="auto"/>
      </w:pPr>
      <w:r>
        <w:separator/>
      </w:r>
    </w:p>
  </w:endnote>
  <w:endnote w:type="continuationSeparator" w:id="0">
    <w:p w14:paraId="0DE063F1" w14:textId="77777777" w:rsidR="00FD336E" w:rsidRDefault="00FD336E"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27B8E56E" w14:textId="77777777" w:rsidR="00FD336E" w:rsidRPr="009C3453" w:rsidRDefault="00FD336E">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91050C">
          <w:rPr>
            <w:rFonts w:ascii="Times New Roman" w:hAnsi="Times New Roman" w:cs="Times New Roman"/>
            <w:noProof/>
          </w:rPr>
          <w:t>1</w:t>
        </w:r>
        <w:r w:rsidRPr="009C3453">
          <w:rPr>
            <w:rFonts w:ascii="Times New Roman" w:hAnsi="Times New Roman" w:cs="Times New Roman"/>
            <w:noProof/>
          </w:rPr>
          <w:fldChar w:fldCharType="end"/>
        </w:r>
      </w:p>
    </w:sdtContent>
  </w:sdt>
  <w:p w14:paraId="7B466C59" w14:textId="77777777" w:rsidR="00FD336E" w:rsidRDefault="00FD3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591F" w14:textId="77777777" w:rsidR="00FD336E" w:rsidRDefault="00FD336E" w:rsidP="00FD66F1">
      <w:pPr>
        <w:spacing w:after="0" w:line="240" w:lineRule="auto"/>
      </w:pPr>
      <w:r>
        <w:separator/>
      </w:r>
    </w:p>
  </w:footnote>
  <w:footnote w:type="continuationSeparator" w:id="0">
    <w:p w14:paraId="6D87E394" w14:textId="77777777" w:rsidR="00FD336E" w:rsidRDefault="00FD336E" w:rsidP="00FD66F1">
      <w:pPr>
        <w:spacing w:after="0" w:line="240" w:lineRule="auto"/>
      </w:pPr>
      <w:r>
        <w:continuationSeparator/>
      </w:r>
    </w:p>
  </w:footnote>
  <w:footnote w:id="1">
    <w:p w14:paraId="3A3AA74A" w14:textId="2D5D0112" w:rsidR="00FD336E" w:rsidRDefault="00FD336E">
      <w:pPr>
        <w:pStyle w:val="FootnoteText"/>
      </w:pPr>
      <w:r w:rsidRPr="00684438">
        <w:rPr>
          <w:rStyle w:val="FootnoteReference"/>
        </w:rPr>
        <w:footnoteRef/>
      </w:r>
      <w:r w:rsidRPr="00684438">
        <w:t xml:space="preserve"> </w:t>
      </w:r>
      <w:r w:rsidRPr="00E64A48">
        <w:t>PRC is not an acronym. Rather, it is a prefix that denotes reliability standards related to “Protection and Control”.</w:t>
      </w:r>
    </w:p>
  </w:footnote>
  <w:footnote w:id="2">
    <w:p w14:paraId="36C1BA1D" w14:textId="77777777" w:rsidR="00FD336E" w:rsidRPr="0002434E" w:rsidRDefault="00FD336E" w:rsidP="00314874">
      <w:pPr>
        <w:pStyle w:val="FootnoteText"/>
      </w:pPr>
      <w:r w:rsidRPr="00684438">
        <w:rPr>
          <w:rStyle w:val="FootnoteReference"/>
        </w:rPr>
        <w:footnoteRef/>
      </w:r>
      <w:r w:rsidRPr="0002434E">
        <w:t xml:space="preserve"> The Energy Policy Act of 2005, Pub. L. No 109-58, Title XII, Subtitle A, 119 Stat. 594, 941 (2005), codified at 16 U.S.C. 824o (2000).</w:t>
      </w:r>
    </w:p>
  </w:footnote>
  <w:footnote w:id="3">
    <w:p w14:paraId="5FD68DCC" w14:textId="77777777" w:rsidR="00FD336E" w:rsidRPr="00FA7E6B" w:rsidRDefault="00FD336E" w:rsidP="00A203E8">
      <w:pPr>
        <w:pStyle w:val="FootnoteText"/>
        <w:keepLines/>
      </w:pPr>
      <w:r w:rsidRPr="00FA7E6B">
        <w:rPr>
          <w:rStyle w:val="FootnoteReference"/>
        </w:rPr>
        <w:footnoteRef/>
      </w:r>
      <w:r w:rsidRPr="00FA7E6B">
        <w:t xml:space="preserve">  </w:t>
      </w:r>
      <w:r w:rsidRPr="00FA7E6B">
        <w:rPr>
          <w:i/>
          <w:iCs/>
        </w:rPr>
        <w:t>Rules Concerning Certification of the Electric Reliability Organization; and Procedures for the Establishment, Approval, and Enforcement of Electric Reliability Standards</w:t>
      </w:r>
      <w:r w:rsidRPr="00FA7E6B">
        <w:t xml:space="preserve">, Order No. 672, FERC Stats. &amp; Regs. ¶ 31,204, </w:t>
      </w:r>
      <w:r w:rsidRPr="00FA7E6B">
        <w:rPr>
          <w:i/>
          <w:iCs/>
        </w:rPr>
        <w:t>order on reh’g</w:t>
      </w:r>
      <w:r w:rsidRPr="00FA7E6B">
        <w:t>, Order No. 672-A, FERC Stats. &amp; Regs. ¶ 31,212 (2006).</w:t>
      </w:r>
    </w:p>
  </w:footnote>
  <w:footnote w:id="4">
    <w:p w14:paraId="450AB37C" w14:textId="77777777" w:rsidR="00FD336E" w:rsidRPr="00685103" w:rsidRDefault="00FD336E" w:rsidP="00A203E8">
      <w:pPr>
        <w:pStyle w:val="FootnoteText"/>
        <w:rPr>
          <w:sz w:val="26"/>
          <w:szCs w:val="26"/>
        </w:rPr>
      </w:pPr>
      <w:r w:rsidRPr="00FA7E6B">
        <w:rPr>
          <w:rStyle w:val="FootnoteReference"/>
        </w:rPr>
        <w:footnoteRef/>
      </w:r>
      <w:r w:rsidRPr="00FA7E6B">
        <w:t xml:space="preserve">  </w:t>
      </w:r>
      <w:r w:rsidRPr="00FA7E6B">
        <w:rPr>
          <w:i/>
        </w:rPr>
        <w:t>North American Electric Reliability Corp</w:t>
      </w:r>
      <w:r w:rsidRPr="00FA7E6B">
        <w:t xml:space="preserve">., 116 FERC ¶ 61,062, </w:t>
      </w:r>
      <w:r w:rsidRPr="00FA7E6B">
        <w:rPr>
          <w:i/>
        </w:rPr>
        <w:t>order on reh’g and compliance</w:t>
      </w:r>
      <w:r w:rsidRPr="00FA7E6B">
        <w:t>, 117 FERC ¶ 61,126 (2006),</w:t>
      </w:r>
      <w:r w:rsidRPr="00FA7E6B">
        <w:rPr>
          <w:i/>
        </w:rPr>
        <w:t xml:space="preserve"> order on compliance</w:t>
      </w:r>
      <w:r w:rsidRPr="00FA7E6B">
        <w:t xml:space="preserve">, 118 FERC ¶ 61,190, </w:t>
      </w:r>
      <w:r w:rsidRPr="00FA7E6B">
        <w:rPr>
          <w:i/>
        </w:rPr>
        <w:t>order on reh’g</w:t>
      </w:r>
      <w:r w:rsidRPr="00FA7E6B">
        <w:t xml:space="preserve">, 119 FERC ¶ 61,046 (2007), </w:t>
      </w:r>
      <w:r w:rsidRPr="00FA7E6B">
        <w:rPr>
          <w:i/>
        </w:rPr>
        <w:t>aff’d sub nom. Alcoa Inc. v. FERC</w:t>
      </w:r>
      <w:r w:rsidRPr="00FA7E6B">
        <w:t>, 564 F.3d 1342 (D.C. Cir. 2009).</w:t>
      </w:r>
    </w:p>
  </w:footnote>
  <w:footnote w:id="5">
    <w:p w14:paraId="3E509159" w14:textId="11DBC1DF" w:rsidR="00FD336E" w:rsidRDefault="00FD336E">
      <w:pPr>
        <w:pStyle w:val="FootnoteText"/>
      </w:pPr>
      <w:r>
        <w:rPr>
          <w:rStyle w:val="FootnoteReference"/>
        </w:rPr>
        <w:footnoteRef/>
      </w:r>
      <w:r>
        <w:t xml:space="preserve"> </w:t>
      </w:r>
      <w:r w:rsidRPr="00A203E8">
        <w:t>http://elibrary.ferc.gov/idmws/common/OpenNat.asp?fileID=14052280</w:t>
      </w:r>
    </w:p>
  </w:footnote>
  <w:footnote w:id="6">
    <w:p w14:paraId="1169312F" w14:textId="1D2A738E" w:rsidR="00FD336E" w:rsidRDefault="00FD336E">
      <w:pPr>
        <w:pStyle w:val="FootnoteText"/>
      </w:pPr>
      <w:r>
        <w:rPr>
          <w:rStyle w:val="FootnoteReference"/>
        </w:rPr>
        <w:footnoteRef/>
      </w:r>
      <w:r>
        <w:t xml:space="preserve"> Proposed </w:t>
      </w:r>
      <w:r w:rsidRPr="00A56FDA">
        <w:t>Reliability Standard PRC-005-6</w:t>
      </w:r>
      <w:r>
        <w:t xml:space="preserve"> (Exhibit A of NERC’s Petition) is available at </w:t>
      </w:r>
      <w:r w:rsidRPr="00A56FDA">
        <w:t>http://elibrary.ferc.gov/idmws/common/OpenNat.asp?fileID=14052281</w:t>
      </w:r>
      <w:r>
        <w:t>.</w:t>
      </w:r>
    </w:p>
  </w:footnote>
  <w:footnote w:id="7">
    <w:p w14:paraId="13C3CE73" w14:textId="34BE841D" w:rsidR="00FD336E" w:rsidRDefault="00FD336E">
      <w:pPr>
        <w:pStyle w:val="FootnoteText"/>
      </w:pPr>
      <w:r>
        <w:rPr>
          <w:rStyle w:val="FootnoteReference"/>
        </w:rPr>
        <w:footnoteRef/>
      </w:r>
      <w:r>
        <w:t xml:space="preserve"> </w:t>
      </w:r>
      <w:r w:rsidRPr="00A203E8">
        <w:t xml:space="preserve">As noted in NERC’s petition, NERC filed a separate motion to delay implementation of the approved, but not yet effective, versions of the PRC-005 Reliability Standard in Docket Nos. RM14-8-000 (PRC-005-3), RD15-3-000 (PRC-005-3(i)), and RM15-9-000 (PRC-005-4) until after the Commission issues an order or rule regarding proposed PRC-005-6.  NERC’s motion was granted in a delegated letter order issued December 4, 2015.  See North American Elec. Reliability Corp., Docket Nos. RM14-8-000 et al. (Dec. 4, 2015) (delegated letter order).  </w:t>
      </w:r>
    </w:p>
  </w:footnote>
  <w:footnote w:id="8">
    <w:p w14:paraId="71840390" w14:textId="73EFE82A" w:rsidR="00FD336E" w:rsidRDefault="00FD336E">
      <w:pPr>
        <w:pStyle w:val="FootnoteText"/>
      </w:pPr>
      <w:r>
        <w:rPr>
          <w:rStyle w:val="FootnoteReference"/>
        </w:rPr>
        <w:footnoteRef/>
      </w:r>
      <w:r>
        <w:t xml:space="preserve"> </w:t>
      </w:r>
      <w:r w:rsidRPr="000A2881">
        <w:t>The Delegated Letter Order is available in FERC’s eLibrary at http://elibrary.ferc.gov/idmws/common/opennat.asp?fileID=14076238.</w:t>
      </w:r>
    </w:p>
  </w:footnote>
  <w:footnote w:id="9">
    <w:p w14:paraId="7E7B878C" w14:textId="2387A806" w:rsidR="00FD336E" w:rsidRPr="0002434E" w:rsidRDefault="00FD336E" w:rsidP="00314874">
      <w:pPr>
        <w:pStyle w:val="FootnoteText"/>
      </w:pPr>
      <w:r w:rsidRPr="0002434E">
        <w:rPr>
          <w:rStyle w:val="FootnoteReference"/>
        </w:rPr>
        <w:footnoteRef/>
      </w:r>
      <w:r w:rsidRPr="0002434E">
        <w:t xml:space="preserve"> Details of the current ERO Reliability Standard processes are available on the NERC website at </w:t>
      </w:r>
      <w:hyperlink r:id="rId1" w:history="1">
        <w:r w:rsidRPr="00920229">
          <w:rPr>
            <w:rStyle w:val="Hyperlink"/>
          </w:rPr>
          <w:t>http://www.nerc.com/FilingsOrders/us/RuleOfProcedureDL/Appendix_3A_StandardProcessesManual_20130626.pdf</w:t>
        </w:r>
      </w:hyperlink>
      <w:r>
        <w:t>.</w:t>
      </w:r>
    </w:p>
  </w:footnote>
  <w:footnote w:id="10">
    <w:p w14:paraId="70AE9CD4" w14:textId="01608407" w:rsidR="00FD336E" w:rsidRPr="0002434E" w:rsidRDefault="00FD336E" w:rsidP="00314874">
      <w:pPr>
        <w:pStyle w:val="FootnoteText"/>
      </w:pPr>
      <w:r w:rsidRPr="0002434E">
        <w:rPr>
          <w:rStyle w:val="FootnoteReference"/>
        </w:rPr>
        <w:footnoteRef/>
      </w:r>
      <w:r w:rsidRPr="0002434E">
        <w:t xml:space="preserve"> Details of the current ERO Reliability Standard processes are available on the NERC website at </w:t>
      </w:r>
      <w:hyperlink r:id="rId2" w:history="1">
        <w:r w:rsidRPr="0002434E">
          <w:rPr>
            <w:rStyle w:val="Hyperlink"/>
          </w:rPr>
          <w:t>http://www.nerc.com</w:t>
        </w:r>
      </w:hyperlink>
      <w:r w:rsidRPr="0002434E">
        <w:t xml:space="preserve"> .</w:t>
      </w:r>
    </w:p>
  </w:footnote>
  <w:footnote w:id="11">
    <w:p w14:paraId="70B5C415" w14:textId="6021299A" w:rsidR="00FD336E" w:rsidRDefault="00FD336E">
      <w:pPr>
        <w:pStyle w:val="FootnoteText"/>
      </w:pPr>
      <w:r>
        <w:rPr>
          <w:rStyle w:val="FootnoteReference"/>
        </w:rPr>
        <w:footnoteRef/>
      </w:r>
      <w:r>
        <w:t xml:space="preserve"> The Notice (issued </w:t>
      </w:r>
      <w:r w:rsidRPr="00E53CD3">
        <w:t>on 12/29/2015</w:t>
      </w:r>
      <w:r>
        <w:t>)</w:t>
      </w:r>
      <w:r w:rsidRPr="00E53CD3">
        <w:t xml:space="preserve"> </w:t>
      </w:r>
      <w:r>
        <w:t xml:space="preserve">is posted at </w:t>
      </w:r>
      <w:r w:rsidRPr="008B2217">
        <w:t>http://elibrary.ferc.gov/idmws/common/opennat.asp?fileID=14083464</w:t>
      </w:r>
      <w:r>
        <w:t>.</w:t>
      </w:r>
    </w:p>
  </w:footnote>
  <w:footnote w:id="12">
    <w:p w14:paraId="55966EAC" w14:textId="586714D9" w:rsidR="00FD336E" w:rsidRPr="00A76F30" w:rsidRDefault="00FD336E" w:rsidP="00145101">
      <w:pPr>
        <w:pStyle w:val="FootnoteText"/>
      </w:pPr>
      <w:r w:rsidRPr="00026358">
        <w:rPr>
          <w:rStyle w:val="FootnoteReference"/>
        </w:rPr>
        <w:footnoteRef/>
      </w:r>
      <w:r w:rsidRPr="00026358">
        <w:t xml:space="preserve"> </w:t>
      </w:r>
      <w:r w:rsidRPr="00A76F30">
        <w:t xml:space="preserve">The estimates for cost per response are derived using the following formula: Average Burden Hours per Response * $73 per Hour = Average Cost per Response.  The hourly cost figure comes from the average of the salary plus benefits for a manager and an engineer (rounded to the nearest dollar).  The figures are taken from the Bureau of Labor Statistics </w:t>
      </w:r>
      <w:r w:rsidR="004016A5">
        <w:t xml:space="preserve">[BLS] </w:t>
      </w:r>
      <w:r w:rsidRPr="00A76F30">
        <w:t xml:space="preserve">at (http://bls.gov/oes/current/naics3_221000.htm).  </w:t>
      </w:r>
    </w:p>
  </w:footnote>
  <w:footnote w:id="13">
    <w:p w14:paraId="07209BA6" w14:textId="2D376B64" w:rsidR="00FD336E" w:rsidRPr="00A76F30" w:rsidRDefault="00FD336E" w:rsidP="00145101">
      <w:pPr>
        <w:pStyle w:val="FootnoteText"/>
      </w:pPr>
      <w:r w:rsidRPr="00026358">
        <w:rPr>
          <w:rStyle w:val="FootnoteReference"/>
        </w:rPr>
        <w:footnoteRef/>
      </w:r>
      <w:r w:rsidRPr="00026358">
        <w:t xml:space="preserve"> </w:t>
      </w:r>
      <w:r w:rsidRPr="00A76F30">
        <w:t>Implemented in Docket No. RM14-8.</w:t>
      </w:r>
    </w:p>
  </w:footnote>
  <w:footnote w:id="14">
    <w:p w14:paraId="08FFD6A5" w14:textId="77777777" w:rsidR="00FD336E" w:rsidRPr="00A76F30" w:rsidRDefault="00FD336E" w:rsidP="00145101">
      <w:pPr>
        <w:pStyle w:val="FootnoteText"/>
      </w:pPr>
      <w:r w:rsidRPr="00026358">
        <w:rPr>
          <w:rStyle w:val="FootnoteReference"/>
        </w:rPr>
        <w:footnoteRef/>
      </w:r>
      <w:r w:rsidRPr="00A76F30">
        <w:t xml:space="preserve"> This figure reflects the generator owners and transmission owners identified in the NERC Compliance Registry as of May 28, 2014.</w:t>
      </w:r>
    </w:p>
  </w:footnote>
  <w:footnote w:id="15">
    <w:p w14:paraId="59DA3947" w14:textId="77777777" w:rsidR="00FD336E" w:rsidRPr="00A76F30" w:rsidRDefault="00FD336E" w:rsidP="00145101">
      <w:pPr>
        <w:pStyle w:val="FootnoteText"/>
      </w:pPr>
      <w:r w:rsidRPr="00026358">
        <w:rPr>
          <w:rStyle w:val="FootnoteReference"/>
        </w:rPr>
        <w:footnoteRef/>
      </w:r>
      <w:r w:rsidRPr="00026358">
        <w:t xml:space="preserve"> </w:t>
      </w:r>
      <w:r w:rsidRPr="00A76F30">
        <w:t>This figure is a subset of GOs and TOs, as discussed in Order 803 (Docket No.RM14-8), P 41.</w:t>
      </w:r>
    </w:p>
  </w:footnote>
  <w:footnote w:id="16">
    <w:p w14:paraId="23D4419F" w14:textId="7E1C6995" w:rsidR="00FD336E" w:rsidRPr="00A76F30" w:rsidRDefault="00FD336E" w:rsidP="00145101">
      <w:pPr>
        <w:pStyle w:val="FootnoteText"/>
      </w:pPr>
      <w:r w:rsidRPr="00026358">
        <w:rPr>
          <w:rStyle w:val="FootnoteReference"/>
        </w:rPr>
        <w:footnoteRef/>
      </w:r>
      <w:r w:rsidRPr="00026358">
        <w:t xml:space="preserve"> </w:t>
      </w:r>
      <w:r w:rsidRPr="00A76F30">
        <w:t>Implemented in Docket No. RM15-9.</w:t>
      </w:r>
    </w:p>
  </w:footnote>
  <w:footnote w:id="17">
    <w:p w14:paraId="20E628A9" w14:textId="5FD29EDC" w:rsidR="00FD336E" w:rsidRPr="00A76F30" w:rsidRDefault="00FD336E" w:rsidP="00145101">
      <w:pPr>
        <w:pStyle w:val="FootnoteText"/>
      </w:pPr>
      <w:r w:rsidRPr="00026358">
        <w:rPr>
          <w:rStyle w:val="FootnoteReference"/>
        </w:rPr>
        <w:footnoteRef/>
      </w:r>
      <w:r w:rsidRPr="00026358">
        <w:t xml:space="preserve"> </w:t>
      </w:r>
      <w:r w:rsidRPr="00A76F30">
        <w:t xml:space="preserve">The estimates for cost per response are derived using the following formula: Average Burden Hours per Response * $65.34 per Hour = Average Cost per Response.  The hourly cost figure comes from the average of the </w:t>
      </w:r>
      <w:r w:rsidR="00541C47">
        <w:t>wages</w:t>
      </w:r>
      <w:r w:rsidR="00541C47" w:rsidRPr="00A76F30">
        <w:t xml:space="preserve"> </w:t>
      </w:r>
      <w:r w:rsidRPr="00A76F30">
        <w:t xml:space="preserve">plus benefits for an engineer (rounded to the nearest dollar).  The figures are taken from the Bureau of Labor Statistics at (http://bls.gov/oes/current/naics3_221000.htm).  </w:t>
      </w:r>
      <w:r w:rsidRPr="00271885">
        <w:rPr>
          <w:sz w:val="26"/>
          <w:szCs w:val="26"/>
        </w:rPr>
        <w:t xml:space="preserve"> </w:t>
      </w:r>
    </w:p>
  </w:footnote>
  <w:footnote w:id="18">
    <w:p w14:paraId="162FEBFA" w14:textId="2E25415A" w:rsidR="00541C47" w:rsidRPr="00E323F4" w:rsidRDefault="00541C47" w:rsidP="00541C47">
      <w:pPr>
        <w:pStyle w:val="FootnoteText"/>
      </w:pPr>
      <w:r w:rsidRPr="00026358">
        <w:rPr>
          <w:rStyle w:val="FootnoteReference"/>
        </w:rPr>
        <w:footnoteRef/>
      </w:r>
      <w:r w:rsidRPr="00026358">
        <w:t xml:space="preserve"> </w:t>
      </w:r>
      <w:r w:rsidRPr="00E323F4">
        <w:t xml:space="preserve">The average hourly cost (wages plus benefits) is estimated to be $72.25 </w:t>
      </w:r>
      <w:r w:rsidR="001F196E">
        <w:t>(</w:t>
      </w:r>
      <w:r w:rsidRPr="00E323F4">
        <w:t>and is based on BLS May 2014 Data, updated 8/2015</w:t>
      </w:r>
      <w:r w:rsidR="001F196E">
        <w:t>).</w:t>
      </w:r>
      <w:r w:rsidRPr="00E323F4">
        <w:t xml:space="preserve">  It is based on the average of the hourly wages plus benefits of: </w:t>
      </w:r>
    </w:p>
    <w:p w14:paraId="521EE89D" w14:textId="77777777" w:rsidR="00541C47" w:rsidRDefault="00541C47" w:rsidP="00E323F4">
      <w:pPr>
        <w:pStyle w:val="FootnoteText"/>
        <w:numPr>
          <w:ilvl w:val="0"/>
          <w:numId w:val="29"/>
        </w:numPr>
      </w:pPr>
      <w:r w:rsidRPr="00E323F4">
        <w:t>management (occupation cos</w:t>
      </w:r>
      <w:r w:rsidRPr="00541C47">
        <w:t>e 11-0000, $78.04 per hour) and</w:t>
      </w:r>
    </w:p>
    <w:p w14:paraId="418243FC" w14:textId="06CEAF2C" w:rsidR="00541C47" w:rsidRPr="00541C47" w:rsidRDefault="00541C47" w:rsidP="00E323F4">
      <w:pPr>
        <w:pStyle w:val="FootnoteText"/>
        <w:numPr>
          <w:ilvl w:val="0"/>
          <w:numId w:val="29"/>
        </w:numPr>
      </w:pPr>
      <w:r w:rsidRPr="00E323F4">
        <w:t>electrical engineer (occupation code 17-2071, $66.45 per hour).</w:t>
      </w:r>
    </w:p>
  </w:footnote>
  <w:footnote w:id="19">
    <w:p w14:paraId="38B2A234" w14:textId="77777777" w:rsidR="00FD336E" w:rsidRPr="00271885" w:rsidRDefault="00FD336E" w:rsidP="00145101">
      <w:pPr>
        <w:pStyle w:val="FootnoteText"/>
        <w:rPr>
          <w:sz w:val="26"/>
          <w:szCs w:val="26"/>
        </w:rPr>
      </w:pPr>
      <w:r w:rsidRPr="00026358">
        <w:rPr>
          <w:rStyle w:val="FootnoteReference"/>
        </w:rPr>
        <w:footnoteRef/>
      </w:r>
      <w:r w:rsidRPr="00026358">
        <w:t xml:space="preserve"> </w:t>
      </w:r>
      <w:r w:rsidRPr="00A76F30">
        <w:t>This figure reflects the generator owners and transmission owners identified in the NERC Compliance Registry as of May 28, 2014.</w:t>
      </w:r>
      <w:r w:rsidRPr="00271885">
        <w:rPr>
          <w:sz w:val="26"/>
          <w:szCs w:val="26"/>
        </w:rPr>
        <w:t xml:space="preserve">  </w:t>
      </w:r>
    </w:p>
  </w:footnote>
  <w:footnote w:id="20">
    <w:p w14:paraId="38ABC6E7" w14:textId="77777777" w:rsidR="001F196E" w:rsidRDefault="001F196E" w:rsidP="001F196E">
      <w:pPr>
        <w:pStyle w:val="FootnoteText"/>
      </w:pPr>
      <w:r w:rsidRPr="00026358">
        <w:rPr>
          <w:rStyle w:val="FootnoteReference"/>
        </w:rPr>
        <w:footnoteRef/>
      </w:r>
      <w:r w:rsidRPr="00026358">
        <w:t xml:space="preserve"> </w:t>
      </w:r>
      <w:r>
        <w:t xml:space="preserve">The average hourly cost (wages plus benefits) is estimated to be $72.25 (and is based on BLS May 2014 Data, updated 8/2015).  It is based on the average of the hourly wages plus benefits of: </w:t>
      </w:r>
    </w:p>
    <w:p w14:paraId="30FA5473" w14:textId="77777777" w:rsidR="001F196E" w:rsidRDefault="001F196E" w:rsidP="001F196E">
      <w:pPr>
        <w:pStyle w:val="FootnoteText"/>
      </w:pPr>
      <w:r>
        <w:t>•</w:t>
      </w:r>
      <w:r>
        <w:tab/>
        <w:t xml:space="preserve">management (occupation cose 11-0000, $78.04 per hour) and </w:t>
      </w:r>
    </w:p>
    <w:p w14:paraId="22E92A62" w14:textId="0E869307" w:rsidR="001F196E" w:rsidRDefault="001F196E" w:rsidP="001F196E">
      <w:pPr>
        <w:pStyle w:val="FootnoteText"/>
      </w:pPr>
      <w:r>
        <w:t>•</w:t>
      </w:r>
      <w:r>
        <w:tab/>
        <w:t>electrical engineer (occupation code 17-2071, $66.45 per hour).</w:t>
      </w:r>
    </w:p>
  </w:footnote>
  <w:footnote w:id="21">
    <w:p w14:paraId="046DED45" w14:textId="26996405" w:rsidR="001F196E" w:rsidRDefault="001F196E">
      <w:pPr>
        <w:pStyle w:val="FootnoteText"/>
      </w:pPr>
      <w:r w:rsidRPr="00026358">
        <w:rPr>
          <w:rStyle w:val="FootnoteReference"/>
        </w:rPr>
        <w:footnoteRef/>
      </w:r>
      <w:r w:rsidRPr="00026358">
        <w:t xml:space="preserve"> </w:t>
      </w:r>
      <w:r w:rsidRPr="001F196E">
        <w:t>The average hourly cost (wages plus benefits) is estimated to be $66.45, based on BLS estimates for an electrical engineer.</w:t>
      </w:r>
    </w:p>
  </w:footnote>
  <w:footnote w:id="22">
    <w:p w14:paraId="350AE880" w14:textId="77777777" w:rsidR="00FD336E" w:rsidRPr="0002434E" w:rsidRDefault="00FD336E" w:rsidP="00314874">
      <w:pPr>
        <w:pStyle w:val="FootnoteText"/>
      </w:pPr>
      <w:r w:rsidRPr="0002434E">
        <w:rPr>
          <w:rStyle w:val="FootnoteReference"/>
        </w:rPr>
        <w:footnoteRef/>
      </w:r>
      <w:r w:rsidRPr="0002434E">
        <w:t xml:space="preserve"> Paperwork Reduction Act of 1995 (PRA)</w:t>
      </w:r>
    </w:p>
  </w:footnote>
  <w:footnote w:id="23">
    <w:p w14:paraId="7E86488B" w14:textId="77777777" w:rsidR="00FD336E" w:rsidRPr="0002434E" w:rsidRDefault="00FD336E" w:rsidP="00314874">
      <w:pPr>
        <w:pStyle w:val="FootnoteText"/>
      </w:pPr>
      <w:r w:rsidRPr="0002434E">
        <w:rPr>
          <w:rStyle w:val="FootnoteReference"/>
        </w:rPr>
        <w:footnoteRef/>
      </w:r>
      <w:r w:rsidRPr="0002434E">
        <w:t xml:space="preserve"> The PRA Administrative Cost is a Federal Cost associated with preparing, issuing, and submitting materials necessary to comply with the PRA for rulemakings, orders, or any other vehicle used to create, modify, extend, or discontinue an information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CB64" w14:textId="7EFA5B30" w:rsidR="00FD336E" w:rsidRDefault="00FD3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DB3A" w14:textId="65894BF4" w:rsidR="00FD336E" w:rsidRPr="00C2647E" w:rsidRDefault="00FD336E" w:rsidP="00B3407F">
    <w:pPr>
      <w:pStyle w:val="Header"/>
      <w:rPr>
        <w:rFonts w:ascii="Times New Roman" w:hAnsi="Times New Roman"/>
        <w:b/>
        <w:sz w:val="24"/>
        <w:szCs w:val="24"/>
      </w:rPr>
    </w:pPr>
    <w:r w:rsidRPr="00C2647E">
      <w:rPr>
        <w:rFonts w:ascii="Times New Roman" w:hAnsi="Times New Roman"/>
        <w:b/>
        <w:sz w:val="24"/>
        <w:szCs w:val="24"/>
      </w:rPr>
      <w:t xml:space="preserve">FERC-725P1 </w:t>
    </w:r>
    <w:r>
      <w:rPr>
        <w:rFonts w:ascii="Times New Roman" w:hAnsi="Times New Roman"/>
        <w:b/>
        <w:sz w:val="24"/>
        <w:szCs w:val="24"/>
      </w:rPr>
      <w:t xml:space="preserve">and </w:t>
    </w:r>
    <w:r w:rsidRPr="00C2647E">
      <w:rPr>
        <w:rFonts w:ascii="Times New Roman" w:hAnsi="Times New Roman"/>
        <w:b/>
        <w:sz w:val="24"/>
        <w:szCs w:val="24"/>
      </w:rPr>
      <w:t>FERC-725P (OMB Control No</w:t>
    </w:r>
    <w:r>
      <w:rPr>
        <w:rFonts w:ascii="Times New Roman" w:hAnsi="Times New Roman"/>
        <w:b/>
        <w:sz w:val="24"/>
        <w:szCs w:val="24"/>
      </w:rPr>
      <w:t>s</w:t>
    </w:r>
    <w:r w:rsidRPr="00C2647E">
      <w:rPr>
        <w:rFonts w:ascii="Times New Roman" w:hAnsi="Times New Roman"/>
        <w:b/>
        <w:sz w:val="24"/>
        <w:szCs w:val="24"/>
      </w:rPr>
      <w:t>.: 1902-0280 and 1902-0269</w:t>
    </w:r>
    <w:r>
      <w:rPr>
        <w:rFonts w:ascii="Times New Roman" w:hAnsi="Times New Roman"/>
        <w:b/>
        <w:sz w:val="24"/>
        <w:szCs w:val="24"/>
      </w:rPr>
      <w:t>)</w:t>
    </w:r>
  </w:p>
  <w:p w14:paraId="08CDEE28" w14:textId="3557E37E" w:rsidR="00FD336E" w:rsidRPr="00C2647E" w:rsidRDefault="00FD336E" w:rsidP="00B3407F">
    <w:pPr>
      <w:pStyle w:val="Header"/>
      <w:rPr>
        <w:rFonts w:ascii="Times New Roman" w:hAnsi="Times New Roman"/>
        <w:b/>
        <w:sz w:val="24"/>
        <w:szCs w:val="24"/>
      </w:rPr>
    </w:pPr>
    <w:r w:rsidRPr="00C2647E">
      <w:rPr>
        <w:rFonts w:ascii="Times New Roman" w:hAnsi="Times New Roman"/>
        <w:b/>
        <w:sz w:val="24"/>
        <w:szCs w:val="24"/>
      </w:rPr>
      <w:t xml:space="preserve">Docket No. </w:t>
    </w:r>
    <w:r>
      <w:rPr>
        <w:rFonts w:ascii="Times New Roman" w:hAnsi="Times New Roman"/>
        <w:b/>
        <w:sz w:val="24"/>
        <w:szCs w:val="24"/>
      </w:rPr>
      <w:t>RD16-2</w:t>
    </w:r>
    <w:r w:rsidRPr="00C2647E">
      <w:rPr>
        <w:rFonts w:ascii="Times New Roman" w:hAnsi="Times New Roman"/>
        <w:b/>
        <w:sz w:val="24"/>
        <w:szCs w:val="24"/>
      </w:rPr>
      <w:t xml:space="preserve">-000, </w:t>
    </w:r>
    <w:r>
      <w:rPr>
        <w:rFonts w:ascii="Times New Roman" w:hAnsi="Times New Roman"/>
        <w:b/>
        <w:sz w:val="24"/>
        <w:szCs w:val="24"/>
      </w:rPr>
      <w:t xml:space="preserve">Delegated Letter Order </w:t>
    </w:r>
    <w:r w:rsidRPr="00C2647E">
      <w:rPr>
        <w:rFonts w:ascii="Times New Roman" w:hAnsi="Times New Roman"/>
        <w:b/>
        <w:sz w:val="24"/>
        <w:szCs w:val="24"/>
      </w:rPr>
      <w:t xml:space="preserve">issued </w:t>
    </w:r>
    <w:r>
      <w:rPr>
        <w:rFonts w:ascii="Times New Roman" w:hAnsi="Times New Roman"/>
        <w:b/>
        <w:sz w:val="24"/>
        <w:szCs w:val="24"/>
      </w:rPr>
      <w:t>12/18</w:t>
    </w:r>
    <w:r w:rsidRPr="00C2647E">
      <w:rPr>
        <w:rFonts w:ascii="Times New Roman" w:hAnsi="Times New Roman"/>
        <w:b/>
        <w:sz w:val="24"/>
        <w:szCs w:val="24"/>
      </w:rPr>
      <w:t>/2015</w:t>
    </w:r>
  </w:p>
  <w:p w14:paraId="39FD59AB" w14:textId="77777777" w:rsidR="00FD336E" w:rsidRDefault="00FD336E" w:rsidP="00B34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A500" w14:textId="3FAA2FD9" w:rsidR="00FD336E" w:rsidRDefault="00FD3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267174C2"/>
    <w:multiLevelType w:val="hybridMultilevel"/>
    <w:tmpl w:val="337C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D7AD3"/>
    <w:multiLevelType w:val="hybridMultilevel"/>
    <w:tmpl w:val="943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F1095"/>
    <w:multiLevelType w:val="hybridMultilevel"/>
    <w:tmpl w:val="09AEA1BC"/>
    <w:lvl w:ilvl="0" w:tplc="A554030A">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D915549"/>
    <w:multiLevelType w:val="hybridMultilevel"/>
    <w:tmpl w:val="B8AC1B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0A7D1E"/>
    <w:multiLevelType w:val="hybridMultilevel"/>
    <w:tmpl w:val="6A10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43AE38C4"/>
    <w:multiLevelType w:val="hybridMultilevel"/>
    <w:tmpl w:val="EEBE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F1306"/>
    <w:multiLevelType w:val="hybridMultilevel"/>
    <w:tmpl w:val="64F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C1895"/>
    <w:multiLevelType w:val="hybridMultilevel"/>
    <w:tmpl w:val="2F78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4">
    <w:nsid w:val="7C646418"/>
    <w:multiLevelType w:val="hybridMultilevel"/>
    <w:tmpl w:val="6C382824"/>
    <w:lvl w:ilvl="0" w:tplc="C2BE6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20"/>
  </w:num>
  <w:num w:numId="4">
    <w:abstractNumId w:val="22"/>
  </w:num>
  <w:num w:numId="5">
    <w:abstractNumId w:val="25"/>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5"/>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24"/>
  </w:num>
  <w:num w:numId="26">
    <w:abstractNumId w:val="15"/>
  </w:num>
  <w:num w:numId="27">
    <w:abstractNumId w:val="14"/>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9B"/>
    <w:rsid w:val="000042C0"/>
    <w:rsid w:val="00004B78"/>
    <w:rsid w:val="00005EA6"/>
    <w:rsid w:val="000130BD"/>
    <w:rsid w:val="00014184"/>
    <w:rsid w:val="0002242D"/>
    <w:rsid w:val="0002434E"/>
    <w:rsid w:val="00026358"/>
    <w:rsid w:val="00035845"/>
    <w:rsid w:val="00051011"/>
    <w:rsid w:val="00052F06"/>
    <w:rsid w:val="00066DA6"/>
    <w:rsid w:val="00071E8E"/>
    <w:rsid w:val="00072C72"/>
    <w:rsid w:val="00074250"/>
    <w:rsid w:val="0008601A"/>
    <w:rsid w:val="00094281"/>
    <w:rsid w:val="000953A4"/>
    <w:rsid w:val="000968A1"/>
    <w:rsid w:val="000A2881"/>
    <w:rsid w:val="000B0C37"/>
    <w:rsid w:val="000B4B39"/>
    <w:rsid w:val="000B5BF7"/>
    <w:rsid w:val="000D2AF1"/>
    <w:rsid w:val="000E18A0"/>
    <w:rsid w:val="000E4604"/>
    <w:rsid w:val="000E612C"/>
    <w:rsid w:val="000E620F"/>
    <w:rsid w:val="000E7187"/>
    <w:rsid w:val="000E7A2C"/>
    <w:rsid w:val="000F13C5"/>
    <w:rsid w:val="000F7E2A"/>
    <w:rsid w:val="00100A8D"/>
    <w:rsid w:val="00106655"/>
    <w:rsid w:val="00110157"/>
    <w:rsid w:val="00143103"/>
    <w:rsid w:val="00145101"/>
    <w:rsid w:val="0015371C"/>
    <w:rsid w:val="00177077"/>
    <w:rsid w:val="0017787C"/>
    <w:rsid w:val="00181727"/>
    <w:rsid w:val="00185730"/>
    <w:rsid w:val="00186AD0"/>
    <w:rsid w:val="00193390"/>
    <w:rsid w:val="001A6448"/>
    <w:rsid w:val="001B07E6"/>
    <w:rsid w:val="001B6724"/>
    <w:rsid w:val="001C1B3F"/>
    <w:rsid w:val="001C2A9B"/>
    <w:rsid w:val="001C300E"/>
    <w:rsid w:val="001C388B"/>
    <w:rsid w:val="001D3121"/>
    <w:rsid w:val="001D4803"/>
    <w:rsid w:val="001D7E0A"/>
    <w:rsid w:val="001F196E"/>
    <w:rsid w:val="001F1AD2"/>
    <w:rsid w:val="001F4B1C"/>
    <w:rsid w:val="001F54A4"/>
    <w:rsid w:val="001F69E8"/>
    <w:rsid w:val="001F6FF8"/>
    <w:rsid w:val="00206680"/>
    <w:rsid w:val="00212A8F"/>
    <w:rsid w:val="00212FCA"/>
    <w:rsid w:val="002249B4"/>
    <w:rsid w:val="00231EBD"/>
    <w:rsid w:val="00237A9B"/>
    <w:rsid w:val="002441B8"/>
    <w:rsid w:val="00253694"/>
    <w:rsid w:val="00255F31"/>
    <w:rsid w:val="0026187D"/>
    <w:rsid w:val="002650E4"/>
    <w:rsid w:val="0026674D"/>
    <w:rsid w:val="002717AE"/>
    <w:rsid w:val="002740DE"/>
    <w:rsid w:val="00275D65"/>
    <w:rsid w:val="002800F3"/>
    <w:rsid w:val="0028162C"/>
    <w:rsid w:val="0028412B"/>
    <w:rsid w:val="00295AAF"/>
    <w:rsid w:val="002B13E2"/>
    <w:rsid w:val="002B2D91"/>
    <w:rsid w:val="002D5B8B"/>
    <w:rsid w:val="002E193C"/>
    <w:rsid w:val="002E4314"/>
    <w:rsid w:val="002E6793"/>
    <w:rsid w:val="00301A61"/>
    <w:rsid w:val="00303B73"/>
    <w:rsid w:val="00313F9F"/>
    <w:rsid w:val="00314874"/>
    <w:rsid w:val="003201C0"/>
    <w:rsid w:val="00324D7D"/>
    <w:rsid w:val="0033154D"/>
    <w:rsid w:val="00333EE2"/>
    <w:rsid w:val="0033699E"/>
    <w:rsid w:val="00336D71"/>
    <w:rsid w:val="003443B0"/>
    <w:rsid w:val="00350FC4"/>
    <w:rsid w:val="003518E4"/>
    <w:rsid w:val="003729A3"/>
    <w:rsid w:val="00381926"/>
    <w:rsid w:val="00381D71"/>
    <w:rsid w:val="0038697C"/>
    <w:rsid w:val="00391952"/>
    <w:rsid w:val="00392C99"/>
    <w:rsid w:val="003972EB"/>
    <w:rsid w:val="003A3C84"/>
    <w:rsid w:val="003B064D"/>
    <w:rsid w:val="003B25DD"/>
    <w:rsid w:val="003B3018"/>
    <w:rsid w:val="003D1CAB"/>
    <w:rsid w:val="003D2BCA"/>
    <w:rsid w:val="003D4247"/>
    <w:rsid w:val="003D6C94"/>
    <w:rsid w:val="003E56A0"/>
    <w:rsid w:val="003F39E5"/>
    <w:rsid w:val="003F5663"/>
    <w:rsid w:val="003F56FD"/>
    <w:rsid w:val="003F5FA0"/>
    <w:rsid w:val="004016A5"/>
    <w:rsid w:val="00402DF8"/>
    <w:rsid w:val="00414F32"/>
    <w:rsid w:val="00415C53"/>
    <w:rsid w:val="00422546"/>
    <w:rsid w:val="00426118"/>
    <w:rsid w:val="00430B5F"/>
    <w:rsid w:val="00432B8F"/>
    <w:rsid w:val="00432D3A"/>
    <w:rsid w:val="00434EFF"/>
    <w:rsid w:val="004552E9"/>
    <w:rsid w:val="00462F59"/>
    <w:rsid w:val="004779B9"/>
    <w:rsid w:val="00487C75"/>
    <w:rsid w:val="00492E19"/>
    <w:rsid w:val="004A1C23"/>
    <w:rsid w:val="004A40DB"/>
    <w:rsid w:val="004B01EE"/>
    <w:rsid w:val="004C4C89"/>
    <w:rsid w:val="004C5674"/>
    <w:rsid w:val="004E713F"/>
    <w:rsid w:val="004F0652"/>
    <w:rsid w:val="004F6977"/>
    <w:rsid w:val="00500E8A"/>
    <w:rsid w:val="005013F0"/>
    <w:rsid w:val="005016CA"/>
    <w:rsid w:val="00504E92"/>
    <w:rsid w:val="00522F69"/>
    <w:rsid w:val="00525027"/>
    <w:rsid w:val="00530462"/>
    <w:rsid w:val="0053287C"/>
    <w:rsid w:val="005335A7"/>
    <w:rsid w:val="00534362"/>
    <w:rsid w:val="00541C47"/>
    <w:rsid w:val="005462C0"/>
    <w:rsid w:val="00571C5E"/>
    <w:rsid w:val="00576747"/>
    <w:rsid w:val="0057700F"/>
    <w:rsid w:val="00580974"/>
    <w:rsid w:val="005A2792"/>
    <w:rsid w:val="005B10E9"/>
    <w:rsid w:val="005B4642"/>
    <w:rsid w:val="005B77CE"/>
    <w:rsid w:val="005E7290"/>
    <w:rsid w:val="005F1C3C"/>
    <w:rsid w:val="005F3286"/>
    <w:rsid w:val="00616670"/>
    <w:rsid w:val="006166FA"/>
    <w:rsid w:val="00622795"/>
    <w:rsid w:val="00632E66"/>
    <w:rsid w:val="00640730"/>
    <w:rsid w:val="00652A58"/>
    <w:rsid w:val="00653BD5"/>
    <w:rsid w:val="00664BC0"/>
    <w:rsid w:val="00670E40"/>
    <w:rsid w:val="006738A3"/>
    <w:rsid w:val="006808EF"/>
    <w:rsid w:val="006835EB"/>
    <w:rsid w:val="00684438"/>
    <w:rsid w:val="006867FE"/>
    <w:rsid w:val="0068765C"/>
    <w:rsid w:val="00690136"/>
    <w:rsid w:val="00693106"/>
    <w:rsid w:val="00693371"/>
    <w:rsid w:val="006A01B9"/>
    <w:rsid w:val="006A544C"/>
    <w:rsid w:val="006A7291"/>
    <w:rsid w:val="006B1C0C"/>
    <w:rsid w:val="006B36DC"/>
    <w:rsid w:val="006C3B18"/>
    <w:rsid w:val="006D02CB"/>
    <w:rsid w:val="006D15EC"/>
    <w:rsid w:val="006D3785"/>
    <w:rsid w:val="006E33D4"/>
    <w:rsid w:val="006E6BF1"/>
    <w:rsid w:val="006F18E9"/>
    <w:rsid w:val="006F5785"/>
    <w:rsid w:val="007023B0"/>
    <w:rsid w:val="007034C0"/>
    <w:rsid w:val="0070490D"/>
    <w:rsid w:val="0071460E"/>
    <w:rsid w:val="0072126E"/>
    <w:rsid w:val="00730307"/>
    <w:rsid w:val="00734692"/>
    <w:rsid w:val="00746180"/>
    <w:rsid w:val="00753929"/>
    <w:rsid w:val="00763EAE"/>
    <w:rsid w:val="00764D4D"/>
    <w:rsid w:val="00773AEB"/>
    <w:rsid w:val="00774834"/>
    <w:rsid w:val="00781AC3"/>
    <w:rsid w:val="0078280D"/>
    <w:rsid w:val="00787670"/>
    <w:rsid w:val="007A16CD"/>
    <w:rsid w:val="007A2F92"/>
    <w:rsid w:val="007B6ADD"/>
    <w:rsid w:val="007D068F"/>
    <w:rsid w:val="007E0B50"/>
    <w:rsid w:val="007E7C0F"/>
    <w:rsid w:val="007F2CD9"/>
    <w:rsid w:val="0081469B"/>
    <w:rsid w:val="00826750"/>
    <w:rsid w:val="00846003"/>
    <w:rsid w:val="00847897"/>
    <w:rsid w:val="00854C4E"/>
    <w:rsid w:val="008619E1"/>
    <w:rsid w:val="00867A7D"/>
    <w:rsid w:val="0087477C"/>
    <w:rsid w:val="00876154"/>
    <w:rsid w:val="00876F75"/>
    <w:rsid w:val="00883F19"/>
    <w:rsid w:val="008844F3"/>
    <w:rsid w:val="00884EA4"/>
    <w:rsid w:val="00887E7E"/>
    <w:rsid w:val="00890E28"/>
    <w:rsid w:val="00892333"/>
    <w:rsid w:val="008951E1"/>
    <w:rsid w:val="008958F3"/>
    <w:rsid w:val="008A21A4"/>
    <w:rsid w:val="008A3C25"/>
    <w:rsid w:val="008B2217"/>
    <w:rsid w:val="008B703B"/>
    <w:rsid w:val="008C288D"/>
    <w:rsid w:val="008C2995"/>
    <w:rsid w:val="008D06B5"/>
    <w:rsid w:val="008D1162"/>
    <w:rsid w:val="008D3697"/>
    <w:rsid w:val="008E355F"/>
    <w:rsid w:val="008E70CD"/>
    <w:rsid w:val="009009B7"/>
    <w:rsid w:val="0091050C"/>
    <w:rsid w:val="00913A8B"/>
    <w:rsid w:val="00923694"/>
    <w:rsid w:val="0092596C"/>
    <w:rsid w:val="00926C24"/>
    <w:rsid w:val="00933B30"/>
    <w:rsid w:val="009367D6"/>
    <w:rsid w:val="0093752E"/>
    <w:rsid w:val="00944B9C"/>
    <w:rsid w:val="00960A81"/>
    <w:rsid w:val="00970FE4"/>
    <w:rsid w:val="00976E96"/>
    <w:rsid w:val="0098144A"/>
    <w:rsid w:val="009A2394"/>
    <w:rsid w:val="009B556B"/>
    <w:rsid w:val="009B7F5B"/>
    <w:rsid w:val="009C16AD"/>
    <w:rsid w:val="009C3453"/>
    <w:rsid w:val="009C5135"/>
    <w:rsid w:val="009D3E26"/>
    <w:rsid w:val="009E1190"/>
    <w:rsid w:val="009E68B7"/>
    <w:rsid w:val="009F358B"/>
    <w:rsid w:val="00A05E76"/>
    <w:rsid w:val="00A13566"/>
    <w:rsid w:val="00A203E8"/>
    <w:rsid w:val="00A276F5"/>
    <w:rsid w:val="00A306DF"/>
    <w:rsid w:val="00A337D1"/>
    <w:rsid w:val="00A3517E"/>
    <w:rsid w:val="00A36E03"/>
    <w:rsid w:val="00A4336A"/>
    <w:rsid w:val="00A548BE"/>
    <w:rsid w:val="00A56FDA"/>
    <w:rsid w:val="00A6524A"/>
    <w:rsid w:val="00A72E7B"/>
    <w:rsid w:val="00A76F30"/>
    <w:rsid w:val="00A800B2"/>
    <w:rsid w:val="00A93304"/>
    <w:rsid w:val="00A94DB1"/>
    <w:rsid w:val="00A968FB"/>
    <w:rsid w:val="00A96B65"/>
    <w:rsid w:val="00AA3757"/>
    <w:rsid w:val="00AA7559"/>
    <w:rsid w:val="00AC503F"/>
    <w:rsid w:val="00AD3DE5"/>
    <w:rsid w:val="00AD45CA"/>
    <w:rsid w:val="00AD7B67"/>
    <w:rsid w:val="00AE12CD"/>
    <w:rsid w:val="00AF1DC4"/>
    <w:rsid w:val="00AF32F2"/>
    <w:rsid w:val="00AF4B6E"/>
    <w:rsid w:val="00B018E3"/>
    <w:rsid w:val="00B1381C"/>
    <w:rsid w:val="00B1422D"/>
    <w:rsid w:val="00B16372"/>
    <w:rsid w:val="00B20780"/>
    <w:rsid w:val="00B24930"/>
    <w:rsid w:val="00B3407F"/>
    <w:rsid w:val="00B41267"/>
    <w:rsid w:val="00B41F71"/>
    <w:rsid w:val="00B5301A"/>
    <w:rsid w:val="00B53D5C"/>
    <w:rsid w:val="00B545FD"/>
    <w:rsid w:val="00B63139"/>
    <w:rsid w:val="00B65270"/>
    <w:rsid w:val="00B86284"/>
    <w:rsid w:val="00B91FA9"/>
    <w:rsid w:val="00BA1C7D"/>
    <w:rsid w:val="00BA5743"/>
    <w:rsid w:val="00BA7C56"/>
    <w:rsid w:val="00BC302C"/>
    <w:rsid w:val="00BC77EF"/>
    <w:rsid w:val="00BD488B"/>
    <w:rsid w:val="00BD6EEC"/>
    <w:rsid w:val="00C00D70"/>
    <w:rsid w:val="00C01698"/>
    <w:rsid w:val="00C068E0"/>
    <w:rsid w:val="00C06913"/>
    <w:rsid w:val="00C256AC"/>
    <w:rsid w:val="00C25BB7"/>
    <w:rsid w:val="00C2647E"/>
    <w:rsid w:val="00C37770"/>
    <w:rsid w:val="00C41A65"/>
    <w:rsid w:val="00C44BC5"/>
    <w:rsid w:val="00C47083"/>
    <w:rsid w:val="00C510DD"/>
    <w:rsid w:val="00C55853"/>
    <w:rsid w:val="00C57485"/>
    <w:rsid w:val="00C60EDC"/>
    <w:rsid w:val="00C61BCC"/>
    <w:rsid w:val="00C71122"/>
    <w:rsid w:val="00C81332"/>
    <w:rsid w:val="00C867EB"/>
    <w:rsid w:val="00C86C40"/>
    <w:rsid w:val="00C86D7B"/>
    <w:rsid w:val="00C9375F"/>
    <w:rsid w:val="00C972E4"/>
    <w:rsid w:val="00CA495F"/>
    <w:rsid w:val="00CA4B7D"/>
    <w:rsid w:val="00CA4F8C"/>
    <w:rsid w:val="00CA59C3"/>
    <w:rsid w:val="00CB42C4"/>
    <w:rsid w:val="00CB5C60"/>
    <w:rsid w:val="00CB6630"/>
    <w:rsid w:val="00CB75A8"/>
    <w:rsid w:val="00CC366F"/>
    <w:rsid w:val="00CC376A"/>
    <w:rsid w:val="00CD061C"/>
    <w:rsid w:val="00CD227B"/>
    <w:rsid w:val="00CD7DBB"/>
    <w:rsid w:val="00CE34E4"/>
    <w:rsid w:val="00CE5550"/>
    <w:rsid w:val="00CF511E"/>
    <w:rsid w:val="00CF734E"/>
    <w:rsid w:val="00CF793D"/>
    <w:rsid w:val="00D009B9"/>
    <w:rsid w:val="00D018D3"/>
    <w:rsid w:val="00D037AB"/>
    <w:rsid w:val="00D05A7F"/>
    <w:rsid w:val="00D06EF5"/>
    <w:rsid w:val="00D20588"/>
    <w:rsid w:val="00D25C92"/>
    <w:rsid w:val="00D31FF3"/>
    <w:rsid w:val="00D3369F"/>
    <w:rsid w:val="00D34087"/>
    <w:rsid w:val="00D40D3F"/>
    <w:rsid w:val="00D430F7"/>
    <w:rsid w:val="00D72E0B"/>
    <w:rsid w:val="00D734E6"/>
    <w:rsid w:val="00D80FBD"/>
    <w:rsid w:val="00D925EA"/>
    <w:rsid w:val="00DA403C"/>
    <w:rsid w:val="00DA5A72"/>
    <w:rsid w:val="00DB14A2"/>
    <w:rsid w:val="00DC385C"/>
    <w:rsid w:val="00DC4E36"/>
    <w:rsid w:val="00DC738F"/>
    <w:rsid w:val="00DE00F4"/>
    <w:rsid w:val="00DF19E8"/>
    <w:rsid w:val="00DF401D"/>
    <w:rsid w:val="00DF56DA"/>
    <w:rsid w:val="00DF739D"/>
    <w:rsid w:val="00E02AB2"/>
    <w:rsid w:val="00E05FA3"/>
    <w:rsid w:val="00E07437"/>
    <w:rsid w:val="00E11CA6"/>
    <w:rsid w:val="00E14565"/>
    <w:rsid w:val="00E14BA3"/>
    <w:rsid w:val="00E20612"/>
    <w:rsid w:val="00E20D62"/>
    <w:rsid w:val="00E21C81"/>
    <w:rsid w:val="00E323F4"/>
    <w:rsid w:val="00E4319E"/>
    <w:rsid w:val="00E53CD3"/>
    <w:rsid w:val="00E55D46"/>
    <w:rsid w:val="00E57AAC"/>
    <w:rsid w:val="00E636D7"/>
    <w:rsid w:val="00E64A48"/>
    <w:rsid w:val="00E70827"/>
    <w:rsid w:val="00E72069"/>
    <w:rsid w:val="00E7335D"/>
    <w:rsid w:val="00E77D58"/>
    <w:rsid w:val="00E8017E"/>
    <w:rsid w:val="00E8723F"/>
    <w:rsid w:val="00E87A4F"/>
    <w:rsid w:val="00E9414F"/>
    <w:rsid w:val="00EA18BE"/>
    <w:rsid w:val="00EA242E"/>
    <w:rsid w:val="00EB1FF5"/>
    <w:rsid w:val="00EB3E6F"/>
    <w:rsid w:val="00EC0232"/>
    <w:rsid w:val="00EC1414"/>
    <w:rsid w:val="00EC45EA"/>
    <w:rsid w:val="00EC4688"/>
    <w:rsid w:val="00ED0F93"/>
    <w:rsid w:val="00ED1E6E"/>
    <w:rsid w:val="00ED5560"/>
    <w:rsid w:val="00EE3253"/>
    <w:rsid w:val="00EE674C"/>
    <w:rsid w:val="00EF7683"/>
    <w:rsid w:val="00F12DC2"/>
    <w:rsid w:val="00F152DF"/>
    <w:rsid w:val="00F25D12"/>
    <w:rsid w:val="00F27D6C"/>
    <w:rsid w:val="00F421CB"/>
    <w:rsid w:val="00F436F8"/>
    <w:rsid w:val="00F47A39"/>
    <w:rsid w:val="00F65BD2"/>
    <w:rsid w:val="00F7215D"/>
    <w:rsid w:val="00F824D8"/>
    <w:rsid w:val="00F97B37"/>
    <w:rsid w:val="00FA3DDA"/>
    <w:rsid w:val="00FA4A60"/>
    <w:rsid w:val="00FA7E6B"/>
    <w:rsid w:val="00FB0BA8"/>
    <w:rsid w:val="00FB16E6"/>
    <w:rsid w:val="00FB44C6"/>
    <w:rsid w:val="00FC1142"/>
    <w:rsid w:val="00FD1DF0"/>
    <w:rsid w:val="00FD336E"/>
    <w:rsid w:val="00FD66F1"/>
    <w:rsid w:val="00F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1C"/>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 w:type="table" w:styleId="TableGrid">
    <w:name w:val="Table Grid"/>
    <w:basedOn w:val="TableNormal"/>
    <w:rsid w:val="00541C4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1C"/>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 w:type="table" w:styleId="TableGrid">
    <w:name w:val="Table Grid"/>
    <w:basedOn w:val="TableNormal"/>
    <w:rsid w:val="00541C4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483">
      <w:bodyDiv w:val="1"/>
      <w:marLeft w:val="0"/>
      <w:marRight w:val="0"/>
      <w:marTop w:val="0"/>
      <w:marBottom w:val="0"/>
      <w:divBdr>
        <w:top w:val="none" w:sz="0" w:space="0" w:color="auto"/>
        <w:left w:val="none" w:sz="0" w:space="0" w:color="auto"/>
        <w:bottom w:val="none" w:sz="0" w:space="0" w:color="auto"/>
        <w:right w:val="none" w:sz="0" w:space="0" w:color="auto"/>
      </w:divBdr>
    </w:div>
    <w:div w:id="270867530">
      <w:bodyDiv w:val="1"/>
      <w:marLeft w:val="0"/>
      <w:marRight w:val="0"/>
      <w:marTop w:val="0"/>
      <w:marBottom w:val="0"/>
      <w:divBdr>
        <w:top w:val="none" w:sz="0" w:space="0" w:color="auto"/>
        <w:left w:val="none" w:sz="0" w:space="0" w:color="auto"/>
        <w:bottom w:val="none" w:sz="0" w:space="0" w:color="auto"/>
        <w:right w:val="none" w:sz="0" w:space="0" w:color="auto"/>
      </w:divBdr>
    </w:div>
    <w:div w:id="633489383">
      <w:bodyDiv w:val="1"/>
      <w:marLeft w:val="0"/>
      <w:marRight w:val="0"/>
      <w:marTop w:val="0"/>
      <w:marBottom w:val="0"/>
      <w:divBdr>
        <w:top w:val="none" w:sz="0" w:space="0" w:color="auto"/>
        <w:left w:val="none" w:sz="0" w:space="0" w:color="auto"/>
        <w:bottom w:val="none" w:sz="0" w:space="0" w:color="auto"/>
        <w:right w:val="none" w:sz="0" w:space="0" w:color="auto"/>
      </w:divBdr>
    </w:div>
    <w:div w:id="845171732">
      <w:bodyDiv w:val="1"/>
      <w:marLeft w:val="0"/>
      <w:marRight w:val="0"/>
      <w:marTop w:val="0"/>
      <w:marBottom w:val="0"/>
      <w:divBdr>
        <w:top w:val="none" w:sz="0" w:space="0" w:color="auto"/>
        <w:left w:val="none" w:sz="0" w:space="0" w:color="auto"/>
        <w:bottom w:val="none" w:sz="0" w:space="0" w:color="auto"/>
        <w:right w:val="none" w:sz="0" w:space="0" w:color="auto"/>
      </w:divBdr>
    </w:div>
    <w:div w:id="941842503">
      <w:bodyDiv w:val="1"/>
      <w:marLeft w:val="0"/>
      <w:marRight w:val="0"/>
      <w:marTop w:val="0"/>
      <w:marBottom w:val="0"/>
      <w:divBdr>
        <w:top w:val="none" w:sz="0" w:space="0" w:color="auto"/>
        <w:left w:val="none" w:sz="0" w:space="0" w:color="auto"/>
        <w:bottom w:val="none" w:sz="0" w:space="0" w:color="auto"/>
        <w:right w:val="none" w:sz="0" w:space="0" w:color="auto"/>
      </w:divBdr>
    </w:div>
    <w:div w:id="1175533537">
      <w:bodyDiv w:val="1"/>
      <w:marLeft w:val="0"/>
      <w:marRight w:val="0"/>
      <w:marTop w:val="0"/>
      <w:marBottom w:val="0"/>
      <w:divBdr>
        <w:top w:val="none" w:sz="0" w:space="0" w:color="auto"/>
        <w:left w:val="none" w:sz="0" w:space="0" w:color="auto"/>
        <w:bottom w:val="none" w:sz="0" w:space="0" w:color="auto"/>
        <w:right w:val="none" w:sz="0" w:space="0" w:color="auto"/>
      </w:divBdr>
    </w:div>
    <w:div w:id="1375235784">
      <w:bodyDiv w:val="1"/>
      <w:marLeft w:val="0"/>
      <w:marRight w:val="0"/>
      <w:marTop w:val="0"/>
      <w:marBottom w:val="0"/>
      <w:divBdr>
        <w:top w:val="none" w:sz="0" w:space="0" w:color="auto"/>
        <w:left w:val="none" w:sz="0" w:space="0" w:color="auto"/>
        <w:bottom w:val="none" w:sz="0" w:space="0" w:color="auto"/>
        <w:right w:val="none" w:sz="0" w:space="0" w:color="auto"/>
      </w:divBdr>
    </w:div>
    <w:div w:id="20880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 TargetMode="External"/><Relationship Id="rId1"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725P1</_x0031__x002e__x0020_Collection_x0020_Number>
    <Date xmlns="d6eefc7d-9817-4fa6-84d5-3bc009be21b8">2016-03-10T00:00:00-05:00</Date>
    <Status xmlns="d6eefc7d-9817-4fa6-84d5-3bc009be21b8">Draft</Status>
    <_x0032__x002e__x0020_Docket_x0020_Number xmlns="d6eefc7d-9817-4fa6-84d5-3bc009be21b8" xsi:nil="true"/>
    <_x0032__x002e__x0020_Collection_x0020_Number xmlns="d6eefc7d-9817-4fa6-84d5-3bc009be21b8">725P</_x0032__x002e__x0020_Collection_x0020_Number>
    <_x0031__x002e__x0020_Docket_x0020_Number xmlns="d6eefc7d-9817-4fa6-84d5-3bc009be21b8">RD16-2</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CB2A-8010-4082-A8E8-764905A58D25}">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d6eefc7d-9817-4fa6-84d5-3bc009be21b8"/>
    <ds:schemaRef ds:uri="http://www.w3.org/XML/1998/namespace"/>
    <ds:schemaRef ds:uri="http://purl.org/dc/dcmitype/"/>
  </ds:schemaRefs>
</ds:datastoreItem>
</file>

<file path=customXml/itemProps2.xml><?xml version="1.0" encoding="utf-8"?>
<ds:datastoreItem xmlns:ds="http://schemas.openxmlformats.org/officeDocument/2006/customXml" ds:itemID="{4ECC3E51-C8B3-4EFB-B940-C70B42BC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88CC6-4B3C-4F46-A507-85E12A375553}">
  <ds:schemaRefs>
    <ds:schemaRef ds:uri="http://schemas.microsoft.com/office/2006/metadata/customXsn"/>
  </ds:schemaRefs>
</ds:datastoreItem>
</file>

<file path=customXml/itemProps4.xml><?xml version="1.0" encoding="utf-8"?>
<ds:datastoreItem xmlns:ds="http://schemas.openxmlformats.org/officeDocument/2006/customXml" ds:itemID="{09AC96BB-788A-4436-9F20-3C2CCEF5FD5E}">
  <ds:schemaRefs>
    <ds:schemaRef ds:uri="http://schemas.microsoft.com/sharepoint/v3/contenttype/forms"/>
  </ds:schemaRefs>
</ds:datastoreItem>
</file>

<file path=customXml/itemProps5.xml><?xml version="1.0" encoding="utf-8"?>
<ds:datastoreItem xmlns:ds="http://schemas.openxmlformats.org/officeDocument/2006/customXml" ds:itemID="{382C8EAA-24FB-426F-90A9-15177047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RD16-2-000 supporting statement 725P_725P1</vt:lpstr>
    </vt:vector>
  </TitlesOfParts>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RD16-2-000 supporting statement 725P_725P1</dc:title>
  <dc:creator/>
  <cp:lastModifiedBy/>
  <cp:revision>1</cp:revision>
  <dcterms:created xsi:type="dcterms:W3CDTF">2016-03-03T14:07:00Z</dcterms:created>
  <dcterms:modified xsi:type="dcterms:W3CDTF">2016-03-10T14:23:00Z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