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3CA4A" w14:textId="77777777" w:rsidR="00B3407F" w:rsidRPr="00B16372" w:rsidRDefault="00B3407F" w:rsidP="00314874">
      <w:pPr>
        <w:spacing w:after="0"/>
        <w:jc w:val="center"/>
        <w:rPr>
          <w:rFonts w:ascii="Times New Roman" w:hAnsi="Times New Roman"/>
          <w:sz w:val="24"/>
          <w:szCs w:val="24"/>
        </w:rPr>
      </w:pPr>
      <w:r w:rsidRPr="00B16372">
        <w:rPr>
          <w:rFonts w:ascii="Times New Roman" w:hAnsi="Times New Roman"/>
          <w:sz w:val="24"/>
          <w:szCs w:val="24"/>
        </w:rPr>
        <w:t>Supporting Statement</w:t>
      </w:r>
    </w:p>
    <w:p w14:paraId="73F463E1" w14:textId="38CF475A" w:rsidR="00B3407F" w:rsidRPr="00B16372" w:rsidRDefault="00B3407F" w:rsidP="00314874">
      <w:pPr>
        <w:spacing w:after="0"/>
        <w:jc w:val="center"/>
        <w:rPr>
          <w:rFonts w:ascii="Times New Roman" w:hAnsi="Times New Roman"/>
          <w:b/>
          <w:sz w:val="24"/>
          <w:szCs w:val="24"/>
        </w:rPr>
      </w:pPr>
      <w:r w:rsidRPr="00B16372">
        <w:rPr>
          <w:rFonts w:ascii="Times New Roman" w:hAnsi="Times New Roman"/>
          <w:b/>
          <w:sz w:val="24"/>
          <w:szCs w:val="24"/>
        </w:rPr>
        <w:t>FERC-725</w:t>
      </w:r>
      <w:r w:rsidR="00A62E6A">
        <w:rPr>
          <w:rFonts w:ascii="Times New Roman" w:hAnsi="Times New Roman"/>
          <w:b/>
          <w:sz w:val="24"/>
          <w:szCs w:val="24"/>
        </w:rPr>
        <w:t>G</w:t>
      </w:r>
      <w:r w:rsidRPr="00B16372">
        <w:rPr>
          <w:rFonts w:ascii="Times New Roman" w:hAnsi="Times New Roman"/>
          <w:b/>
          <w:sz w:val="24"/>
          <w:szCs w:val="24"/>
        </w:rPr>
        <w:t>, Mandatory Reliability Standards</w:t>
      </w:r>
      <w:r w:rsidR="006E33D4">
        <w:rPr>
          <w:rFonts w:ascii="Times New Roman" w:hAnsi="Times New Roman"/>
          <w:b/>
          <w:sz w:val="24"/>
          <w:szCs w:val="24"/>
        </w:rPr>
        <w:t xml:space="preserve">: </w:t>
      </w:r>
      <w:r w:rsidR="000E7A2C">
        <w:rPr>
          <w:rFonts w:ascii="Times New Roman" w:hAnsi="Times New Roman"/>
          <w:b/>
          <w:sz w:val="24"/>
          <w:szCs w:val="24"/>
        </w:rPr>
        <w:t>PRC-026-1</w:t>
      </w:r>
      <w:r w:rsidR="00B63139" w:rsidRPr="00177077">
        <w:rPr>
          <w:rFonts w:ascii="Times New Roman" w:hAnsi="Times New Roman"/>
          <w:b/>
          <w:sz w:val="24"/>
          <w:szCs w:val="24"/>
          <w:vertAlign w:val="superscript"/>
        </w:rPr>
        <w:t xml:space="preserve"> </w:t>
      </w:r>
      <w:r w:rsidR="006E33D4">
        <w:rPr>
          <w:rFonts w:ascii="Times New Roman" w:hAnsi="Times New Roman"/>
          <w:b/>
          <w:sz w:val="24"/>
          <w:szCs w:val="24"/>
        </w:rPr>
        <w:t>Reliability Standard</w:t>
      </w:r>
      <w:r w:rsidR="00E44A59">
        <w:rPr>
          <w:rFonts w:ascii="Times New Roman" w:hAnsi="Times New Roman"/>
          <w:b/>
          <w:sz w:val="24"/>
          <w:szCs w:val="24"/>
        </w:rPr>
        <w:t xml:space="preserve"> (Relay Performance During Stable Power Swings)</w:t>
      </w:r>
      <w:r w:rsidR="00B63139">
        <w:rPr>
          <w:rFonts w:ascii="Times New Roman" w:hAnsi="Times New Roman"/>
          <w:b/>
          <w:sz w:val="24"/>
          <w:szCs w:val="24"/>
        </w:rPr>
        <w:t xml:space="preserve">, </w:t>
      </w:r>
      <w:r w:rsidR="00212FCA">
        <w:rPr>
          <w:rFonts w:ascii="Times New Roman" w:hAnsi="Times New Roman"/>
          <w:b/>
          <w:sz w:val="24"/>
          <w:szCs w:val="24"/>
        </w:rPr>
        <w:t xml:space="preserve"> </w:t>
      </w:r>
    </w:p>
    <w:p w14:paraId="01A89744" w14:textId="0E3C419B" w:rsidR="00B3407F" w:rsidRPr="00B16372" w:rsidRDefault="00B63139" w:rsidP="00314874">
      <w:pPr>
        <w:spacing w:after="0"/>
        <w:jc w:val="center"/>
        <w:rPr>
          <w:rFonts w:ascii="Times New Roman" w:hAnsi="Times New Roman"/>
          <w:sz w:val="24"/>
          <w:szCs w:val="24"/>
        </w:rPr>
      </w:pPr>
      <w:r>
        <w:rPr>
          <w:rFonts w:ascii="Times New Roman" w:hAnsi="Times New Roman"/>
          <w:sz w:val="24"/>
          <w:szCs w:val="24"/>
        </w:rPr>
        <w:t xml:space="preserve">as </w:t>
      </w:r>
      <w:r w:rsidR="00A62E6A">
        <w:rPr>
          <w:rFonts w:ascii="Times New Roman" w:hAnsi="Times New Roman"/>
          <w:sz w:val="24"/>
          <w:szCs w:val="24"/>
        </w:rPr>
        <w:t>approved</w:t>
      </w:r>
      <w:r w:rsidR="00632E66">
        <w:rPr>
          <w:rFonts w:ascii="Times New Roman" w:hAnsi="Times New Roman"/>
          <w:sz w:val="24"/>
          <w:szCs w:val="24"/>
        </w:rPr>
        <w:t xml:space="preserve"> </w:t>
      </w:r>
      <w:r w:rsidR="00A62E6A">
        <w:rPr>
          <w:rFonts w:ascii="Times New Roman" w:hAnsi="Times New Roman"/>
          <w:sz w:val="24"/>
          <w:szCs w:val="24"/>
        </w:rPr>
        <w:t>in Final Rule</w:t>
      </w:r>
      <w:r w:rsidR="00AF32F2" w:rsidRPr="00B16372">
        <w:rPr>
          <w:rFonts w:ascii="Times New Roman" w:hAnsi="Times New Roman"/>
          <w:sz w:val="24"/>
          <w:szCs w:val="24"/>
        </w:rPr>
        <w:t xml:space="preserve"> in</w:t>
      </w:r>
      <w:r w:rsidR="00B3407F" w:rsidRPr="00B16372">
        <w:rPr>
          <w:rFonts w:ascii="Times New Roman" w:hAnsi="Times New Roman"/>
          <w:sz w:val="24"/>
          <w:szCs w:val="24"/>
        </w:rPr>
        <w:t xml:space="preserve"> RM1</w:t>
      </w:r>
      <w:r>
        <w:rPr>
          <w:rFonts w:ascii="Times New Roman" w:hAnsi="Times New Roman"/>
          <w:sz w:val="24"/>
          <w:szCs w:val="24"/>
        </w:rPr>
        <w:t>5</w:t>
      </w:r>
      <w:r w:rsidR="000E7A2C">
        <w:rPr>
          <w:rFonts w:ascii="Times New Roman" w:hAnsi="Times New Roman"/>
          <w:sz w:val="24"/>
          <w:szCs w:val="24"/>
        </w:rPr>
        <w:t>-8</w:t>
      </w:r>
      <w:r w:rsidR="00B3407F" w:rsidRPr="00B16372">
        <w:rPr>
          <w:rFonts w:ascii="Times New Roman" w:hAnsi="Times New Roman"/>
          <w:sz w:val="24"/>
          <w:szCs w:val="24"/>
        </w:rPr>
        <w:t>-000</w:t>
      </w:r>
    </w:p>
    <w:p w14:paraId="7FDB6396" w14:textId="77777777" w:rsidR="00FD66F1" w:rsidRPr="00B16372" w:rsidRDefault="00FD66F1" w:rsidP="00314874">
      <w:pPr>
        <w:spacing w:after="0"/>
        <w:rPr>
          <w:rFonts w:ascii="Times New Roman" w:hAnsi="Times New Roman" w:cs="Times New Roman"/>
          <w:sz w:val="24"/>
          <w:szCs w:val="24"/>
        </w:rPr>
      </w:pPr>
    </w:p>
    <w:p w14:paraId="1FCA28B3" w14:textId="7486FA22" w:rsidR="00876154" w:rsidRDefault="00C37770" w:rsidP="00314874">
      <w:pPr>
        <w:spacing w:after="0"/>
        <w:rPr>
          <w:rFonts w:ascii="Times New Roman" w:hAnsi="Times New Roman"/>
          <w:sz w:val="24"/>
          <w:szCs w:val="24"/>
        </w:rPr>
      </w:pPr>
      <w:r>
        <w:rPr>
          <w:rFonts w:ascii="Times New Roman" w:hAnsi="Times New Roman"/>
          <w:sz w:val="24"/>
          <w:szCs w:val="24"/>
        </w:rPr>
        <w:t>The reporting and recordk</w:t>
      </w:r>
      <w:r w:rsidR="004C01C2">
        <w:rPr>
          <w:rFonts w:ascii="Times New Roman" w:hAnsi="Times New Roman"/>
          <w:sz w:val="24"/>
          <w:szCs w:val="24"/>
        </w:rPr>
        <w:t>eeping requirements for the</w:t>
      </w:r>
      <w:r>
        <w:rPr>
          <w:rFonts w:ascii="Times New Roman" w:hAnsi="Times New Roman"/>
          <w:sz w:val="24"/>
          <w:szCs w:val="24"/>
        </w:rPr>
        <w:t xml:space="preserve"> Reliability Standard </w:t>
      </w:r>
      <w:r w:rsidR="00B344D8">
        <w:rPr>
          <w:rFonts w:ascii="Times New Roman" w:hAnsi="Times New Roman"/>
          <w:sz w:val="24"/>
          <w:szCs w:val="24"/>
        </w:rPr>
        <w:t>PRC</w:t>
      </w:r>
      <w:r>
        <w:rPr>
          <w:rFonts w:ascii="Times New Roman" w:hAnsi="Times New Roman"/>
          <w:sz w:val="24"/>
          <w:szCs w:val="24"/>
        </w:rPr>
        <w:t>-0</w:t>
      </w:r>
      <w:r w:rsidR="00B344D8">
        <w:rPr>
          <w:rFonts w:ascii="Times New Roman" w:hAnsi="Times New Roman"/>
          <w:sz w:val="24"/>
          <w:szCs w:val="24"/>
        </w:rPr>
        <w:t>26</w:t>
      </w:r>
      <w:r>
        <w:rPr>
          <w:rFonts w:ascii="Times New Roman" w:hAnsi="Times New Roman"/>
          <w:sz w:val="24"/>
          <w:szCs w:val="24"/>
        </w:rPr>
        <w:t xml:space="preserve">-1 </w:t>
      </w:r>
      <w:r w:rsidR="0087477C" w:rsidRPr="0087477C">
        <w:rPr>
          <w:rFonts w:ascii="Times New Roman" w:hAnsi="Times New Roman"/>
          <w:sz w:val="24"/>
          <w:szCs w:val="24"/>
        </w:rPr>
        <w:t>(</w:t>
      </w:r>
      <w:r w:rsidR="00B344D8" w:rsidRPr="00B344D8">
        <w:rPr>
          <w:rFonts w:ascii="Times New Roman" w:hAnsi="Times New Roman"/>
          <w:sz w:val="24"/>
          <w:szCs w:val="24"/>
        </w:rPr>
        <w:t>Relay Performance During Stable P</w:t>
      </w:r>
      <w:r w:rsidR="00E44A59">
        <w:rPr>
          <w:rFonts w:ascii="Times New Roman" w:hAnsi="Times New Roman"/>
          <w:sz w:val="24"/>
          <w:szCs w:val="24"/>
        </w:rPr>
        <w:t>ower Swings</w:t>
      </w:r>
      <w:r w:rsidR="0087477C" w:rsidRPr="0087477C">
        <w:rPr>
          <w:rFonts w:ascii="Times New Roman" w:hAnsi="Times New Roman"/>
          <w:sz w:val="24"/>
          <w:szCs w:val="24"/>
        </w:rPr>
        <w:t>)</w:t>
      </w:r>
      <w:r w:rsidR="0087477C">
        <w:rPr>
          <w:rFonts w:ascii="Times New Roman" w:hAnsi="Times New Roman"/>
          <w:sz w:val="24"/>
          <w:szCs w:val="24"/>
        </w:rPr>
        <w:t xml:space="preserve"> </w:t>
      </w:r>
      <w:r w:rsidR="001A1EAE">
        <w:rPr>
          <w:rFonts w:ascii="Times New Roman" w:hAnsi="Times New Roman"/>
          <w:sz w:val="24"/>
          <w:szCs w:val="24"/>
        </w:rPr>
        <w:t>will be added to FERC-725G</w:t>
      </w:r>
      <w:r w:rsidR="00A72607">
        <w:rPr>
          <w:rFonts w:ascii="Times New Roman" w:hAnsi="Times New Roman"/>
          <w:sz w:val="24"/>
          <w:szCs w:val="24"/>
        </w:rPr>
        <w:t>, as discussed in the Final Rule</w:t>
      </w:r>
      <w:r>
        <w:rPr>
          <w:rFonts w:ascii="Times New Roman" w:hAnsi="Times New Roman"/>
          <w:sz w:val="24"/>
          <w:szCs w:val="24"/>
        </w:rPr>
        <w:t xml:space="preserve"> in Docket No. RM15-</w:t>
      </w:r>
      <w:r w:rsidR="00B344D8">
        <w:rPr>
          <w:rFonts w:ascii="Times New Roman" w:hAnsi="Times New Roman"/>
          <w:sz w:val="24"/>
          <w:szCs w:val="24"/>
        </w:rPr>
        <w:t>8</w:t>
      </w:r>
      <w:r w:rsidR="00640C78">
        <w:rPr>
          <w:rFonts w:ascii="Times New Roman" w:hAnsi="Times New Roman"/>
          <w:sz w:val="24"/>
          <w:szCs w:val="24"/>
        </w:rPr>
        <w:t>-000</w:t>
      </w:r>
      <w:r w:rsidR="00CF793D" w:rsidRPr="000E18A0">
        <w:rPr>
          <w:rStyle w:val="FootnoteReference"/>
          <w:rFonts w:ascii="Times New Roman" w:hAnsi="Times New Roman"/>
          <w:sz w:val="24"/>
          <w:szCs w:val="24"/>
          <w:vertAlign w:val="superscript"/>
        </w:rPr>
        <w:footnoteReference w:id="1"/>
      </w:r>
      <w:r w:rsidR="00A72607">
        <w:rPr>
          <w:rFonts w:ascii="Times New Roman" w:hAnsi="Times New Roman"/>
          <w:sz w:val="24"/>
          <w:szCs w:val="24"/>
        </w:rPr>
        <w:t xml:space="preserve"> and this supporting statement.</w:t>
      </w:r>
      <w:r>
        <w:rPr>
          <w:rFonts w:ascii="Times New Roman" w:hAnsi="Times New Roman"/>
          <w:sz w:val="24"/>
          <w:szCs w:val="24"/>
        </w:rPr>
        <w:t xml:space="preserve"> The Federal Energy Regulatory Commission (FERC or Commission) is requesting that the Office of Management and Budget (OMB) approve the reporting and record</w:t>
      </w:r>
      <w:r w:rsidR="00A72607">
        <w:rPr>
          <w:rFonts w:ascii="Times New Roman" w:hAnsi="Times New Roman"/>
          <w:sz w:val="24"/>
          <w:szCs w:val="24"/>
        </w:rPr>
        <w:t>keeping requirements in</w:t>
      </w:r>
      <w:r>
        <w:rPr>
          <w:rFonts w:ascii="Times New Roman" w:hAnsi="Times New Roman"/>
          <w:sz w:val="24"/>
          <w:szCs w:val="24"/>
        </w:rPr>
        <w:t xml:space="preserve"> Reliability Standard </w:t>
      </w:r>
      <w:r w:rsidR="00B344D8">
        <w:rPr>
          <w:rFonts w:ascii="Times New Roman" w:hAnsi="Times New Roman"/>
          <w:sz w:val="24"/>
          <w:szCs w:val="24"/>
        </w:rPr>
        <w:t>PRC-026-1</w:t>
      </w:r>
      <w:r w:rsidR="00A72607">
        <w:rPr>
          <w:rFonts w:ascii="Times New Roman" w:hAnsi="Times New Roman"/>
          <w:sz w:val="24"/>
          <w:szCs w:val="24"/>
        </w:rPr>
        <w:t xml:space="preserve"> in the Final Rule</w:t>
      </w:r>
      <w:r w:rsidR="00381D71">
        <w:rPr>
          <w:rFonts w:ascii="Times New Roman" w:hAnsi="Times New Roman"/>
          <w:sz w:val="24"/>
          <w:szCs w:val="24"/>
        </w:rPr>
        <w:t xml:space="preserve"> in RM15-</w:t>
      </w:r>
      <w:r w:rsidR="00B344D8">
        <w:rPr>
          <w:rFonts w:ascii="Times New Roman" w:hAnsi="Times New Roman"/>
          <w:sz w:val="24"/>
          <w:szCs w:val="24"/>
        </w:rPr>
        <w:t>8</w:t>
      </w:r>
      <w:r w:rsidR="001560BD">
        <w:rPr>
          <w:rFonts w:ascii="Times New Roman" w:hAnsi="Times New Roman"/>
          <w:sz w:val="24"/>
          <w:szCs w:val="24"/>
        </w:rPr>
        <w:t>-000</w:t>
      </w:r>
      <w:r w:rsidR="00CF793D">
        <w:rPr>
          <w:rFonts w:ascii="Times New Roman" w:hAnsi="Times New Roman"/>
          <w:sz w:val="24"/>
          <w:szCs w:val="24"/>
        </w:rPr>
        <w:t>.</w:t>
      </w:r>
    </w:p>
    <w:p w14:paraId="7CA1761F" w14:textId="77777777" w:rsidR="00C37770" w:rsidRDefault="00C37770" w:rsidP="00314874">
      <w:pPr>
        <w:spacing w:after="0"/>
        <w:rPr>
          <w:rFonts w:ascii="Times New Roman" w:hAnsi="Times New Roman"/>
          <w:sz w:val="24"/>
          <w:szCs w:val="24"/>
        </w:rPr>
      </w:pPr>
    </w:p>
    <w:p w14:paraId="69F1681D" w14:textId="51FEA09A" w:rsidR="00A72E7B" w:rsidRPr="00B16372" w:rsidRDefault="00A72E7B" w:rsidP="00314874">
      <w:pPr>
        <w:pStyle w:val="ListParagraph"/>
        <w:numPr>
          <w:ilvl w:val="0"/>
          <w:numId w:val="1"/>
        </w:numPr>
        <w:spacing w:after="0"/>
        <w:ind w:left="360"/>
        <w:rPr>
          <w:rFonts w:ascii="Times New Roman" w:hAnsi="Times New Roman" w:cs="Times New Roman"/>
          <w:b/>
          <w:sz w:val="24"/>
          <w:szCs w:val="24"/>
        </w:rPr>
      </w:pPr>
      <w:r w:rsidRPr="00B16372">
        <w:rPr>
          <w:rFonts w:ascii="Times New Roman" w:hAnsi="Times New Roman" w:cs="Times New Roman"/>
          <w:b/>
          <w:sz w:val="24"/>
          <w:szCs w:val="24"/>
        </w:rPr>
        <w:t>CIRCUMSTANCES THAT MAKE THE COLLECTION OF INFORMATION NECESSARY</w:t>
      </w:r>
    </w:p>
    <w:p w14:paraId="6D33FE6B" w14:textId="77777777" w:rsidR="00A72E7B" w:rsidRPr="00B16372" w:rsidRDefault="00A72E7B" w:rsidP="00314874">
      <w:pPr>
        <w:spacing w:after="0"/>
        <w:rPr>
          <w:rFonts w:ascii="Times New Roman" w:hAnsi="Times New Roman" w:cs="Times New Roman"/>
          <w:sz w:val="24"/>
          <w:szCs w:val="24"/>
        </w:rPr>
      </w:pPr>
    </w:p>
    <w:p w14:paraId="7EB43F8F" w14:textId="7F3C327D" w:rsidR="00DF401D" w:rsidRPr="00E44A59" w:rsidRDefault="00DF401D" w:rsidP="00314874">
      <w:pPr>
        <w:pStyle w:val="FERCparanumber"/>
        <w:widowControl/>
        <w:numPr>
          <w:ilvl w:val="0"/>
          <w:numId w:val="0"/>
        </w:numPr>
        <w:spacing w:line="276" w:lineRule="auto"/>
        <w:rPr>
          <w:sz w:val="24"/>
        </w:rPr>
      </w:pPr>
      <w:r w:rsidRPr="00E44A59">
        <w:rPr>
          <w:sz w:val="24"/>
        </w:rPr>
        <w:t>On August 8, 2005, The Electricity Modernization Act of 2005, which is Title XII of the Energy Policy Act of 2005 (EPAct 2005), was enacted into law.</w:t>
      </w:r>
      <w:r w:rsidRPr="00E44A59">
        <w:rPr>
          <w:rStyle w:val="FootnoteReference"/>
          <w:sz w:val="24"/>
          <w:vertAlign w:val="superscript"/>
        </w:rPr>
        <w:footnoteReference w:id="2"/>
      </w:r>
      <w:r w:rsidR="00E44A59" w:rsidRPr="00E44A59">
        <w:rPr>
          <w:sz w:val="24"/>
        </w:rPr>
        <w:t xml:space="preserve">  EPAct 2005 added a new S</w:t>
      </w:r>
      <w:r w:rsidRPr="00E44A59">
        <w:rPr>
          <w:sz w:val="24"/>
        </w:rPr>
        <w:t>ection 215 to the Federal Power Act (FPA), which requires a Commission-certified Electric Reliability Organization (ERO) to develop mandatory and enforceable Reliability Standards, which are subject to Commission review and approval.  Once approved</w:t>
      </w:r>
      <w:r w:rsidR="0081469B" w:rsidRPr="00E44A59">
        <w:rPr>
          <w:sz w:val="24"/>
        </w:rPr>
        <w:t>,</w:t>
      </w:r>
      <w:r w:rsidRPr="00E44A59">
        <w:rPr>
          <w:sz w:val="24"/>
        </w:rPr>
        <w:t xml:space="preserve"> </w:t>
      </w:r>
      <w:r w:rsidR="00A4052D" w:rsidRPr="00E44A59">
        <w:rPr>
          <w:sz w:val="24"/>
        </w:rPr>
        <w:t>the Reliability Standards are</w:t>
      </w:r>
      <w:r w:rsidR="009B4CC4" w:rsidRPr="00E44A59">
        <w:rPr>
          <w:sz w:val="24"/>
        </w:rPr>
        <w:t xml:space="preserve"> enforced by the ERO and</w:t>
      </w:r>
      <w:r w:rsidRPr="00E44A59">
        <w:rPr>
          <w:sz w:val="24"/>
        </w:rPr>
        <w:t xml:space="preserve"> subject to Commission oversight. </w:t>
      </w:r>
    </w:p>
    <w:p w14:paraId="63F75858" w14:textId="77777777" w:rsidR="00DF401D" w:rsidRPr="00E44A59" w:rsidRDefault="00DF401D" w:rsidP="00314874">
      <w:pPr>
        <w:spacing w:after="0"/>
        <w:rPr>
          <w:rFonts w:ascii="Times New Roman" w:hAnsi="Times New Roman" w:cs="Times New Roman"/>
          <w:sz w:val="24"/>
          <w:szCs w:val="24"/>
        </w:rPr>
      </w:pPr>
    </w:p>
    <w:p w14:paraId="2DAE51A2" w14:textId="5C7984EC" w:rsidR="008E3BFC" w:rsidRPr="00E44A59" w:rsidRDefault="008E3BFC" w:rsidP="00314874">
      <w:pPr>
        <w:spacing w:after="0"/>
        <w:rPr>
          <w:rFonts w:ascii="Times New Roman" w:eastAsia="Times New Roman" w:hAnsi="Times New Roman" w:cs="Times New Roman"/>
          <w:sz w:val="24"/>
          <w:szCs w:val="24"/>
        </w:rPr>
      </w:pPr>
      <w:r w:rsidRPr="00E44A59">
        <w:rPr>
          <w:rFonts w:ascii="Times New Roman" w:eastAsia="Times New Roman" w:hAnsi="Times New Roman" w:cs="Times New Roman"/>
          <w:sz w:val="24"/>
          <w:szCs w:val="24"/>
        </w:rPr>
        <w:t xml:space="preserve">On March 18, 2010, in Order No. 733, the Commission approved Reliability Standard PRC-023-1 (Transmission Relay Loadability) and directed NERC to develop a new Reliability Standard that requires the </w:t>
      </w:r>
      <w:r w:rsidRPr="00E44A59">
        <w:rPr>
          <w:rFonts w:ascii="Times New Roman" w:eastAsia="Times New Roman" w:hAnsi="Times New Roman" w:cs="Times New Roman"/>
          <w:sz w:val="24"/>
          <w:szCs w:val="24"/>
        </w:rPr>
        <w:lastRenderedPageBreak/>
        <w:t>use of protective relay systems that can differentiate between faults and stable power swings and, when necessary, retirement of protective relay systems that cannot meet this requirement.</w:t>
      </w:r>
      <w:r w:rsidRPr="00E44A59">
        <w:rPr>
          <w:rFonts w:ascii="Times New Roman" w:eastAsia="Times New Roman" w:hAnsi="Times New Roman" w:cs="Times New Roman"/>
          <w:b/>
          <w:sz w:val="24"/>
          <w:szCs w:val="24"/>
          <w:vertAlign w:val="superscript"/>
        </w:rPr>
        <w:footnoteReference w:id="3"/>
      </w:r>
      <w:r w:rsidRPr="00E44A59">
        <w:rPr>
          <w:rFonts w:ascii="Times New Roman" w:eastAsia="Times New Roman" w:hAnsi="Times New Roman" w:cs="Times New Roman"/>
          <w:sz w:val="24"/>
          <w:szCs w:val="24"/>
        </w:rPr>
        <w:t xml:space="preserve">  In Order No. 733, the Commission cited the findings of both NERC and the U.S.-Canada Power System Outage Task Force on the causes of the 2003 Northeast Blackout, explaining that the cascade during this event was accelerated by zone 2 and zone 3 relays that continued to operate because these devices could not distinguish between a dynamic, but stable, power swing and an actual fault.</w:t>
      </w:r>
      <w:r w:rsidRPr="00E44A59">
        <w:rPr>
          <w:rFonts w:ascii="Times New Roman" w:eastAsia="Times New Roman" w:hAnsi="Times New Roman" w:cs="Times New Roman"/>
          <w:b/>
          <w:sz w:val="24"/>
          <w:szCs w:val="24"/>
          <w:vertAlign w:val="superscript"/>
        </w:rPr>
        <w:footnoteReference w:id="4"/>
      </w:r>
      <w:r w:rsidRPr="00E44A59">
        <w:rPr>
          <w:rFonts w:ascii="Times New Roman" w:eastAsia="Times New Roman" w:hAnsi="Times New Roman" w:cs="Times New Roman"/>
          <w:sz w:val="24"/>
          <w:szCs w:val="24"/>
        </w:rPr>
        <w:t xml:space="preserve">  The Commission recognized that addressing stable power swings is a complex issue which impacted the 2003 Blackout, and yet there was no Reliability Standard that addresses the issue; therefore, the Commission directed NERC to develop a Reliability Standard to address undesirable relay operation due to stable power swings.</w:t>
      </w:r>
      <w:r w:rsidRPr="00E44A59">
        <w:rPr>
          <w:rFonts w:ascii="Times New Roman" w:eastAsia="Times New Roman" w:hAnsi="Times New Roman" w:cs="Times New Roman"/>
          <w:b/>
          <w:sz w:val="24"/>
          <w:szCs w:val="24"/>
          <w:vertAlign w:val="superscript"/>
        </w:rPr>
        <w:footnoteReference w:id="5"/>
      </w:r>
    </w:p>
    <w:p w14:paraId="5D0CA97D" w14:textId="77777777" w:rsidR="008E3BFC" w:rsidRPr="00E44A59" w:rsidRDefault="008E3BFC" w:rsidP="00314874">
      <w:pPr>
        <w:spacing w:after="0"/>
        <w:rPr>
          <w:rFonts w:ascii="Times New Roman" w:eastAsia="Times New Roman" w:hAnsi="Times New Roman" w:cs="Times New Roman"/>
          <w:sz w:val="24"/>
          <w:szCs w:val="24"/>
        </w:rPr>
      </w:pPr>
    </w:p>
    <w:p w14:paraId="49CF1333" w14:textId="72533FE7" w:rsidR="008E3BFC" w:rsidRPr="00E44A59" w:rsidRDefault="008E3BFC" w:rsidP="00314874">
      <w:pPr>
        <w:spacing w:after="0"/>
        <w:rPr>
          <w:rFonts w:ascii="Times New Roman" w:hAnsi="Times New Roman" w:cs="Times New Roman"/>
          <w:sz w:val="24"/>
          <w:szCs w:val="24"/>
        </w:rPr>
      </w:pPr>
      <w:r w:rsidRPr="00E44A59">
        <w:rPr>
          <w:rFonts w:ascii="Times New Roman" w:eastAsia="Times New Roman" w:hAnsi="Times New Roman" w:cs="Times New Roman"/>
          <w:sz w:val="24"/>
          <w:szCs w:val="24"/>
        </w:rPr>
        <w:t>On February 17, 2011, in Order No. 733-A, the Commission denied rehearing of Order No. 733 and clarified that “[w]e continue to believe that not addressing stable power swings constitutes a gap in the current Reliability Standards and must be addressed.”</w:t>
      </w:r>
      <w:r w:rsidRPr="00E44A59">
        <w:rPr>
          <w:rFonts w:ascii="Times New Roman" w:eastAsia="Times New Roman" w:hAnsi="Times New Roman" w:cs="Times New Roman"/>
          <w:b/>
          <w:sz w:val="24"/>
          <w:szCs w:val="24"/>
          <w:vertAlign w:val="superscript"/>
        </w:rPr>
        <w:footnoteReference w:id="6"/>
      </w:r>
      <w:r w:rsidRPr="00E44A59">
        <w:rPr>
          <w:rFonts w:ascii="Times New Roman" w:eastAsia="Times New Roman" w:hAnsi="Times New Roman" w:cs="Times New Roman"/>
          <w:sz w:val="24"/>
          <w:szCs w:val="24"/>
        </w:rPr>
        <w:t xml:space="preserve">  Therefore, the Commission affirmed the directive that NERC develop a Reliability Standard addressing stable power swings.</w:t>
      </w:r>
      <w:r w:rsidRPr="00E44A59">
        <w:rPr>
          <w:rFonts w:ascii="Times New Roman" w:eastAsia="Times New Roman" w:hAnsi="Times New Roman" w:cs="Times New Roman"/>
          <w:b/>
          <w:sz w:val="24"/>
          <w:szCs w:val="24"/>
          <w:vertAlign w:val="superscript"/>
        </w:rPr>
        <w:footnoteReference w:id="7"/>
      </w:r>
      <w:r w:rsidRPr="00E44A59">
        <w:rPr>
          <w:rFonts w:ascii="Times New Roman" w:eastAsia="Times New Roman" w:hAnsi="Times New Roman" w:cs="Times New Roman"/>
          <w:sz w:val="24"/>
          <w:szCs w:val="24"/>
        </w:rPr>
        <w:t xml:space="preserve">  The Commission also clarified that it did not require a Reliability Standard containing an absolute obligation to prevent protection relays from operating unnecessarily during stable power swings or an across-the-board elimination of all zone 3 relays, but only the development of a standard that addresses protection systems that are vulnerable to stable power swings (resulting from Cate</w:t>
      </w:r>
      <w:r w:rsidRPr="00E44A59">
        <w:rPr>
          <w:rFonts w:ascii="Times New Roman" w:eastAsia="Times New Roman" w:hAnsi="Times New Roman" w:cs="Times New Roman"/>
          <w:sz w:val="24"/>
          <w:szCs w:val="24"/>
        </w:rPr>
        <w:lastRenderedPageBreak/>
        <w:t>gory B and Category C contingencies from the NERC Planning Standards in place at that time) that will result in inappropriate tripping.</w:t>
      </w:r>
      <w:r w:rsidRPr="00E44A59">
        <w:rPr>
          <w:rFonts w:ascii="Times New Roman" w:eastAsia="Times New Roman" w:hAnsi="Times New Roman" w:cs="Times New Roman"/>
          <w:b/>
          <w:sz w:val="24"/>
          <w:szCs w:val="24"/>
          <w:vertAlign w:val="superscript"/>
        </w:rPr>
        <w:footnoteReference w:id="8"/>
      </w:r>
      <w:r w:rsidRPr="00E44A59">
        <w:rPr>
          <w:rFonts w:ascii="Times New Roman" w:eastAsia="Times New Roman" w:hAnsi="Times New Roman" w:cs="Times New Roman"/>
          <w:sz w:val="24"/>
          <w:szCs w:val="24"/>
        </w:rPr>
        <w:t xml:space="preserve">  In Order No. 733-B, the Commission denied further clarification regarding the issue.</w:t>
      </w:r>
    </w:p>
    <w:p w14:paraId="29B698AA" w14:textId="0FE8421A" w:rsidR="0087477C" w:rsidRPr="000E7A2C" w:rsidRDefault="0087477C" w:rsidP="00314874">
      <w:pPr>
        <w:spacing w:after="0"/>
        <w:rPr>
          <w:rFonts w:ascii="Times New Roman" w:eastAsia="Times New Roman" w:hAnsi="Times New Roman" w:cs="Times New Roman"/>
          <w:sz w:val="24"/>
          <w:szCs w:val="24"/>
        </w:rPr>
      </w:pPr>
    </w:p>
    <w:p w14:paraId="14E8CF29" w14:textId="77777777" w:rsidR="0087477C" w:rsidRPr="00B16372" w:rsidRDefault="0087477C" w:rsidP="00314874">
      <w:pPr>
        <w:spacing w:after="0"/>
        <w:rPr>
          <w:rFonts w:ascii="Times New Roman" w:hAnsi="Times New Roman" w:cs="Times New Roman"/>
          <w:sz w:val="24"/>
          <w:szCs w:val="24"/>
        </w:rPr>
      </w:pPr>
    </w:p>
    <w:p w14:paraId="6371C6B7" w14:textId="77777777" w:rsidR="00A72E7B" w:rsidRPr="00B16372" w:rsidRDefault="00EB3E6F" w:rsidP="00314874">
      <w:pPr>
        <w:pStyle w:val="ListParagraph"/>
        <w:numPr>
          <w:ilvl w:val="0"/>
          <w:numId w:val="1"/>
        </w:numPr>
        <w:spacing w:after="0"/>
        <w:ind w:left="360"/>
        <w:rPr>
          <w:rFonts w:ascii="Times New Roman" w:hAnsi="Times New Roman" w:cs="Times New Roman"/>
          <w:b/>
          <w:sz w:val="24"/>
          <w:szCs w:val="24"/>
        </w:rPr>
      </w:pPr>
      <w:r w:rsidRPr="00B16372">
        <w:rPr>
          <w:rFonts w:ascii="Times New Roman" w:hAnsi="Times New Roman" w:cs="Times New Roman"/>
          <w:b/>
          <w:sz w:val="24"/>
          <w:szCs w:val="24"/>
        </w:rPr>
        <w:t>HOW, BY WHOM, AND FOR WHAT PURPOSE THE INFORMATION IS TO BE USED AND THE CONSEQUENCES OF NOT COLLECTING THE INFORMATION</w:t>
      </w:r>
    </w:p>
    <w:p w14:paraId="1EE1542B" w14:textId="77777777" w:rsidR="003B25DD" w:rsidRDefault="003B25DD" w:rsidP="00314874">
      <w:pPr>
        <w:spacing w:after="0"/>
        <w:rPr>
          <w:rFonts w:ascii="Times New Roman" w:hAnsi="Times New Roman" w:cs="Times New Roman"/>
          <w:sz w:val="24"/>
          <w:szCs w:val="24"/>
        </w:rPr>
      </w:pPr>
    </w:p>
    <w:p w14:paraId="77879ABF" w14:textId="77B74F1B" w:rsidR="003B064D" w:rsidRDefault="00DC738F" w:rsidP="00314874">
      <w:pPr>
        <w:spacing w:after="0"/>
        <w:rPr>
          <w:rFonts w:ascii="Times New Roman" w:hAnsi="Times New Roman" w:cs="Times New Roman"/>
          <w:sz w:val="24"/>
          <w:szCs w:val="24"/>
        </w:rPr>
      </w:pPr>
      <w:r w:rsidRPr="00DC738F">
        <w:rPr>
          <w:rFonts w:ascii="Times New Roman" w:hAnsi="Times New Roman" w:cs="Times New Roman"/>
          <w:sz w:val="24"/>
          <w:szCs w:val="24"/>
        </w:rPr>
        <w:t>On December 31, 2014, NERC submitted a petit</w:t>
      </w:r>
      <w:r w:rsidR="00704347">
        <w:rPr>
          <w:rFonts w:ascii="Times New Roman" w:hAnsi="Times New Roman" w:cs="Times New Roman"/>
          <w:sz w:val="24"/>
          <w:szCs w:val="24"/>
        </w:rPr>
        <w:t>ion seeking approval of the PRC-026-1 Reliability Standard</w:t>
      </w:r>
      <w:r w:rsidRPr="00DC738F">
        <w:rPr>
          <w:rFonts w:ascii="Times New Roman" w:hAnsi="Times New Roman" w:cs="Times New Roman"/>
          <w:sz w:val="24"/>
          <w:szCs w:val="24"/>
        </w:rPr>
        <w:t>, as well as the associated implementation plan, and violation risk factors and violation severity levels.</w:t>
      </w:r>
      <w:r w:rsidRPr="00DC738F">
        <w:rPr>
          <w:rFonts w:ascii="Times New Roman" w:hAnsi="Times New Roman" w:cs="Times New Roman"/>
          <w:b/>
          <w:sz w:val="24"/>
          <w:szCs w:val="24"/>
          <w:vertAlign w:val="superscript"/>
        </w:rPr>
        <w:footnoteReference w:id="9"/>
      </w:r>
      <w:r w:rsidR="00704347">
        <w:rPr>
          <w:rFonts w:ascii="Times New Roman" w:hAnsi="Times New Roman" w:cs="Times New Roman"/>
          <w:sz w:val="24"/>
          <w:szCs w:val="24"/>
        </w:rPr>
        <w:t xml:space="preserve">  NERC avers that</w:t>
      </w:r>
      <w:r w:rsidRPr="00DC738F">
        <w:rPr>
          <w:rFonts w:ascii="Times New Roman" w:hAnsi="Times New Roman" w:cs="Times New Roman"/>
          <w:sz w:val="24"/>
          <w:szCs w:val="24"/>
        </w:rPr>
        <w:t xml:space="preserve"> Reliability Standard PRC-026-1 satisfies the Order No. 733 directive to develop a new standard that requires the use of protective relay systems that can differentiate between faults and stable power swings. </w:t>
      </w:r>
      <w:r w:rsidR="00054123">
        <w:rPr>
          <w:rFonts w:ascii="Times New Roman" w:hAnsi="Times New Roman" w:cs="Times New Roman"/>
          <w:sz w:val="24"/>
          <w:szCs w:val="24"/>
        </w:rPr>
        <w:t xml:space="preserve"> According to NERC, the</w:t>
      </w:r>
      <w:r w:rsidRPr="00DC738F">
        <w:rPr>
          <w:rFonts w:ascii="Times New Roman" w:hAnsi="Times New Roman" w:cs="Times New Roman"/>
          <w:sz w:val="24"/>
          <w:szCs w:val="24"/>
        </w:rPr>
        <w:t xml:space="preserve"> Reliability Standard sets forth requirements that prevent the unnecessary tripping of bulk electric system elements in response to stable power swings.  NERC further explains that the identification of bulk electric system elements with protection systems at-risk of operating as a result of a stable or unstable power swing and subsequent review by the applicable generator owner or transmission owner “provides assurance that relays will continue to be secure for stable power swings if any changes in system impedance occur.”</w:t>
      </w:r>
      <w:r w:rsidRPr="00DC738F">
        <w:rPr>
          <w:rFonts w:ascii="Times New Roman" w:hAnsi="Times New Roman" w:cs="Times New Roman"/>
          <w:b/>
          <w:sz w:val="24"/>
          <w:szCs w:val="24"/>
          <w:vertAlign w:val="superscript"/>
        </w:rPr>
        <w:footnoteReference w:id="10"/>
      </w:r>
    </w:p>
    <w:p w14:paraId="49AB9585" w14:textId="77777777" w:rsidR="00DC738F" w:rsidRDefault="00DC738F" w:rsidP="00314874">
      <w:pPr>
        <w:spacing w:after="0"/>
        <w:rPr>
          <w:rFonts w:ascii="Times New Roman" w:hAnsi="Times New Roman" w:cs="Times New Roman"/>
          <w:sz w:val="24"/>
          <w:szCs w:val="24"/>
        </w:rPr>
      </w:pPr>
    </w:p>
    <w:p w14:paraId="69A0E1F0" w14:textId="69AEAB24" w:rsidR="00DC738F" w:rsidRPr="00DC738F" w:rsidRDefault="00DC738F" w:rsidP="00DC738F">
      <w:pPr>
        <w:spacing w:after="0"/>
        <w:rPr>
          <w:rFonts w:ascii="Times New Roman" w:hAnsi="Times New Roman" w:cs="Times New Roman"/>
          <w:sz w:val="24"/>
          <w:szCs w:val="24"/>
        </w:rPr>
      </w:pPr>
      <w:r w:rsidRPr="00DC738F">
        <w:rPr>
          <w:rFonts w:ascii="Times New Roman" w:hAnsi="Times New Roman" w:cs="Times New Roman"/>
          <w:sz w:val="24"/>
          <w:szCs w:val="24"/>
        </w:rPr>
        <w:t xml:space="preserve">Reliability Standard PRC-026-1 has four requirements and two attachments.  NERC explains that Attachment A “provides clarity on which load-responsive protective relay functions are applicable” under the </w:t>
      </w:r>
      <w:r w:rsidRPr="00DC738F">
        <w:rPr>
          <w:rFonts w:ascii="Times New Roman" w:hAnsi="Times New Roman" w:cs="Times New Roman"/>
          <w:sz w:val="24"/>
          <w:szCs w:val="24"/>
        </w:rPr>
        <w:lastRenderedPageBreak/>
        <w:t>standard.</w:t>
      </w:r>
      <w:r w:rsidRPr="00DC738F">
        <w:rPr>
          <w:rFonts w:ascii="Times New Roman" w:hAnsi="Times New Roman" w:cs="Times New Roman"/>
          <w:b/>
          <w:sz w:val="24"/>
          <w:szCs w:val="24"/>
          <w:vertAlign w:val="superscript"/>
        </w:rPr>
        <w:footnoteReference w:id="11"/>
      </w:r>
      <w:r w:rsidRPr="00DC738F">
        <w:rPr>
          <w:rFonts w:ascii="Times New Roman" w:hAnsi="Times New Roman" w:cs="Times New Roman"/>
          <w:sz w:val="24"/>
          <w:szCs w:val="24"/>
        </w:rPr>
        <w:t xml:space="preserve">  Specifically, Att</w:t>
      </w:r>
      <w:r w:rsidR="00054123">
        <w:rPr>
          <w:rFonts w:ascii="Times New Roman" w:hAnsi="Times New Roman" w:cs="Times New Roman"/>
          <w:sz w:val="24"/>
          <w:szCs w:val="24"/>
        </w:rPr>
        <w:t>achment A provides that</w:t>
      </w:r>
      <w:r w:rsidRPr="00DC738F">
        <w:rPr>
          <w:rFonts w:ascii="Times New Roman" w:hAnsi="Times New Roman" w:cs="Times New Roman"/>
          <w:sz w:val="24"/>
          <w:szCs w:val="24"/>
        </w:rPr>
        <w:t xml:space="preserve"> Reliability Standard PRC-026-1 applies to:</w:t>
      </w:r>
    </w:p>
    <w:p w14:paraId="5E01FDC0" w14:textId="77777777" w:rsidR="00DC738F" w:rsidRDefault="00DC738F" w:rsidP="00DC738F">
      <w:pPr>
        <w:spacing w:after="0"/>
        <w:rPr>
          <w:rFonts w:ascii="Times New Roman" w:hAnsi="Times New Roman" w:cs="Times New Roman"/>
          <w:sz w:val="24"/>
          <w:szCs w:val="24"/>
        </w:rPr>
      </w:pPr>
    </w:p>
    <w:p w14:paraId="5C08A481" w14:textId="353FABF9" w:rsidR="00DC738F" w:rsidRPr="00DC738F" w:rsidRDefault="00DC738F" w:rsidP="00DC738F">
      <w:pPr>
        <w:spacing w:after="0"/>
        <w:ind w:left="720"/>
        <w:rPr>
          <w:rFonts w:ascii="Times New Roman" w:hAnsi="Times New Roman" w:cs="Times New Roman"/>
          <w:sz w:val="24"/>
          <w:szCs w:val="24"/>
        </w:rPr>
      </w:pPr>
      <w:r w:rsidRPr="00DC738F">
        <w:rPr>
          <w:rFonts w:ascii="Times New Roman" w:hAnsi="Times New Roman" w:cs="Times New Roman"/>
          <w:sz w:val="24"/>
          <w:szCs w:val="24"/>
        </w:rPr>
        <w:t>any protective functions which could trip instantaneously or with a time delay of less than 15 cycles on load cu</w:t>
      </w:r>
      <w:r>
        <w:rPr>
          <w:rFonts w:ascii="Times New Roman" w:hAnsi="Times New Roman" w:cs="Times New Roman"/>
          <w:sz w:val="24"/>
          <w:szCs w:val="24"/>
        </w:rPr>
        <w:t>rrent (i.e., “load-responsive”)</w:t>
      </w:r>
      <w:r w:rsidRPr="00DC738F">
        <w:rPr>
          <w:rFonts w:ascii="Times New Roman" w:hAnsi="Times New Roman" w:cs="Times New Roman"/>
          <w:sz w:val="24"/>
          <w:szCs w:val="24"/>
        </w:rPr>
        <w:t xml:space="preserve">…. </w:t>
      </w:r>
    </w:p>
    <w:p w14:paraId="529BCD6B" w14:textId="77777777" w:rsidR="00DC738F" w:rsidRPr="00DC738F" w:rsidRDefault="00DC738F" w:rsidP="00DC738F">
      <w:pPr>
        <w:spacing w:after="0"/>
        <w:rPr>
          <w:rFonts w:ascii="Times New Roman" w:hAnsi="Times New Roman" w:cs="Times New Roman"/>
          <w:sz w:val="24"/>
          <w:szCs w:val="24"/>
        </w:rPr>
      </w:pPr>
    </w:p>
    <w:p w14:paraId="5693EAF4" w14:textId="3E245292" w:rsidR="00DC738F" w:rsidRDefault="00DC738F" w:rsidP="00DC738F">
      <w:pPr>
        <w:spacing w:after="0"/>
        <w:rPr>
          <w:rFonts w:ascii="Times New Roman" w:hAnsi="Times New Roman" w:cs="Times New Roman"/>
          <w:sz w:val="24"/>
          <w:szCs w:val="24"/>
        </w:rPr>
      </w:pPr>
      <w:r w:rsidRPr="00DC738F">
        <w:rPr>
          <w:rFonts w:ascii="Times New Roman" w:hAnsi="Times New Roman" w:cs="Times New Roman"/>
          <w:sz w:val="24"/>
          <w:szCs w:val="24"/>
        </w:rPr>
        <w:t>According to NERC, the 15 cycle time delay “is representative of an expected power swing having a slow slip rate of 0.67 Hertz (Hz) and is the average time that a stable power swing with that slip rate would enter the relays’ characteristic, reverse direction, and then exit the characteristic before the time delay expired.”</w:t>
      </w:r>
      <w:r w:rsidRPr="00DC738F">
        <w:rPr>
          <w:rFonts w:ascii="Times New Roman" w:hAnsi="Times New Roman" w:cs="Times New Roman"/>
          <w:b/>
          <w:sz w:val="24"/>
          <w:szCs w:val="24"/>
          <w:vertAlign w:val="superscript"/>
        </w:rPr>
        <w:footnoteReference w:id="12"/>
      </w:r>
      <w:r w:rsidRPr="00DC738F">
        <w:rPr>
          <w:rFonts w:ascii="Times New Roman" w:hAnsi="Times New Roman" w:cs="Times New Roman"/>
          <w:sz w:val="24"/>
          <w:szCs w:val="24"/>
        </w:rPr>
        <w:t xml:space="preserve">  NERC states that the proposed standard does not apply to “functions that are either immune to power swings, block power swings, or prevent non-immune protection function operation due to supervision of the function.”</w:t>
      </w:r>
      <w:r w:rsidRPr="00DC738F">
        <w:rPr>
          <w:rFonts w:ascii="Times New Roman" w:hAnsi="Times New Roman" w:cs="Times New Roman"/>
          <w:b/>
          <w:sz w:val="24"/>
          <w:szCs w:val="24"/>
          <w:vertAlign w:val="superscript"/>
        </w:rPr>
        <w:footnoteReference w:id="13"/>
      </w:r>
      <w:r w:rsidRPr="00DC738F">
        <w:rPr>
          <w:rFonts w:ascii="Times New Roman" w:hAnsi="Times New Roman" w:cs="Times New Roman"/>
          <w:sz w:val="24"/>
          <w:szCs w:val="24"/>
        </w:rPr>
        <w:t xml:space="preserve">  </w:t>
      </w:r>
    </w:p>
    <w:p w14:paraId="28488CB8" w14:textId="77777777" w:rsidR="003B064D" w:rsidRPr="00B16372" w:rsidRDefault="003B064D" w:rsidP="00314874">
      <w:pPr>
        <w:spacing w:after="0"/>
        <w:rPr>
          <w:rFonts w:ascii="Times New Roman" w:hAnsi="Times New Roman" w:cs="Times New Roman"/>
          <w:sz w:val="24"/>
          <w:szCs w:val="24"/>
        </w:rPr>
      </w:pPr>
    </w:p>
    <w:p w14:paraId="75BE7A5A" w14:textId="77777777" w:rsidR="00EB3E6F" w:rsidRPr="00B16372" w:rsidRDefault="00EB3E6F" w:rsidP="00314874">
      <w:pPr>
        <w:pStyle w:val="ListParagraph"/>
        <w:numPr>
          <w:ilvl w:val="0"/>
          <w:numId w:val="1"/>
        </w:numPr>
        <w:spacing w:after="0"/>
        <w:ind w:left="360"/>
        <w:rPr>
          <w:rFonts w:ascii="Times New Roman" w:hAnsi="Times New Roman" w:cs="Times New Roman"/>
          <w:b/>
          <w:sz w:val="24"/>
          <w:szCs w:val="24"/>
        </w:rPr>
      </w:pPr>
      <w:r w:rsidRPr="00B16372">
        <w:rPr>
          <w:rFonts w:ascii="Times New Roman" w:hAnsi="Times New Roman" w:cs="Times New Roman"/>
          <w:b/>
          <w:sz w:val="24"/>
          <w:szCs w:val="24"/>
        </w:rPr>
        <w:t>DESCRIBE ANY CONSIDERATION OF THE USE OF IMPROVED INFORMATION TECHNOLOGY TO REDUCE THE BURDEN AND TECHNICAL OR LEGAL OBSTACLES TO REDUCING BURDEN</w:t>
      </w:r>
    </w:p>
    <w:p w14:paraId="2768CDA0" w14:textId="77777777" w:rsidR="00EB3E6F" w:rsidRPr="00B16372" w:rsidRDefault="00EB3E6F" w:rsidP="00314874">
      <w:pPr>
        <w:spacing w:after="0"/>
        <w:rPr>
          <w:rFonts w:ascii="Times New Roman" w:hAnsi="Times New Roman" w:cs="Times New Roman"/>
          <w:sz w:val="24"/>
          <w:szCs w:val="24"/>
        </w:rPr>
      </w:pPr>
    </w:p>
    <w:p w14:paraId="51B508E0" w14:textId="79E82DE8" w:rsidR="00693371" w:rsidRPr="00693371" w:rsidRDefault="00693371" w:rsidP="00314874">
      <w:pPr>
        <w:spacing w:after="0"/>
        <w:rPr>
          <w:rFonts w:ascii="Times New Roman" w:hAnsi="Times New Roman" w:cs="Times New Roman"/>
          <w:sz w:val="24"/>
          <w:szCs w:val="24"/>
        </w:rPr>
      </w:pPr>
      <w:r w:rsidRPr="00693371">
        <w:rPr>
          <w:rFonts w:ascii="Times New Roman" w:hAnsi="Times New Roman" w:cs="Times New Roman"/>
          <w:sz w:val="24"/>
          <w:szCs w:val="24"/>
        </w:rPr>
        <w:t>The use of current or improved technology is not c</w:t>
      </w:r>
      <w:r w:rsidR="00E44A59">
        <w:rPr>
          <w:rFonts w:ascii="Times New Roman" w:hAnsi="Times New Roman" w:cs="Times New Roman"/>
          <w:sz w:val="24"/>
          <w:szCs w:val="24"/>
        </w:rPr>
        <w:t>overed in Reliability Standards</w:t>
      </w:r>
      <w:r w:rsidRPr="00693371">
        <w:rPr>
          <w:rFonts w:ascii="Times New Roman" w:hAnsi="Times New Roman" w:cs="Times New Roman"/>
          <w:sz w:val="24"/>
          <w:szCs w:val="24"/>
        </w:rPr>
        <w:t xml:space="preserve"> and is</w:t>
      </w:r>
      <w:r w:rsidR="00E44A59">
        <w:rPr>
          <w:rFonts w:ascii="Times New Roman" w:hAnsi="Times New Roman" w:cs="Times New Roman"/>
          <w:sz w:val="24"/>
          <w:szCs w:val="24"/>
        </w:rPr>
        <w:t xml:space="preserve">, </w:t>
      </w:r>
      <w:r w:rsidRPr="00693371">
        <w:rPr>
          <w:rFonts w:ascii="Times New Roman" w:hAnsi="Times New Roman" w:cs="Times New Roman"/>
          <w:sz w:val="24"/>
          <w:szCs w:val="24"/>
        </w:rPr>
        <w:t>therefore</w:t>
      </w:r>
      <w:r w:rsidR="00E44A59">
        <w:rPr>
          <w:rFonts w:ascii="Times New Roman" w:hAnsi="Times New Roman" w:cs="Times New Roman"/>
          <w:sz w:val="24"/>
          <w:szCs w:val="24"/>
        </w:rPr>
        <w:t>,</w:t>
      </w:r>
      <w:r w:rsidRPr="00693371">
        <w:rPr>
          <w:rFonts w:ascii="Times New Roman" w:hAnsi="Times New Roman" w:cs="Times New Roman"/>
          <w:sz w:val="24"/>
          <w:szCs w:val="24"/>
        </w:rPr>
        <w:t xml:space="preserve"> left to the discretion of each reportin</w:t>
      </w:r>
      <w:r w:rsidR="00E44A59">
        <w:rPr>
          <w:rFonts w:ascii="Times New Roman" w:hAnsi="Times New Roman" w:cs="Times New Roman"/>
          <w:sz w:val="24"/>
          <w:szCs w:val="24"/>
        </w:rPr>
        <w:t>g entity. Commission staff</w:t>
      </w:r>
      <w:r w:rsidRPr="00693371">
        <w:rPr>
          <w:rFonts w:ascii="Times New Roman" w:hAnsi="Times New Roman" w:cs="Times New Roman"/>
          <w:sz w:val="24"/>
          <w:szCs w:val="24"/>
        </w:rPr>
        <w:t xml:space="preserve"> think</w:t>
      </w:r>
      <w:r w:rsidR="00E44A59">
        <w:rPr>
          <w:rFonts w:ascii="Times New Roman" w:hAnsi="Times New Roman" w:cs="Times New Roman"/>
          <w:sz w:val="24"/>
          <w:szCs w:val="24"/>
        </w:rPr>
        <w:t>s</w:t>
      </w:r>
      <w:r w:rsidRPr="00693371">
        <w:rPr>
          <w:rFonts w:ascii="Times New Roman" w:hAnsi="Times New Roman" w:cs="Times New Roman"/>
          <w:sz w:val="24"/>
          <w:szCs w:val="24"/>
        </w:rPr>
        <w:t xml:space="preserve"> that nearly all of the respondents are likely to make and keep related records in an elect</w:t>
      </w:r>
      <w:r w:rsidR="00E44A59">
        <w:rPr>
          <w:rFonts w:ascii="Times New Roman" w:hAnsi="Times New Roman" w:cs="Times New Roman"/>
          <w:sz w:val="24"/>
          <w:szCs w:val="24"/>
        </w:rPr>
        <w:t>ronic format.  Each of the</w:t>
      </w:r>
      <w:r w:rsidRPr="00693371">
        <w:rPr>
          <w:rFonts w:ascii="Times New Roman" w:hAnsi="Times New Roman" w:cs="Times New Roman"/>
          <w:sz w:val="24"/>
          <w:szCs w:val="24"/>
        </w:rPr>
        <w:t xml:space="preserve"> </w:t>
      </w:r>
      <w:r w:rsidR="0029489D">
        <w:rPr>
          <w:rFonts w:ascii="Times New Roman" w:hAnsi="Times New Roman" w:cs="Times New Roman"/>
          <w:sz w:val="24"/>
          <w:szCs w:val="24"/>
        </w:rPr>
        <w:t xml:space="preserve">eight </w:t>
      </w:r>
      <w:r w:rsidRPr="00693371">
        <w:rPr>
          <w:rFonts w:ascii="Times New Roman" w:hAnsi="Times New Roman" w:cs="Times New Roman"/>
          <w:sz w:val="24"/>
          <w:szCs w:val="24"/>
        </w:rPr>
        <w:t xml:space="preserve">Regional Entities has a well-established compliance portal for registered entities to electronically submit compliance information and reports.  The compliance portals allow documents developed by the registered entities to be attached and uploaded to the Regional Entity’s portal.  Compliance data can also be submitted by filling out data forms </w:t>
      </w:r>
      <w:r w:rsidRPr="00693371">
        <w:rPr>
          <w:rFonts w:ascii="Times New Roman" w:hAnsi="Times New Roman" w:cs="Times New Roman"/>
          <w:sz w:val="24"/>
          <w:szCs w:val="24"/>
        </w:rPr>
        <w:lastRenderedPageBreak/>
        <w:t>on the portals.  These portals are accessible through an internet browser password protected user interface.</w:t>
      </w:r>
    </w:p>
    <w:p w14:paraId="29226A72" w14:textId="77777777" w:rsidR="00693371" w:rsidRPr="00693371" w:rsidRDefault="00693371" w:rsidP="00314874">
      <w:pPr>
        <w:spacing w:after="0"/>
        <w:rPr>
          <w:rFonts w:ascii="Times New Roman" w:hAnsi="Times New Roman" w:cs="Times New Roman"/>
          <w:sz w:val="24"/>
          <w:szCs w:val="24"/>
        </w:rPr>
      </w:pPr>
    </w:p>
    <w:p w14:paraId="30CBC552" w14:textId="4D1039E8" w:rsidR="00EB3E6F" w:rsidRDefault="00693371" w:rsidP="00314874">
      <w:pPr>
        <w:spacing w:after="0"/>
        <w:rPr>
          <w:rFonts w:ascii="Times New Roman" w:hAnsi="Times New Roman" w:cs="Times New Roman"/>
          <w:sz w:val="24"/>
          <w:szCs w:val="24"/>
        </w:rPr>
      </w:pPr>
      <w:r w:rsidRPr="00693371">
        <w:rPr>
          <w:rFonts w:ascii="Times New Roman" w:hAnsi="Times New Roman" w:cs="Times New Roman"/>
          <w:sz w:val="24"/>
          <w:szCs w:val="24"/>
        </w:rPr>
        <w:t>The submittals are not made to FERC.</w:t>
      </w:r>
    </w:p>
    <w:p w14:paraId="5A74C757" w14:textId="77777777" w:rsidR="00693371" w:rsidRPr="00B16372" w:rsidRDefault="00693371" w:rsidP="00314874">
      <w:pPr>
        <w:spacing w:after="0"/>
        <w:rPr>
          <w:rFonts w:ascii="Times New Roman" w:hAnsi="Times New Roman" w:cs="Times New Roman"/>
          <w:sz w:val="24"/>
          <w:szCs w:val="24"/>
        </w:rPr>
      </w:pPr>
    </w:p>
    <w:p w14:paraId="145DA2A6" w14:textId="77777777" w:rsidR="00EB3E6F" w:rsidRPr="00B16372" w:rsidRDefault="00EB3E6F" w:rsidP="00314874">
      <w:pPr>
        <w:pStyle w:val="ListParagraph"/>
        <w:numPr>
          <w:ilvl w:val="0"/>
          <w:numId w:val="1"/>
        </w:numPr>
        <w:spacing w:after="0"/>
        <w:ind w:left="360"/>
        <w:rPr>
          <w:rFonts w:ascii="Times New Roman" w:hAnsi="Times New Roman" w:cs="Times New Roman"/>
          <w:b/>
          <w:sz w:val="24"/>
          <w:szCs w:val="24"/>
        </w:rPr>
      </w:pPr>
      <w:r w:rsidRPr="00B16372">
        <w:rPr>
          <w:rFonts w:ascii="Times New Roman" w:hAnsi="Times New Roman" w:cs="Times New Roman"/>
          <w:b/>
          <w:sz w:val="24"/>
          <w:szCs w:val="24"/>
        </w:rPr>
        <w:t>DESCRIBE EFFORTS TO IDENTIF</w:t>
      </w:r>
      <w:r w:rsidR="00E05FA3" w:rsidRPr="00B16372">
        <w:rPr>
          <w:rFonts w:ascii="Times New Roman" w:hAnsi="Times New Roman" w:cs="Times New Roman"/>
          <w:b/>
          <w:sz w:val="24"/>
          <w:szCs w:val="24"/>
        </w:rPr>
        <w:t>Y</w:t>
      </w:r>
      <w:r w:rsidRPr="00B16372">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14:paraId="67357532" w14:textId="77777777" w:rsidR="00EB3E6F" w:rsidRPr="00B16372" w:rsidRDefault="00EB3E6F" w:rsidP="00314874">
      <w:pPr>
        <w:spacing w:after="0"/>
        <w:rPr>
          <w:rFonts w:ascii="Times New Roman" w:hAnsi="Times New Roman" w:cs="Times New Roman"/>
          <w:sz w:val="24"/>
          <w:szCs w:val="24"/>
        </w:rPr>
      </w:pPr>
    </w:p>
    <w:p w14:paraId="08DDF687" w14:textId="43A62BEF" w:rsidR="00EB3E6F" w:rsidRPr="00693371" w:rsidRDefault="00C00D70" w:rsidP="00314874">
      <w:pPr>
        <w:spacing w:after="0"/>
        <w:rPr>
          <w:rFonts w:ascii="Times New Roman" w:hAnsi="Times New Roman" w:cs="Times New Roman"/>
          <w:sz w:val="24"/>
          <w:szCs w:val="24"/>
        </w:rPr>
      </w:pPr>
      <w:r w:rsidRPr="00693371">
        <w:rPr>
          <w:rFonts w:ascii="Times New Roman" w:hAnsi="Times New Roman" w:cs="Times New Roman"/>
          <w:sz w:val="24"/>
          <w:szCs w:val="24"/>
        </w:rPr>
        <w:t>The information collection requirements are unique to this reliability standard and to this information collection.  The Commission does not know of any duplication in the requirements.</w:t>
      </w:r>
      <w:r w:rsidR="00693371" w:rsidRPr="00693371">
        <w:rPr>
          <w:rFonts w:ascii="Times New Roman" w:hAnsi="Times New Roman" w:cs="Times New Roman"/>
          <w:sz w:val="24"/>
          <w:szCs w:val="24"/>
        </w:rPr>
        <w:t xml:space="preserve"> In addition, the standard-developing group (the ERO and various stakeholders) </w:t>
      </w:r>
      <w:r w:rsidR="00CE5550">
        <w:rPr>
          <w:rFonts w:ascii="Times New Roman" w:hAnsi="Times New Roman" w:cs="Times New Roman"/>
          <w:sz w:val="24"/>
          <w:szCs w:val="24"/>
        </w:rPr>
        <w:t xml:space="preserve">and the scientific community </w:t>
      </w:r>
      <w:r w:rsidR="00693371" w:rsidRPr="00693371">
        <w:rPr>
          <w:rFonts w:ascii="Times New Roman" w:hAnsi="Times New Roman" w:cs="Times New Roman"/>
          <w:sz w:val="24"/>
          <w:szCs w:val="24"/>
        </w:rPr>
        <w:t>think it needs</w:t>
      </w:r>
      <w:r w:rsidR="00E44A59">
        <w:rPr>
          <w:rFonts w:ascii="Times New Roman" w:hAnsi="Times New Roman" w:cs="Times New Roman"/>
          <w:sz w:val="24"/>
          <w:szCs w:val="24"/>
        </w:rPr>
        <w:t xml:space="preserve"> to be addressed and documented</w:t>
      </w:r>
      <w:r w:rsidR="00693371" w:rsidRPr="00693371">
        <w:rPr>
          <w:rFonts w:ascii="Times New Roman" w:hAnsi="Times New Roman" w:cs="Times New Roman"/>
          <w:sz w:val="24"/>
          <w:szCs w:val="24"/>
        </w:rPr>
        <w:t xml:space="preserve"> as indicated in the NERC petition.</w:t>
      </w:r>
    </w:p>
    <w:p w14:paraId="46475A15" w14:textId="77777777" w:rsidR="00C00D70" w:rsidRPr="00B16372" w:rsidRDefault="00C00D70" w:rsidP="00314874">
      <w:pPr>
        <w:spacing w:after="0"/>
        <w:rPr>
          <w:rFonts w:ascii="Times New Roman" w:hAnsi="Times New Roman" w:cs="Times New Roman"/>
          <w:sz w:val="24"/>
          <w:szCs w:val="24"/>
        </w:rPr>
      </w:pPr>
    </w:p>
    <w:p w14:paraId="3A57A495" w14:textId="048A1048" w:rsidR="00EB3E6F" w:rsidRPr="00B16372" w:rsidRDefault="00EB3E6F" w:rsidP="00314874">
      <w:pPr>
        <w:pStyle w:val="ListParagraph"/>
        <w:numPr>
          <w:ilvl w:val="0"/>
          <w:numId w:val="1"/>
        </w:numPr>
        <w:spacing w:after="0"/>
        <w:ind w:left="360"/>
        <w:rPr>
          <w:rFonts w:ascii="Times New Roman" w:hAnsi="Times New Roman" w:cs="Times New Roman"/>
          <w:b/>
          <w:sz w:val="24"/>
          <w:szCs w:val="24"/>
        </w:rPr>
      </w:pPr>
      <w:r w:rsidRPr="00B16372">
        <w:rPr>
          <w:rFonts w:ascii="Times New Roman" w:hAnsi="Times New Roman" w:cs="Times New Roman"/>
          <w:b/>
          <w:sz w:val="24"/>
          <w:szCs w:val="24"/>
        </w:rPr>
        <w:t>METHODS USED TO MINIMIZE THE BURDEN IN COLLECTION OF INFORMATION INVOLVING SMALL ENTITIES</w:t>
      </w:r>
    </w:p>
    <w:p w14:paraId="4F51B082" w14:textId="77777777" w:rsidR="00EB3E6F" w:rsidRPr="00B16372" w:rsidRDefault="00EB3E6F" w:rsidP="00314874">
      <w:pPr>
        <w:spacing w:after="0"/>
        <w:rPr>
          <w:rFonts w:ascii="Times New Roman" w:hAnsi="Times New Roman" w:cs="Times New Roman"/>
          <w:sz w:val="24"/>
          <w:szCs w:val="24"/>
        </w:rPr>
      </w:pPr>
    </w:p>
    <w:p w14:paraId="637F3441" w14:textId="77777777" w:rsidR="00693371" w:rsidRPr="00693371" w:rsidRDefault="00693371" w:rsidP="00314874">
      <w:pPr>
        <w:spacing w:after="0"/>
        <w:rPr>
          <w:rFonts w:ascii="Times New Roman" w:hAnsi="Times New Roman" w:cs="Times New Roman"/>
          <w:sz w:val="24"/>
          <w:szCs w:val="24"/>
        </w:rPr>
      </w:pPr>
      <w:r w:rsidRPr="00693371">
        <w:rPr>
          <w:rFonts w:ascii="Times New Roman" w:hAnsi="Times New Roman" w:cs="Times New Roman"/>
          <w:sz w:val="24"/>
          <w:szCs w:val="24"/>
        </w:rPr>
        <w:t xml:space="preserve">Small entities generally can reduce their burden by taking part in a joint registration organization or a coordinated function registration.  These options allow an entity the ability to share its compliance burden with other similar entities. </w:t>
      </w:r>
    </w:p>
    <w:p w14:paraId="22047C5B" w14:textId="77777777" w:rsidR="00693371" w:rsidRPr="00693371" w:rsidRDefault="00693371" w:rsidP="00314874">
      <w:pPr>
        <w:spacing w:after="0"/>
        <w:rPr>
          <w:rFonts w:ascii="Times New Roman" w:hAnsi="Times New Roman" w:cs="Times New Roman"/>
          <w:sz w:val="24"/>
          <w:szCs w:val="24"/>
        </w:rPr>
      </w:pPr>
    </w:p>
    <w:p w14:paraId="39BA6D31" w14:textId="0BCAB003" w:rsidR="00EB3E6F" w:rsidRDefault="00693371" w:rsidP="00314874">
      <w:pPr>
        <w:spacing w:after="0"/>
        <w:rPr>
          <w:rFonts w:ascii="Times New Roman" w:hAnsi="Times New Roman" w:cs="Times New Roman"/>
          <w:sz w:val="24"/>
          <w:szCs w:val="24"/>
        </w:rPr>
      </w:pPr>
      <w:r w:rsidRPr="00693371">
        <w:rPr>
          <w:rFonts w:ascii="Times New Roman" w:hAnsi="Times New Roman" w:cs="Times New Roman"/>
          <w:sz w:val="24"/>
          <w:szCs w:val="24"/>
        </w:rPr>
        <w:t xml:space="preserve">Detailed information regarding these options </w:t>
      </w:r>
      <w:r w:rsidR="00A337D1">
        <w:rPr>
          <w:rFonts w:ascii="Times New Roman" w:hAnsi="Times New Roman" w:cs="Times New Roman"/>
          <w:sz w:val="24"/>
          <w:szCs w:val="24"/>
        </w:rPr>
        <w:t>is</w:t>
      </w:r>
      <w:r w:rsidR="00A337D1" w:rsidRPr="00693371">
        <w:rPr>
          <w:rFonts w:ascii="Times New Roman" w:hAnsi="Times New Roman" w:cs="Times New Roman"/>
          <w:sz w:val="24"/>
          <w:szCs w:val="24"/>
        </w:rPr>
        <w:t xml:space="preserve"> </w:t>
      </w:r>
      <w:r w:rsidRPr="00693371">
        <w:rPr>
          <w:rFonts w:ascii="Times New Roman" w:hAnsi="Times New Roman" w:cs="Times New Roman"/>
          <w:sz w:val="24"/>
          <w:szCs w:val="24"/>
        </w:rPr>
        <w:t>available in NERC’s Rules of Pro</w:t>
      </w:r>
      <w:r w:rsidR="008D06B5">
        <w:rPr>
          <w:rFonts w:ascii="Times New Roman" w:hAnsi="Times New Roman" w:cs="Times New Roman"/>
          <w:sz w:val="24"/>
          <w:szCs w:val="24"/>
        </w:rPr>
        <w:t>cedure at sections 507 and 508</w:t>
      </w:r>
      <w:bookmarkStart w:id="0" w:name="_Ref446580602"/>
      <w:r w:rsidRPr="00DE00F4">
        <w:rPr>
          <w:rStyle w:val="FootnoteReference"/>
          <w:rFonts w:ascii="Times New Roman" w:hAnsi="Times New Roman" w:cs="Times New Roman"/>
          <w:sz w:val="24"/>
          <w:szCs w:val="24"/>
          <w:vertAlign w:val="superscript"/>
        </w:rPr>
        <w:footnoteReference w:id="14"/>
      </w:r>
      <w:bookmarkEnd w:id="0"/>
      <w:r w:rsidR="008D06B5">
        <w:rPr>
          <w:rFonts w:ascii="Times New Roman" w:hAnsi="Times New Roman" w:cs="Times New Roman"/>
          <w:sz w:val="24"/>
          <w:szCs w:val="24"/>
        </w:rPr>
        <w:t>.</w:t>
      </w:r>
      <w:r w:rsidRPr="00DE00F4">
        <w:rPr>
          <w:rFonts w:ascii="Times New Roman" w:hAnsi="Times New Roman" w:cs="Times New Roman"/>
          <w:sz w:val="24"/>
          <w:szCs w:val="24"/>
          <w:vertAlign w:val="superscript"/>
        </w:rPr>
        <w:t xml:space="preserve"> </w:t>
      </w:r>
      <w:r w:rsidRPr="00693371">
        <w:rPr>
          <w:rFonts w:ascii="Times New Roman" w:hAnsi="Times New Roman" w:cs="Times New Roman"/>
          <w:sz w:val="24"/>
          <w:szCs w:val="24"/>
        </w:rPr>
        <w:t xml:space="preserve"> </w:t>
      </w:r>
    </w:p>
    <w:p w14:paraId="1D266F35" w14:textId="77777777" w:rsidR="00DE00F4" w:rsidRPr="00B16372" w:rsidRDefault="00DE00F4" w:rsidP="00314874">
      <w:pPr>
        <w:spacing w:after="0"/>
        <w:rPr>
          <w:rFonts w:ascii="Times New Roman" w:hAnsi="Times New Roman" w:cs="Times New Roman"/>
          <w:sz w:val="24"/>
          <w:szCs w:val="24"/>
        </w:rPr>
      </w:pPr>
    </w:p>
    <w:p w14:paraId="3FFBC266" w14:textId="77777777" w:rsidR="00EB3E6F" w:rsidRPr="00B16372" w:rsidRDefault="00EB3E6F" w:rsidP="00314874">
      <w:pPr>
        <w:pStyle w:val="ListParagraph"/>
        <w:numPr>
          <w:ilvl w:val="0"/>
          <w:numId w:val="1"/>
        </w:numPr>
        <w:spacing w:after="0"/>
        <w:ind w:left="360"/>
        <w:rPr>
          <w:rFonts w:ascii="Times New Roman" w:hAnsi="Times New Roman" w:cs="Times New Roman"/>
          <w:b/>
          <w:sz w:val="24"/>
          <w:szCs w:val="24"/>
        </w:rPr>
      </w:pPr>
      <w:r w:rsidRPr="00B16372">
        <w:rPr>
          <w:rFonts w:ascii="Times New Roman" w:hAnsi="Times New Roman" w:cs="Times New Roman"/>
          <w:b/>
          <w:sz w:val="24"/>
          <w:szCs w:val="24"/>
        </w:rPr>
        <w:t>CONSEQUENCE TO FEDERAL PROGRAM IF COLLECTION WERE CONDUCTED LESS FREQUENTLY</w:t>
      </w:r>
    </w:p>
    <w:p w14:paraId="385D957A" w14:textId="77777777" w:rsidR="00EB3E6F" w:rsidRPr="00B16372" w:rsidRDefault="00EB3E6F" w:rsidP="00314874">
      <w:pPr>
        <w:spacing w:after="0"/>
        <w:rPr>
          <w:rFonts w:ascii="Times New Roman" w:hAnsi="Times New Roman" w:cs="Times New Roman"/>
          <w:sz w:val="24"/>
          <w:szCs w:val="24"/>
        </w:rPr>
      </w:pPr>
    </w:p>
    <w:p w14:paraId="793C3BAA" w14:textId="3BBE1196" w:rsidR="00EB3E6F" w:rsidRPr="00B16372" w:rsidRDefault="00B86284" w:rsidP="00314874">
      <w:pPr>
        <w:spacing w:after="0"/>
        <w:rPr>
          <w:rFonts w:ascii="Times New Roman" w:hAnsi="Times New Roman" w:cs="Times New Roman"/>
          <w:sz w:val="24"/>
          <w:szCs w:val="24"/>
        </w:rPr>
      </w:pPr>
      <w:r w:rsidRPr="00B16372">
        <w:rPr>
          <w:rFonts w:ascii="Times New Roman" w:hAnsi="Times New Roman" w:cs="Times New Roman"/>
          <w:sz w:val="24"/>
          <w:szCs w:val="24"/>
        </w:rPr>
        <w:t>If this standard and the associated information collection requirements did not exist or were performed less frequently</w:t>
      </w:r>
      <w:r w:rsidR="004B01EE">
        <w:rPr>
          <w:rFonts w:ascii="Times New Roman" w:hAnsi="Times New Roman" w:cs="Times New Roman"/>
          <w:sz w:val="24"/>
          <w:szCs w:val="24"/>
        </w:rPr>
        <w:t>,</w:t>
      </w:r>
      <w:r w:rsidRPr="00B16372">
        <w:rPr>
          <w:rFonts w:ascii="Times New Roman" w:hAnsi="Times New Roman" w:cs="Times New Roman"/>
          <w:sz w:val="24"/>
          <w:szCs w:val="24"/>
        </w:rPr>
        <w:t xml:space="preserve"> the</w:t>
      </w:r>
      <w:r w:rsidR="004B01EE">
        <w:rPr>
          <w:rFonts w:ascii="Times New Roman" w:hAnsi="Times New Roman" w:cs="Times New Roman"/>
          <w:sz w:val="24"/>
          <w:szCs w:val="24"/>
        </w:rPr>
        <w:t xml:space="preserve"> reduction or elimination of </w:t>
      </w:r>
      <w:r w:rsidRPr="00B16372">
        <w:rPr>
          <w:rFonts w:ascii="Times New Roman" w:hAnsi="Times New Roman" w:cs="Times New Roman"/>
          <w:sz w:val="24"/>
          <w:szCs w:val="24"/>
        </w:rPr>
        <w:t xml:space="preserve">transmission </w:t>
      </w:r>
      <w:r w:rsidR="004B01EE">
        <w:rPr>
          <w:rFonts w:ascii="Times New Roman" w:hAnsi="Times New Roman" w:cs="Times New Roman"/>
          <w:sz w:val="24"/>
          <w:szCs w:val="24"/>
        </w:rPr>
        <w:t xml:space="preserve">system </w:t>
      </w:r>
      <w:r w:rsidRPr="00B16372">
        <w:rPr>
          <w:rFonts w:ascii="Times New Roman" w:hAnsi="Times New Roman" w:cs="Times New Roman"/>
          <w:sz w:val="24"/>
          <w:szCs w:val="24"/>
        </w:rPr>
        <w:t>planning</w:t>
      </w:r>
      <w:r w:rsidR="004B01EE">
        <w:rPr>
          <w:rFonts w:ascii="Times New Roman" w:hAnsi="Times New Roman" w:cs="Times New Roman"/>
          <w:sz w:val="24"/>
          <w:szCs w:val="24"/>
        </w:rPr>
        <w:t xml:space="preserve"> would likely</w:t>
      </w:r>
      <w:r w:rsidRPr="00B16372">
        <w:rPr>
          <w:rFonts w:ascii="Times New Roman" w:hAnsi="Times New Roman" w:cs="Times New Roman"/>
          <w:sz w:val="24"/>
          <w:szCs w:val="24"/>
        </w:rPr>
        <w:t xml:space="preserve"> lead to </w:t>
      </w:r>
      <w:r w:rsidR="004B01EE">
        <w:rPr>
          <w:rFonts w:ascii="Times New Roman" w:hAnsi="Times New Roman" w:cs="Times New Roman"/>
          <w:sz w:val="24"/>
          <w:szCs w:val="24"/>
        </w:rPr>
        <w:t>lower system reliability</w:t>
      </w:r>
      <w:r w:rsidR="00A337D1">
        <w:rPr>
          <w:rFonts w:ascii="Times New Roman" w:hAnsi="Times New Roman" w:cs="Times New Roman"/>
          <w:sz w:val="24"/>
          <w:szCs w:val="24"/>
        </w:rPr>
        <w:t xml:space="preserve"> and higher vulnerability and risk</w:t>
      </w:r>
      <w:r w:rsidR="00CA4F8C">
        <w:rPr>
          <w:rFonts w:ascii="Times New Roman" w:hAnsi="Times New Roman" w:cs="Times New Roman"/>
          <w:sz w:val="24"/>
          <w:szCs w:val="24"/>
        </w:rPr>
        <w:t>,</w:t>
      </w:r>
      <w:r w:rsidR="004B01EE">
        <w:rPr>
          <w:rFonts w:ascii="Times New Roman" w:hAnsi="Times New Roman" w:cs="Times New Roman"/>
          <w:sz w:val="24"/>
          <w:szCs w:val="24"/>
        </w:rPr>
        <w:t xml:space="preserve"> such as transmission system outages and loss of load</w:t>
      </w:r>
      <w:r w:rsidRPr="00B16372">
        <w:rPr>
          <w:rFonts w:ascii="Times New Roman" w:hAnsi="Times New Roman" w:cs="Times New Roman"/>
          <w:sz w:val="24"/>
          <w:szCs w:val="24"/>
        </w:rPr>
        <w:t>.</w:t>
      </w:r>
    </w:p>
    <w:p w14:paraId="16C9DA80" w14:textId="77777777" w:rsidR="00B86284" w:rsidRPr="00B16372" w:rsidRDefault="00B86284" w:rsidP="00314874">
      <w:pPr>
        <w:spacing w:after="0"/>
        <w:rPr>
          <w:rFonts w:ascii="Times New Roman" w:hAnsi="Times New Roman" w:cs="Times New Roman"/>
          <w:sz w:val="24"/>
          <w:szCs w:val="24"/>
        </w:rPr>
      </w:pPr>
    </w:p>
    <w:p w14:paraId="58D02FFF" w14:textId="77777777" w:rsidR="00EB3E6F" w:rsidRPr="00B16372" w:rsidRDefault="00EB3E6F" w:rsidP="00314874">
      <w:pPr>
        <w:pStyle w:val="ListParagraph"/>
        <w:numPr>
          <w:ilvl w:val="0"/>
          <w:numId w:val="1"/>
        </w:numPr>
        <w:spacing w:after="0"/>
        <w:ind w:left="360"/>
        <w:rPr>
          <w:rFonts w:ascii="Times New Roman" w:hAnsi="Times New Roman" w:cs="Times New Roman"/>
          <w:b/>
          <w:sz w:val="24"/>
          <w:szCs w:val="24"/>
        </w:rPr>
      </w:pPr>
      <w:r w:rsidRPr="00B16372">
        <w:rPr>
          <w:rFonts w:ascii="Times New Roman" w:hAnsi="Times New Roman" w:cs="Times New Roman"/>
          <w:b/>
          <w:sz w:val="24"/>
          <w:szCs w:val="24"/>
        </w:rPr>
        <w:t>EXPLAIN ANY SPECIAL CIRCUMSTANCES RELATING TO THE INFORMATION COLLECTION</w:t>
      </w:r>
    </w:p>
    <w:p w14:paraId="45CE3F20" w14:textId="77777777" w:rsidR="00EB3E6F" w:rsidRPr="00B16372" w:rsidRDefault="00EB3E6F" w:rsidP="00314874">
      <w:pPr>
        <w:spacing w:after="0"/>
        <w:rPr>
          <w:rFonts w:ascii="Times New Roman" w:hAnsi="Times New Roman" w:cs="Times New Roman"/>
          <w:sz w:val="24"/>
          <w:szCs w:val="24"/>
        </w:rPr>
      </w:pPr>
    </w:p>
    <w:p w14:paraId="14588146" w14:textId="54A303A6" w:rsidR="00C60EDC" w:rsidRDefault="00C60EDC" w:rsidP="00314874">
      <w:pPr>
        <w:spacing w:after="0"/>
        <w:rPr>
          <w:rFonts w:ascii="Times New Roman" w:hAnsi="Times New Roman"/>
          <w:sz w:val="24"/>
          <w:szCs w:val="24"/>
        </w:rPr>
      </w:pPr>
      <w:r w:rsidRPr="009468C0">
        <w:rPr>
          <w:rFonts w:ascii="Times New Roman" w:hAnsi="Times New Roman"/>
          <w:sz w:val="24"/>
          <w:szCs w:val="24"/>
        </w:rPr>
        <w:t>There are some special circumstances as described in 5 CFR 1320.5(d)(2) related to this information collection.</w:t>
      </w:r>
      <w:r w:rsidR="001F6FF8">
        <w:rPr>
          <w:rFonts w:ascii="Times New Roman" w:hAnsi="Times New Roman"/>
          <w:sz w:val="24"/>
          <w:szCs w:val="24"/>
        </w:rPr>
        <w:t xml:space="preserve">  </w:t>
      </w:r>
    </w:p>
    <w:p w14:paraId="5FB0D986" w14:textId="77777777" w:rsidR="000E18A0" w:rsidRDefault="000E18A0" w:rsidP="00314874">
      <w:pPr>
        <w:spacing w:after="0"/>
        <w:rPr>
          <w:rFonts w:ascii="Times New Roman" w:hAnsi="Times New Roman"/>
          <w:sz w:val="24"/>
          <w:szCs w:val="24"/>
        </w:rPr>
      </w:pPr>
    </w:p>
    <w:p w14:paraId="7010EEB8" w14:textId="56A11F05" w:rsidR="000E18A0" w:rsidRDefault="0031742B" w:rsidP="00314874">
      <w:pPr>
        <w:spacing w:after="0"/>
        <w:rPr>
          <w:rFonts w:ascii="Times New Roman" w:hAnsi="Times New Roman"/>
          <w:sz w:val="24"/>
          <w:szCs w:val="24"/>
        </w:rPr>
      </w:pPr>
      <w:r>
        <w:rPr>
          <w:rFonts w:ascii="Times New Roman" w:hAnsi="Times New Roman"/>
          <w:sz w:val="24"/>
          <w:szCs w:val="24"/>
        </w:rPr>
        <w:t>The evidence retention requirements for PRC-026-1 are:</w:t>
      </w:r>
    </w:p>
    <w:p w14:paraId="3E30A26C" w14:textId="77777777" w:rsidR="00314874" w:rsidRDefault="00314874" w:rsidP="00314874">
      <w:pPr>
        <w:spacing w:after="0"/>
        <w:rPr>
          <w:rFonts w:ascii="Times New Roman" w:hAnsi="Times New Roman"/>
          <w:sz w:val="24"/>
          <w:szCs w:val="24"/>
        </w:rPr>
      </w:pPr>
    </w:p>
    <w:p w14:paraId="300C2B9A" w14:textId="6AD3E877" w:rsidR="000E18A0" w:rsidRPr="00314874" w:rsidRDefault="000E18A0" w:rsidP="00314874">
      <w:pPr>
        <w:spacing w:after="0"/>
        <w:rPr>
          <w:rFonts w:ascii="Times New Roman" w:hAnsi="Times New Roman"/>
          <w:sz w:val="24"/>
          <w:szCs w:val="24"/>
          <w:u w:val="single"/>
        </w:rPr>
      </w:pPr>
      <w:r w:rsidRPr="00314874">
        <w:rPr>
          <w:rFonts w:ascii="Times New Roman" w:hAnsi="Times New Roman"/>
          <w:sz w:val="24"/>
          <w:szCs w:val="24"/>
          <w:u w:val="single"/>
        </w:rPr>
        <w:t>1.2.      Evidence Retention</w:t>
      </w:r>
    </w:p>
    <w:p w14:paraId="6A504D19" w14:textId="77777777" w:rsidR="008D06B5" w:rsidRDefault="008D06B5" w:rsidP="00314874">
      <w:pPr>
        <w:spacing w:after="0"/>
        <w:rPr>
          <w:rFonts w:ascii="Times New Roman" w:hAnsi="Times New Roman"/>
          <w:sz w:val="24"/>
          <w:szCs w:val="24"/>
        </w:rPr>
      </w:pPr>
      <w:r w:rsidRPr="008D06B5">
        <w:rPr>
          <w:rFonts w:ascii="Times New Roman" w:hAnsi="Times New Roman"/>
          <w:sz w:val="24"/>
          <w:szCs w:val="24"/>
        </w:rPr>
        <w:t xml:space="preserve">The following evidence retention periods identify the period of time an entity is required to retain specific evidence to demonstrate compliance. For instances where the evidence retention period specified below is shorter than the time since the last audit, the CEA may ask an entity to provide other evidence to show that it was compliant for the full time period since the last audit. </w:t>
      </w:r>
    </w:p>
    <w:p w14:paraId="20C301D3" w14:textId="77777777" w:rsidR="008D06B5" w:rsidRDefault="008D06B5" w:rsidP="00314874">
      <w:pPr>
        <w:spacing w:after="0"/>
        <w:rPr>
          <w:rFonts w:ascii="Times New Roman" w:hAnsi="Times New Roman"/>
          <w:sz w:val="24"/>
          <w:szCs w:val="24"/>
        </w:rPr>
      </w:pPr>
    </w:p>
    <w:p w14:paraId="36CDA0FB" w14:textId="77777777" w:rsidR="008D06B5" w:rsidRDefault="008D06B5" w:rsidP="00314874">
      <w:pPr>
        <w:spacing w:after="0"/>
        <w:rPr>
          <w:rFonts w:ascii="Times New Roman" w:hAnsi="Times New Roman"/>
          <w:sz w:val="24"/>
          <w:szCs w:val="24"/>
        </w:rPr>
      </w:pPr>
      <w:r w:rsidRPr="008D06B5">
        <w:rPr>
          <w:rFonts w:ascii="Times New Roman" w:hAnsi="Times New Roman"/>
          <w:sz w:val="24"/>
          <w:szCs w:val="24"/>
        </w:rPr>
        <w:t>The Generator Owner, Planning Coordinator, and Transmission Owner shall keep data or evidence to show compliance as identified below unless directed by its CEA to retain specific evidence for a longer period of ti</w:t>
      </w:r>
      <w:r>
        <w:rPr>
          <w:rFonts w:ascii="Times New Roman" w:hAnsi="Times New Roman"/>
          <w:sz w:val="24"/>
          <w:szCs w:val="24"/>
        </w:rPr>
        <w:t>me as part of an investigation.</w:t>
      </w:r>
    </w:p>
    <w:p w14:paraId="5C19CC9D" w14:textId="77777777" w:rsidR="008D06B5" w:rsidRDefault="008D06B5" w:rsidP="00314874">
      <w:pPr>
        <w:pStyle w:val="ListParagraph"/>
        <w:numPr>
          <w:ilvl w:val="0"/>
          <w:numId w:val="26"/>
        </w:numPr>
        <w:spacing w:after="0"/>
        <w:rPr>
          <w:rFonts w:ascii="Times New Roman" w:hAnsi="Times New Roman"/>
          <w:sz w:val="24"/>
          <w:szCs w:val="24"/>
        </w:rPr>
      </w:pPr>
      <w:r w:rsidRPr="008D06B5">
        <w:rPr>
          <w:rFonts w:ascii="Times New Roman" w:hAnsi="Times New Roman"/>
          <w:sz w:val="24"/>
          <w:szCs w:val="24"/>
        </w:rPr>
        <w:t>The Planning Coordinator shall retain evidence of Requirement R1 for a minimum of one calendar year following the</w:t>
      </w:r>
      <w:r>
        <w:rPr>
          <w:rFonts w:ascii="Times New Roman" w:hAnsi="Times New Roman"/>
          <w:sz w:val="24"/>
          <w:szCs w:val="24"/>
        </w:rPr>
        <w:t xml:space="preserve"> completion of the Requirement.</w:t>
      </w:r>
    </w:p>
    <w:p w14:paraId="6FC8D397" w14:textId="77777777" w:rsidR="008D06B5" w:rsidRDefault="008D06B5" w:rsidP="00314874">
      <w:pPr>
        <w:pStyle w:val="ListParagraph"/>
        <w:numPr>
          <w:ilvl w:val="0"/>
          <w:numId w:val="26"/>
        </w:numPr>
        <w:spacing w:after="0"/>
        <w:rPr>
          <w:rFonts w:ascii="Times New Roman" w:hAnsi="Times New Roman"/>
          <w:sz w:val="24"/>
          <w:szCs w:val="24"/>
        </w:rPr>
      </w:pPr>
      <w:r w:rsidRPr="008D06B5">
        <w:rPr>
          <w:rFonts w:ascii="Times New Roman" w:hAnsi="Times New Roman"/>
          <w:sz w:val="24"/>
          <w:szCs w:val="24"/>
        </w:rPr>
        <w:lastRenderedPageBreak/>
        <w:t>The Generator Owner and Transmission Owner shall retain evidence of Requirement R2 evaluation for a minimum of 12 calendar months following completion of each evaluatio</w:t>
      </w:r>
      <w:r>
        <w:rPr>
          <w:rFonts w:ascii="Times New Roman" w:hAnsi="Times New Roman"/>
          <w:sz w:val="24"/>
          <w:szCs w:val="24"/>
        </w:rPr>
        <w:t>n where a CAP is not developed.</w:t>
      </w:r>
    </w:p>
    <w:p w14:paraId="2FC74590" w14:textId="77777777" w:rsidR="008D06B5" w:rsidRDefault="008D06B5" w:rsidP="00314874">
      <w:pPr>
        <w:pStyle w:val="ListParagraph"/>
        <w:numPr>
          <w:ilvl w:val="0"/>
          <w:numId w:val="26"/>
        </w:numPr>
        <w:spacing w:after="0"/>
        <w:rPr>
          <w:rFonts w:ascii="Times New Roman" w:hAnsi="Times New Roman"/>
          <w:sz w:val="24"/>
          <w:szCs w:val="24"/>
        </w:rPr>
      </w:pPr>
      <w:r w:rsidRPr="008D06B5">
        <w:rPr>
          <w:rFonts w:ascii="Times New Roman" w:hAnsi="Times New Roman"/>
          <w:sz w:val="24"/>
          <w:szCs w:val="24"/>
        </w:rPr>
        <w:t xml:space="preserve">The Generator Owner and Transmission Owner shall retain evidence of Requirements R2, R3, and R4 for a minimum of 12 calendar months following completion of each CAP. </w:t>
      </w:r>
    </w:p>
    <w:p w14:paraId="2E5D57B4" w14:textId="77777777" w:rsidR="008D06B5" w:rsidRPr="008D06B5" w:rsidRDefault="008D06B5" w:rsidP="00314874">
      <w:pPr>
        <w:spacing w:after="0"/>
        <w:ind w:left="360"/>
        <w:rPr>
          <w:rFonts w:ascii="Times New Roman" w:hAnsi="Times New Roman"/>
          <w:sz w:val="24"/>
          <w:szCs w:val="24"/>
        </w:rPr>
      </w:pPr>
    </w:p>
    <w:p w14:paraId="5096E33D" w14:textId="0AC478DC" w:rsidR="00670E40" w:rsidRPr="008D06B5" w:rsidRDefault="008D06B5" w:rsidP="00314874">
      <w:pPr>
        <w:spacing w:after="0"/>
        <w:rPr>
          <w:rFonts w:ascii="Times New Roman" w:hAnsi="Times New Roman"/>
          <w:sz w:val="24"/>
          <w:szCs w:val="24"/>
        </w:rPr>
      </w:pPr>
      <w:r w:rsidRPr="008D06B5">
        <w:rPr>
          <w:rFonts w:ascii="Times New Roman" w:hAnsi="Times New Roman"/>
          <w:sz w:val="24"/>
          <w:szCs w:val="24"/>
        </w:rPr>
        <w:t>If a Generator Owner, Planning Coordinator, or Transmission Owner is found noncompliant, it shall keep information related to the non-compliance until mitigation is complete and approved, or for the time specified above, whichever is longer.</w:t>
      </w:r>
    </w:p>
    <w:p w14:paraId="3CF02824" w14:textId="77777777" w:rsidR="00EB3E6F" w:rsidRPr="00B16372" w:rsidRDefault="00EB3E6F" w:rsidP="00314874">
      <w:pPr>
        <w:spacing w:after="0"/>
        <w:rPr>
          <w:rFonts w:ascii="Times New Roman" w:hAnsi="Times New Roman" w:cs="Times New Roman"/>
          <w:sz w:val="24"/>
          <w:szCs w:val="24"/>
        </w:rPr>
      </w:pPr>
    </w:p>
    <w:p w14:paraId="6440C006" w14:textId="77777777" w:rsidR="00EB3E6F" w:rsidRPr="00B16372" w:rsidRDefault="00EB3E6F" w:rsidP="00314874">
      <w:pPr>
        <w:pStyle w:val="ListParagraph"/>
        <w:numPr>
          <w:ilvl w:val="0"/>
          <w:numId w:val="1"/>
        </w:numPr>
        <w:spacing w:after="0"/>
        <w:ind w:left="360"/>
        <w:rPr>
          <w:rFonts w:ascii="Times New Roman" w:hAnsi="Times New Roman" w:cs="Times New Roman"/>
          <w:b/>
          <w:sz w:val="24"/>
          <w:szCs w:val="24"/>
        </w:rPr>
      </w:pPr>
      <w:r w:rsidRPr="00B16372">
        <w:rPr>
          <w:rFonts w:ascii="Times New Roman" w:hAnsi="Times New Roman" w:cs="Times New Roman"/>
          <w:b/>
          <w:sz w:val="24"/>
          <w:szCs w:val="24"/>
        </w:rPr>
        <w:t>DESCRIBE EFFORTS TO CONSULT OUTSIDE THE AGENCY: SUMMARIZE PUBLIC COMMENTS AND THE AGENCY’S RESPONSE</w:t>
      </w:r>
    </w:p>
    <w:p w14:paraId="231382F1" w14:textId="77777777" w:rsidR="00EB3E6F" w:rsidRPr="00B16372" w:rsidRDefault="00EB3E6F" w:rsidP="00314874">
      <w:pPr>
        <w:spacing w:after="0"/>
        <w:rPr>
          <w:rFonts w:ascii="Times New Roman" w:hAnsi="Times New Roman" w:cs="Times New Roman"/>
          <w:sz w:val="24"/>
          <w:szCs w:val="24"/>
        </w:rPr>
      </w:pPr>
    </w:p>
    <w:p w14:paraId="3E932C72" w14:textId="02F69F13" w:rsidR="0072126E" w:rsidRDefault="0072126E" w:rsidP="00314874">
      <w:pPr>
        <w:spacing w:after="0"/>
        <w:rPr>
          <w:rFonts w:ascii="Times New Roman" w:hAnsi="Times New Roman"/>
          <w:sz w:val="24"/>
          <w:szCs w:val="24"/>
        </w:rPr>
      </w:pPr>
      <w:r w:rsidRPr="00B16372">
        <w:rPr>
          <w:rFonts w:ascii="Times New Roman" w:hAnsi="Times New Roman"/>
          <w:bCs/>
          <w:sz w:val="24"/>
          <w:szCs w:val="24"/>
        </w:rPr>
        <w:t xml:space="preserve">The ERO process to establish Reliability Standards is a collaborative process with the ERO, Regional Entities and other stakeholders developing and reviewing drafts, and providing </w:t>
      </w:r>
      <w:r w:rsidR="001F54A4">
        <w:rPr>
          <w:rFonts w:ascii="Times New Roman" w:hAnsi="Times New Roman"/>
          <w:bCs/>
          <w:sz w:val="24"/>
          <w:szCs w:val="24"/>
        </w:rPr>
        <w:t>comments, with the</w:t>
      </w:r>
      <w:r w:rsidRPr="00B16372">
        <w:rPr>
          <w:rFonts w:ascii="Times New Roman" w:hAnsi="Times New Roman"/>
          <w:bCs/>
          <w:sz w:val="24"/>
          <w:szCs w:val="24"/>
        </w:rPr>
        <w:t xml:space="preserve"> proposed standard submitte</w:t>
      </w:r>
      <w:r w:rsidR="001F54A4">
        <w:rPr>
          <w:rFonts w:ascii="Times New Roman" w:hAnsi="Times New Roman"/>
          <w:bCs/>
          <w:sz w:val="24"/>
          <w:szCs w:val="24"/>
        </w:rPr>
        <w:t>d to the FERC for review</w:t>
      </w:r>
      <w:r w:rsidRPr="00B16372">
        <w:rPr>
          <w:rFonts w:ascii="Times New Roman" w:hAnsi="Times New Roman"/>
          <w:bCs/>
          <w:sz w:val="24"/>
          <w:szCs w:val="24"/>
        </w:rPr>
        <w:t>.</w:t>
      </w:r>
      <w:r w:rsidRPr="00B16372">
        <w:rPr>
          <w:rFonts w:ascii="Times New Roman" w:hAnsi="Times New Roman"/>
          <w:b/>
          <w:bCs/>
          <w:sz w:val="24"/>
          <w:szCs w:val="24"/>
          <w:vertAlign w:val="superscript"/>
        </w:rPr>
        <w:footnoteReference w:id="15"/>
      </w:r>
      <w:r w:rsidRPr="00B16372">
        <w:rPr>
          <w:rFonts w:ascii="Times New Roman" w:hAnsi="Times New Roman"/>
          <w:bCs/>
          <w:sz w:val="24"/>
          <w:szCs w:val="24"/>
        </w:rPr>
        <w:t xml:space="preserve">  In addition, each FERC rulemaking (both proposed and final rules) is published in </w:t>
      </w:r>
      <w:r w:rsidRPr="005A615D">
        <w:rPr>
          <w:rFonts w:ascii="Times New Roman" w:hAnsi="Times New Roman"/>
          <w:bCs/>
          <w:sz w:val="24"/>
          <w:szCs w:val="24"/>
        </w:rPr>
        <w:t>the Federal Register, thereby providing public utilities and licensees, state commissions, Federal agencies, and other</w:t>
      </w:r>
      <w:r w:rsidRPr="00B16372">
        <w:rPr>
          <w:rFonts w:ascii="Times New Roman" w:hAnsi="Times New Roman"/>
          <w:bCs/>
          <w:sz w:val="24"/>
          <w:szCs w:val="24"/>
        </w:rPr>
        <w:t xml:space="preserve"> interested parties an opportunity to submit data, views, comments or sug</w:t>
      </w:r>
      <w:r w:rsidR="0003446B">
        <w:rPr>
          <w:rFonts w:ascii="Times New Roman" w:hAnsi="Times New Roman"/>
          <w:bCs/>
          <w:sz w:val="24"/>
          <w:szCs w:val="24"/>
        </w:rPr>
        <w:t>gestions concerning the approved</w:t>
      </w:r>
      <w:r w:rsidRPr="00B16372">
        <w:rPr>
          <w:rFonts w:ascii="Times New Roman" w:hAnsi="Times New Roman"/>
          <w:bCs/>
          <w:sz w:val="24"/>
          <w:szCs w:val="24"/>
        </w:rPr>
        <w:t xml:space="preserve"> collection of data. </w:t>
      </w:r>
      <w:r w:rsidR="005A615D">
        <w:rPr>
          <w:rFonts w:ascii="Times New Roman" w:hAnsi="Times New Roman"/>
          <w:sz w:val="24"/>
          <w:szCs w:val="24"/>
        </w:rPr>
        <w:t xml:space="preserve"> The final</w:t>
      </w:r>
      <w:r w:rsidRPr="00B16372">
        <w:rPr>
          <w:rFonts w:ascii="Times New Roman" w:hAnsi="Times New Roman"/>
          <w:sz w:val="24"/>
          <w:szCs w:val="24"/>
        </w:rPr>
        <w:t xml:space="preserve"> rule </w:t>
      </w:r>
      <w:r w:rsidR="0038387E">
        <w:rPr>
          <w:rFonts w:ascii="Times New Roman" w:hAnsi="Times New Roman"/>
          <w:sz w:val="24"/>
          <w:szCs w:val="24"/>
        </w:rPr>
        <w:t>was</w:t>
      </w:r>
      <w:r w:rsidR="00FB0BA8" w:rsidRPr="00B16372">
        <w:rPr>
          <w:rFonts w:ascii="Times New Roman" w:hAnsi="Times New Roman"/>
          <w:sz w:val="24"/>
          <w:szCs w:val="24"/>
        </w:rPr>
        <w:t xml:space="preserve"> </w:t>
      </w:r>
      <w:r w:rsidRPr="00B16372">
        <w:rPr>
          <w:rFonts w:ascii="Times New Roman" w:hAnsi="Times New Roman"/>
          <w:sz w:val="24"/>
          <w:szCs w:val="24"/>
        </w:rPr>
        <w:t>published in the Federal Register</w:t>
      </w:r>
      <w:r w:rsidR="0038387E">
        <w:rPr>
          <w:rFonts w:ascii="Times New Roman" w:hAnsi="Times New Roman"/>
          <w:sz w:val="24"/>
          <w:szCs w:val="24"/>
        </w:rPr>
        <w:t xml:space="preserve"> on 3/24/2016</w:t>
      </w:r>
      <w:r w:rsidR="0038387E" w:rsidRPr="0038387E">
        <w:rPr>
          <w:rStyle w:val="FootnoteReference"/>
          <w:rFonts w:ascii="Times New Roman" w:hAnsi="Times New Roman"/>
          <w:sz w:val="24"/>
          <w:szCs w:val="24"/>
          <w:vertAlign w:val="superscript"/>
        </w:rPr>
        <w:footnoteReference w:id="16"/>
      </w:r>
      <w:r w:rsidR="00FB0BA8">
        <w:rPr>
          <w:rFonts w:ascii="Times New Roman" w:hAnsi="Times New Roman"/>
          <w:sz w:val="24"/>
          <w:szCs w:val="24"/>
        </w:rPr>
        <w:t>.</w:t>
      </w:r>
    </w:p>
    <w:p w14:paraId="0E8A3570" w14:textId="77777777" w:rsidR="0038387E" w:rsidRDefault="0038387E" w:rsidP="00314874">
      <w:pPr>
        <w:spacing w:after="0"/>
        <w:rPr>
          <w:rFonts w:ascii="Times New Roman" w:hAnsi="Times New Roman"/>
          <w:sz w:val="24"/>
          <w:szCs w:val="24"/>
        </w:rPr>
      </w:pPr>
    </w:p>
    <w:p w14:paraId="0CA3CEDD" w14:textId="20E79EC4" w:rsidR="0038387E" w:rsidRPr="0038387E" w:rsidRDefault="0038387E" w:rsidP="0038387E">
      <w:pPr>
        <w:spacing w:after="0"/>
        <w:rPr>
          <w:rFonts w:ascii="Times New Roman" w:hAnsi="Times New Roman"/>
          <w:sz w:val="24"/>
          <w:szCs w:val="24"/>
        </w:rPr>
      </w:pPr>
      <w:r w:rsidRPr="0038387E">
        <w:rPr>
          <w:rFonts w:ascii="Times New Roman" w:hAnsi="Times New Roman"/>
          <w:sz w:val="24"/>
          <w:szCs w:val="24"/>
        </w:rPr>
        <w:lastRenderedPageBreak/>
        <w:t xml:space="preserve">Seven entities filed comments in response to two issues raised in the NOPR. First, commenters stated that the 15-cycle limitation in the proposed Reliability Standard PRC-026-1 does not result in </w:t>
      </w:r>
      <w:r w:rsidR="00B15596">
        <w:rPr>
          <w:rFonts w:ascii="Times New Roman" w:hAnsi="Times New Roman"/>
          <w:sz w:val="24"/>
          <w:szCs w:val="24"/>
        </w:rPr>
        <w:t>a reliability concern due to its</w:t>
      </w:r>
      <w:r w:rsidRPr="0038387E">
        <w:rPr>
          <w:rFonts w:ascii="Times New Roman" w:hAnsi="Times New Roman"/>
          <w:sz w:val="24"/>
          <w:szCs w:val="24"/>
        </w:rPr>
        <w:t xml:space="preserve"> interaction with other Reliability Standards.  Second, commenters stated that expanding the applicability of the proposed standard to include relays with time delays of 15 cycles or greater would re</w:t>
      </w:r>
      <w:r>
        <w:rPr>
          <w:rFonts w:ascii="Times New Roman" w:hAnsi="Times New Roman"/>
          <w:sz w:val="24"/>
          <w:szCs w:val="24"/>
        </w:rPr>
        <w:t xml:space="preserve">sult in a significant </w:t>
      </w:r>
      <w:r w:rsidRPr="0038387E">
        <w:rPr>
          <w:rFonts w:ascii="Times New Roman" w:hAnsi="Times New Roman"/>
          <w:sz w:val="24"/>
          <w:szCs w:val="24"/>
        </w:rPr>
        <w:t>risk to reliability.</w:t>
      </w:r>
    </w:p>
    <w:p w14:paraId="0343B6FA" w14:textId="77777777" w:rsidR="0038387E" w:rsidRPr="0038387E" w:rsidRDefault="0038387E" w:rsidP="0038387E">
      <w:pPr>
        <w:spacing w:after="0"/>
        <w:rPr>
          <w:rFonts w:ascii="Times New Roman" w:hAnsi="Times New Roman"/>
          <w:sz w:val="24"/>
          <w:szCs w:val="24"/>
        </w:rPr>
      </w:pPr>
      <w:r w:rsidRPr="0038387E">
        <w:rPr>
          <w:rFonts w:ascii="Times New Roman" w:hAnsi="Times New Roman"/>
          <w:sz w:val="24"/>
          <w:szCs w:val="24"/>
        </w:rPr>
        <w:t xml:space="preserve"> </w:t>
      </w:r>
    </w:p>
    <w:p w14:paraId="57CF3B42" w14:textId="41AEA300" w:rsidR="0038387E" w:rsidRPr="0038387E" w:rsidRDefault="0038387E" w:rsidP="0038387E">
      <w:pPr>
        <w:spacing w:after="0"/>
        <w:rPr>
          <w:rFonts w:ascii="Times New Roman" w:hAnsi="Times New Roman"/>
          <w:sz w:val="24"/>
          <w:szCs w:val="24"/>
        </w:rPr>
      </w:pPr>
      <w:r w:rsidRPr="0038387E">
        <w:rPr>
          <w:rFonts w:ascii="Times New Roman" w:hAnsi="Times New Roman"/>
          <w:sz w:val="24"/>
          <w:szCs w:val="24"/>
        </w:rPr>
        <w:t xml:space="preserve">Based on these comments, the Final Order concludes (1) that the potential reliability gap is adequately addressed by requirements of other standards, and (2) that </w:t>
      </w:r>
      <w:r w:rsidR="00B15596">
        <w:rPr>
          <w:rFonts w:ascii="Times New Roman" w:hAnsi="Times New Roman"/>
          <w:sz w:val="24"/>
          <w:szCs w:val="24"/>
        </w:rPr>
        <w:t>concerns of the potential risk</w:t>
      </w:r>
      <w:r w:rsidRPr="0038387E">
        <w:rPr>
          <w:rFonts w:ascii="Times New Roman" w:hAnsi="Times New Roman"/>
          <w:sz w:val="24"/>
          <w:szCs w:val="24"/>
        </w:rPr>
        <w:t xml:space="preserve"> of expanding applicability of the standard are moot given the determination that the potential reliability gap is adequately addressed.</w:t>
      </w:r>
    </w:p>
    <w:p w14:paraId="442133C9" w14:textId="13E37AA7" w:rsidR="0038387E" w:rsidRPr="0038387E" w:rsidRDefault="0038387E" w:rsidP="0038387E">
      <w:pPr>
        <w:spacing w:after="0"/>
        <w:rPr>
          <w:rFonts w:ascii="Times New Roman" w:hAnsi="Times New Roman"/>
          <w:sz w:val="24"/>
          <w:szCs w:val="24"/>
        </w:rPr>
      </w:pPr>
    </w:p>
    <w:p w14:paraId="6730BBAA" w14:textId="69ECFA19" w:rsidR="0038387E" w:rsidRDefault="0038387E" w:rsidP="0038387E">
      <w:pPr>
        <w:spacing w:after="0"/>
        <w:rPr>
          <w:rFonts w:ascii="Times New Roman" w:hAnsi="Times New Roman"/>
          <w:sz w:val="24"/>
          <w:szCs w:val="24"/>
        </w:rPr>
      </w:pPr>
      <w:r w:rsidRPr="0038387E">
        <w:rPr>
          <w:rFonts w:ascii="Times New Roman" w:hAnsi="Times New Roman"/>
          <w:sz w:val="24"/>
          <w:szCs w:val="24"/>
        </w:rPr>
        <w:t>There were no paperwork-related comments</w:t>
      </w:r>
      <w:r>
        <w:rPr>
          <w:rFonts w:ascii="Times New Roman" w:hAnsi="Times New Roman"/>
          <w:sz w:val="24"/>
          <w:szCs w:val="24"/>
        </w:rPr>
        <w:t>.</w:t>
      </w:r>
    </w:p>
    <w:p w14:paraId="5AFA0870" w14:textId="34E6542F" w:rsidR="005462C0" w:rsidRPr="00B16372" w:rsidRDefault="005462C0" w:rsidP="00314874">
      <w:pPr>
        <w:spacing w:after="0"/>
        <w:rPr>
          <w:rFonts w:ascii="Times New Roman" w:hAnsi="Times New Roman" w:cs="Times New Roman"/>
          <w:sz w:val="24"/>
          <w:szCs w:val="24"/>
        </w:rPr>
      </w:pPr>
    </w:p>
    <w:p w14:paraId="4522982A" w14:textId="77777777" w:rsidR="00EB3E6F" w:rsidRPr="00B16372" w:rsidRDefault="00D80FBD" w:rsidP="00314874">
      <w:pPr>
        <w:pStyle w:val="ListParagraph"/>
        <w:numPr>
          <w:ilvl w:val="0"/>
          <w:numId w:val="1"/>
        </w:numPr>
        <w:spacing w:after="0"/>
        <w:ind w:left="360"/>
        <w:rPr>
          <w:rFonts w:ascii="Times New Roman" w:hAnsi="Times New Roman" w:cs="Times New Roman"/>
          <w:b/>
          <w:sz w:val="24"/>
          <w:szCs w:val="24"/>
        </w:rPr>
      </w:pPr>
      <w:r w:rsidRPr="00B16372">
        <w:rPr>
          <w:rFonts w:ascii="Times New Roman" w:hAnsi="Times New Roman" w:cs="Times New Roman"/>
          <w:b/>
          <w:sz w:val="24"/>
          <w:szCs w:val="24"/>
        </w:rPr>
        <w:t>EXPLAIN ANY PAYMENT OR GIFTS TO RESPONDENTS</w:t>
      </w:r>
    </w:p>
    <w:p w14:paraId="5B34572D" w14:textId="77777777" w:rsidR="00D80FBD" w:rsidRPr="00B16372" w:rsidRDefault="00D80FBD" w:rsidP="00314874">
      <w:pPr>
        <w:spacing w:after="0"/>
        <w:rPr>
          <w:rFonts w:ascii="Times New Roman" w:hAnsi="Times New Roman" w:cs="Times New Roman"/>
          <w:sz w:val="24"/>
          <w:szCs w:val="24"/>
        </w:rPr>
      </w:pPr>
    </w:p>
    <w:p w14:paraId="020143FA" w14:textId="77777777" w:rsidR="0072126E" w:rsidRPr="00B16372" w:rsidRDefault="0072126E" w:rsidP="00314874">
      <w:pPr>
        <w:spacing w:after="0"/>
        <w:rPr>
          <w:rFonts w:ascii="Times New Roman" w:hAnsi="Times New Roman"/>
          <w:sz w:val="24"/>
          <w:szCs w:val="24"/>
        </w:rPr>
      </w:pPr>
      <w:r w:rsidRPr="00B16372">
        <w:rPr>
          <w:rFonts w:ascii="Times New Roman" w:hAnsi="Times New Roman"/>
          <w:sz w:val="24"/>
          <w:szCs w:val="24"/>
        </w:rPr>
        <w:t>The Commission does not make payments or provide gifts for respondents related to this collection.</w:t>
      </w:r>
    </w:p>
    <w:p w14:paraId="05996D25" w14:textId="77777777" w:rsidR="00D80FBD" w:rsidRPr="00B16372" w:rsidRDefault="00D80FBD" w:rsidP="00314874">
      <w:pPr>
        <w:spacing w:after="0"/>
        <w:rPr>
          <w:rFonts w:ascii="Times New Roman" w:hAnsi="Times New Roman" w:cs="Times New Roman"/>
          <w:sz w:val="24"/>
          <w:szCs w:val="24"/>
        </w:rPr>
      </w:pPr>
    </w:p>
    <w:p w14:paraId="69FCD512" w14:textId="77777777" w:rsidR="00D80FBD" w:rsidRPr="00B16372" w:rsidRDefault="00D80FBD" w:rsidP="00314874">
      <w:pPr>
        <w:pStyle w:val="ListParagraph"/>
        <w:numPr>
          <w:ilvl w:val="0"/>
          <w:numId w:val="1"/>
        </w:numPr>
        <w:spacing w:after="0"/>
        <w:ind w:left="360"/>
        <w:rPr>
          <w:rFonts w:ascii="Times New Roman" w:hAnsi="Times New Roman" w:cs="Times New Roman"/>
          <w:b/>
          <w:sz w:val="24"/>
          <w:szCs w:val="24"/>
        </w:rPr>
      </w:pPr>
      <w:r w:rsidRPr="00B16372">
        <w:rPr>
          <w:rFonts w:ascii="Times New Roman" w:hAnsi="Times New Roman" w:cs="Times New Roman"/>
          <w:b/>
          <w:sz w:val="24"/>
          <w:szCs w:val="24"/>
        </w:rPr>
        <w:t>DESCRIBE ANY ASSURANCE OF CONFIDENTIALITY PROVIDED TO RESPONDENTS</w:t>
      </w:r>
    </w:p>
    <w:p w14:paraId="2386FFF5" w14:textId="77777777" w:rsidR="00DF19E8" w:rsidRDefault="00DF19E8" w:rsidP="00314874">
      <w:pPr>
        <w:spacing w:after="0"/>
        <w:rPr>
          <w:rFonts w:ascii="Times New Roman" w:hAnsi="Times New Roman" w:cs="Times New Roman"/>
          <w:sz w:val="24"/>
          <w:szCs w:val="24"/>
        </w:rPr>
      </w:pPr>
    </w:p>
    <w:p w14:paraId="4E1368AE" w14:textId="4448F8C5" w:rsidR="00E7335D" w:rsidRPr="00E7335D" w:rsidRDefault="00E7335D" w:rsidP="00314874">
      <w:pPr>
        <w:spacing w:after="0"/>
        <w:rPr>
          <w:rFonts w:ascii="Times New Roman" w:hAnsi="Times New Roman" w:cs="Times New Roman"/>
          <w:sz w:val="24"/>
          <w:szCs w:val="24"/>
        </w:rPr>
      </w:pPr>
      <w:r w:rsidRPr="00E7335D">
        <w:rPr>
          <w:rFonts w:ascii="Times New Roman" w:hAnsi="Times New Roman" w:cs="Times New Roman"/>
          <w:sz w:val="24"/>
          <w:szCs w:val="24"/>
        </w:rPr>
        <w:t>According to the NERC Rule of Procedure 1502</w:t>
      </w:r>
      <w:r w:rsidR="0003446B" w:rsidRPr="0003446B">
        <w:rPr>
          <w:rFonts w:ascii="Times New Roman" w:hAnsi="Times New Roman" w:cs="Times New Roman"/>
          <w:sz w:val="24"/>
          <w:szCs w:val="24"/>
          <w:vertAlign w:val="superscript"/>
        </w:rPr>
        <w:fldChar w:fldCharType="begin"/>
      </w:r>
      <w:r w:rsidR="0003446B" w:rsidRPr="0003446B">
        <w:rPr>
          <w:rFonts w:ascii="Times New Roman" w:hAnsi="Times New Roman" w:cs="Times New Roman"/>
          <w:sz w:val="24"/>
          <w:szCs w:val="24"/>
          <w:vertAlign w:val="superscript"/>
        </w:rPr>
        <w:instrText xml:space="preserve"> NOTEREF _Ref446580602 \h </w:instrText>
      </w:r>
      <w:r w:rsidR="0003446B">
        <w:rPr>
          <w:rFonts w:ascii="Times New Roman" w:hAnsi="Times New Roman" w:cs="Times New Roman"/>
          <w:sz w:val="24"/>
          <w:szCs w:val="24"/>
          <w:vertAlign w:val="superscript"/>
        </w:rPr>
        <w:instrText xml:space="preserve"> \* MERGEFORMAT </w:instrText>
      </w:r>
      <w:r w:rsidR="0003446B" w:rsidRPr="0003446B">
        <w:rPr>
          <w:rFonts w:ascii="Times New Roman" w:hAnsi="Times New Roman" w:cs="Times New Roman"/>
          <w:sz w:val="24"/>
          <w:szCs w:val="24"/>
          <w:vertAlign w:val="superscript"/>
        </w:rPr>
      </w:r>
      <w:r w:rsidR="0003446B" w:rsidRPr="0003446B">
        <w:rPr>
          <w:rFonts w:ascii="Times New Roman" w:hAnsi="Times New Roman" w:cs="Times New Roman"/>
          <w:sz w:val="24"/>
          <w:szCs w:val="24"/>
          <w:vertAlign w:val="superscript"/>
        </w:rPr>
        <w:fldChar w:fldCharType="separate"/>
      </w:r>
      <w:r w:rsidR="0003446B" w:rsidRPr="0003446B">
        <w:rPr>
          <w:rFonts w:ascii="Times New Roman" w:hAnsi="Times New Roman" w:cs="Times New Roman"/>
          <w:sz w:val="24"/>
          <w:szCs w:val="24"/>
          <w:vertAlign w:val="superscript"/>
        </w:rPr>
        <w:t>14</w:t>
      </w:r>
      <w:r w:rsidR="0003446B" w:rsidRPr="0003446B">
        <w:rPr>
          <w:rFonts w:ascii="Times New Roman" w:hAnsi="Times New Roman" w:cs="Times New Roman"/>
          <w:sz w:val="24"/>
          <w:szCs w:val="24"/>
          <w:vertAlign w:val="superscript"/>
        </w:rPr>
        <w:fldChar w:fldCharType="end"/>
      </w:r>
      <w:r w:rsidRPr="00E7335D">
        <w:rPr>
          <w:rFonts w:ascii="Times New Roman" w:hAnsi="Times New Roman" w:cs="Times New Roman"/>
          <w:sz w:val="24"/>
          <w:szCs w:val="24"/>
        </w:rPr>
        <w:t>,  “a Receiving Entity shall keep in confidence and not copy, disclose, or distribute any Confidential Information or any part thereof without the permission of the Submitting Entity, except as otherwise legally required.”  This serves to protect confidential information submitted to NERC or Regional Entities.</w:t>
      </w:r>
    </w:p>
    <w:p w14:paraId="59A3BC51" w14:textId="77777777" w:rsidR="00E7335D" w:rsidRPr="00E7335D" w:rsidRDefault="00E7335D" w:rsidP="00314874">
      <w:pPr>
        <w:spacing w:after="0"/>
        <w:rPr>
          <w:rFonts w:ascii="Times New Roman" w:hAnsi="Times New Roman" w:cs="Times New Roman"/>
          <w:sz w:val="24"/>
          <w:szCs w:val="24"/>
        </w:rPr>
      </w:pPr>
    </w:p>
    <w:p w14:paraId="25B62F54" w14:textId="45AD9003" w:rsidR="00D80FBD" w:rsidRDefault="00E7335D" w:rsidP="00314874">
      <w:pPr>
        <w:spacing w:after="0"/>
        <w:rPr>
          <w:rFonts w:ascii="Times New Roman" w:hAnsi="Times New Roman" w:cs="Times New Roman"/>
          <w:sz w:val="24"/>
          <w:szCs w:val="24"/>
        </w:rPr>
      </w:pPr>
      <w:r w:rsidRPr="00E7335D">
        <w:rPr>
          <w:rFonts w:ascii="Times New Roman" w:hAnsi="Times New Roman" w:cs="Times New Roman"/>
          <w:sz w:val="24"/>
          <w:szCs w:val="24"/>
        </w:rPr>
        <w:lastRenderedPageBreak/>
        <w:t xml:space="preserve">Responding entities do not submit the information collected under the approved Reliability Standards to FERC.  Rather, they maintain it internally.  Since there are no submissions made to FERC, FERC provides no specific provisions in order to protect confidentiality unless and until any such information is submitted to FERC as part of an enforcement action or other compliance review. </w:t>
      </w:r>
    </w:p>
    <w:p w14:paraId="7E88157E" w14:textId="77777777" w:rsidR="00E7335D" w:rsidRPr="00B16372" w:rsidRDefault="00E7335D" w:rsidP="00314874">
      <w:pPr>
        <w:spacing w:after="0"/>
        <w:rPr>
          <w:rFonts w:ascii="Times New Roman" w:hAnsi="Times New Roman" w:cs="Times New Roman"/>
          <w:sz w:val="24"/>
          <w:szCs w:val="24"/>
        </w:rPr>
      </w:pPr>
    </w:p>
    <w:p w14:paraId="59425FEA" w14:textId="5FFFE8C9" w:rsidR="00D80FBD" w:rsidRPr="00B16372" w:rsidRDefault="00D80FBD" w:rsidP="00314874">
      <w:pPr>
        <w:pStyle w:val="ListParagraph"/>
        <w:numPr>
          <w:ilvl w:val="0"/>
          <w:numId w:val="1"/>
        </w:numPr>
        <w:spacing w:after="0"/>
        <w:ind w:left="360"/>
        <w:rPr>
          <w:rFonts w:ascii="Times New Roman" w:hAnsi="Times New Roman" w:cs="Times New Roman"/>
          <w:b/>
          <w:sz w:val="24"/>
          <w:szCs w:val="24"/>
        </w:rPr>
      </w:pPr>
      <w:r w:rsidRPr="00B16372">
        <w:rPr>
          <w:rFonts w:ascii="Times New Roman" w:hAnsi="Times New Roman" w:cs="Times New Roman"/>
          <w:b/>
          <w:sz w:val="24"/>
          <w:szCs w:val="24"/>
        </w:rPr>
        <w:t>PROVIDE ADDITIONAL JUSTIFICATION FOR ANY QUESTIONS OF A SENSITIVE NATURE</w:t>
      </w:r>
      <w:r w:rsidR="00C62F55" w:rsidRPr="00C62F55">
        <w:rPr>
          <w:rFonts w:ascii="Times New Roman" w:hAnsi="Times New Roman" w:cs="Times New Roman"/>
          <w:b/>
          <w:sz w:val="24"/>
          <w:szCs w:val="24"/>
        </w:rPr>
        <w:t>, SUCH AS SEXUAL BEHAVIOR AND ATTITUDES, RELIGIOUS BELIEFS, AND OTHER MATTERS THAT ARE COMMONLY CONSIDERED PRIVATE</w:t>
      </w:r>
    </w:p>
    <w:p w14:paraId="626668E6" w14:textId="77777777" w:rsidR="00D80FBD" w:rsidRPr="00B16372" w:rsidRDefault="00D80FBD" w:rsidP="00314874">
      <w:pPr>
        <w:spacing w:after="0"/>
        <w:rPr>
          <w:rFonts w:ascii="Times New Roman" w:hAnsi="Times New Roman" w:cs="Times New Roman"/>
          <w:sz w:val="24"/>
          <w:szCs w:val="24"/>
        </w:rPr>
      </w:pPr>
    </w:p>
    <w:p w14:paraId="0DD3380B" w14:textId="77777777" w:rsidR="00A4336A" w:rsidRPr="00B16372" w:rsidRDefault="00A4336A" w:rsidP="00314874">
      <w:pPr>
        <w:spacing w:after="0"/>
        <w:rPr>
          <w:rFonts w:ascii="Times New Roman" w:hAnsi="Times New Roman"/>
          <w:sz w:val="24"/>
          <w:szCs w:val="24"/>
        </w:rPr>
      </w:pPr>
      <w:r w:rsidRPr="00B16372">
        <w:rPr>
          <w:rFonts w:ascii="Times New Roman" w:hAnsi="Times New Roman"/>
          <w:sz w:val="24"/>
          <w:szCs w:val="24"/>
        </w:rPr>
        <w:t>This collection does not include any questions of a sensitive nature.</w:t>
      </w:r>
    </w:p>
    <w:p w14:paraId="7B19B477" w14:textId="77777777" w:rsidR="00D80FBD" w:rsidRPr="00B16372" w:rsidRDefault="00D80FBD" w:rsidP="00314874">
      <w:pPr>
        <w:spacing w:after="0"/>
        <w:rPr>
          <w:rFonts w:ascii="Times New Roman" w:hAnsi="Times New Roman" w:cs="Times New Roman"/>
          <w:sz w:val="24"/>
          <w:szCs w:val="24"/>
        </w:rPr>
      </w:pPr>
    </w:p>
    <w:p w14:paraId="242D3B75" w14:textId="77777777" w:rsidR="00D80FBD" w:rsidRPr="00B16372" w:rsidRDefault="00D80FBD" w:rsidP="00314874">
      <w:pPr>
        <w:pStyle w:val="ListParagraph"/>
        <w:numPr>
          <w:ilvl w:val="0"/>
          <w:numId w:val="1"/>
        </w:numPr>
        <w:spacing w:after="0"/>
        <w:ind w:left="360"/>
        <w:rPr>
          <w:rFonts w:ascii="Times New Roman" w:hAnsi="Times New Roman" w:cs="Times New Roman"/>
          <w:b/>
          <w:sz w:val="24"/>
          <w:szCs w:val="24"/>
        </w:rPr>
      </w:pPr>
      <w:r w:rsidRPr="00B16372">
        <w:rPr>
          <w:rFonts w:ascii="Times New Roman" w:hAnsi="Times New Roman" w:cs="Times New Roman"/>
          <w:b/>
          <w:sz w:val="24"/>
          <w:szCs w:val="24"/>
        </w:rPr>
        <w:t>ESTIMATED BURDEN OF COLLECTION OF INFORMATION</w:t>
      </w:r>
    </w:p>
    <w:p w14:paraId="764EC580" w14:textId="77777777" w:rsidR="00A4336A" w:rsidRPr="00B16372" w:rsidRDefault="00A4336A" w:rsidP="00314874">
      <w:pPr>
        <w:spacing w:after="0"/>
        <w:rPr>
          <w:rFonts w:ascii="Times New Roman" w:hAnsi="Times New Roman" w:cs="Times New Roman"/>
          <w:sz w:val="24"/>
          <w:szCs w:val="24"/>
        </w:rPr>
      </w:pPr>
    </w:p>
    <w:p w14:paraId="6043E2E0" w14:textId="2DA5A039" w:rsidR="00EC1414" w:rsidRDefault="00A13566" w:rsidP="00314874">
      <w:pPr>
        <w:spacing w:after="0"/>
        <w:rPr>
          <w:rFonts w:ascii="Times New Roman" w:hAnsi="Times New Roman" w:cs="Times New Roman"/>
          <w:sz w:val="24"/>
          <w:szCs w:val="24"/>
        </w:rPr>
      </w:pPr>
      <w:r w:rsidRPr="00A13566">
        <w:rPr>
          <w:rFonts w:ascii="Times New Roman" w:hAnsi="Times New Roman" w:cs="Times New Roman"/>
          <w:sz w:val="24"/>
          <w:szCs w:val="24"/>
        </w:rPr>
        <w:t>According to the NERC Compliance Registry</w:t>
      </w:r>
      <w:r>
        <w:rPr>
          <w:rFonts w:ascii="Times New Roman" w:hAnsi="Times New Roman" w:cs="Times New Roman"/>
          <w:sz w:val="24"/>
          <w:szCs w:val="24"/>
        </w:rPr>
        <w:t xml:space="preserve"> as of </w:t>
      </w:r>
      <w:r w:rsidR="00E41EEC">
        <w:rPr>
          <w:rFonts w:ascii="Times New Roman" w:hAnsi="Times New Roman" w:cs="Times New Roman"/>
          <w:sz w:val="24"/>
          <w:szCs w:val="24"/>
        </w:rPr>
        <w:t>6/26</w:t>
      </w:r>
      <w:r>
        <w:rPr>
          <w:rFonts w:ascii="Times New Roman" w:hAnsi="Times New Roman" w:cs="Times New Roman"/>
          <w:sz w:val="24"/>
          <w:szCs w:val="24"/>
        </w:rPr>
        <w:t>/2015</w:t>
      </w:r>
      <w:r w:rsidRPr="00A13566">
        <w:rPr>
          <w:rFonts w:ascii="Times New Roman" w:hAnsi="Times New Roman" w:cs="Times New Roman"/>
          <w:sz w:val="24"/>
          <w:szCs w:val="24"/>
        </w:rPr>
        <w:t xml:space="preserve">, NERC has registered </w:t>
      </w:r>
      <w:r w:rsidR="00E41EEC">
        <w:rPr>
          <w:rFonts w:ascii="Times New Roman" w:hAnsi="Times New Roman" w:cs="Times New Roman"/>
          <w:sz w:val="24"/>
          <w:szCs w:val="24"/>
        </w:rPr>
        <w:t>318</w:t>
      </w:r>
      <w:r w:rsidR="00E41EEC" w:rsidRPr="00A13566">
        <w:rPr>
          <w:rFonts w:ascii="Times New Roman" w:hAnsi="Times New Roman" w:cs="Times New Roman"/>
          <w:sz w:val="24"/>
          <w:szCs w:val="24"/>
        </w:rPr>
        <w:t xml:space="preserve"> </w:t>
      </w:r>
      <w:r w:rsidRPr="00A13566">
        <w:rPr>
          <w:rFonts w:ascii="Times New Roman" w:hAnsi="Times New Roman" w:cs="Times New Roman"/>
          <w:sz w:val="24"/>
          <w:szCs w:val="24"/>
        </w:rPr>
        <w:t xml:space="preserve">transmission owners, </w:t>
      </w:r>
      <w:r w:rsidR="00E41EEC">
        <w:rPr>
          <w:rFonts w:ascii="Times New Roman" w:hAnsi="Times New Roman" w:cs="Times New Roman"/>
          <w:sz w:val="24"/>
          <w:szCs w:val="24"/>
        </w:rPr>
        <w:t>884</w:t>
      </w:r>
      <w:r w:rsidR="00E41EEC" w:rsidRPr="00A13566">
        <w:rPr>
          <w:rFonts w:ascii="Times New Roman" w:hAnsi="Times New Roman" w:cs="Times New Roman"/>
          <w:sz w:val="24"/>
          <w:szCs w:val="24"/>
        </w:rPr>
        <w:t xml:space="preserve"> </w:t>
      </w:r>
      <w:r w:rsidRPr="00A13566">
        <w:rPr>
          <w:rFonts w:ascii="Times New Roman" w:hAnsi="Times New Roman" w:cs="Times New Roman"/>
          <w:sz w:val="24"/>
          <w:szCs w:val="24"/>
        </w:rPr>
        <w:t xml:space="preserve">generator owners, and </w:t>
      </w:r>
      <w:r w:rsidR="00E41EEC">
        <w:rPr>
          <w:rFonts w:ascii="Times New Roman" w:hAnsi="Times New Roman" w:cs="Times New Roman"/>
          <w:sz w:val="24"/>
          <w:szCs w:val="24"/>
        </w:rPr>
        <w:t>68</w:t>
      </w:r>
      <w:r w:rsidR="00E41EEC" w:rsidRPr="00A13566">
        <w:rPr>
          <w:rFonts w:ascii="Times New Roman" w:hAnsi="Times New Roman" w:cs="Times New Roman"/>
          <w:sz w:val="24"/>
          <w:szCs w:val="24"/>
        </w:rPr>
        <w:t xml:space="preserve"> </w:t>
      </w:r>
      <w:r w:rsidRPr="00A13566">
        <w:rPr>
          <w:rFonts w:ascii="Times New Roman" w:hAnsi="Times New Roman" w:cs="Times New Roman"/>
          <w:sz w:val="24"/>
          <w:szCs w:val="24"/>
        </w:rPr>
        <w:t>planning coordinators.  However, under NERC’s compliance registration program, entities may be registered for multiple functions, so these numbers incorporate some double counting.  The total number of unique entities that may be identified as a notification provider (e.g. applicable ent</w:t>
      </w:r>
      <w:r w:rsidR="005F1679">
        <w:rPr>
          <w:rFonts w:ascii="Times New Roman" w:hAnsi="Times New Roman" w:cs="Times New Roman"/>
          <w:sz w:val="24"/>
          <w:szCs w:val="24"/>
        </w:rPr>
        <w:t>ity) in accordance with</w:t>
      </w:r>
      <w:r w:rsidRPr="00A13566">
        <w:rPr>
          <w:rFonts w:ascii="Times New Roman" w:hAnsi="Times New Roman" w:cs="Times New Roman"/>
          <w:sz w:val="24"/>
          <w:szCs w:val="24"/>
        </w:rPr>
        <w:t xml:space="preserve"> Reliability Standard PRC-026-1 will be approximately </w:t>
      </w:r>
      <w:r w:rsidR="00E41EEC">
        <w:rPr>
          <w:rFonts w:ascii="Times New Roman" w:hAnsi="Times New Roman" w:cs="Times New Roman"/>
          <w:sz w:val="24"/>
          <w:szCs w:val="24"/>
        </w:rPr>
        <w:t>1,074</w:t>
      </w:r>
      <w:r w:rsidRPr="00A13566">
        <w:rPr>
          <w:rFonts w:ascii="Times New Roman" w:hAnsi="Times New Roman" w:cs="Times New Roman"/>
          <w:sz w:val="24"/>
          <w:szCs w:val="24"/>
        </w:rPr>
        <w:t xml:space="preserve"> entities registered in the United States as a transmission owner and/or generator owner.  The total number of unique entities that may be identified as evidence retention entities (e.g. applicable entity) in accordance with proposed Reliability Standard PRC-026-1 will be approximately </w:t>
      </w:r>
      <w:r w:rsidR="00E41EEC">
        <w:rPr>
          <w:rFonts w:ascii="Times New Roman" w:hAnsi="Times New Roman" w:cs="Times New Roman"/>
          <w:sz w:val="24"/>
          <w:szCs w:val="24"/>
        </w:rPr>
        <w:t>1,092</w:t>
      </w:r>
      <w:r w:rsidRPr="00A13566">
        <w:rPr>
          <w:rFonts w:ascii="Times New Roman" w:hAnsi="Times New Roman" w:cs="Times New Roman"/>
          <w:sz w:val="24"/>
          <w:szCs w:val="24"/>
        </w:rPr>
        <w:t xml:space="preserve"> entities registered in the United States as a transmission owner, generator owner and/or planning coordinator.  </w:t>
      </w:r>
    </w:p>
    <w:p w14:paraId="099F62BA" w14:textId="77777777" w:rsidR="003518E4" w:rsidRDefault="003518E4" w:rsidP="00314874">
      <w:pPr>
        <w:spacing w:after="0"/>
        <w:rPr>
          <w:rFonts w:ascii="Times New Roman" w:hAnsi="Times New Roman" w:cs="Times New Roman"/>
          <w:sz w:val="24"/>
          <w:szCs w:val="24"/>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1351"/>
        <w:gridCol w:w="1351"/>
        <w:gridCol w:w="1168"/>
        <w:gridCol w:w="1351"/>
        <w:gridCol w:w="1259"/>
        <w:gridCol w:w="1312"/>
      </w:tblGrid>
      <w:tr w:rsidR="00E55D46" w:rsidRPr="00E55D46" w14:paraId="6387C736" w14:textId="77777777" w:rsidTr="00CE1876">
        <w:trPr>
          <w:cantSplit/>
        </w:trPr>
        <w:tc>
          <w:tcPr>
            <w:tcW w:w="5000" w:type="pct"/>
            <w:gridSpan w:val="7"/>
            <w:tcBorders>
              <w:bottom w:val="single" w:sz="4" w:space="0" w:color="auto"/>
            </w:tcBorders>
            <w:shd w:val="clear" w:color="auto" w:fill="D9D9D9"/>
          </w:tcPr>
          <w:p w14:paraId="564300EF" w14:textId="77777777" w:rsidR="00E55D46" w:rsidRPr="00E55D46" w:rsidRDefault="00E55D46" w:rsidP="00314874">
            <w:pPr>
              <w:spacing w:after="0"/>
              <w:jc w:val="center"/>
              <w:rPr>
                <w:rFonts w:ascii="Times New Roman" w:eastAsia="Calibri" w:hAnsi="Times New Roman" w:cs="Times New Roman"/>
                <w:b/>
                <w:sz w:val="20"/>
                <w:szCs w:val="20"/>
              </w:rPr>
            </w:pPr>
            <w:r w:rsidRPr="00E55D46">
              <w:rPr>
                <w:rFonts w:ascii="Times New Roman" w:eastAsia="Calibri" w:hAnsi="Times New Roman" w:cs="Times New Roman"/>
                <w:b/>
                <w:sz w:val="20"/>
                <w:szCs w:val="20"/>
              </w:rPr>
              <w:t>RM15-8-000 (Mandatory Reliability Standards: Reliability Standard PRC-026-1)</w:t>
            </w:r>
          </w:p>
        </w:tc>
      </w:tr>
      <w:tr w:rsidR="00E55D46" w:rsidRPr="00E55D46" w14:paraId="3CFAA9DA" w14:textId="77777777" w:rsidTr="00B15596">
        <w:trPr>
          <w:cantSplit/>
        </w:trPr>
        <w:tc>
          <w:tcPr>
            <w:tcW w:w="778" w:type="pct"/>
            <w:shd w:val="clear" w:color="auto" w:fill="D9D9D9"/>
          </w:tcPr>
          <w:p w14:paraId="6AF23C27" w14:textId="77777777" w:rsidR="00E55D46" w:rsidRPr="00E55D46" w:rsidRDefault="00E55D46" w:rsidP="00314874">
            <w:pPr>
              <w:spacing w:after="0"/>
              <w:jc w:val="center"/>
              <w:rPr>
                <w:rFonts w:ascii="Times New Roman" w:eastAsia="Calibri" w:hAnsi="Times New Roman" w:cs="Times New Roman"/>
                <w:b/>
                <w:sz w:val="20"/>
                <w:szCs w:val="20"/>
              </w:rPr>
            </w:pPr>
          </w:p>
        </w:tc>
        <w:tc>
          <w:tcPr>
            <w:tcW w:w="732" w:type="pct"/>
            <w:shd w:val="clear" w:color="auto" w:fill="D9D9D9"/>
            <w:vAlign w:val="bottom"/>
          </w:tcPr>
          <w:p w14:paraId="69FAA6B1" w14:textId="77777777" w:rsidR="00E55D46" w:rsidRPr="00E55D46" w:rsidRDefault="00E55D46" w:rsidP="00314874">
            <w:pPr>
              <w:spacing w:after="0"/>
              <w:jc w:val="center"/>
              <w:rPr>
                <w:rFonts w:ascii="Times New Roman" w:eastAsia="Calibri" w:hAnsi="Times New Roman" w:cs="Times New Roman"/>
                <w:b/>
                <w:sz w:val="20"/>
                <w:szCs w:val="20"/>
              </w:rPr>
            </w:pPr>
            <w:r w:rsidRPr="00E55D46">
              <w:rPr>
                <w:rFonts w:ascii="Times New Roman" w:eastAsia="Calibri" w:hAnsi="Times New Roman" w:cs="Times New Roman"/>
                <w:b/>
                <w:sz w:val="20"/>
                <w:szCs w:val="20"/>
              </w:rPr>
              <w:t>Number of Respondents</w:t>
            </w:r>
            <w:r w:rsidRPr="00E55D46">
              <w:rPr>
                <w:rFonts w:ascii="Times New Roman" w:eastAsia="Calibri" w:hAnsi="Times New Roman" w:cs="Times New Roman"/>
                <w:b/>
                <w:sz w:val="20"/>
                <w:szCs w:val="20"/>
              </w:rPr>
              <w:br/>
              <w:t>(1)</w:t>
            </w:r>
          </w:p>
        </w:tc>
        <w:tc>
          <w:tcPr>
            <w:tcW w:w="732" w:type="pct"/>
            <w:shd w:val="clear" w:color="auto" w:fill="D9D9D9"/>
            <w:vAlign w:val="bottom"/>
          </w:tcPr>
          <w:p w14:paraId="4FD9BE53" w14:textId="77777777" w:rsidR="00E55D46" w:rsidRPr="00E55D46" w:rsidRDefault="00E55D46" w:rsidP="00314874">
            <w:pPr>
              <w:spacing w:after="0"/>
              <w:jc w:val="center"/>
              <w:rPr>
                <w:rFonts w:ascii="Times New Roman" w:eastAsia="Calibri" w:hAnsi="Times New Roman" w:cs="Times New Roman"/>
                <w:b/>
                <w:sz w:val="20"/>
                <w:szCs w:val="20"/>
              </w:rPr>
            </w:pPr>
            <w:r w:rsidRPr="00E55D46">
              <w:rPr>
                <w:rFonts w:ascii="Times New Roman" w:eastAsia="Calibri" w:hAnsi="Times New Roman" w:cs="Times New Roman"/>
                <w:b/>
                <w:sz w:val="20"/>
                <w:szCs w:val="20"/>
              </w:rPr>
              <w:t>Annual Number of Responses per Respondent</w:t>
            </w:r>
          </w:p>
          <w:p w14:paraId="6F6750D0" w14:textId="77777777" w:rsidR="00E55D46" w:rsidRPr="00E55D46" w:rsidRDefault="00E55D46" w:rsidP="00314874">
            <w:pPr>
              <w:spacing w:after="0"/>
              <w:jc w:val="center"/>
              <w:rPr>
                <w:rFonts w:ascii="Times New Roman" w:eastAsia="Calibri" w:hAnsi="Times New Roman" w:cs="Times New Roman"/>
                <w:b/>
                <w:sz w:val="20"/>
                <w:szCs w:val="20"/>
              </w:rPr>
            </w:pPr>
            <w:r w:rsidRPr="00E55D46">
              <w:rPr>
                <w:rFonts w:ascii="Times New Roman" w:eastAsia="Calibri" w:hAnsi="Times New Roman" w:cs="Times New Roman"/>
                <w:b/>
                <w:sz w:val="20"/>
                <w:szCs w:val="20"/>
              </w:rPr>
              <w:t>(2)</w:t>
            </w:r>
          </w:p>
        </w:tc>
        <w:tc>
          <w:tcPr>
            <w:tcW w:w="633" w:type="pct"/>
            <w:shd w:val="clear" w:color="auto" w:fill="D9D9D9"/>
            <w:vAlign w:val="bottom"/>
          </w:tcPr>
          <w:p w14:paraId="69943385" w14:textId="77777777" w:rsidR="00E55D46" w:rsidRPr="00E55D46" w:rsidRDefault="00E55D46" w:rsidP="00314874">
            <w:pPr>
              <w:spacing w:after="0"/>
              <w:jc w:val="center"/>
              <w:rPr>
                <w:rFonts w:ascii="Times New Roman" w:eastAsia="Calibri" w:hAnsi="Times New Roman" w:cs="Times New Roman"/>
                <w:b/>
                <w:sz w:val="20"/>
                <w:szCs w:val="20"/>
              </w:rPr>
            </w:pPr>
            <w:r w:rsidRPr="00E55D46">
              <w:rPr>
                <w:rFonts w:ascii="Times New Roman" w:eastAsia="Calibri" w:hAnsi="Times New Roman" w:cs="Times New Roman"/>
                <w:b/>
                <w:sz w:val="20"/>
                <w:szCs w:val="20"/>
              </w:rPr>
              <w:t>Total Number of Responses (1)*(2)=(3)</w:t>
            </w:r>
          </w:p>
        </w:tc>
        <w:tc>
          <w:tcPr>
            <w:tcW w:w="732" w:type="pct"/>
            <w:shd w:val="clear" w:color="auto" w:fill="D9D9D9"/>
            <w:vAlign w:val="bottom"/>
          </w:tcPr>
          <w:p w14:paraId="75896E2C" w14:textId="2642ABFE" w:rsidR="00E55D46" w:rsidRPr="00E55D46" w:rsidRDefault="00E55D46" w:rsidP="00314874">
            <w:pPr>
              <w:spacing w:after="0"/>
              <w:jc w:val="center"/>
              <w:rPr>
                <w:rFonts w:ascii="Times New Roman" w:eastAsia="Calibri" w:hAnsi="Times New Roman" w:cs="Times New Roman"/>
                <w:b/>
                <w:sz w:val="20"/>
                <w:szCs w:val="20"/>
              </w:rPr>
            </w:pPr>
            <w:r w:rsidRPr="00E55D46">
              <w:rPr>
                <w:rFonts w:ascii="Times New Roman" w:eastAsia="Calibri" w:hAnsi="Times New Roman" w:cs="Times New Roman"/>
                <w:b/>
                <w:sz w:val="20"/>
                <w:szCs w:val="20"/>
              </w:rPr>
              <w:t>Average Burden &amp; Cost Per Response</w:t>
            </w:r>
          </w:p>
          <w:p w14:paraId="34548DAA" w14:textId="77777777" w:rsidR="00E55D46" w:rsidRPr="00E55D46" w:rsidRDefault="00E55D46" w:rsidP="00314874">
            <w:pPr>
              <w:spacing w:after="0"/>
              <w:jc w:val="center"/>
              <w:rPr>
                <w:rFonts w:ascii="Times New Roman" w:eastAsia="Calibri" w:hAnsi="Times New Roman" w:cs="Times New Roman"/>
                <w:b/>
                <w:sz w:val="20"/>
                <w:szCs w:val="20"/>
              </w:rPr>
            </w:pPr>
            <w:r w:rsidRPr="00E55D46">
              <w:rPr>
                <w:rFonts w:ascii="Times New Roman" w:eastAsia="Calibri" w:hAnsi="Times New Roman" w:cs="Times New Roman"/>
                <w:b/>
                <w:sz w:val="20"/>
                <w:szCs w:val="20"/>
              </w:rPr>
              <w:t>(4)</w:t>
            </w:r>
          </w:p>
        </w:tc>
        <w:tc>
          <w:tcPr>
            <w:tcW w:w="682" w:type="pct"/>
            <w:shd w:val="clear" w:color="auto" w:fill="D9D9D9"/>
            <w:vAlign w:val="bottom"/>
          </w:tcPr>
          <w:p w14:paraId="2ACB7A04" w14:textId="77777777" w:rsidR="00E55D46" w:rsidRPr="00E55D46" w:rsidRDefault="00E55D46" w:rsidP="00314874">
            <w:pPr>
              <w:spacing w:after="0"/>
              <w:jc w:val="center"/>
              <w:rPr>
                <w:rFonts w:ascii="Times New Roman" w:eastAsia="Calibri" w:hAnsi="Times New Roman" w:cs="Times New Roman"/>
                <w:b/>
                <w:sz w:val="20"/>
                <w:szCs w:val="20"/>
              </w:rPr>
            </w:pPr>
            <w:r w:rsidRPr="00E55D46">
              <w:rPr>
                <w:rFonts w:ascii="Times New Roman" w:eastAsia="Calibri" w:hAnsi="Times New Roman" w:cs="Times New Roman"/>
                <w:b/>
                <w:sz w:val="20"/>
                <w:szCs w:val="20"/>
              </w:rPr>
              <w:t>Total Annual Burden Hours &amp; Total Annual Cost</w:t>
            </w:r>
          </w:p>
          <w:p w14:paraId="5B14BB53" w14:textId="77777777" w:rsidR="00E55D46" w:rsidRPr="00E55D46" w:rsidRDefault="00E55D46" w:rsidP="00314874">
            <w:pPr>
              <w:spacing w:after="0"/>
              <w:jc w:val="center"/>
              <w:rPr>
                <w:rFonts w:ascii="Times New Roman" w:eastAsia="Calibri" w:hAnsi="Times New Roman" w:cs="Times New Roman"/>
                <w:b/>
                <w:sz w:val="20"/>
                <w:szCs w:val="20"/>
              </w:rPr>
            </w:pPr>
            <w:r w:rsidRPr="00E55D46">
              <w:rPr>
                <w:rFonts w:ascii="Times New Roman" w:eastAsia="Calibri" w:hAnsi="Times New Roman" w:cs="Times New Roman"/>
                <w:b/>
                <w:sz w:val="20"/>
                <w:szCs w:val="20"/>
              </w:rPr>
              <w:t>(3)*(4)=(5)</w:t>
            </w:r>
          </w:p>
        </w:tc>
        <w:tc>
          <w:tcPr>
            <w:tcW w:w="711" w:type="pct"/>
            <w:shd w:val="clear" w:color="auto" w:fill="D9D9D9"/>
            <w:vAlign w:val="bottom"/>
          </w:tcPr>
          <w:p w14:paraId="4563511E" w14:textId="77777777" w:rsidR="00E55D46" w:rsidRPr="00E55D46" w:rsidRDefault="00E55D46" w:rsidP="00314874">
            <w:pPr>
              <w:spacing w:after="0"/>
              <w:jc w:val="center"/>
              <w:rPr>
                <w:rFonts w:ascii="Times New Roman" w:eastAsia="Calibri" w:hAnsi="Times New Roman" w:cs="Times New Roman"/>
                <w:b/>
                <w:sz w:val="20"/>
                <w:szCs w:val="20"/>
              </w:rPr>
            </w:pPr>
            <w:r w:rsidRPr="00E55D46">
              <w:rPr>
                <w:rFonts w:ascii="Times New Roman" w:eastAsia="Calibri" w:hAnsi="Times New Roman" w:cs="Times New Roman"/>
                <w:b/>
                <w:sz w:val="20"/>
                <w:szCs w:val="20"/>
              </w:rPr>
              <w:t>Cost per Respondent</w:t>
            </w:r>
          </w:p>
          <w:p w14:paraId="0E2BD04E" w14:textId="77777777" w:rsidR="00E55D46" w:rsidRPr="00E55D46" w:rsidRDefault="00E55D46" w:rsidP="00314874">
            <w:pPr>
              <w:spacing w:after="0"/>
              <w:jc w:val="center"/>
              <w:rPr>
                <w:rFonts w:ascii="Times New Roman" w:eastAsia="Calibri" w:hAnsi="Times New Roman" w:cs="Times New Roman"/>
                <w:b/>
                <w:sz w:val="20"/>
                <w:szCs w:val="20"/>
              </w:rPr>
            </w:pPr>
            <w:r w:rsidRPr="00E55D46">
              <w:rPr>
                <w:rFonts w:ascii="Times New Roman" w:eastAsia="Calibri" w:hAnsi="Times New Roman" w:cs="Times New Roman"/>
                <w:b/>
                <w:sz w:val="20"/>
                <w:szCs w:val="20"/>
              </w:rPr>
              <w:t xml:space="preserve"> ($)</w:t>
            </w:r>
          </w:p>
          <w:p w14:paraId="41E30319" w14:textId="77777777" w:rsidR="00E55D46" w:rsidRPr="00E55D46" w:rsidRDefault="00E55D46" w:rsidP="00314874">
            <w:pPr>
              <w:spacing w:after="0"/>
              <w:jc w:val="center"/>
              <w:rPr>
                <w:rFonts w:ascii="Times New Roman" w:eastAsia="Calibri" w:hAnsi="Times New Roman" w:cs="Times New Roman"/>
                <w:b/>
                <w:sz w:val="20"/>
                <w:szCs w:val="20"/>
              </w:rPr>
            </w:pPr>
            <w:r w:rsidRPr="00E55D46">
              <w:rPr>
                <w:rFonts w:ascii="Times New Roman" w:eastAsia="Calibri" w:hAnsi="Times New Roman" w:cs="Times New Roman"/>
                <w:b/>
                <w:sz w:val="20"/>
                <w:szCs w:val="20"/>
              </w:rPr>
              <w:t>(5)÷(1)</w:t>
            </w:r>
          </w:p>
        </w:tc>
      </w:tr>
      <w:tr w:rsidR="00E55D46" w:rsidRPr="00E55D46" w14:paraId="467B223E" w14:textId="77777777" w:rsidTr="00B15596">
        <w:trPr>
          <w:cantSplit/>
        </w:trPr>
        <w:tc>
          <w:tcPr>
            <w:tcW w:w="778" w:type="pct"/>
          </w:tcPr>
          <w:p w14:paraId="7752ECE1" w14:textId="77777777" w:rsidR="00E55D46" w:rsidRPr="00E55D46" w:rsidRDefault="00E55D46" w:rsidP="00314874">
            <w:pPr>
              <w:spacing w:after="0"/>
              <w:rPr>
                <w:rFonts w:ascii="Times New Roman" w:eastAsia="Calibri" w:hAnsi="Times New Roman" w:cs="Times New Roman"/>
                <w:sz w:val="20"/>
                <w:szCs w:val="20"/>
              </w:rPr>
            </w:pPr>
            <w:r w:rsidRPr="00E55D46">
              <w:rPr>
                <w:rFonts w:ascii="Times New Roman" w:eastAsia="Calibri" w:hAnsi="Times New Roman" w:cs="Times New Roman"/>
                <w:sz w:val="20"/>
                <w:szCs w:val="20"/>
              </w:rPr>
              <w:t>Notifications to GO/TO per Requirement R1</w:t>
            </w:r>
          </w:p>
        </w:tc>
        <w:tc>
          <w:tcPr>
            <w:tcW w:w="732" w:type="pct"/>
          </w:tcPr>
          <w:p w14:paraId="43566807" w14:textId="66CD066A" w:rsidR="00E55D46" w:rsidRPr="00E55D46" w:rsidRDefault="00E41EEC" w:rsidP="00314874">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1,074</w:t>
            </w:r>
          </w:p>
          <w:p w14:paraId="64E1AAC9" w14:textId="77777777" w:rsidR="00E55D46" w:rsidRPr="00E55D46" w:rsidRDefault="00E55D46" w:rsidP="00314874">
            <w:pPr>
              <w:spacing w:after="0"/>
              <w:jc w:val="right"/>
              <w:rPr>
                <w:rFonts w:ascii="Times New Roman" w:eastAsia="Calibri" w:hAnsi="Times New Roman" w:cs="Times New Roman"/>
                <w:sz w:val="20"/>
                <w:szCs w:val="20"/>
              </w:rPr>
            </w:pPr>
          </w:p>
        </w:tc>
        <w:tc>
          <w:tcPr>
            <w:tcW w:w="732" w:type="pct"/>
          </w:tcPr>
          <w:p w14:paraId="4061BD7B" w14:textId="77777777" w:rsidR="00E55D46" w:rsidRPr="00E55D46" w:rsidRDefault="00E55D46" w:rsidP="00314874">
            <w:pPr>
              <w:spacing w:after="0"/>
              <w:jc w:val="right"/>
              <w:rPr>
                <w:rFonts w:ascii="Times New Roman" w:eastAsia="Calibri" w:hAnsi="Times New Roman" w:cs="Times New Roman"/>
                <w:sz w:val="20"/>
                <w:szCs w:val="20"/>
              </w:rPr>
            </w:pPr>
            <w:r w:rsidRPr="00E55D46">
              <w:rPr>
                <w:rFonts w:ascii="Times New Roman" w:eastAsia="Calibri" w:hAnsi="Times New Roman" w:cs="Times New Roman"/>
                <w:sz w:val="20"/>
                <w:szCs w:val="20"/>
              </w:rPr>
              <w:t>1</w:t>
            </w:r>
          </w:p>
        </w:tc>
        <w:tc>
          <w:tcPr>
            <w:tcW w:w="633" w:type="pct"/>
          </w:tcPr>
          <w:p w14:paraId="00AEF712" w14:textId="627BF3DC" w:rsidR="00E55D46" w:rsidRPr="00E55D46" w:rsidRDefault="00E41EEC" w:rsidP="00314874">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1,074</w:t>
            </w:r>
          </w:p>
        </w:tc>
        <w:tc>
          <w:tcPr>
            <w:tcW w:w="732" w:type="pct"/>
          </w:tcPr>
          <w:p w14:paraId="534929C8" w14:textId="2822C827" w:rsidR="00E55D46" w:rsidRPr="00E55D46" w:rsidRDefault="00E55D46" w:rsidP="00314874">
            <w:pPr>
              <w:spacing w:after="0"/>
              <w:jc w:val="right"/>
              <w:rPr>
                <w:rFonts w:ascii="Times New Roman" w:eastAsia="Calibri" w:hAnsi="Times New Roman" w:cs="Times New Roman"/>
                <w:sz w:val="20"/>
                <w:szCs w:val="20"/>
              </w:rPr>
            </w:pPr>
            <w:r w:rsidRPr="00E55D46">
              <w:rPr>
                <w:rFonts w:ascii="Times New Roman" w:eastAsia="Calibri" w:hAnsi="Times New Roman" w:cs="Times New Roman"/>
                <w:sz w:val="20"/>
                <w:szCs w:val="20"/>
              </w:rPr>
              <w:t>8</w:t>
            </w:r>
            <w:r w:rsidR="00B15596">
              <w:rPr>
                <w:rFonts w:ascii="Times New Roman" w:eastAsia="Calibri" w:hAnsi="Times New Roman" w:cs="Times New Roman"/>
                <w:sz w:val="20"/>
                <w:szCs w:val="20"/>
              </w:rPr>
              <w:t xml:space="preserve"> hrs.;</w:t>
            </w:r>
          </w:p>
          <w:p w14:paraId="38D4B8FF" w14:textId="7E2FDCE0" w:rsidR="00E55D46" w:rsidRPr="00E55D46" w:rsidRDefault="00E55D46" w:rsidP="00B15596">
            <w:pPr>
              <w:spacing w:after="0"/>
              <w:jc w:val="right"/>
              <w:rPr>
                <w:rFonts w:ascii="Times New Roman" w:eastAsia="Calibri" w:hAnsi="Times New Roman" w:cs="Times New Roman"/>
                <w:sz w:val="20"/>
                <w:szCs w:val="20"/>
              </w:rPr>
            </w:pPr>
            <w:r w:rsidRPr="00E55D46">
              <w:rPr>
                <w:rFonts w:ascii="Times New Roman" w:eastAsia="Calibri" w:hAnsi="Times New Roman" w:cs="Times New Roman"/>
                <w:sz w:val="20"/>
                <w:szCs w:val="20"/>
              </w:rPr>
              <w:t>$</w:t>
            </w:r>
            <w:r w:rsidR="00E41EEC">
              <w:rPr>
                <w:rFonts w:ascii="Times New Roman" w:eastAsia="Calibri" w:hAnsi="Times New Roman" w:cs="Times New Roman"/>
                <w:sz w:val="20"/>
                <w:szCs w:val="20"/>
              </w:rPr>
              <w:t>4</w:t>
            </w:r>
            <w:r w:rsidR="00C62F55">
              <w:rPr>
                <w:rFonts w:ascii="Times New Roman" w:eastAsia="Calibri" w:hAnsi="Times New Roman" w:cs="Times New Roman"/>
                <w:sz w:val="20"/>
                <w:szCs w:val="20"/>
              </w:rPr>
              <w:t>8</w:t>
            </w:r>
            <w:r w:rsidR="00E41EEC">
              <w:rPr>
                <w:rFonts w:ascii="Times New Roman" w:eastAsia="Calibri" w:hAnsi="Times New Roman" w:cs="Times New Roman"/>
                <w:sz w:val="20"/>
                <w:szCs w:val="20"/>
              </w:rPr>
              <w:t>5.28</w:t>
            </w:r>
            <w:r w:rsidR="00B15596" w:rsidRPr="00E14A66">
              <w:rPr>
                <w:rFonts w:ascii="Times New Roman" w:eastAsia="Calibri" w:hAnsi="Times New Roman" w:cs="Times New Roman"/>
                <w:sz w:val="20"/>
                <w:szCs w:val="20"/>
                <w:vertAlign w:val="superscript"/>
              </w:rPr>
              <w:footnoteReference w:id="17"/>
            </w:r>
          </w:p>
        </w:tc>
        <w:tc>
          <w:tcPr>
            <w:tcW w:w="682" w:type="pct"/>
          </w:tcPr>
          <w:p w14:paraId="53C9DDAF" w14:textId="1BFF2128" w:rsidR="00E55D46" w:rsidRPr="00E55D46" w:rsidRDefault="00E41EEC" w:rsidP="00314874">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8,592</w:t>
            </w:r>
            <w:r w:rsidR="00B15596">
              <w:rPr>
                <w:rFonts w:ascii="Times New Roman" w:eastAsia="Calibri" w:hAnsi="Times New Roman" w:cs="Times New Roman"/>
                <w:sz w:val="20"/>
                <w:szCs w:val="20"/>
              </w:rPr>
              <w:t xml:space="preserve"> hrs.;</w:t>
            </w:r>
          </w:p>
          <w:p w14:paraId="024A749F" w14:textId="07E52118" w:rsidR="00E55D46" w:rsidRPr="00E55D46" w:rsidRDefault="00E55D46" w:rsidP="00E41EEC">
            <w:pPr>
              <w:spacing w:after="0"/>
              <w:jc w:val="right"/>
              <w:rPr>
                <w:rFonts w:ascii="Times New Roman" w:eastAsia="Calibri" w:hAnsi="Times New Roman" w:cs="Times New Roman"/>
                <w:sz w:val="20"/>
                <w:szCs w:val="20"/>
              </w:rPr>
            </w:pPr>
            <w:r w:rsidRPr="00E55D46">
              <w:rPr>
                <w:rFonts w:ascii="Times New Roman" w:eastAsia="Calibri" w:hAnsi="Times New Roman" w:cs="Times New Roman"/>
                <w:sz w:val="20"/>
                <w:szCs w:val="20"/>
              </w:rPr>
              <w:t>$</w:t>
            </w:r>
            <w:r w:rsidR="00E41EEC">
              <w:rPr>
                <w:rFonts w:ascii="Times New Roman" w:eastAsia="Calibri" w:hAnsi="Times New Roman" w:cs="Times New Roman"/>
                <w:sz w:val="20"/>
                <w:szCs w:val="20"/>
              </w:rPr>
              <w:t>521,191</w:t>
            </w:r>
            <w:r w:rsidRPr="00E55D46">
              <w:rPr>
                <w:rFonts w:ascii="Times New Roman" w:eastAsia="Calibri" w:hAnsi="Times New Roman" w:cs="Times New Roman"/>
                <w:sz w:val="20"/>
                <w:szCs w:val="20"/>
              </w:rPr>
              <w:t xml:space="preserve"> </w:t>
            </w:r>
          </w:p>
        </w:tc>
        <w:tc>
          <w:tcPr>
            <w:tcW w:w="711" w:type="pct"/>
          </w:tcPr>
          <w:p w14:paraId="7D689667" w14:textId="7C33484B" w:rsidR="00E55D46" w:rsidRPr="00E55D46" w:rsidRDefault="00E55D46" w:rsidP="00314874">
            <w:pPr>
              <w:spacing w:after="0"/>
              <w:jc w:val="right"/>
              <w:rPr>
                <w:rFonts w:ascii="Times New Roman" w:eastAsia="Calibri" w:hAnsi="Times New Roman" w:cs="Times New Roman"/>
                <w:sz w:val="20"/>
                <w:szCs w:val="20"/>
              </w:rPr>
            </w:pPr>
            <w:r w:rsidRPr="00E55D46">
              <w:rPr>
                <w:rFonts w:ascii="Times New Roman" w:eastAsia="Calibri" w:hAnsi="Times New Roman" w:cs="Times New Roman"/>
                <w:sz w:val="20"/>
                <w:szCs w:val="20"/>
              </w:rPr>
              <w:t>$</w:t>
            </w:r>
            <w:r w:rsidR="003273E6">
              <w:rPr>
                <w:rFonts w:ascii="Times New Roman" w:eastAsia="Calibri" w:hAnsi="Times New Roman" w:cs="Times New Roman"/>
                <w:sz w:val="20"/>
                <w:szCs w:val="20"/>
              </w:rPr>
              <w:t>48</w:t>
            </w:r>
            <w:r w:rsidR="00E41EEC">
              <w:rPr>
                <w:rFonts w:ascii="Times New Roman" w:eastAsia="Calibri" w:hAnsi="Times New Roman" w:cs="Times New Roman"/>
                <w:sz w:val="20"/>
                <w:szCs w:val="20"/>
              </w:rPr>
              <w:t>5.28</w:t>
            </w:r>
            <w:r w:rsidRPr="00E55D46">
              <w:rPr>
                <w:rFonts w:ascii="Times New Roman" w:eastAsia="Calibri" w:hAnsi="Times New Roman" w:cs="Times New Roman"/>
                <w:sz w:val="20"/>
                <w:szCs w:val="20"/>
              </w:rPr>
              <w:t xml:space="preserve"> </w:t>
            </w:r>
          </w:p>
          <w:p w14:paraId="305EF8CA" w14:textId="77777777" w:rsidR="00E55D46" w:rsidRPr="00E55D46" w:rsidRDefault="00E55D46" w:rsidP="00314874">
            <w:pPr>
              <w:spacing w:after="0"/>
              <w:jc w:val="right"/>
              <w:rPr>
                <w:rFonts w:ascii="Times New Roman" w:eastAsia="Calibri" w:hAnsi="Times New Roman" w:cs="Times New Roman"/>
                <w:sz w:val="20"/>
                <w:szCs w:val="20"/>
              </w:rPr>
            </w:pPr>
          </w:p>
        </w:tc>
      </w:tr>
      <w:tr w:rsidR="00E55D46" w:rsidRPr="00E55D46" w14:paraId="2E565F7F" w14:textId="77777777" w:rsidTr="00B15596">
        <w:trPr>
          <w:cantSplit/>
        </w:trPr>
        <w:tc>
          <w:tcPr>
            <w:tcW w:w="778" w:type="pct"/>
          </w:tcPr>
          <w:p w14:paraId="7CDD7B96" w14:textId="77777777" w:rsidR="00E55D46" w:rsidRPr="00E55D46" w:rsidRDefault="00E55D46" w:rsidP="00314874">
            <w:pPr>
              <w:spacing w:after="0"/>
              <w:rPr>
                <w:rFonts w:ascii="Times New Roman" w:eastAsia="Calibri" w:hAnsi="Times New Roman" w:cs="Times New Roman"/>
                <w:sz w:val="20"/>
                <w:szCs w:val="20"/>
              </w:rPr>
            </w:pPr>
            <w:r w:rsidRPr="00E55D46">
              <w:rPr>
                <w:rFonts w:ascii="Times New Roman" w:eastAsia="Calibri" w:hAnsi="Times New Roman" w:cs="Times New Roman"/>
                <w:sz w:val="20"/>
                <w:szCs w:val="20"/>
              </w:rPr>
              <w:t>Evidence Retention GO/TO/PC</w:t>
            </w:r>
          </w:p>
        </w:tc>
        <w:tc>
          <w:tcPr>
            <w:tcW w:w="732" w:type="pct"/>
          </w:tcPr>
          <w:p w14:paraId="57DB2C3E" w14:textId="56695663" w:rsidR="00E55D46" w:rsidRPr="00E55D46" w:rsidRDefault="00E41EEC" w:rsidP="00314874">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1,092</w:t>
            </w:r>
          </w:p>
        </w:tc>
        <w:tc>
          <w:tcPr>
            <w:tcW w:w="732" w:type="pct"/>
          </w:tcPr>
          <w:p w14:paraId="0E3D1F04" w14:textId="77777777" w:rsidR="00E55D46" w:rsidRPr="00E55D46" w:rsidRDefault="00E55D46" w:rsidP="00314874">
            <w:pPr>
              <w:spacing w:after="0"/>
              <w:jc w:val="right"/>
              <w:rPr>
                <w:rFonts w:ascii="Times New Roman" w:eastAsia="Calibri" w:hAnsi="Times New Roman" w:cs="Times New Roman"/>
                <w:sz w:val="20"/>
                <w:szCs w:val="20"/>
              </w:rPr>
            </w:pPr>
            <w:r w:rsidRPr="00E55D46">
              <w:rPr>
                <w:rFonts w:ascii="Times New Roman" w:eastAsia="Calibri" w:hAnsi="Times New Roman" w:cs="Times New Roman"/>
                <w:sz w:val="20"/>
                <w:szCs w:val="20"/>
              </w:rPr>
              <w:t>1</w:t>
            </w:r>
          </w:p>
        </w:tc>
        <w:tc>
          <w:tcPr>
            <w:tcW w:w="633" w:type="pct"/>
          </w:tcPr>
          <w:p w14:paraId="59DBA3C9" w14:textId="2223F898" w:rsidR="00E55D46" w:rsidRPr="00E55D46" w:rsidRDefault="00E41EEC" w:rsidP="00314874">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1,092</w:t>
            </w:r>
          </w:p>
        </w:tc>
        <w:tc>
          <w:tcPr>
            <w:tcW w:w="732" w:type="pct"/>
          </w:tcPr>
          <w:p w14:paraId="5A272CDC" w14:textId="59653DC2" w:rsidR="00E55D46" w:rsidRPr="00E55D46" w:rsidRDefault="00E55D46" w:rsidP="00314874">
            <w:pPr>
              <w:spacing w:after="0"/>
              <w:jc w:val="right"/>
              <w:rPr>
                <w:rFonts w:ascii="Times New Roman" w:eastAsia="Calibri" w:hAnsi="Times New Roman" w:cs="Times New Roman"/>
                <w:sz w:val="20"/>
                <w:szCs w:val="20"/>
              </w:rPr>
            </w:pPr>
            <w:r w:rsidRPr="00E55D46">
              <w:rPr>
                <w:rFonts w:ascii="Times New Roman" w:eastAsia="Calibri" w:hAnsi="Times New Roman" w:cs="Times New Roman"/>
                <w:sz w:val="20"/>
                <w:szCs w:val="20"/>
              </w:rPr>
              <w:t>12</w:t>
            </w:r>
            <w:r w:rsidR="00B15596">
              <w:rPr>
                <w:rFonts w:ascii="Times New Roman" w:eastAsia="Calibri" w:hAnsi="Times New Roman" w:cs="Times New Roman"/>
                <w:sz w:val="20"/>
                <w:szCs w:val="20"/>
              </w:rPr>
              <w:t xml:space="preserve"> hrs.;</w:t>
            </w:r>
          </w:p>
          <w:p w14:paraId="2BF0E1C5" w14:textId="5904B6E2" w:rsidR="00E55D46" w:rsidRPr="00E55D46" w:rsidRDefault="00E55D46" w:rsidP="00E41EEC">
            <w:pPr>
              <w:spacing w:after="0"/>
              <w:jc w:val="right"/>
              <w:rPr>
                <w:rFonts w:ascii="Times New Roman" w:eastAsia="Calibri" w:hAnsi="Times New Roman" w:cs="Times New Roman"/>
                <w:sz w:val="20"/>
                <w:szCs w:val="20"/>
              </w:rPr>
            </w:pPr>
            <w:r w:rsidRPr="00E55D46">
              <w:rPr>
                <w:rFonts w:ascii="Times New Roman" w:eastAsia="Calibri" w:hAnsi="Times New Roman" w:cs="Times New Roman"/>
                <w:sz w:val="20"/>
                <w:szCs w:val="20"/>
              </w:rPr>
              <w:t>$</w:t>
            </w:r>
            <w:r w:rsidR="00E41EEC">
              <w:rPr>
                <w:rFonts w:ascii="Times New Roman" w:eastAsia="Calibri" w:hAnsi="Times New Roman" w:cs="Times New Roman"/>
                <w:sz w:val="20"/>
                <w:szCs w:val="20"/>
              </w:rPr>
              <w:t>450.00</w:t>
            </w:r>
            <w:r w:rsidR="003A6785" w:rsidRPr="00B15596">
              <w:rPr>
                <w:rStyle w:val="FootnoteReference"/>
                <w:rFonts w:ascii="Times New Roman" w:eastAsia="Calibri" w:hAnsi="Times New Roman" w:cs="Times New Roman"/>
                <w:sz w:val="20"/>
                <w:szCs w:val="20"/>
                <w:vertAlign w:val="superscript"/>
              </w:rPr>
              <w:footnoteReference w:id="18"/>
            </w:r>
          </w:p>
        </w:tc>
        <w:tc>
          <w:tcPr>
            <w:tcW w:w="682" w:type="pct"/>
          </w:tcPr>
          <w:p w14:paraId="531200FB" w14:textId="25A7C1AB" w:rsidR="00E55D46" w:rsidRPr="00E55D46" w:rsidRDefault="00E41EEC" w:rsidP="00314874">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13,104</w:t>
            </w:r>
            <w:r w:rsidR="00B15596">
              <w:rPr>
                <w:rFonts w:ascii="Times New Roman" w:eastAsia="Calibri" w:hAnsi="Times New Roman" w:cs="Times New Roman"/>
                <w:sz w:val="20"/>
                <w:szCs w:val="20"/>
              </w:rPr>
              <w:t xml:space="preserve"> hrs.;</w:t>
            </w:r>
          </w:p>
          <w:p w14:paraId="74BC82C9" w14:textId="1660EDD3" w:rsidR="00E55D46" w:rsidRPr="00E55D46" w:rsidRDefault="00E55D46" w:rsidP="00E41EEC">
            <w:pPr>
              <w:spacing w:after="0"/>
              <w:jc w:val="right"/>
              <w:rPr>
                <w:rFonts w:ascii="Times New Roman" w:eastAsia="Calibri" w:hAnsi="Times New Roman" w:cs="Times New Roman"/>
                <w:sz w:val="20"/>
                <w:szCs w:val="20"/>
              </w:rPr>
            </w:pPr>
            <w:r w:rsidRPr="00E55D46">
              <w:rPr>
                <w:rFonts w:ascii="Times New Roman" w:eastAsia="Calibri" w:hAnsi="Times New Roman" w:cs="Times New Roman"/>
                <w:sz w:val="20"/>
                <w:szCs w:val="20"/>
              </w:rPr>
              <w:t>$</w:t>
            </w:r>
            <w:r w:rsidR="00E41EEC">
              <w:rPr>
                <w:rFonts w:ascii="Times New Roman" w:eastAsia="Calibri" w:hAnsi="Times New Roman" w:cs="Times New Roman"/>
                <w:sz w:val="20"/>
                <w:szCs w:val="20"/>
              </w:rPr>
              <w:t>491,400</w:t>
            </w:r>
          </w:p>
        </w:tc>
        <w:tc>
          <w:tcPr>
            <w:tcW w:w="711" w:type="pct"/>
          </w:tcPr>
          <w:p w14:paraId="7EF23E8B" w14:textId="1F907B04" w:rsidR="00E55D46" w:rsidRPr="00E55D46" w:rsidRDefault="00E55D46" w:rsidP="00E41EEC">
            <w:pPr>
              <w:spacing w:after="0"/>
              <w:jc w:val="right"/>
              <w:rPr>
                <w:rFonts w:ascii="Times New Roman" w:eastAsia="Calibri" w:hAnsi="Times New Roman" w:cs="Times New Roman"/>
                <w:sz w:val="20"/>
                <w:szCs w:val="20"/>
              </w:rPr>
            </w:pPr>
            <w:r w:rsidRPr="00E55D46">
              <w:rPr>
                <w:rFonts w:ascii="Times New Roman" w:eastAsia="Calibri" w:hAnsi="Times New Roman" w:cs="Times New Roman"/>
                <w:sz w:val="20"/>
                <w:szCs w:val="20"/>
              </w:rPr>
              <w:t>$</w:t>
            </w:r>
            <w:r w:rsidR="00E41EEC">
              <w:rPr>
                <w:rFonts w:ascii="Times New Roman" w:eastAsia="Calibri" w:hAnsi="Times New Roman" w:cs="Times New Roman"/>
                <w:sz w:val="20"/>
                <w:szCs w:val="20"/>
              </w:rPr>
              <w:t>450.00</w:t>
            </w:r>
          </w:p>
        </w:tc>
      </w:tr>
      <w:tr w:rsidR="00E55D46" w:rsidRPr="00E55D46" w14:paraId="0664F6FD" w14:textId="77777777" w:rsidTr="00B15596">
        <w:trPr>
          <w:cantSplit/>
          <w:trHeight w:val="485"/>
        </w:trPr>
        <w:tc>
          <w:tcPr>
            <w:tcW w:w="778" w:type="pct"/>
            <w:tcBorders>
              <w:bottom w:val="single" w:sz="4" w:space="0" w:color="auto"/>
            </w:tcBorders>
          </w:tcPr>
          <w:p w14:paraId="429A4E7F" w14:textId="77777777" w:rsidR="00E55D46" w:rsidRPr="00E55D46" w:rsidRDefault="00E55D46" w:rsidP="00314874">
            <w:pPr>
              <w:spacing w:after="0"/>
              <w:rPr>
                <w:rFonts w:ascii="Times New Roman" w:eastAsia="Calibri" w:hAnsi="Times New Roman" w:cs="Times New Roman"/>
                <w:b/>
                <w:sz w:val="20"/>
                <w:szCs w:val="20"/>
              </w:rPr>
            </w:pPr>
            <w:r w:rsidRPr="00E55D46">
              <w:rPr>
                <w:rFonts w:ascii="Times New Roman" w:eastAsia="Calibri" w:hAnsi="Times New Roman" w:cs="Times New Roman"/>
                <w:b/>
                <w:sz w:val="20"/>
                <w:szCs w:val="20"/>
              </w:rPr>
              <w:t>TOTAL</w:t>
            </w:r>
          </w:p>
        </w:tc>
        <w:tc>
          <w:tcPr>
            <w:tcW w:w="1464" w:type="pct"/>
            <w:gridSpan w:val="2"/>
            <w:tcBorders>
              <w:bottom w:val="single" w:sz="4" w:space="0" w:color="auto"/>
            </w:tcBorders>
            <w:shd w:val="clear" w:color="auto" w:fill="BFBFBF"/>
          </w:tcPr>
          <w:p w14:paraId="34C2434A" w14:textId="77777777" w:rsidR="00E55D46" w:rsidRPr="00E55D46" w:rsidRDefault="00E55D46" w:rsidP="00314874">
            <w:pPr>
              <w:spacing w:after="0"/>
              <w:jc w:val="right"/>
              <w:rPr>
                <w:rFonts w:ascii="Times New Roman" w:eastAsia="Calibri" w:hAnsi="Times New Roman" w:cs="Times New Roman"/>
                <w:sz w:val="20"/>
                <w:szCs w:val="20"/>
              </w:rPr>
            </w:pPr>
          </w:p>
        </w:tc>
        <w:tc>
          <w:tcPr>
            <w:tcW w:w="633" w:type="pct"/>
            <w:tcBorders>
              <w:bottom w:val="single" w:sz="4" w:space="0" w:color="auto"/>
            </w:tcBorders>
            <w:shd w:val="clear" w:color="auto" w:fill="auto"/>
          </w:tcPr>
          <w:p w14:paraId="1B9C4FF7" w14:textId="04CC073F" w:rsidR="00E55D46" w:rsidRPr="00E55D46" w:rsidRDefault="00E41EEC" w:rsidP="00314874">
            <w:pPr>
              <w:spacing w:after="0"/>
              <w:jc w:val="right"/>
              <w:rPr>
                <w:rFonts w:ascii="Times New Roman" w:eastAsia="Calibri" w:hAnsi="Times New Roman" w:cs="Times New Roman"/>
                <w:b/>
                <w:sz w:val="20"/>
                <w:szCs w:val="20"/>
              </w:rPr>
            </w:pPr>
            <w:r>
              <w:rPr>
                <w:rFonts w:ascii="Times New Roman" w:eastAsia="Calibri" w:hAnsi="Times New Roman" w:cs="Times New Roman"/>
                <w:b/>
                <w:sz w:val="20"/>
                <w:szCs w:val="20"/>
              </w:rPr>
              <w:t>2,166</w:t>
            </w:r>
          </w:p>
        </w:tc>
        <w:tc>
          <w:tcPr>
            <w:tcW w:w="732" w:type="pct"/>
            <w:tcBorders>
              <w:bottom w:val="single" w:sz="4" w:space="0" w:color="auto"/>
            </w:tcBorders>
            <w:shd w:val="clear" w:color="auto" w:fill="BFBFBF"/>
          </w:tcPr>
          <w:p w14:paraId="56B487A7" w14:textId="77777777" w:rsidR="00E55D46" w:rsidRPr="00E55D46" w:rsidRDefault="00E55D46" w:rsidP="00314874">
            <w:pPr>
              <w:spacing w:after="0"/>
              <w:jc w:val="right"/>
              <w:rPr>
                <w:rFonts w:ascii="Times New Roman" w:eastAsia="Calibri" w:hAnsi="Times New Roman" w:cs="Times New Roman"/>
                <w:sz w:val="20"/>
                <w:szCs w:val="20"/>
              </w:rPr>
            </w:pPr>
          </w:p>
        </w:tc>
        <w:tc>
          <w:tcPr>
            <w:tcW w:w="682" w:type="pct"/>
            <w:tcBorders>
              <w:bottom w:val="single" w:sz="4" w:space="0" w:color="auto"/>
            </w:tcBorders>
          </w:tcPr>
          <w:p w14:paraId="66C4F219" w14:textId="2FBD7133" w:rsidR="00E55D46" w:rsidRPr="00E55D46" w:rsidRDefault="00E41EEC" w:rsidP="00314874">
            <w:pPr>
              <w:spacing w:after="0"/>
              <w:jc w:val="right"/>
              <w:rPr>
                <w:rFonts w:ascii="Times New Roman" w:eastAsia="Calibri" w:hAnsi="Times New Roman" w:cs="Times New Roman"/>
                <w:b/>
                <w:sz w:val="20"/>
                <w:szCs w:val="20"/>
              </w:rPr>
            </w:pPr>
            <w:r>
              <w:rPr>
                <w:rFonts w:ascii="Times New Roman" w:eastAsia="Calibri" w:hAnsi="Times New Roman" w:cs="Times New Roman"/>
                <w:b/>
                <w:sz w:val="20"/>
                <w:szCs w:val="20"/>
              </w:rPr>
              <w:t>21,696</w:t>
            </w:r>
            <w:r w:rsidR="00B15596">
              <w:rPr>
                <w:rFonts w:ascii="Times New Roman" w:eastAsia="Calibri" w:hAnsi="Times New Roman" w:cs="Times New Roman"/>
                <w:b/>
                <w:sz w:val="20"/>
                <w:szCs w:val="20"/>
              </w:rPr>
              <w:t xml:space="preserve"> hrs.;</w:t>
            </w:r>
          </w:p>
          <w:p w14:paraId="2C88A085" w14:textId="5B16863B" w:rsidR="00E55D46" w:rsidRPr="00E55D46" w:rsidRDefault="00E55D46" w:rsidP="00E41EEC">
            <w:pPr>
              <w:spacing w:after="0"/>
              <w:jc w:val="right"/>
              <w:rPr>
                <w:rFonts w:ascii="Times New Roman" w:eastAsia="Calibri" w:hAnsi="Times New Roman" w:cs="Times New Roman"/>
                <w:b/>
                <w:sz w:val="20"/>
                <w:szCs w:val="20"/>
              </w:rPr>
            </w:pPr>
            <w:r w:rsidRPr="00E55D46">
              <w:rPr>
                <w:rFonts w:ascii="Times New Roman" w:eastAsia="Calibri" w:hAnsi="Times New Roman" w:cs="Times New Roman"/>
                <w:b/>
                <w:sz w:val="20"/>
                <w:szCs w:val="20"/>
              </w:rPr>
              <w:t>$</w:t>
            </w:r>
            <w:r w:rsidR="00E41EEC">
              <w:rPr>
                <w:rFonts w:ascii="Times New Roman" w:eastAsia="Calibri" w:hAnsi="Times New Roman" w:cs="Times New Roman"/>
                <w:b/>
                <w:sz w:val="20"/>
                <w:szCs w:val="20"/>
              </w:rPr>
              <w:t>1,012,591</w:t>
            </w:r>
          </w:p>
        </w:tc>
        <w:tc>
          <w:tcPr>
            <w:tcW w:w="711" w:type="pct"/>
            <w:tcBorders>
              <w:bottom w:val="single" w:sz="4" w:space="0" w:color="auto"/>
            </w:tcBorders>
            <w:shd w:val="clear" w:color="auto" w:fill="BFBFBF"/>
          </w:tcPr>
          <w:p w14:paraId="1082D653" w14:textId="77777777" w:rsidR="00E55D46" w:rsidRPr="00E55D46" w:rsidRDefault="00E55D46" w:rsidP="00314874">
            <w:pPr>
              <w:spacing w:after="0"/>
              <w:jc w:val="right"/>
              <w:rPr>
                <w:rFonts w:ascii="Times New Roman" w:eastAsia="Calibri" w:hAnsi="Times New Roman" w:cs="Times New Roman"/>
                <w:b/>
                <w:sz w:val="20"/>
                <w:szCs w:val="20"/>
              </w:rPr>
            </w:pPr>
          </w:p>
        </w:tc>
      </w:tr>
    </w:tbl>
    <w:p w14:paraId="72F9A6CC" w14:textId="3D86856F" w:rsidR="00D80FBD" w:rsidRPr="00B16372" w:rsidRDefault="00D80FBD" w:rsidP="00314874">
      <w:pPr>
        <w:spacing w:after="0"/>
        <w:rPr>
          <w:rFonts w:ascii="Times New Roman" w:hAnsi="Times New Roman" w:cs="Times New Roman"/>
          <w:sz w:val="24"/>
          <w:szCs w:val="24"/>
        </w:rPr>
      </w:pPr>
    </w:p>
    <w:p w14:paraId="28488CF0" w14:textId="774F08BB" w:rsidR="00462F59" w:rsidRPr="00462F59" w:rsidRDefault="00E636D7" w:rsidP="00314874">
      <w:pPr>
        <w:pStyle w:val="ListParagraph"/>
        <w:numPr>
          <w:ilvl w:val="0"/>
          <w:numId w:val="1"/>
        </w:numPr>
        <w:spacing w:after="0"/>
        <w:ind w:left="360"/>
        <w:rPr>
          <w:rFonts w:ascii="Times New Roman" w:hAnsi="Times New Roman" w:cs="Times New Roman"/>
          <w:b/>
          <w:sz w:val="24"/>
          <w:szCs w:val="24"/>
        </w:rPr>
      </w:pPr>
      <w:r w:rsidRPr="00B16372">
        <w:rPr>
          <w:rFonts w:ascii="Times New Roman" w:hAnsi="Times New Roman" w:cs="Times New Roman"/>
          <w:b/>
          <w:sz w:val="24"/>
          <w:szCs w:val="24"/>
        </w:rPr>
        <w:t>ESTIMATE OF THE TOTAL ANNUAL COST BURDEN TO RESPONDENTS</w:t>
      </w:r>
    </w:p>
    <w:p w14:paraId="27639EEB" w14:textId="77777777" w:rsidR="00EC1414" w:rsidRDefault="00EC1414" w:rsidP="00314874">
      <w:pPr>
        <w:spacing w:after="0"/>
        <w:rPr>
          <w:rFonts w:ascii="Times New Roman" w:hAnsi="Times New Roman" w:cs="Times New Roman"/>
          <w:sz w:val="24"/>
          <w:szCs w:val="24"/>
        </w:rPr>
      </w:pPr>
    </w:p>
    <w:p w14:paraId="26C6433A" w14:textId="7D6FA6FA" w:rsidR="00EC1414" w:rsidRDefault="00462F59" w:rsidP="00314874">
      <w:pPr>
        <w:spacing w:after="0"/>
        <w:rPr>
          <w:rFonts w:ascii="Times New Roman" w:hAnsi="Times New Roman" w:cs="Times New Roman"/>
          <w:sz w:val="24"/>
          <w:szCs w:val="24"/>
        </w:rPr>
      </w:pPr>
      <w:r w:rsidRPr="00462F59">
        <w:rPr>
          <w:rFonts w:ascii="Times New Roman" w:hAnsi="Times New Roman" w:cs="Times New Roman"/>
          <w:sz w:val="24"/>
          <w:szCs w:val="24"/>
        </w:rPr>
        <w:t>There are no non-labor costs currently associated with the FERC-725</w:t>
      </w:r>
      <w:r w:rsidR="0038744E">
        <w:rPr>
          <w:rFonts w:ascii="Times New Roman" w:hAnsi="Times New Roman" w:cs="Times New Roman"/>
          <w:sz w:val="24"/>
          <w:szCs w:val="24"/>
        </w:rPr>
        <w:t>G</w:t>
      </w:r>
      <w:r w:rsidRPr="00462F59">
        <w:rPr>
          <w:rFonts w:ascii="Times New Roman" w:hAnsi="Times New Roman" w:cs="Times New Roman"/>
          <w:sz w:val="24"/>
          <w:szCs w:val="24"/>
        </w:rPr>
        <w:t>.</w:t>
      </w:r>
      <w:r w:rsidR="00EC1414">
        <w:rPr>
          <w:rFonts w:ascii="Times New Roman" w:hAnsi="Times New Roman" w:cs="Times New Roman"/>
          <w:sz w:val="24"/>
          <w:szCs w:val="24"/>
        </w:rPr>
        <w:t xml:space="preserve"> Commission staff assumes that the information collection requirement associated with this rulemaking is </w:t>
      </w:r>
      <w:r w:rsidR="00EC1414" w:rsidRPr="00706840">
        <w:rPr>
          <w:rFonts w:ascii="Times New Roman" w:hAnsi="Times New Roman" w:cs="Times New Roman"/>
          <w:sz w:val="24"/>
          <w:szCs w:val="24"/>
        </w:rPr>
        <w:t>consistent with estimates for similar tasks in other Commission-approved Reliability Standards</w:t>
      </w:r>
      <w:r w:rsidR="00EC1414">
        <w:rPr>
          <w:rFonts w:ascii="Times New Roman" w:hAnsi="Times New Roman" w:cs="Times New Roman"/>
          <w:sz w:val="24"/>
          <w:szCs w:val="24"/>
        </w:rPr>
        <w:t xml:space="preserve"> and can be completed by entities using existing hardware and/or software. </w:t>
      </w:r>
    </w:p>
    <w:p w14:paraId="370A4B36" w14:textId="77777777" w:rsidR="00462F59" w:rsidRPr="00462F59" w:rsidRDefault="00462F59" w:rsidP="00314874">
      <w:pPr>
        <w:spacing w:after="0"/>
        <w:rPr>
          <w:rFonts w:ascii="Times New Roman" w:hAnsi="Times New Roman" w:cs="Times New Roman"/>
          <w:sz w:val="24"/>
          <w:szCs w:val="24"/>
        </w:rPr>
      </w:pPr>
    </w:p>
    <w:p w14:paraId="7319A2D4" w14:textId="07D236C9" w:rsidR="00E636D7" w:rsidRDefault="004F7D08" w:rsidP="00314874">
      <w:pPr>
        <w:spacing w:after="0"/>
        <w:rPr>
          <w:rFonts w:ascii="Times New Roman" w:hAnsi="Times New Roman" w:cs="Times New Roman"/>
          <w:sz w:val="24"/>
          <w:szCs w:val="24"/>
        </w:rPr>
      </w:pPr>
      <w:r>
        <w:rPr>
          <w:rFonts w:ascii="Times New Roman" w:hAnsi="Times New Roman" w:cs="Times New Roman"/>
          <w:sz w:val="24"/>
          <w:szCs w:val="24"/>
        </w:rPr>
        <w:t>All of the costs in the final</w:t>
      </w:r>
      <w:r w:rsidR="00462F59" w:rsidRPr="00462F59">
        <w:rPr>
          <w:rFonts w:ascii="Times New Roman" w:hAnsi="Times New Roman" w:cs="Times New Roman"/>
          <w:sz w:val="24"/>
          <w:szCs w:val="24"/>
        </w:rPr>
        <w:t xml:space="preserve"> rule </w:t>
      </w:r>
      <w:r w:rsidR="00E55D46">
        <w:rPr>
          <w:rFonts w:ascii="Times New Roman" w:hAnsi="Times New Roman" w:cs="Times New Roman"/>
          <w:sz w:val="24"/>
          <w:szCs w:val="24"/>
        </w:rPr>
        <w:t>in RM15-8-000</w:t>
      </w:r>
      <w:r w:rsidR="00051011">
        <w:rPr>
          <w:rFonts w:ascii="Times New Roman" w:hAnsi="Times New Roman" w:cs="Times New Roman"/>
          <w:sz w:val="24"/>
          <w:szCs w:val="24"/>
        </w:rPr>
        <w:t xml:space="preserve"> </w:t>
      </w:r>
      <w:r w:rsidR="00462F59" w:rsidRPr="00462F59">
        <w:rPr>
          <w:rFonts w:ascii="Times New Roman" w:hAnsi="Times New Roman" w:cs="Times New Roman"/>
          <w:sz w:val="24"/>
          <w:szCs w:val="24"/>
        </w:rPr>
        <w:t>are associated with burden hours (labor) and described in #12 and 15.</w:t>
      </w:r>
    </w:p>
    <w:p w14:paraId="2BDF3360" w14:textId="77777777" w:rsidR="00462F59" w:rsidRPr="00B16372" w:rsidRDefault="00462F59" w:rsidP="00314874">
      <w:pPr>
        <w:spacing w:after="0"/>
        <w:rPr>
          <w:rFonts w:ascii="Times New Roman" w:hAnsi="Times New Roman" w:cs="Times New Roman"/>
          <w:sz w:val="24"/>
          <w:szCs w:val="24"/>
        </w:rPr>
      </w:pPr>
    </w:p>
    <w:p w14:paraId="39889A6C" w14:textId="77777777" w:rsidR="00E636D7" w:rsidRPr="00B16372" w:rsidRDefault="00A276F5" w:rsidP="00314874">
      <w:pPr>
        <w:pStyle w:val="ListParagraph"/>
        <w:numPr>
          <w:ilvl w:val="0"/>
          <w:numId w:val="1"/>
        </w:numPr>
        <w:spacing w:after="0"/>
        <w:ind w:left="360"/>
        <w:rPr>
          <w:rFonts w:ascii="Times New Roman" w:hAnsi="Times New Roman" w:cs="Times New Roman"/>
          <w:b/>
          <w:sz w:val="24"/>
          <w:szCs w:val="24"/>
        </w:rPr>
      </w:pPr>
      <w:r w:rsidRPr="00B16372">
        <w:rPr>
          <w:rFonts w:ascii="Times New Roman" w:hAnsi="Times New Roman" w:cs="Times New Roman"/>
          <w:b/>
          <w:sz w:val="24"/>
          <w:szCs w:val="24"/>
        </w:rPr>
        <w:lastRenderedPageBreak/>
        <w:t>ESTIMATED ANNUALIZED COST TO FEDERAL GOVERNMENT</w:t>
      </w:r>
    </w:p>
    <w:p w14:paraId="4899015E" w14:textId="77777777" w:rsidR="00A276F5" w:rsidRPr="00B16372" w:rsidRDefault="00A276F5" w:rsidP="00314874">
      <w:pPr>
        <w:spacing w:after="0"/>
        <w:rPr>
          <w:rFonts w:ascii="Times New Roman" w:hAnsi="Times New Roman" w:cs="Times New Roman"/>
          <w:sz w:val="24"/>
          <w:szCs w:val="24"/>
        </w:rPr>
      </w:pPr>
    </w:p>
    <w:p w14:paraId="30FDB1CE" w14:textId="1C6F57B9" w:rsidR="00C61BCC" w:rsidRPr="00C61BCC" w:rsidRDefault="00C61BCC" w:rsidP="00314874">
      <w:pPr>
        <w:spacing w:after="0"/>
        <w:rPr>
          <w:rFonts w:ascii="Times New Roman" w:eastAsia="Calibri" w:hAnsi="Times New Roman" w:cs="Times New Roman"/>
          <w:sz w:val="24"/>
          <w:szCs w:val="24"/>
        </w:rPr>
      </w:pPr>
      <w:r w:rsidRPr="00C61BCC">
        <w:rPr>
          <w:rFonts w:ascii="Times New Roman" w:eastAsia="Calibri" w:hAnsi="Times New Roman" w:cs="Times New Roman"/>
          <w:sz w:val="24"/>
          <w:szCs w:val="24"/>
        </w:rPr>
        <w:t xml:space="preserve">The Regional Entities and NERC do most of the data processing, monitoring and compliance work for Reliability Standards.  Any involvement by the Commission is covered under the FERC-725 collection (OMB Control No. 1902-0225) and is not part of this request or package.  </w:t>
      </w:r>
    </w:p>
    <w:p w14:paraId="0F9B0873" w14:textId="77777777" w:rsidR="00C61BCC" w:rsidRDefault="00C61BCC" w:rsidP="00314874">
      <w:pPr>
        <w:spacing w:after="0"/>
        <w:rPr>
          <w:rFonts w:ascii="Times New Roman" w:eastAsia="Times New Roman" w:hAnsi="Times New Roman" w:cs="Times New Roman"/>
          <w:sz w:val="24"/>
          <w:szCs w:val="24"/>
        </w:rPr>
      </w:pPr>
    </w:p>
    <w:p w14:paraId="324AEFF5" w14:textId="74546ED9" w:rsidR="00EC1414" w:rsidRDefault="00EC1414" w:rsidP="0031487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estimated annualized cost to the F</w:t>
      </w:r>
      <w:r w:rsidR="004F7D08">
        <w:rPr>
          <w:rFonts w:ascii="Times New Roman" w:eastAsia="Times New Roman" w:hAnsi="Times New Roman" w:cs="Times New Roman"/>
          <w:sz w:val="24"/>
          <w:szCs w:val="24"/>
        </w:rPr>
        <w:t>ederal Government for FERC-725G</w:t>
      </w:r>
      <w:r>
        <w:rPr>
          <w:rFonts w:ascii="Times New Roman" w:eastAsia="Times New Roman" w:hAnsi="Times New Roman" w:cs="Times New Roman"/>
          <w:sz w:val="24"/>
          <w:szCs w:val="24"/>
        </w:rPr>
        <w:t xml:space="preserve"> as related to the requirements in the order in Docket No. RM15-8-000 follows:</w:t>
      </w:r>
    </w:p>
    <w:p w14:paraId="67762FB0" w14:textId="77777777" w:rsidR="00EC1414" w:rsidRPr="00C61BCC" w:rsidRDefault="00EC1414" w:rsidP="00314874">
      <w:pPr>
        <w:spacing w:after="0"/>
        <w:rPr>
          <w:rFonts w:ascii="Times New Roman" w:eastAsia="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EC1414" w:rsidRPr="00630A34" w14:paraId="1AFEF8B2" w14:textId="77777777" w:rsidTr="006434CC">
        <w:tc>
          <w:tcPr>
            <w:tcW w:w="3182" w:type="dxa"/>
            <w:tcBorders>
              <w:top w:val="single" w:sz="4" w:space="0" w:color="auto"/>
              <w:left w:val="single" w:sz="4" w:space="0" w:color="auto"/>
              <w:bottom w:val="single" w:sz="4" w:space="0" w:color="auto"/>
              <w:right w:val="single" w:sz="4" w:space="0" w:color="auto"/>
            </w:tcBorders>
            <w:shd w:val="clear" w:color="auto" w:fill="CCCCCC"/>
          </w:tcPr>
          <w:p w14:paraId="671BB698" w14:textId="77777777" w:rsidR="00EC1414" w:rsidRPr="00630A34" w:rsidRDefault="00EC1414" w:rsidP="00314874">
            <w:pPr>
              <w:spacing w:after="0"/>
              <w:rPr>
                <w:rFonts w:ascii="Times New Roman" w:hAnsi="Times New Roman" w:cs="Times New Roman"/>
                <w:sz w:val="24"/>
                <w:szCs w:val="24"/>
              </w:rPr>
            </w:pPr>
          </w:p>
        </w:tc>
        <w:tc>
          <w:tcPr>
            <w:tcW w:w="3201" w:type="dxa"/>
            <w:tcBorders>
              <w:top w:val="single" w:sz="4" w:space="0" w:color="auto"/>
              <w:left w:val="single" w:sz="4" w:space="0" w:color="auto"/>
              <w:bottom w:val="single" w:sz="4" w:space="0" w:color="auto"/>
              <w:right w:val="single" w:sz="4" w:space="0" w:color="auto"/>
            </w:tcBorders>
            <w:shd w:val="clear" w:color="auto" w:fill="CCCCCC"/>
          </w:tcPr>
          <w:p w14:paraId="2D38D397" w14:textId="77777777" w:rsidR="00EC1414" w:rsidRPr="00630A34" w:rsidRDefault="00EC1414" w:rsidP="00314874">
            <w:pPr>
              <w:spacing w:after="0"/>
              <w:rPr>
                <w:rFonts w:ascii="Times New Roman" w:hAnsi="Times New Roman" w:cs="Times New Roman"/>
                <w:b/>
                <w:sz w:val="24"/>
                <w:szCs w:val="24"/>
              </w:rPr>
            </w:pPr>
            <w:r w:rsidRPr="00630A34">
              <w:rPr>
                <w:rFonts w:ascii="Times New Roman" w:hAnsi="Times New Roman" w:cs="Times New Roman"/>
                <w:b/>
                <w:sz w:val="24"/>
                <w:szCs w:val="24"/>
              </w:rPr>
              <w:t xml:space="preserve">Number of </w:t>
            </w:r>
            <w:r>
              <w:rPr>
                <w:rFonts w:ascii="Times New Roman" w:hAnsi="Times New Roman" w:cs="Times New Roman"/>
                <w:b/>
                <w:sz w:val="24"/>
                <w:szCs w:val="24"/>
              </w:rPr>
              <w:t xml:space="preserve">Federal </w:t>
            </w:r>
            <w:r w:rsidRPr="00630A34">
              <w:rPr>
                <w:rFonts w:ascii="Times New Roman" w:hAnsi="Times New Roman" w:cs="Times New Roman"/>
                <w:b/>
                <w:sz w:val="24"/>
                <w:szCs w:val="24"/>
              </w:rPr>
              <w:t>Employees (FTE)</w:t>
            </w:r>
          </w:p>
        </w:tc>
        <w:tc>
          <w:tcPr>
            <w:tcW w:w="2995" w:type="dxa"/>
            <w:tcBorders>
              <w:top w:val="single" w:sz="4" w:space="0" w:color="auto"/>
              <w:left w:val="single" w:sz="4" w:space="0" w:color="auto"/>
              <w:bottom w:val="single" w:sz="4" w:space="0" w:color="auto"/>
              <w:right w:val="single" w:sz="4" w:space="0" w:color="auto"/>
            </w:tcBorders>
            <w:shd w:val="clear" w:color="auto" w:fill="CCCCCC"/>
          </w:tcPr>
          <w:p w14:paraId="781A10AF" w14:textId="77777777" w:rsidR="00EC1414" w:rsidRPr="00630A34" w:rsidRDefault="00EC1414" w:rsidP="00314874">
            <w:pPr>
              <w:spacing w:after="0"/>
              <w:rPr>
                <w:rFonts w:ascii="Times New Roman" w:hAnsi="Times New Roman" w:cs="Times New Roman"/>
                <w:b/>
                <w:sz w:val="24"/>
                <w:szCs w:val="24"/>
              </w:rPr>
            </w:pPr>
            <w:r w:rsidRPr="00630A34">
              <w:rPr>
                <w:rFonts w:ascii="Times New Roman" w:hAnsi="Times New Roman" w:cs="Times New Roman"/>
                <w:b/>
                <w:sz w:val="24"/>
                <w:szCs w:val="24"/>
              </w:rPr>
              <w:t>Estimated Annual Federal Cost</w:t>
            </w:r>
          </w:p>
        </w:tc>
      </w:tr>
      <w:tr w:rsidR="00EC1414" w:rsidRPr="00630A34" w14:paraId="27E6DB3C" w14:textId="77777777" w:rsidTr="006434CC">
        <w:tc>
          <w:tcPr>
            <w:tcW w:w="3182" w:type="dxa"/>
            <w:tcBorders>
              <w:top w:val="single" w:sz="4" w:space="0" w:color="auto"/>
              <w:left w:val="single" w:sz="4" w:space="0" w:color="auto"/>
              <w:bottom w:val="single" w:sz="4" w:space="0" w:color="auto"/>
              <w:right w:val="single" w:sz="4" w:space="0" w:color="auto"/>
            </w:tcBorders>
          </w:tcPr>
          <w:p w14:paraId="42978687" w14:textId="7ADB6E52" w:rsidR="00EC1414" w:rsidRPr="00630A34" w:rsidRDefault="004F7D08" w:rsidP="00314874">
            <w:pPr>
              <w:spacing w:after="0"/>
              <w:rPr>
                <w:rFonts w:ascii="Times New Roman" w:hAnsi="Times New Roman" w:cs="Times New Roman"/>
                <w:sz w:val="24"/>
                <w:szCs w:val="24"/>
              </w:rPr>
            </w:pPr>
            <w:r>
              <w:rPr>
                <w:rFonts w:ascii="Times New Roman" w:hAnsi="Times New Roman" w:cs="Times New Roman"/>
                <w:sz w:val="24"/>
                <w:szCs w:val="24"/>
              </w:rPr>
              <w:t>FERC-725G</w:t>
            </w:r>
            <w:r w:rsidR="00EC1414">
              <w:rPr>
                <w:rFonts w:ascii="Times New Roman" w:hAnsi="Times New Roman" w:cs="Times New Roman"/>
                <w:sz w:val="24"/>
                <w:szCs w:val="24"/>
              </w:rPr>
              <w:t xml:space="preserve"> </w:t>
            </w:r>
            <w:r w:rsidR="00EC1414" w:rsidRPr="00630A34">
              <w:rPr>
                <w:rFonts w:ascii="Times New Roman" w:hAnsi="Times New Roman" w:cs="Times New Roman"/>
                <w:sz w:val="24"/>
                <w:szCs w:val="24"/>
              </w:rPr>
              <w:t>Analysis and Processing of filings</w:t>
            </w:r>
          </w:p>
        </w:tc>
        <w:tc>
          <w:tcPr>
            <w:tcW w:w="3201" w:type="dxa"/>
            <w:tcBorders>
              <w:top w:val="single" w:sz="4" w:space="0" w:color="auto"/>
              <w:left w:val="single" w:sz="4" w:space="0" w:color="auto"/>
              <w:bottom w:val="single" w:sz="4" w:space="0" w:color="auto"/>
              <w:right w:val="single" w:sz="4" w:space="0" w:color="auto"/>
            </w:tcBorders>
            <w:vAlign w:val="bottom"/>
          </w:tcPr>
          <w:p w14:paraId="4A10B5EB" w14:textId="77777777" w:rsidR="00EC1414" w:rsidRPr="00630A34" w:rsidRDefault="00EC1414" w:rsidP="00314874">
            <w:pPr>
              <w:spacing w:after="0"/>
              <w:rPr>
                <w:rFonts w:ascii="Times New Roman" w:hAnsi="Times New Roman" w:cs="Times New Roman"/>
                <w:sz w:val="24"/>
                <w:szCs w:val="24"/>
              </w:rPr>
            </w:pPr>
            <w:r>
              <w:rPr>
                <w:rFonts w:ascii="Times New Roman" w:hAnsi="Times New Roman" w:cs="Times New Roman"/>
                <w:sz w:val="24"/>
                <w:szCs w:val="24"/>
              </w:rPr>
              <w:t>0</w:t>
            </w:r>
          </w:p>
        </w:tc>
        <w:tc>
          <w:tcPr>
            <w:tcW w:w="2995" w:type="dxa"/>
            <w:tcBorders>
              <w:top w:val="single" w:sz="4" w:space="0" w:color="auto"/>
              <w:left w:val="single" w:sz="4" w:space="0" w:color="auto"/>
              <w:bottom w:val="single" w:sz="4" w:space="0" w:color="auto"/>
              <w:right w:val="single" w:sz="4" w:space="0" w:color="auto"/>
            </w:tcBorders>
            <w:vAlign w:val="bottom"/>
          </w:tcPr>
          <w:p w14:paraId="7E1FE025" w14:textId="77777777" w:rsidR="00EC1414" w:rsidRPr="00630A34" w:rsidRDefault="00EC1414" w:rsidP="00314874">
            <w:pPr>
              <w:spacing w:after="0"/>
              <w:rPr>
                <w:rFonts w:ascii="Times New Roman" w:hAnsi="Times New Roman" w:cs="Times New Roman"/>
                <w:sz w:val="24"/>
                <w:szCs w:val="24"/>
              </w:rPr>
            </w:pPr>
            <w:r w:rsidRPr="00630A34">
              <w:rPr>
                <w:rFonts w:ascii="Times New Roman" w:hAnsi="Times New Roman" w:cs="Times New Roman"/>
                <w:sz w:val="24"/>
                <w:szCs w:val="24"/>
              </w:rPr>
              <w:t>$</w:t>
            </w:r>
            <w:r>
              <w:rPr>
                <w:rFonts w:ascii="Times New Roman" w:hAnsi="Times New Roman" w:cs="Times New Roman"/>
                <w:sz w:val="24"/>
                <w:szCs w:val="24"/>
              </w:rPr>
              <w:t>0</w:t>
            </w:r>
          </w:p>
        </w:tc>
      </w:tr>
      <w:tr w:rsidR="00EC1414" w:rsidRPr="00630A34" w14:paraId="3031D599" w14:textId="77777777" w:rsidTr="006434CC">
        <w:tc>
          <w:tcPr>
            <w:tcW w:w="3182" w:type="dxa"/>
            <w:tcBorders>
              <w:top w:val="single" w:sz="4" w:space="0" w:color="auto"/>
              <w:left w:val="single" w:sz="4" w:space="0" w:color="auto"/>
              <w:bottom w:val="single" w:sz="4" w:space="0" w:color="auto"/>
              <w:right w:val="single" w:sz="4" w:space="0" w:color="auto"/>
            </w:tcBorders>
          </w:tcPr>
          <w:p w14:paraId="5E7566EF" w14:textId="77777777" w:rsidR="00EC1414" w:rsidRDefault="00EC1414" w:rsidP="00314874">
            <w:pPr>
              <w:spacing w:after="0"/>
              <w:rPr>
                <w:rFonts w:ascii="Times New Roman" w:hAnsi="Times New Roman" w:cs="Times New Roman"/>
                <w:sz w:val="24"/>
                <w:szCs w:val="24"/>
              </w:rPr>
            </w:pPr>
            <w:r w:rsidRPr="00630A34">
              <w:rPr>
                <w:rFonts w:ascii="Times New Roman" w:hAnsi="Times New Roman" w:cs="Times New Roman"/>
                <w:sz w:val="24"/>
                <w:szCs w:val="24"/>
              </w:rPr>
              <w:t>PRA</w:t>
            </w:r>
            <w:r w:rsidRPr="00630A34">
              <w:rPr>
                <w:rFonts w:ascii="Times New Roman" w:hAnsi="Times New Roman" w:cs="Times New Roman"/>
                <w:sz w:val="24"/>
                <w:szCs w:val="24"/>
                <w:vertAlign w:val="superscript"/>
              </w:rPr>
              <w:footnoteReference w:id="19"/>
            </w:r>
            <w:r w:rsidRPr="00630A34">
              <w:rPr>
                <w:rFonts w:ascii="Times New Roman" w:hAnsi="Times New Roman" w:cs="Times New Roman"/>
                <w:sz w:val="24"/>
                <w:szCs w:val="24"/>
              </w:rPr>
              <w:t xml:space="preserve"> Administrative Cost</w:t>
            </w:r>
            <w:r w:rsidRPr="00896F4D">
              <w:rPr>
                <w:rStyle w:val="FootnoteReference"/>
                <w:rFonts w:ascii="Times New Roman" w:hAnsi="Times New Roman" w:cs="Times New Roman"/>
                <w:sz w:val="24"/>
                <w:szCs w:val="24"/>
                <w:vertAlign w:val="superscript"/>
              </w:rPr>
              <w:footnoteReference w:id="20"/>
            </w:r>
          </w:p>
        </w:tc>
        <w:tc>
          <w:tcPr>
            <w:tcW w:w="3201" w:type="dxa"/>
            <w:tcBorders>
              <w:top w:val="single" w:sz="4" w:space="0" w:color="auto"/>
              <w:left w:val="single" w:sz="4" w:space="0" w:color="auto"/>
              <w:bottom w:val="single" w:sz="4" w:space="0" w:color="auto"/>
              <w:right w:val="single" w:sz="4" w:space="0" w:color="auto"/>
            </w:tcBorders>
            <w:shd w:val="clear" w:color="auto" w:fill="D9D9D9"/>
            <w:vAlign w:val="center"/>
          </w:tcPr>
          <w:p w14:paraId="58FACC5E" w14:textId="77777777" w:rsidR="00EC1414" w:rsidRPr="00630A34" w:rsidRDefault="00EC1414" w:rsidP="00314874">
            <w:pPr>
              <w:spacing w:after="0"/>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tcPr>
          <w:p w14:paraId="287F216B" w14:textId="77777777" w:rsidR="00EC1414" w:rsidRPr="00630A34" w:rsidRDefault="00EC1414" w:rsidP="00314874">
            <w:pPr>
              <w:spacing w:after="0"/>
              <w:rPr>
                <w:rFonts w:ascii="Times New Roman" w:hAnsi="Times New Roman" w:cs="Times New Roman"/>
                <w:sz w:val="24"/>
                <w:szCs w:val="24"/>
              </w:rPr>
            </w:pPr>
            <w:r w:rsidRPr="00630A34">
              <w:rPr>
                <w:rFonts w:ascii="Times New Roman" w:hAnsi="Times New Roman" w:cs="Times New Roman"/>
                <w:sz w:val="24"/>
                <w:szCs w:val="24"/>
              </w:rPr>
              <w:t>$5</w:t>
            </w:r>
            <w:r>
              <w:rPr>
                <w:rFonts w:ascii="Times New Roman" w:hAnsi="Times New Roman" w:cs="Times New Roman"/>
                <w:sz w:val="24"/>
                <w:szCs w:val="24"/>
              </w:rPr>
              <w:t>,193</w:t>
            </w:r>
          </w:p>
        </w:tc>
      </w:tr>
      <w:tr w:rsidR="00EC1414" w:rsidRPr="00630A34" w14:paraId="6CFCB078" w14:textId="77777777" w:rsidTr="006434CC">
        <w:tc>
          <w:tcPr>
            <w:tcW w:w="3182" w:type="dxa"/>
            <w:tcBorders>
              <w:top w:val="single" w:sz="4" w:space="0" w:color="auto"/>
              <w:left w:val="single" w:sz="4" w:space="0" w:color="auto"/>
              <w:bottom w:val="single" w:sz="4" w:space="0" w:color="auto"/>
              <w:right w:val="single" w:sz="4" w:space="0" w:color="auto"/>
            </w:tcBorders>
          </w:tcPr>
          <w:p w14:paraId="02DC0C41" w14:textId="77777777" w:rsidR="00EC1414" w:rsidRPr="00630A34" w:rsidRDefault="00EC1414" w:rsidP="00314874">
            <w:pPr>
              <w:spacing w:after="0"/>
              <w:rPr>
                <w:rFonts w:ascii="Times New Roman" w:hAnsi="Times New Roman" w:cs="Times New Roman"/>
                <w:sz w:val="24"/>
                <w:szCs w:val="24"/>
              </w:rPr>
            </w:pPr>
            <w:r w:rsidRPr="00630A34">
              <w:rPr>
                <w:rFonts w:ascii="Times New Roman" w:hAnsi="Times New Roman" w:cs="Times New Roman"/>
                <w:b/>
                <w:sz w:val="24"/>
                <w:szCs w:val="24"/>
              </w:rPr>
              <w:t>FERC Total</w:t>
            </w:r>
          </w:p>
        </w:tc>
        <w:tc>
          <w:tcPr>
            <w:tcW w:w="3201" w:type="dxa"/>
            <w:tcBorders>
              <w:top w:val="single" w:sz="4" w:space="0" w:color="auto"/>
              <w:left w:val="single" w:sz="4" w:space="0" w:color="auto"/>
              <w:bottom w:val="single" w:sz="4" w:space="0" w:color="auto"/>
              <w:right w:val="single" w:sz="4" w:space="0" w:color="auto"/>
            </w:tcBorders>
            <w:vAlign w:val="center"/>
          </w:tcPr>
          <w:p w14:paraId="4ECEB988" w14:textId="77777777" w:rsidR="00EC1414" w:rsidRPr="00630A34" w:rsidRDefault="00EC1414" w:rsidP="00314874">
            <w:pPr>
              <w:spacing w:after="0"/>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tcPr>
          <w:p w14:paraId="6BB07EC8" w14:textId="77777777" w:rsidR="00EC1414" w:rsidRPr="00630A34" w:rsidRDefault="00EC1414" w:rsidP="00314874">
            <w:pPr>
              <w:spacing w:after="0"/>
              <w:rPr>
                <w:rFonts w:ascii="Times New Roman" w:hAnsi="Times New Roman" w:cs="Times New Roman"/>
                <w:sz w:val="24"/>
                <w:szCs w:val="24"/>
              </w:rPr>
            </w:pPr>
            <w:r w:rsidRPr="00630A34">
              <w:rPr>
                <w:rFonts w:ascii="Times New Roman" w:hAnsi="Times New Roman" w:cs="Times New Roman"/>
                <w:sz w:val="24"/>
                <w:szCs w:val="24"/>
              </w:rPr>
              <w:t>$</w:t>
            </w:r>
            <w:r>
              <w:rPr>
                <w:rFonts w:ascii="Times New Roman" w:hAnsi="Times New Roman" w:cs="Times New Roman"/>
                <w:sz w:val="24"/>
                <w:szCs w:val="24"/>
              </w:rPr>
              <w:t>5,193</w:t>
            </w:r>
          </w:p>
        </w:tc>
      </w:tr>
    </w:tbl>
    <w:p w14:paraId="52E49934" w14:textId="778E2E00" w:rsidR="00A276F5" w:rsidRPr="00B16372" w:rsidRDefault="00A276F5" w:rsidP="00314874">
      <w:pPr>
        <w:spacing w:after="0"/>
        <w:rPr>
          <w:rFonts w:ascii="Times New Roman" w:hAnsi="Times New Roman" w:cs="Times New Roman"/>
          <w:sz w:val="24"/>
          <w:szCs w:val="24"/>
        </w:rPr>
      </w:pPr>
    </w:p>
    <w:p w14:paraId="26D64DBD" w14:textId="77777777" w:rsidR="00A276F5" w:rsidRPr="00DB14A2" w:rsidRDefault="00A276F5" w:rsidP="00314874">
      <w:pPr>
        <w:pStyle w:val="ListParagraph"/>
        <w:numPr>
          <w:ilvl w:val="0"/>
          <w:numId w:val="1"/>
        </w:numPr>
        <w:spacing w:after="0"/>
        <w:ind w:left="360"/>
        <w:rPr>
          <w:rFonts w:ascii="Times New Roman" w:hAnsi="Times New Roman" w:cs="Times New Roman"/>
          <w:b/>
          <w:sz w:val="24"/>
          <w:szCs w:val="24"/>
        </w:rPr>
      </w:pPr>
      <w:r w:rsidRPr="00B16372">
        <w:rPr>
          <w:rFonts w:ascii="Times New Roman" w:hAnsi="Times New Roman" w:cs="Times New Roman"/>
          <w:b/>
          <w:sz w:val="24"/>
          <w:szCs w:val="24"/>
        </w:rPr>
        <w:t>REASONS FOR CHANGES IN BURDEN INCLUDING THE NEED FOR ANY INCREASE</w:t>
      </w:r>
    </w:p>
    <w:p w14:paraId="06710A14" w14:textId="77777777" w:rsidR="00DB14A2" w:rsidRPr="00DB14A2" w:rsidRDefault="00DB14A2" w:rsidP="00314874">
      <w:pPr>
        <w:spacing w:after="0"/>
        <w:rPr>
          <w:rFonts w:ascii="Times New Roman" w:hAnsi="Times New Roman" w:cs="Times New Roman"/>
          <w:sz w:val="24"/>
          <w:szCs w:val="24"/>
          <w:u w:val="single"/>
        </w:rPr>
      </w:pPr>
    </w:p>
    <w:p w14:paraId="366BDF89" w14:textId="47BD3D4B" w:rsidR="00EC1414" w:rsidRDefault="00EC1414" w:rsidP="00314874">
      <w:pPr>
        <w:spacing w:after="0"/>
        <w:rPr>
          <w:rFonts w:ascii="Times New Roman" w:hAnsi="Times New Roman" w:cs="Times New Roman"/>
          <w:sz w:val="24"/>
          <w:szCs w:val="24"/>
        </w:rPr>
      </w:pPr>
      <w:r>
        <w:rPr>
          <w:rFonts w:ascii="Times New Roman" w:hAnsi="Times New Roman" w:cs="Times New Roman"/>
          <w:sz w:val="24"/>
          <w:szCs w:val="24"/>
        </w:rPr>
        <w:t>Pursuant to S</w:t>
      </w:r>
      <w:r w:rsidRPr="00DF64B2">
        <w:rPr>
          <w:rFonts w:ascii="Times New Roman" w:hAnsi="Times New Roman" w:cs="Times New Roman"/>
          <w:sz w:val="24"/>
          <w:szCs w:val="24"/>
        </w:rPr>
        <w:t>ection 215 o</w:t>
      </w:r>
      <w:r>
        <w:rPr>
          <w:rFonts w:ascii="Times New Roman" w:hAnsi="Times New Roman" w:cs="Times New Roman"/>
          <w:sz w:val="24"/>
          <w:szCs w:val="24"/>
        </w:rPr>
        <w:t>f the Federal Power Act (FPA), FERC</w:t>
      </w:r>
      <w:r w:rsidR="00DB2A0A">
        <w:rPr>
          <w:rFonts w:ascii="Times New Roman" w:hAnsi="Times New Roman" w:cs="Times New Roman"/>
          <w:sz w:val="24"/>
          <w:szCs w:val="24"/>
        </w:rPr>
        <w:t xml:space="preserve"> </w:t>
      </w:r>
      <w:r w:rsidRPr="00DF64B2">
        <w:rPr>
          <w:rFonts w:ascii="Times New Roman" w:hAnsi="Times New Roman" w:cs="Times New Roman"/>
          <w:sz w:val="24"/>
          <w:szCs w:val="24"/>
        </w:rPr>
        <w:t>approve</w:t>
      </w:r>
      <w:r w:rsidR="00DB2A0A">
        <w:rPr>
          <w:rFonts w:ascii="Times New Roman" w:hAnsi="Times New Roman" w:cs="Times New Roman"/>
          <w:sz w:val="24"/>
          <w:szCs w:val="24"/>
        </w:rPr>
        <w:t>s</w:t>
      </w:r>
      <w:r w:rsidRPr="00DF64B2">
        <w:rPr>
          <w:rFonts w:ascii="Times New Roman" w:hAnsi="Times New Roman" w:cs="Times New Roman"/>
          <w:sz w:val="24"/>
          <w:szCs w:val="24"/>
        </w:rPr>
        <w:t xml:space="preserve"> a revis</w:t>
      </w:r>
      <w:r>
        <w:rPr>
          <w:rFonts w:ascii="Times New Roman" w:hAnsi="Times New Roman" w:cs="Times New Roman"/>
          <w:sz w:val="24"/>
          <w:szCs w:val="24"/>
        </w:rPr>
        <w:t>ed Reliability Standard, PRC-026-1</w:t>
      </w:r>
      <w:r w:rsidRPr="00DF64B2">
        <w:rPr>
          <w:rFonts w:ascii="Times New Roman" w:hAnsi="Times New Roman" w:cs="Times New Roman"/>
          <w:sz w:val="24"/>
          <w:szCs w:val="24"/>
        </w:rPr>
        <w:t xml:space="preserve">, developed and submitted by the North American Electric Reliability Corporation (NERC), the Commission-certified Electric Reliability Organization (ERO).  </w:t>
      </w:r>
      <w:r>
        <w:rPr>
          <w:rFonts w:ascii="Times New Roman" w:hAnsi="Times New Roman" w:cs="Times New Roman"/>
          <w:sz w:val="24"/>
          <w:szCs w:val="24"/>
        </w:rPr>
        <w:t>Reliability Standard PRC-026-1</w:t>
      </w:r>
      <w:r w:rsidR="007D2944" w:rsidRPr="007D2944">
        <w:rPr>
          <w:rFonts w:ascii="Times New Roman" w:hAnsi="Times New Roman" w:cs="Times New Roman"/>
          <w:sz w:val="24"/>
          <w:szCs w:val="24"/>
        </w:rPr>
        <w:t xml:space="preserve"> address</w:t>
      </w:r>
      <w:r w:rsidR="007D2944">
        <w:rPr>
          <w:rFonts w:ascii="Times New Roman" w:hAnsi="Times New Roman" w:cs="Times New Roman"/>
          <w:sz w:val="24"/>
          <w:szCs w:val="24"/>
        </w:rPr>
        <w:t>es</w:t>
      </w:r>
      <w:r w:rsidR="007D2944" w:rsidRPr="007D2944">
        <w:rPr>
          <w:rFonts w:ascii="Times New Roman" w:hAnsi="Times New Roman" w:cs="Times New Roman"/>
          <w:sz w:val="24"/>
          <w:szCs w:val="24"/>
        </w:rPr>
        <w:t xml:space="preserve"> the Commission’s directive from Order No. 733 by helping to prevent the unnecessary tripping of bulk electric system elements in response to stable power swings.</w:t>
      </w:r>
    </w:p>
    <w:p w14:paraId="47083B3A" w14:textId="301ECACA" w:rsidR="008C116D" w:rsidRDefault="008C116D" w:rsidP="00314874">
      <w:pPr>
        <w:spacing w:after="0"/>
        <w:rPr>
          <w:rFonts w:ascii="Times New Roman" w:hAnsi="Times New Roman" w:cs="Times New Roman"/>
          <w:sz w:val="24"/>
          <w:szCs w:val="24"/>
        </w:rPr>
      </w:pPr>
    </w:p>
    <w:p w14:paraId="6E117E15" w14:textId="1C77ACD6" w:rsidR="008C116D" w:rsidRDefault="008C116D" w:rsidP="00314874">
      <w:pPr>
        <w:spacing w:after="0"/>
        <w:rPr>
          <w:rFonts w:ascii="Times New Roman" w:hAnsi="Times New Roman" w:cs="Times New Roman"/>
          <w:sz w:val="24"/>
          <w:szCs w:val="24"/>
        </w:rPr>
      </w:pPr>
      <w:r>
        <w:rPr>
          <w:rFonts w:ascii="Times New Roman" w:hAnsi="Times New Roman" w:cs="Times New Roman"/>
          <w:sz w:val="24"/>
          <w:szCs w:val="24"/>
        </w:rPr>
        <w:t>The RM15-8-000 Notice of Proposed Rulemaking (NOPR)</w:t>
      </w:r>
      <w:r w:rsidRPr="008C116D">
        <w:rPr>
          <w:rStyle w:val="FootnoteReference"/>
          <w:rFonts w:ascii="Times New Roman" w:hAnsi="Times New Roman" w:cs="Times New Roman"/>
          <w:sz w:val="24"/>
          <w:szCs w:val="24"/>
          <w:vertAlign w:val="superscript"/>
        </w:rPr>
        <w:footnoteReference w:id="21"/>
      </w:r>
      <w:r w:rsidRPr="008C116D">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was submitted </w:t>
      </w:r>
      <w:r w:rsidR="00F65F7D">
        <w:rPr>
          <w:rFonts w:ascii="Times New Roman" w:hAnsi="Times New Roman" w:cs="Times New Roman"/>
          <w:sz w:val="24"/>
          <w:szCs w:val="24"/>
        </w:rPr>
        <w:t>under</w:t>
      </w:r>
      <w:r w:rsidR="00F65F7D">
        <w:rPr>
          <w:rFonts w:ascii="Times New Roman" w:hAnsi="Times New Roman" w:cs="Times New Roman"/>
          <w:sz w:val="24"/>
          <w:szCs w:val="24"/>
        </w:rPr>
        <w:t xml:space="preserve"> </w:t>
      </w:r>
      <w:r>
        <w:rPr>
          <w:rFonts w:ascii="Times New Roman" w:hAnsi="Times New Roman" w:cs="Times New Roman"/>
          <w:sz w:val="24"/>
          <w:szCs w:val="24"/>
        </w:rPr>
        <w:t xml:space="preserve">the FERC-725G3 information collection (OMB Control No. 1902-0285; ICR No. 201509-1902-008).  FERC-725G3 was a temporary information collection </w:t>
      </w:r>
      <w:r w:rsidR="00ED56B3">
        <w:rPr>
          <w:rFonts w:ascii="Times New Roman" w:hAnsi="Times New Roman" w:cs="Times New Roman"/>
          <w:sz w:val="24"/>
          <w:szCs w:val="24"/>
        </w:rPr>
        <w:t xml:space="preserve">number </w:t>
      </w:r>
      <w:r>
        <w:rPr>
          <w:rFonts w:ascii="Times New Roman" w:hAnsi="Times New Roman" w:cs="Times New Roman"/>
          <w:sz w:val="24"/>
          <w:szCs w:val="24"/>
        </w:rPr>
        <w:t>used in order to ensure timely submission to OMB. The RM15-8-000 Final Rule is now being submitted to FERC-725G</w:t>
      </w:r>
      <w:r w:rsidR="002435E5">
        <w:rPr>
          <w:rFonts w:ascii="Times New Roman" w:hAnsi="Times New Roman" w:cs="Times New Roman"/>
          <w:sz w:val="24"/>
          <w:szCs w:val="24"/>
        </w:rPr>
        <w:t xml:space="preserve"> (OMB Control No. 1902-0252; ICR No. 201603-1902-006) which is a permanent information collection.</w:t>
      </w:r>
      <w:bookmarkStart w:id="1" w:name="_GoBack"/>
      <w:bookmarkEnd w:id="1"/>
      <w:r w:rsidR="001215C6">
        <w:rPr>
          <w:rFonts w:ascii="Times New Roman" w:hAnsi="Times New Roman" w:cs="Times New Roman"/>
          <w:sz w:val="24"/>
          <w:szCs w:val="24"/>
        </w:rPr>
        <w:t xml:space="preserve"> The increase to the number of responses and total annual burden are due to the requirements that we submitted </w:t>
      </w:r>
      <w:r w:rsidR="00796005">
        <w:rPr>
          <w:rFonts w:ascii="Times New Roman" w:hAnsi="Times New Roman" w:cs="Times New Roman"/>
          <w:sz w:val="24"/>
          <w:szCs w:val="24"/>
        </w:rPr>
        <w:t>under</w:t>
      </w:r>
      <w:r w:rsidR="001215C6">
        <w:rPr>
          <w:rFonts w:ascii="Times New Roman" w:hAnsi="Times New Roman" w:cs="Times New Roman"/>
          <w:sz w:val="24"/>
          <w:szCs w:val="24"/>
        </w:rPr>
        <w:t xml:space="preserve"> FERC-725G3</w:t>
      </w:r>
      <w:r w:rsidR="00796005">
        <w:rPr>
          <w:rFonts w:ascii="Times New Roman" w:hAnsi="Times New Roman" w:cs="Times New Roman"/>
          <w:sz w:val="24"/>
          <w:szCs w:val="24"/>
        </w:rPr>
        <w:t xml:space="preserve"> for the NOPR in Docket RM15-8;</w:t>
      </w:r>
      <w:r w:rsidR="001215C6" w:rsidRPr="002D2BB8">
        <w:rPr>
          <w:rStyle w:val="FootnoteReference"/>
          <w:rFonts w:ascii="Times New Roman" w:hAnsi="Times New Roman" w:cs="Times New Roman"/>
          <w:sz w:val="24"/>
          <w:szCs w:val="24"/>
          <w:vertAlign w:val="superscript"/>
        </w:rPr>
        <w:footnoteReference w:id="22"/>
      </w:r>
      <w:r w:rsidR="001215C6" w:rsidRPr="002D2BB8">
        <w:rPr>
          <w:rFonts w:ascii="Times New Roman" w:hAnsi="Times New Roman" w:cs="Times New Roman"/>
          <w:sz w:val="24"/>
          <w:szCs w:val="24"/>
          <w:vertAlign w:val="superscript"/>
        </w:rPr>
        <w:t xml:space="preserve"> </w:t>
      </w:r>
      <w:r w:rsidR="00796005">
        <w:rPr>
          <w:rFonts w:ascii="Times New Roman" w:hAnsi="Times New Roman" w:cs="Times New Roman"/>
          <w:sz w:val="24"/>
          <w:szCs w:val="24"/>
        </w:rPr>
        <w:t>the requirements in the Final Rule in RM15-8</w:t>
      </w:r>
      <w:r w:rsidR="001215C6">
        <w:rPr>
          <w:rFonts w:ascii="Times New Roman" w:hAnsi="Times New Roman" w:cs="Times New Roman"/>
          <w:sz w:val="24"/>
          <w:szCs w:val="24"/>
        </w:rPr>
        <w:t xml:space="preserve"> are now being submitted </w:t>
      </w:r>
      <w:r w:rsidR="00796005">
        <w:rPr>
          <w:rFonts w:ascii="Times New Roman" w:hAnsi="Times New Roman" w:cs="Times New Roman"/>
          <w:sz w:val="24"/>
          <w:szCs w:val="24"/>
        </w:rPr>
        <w:t>under</w:t>
      </w:r>
      <w:r w:rsidR="001215C6">
        <w:rPr>
          <w:rFonts w:ascii="Times New Roman" w:hAnsi="Times New Roman" w:cs="Times New Roman"/>
          <w:sz w:val="24"/>
          <w:szCs w:val="24"/>
        </w:rPr>
        <w:t xml:space="preserve"> FERC-725G.  </w:t>
      </w:r>
      <w:r w:rsidR="00D0520E">
        <w:rPr>
          <w:rFonts w:ascii="Times New Roman" w:hAnsi="Times New Roman" w:cs="Times New Roman"/>
          <w:sz w:val="24"/>
          <w:szCs w:val="24"/>
        </w:rPr>
        <w:t>The burden estimate submitted to FERC-725G3 and FERC-725G were calculated in the same way and resulted in the same amount of burden.</w:t>
      </w:r>
    </w:p>
    <w:p w14:paraId="44176C6D" w14:textId="77777777" w:rsidR="008C116D" w:rsidRDefault="008C116D" w:rsidP="00314874">
      <w:pPr>
        <w:spacing w:after="0"/>
        <w:rPr>
          <w:rFonts w:ascii="Times New Roman" w:hAnsi="Times New Roman" w:cs="Times New Roman"/>
          <w:sz w:val="24"/>
          <w:szCs w:val="24"/>
        </w:rPr>
      </w:pPr>
    </w:p>
    <w:p w14:paraId="287897EF" w14:textId="52BFC864" w:rsidR="00EC1414" w:rsidRDefault="00EC1414" w:rsidP="00314874">
      <w:pPr>
        <w:spacing w:after="0"/>
        <w:rPr>
          <w:rFonts w:ascii="Times New Roman" w:hAnsi="Times New Roman" w:cs="Times New Roman"/>
          <w:sz w:val="24"/>
          <w:szCs w:val="24"/>
        </w:rPr>
      </w:pPr>
      <w:r>
        <w:rPr>
          <w:rFonts w:ascii="Times New Roman" w:hAnsi="Times New Roman" w:cs="Times New Roman"/>
          <w:sz w:val="24"/>
          <w:szCs w:val="24"/>
        </w:rPr>
        <w:t>The estimated r</w:t>
      </w:r>
      <w:r w:rsidR="00DB2A0A">
        <w:rPr>
          <w:rFonts w:ascii="Times New Roman" w:hAnsi="Times New Roman" w:cs="Times New Roman"/>
          <w:sz w:val="24"/>
          <w:szCs w:val="24"/>
        </w:rPr>
        <w:t>evised totals after the</w:t>
      </w:r>
      <w:r>
        <w:rPr>
          <w:rFonts w:ascii="Times New Roman" w:hAnsi="Times New Roman" w:cs="Times New Roman"/>
          <w:sz w:val="24"/>
          <w:szCs w:val="24"/>
        </w:rPr>
        <w:t xml:space="preserve"> changes in FERC-725G (Docket No. R</w:t>
      </w:r>
      <w:r w:rsidR="003A6785">
        <w:rPr>
          <w:rFonts w:ascii="Times New Roman" w:hAnsi="Times New Roman" w:cs="Times New Roman"/>
          <w:sz w:val="24"/>
          <w:szCs w:val="24"/>
        </w:rPr>
        <w:t>M</w:t>
      </w:r>
      <w:r>
        <w:rPr>
          <w:rFonts w:ascii="Times New Roman" w:hAnsi="Times New Roman" w:cs="Times New Roman"/>
          <w:sz w:val="24"/>
          <w:szCs w:val="24"/>
        </w:rPr>
        <w:t>1</w:t>
      </w:r>
      <w:r w:rsidR="00314874">
        <w:rPr>
          <w:rFonts w:ascii="Times New Roman" w:hAnsi="Times New Roman" w:cs="Times New Roman"/>
          <w:sz w:val="24"/>
          <w:szCs w:val="24"/>
        </w:rPr>
        <w:t>5-8</w:t>
      </w:r>
      <w:r>
        <w:rPr>
          <w:rFonts w:ascii="Times New Roman" w:hAnsi="Times New Roman" w:cs="Times New Roman"/>
          <w:sz w:val="24"/>
          <w:szCs w:val="24"/>
        </w:rPr>
        <w:t>-000) follow:</w:t>
      </w:r>
    </w:p>
    <w:p w14:paraId="5ED68325" w14:textId="77777777" w:rsidR="0092596C" w:rsidRDefault="0092596C" w:rsidP="00314874">
      <w:pPr>
        <w:spacing w:after="0"/>
        <w:rPr>
          <w:rFonts w:ascii="Times New Roman" w:hAnsi="Times New Roman" w:cs="Times New Roman"/>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92596C" w14:paraId="203AEC17" w14:textId="77777777" w:rsidTr="0092596C">
        <w:trPr>
          <w:trHeight w:val="870"/>
        </w:trPr>
        <w:tc>
          <w:tcPr>
            <w:tcW w:w="2679" w:type="dxa"/>
            <w:shd w:val="clear" w:color="auto" w:fill="D9D9D9"/>
            <w:vAlign w:val="bottom"/>
          </w:tcPr>
          <w:p w14:paraId="667204BF" w14:textId="60A84154" w:rsidR="0092596C" w:rsidRDefault="0092596C" w:rsidP="00314874">
            <w:pPr>
              <w:spacing w:after="0" w:line="240" w:lineRule="auto"/>
              <w:jc w:val="center"/>
              <w:rPr>
                <w:rFonts w:ascii="Times New Roman" w:hAnsi="Times New Roman"/>
                <w:b/>
                <w:sz w:val="26"/>
                <w:szCs w:val="26"/>
              </w:rPr>
            </w:pPr>
            <w:r>
              <w:rPr>
                <w:rFonts w:ascii="Times New Roman" w:hAnsi="Times New Roman"/>
                <w:b/>
                <w:sz w:val="26"/>
                <w:szCs w:val="26"/>
              </w:rPr>
              <w:t>FERC-725</w:t>
            </w:r>
            <w:r w:rsidR="00DB2A0A">
              <w:rPr>
                <w:rFonts w:ascii="Times New Roman" w:hAnsi="Times New Roman"/>
                <w:b/>
                <w:sz w:val="26"/>
                <w:szCs w:val="26"/>
              </w:rPr>
              <w:t>G</w:t>
            </w:r>
          </w:p>
        </w:tc>
        <w:tc>
          <w:tcPr>
            <w:tcW w:w="1461" w:type="dxa"/>
            <w:shd w:val="clear" w:color="auto" w:fill="D9D9D9"/>
            <w:vAlign w:val="bottom"/>
          </w:tcPr>
          <w:p w14:paraId="3F2CF937" w14:textId="77777777" w:rsidR="0092596C" w:rsidRDefault="0092596C" w:rsidP="00314874">
            <w:pPr>
              <w:spacing w:after="0" w:line="240" w:lineRule="auto"/>
              <w:jc w:val="center"/>
              <w:rPr>
                <w:rFonts w:ascii="Times New Roman" w:hAnsi="Times New Roman"/>
                <w:b/>
                <w:sz w:val="26"/>
                <w:szCs w:val="26"/>
              </w:rPr>
            </w:pPr>
            <w:r>
              <w:rPr>
                <w:rFonts w:ascii="Times New Roman" w:hAnsi="Times New Roman"/>
                <w:b/>
                <w:sz w:val="26"/>
                <w:szCs w:val="26"/>
              </w:rPr>
              <w:t>Total Request</w:t>
            </w:r>
          </w:p>
        </w:tc>
        <w:tc>
          <w:tcPr>
            <w:tcW w:w="1620" w:type="dxa"/>
            <w:shd w:val="clear" w:color="auto" w:fill="D9D9D9"/>
            <w:vAlign w:val="bottom"/>
          </w:tcPr>
          <w:p w14:paraId="3B61870D" w14:textId="77777777" w:rsidR="0092596C" w:rsidRDefault="0092596C" w:rsidP="00314874">
            <w:pPr>
              <w:spacing w:after="0" w:line="240" w:lineRule="auto"/>
              <w:jc w:val="center"/>
              <w:rPr>
                <w:rFonts w:ascii="Times New Roman" w:hAnsi="Times New Roman"/>
                <w:b/>
                <w:sz w:val="26"/>
                <w:szCs w:val="26"/>
              </w:rPr>
            </w:pPr>
            <w:r>
              <w:rPr>
                <w:rFonts w:ascii="Times New Roman" w:hAnsi="Times New Roman"/>
                <w:b/>
                <w:sz w:val="26"/>
                <w:szCs w:val="26"/>
              </w:rPr>
              <w:t>Previously Approved</w:t>
            </w:r>
          </w:p>
        </w:tc>
        <w:tc>
          <w:tcPr>
            <w:tcW w:w="1800" w:type="dxa"/>
            <w:shd w:val="clear" w:color="auto" w:fill="D9D9D9"/>
            <w:vAlign w:val="bottom"/>
          </w:tcPr>
          <w:p w14:paraId="2786CFEC" w14:textId="77777777" w:rsidR="0092596C" w:rsidRDefault="0092596C" w:rsidP="00314874">
            <w:pPr>
              <w:spacing w:after="0" w:line="240" w:lineRule="auto"/>
              <w:jc w:val="center"/>
              <w:rPr>
                <w:rFonts w:ascii="Times New Roman" w:hAnsi="Times New Roman"/>
                <w:b/>
                <w:sz w:val="26"/>
                <w:szCs w:val="26"/>
              </w:rPr>
            </w:pPr>
            <w:r>
              <w:rPr>
                <w:rFonts w:ascii="Times New Roman" w:hAnsi="Times New Roman"/>
                <w:b/>
                <w:sz w:val="26"/>
                <w:szCs w:val="26"/>
              </w:rPr>
              <w:t>Change due to Adjustment in Estimate</w:t>
            </w:r>
          </w:p>
        </w:tc>
        <w:tc>
          <w:tcPr>
            <w:tcW w:w="1800" w:type="dxa"/>
            <w:shd w:val="clear" w:color="auto" w:fill="D9D9D9"/>
            <w:vAlign w:val="bottom"/>
          </w:tcPr>
          <w:p w14:paraId="79E34E2C" w14:textId="77777777" w:rsidR="0092596C" w:rsidRDefault="0092596C" w:rsidP="00314874">
            <w:pPr>
              <w:spacing w:after="0" w:line="240" w:lineRule="auto"/>
              <w:jc w:val="center"/>
              <w:rPr>
                <w:rFonts w:ascii="Times New Roman" w:hAnsi="Times New Roman"/>
                <w:b/>
                <w:sz w:val="26"/>
                <w:szCs w:val="26"/>
              </w:rPr>
            </w:pPr>
            <w:r>
              <w:rPr>
                <w:rFonts w:ascii="Times New Roman" w:hAnsi="Times New Roman"/>
                <w:b/>
                <w:sz w:val="26"/>
                <w:szCs w:val="26"/>
              </w:rPr>
              <w:t>Change Due to Agency Discretion</w:t>
            </w:r>
          </w:p>
        </w:tc>
      </w:tr>
      <w:tr w:rsidR="00BD6EEC" w14:paraId="042C8985" w14:textId="77777777" w:rsidTr="0092596C">
        <w:trPr>
          <w:trHeight w:val="591"/>
        </w:trPr>
        <w:tc>
          <w:tcPr>
            <w:tcW w:w="2679" w:type="dxa"/>
          </w:tcPr>
          <w:p w14:paraId="0F7FFCCF" w14:textId="77777777" w:rsidR="00BD6EEC" w:rsidRDefault="00BD6EEC" w:rsidP="00314874">
            <w:pPr>
              <w:spacing w:after="0" w:line="240" w:lineRule="auto"/>
              <w:jc w:val="center"/>
              <w:rPr>
                <w:rFonts w:ascii="Times New Roman" w:hAnsi="Times New Roman"/>
                <w:sz w:val="26"/>
                <w:szCs w:val="26"/>
              </w:rPr>
            </w:pPr>
            <w:r>
              <w:rPr>
                <w:rFonts w:ascii="Times New Roman" w:hAnsi="Times New Roman"/>
                <w:sz w:val="26"/>
                <w:szCs w:val="26"/>
              </w:rPr>
              <w:t>Annual Number of Responses</w:t>
            </w:r>
          </w:p>
        </w:tc>
        <w:tc>
          <w:tcPr>
            <w:tcW w:w="1461" w:type="dxa"/>
            <w:vAlign w:val="center"/>
          </w:tcPr>
          <w:p w14:paraId="3C124B7E" w14:textId="536A26BF" w:rsidR="00BD6EEC" w:rsidRDefault="00640C78" w:rsidP="00314874">
            <w:pPr>
              <w:spacing w:after="0" w:line="240" w:lineRule="auto"/>
              <w:jc w:val="right"/>
              <w:rPr>
                <w:rFonts w:ascii="Times New Roman" w:hAnsi="Times New Roman"/>
                <w:sz w:val="26"/>
                <w:szCs w:val="26"/>
              </w:rPr>
            </w:pPr>
            <w:r>
              <w:rPr>
                <w:rFonts w:ascii="Times New Roman" w:hAnsi="Times New Roman"/>
                <w:sz w:val="26"/>
                <w:szCs w:val="26"/>
              </w:rPr>
              <w:t>7,479</w:t>
            </w:r>
          </w:p>
        </w:tc>
        <w:tc>
          <w:tcPr>
            <w:tcW w:w="1620" w:type="dxa"/>
            <w:vAlign w:val="center"/>
          </w:tcPr>
          <w:p w14:paraId="24E706C1" w14:textId="594E390C" w:rsidR="00BD6EEC" w:rsidRDefault="00640C78" w:rsidP="00314874">
            <w:pPr>
              <w:spacing w:after="0" w:line="240" w:lineRule="auto"/>
              <w:jc w:val="right"/>
              <w:rPr>
                <w:rFonts w:ascii="Times New Roman" w:hAnsi="Times New Roman"/>
                <w:sz w:val="26"/>
                <w:szCs w:val="26"/>
              </w:rPr>
            </w:pPr>
            <w:r>
              <w:rPr>
                <w:rFonts w:ascii="Times New Roman" w:hAnsi="Times New Roman"/>
                <w:sz w:val="26"/>
                <w:szCs w:val="26"/>
              </w:rPr>
              <w:t>5,313</w:t>
            </w:r>
          </w:p>
        </w:tc>
        <w:tc>
          <w:tcPr>
            <w:tcW w:w="1800" w:type="dxa"/>
            <w:vAlign w:val="center"/>
          </w:tcPr>
          <w:p w14:paraId="4DFAD5C1" w14:textId="25808E74" w:rsidR="00BD6EEC" w:rsidRDefault="00640C78" w:rsidP="00314874">
            <w:pPr>
              <w:spacing w:after="0" w:line="240" w:lineRule="auto"/>
              <w:jc w:val="right"/>
              <w:rPr>
                <w:rFonts w:ascii="Times New Roman" w:hAnsi="Times New Roman"/>
                <w:sz w:val="26"/>
                <w:szCs w:val="26"/>
              </w:rPr>
            </w:pPr>
            <w:r>
              <w:rPr>
                <w:rFonts w:ascii="Times New Roman" w:hAnsi="Times New Roman"/>
                <w:sz w:val="26"/>
                <w:szCs w:val="26"/>
              </w:rPr>
              <w:t>0</w:t>
            </w:r>
          </w:p>
        </w:tc>
        <w:tc>
          <w:tcPr>
            <w:tcW w:w="1800" w:type="dxa"/>
            <w:vAlign w:val="center"/>
          </w:tcPr>
          <w:p w14:paraId="2AE73D6F" w14:textId="0616EABE" w:rsidR="00BD6EEC" w:rsidRDefault="00640C78" w:rsidP="00314874">
            <w:pPr>
              <w:spacing w:after="0" w:line="240" w:lineRule="auto"/>
              <w:jc w:val="right"/>
              <w:rPr>
                <w:rFonts w:ascii="Times New Roman" w:hAnsi="Times New Roman"/>
                <w:sz w:val="26"/>
                <w:szCs w:val="26"/>
              </w:rPr>
            </w:pPr>
            <w:r>
              <w:rPr>
                <w:rFonts w:ascii="Times New Roman" w:hAnsi="Times New Roman"/>
                <w:sz w:val="26"/>
                <w:szCs w:val="26"/>
              </w:rPr>
              <w:t>2,166</w:t>
            </w:r>
          </w:p>
        </w:tc>
      </w:tr>
      <w:tr w:rsidR="00BD6EEC" w14:paraId="384A505A" w14:textId="77777777" w:rsidTr="0092596C">
        <w:trPr>
          <w:trHeight w:val="575"/>
        </w:trPr>
        <w:tc>
          <w:tcPr>
            <w:tcW w:w="2679" w:type="dxa"/>
          </w:tcPr>
          <w:p w14:paraId="3BA45DA7" w14:textId="77777777" w:rsidR="00BD6EEC" w:rsidRDefault="00BD6EEC" w:rsidP="00314874">
            <w:pPr>
              <w:spacing w:after="0" w:line="240" w:lineRule="auto"/>
              <w:jc w:val="center"/>
              <w:rPr>
                <w:rFonts w:ascii="Times New Roman" w:hAnsi="Times New Roman"/>
                <w:sz w:val="26"/>
                <w:szCs w:val="26"/>
              </w:rPr>
            </w:pPr>
            <w:r>
              <w:rPr>
                <w:rFonts w:ascii="Times New Roman" w:hAnsi="Times New Roman"/>
                <w:sz w:val="26"/>
                <w:szCs w:val="26"/>
              </w:rPr>
              <w:t>Annual Time Burden (Hr)</w:t>
            </w:r>
          </w:p>
        </w:tc>
        <w:tc>
          <w:tcPr>
            <w:tcW w:w="1461" w:type="dxa"/>
            <w:vAlign w:val="center"/>
          </w:tcPr>
          <w:p w14:paraId="2BA99B32" w14:textId="3EE835A0" w:rsidR="00BD6EEC" w:rsidRDefault="00640C78" w:rsidP="00314874">
            <w:pPr>
              <w:spacing w:after="0" w:line="240" w:lineRule="auto"/>
              <w:jc w:val="right"/>
              <w:rPr>
                <w:rFonts w:ascii="Times New Roman" w:hAnsi="Times New Roman"/>
                <w:sz w:val="26"/>
                <w:szCs w:val="26"/>
              </w:rPr>
            </w:pPr>
            <w:r>
              <w:rPr>
                <w:rFonts w:ascii="Times New Roman" w:hAnsi="Times New Roman"/>
                <w:sz w:val="26"/>
                <w:szCs w:val="26"/>
              </w:rPr>
              <w:t>526,877</w:t>
            </w:r>
          </w:p>
        </w:tc>
        <w:tc>
          <w:tcPr>
            <w:tcW w:w="1620" w:type="dxa"/>
            <w:vAlign w:val="center"/>
          </w:tcPr>
          <w:p w14:paraId="24B3AA9A" w14:textId="0625102E" w:rsidR="00BD6EEC" w:rsidRDefault="00640C78" w:rsidP="00314874">
            <w:pPr>
              <w:spacing w:after="0" w:line="240" w:lineRule="auto"/>
              <w:jc w:val="right"/>
              <w:rPr>
                <w:rFonts w:ascii="Times New Roman" w:hAnsi="Times New Roman"/>
                <w:sz w:val="26"/>
                <w:szCs w:val="26"/>
              </w:rPr>
            </w:pPr>
            <w:r>
              <w:rPr>
                <w:rFonts w:ascii="Times New Roman" w:hAnsi="Times New Roman"/>
                <w:sz w:val="26"/>
                <w:szCs w:val="26"/>
              </w:rPr>
              <w:t>505,181</w:t>
            </w:r>
          </w:p>
        </w:tc>
        <w:tc>
          <w:tcPr>
            <w:tcW w:w="1800" w:type="dxa"/>
            <w:vAlign w:val="center"/>
          </w:tcPr>
          <w:p w14:paraId="1BA49CD4" w14:textId="55BB36B1" w:rsidR="00BD6EEC" w:rsidRDefault="00640C78" w:rsidP="00314874">
            <w:pPr>
              <w:spacing w:after="0" w:line="240" w:lineRule="auto"/>
              <w:jc w:val="right"/>
              <w:rPr>
                <w:rFonts w:ascii="Times New Roman" w:hAnsi="Times New Roman"/>
                <w:sz w:val="26"/>
                <w:szCs w:val="26"/>
              </w:rPr>
            </w:pPr>
            <w:r>
              <w:rPr>
                <w:rFonts w:ascii="Times New Roman" w:hAnsi="Times New Roman"/>
                <w:sz w:val="26"/>
                <w:szCs w:val="26"/>
              </w:rPr>
              <w:t>0</w:t>
            </w:r>
          </w:p>
        </w:tc>
        <w:tc>
          <w:tcPr>
            <w:tcW w:w="1800" w:type="dxa"/>
            <w:vAlign w:val="center"/>
          </w:tcPr>
          <w:p w14:paraId="1521446A" w14:textId="5D5721F0" w:rsidR="00BD6EEC" w:rsidRDefault="00640C78" w:rsidP="00314874">
            <w:pPr>
              <w:spacing w:after="0" w:line="240" w:lineRule="auto"/>
              <w:jc w:val="right"/>
              <w:rPr>
                <w:rFonts w:ascii="Times New Roman" w:hAnsi="Times New Roman"/>
                <w:sz w:val="26"/>
                <w:szCs w:val="26"/>
              </w:rPr>
            </w:pPr>
            <w:r>
              <w:rPr>
                <w:rFonts w:ascii="Times New Roman" w:hAnsi="Times New Roman" w:cs="Times New Roman"/>
                <w:sz w:val="24"/>
                <w:szCs w:val="24"/>
              </w:rPr>
              <w:t>21,696</w:t>
            </w:r>
          </w:p>
        </w:tc>
      </w:tr>
      <w:tr w:rsidR="0092596C" w14:paraId="2500CEFC" w14:textId="77777777" w:rsidTr="0092596C">
        <w:trPr>
          <w:trHeight w:val="295"/>
        </w:trPr>
        <w:tc>
          <w:tcPr>
            <w:tcW w:w="2679" w:type="dxa"/>
          </w:tcPr>
          <w:p w14:paraId="15F96F3B" w14:textId="77777777" w:rsidR="0092596C" w:rsidRDefault="0092596C" w:rsidP="00314874">
            <w:pPr>
              <w:spacing w:after="0" w:line="240" w:lineRule="auto"/>
              <w:jc w:val="center"/>
              <w:rPr>
                <w:rFonts w:ascii="Times New Roman" w:hAnsi="Times New Roman"/>
                <w:sz w:val="26"/>
                <w:szCs w:val="26"/>
              </w:rPr>
            </w:pPr>
            <w:r>
              <w:rPr>
                <w:rFonts w:ascii="Times New Roman" w:hAnsi="Times New Roman"/>
                <w:sz w:val="26"/>
                <w:szCs w:val="26"/>
              </w:rPr>
              <w:t>Annual Cost Burden ($)</w:t>
            </w:r>
          </w:p>
        </w:tc>
        <w:tc>
          <w:tcPr>
            <w:tcW w:w="1461" w:type="dxa"/>
            <w:vAlign w:val="center"/>
          </w:tcPr>
          <w:p w14:paraId="1D2CD871" w14:textId="4B2A0CFE" w:rsidR="0092596C" w:rsidRDefault="00BD6EEC" w:rsidP="00314874">
            <w:pPr>
              <w:spacing w:after="0" w:line="240" w:lineRule="auto"/>
              <w:jc w:val="right"/>
              <w:rPr>
                <w:rFonts w:ascii="Times New Roman" w:hAnsi="Times New Roman"/>
                <w:sz w:val="26"/>
                <w:szCs w:val="26"/>
              </w:rPr>
            </w:pPr>
            <w:r>
              <w:rPr>
                <w:rFonts w:ascii="Times New Roman" w:hAnsi="Times New Roman"/>
                <w:sz w:val="26"/>
                <w:szCs w:val="26"/>
              </w:rPr>
              <w:t>0</w:t>
            </w:r>
          </w:p>
        </w:tc>
        <w:tc>
          <w:tcPr>
            <w:tcW w:w="1620" w:type="dxa"/>
            <w:vAlign w:val="center"/>
          </w:tcPr>
          <w:p w14:paraId="5C782EC1" w14:textId="27415A6B" w:rsidR="0092596C" w:rsidRDefault="00BD6EEC" w:rsidP="00314874">
            <w:pPr>
              <w:spacing w:after="0" w:line="240" w:lineRule="auto"/>
              <w:jc w:val="right"/>
              <w:rPr>
                <w:rFonts w:ascii="Times New Roman" w:hAnsi="Times New Roman"/>
                <w:sz w:val="26"/>
                <w:szCs w:val="26"/>
              </w:rPr>
            </w:pPr>
            <w:r>
              <w:rPr>
                <w:rFonts w:ascii="Times New Roman" w:hAnsi="Times New Roman"/>
                <w:sz w:val="26"/>
                <w:szCs w:val="26"/>
              </w:rPr>
              <w:t>0</w:t>
            </w:r>
          </w:p>
        </w:tc>
        <w:tc>
          <w:tcPr>
            <w:tcW w:w="1800" w:type="dxa"/>
            <w:vAlign w:val="center"/>
          </w:tcPr>
          <w:p w14:paraId="09A69BCD" w14:textId="1136952A" w:rsidR="0092596C" w:rsidRDefault="00BD6EEC" w:rsidP="00314874">
            <w:pPr>
              <w:spacing w:after="0" w:line="240" w:lineRule="auto"/>
              <w:jc w:val="right"/>
              <w:rPr>
                <w:rFonts w:ascii="Times New Roman" w:hAnsi="Times New Roman"/>
                <w:sz w:val="26"/>
                <w:szCs w:val="26"/>
              </w:rPr>
            </w:pPr>
            <w:r>
              <w:rPr>
                <w:rFonts w:ascii="Times New Roman" w:hAnsi="Times New Roman"/>
                <w:sz w:val="26"/>
                <w:szCs w:val="26"/>
              </w:rPr>
              <w:t>0</w:t>
            </w:r>
          </w:p>
        </w:tc>
        <w:tc>
          <w:tcPr>
            <w:tcW w:w="1800" w:type="dxa"/>
            <w:vAlign w:val="center"/>
          </w:tcPr>
          <w:p w14:paraId="57B3BA59" w14:textId="76051B03" w:rsidR="0092596C" w:rsidRDefault="00BD6EEC" w:rsidP="00314874">
            <w:pPr>
              <w:spacing w:after="0" w:line="240" w:lineRule="auto"/>
              <w:jc w:val="right"/>
              <w:rPr>
                <w:rFonts w:ascii="Times New Roman" w:hAnsi="Times New Roman"/>
                <w:sz w:val="26"/>
                <w:szCs w:val="26"/>
              </w:rPr>
            </w:pPr>
            <w:r>
              <w:rPr>
                <w:rFonts w:ascii="Times New Roman" w:hAnsi="Times New Roman"/>
                <w:sz w:val="26"/>
                <w:szCs w:val="26"/>
              </w:rPr>
              <w:t>0</w:t>
            </w:r>
          </w:p>
        </w:tc>
      </w:tr>
    </w:tbl>
    <w:p w14:paraId="2B116D8B" w14:textId="77777777" w:rsidR="0092596C" w:rsidRPr="0092596C" w:rsidRDefault="0092596C" w:rsidP="00314874">
      <w:pPr>
        <w:spacing w:after="0"/>
        <w:rPr>
          <w:rFonts w:ascii="Times New Roman" w:hAnsi="Times New Roman" w:cs="Times New Roman"/>
          <w:sz w:val="24"/>
          <w:szCs w:val="24"/>
        </w:rPr>
      </w:pPr>
    </w:p>
    <w:p w14:paraId="56A438B9" w14:textId="77777777" w:rsidR="00970FE4" w:rsidRPr="00B16372" w:rsidRDefault="00970FE4" w:rsidP="00314874">
      <w:pPr>
        <w:spacing w:after="0"/>
        <w:rPr>
          <w:rFonts w:ascii="Times New Roman" w:hAnsi="Times New Roman" w:cs="Times New Roman"/>
          <w:sz w:val="24"/>
          <w:szCs w:val="24"/>
        </w:rPr>
      </w:pPr>
    </w:p>
    <w:p w14:paraId="7520F921" w14:textId="77777777" w:rsidR="00A276F5" w:rsidRPr="00B16372" w:rsidRDefault="00414F32" w:rsidP="00314874">
      <w:pPr>
        <w:pStyle w:val="ListParagraph"/>
        <w:numPr>
          <w:ilvl w:val="0"/>
          <w:numId w:val="1"/>
        </w:numPr>
        <w:spacing w:after="0"/>
        <w:ind w:left="360"/>
        <w:rPr>
          <w:rFonts w:ascii="Times New Roman" w:hAnsi="Times New Roman" w:cs="Times New Roman"/>
          <w:b/>
          <w:sz w:val="24"/>
          <w:szCs w:val="24"/>
        </w:rPr>
      </w:pPr>
      <w:r w:rsidRPr="00B16372">
        <w:rPr>
          <w:rFonts w:ascii="Times New Roman" w:hAnsi="Times New Roman" w:cs="Times New Roman"/>
          <w:b/>
          <w:sz w:val="24"/>
          <w:szCs w:val="24"/>
        </w:rPr>
        <w:t>TIME SCHEDULE FOR PUBLICATION OF DATA</w:t>
      </w:r>
    </w:p>
    <w:p w14:paraId="0D0264B9" w14:textId="77777777" w:rsidR="00826750" w:rsidRPr="00B16372" w:rsidRDefault="00826750" w:rsidP="00314874">
      <w:pPr>
        <w:spacing w:after="0"/>
        <w:rPr>
          <w:rFonts w:ascii="Times New Roman" w:hAnsi="Times New Roman" w:cs="Times New Roman"/>
          <w:sz w:val="24"/>
          <w:szCs w:val="24"/>
        </w:rPr>
      </w:pPr>
    </w:p>
    <w:p w14:paraId="2FDEB8BE" w14:textId="77777777" w:rsidR="00414F32" w:rsidRPr="00B16372" w:rsidRDefault="00826750" w:rsidP="00314874">
      <w:pPr>
        <w:spacing w:after="0"/>
        <w:rPr>
          <w:rFonts w:ascii="Times New Roman" w:hAnsi="Times New Roman" w:cs="Times New Roman"/>
          <w:sz w:val="24"/>
          <w:szCs w:val="24"/>
        </w:rPr>
      </w:pPr>
      <w:r w:rsidRPr="00B16372">
        <w:rPr>
          <w:rFonts w:ascii="Times New Roman" w:hAnsi="Times New Roman" w:cs="Times New Roman"/>
          <w:sz w:val="24"/>
          <w:szCs w:val="24"/>
        </w:rPr>
        <w:t>There are no data publications as part of this collection</w:t>
      </w:r>
    </w:p>
    <w:p w14:paraId="0E6218F5" w14:textId="77777777" w:rsidR="00414F32" w:rsidRPr="00B16372" w:rsidRDefault="00414F32" w:rsidP="00314874">
      <w:pPr>
        <w:spacing w:after="0"/>
        <w:rPr>
          <w:rFonts w:ascii="Times New Roman" w:hAnsi="Times New Roman" w:cs="Times New Roman"/>
          <w:sz w:val="24"/>
          <w:szCs w:val="24"/>
        </w:rPr>
      </w:pPr>
    </w:p>
    <w:p w14:paraId="646430DD" w14:textId="77777777" w:rsidR="00414F32" w:rsidRPr="00B16372" w:rsidRDefault="00414F32" w:rsidP="00314874">
      <w:pPr>
        <w:pStyle w:val="ListParagraph"/>
        <w:numPr>
          <w:ilvl w:val="0"/>
          <w:numId w:val="1"/>
        </w:numPr>
        <w:spacing w:after="0"/>
        <w:ind w:left="360"/>
        <w:rPr>
          <w:rFonts w:ascii="Times New Roman" w:hAnsi="Times New Roman" w:cs="Times New Roman"/>
          <w:b/>
          <w:sz w:val="24"/>
          <w:szCs w:val="24"/>
        </w:rPr>
      </w:pPr>
      <w:r w:rsidRPr="00B16372">
        <w:rPr>
          <w:rFonts w:ascii="Times New Roman" w:hAnsi="Times New Roman" w:cs="Times New Roman"/>
          <w:b/>
          <w:sz w:val="24"/>
          <w:szCs w:val="24"/>
        </w:rPr>
        <w:t>DISPLAY OF EXPIRATION DATE</w:t>
      </w:r>
    </w:p>
    <w:p w14:paraId="72B38186" w14:textId="77777777" w:rsidR="00414F32" w:rsidRPr="00B16372" w:rsidRDefault="00414F32" w:rsidP="00314874">
      <w:pPr>
        <w:spacing w:after="0"/>
        <w:rPr>
          <w:rFonts w:ascii="Times New Roman" w:hAnsi="Times New Roman" w:cs="Times New Roman"/>
          <w:sz w:val="24"/>
          <w:szCs w:val="24"/>
        </w:rPr>
      </w:pPr>
    </w:p>
    <w:p w14:paraId="2FAF2703" w14:textId="6711E45E" w:rsidR="00414F32" w:rsidRDefault="00C61BCC" w:rsidP="00314874">
      <w:pPr>
        <w:spacing w:after="0"/>
        <w:rPr>
          <w:rFonts w:ascii="Times New Roman" w:hAnsi="Times New Roman" w:cs="Times New Roman"/>
          <w:sz w:val="24"/>
          <w:szCs w:val="24"/>
        </w:rPr>
      </w:pPr>
      <w:r w:rsidRPr="00C61BCC">
        <w:rPr>
          <w:rFonts w:ascii="Times New Roman" w:hAnsi="Times New Roman" w:cs="Times New Roman"/>
          <w:sz w:val="24"/>
          <w:szCs w:val="24"/>
        </w:rPr>
        <w:t xml:space="preserve">The expiration date is displayed in a table posted on ferc.gov at </w:t>
      </w:r>
      <w:hyperlink r:id="rId12" w:history="1">
        <w:r w:rsidRPr="0051581F">
          <w:rPr>
            <w:rStyle w:val="Hyperlink"/>
            <w:rFonts w:ascii="Times New Roman" w:hAnsi="Times New Roman"/>
            <w:sz w:val="24"/>
            <w:szCs w:val="24"/>
          </w:rPr>
          <w:t>http://www.ferc.gov/docs-filing/info-collections.asp</w:t>
        </w:r>
      </w:hyperlink>
      <w:r w:rsidRPr="00C61BCC">
        <w:rPr>
          <w:rFonts w:ascii="Times New Roman" w:hAnsi="Times New Roman" w:cs="Times New Roman"/>
          <w:sz w:val="24"/>
          <w:szCs w:val="24"/>
        </w:rPr>
        <w:t>.</w:t>
      </w:r>
    </w:p>
    <w:p w14:paraId="54D67751" w14:textId="77777777" w:rsidR="00C61BCC" w:rsidRPr="00B16372" w:rsidRDefault="00C61BCC" w:rsidP="00314874">
      <w:pPr>
        <w:spacing w:after="0"/>
        <w:rPr>
          <w:rFonts w:ascii="Times New Roman" w:hAnsi="Times New Roman" w:cs="Times New Roman"/>
          <w:sz w:val="24"/>
          <w:szCs w:val="24"/>
        </w:rPr>
      </w:pPr>
    </w:p>
    <w:p w14:paraId="6D7858E8" w14:textId="77777777" w:rsidR="00414F32" w:rsidRPr="00B16372" w:rsidRDefault="00414F32" w:rsidP="00314874">
      <w:pPr>
        <w:pStyle w:val="ListParagraph"/>
        <w:numPr>
          <w:ilvl w:val="0"/>
          <w:numId w:val="1"/>
        </w:numPr>
        <w:spacing w:after="0"/>
        <w:ind w:left="360"/>
        <w:rPr>
          <w:rFonts w:ascii="Times New Roman" w:hAnsi="Times New Roman" w:cs="Times New Roman"/>
          <w:b/>
          <w:sz w:val="24"/>
          <w:szCs w:val="24"/>
        </w:rPr>
      </w:pPr>
      <w:r w:rsidRPr="00B16372">
        <w:rPr>
          <w:rFonts w:ascii="Times New Roman" w:hAnsi="Times New Roman" w:cs="Times New Roman"/>
          <w:b/>
          <w:sz w:val="24"/>
          <w:szCs w:val="24"/>
        </w:rPr>
        <w:t>EXCEPTIONS TO THE CERTIFICATION STATEMENT</w:t>
      </w:r>
    </w:p>
    <w:p w14:paraId="3CF7ACAD" w14:textId="77777777" w:rsidR="0057700F" w:rsidRPr="00B16372" w:rsidRDefault="0057700F" w:rsidP="00314874">
      <w:pPr>
        <w:spacing w:after="0"/>
        <w:rPr>
          <w:rFonts w:ascii="Times New Roman" w:hAnsi="Times New Roman" w:cs="Times New Roman"/>
          <w:b/>
          <w:sz w:val="24"/>
          <w:szCs w:val="24"/>
        </w:rPr>
      </w:pPr>
    </w:p>
    <w:p w14:paraId="04A82E03" w14:textId="177D5809" w:rsidR="00B16372" w:rsidRPr="00B16372" w:rsidRDefault="00E44A59" w:rsidP="00314874">
      <w:pPr>
        <w:spacing w:after="0"/>
        <w:rPr>
          <w:rFonts w:ascii="Times New Roman" w:hAnsi="Times New Roman" w:cs="Times New Roman"/>
          <w:b/>
          <w:sz w:val="24"/>
          <w:szCs w:val="24"/>
        </w:rPr>
      </w:pPr>
      <w:r>
        <w:rPr>
          <w:rFonts w:ascii="Times New Roman" w:eastAsia="Calibri" w:hAnsi="Times New Roman" w:cs="Times New Roman"/>
          <w:sz w:val="24"/>
          <w:szCs w:val="24"/>
        </w:rPr>
        <w:t>There are no exceptions.</w:t>
      </w:r>
    </w:p>
    <w:p w14:paraId="560027F4" w14:textId="37FAFF89" w:rsidR="00AD7B67" w:rsidRPr="00336D71" w:rsidRDefault="00AD7B67" w:rsidP="00336D71">
      <w:pPr>
        <w:rPr>
          <w:rFonts w:ascii="Times New Roman" w:hAnsi="Times New Roman" w:cs="Times New Roman"/>
          <w:sz w:val="24"/>
          <w:szCs w:val="24"/>
        </w:rPr>
      </w:pPr>
    </w:p>
    <w:sectPr w:rsidR="00AD7B67" w:rsidRPr="00336D71">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A3F8B" w14:textId="77777777" w:rsidR="005671A2" w:rsidRDefault="005671A2" w:rsidP="00FD66F1">
      <w:pPr>
        <w:spacing w:after="0" w:line="240" w:lineRule="auto"/>
      </w:pPr>
      <w:r>
        <w:separator/>
      </w:r>
    </w:p>
  </w:endnote>
  <w:endnote w:type="continuationSeparator" w:id="0">
    <w:p w14:paraId="4434621A" w14:textId="77777777" w:rsidR="005671A2" w:rsidRDefault="005671A2" w:rsidP="00FD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6411206"/>
      <w:docPartObj>
        <w:docPartGallery w:val="Page Numbers (Bottom of Page)"/>
        <w:docPartUnique/>
      </w:docPartObj>
    </w:sdtPr>
    <w:sdtEndPr>
      <w:rPr>
        <w:rFonts w:ascii="Times New Roman" w:hAnsi="Times New Roman" w:cs="Times New Roman"/>
        <w:noProof/>
      </w:rPr>
    </w:sdtEndPr>
    <w:sdtContent>
      <w:p w14:paraId="27B8E56E" w14:textId="77777777" w:rsidR="00430B5F" w:rsidRPr="009C3453" w:rsidRDefault="00430B5F">
        <w:pPr>
          <w:pStyle w:val="Footer"/>
          <w:jc w:val="right"/>
          <w:rPr>
            <w:rFonts w:ascii="Times New Roman" w:hAnsi="Times New Roman" w:cs="Times New Roman"/>
          </w:rPr>
        </w:pPr>
        <w:r w:rsidRPr="009C3453">
          <w:rPr>
            <w:rFonts w:ascii="Times New Roman" w:hAnsi="Times New Roman" w:cs="Times New Roman"/>
          </w:rPr>
          <w:fldChar w:fldCharType="begin"/>
        </w:r>
        <w:r w:rsidRPr="009C3453">
          <w:rPr>
            <w:rFonts w:ascii="Times New Roman" w:hAnsi="Times New Roman" w:cs="Times New Roman"/>
          </w:rPr>
          <w:instrText xml:space="preserve"> PAGE   \* MERGEFORMAT </w:instrText>
        </w:r>
        <w:r w:rsidRPr="009C3453">
          <w:rPr>
            <w:rFonts w:ascii="Times New Roman" w:hAnsi="Times New Roman" w:cs="Times New Roman"/>
          </w:rPr>
          <w:fldChar w:fldCharType="separate"/>
        </w:r>
        <w:r w:rsidR="002D2BB8">
          <w:rPr>
            <w:rFonts w:ascii="Times New Roman" w:hAnsi="Times New Roman" w:cs="Times New Roman"/>
            <w:noProof/>
          </w:rPr>
          <w:t>9</w:t>
        </w:r>
        <w:r w:rsidRPr="009C3453">
          <w:rPr>
            <w:rFonts w:ascii="Times New Roman" w:hAnsi="Times New Roman" w:cs="Times New Roman"/>
            <w:noProof/>
          </w:rPr>
          <w:fldChar w:fldCharType="end"/>
        </w:r>
      </w:p>
    </w:sdtContent>
  </w:sdt>
  <w:p w14:paraId="7B466C59" w14:textId="77777777" w:rsidR="00430B5F" w:rsidRDefault="00430B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75785" w14:textId="77777777" w:rsidR="005671A2" w:rsidRDefault="005671A2" w:rsidP="00FD66F1">
      <w:pPr>
        <w:spacing w:after="0" w:line="240" w:lineRule="auto"/>
      </w:pPr>
      <w:r>
        <w:separator/>
      </w:r>
    </w:p>
  </w:footnote>
  <w:footnote w:type="continuationSeparator" w:id="0">
    <w:p w14:paraId="46C6B792" w14:textId="77777777" w:rsidR="005671A2" w:rsidRDefault="005671A2" w:rsidP="00FD66F1">
      <w:pPr>
        <w:spacing w:after="0" w:line="240" w:lineRule="auto"/>
      </w:pPr>
      <w:r>
        <w:continuationSeparator/>
      </w:r>
    </w:p>
  </w:footnote>
  <w:footnote w:id="1">
    <w:p w14:paraId="71BDE034" w14:textId="2B3382F8" w:rsidR="00430B5F" w:rsidRPr="00C41886" w:rsidRDefault="00430B5F" w:rsidP="00314874">
      <w:pPr>
        <w:pStyle w:val="FootnoteText"/>
      </w:pPr>
      <w:r w:rsidRPr="00C41886">
        <w:rPr>
          <w:rStyle w:val="FootnoteReference"/>
          <w:vertAlign w:val="superscript"/>
        </w:rPr>
        <w:footnoteRef/>
      </w:r>
      <w:r w:rsidRPr="00C41886">
        <w:rPr>
          <w:vertAlign w:val="superscript"/>
        </w:rPr>
        <w:t xml:space="preserve"> </w:t>
      </w:r>
      <w:r w:rsidRPr="00C41886">
        <w:t xml:space="preserve">FERC’s </w:t>
      </w:r>
      <w:r w:rsidR="00442C83" w:rsidRPr="00C41886">
        <w:t>Final Rule</w:t>
      </w:r>
      <w:r w:rsidRPr="00C41886">
        <w:t xml:space="preserve"> is posted in FERC’s eLibrary at </w:t>
      </w:r>
      <w:hyperlink r:id="rId1" w:history="1">
        <w:r w:rsidR="00DB2A0A" w:rsidRPr="00C41886">
          <w:rPr>
            <w:rStyle w:val="Hyperlink"/>
          </w:rPr>
          <w:t>http://elibrary.ferc.gov/idmws/common/OpenNat.asp?fileID=14172530</w:t>
        </w:r>
      </w:hyperlink>
      <w:r w:rsidR="00E44A59" w:rsidRPr="00C41886">
        <w:t>.</w:t>
      </w:r>
    </w:p>
  </w:footnote>
  <w:footnote w:id="2">
    <w:p w14:paraId="36C1BA1D" w14:textId="6B7D8DB9" w:rsidR="00430B5F" w:rsidRPr="00C41886" w:rsidRDefault="00430B5F" w:rsidP="00314874">
      <w:pPr>
        <w:pStyle w:val="FootnoteText"/>
      </w:pPr>
      <w:r w:rsidRPr="00C41886">
        <w:rPr>
          <w:rStyle w:val="FootnoteReference"/>
          <w:vertAlign w:val="superscript"/>
        </w:rPr>
        <w:footnoteRef/>
      </w:r>
      <w:r w:rsidRPr="00C41886">
        <w:t xml:space="preserve"> The Energy Policy Act of 2005, Pub. L. No 109-58, Title XII, Subti</w:t>
      </w:r>
      <w:r w:rsidR="00EA1E26" w:rsidRPr="00C41886">
        <w:t>tle A, 119 Stat. 594, 941</w:t>
      </w:r>
      <w:r w:rsidRPr="00C41886">
        <w:t>, codi</w:t>
      </w:r>
      <w:r w:rsidR="00EA1E26" w:rsidRPr="00C41886">
        <w:t>fied at 16 U.S.C. 824o</w:t>
      </w:r>
      <w:r w:rsidRPr="00C41886">
        <w:t>.</w:t>
      </w:r>
    </w:p>
  </w:footnote>
  <w:footnote w:id="3">
    <w:p w14:paraId="3CED2A13" w14:textId="77777777" w:rsidR="008E3BFC" w:rsidRPr="00C41886" w:rsidRDefault="008E3BFC" w:rsidP="008E3BFC">
      <w:pPr>
        <w:pStyle w:val="FootnoteText"/>
      </w:pPr>
      <w:r w:rsidRPr="00C41886">
        <w:rPr>
          <w:rStyle w:val="FootnoteReference"/>
          <w:vertAlign w:val="superscript"/>
        </w:rPr>
        <w:footnoteRef/>
      </w:r>
      <w:r w:rsidRPr="00C41886">
        <w:t xml:space="preserve"> Order No. 733, 130 FERC ¶ 61,221 at P 150.</w:t>
      </w:r>
    </w:p>
  </w:footnote>
  <w:footnote w:id="4">
    <w:p w14:paraId="7173FAA8" w14:textId="77777777" w:rsidR="008E3BFC" w:rsidRPr="00C41886" w:rsidRDefault="008E3BFC" w:rsidP="008E3BFC">
      <w:pPr>
        <w:pStyle w:val="FootnoteText"/>
      </w:pPr>
      <w:r w:rsidRPr="00C41886">
        <w:rPr>
          <w:rStyle w:val="FootnoteReference"/>
          <w:vertAlign w:val="superscript"/>
        </w:rPr>
        <w:footnoteRef/>
      </w:r>
      <w:r w:rsidRPr="00C41886">
        <w:rPr>
          <w:vertAlign w:val="superscript"/>
        </w:rPr>
        <w:t xml:space="preserve"> </w:t>
      </w:r>
      <w:r w:rsidRPr="00C41886">
        <w:rPr>
          <w:i/>
        </w:rPr>
        <w:t>Id.</w:t>
      </w:r>
      <w:r w:rsidRPr="00C41886">
        <w:t xml:space="preserve"> PP 3-4, 130 (</w:t>
      </w:r>
      <w:r w:rsidRPr="00C41886">
        <w:rPr>
          <w:i/>
        </w:rPr>
        <w:t>citing</w:t>
      </w:r>
      <w:r w:rsidRPr="00C41886">
        <w:t xml:space="preserve"> U.S.-Canada Power System Outage Task Force, Final Report on the August 14, 2003 Blackout in the United States and Canada: Causes and Recommendations, at 80 (2004); and August 14, 2003 Blackout: NERC Actions to Prevent and Mitigate the Impacts of Future Cascading Blackouts, at 13 (2004)).</w:t>
      </w:r>
    </w:p>
  </w:footnote>
  <w:footnote w:id="5">
    <w:p w14:paraId="0964047B" w14:textId="77777777" w:rsidR="008E3BFC" w:rsidRPr="00C41886" w:rsidRDefault="008E3BFC" w:rsidP="008E3BFC">
      <w:pPr>
        <w:pStyle w:val="FootnoteText"/>
      </w:pPr>
      <w:r w:rsidRPr="00C41886">
        <w:rPr>
          <w:rStyle w:val="FootnoteReference"/>
          <w:vertAlign w:val="superscript"/>
        </w:rPr>
        <w:footnoteRef/>
      </w:r>
      <w:r w:rsidRPr="00C41886">
        <w:t xml:space="preserve"> </w:t>
      </w:r>
      <w:r w:rsidRPr="00C41886">
        <w:rPr>
          <w:i/>
        </w:rPr>
        <w:t>Id.</w:t>
      </w:r>
      <w:r w:rsidRPr="00C41886">
        <w:t xml:space="preserve"> P 153.</w:t>
      </w:r>
    </w:p>
  </w:footnote>
  <w:footnote w:id="6">
    <w:p w14:paraId="7EC7677E" w14:textId="77777777" w:rsidR="008E3BFC" w:rsidRPr="00C41886" w:rsidRDefault="008E3BFC" w:rsidP="008E3BFC">
      <w:pPr>
        <w:pStyle w:val="FootnoteText"/>
      </w:pPr>
      <w:r w:rsidRPr="00C41886">
        <w:rPr>
          <w:rStyle w:val="FootnoteReference"/>
          <w:vertAlign w:val="superscript"/>
        </w:rPr>
        <w:footnoteRef/>
      </w:r>
      <w:r w:rsidRPr="00C41886">
        <w:t xml:space="preserve"> Order No. 733-A, 134 FERC ¶ 61,127 at P 104.</w:t>
      </w:r>
    </w:p>
  </w:footnote>
  <w:footnote w:id="7">
    <w:p w14:paraId="42DA572B" w14:textId="77777777" w:rsidR="008E3BFC" w:rsidRPr="00C41886" w:rsidRDefault="008E3BFC" w:rsidP="008E3BFC">
      <w:pPr>
        <w:pStyle w:val="FootnoteText"/>
      </w:pPr>
      <w:r w:rsidRPr="00C41886">
        <w:rPr>
          <w:rStyle w:val="FootnoteReference"/>
          <w:vertAlign w:val="superscript"/>
        </w:rPr>
        <w:footnoteRef/>
      </w:r>
      <w:r w:rsidRPr="00C41886">
        <w:t xml:space="preserve"> </w:t>
      </w:r>
      <w:r w:rsidRPr="00C41886">
        <w:rPr>
          <w:i/>
        </w:rPr>
        <w:t>Id.</w:t>
      </w:r>
    </w:p>
  </w:footnote>
  <w:footnote w:id="8">
    <w:p w14:paraId="4D4ED2FA" w14:textId="77777777" w:rsidR="008E3BFC" w:rsidRPr="00C41886" w:rsidRDefault="008E3BFC" w:rsidP="008E3BFC">
      <w:pPr>
        <w:pStyle w:val="FootnoteText"/>
      </w:pPr>
      <w:r w:rsidRPr="00C41886">
        <w:rPr>
          <w:rStyle w:val="FootnoteReference"/>
          <w:vertAlign w:val="superscript"/>
        </w:rPr>
        <w:footnoteRef/>
      </w:r>
      <w:r w:rsidRPr="00C41886">
        <w:rPr>
          <w:vertAlign w:val="superscript"/>
        </w:rPr>
        <w:t xml:space="preserve"> </w:t>
      </w:r>
      <w:r w:rsidRPr="00C41886">
        <w:rPr>
          <w:i/>
        </w:rPr>
        <w:t>Id</w:t>
      </w:r>
      <w:r w:rsidRPr="00C41886">
        <w:t>. P 107.</w:t>
      </w:r>
    </w:p>
  </w:footnote>
  <w:footnote w:id="9">
    <w:p w14:paraId="38B96420" w14:textId="5637DE16" w:rsidR="00DC738F" w:rsidRPr="00C41886" w:rsidRDefault="00DC738F" w:rsidP="00DC738F">
      <w:pPr>
        <w:pStyle w:val="FootnoteText"/>
      </w:pPr>
      <w:r w:rsidRPr="00C41886">
        <w:rPr>
          <w:rStyle w:val="FootnoteReference"/>
          <w:vertAlign w:val="superscript"/>
        </w:rPr>
        <w:footnoteRef/>
      </w:r>
      <w:r w:rsidR="00EA1E26" w:rsidRPr="00C41886">
        <w:t xml:space="preserve"> </w:t>
      </w:r>
      <w:r w:rsidRPr="00C41886">
        <w:t>Reliability Standard PRC-026-1 is available on the Commission’s eLibrary document retrieval system in Docket No. RM15-8-000 and on the NERC website, www.nerc.com.</w:t>
      </w:r>
    </w:p>
  </w:footnote>
  <w:footnote w:id="10">
    <w:p w14:paraId="14E48AD6" w14:textId="77777777" w:rsidR="00DC738F" w:rsidRPr="00C41886" w:rsidRDefault="00DC738F" w:rsidP="00DC738F">
      <w:pPr>
        <w:pStyle w:val="FootnoteText"/>
        <w:rPr>
          <w:i/>
        </w:rPr>
      </w:pPr>
      <w:r w:rsidRPr="00C41886">
        <w:rPr>
          <w:rStyle w:val="FootnoteReference"/>
          <w:vertAlign w:val="superscript"/>
        </w:rPr>
        <w:footnoteRef/>
      </w:r>
      <w:r w:rsidRPr="00C41886">
        <w:t xml:space="preserve"> </w:t>
      </w:r>
      <w:r w:rsidRPr="00C41886">
        <w:rPr>
          <w:i/>
        </w:rPr>
        <w:t>Id.</w:t>
      </w:r>
    </w:p>
  </w:footnote>
  <w:footnote w:id="11">
    <w:p w14:paraId="12807692" w14:textId="77777777" w:rsidR="00DC738F" w:rsidRPr="00C41886" w:rsidRDefault="00DC738F" w:rsidP="00DC738F">
      <w:pPr>
        <w:pStyle w:val="FootnoteText"/>
      </w:pPr>
      <w:r w:rsidRPr="00C41886">
        <w:rPr>
          <w:rStyle w:val="FootnoteReference"/>
          <w:vertAlign w:val="superscript"/>
        </w:rPr>
        <w:footnoteRef/>
      </w:r>
      <w:r w:rsidRPr="00C41886">
        <w:rPr>
          <w:vertAlign w:val="superscript"/>
        </w:rPr>
        <w:t xml:space="preserve"> </w:t>
      </w:r>
      <w:r w:rsidRPr="00C41886">
        <w:rPr>
          <w:i/>
        </w:rPr>
        <w:t>Id.</w:t>
      </w:r>
      <w:r w:rsidRPr="00C41886">
        <w:t xml:space="preserve"> at 31.</w:t>
      </w:r>
    </w:p>
  </w:footnote>
  <w:footnote w:id="12">
    <w:p w14:paraId="6551761C" w14:textId="77777777" w:rsidR="00DC738F" w:rsidRPr="00C41886" w:rsidRDefault="00DC738F" w:rsidP="00DC738F">
      <w:pPr>
        <w:pStyle w:val="FootnoteText"/>
      </w:pPr>
      <w:r w:rsidRPr="00C41886">
        <w:rPr>
          <w:rStyle w:val="FootnoteReference"/>
          <w:vertAlign w:val="superscript"/>
        </w:rPr>
        <w:footnoteRef/>
      </w:r>
      <w:r w:rsidRPr="00C41886">
        <w:rPr>
          <w:vertAlign w:val="superscript"/>
        </w:rPr>
        <w:t xml:space="preserve"> </w:t>
      </w:r>
      <w:r w:rsidRPr="00C41886">
        <w:rPr>
          <w:i/>
        </w:rPr>
        <w:t>Id</w:t>
      </w:r>
      <w:r w:rsidRPr="00C41886">
        <w:t>. at 30.</w:t>
      </w:r>
    </w:p>
  </w:footnote>
  <w:footnote w:id="13">
    <w:p w14:paraId="012CFD6C" w14:textId="77777777" w:rsidR="00DC738F" w:rsidRPr="00C41886" w:rsidRDefault="00DC738F" w:rsidP="00DC738F">
      <w:pPr>
        <w:pStyle w:val="FootnoteText"/>
      </w:pPr>
      <w:r w:rsidRPr="00C41886">
        <w:rPr>
          <w:rStyle w:val="FootnoteReference"/>
          <w:vertAlign w:val="superscript"/>
        </w:rPr>
        <w:footnoteRef/>
      </w:r>
      <w:r w:rsidRPr="00C41886">
        <w:t xml:space="preserve"> </w:t>
      </w:r>
      <w:r w:rsidRPr="00C41886">
        <w:rPr>
          <w:i/>
        </w:rPr>
        <w:t>Id</w:t>
      </w:r>
      <w:r w:rsidRPr="00C41886">
        <w:t>. at 31.</w:t>
      </w:r>
    </w:p>
  </w:footnote>
  <w:footnote w:id="14">
    <w:p w14:paraId="58F03CB3" w14:textId="3FAD1B52" w:rsidR="00E44A59" w:rsidRPr="00C41886" w:rsidRDefault="00430B5F" w:rsidP="00314874">
      <w:pPr>
        <w:pStyle w:val="FootnoteText"/>
      </w:pPr>
      <w:r w:rsidRPr="00C41886">
        <w:rPr>
          <w:rStyle w:val="FootnoteReference"/>
          <w:vertAlign w:val="superscript"/>
        </w:rPr>
        <w:footnoteRef/>
      </w:r>
      <w:r w:rsidRPr="00C41886">
        <w:rPr>
          <w:vertAlign w:val="superscript"/>
        </w:rPr>
        <w:t xml:space="preserve"> </w:t>
      </w:r>
      <w:r w:rsidR="0003446B" w:rsidRPr="00C41886">
        <w:t xml:space="preserve"> NERC’s curren</w:t>
      </w:r>
      <w:r w:rsidR="00E22223">
        <w:t>t Rules of Procedure (effective</w:t>
      </w:r>
      <w:r w:rsidR="0003446B" w:rsidRPr="00C41886">
        <w:t xml:space="preserve"> 11/4/2015): </w:t>
      </w:r>
      <w:hyperlink r:id="rId2" w:history="1">
        <w:r w:rsidR="0003446B" w:rsidRPr="00C41886">
          <w:rPr>
            <w:rStyle w:val="Hyperlink"/>
          </w:rPr>
          <w:t>http://www.nerc.com/FilingsOrders/us/RuleOfProcedureDL/NERC_ROP_Effective_20151104_without_Appendices.pdf</w:t>
        </w:r>
      </w:hyperlink>
    </w:p>
    <w:p w14:paraId="2BAA6721" w14:textId="77777777" w:rsidR="0003446B" w:rsidRPr="00C41886" w:rsidRDefault="0003446B" w:rsidP="00314874">
      <w:pPr>
        <w:pStyle w:val="FootnoteText"/>
      </w:pPr>
    </w:p>
    <w:p w14:paraId="688A0CA1" w14:textId="135586CE" w:rsidR="00430B5F" w:rsidRPr="00C41886" w:rsidRDefault="00430B5F" w:rsidP="00314874">
      <w:pPr>
        <w:pStyle w:val="FootnoteText"/>
      </w:pPr>
      <w:r w:rsidRPr="00C41886">
        <w:t xml:space="preserve"> .</w:t>
      </w:r>
    </w:p>
  </w:footnote>
  <w:footnote w:id="15">
    <w:p w14:paraId="70AE9CD4" w14:textId="01608407" w:rsidR="00430B5F" w:rsidRPr="00C41886" w:rsidRDefault="00430B5F" w:rsidP="00314874">
      <w:pPr>
        <w:pStyle w:val="FootnoteText"/>
      </w:pPr>
      <w:r w:rsidRPr="00C41886">
        <w:rPr>
          <w:rStyle w:val="FootnoteReference"/>
          <w:b/>
          <w:vertAlign w:val="superscript"/>
        </w:rPr>
        <w:footnoteRef/>
      </w:r>
      <w:r w:rsidRPr="00C41886">
        <w:t xml:space="preserve"> Details of the current ERO Reliability Standard processes are available on the NERC website at </w:t>
      </w:r>
      <w:hyperlink r:id="rId3" w:history="1">
        <w:r w:rsidRPr="00C41886">
          <w:rPr>
            <w:rStyle w:val="Hyperlink"/>
          </w:rPr>
          <w:t>http://www.nerc.com</w:t>
        </w:r>
      </w:hyperlink>
      <w:r w:rsidRPr="00C41886">
        <w:t xml:space="preserve"> .</w:t>
      </w:r>
    </w:p>
  </w:footnote>
  <w:footnote w:id="16">
    <w:p w14:paraId="75E92AF2" w14:textId="5C971E76" w:rsidR="0038387E" w:rsidRPr="00C41886" w:rsidRDefault="0038387E">
      <w:pPr>
        <w:pStyle w:val="FootnoteText"/>
      </w:pPr>
      <w:r w:rsidRPr="002435E5">
        <w:rPr>
          <w:rStyle w:val="FootnoteReference"/>
          <w:vertAlign w:val="superscript"/>
        </w:rPr>
        <w:footnoteRef/>
      </w:r>
      <w:r w:rsidRPr="00C41886">
        <w:t xml:space="preserve"> 81 FR 15635</w:t>
      </w:r>
    </w:p>
  </w:footnote>
  <w:footnote w:id="17">
    <w:p w14:paraId="2F8AA7B2" w14:textId="77777777" w:rsidR="00B15596" w:rsidRPr="00C41886" w:rsidRDefault="00B15596" w:rsidP="00B15596">
      <w:pPr>
        <w:pStyle w:val="FootnoteText"/>
      </w:pPr>
      <w:r w:rsidRPr="00C41886">
        <w:rPr>
          <w:rStyle w:val="FootnoteReference"/>
          <w:vertAlign w:val="superscript"/>
        </w:rPr>
        <w:footnoteRef/>
      </w:r>
      <w:r w:rsidRPr="00C41886">
        <w:rPr>
          <w:b/>
          <w:vertAlign w:val="superscript"/>
        </w:rPr>
        <w:t xml:space="preserve"> </w:t>
      </w:r>
      <w:r w:rsidRPr="00C41886">
        <w:t xml:space="preserve">The estimates for cost per response are derived using the following formula: </w:t>
      </w:r>
    </w:p>
    <w:p w14:paraId="75502836" w14:textId="77777777" w:rsidR="00B15596" w:rsidRPr="00C41886" w:rsidRDefault="00B15596" w:rsidP="00B15596">
      <w:pPr>
        <w:pStyle w:val="FootnoteText"/>
      </w:pPr>
      <w:r w:rsidRPr="00C41886">
        <w:t xml:space="preserve">Average Burden Hours per Response * $60.66 per Hour = Average Cost per Response.  The hourly average of $60.66 assumes equal time is spent by the manager, electrical engineer, and information and record clerk.  The average hourly cost (salary plus benefits) is: $37.50 for information and record clerks (occupation code 43-4199), $78.04 for a manager (occupation code 11-0000), and $66.45 for an electrical engineer (occupation code 17-2071).   (The figures are taken from the Bureau of Labor Statistics, May 2014 figures at </w:t>
      </w:r>
      <w:hyperlink r:id="rId4" w:history="1">
        <w:r w:rsidRPr="00C41886">
          <w:rPr>
            <w:rStyle w:val="Hyperlink"/>
          </w:rPr>
          <w:t>http://www.bls.gov/oes/current/naics2_22.htm</w:t>
        </w:r>
      </w:hyperlink>
      <w:r w:rsidRPr="00C41886">
        <w:t>).</w:t>
      </w:r>
    </w:p>
  </w:footnote>
  <w:footnote w:id="18">
    <w:p w14:paraId="64FD5CFE" w14:textId="23D0F1D9" w:rsidR="003A6785" w:rsidRPr="00C41886" w:rsidRDefault="003A6785">
      <w:pPr>
        <w:pStyle w:val="FootnoteText"/>
      </w:pPr>
      <w:r w:rsidRPr="00C41886">
        <w:rPr>
          <w:rStyle w:val="FootnoteReference"/>
          <w:vertAlign w:val="superscript"/>
        </w:rPr>
        <w:footnoteRef/>
      </w:r>
      <w:r w:rsidRPr="00C41886">
        <w:t xml:space="preserve"> The average hourly cost (salary plus benefits) is $37.50.  The BLS wage category code is 34-4199. This figure is also taken from the Bureau of Labor Statistics, May 2014 figures at </w:t>
      </w:r>
      <w:hyperlink r:id="rId5" w:history="1">
        <w:r w:rsidRPr="00C41886">
          <w:rPr>
            <w:rStyle w:val="Hyperlink"/>
          </w:rPr>
          <w:t>http://www.bls.gov/oes/current/naics2_22.htm</w:t>
        </w:r>
      </w:hyperlink>
      <w:r w:rsidRPr="00C41886">
        <w:t>.</w:t>
      </w:r>
    </w:p>
  </w:footnote>
  <w:footnote w:id="19">
    <w:p w14:paraId="350AE880" w14:textId="77777777" w:rsidR="00EC1414" w:rsidRPr="00C41886" w:rsidRDefault="00EC1414" w:rsidP="00314874">
      <w:pPr>
        <w:pStyle w:val="FootnoteText"/>
      </w:pPr>
      <w:r w:rsidRPr="00C41886">
        <w:rPr>
          <w:rStyle w:val="FootnoteReference"/>
          <w:vertAlign w:val="superscript"/>
        </w:rPr>
        <w:footnoteRef/>
      </w:r>
      <w:r w:rsidRPr="00C41886">
        <w:rPr>
          <w:vertAlign w:val="superscript"/>
        </w:rPr>
        <w:t xml:space="preserve"> </w:t>
      </w:r>
      <w:r w:rsidRPr="00C41886">
        <w:t>Paperwork Reduction Act of 1995 (PRA)</w:t>
      </w:r>
    </w:p>
  </w:footnote>
  <w:footnote w:id="20">
    <w:p w14:paraId="7E86488B" w14:textId="77777777" w:rsidR="00EC1414" w:rsidRPr="00C41886" w:rsidRDefault="00EC1414" w:rsidP="00314874">
      <w:pPr>
        <w:pStyle w:val="FootnoteText"/>
      </w:pPr>
      <w:r w:rsidRPr="00C41886">
        <w:rPr>
          <w:rStyle w:val="FootnoteReference"/>
          <w:vertAlign w:val="superscript"/>
        </w:rPr>
        <w:footnoteRef/>
      </w:r>
      <w:r w:rsidRPr="00C41886">
        <w:rPr>
          <w:vertAlign w:val="superscript"/>
        </w:rPr>
        <w:t xml:space="preserve"> </w:t>
      </w:r>
      <w:r w:rsidRPr="00C41886">
        <w:t>The PRA Administrative Cost is a Federal Cost associated with preparing, issuing, and submitting materials necessary to comply with the PRA for rulemakings, orders, or any other vehicle used to create, modify, extend, or discontinue an information collection.   </w:t>
      </w:r>
    </w:p>
  </w:footnote>
  <w:footnote w:id="21">
    <w:p w14:paraId="1A6F269D" w14:textId="40645DAF" w:rsidR="008C116D" w:rsidRDefault="008C116D">
      <w:pPr>
        <w:pStyle w:val="FootnoteText"/>
      </w:pPr>
      <w:r w:rsidRPr="002435E5">
        <w:rPr>
          <w:rStyle w:val="FootnoteReference"/>
          <w:vertAlign w:val="superscript"/>
        </w:rPr>
        <w:footnoteRef/>
      </w:r>
      <w:r>
        <w:t xml:space="preserve"> 80 FR 57549 (9/24/2015)</w:t>
      </w:r>
    </w:p>
  </w:footnote>
  <w:footnote w:id="22">
    <w:p w14:paraId="22FDE201" w14:textId="3AB97752" w:rsidR="001215C6" w:rsidRDefault="001215C6">
      <w:pPr>
        <w:pStyle w:val="FootnoteText"/>
      </w:pPr>
      <w:r w:rsidRPr="002D2BB8">
        <w:rPr>
          <w:rStyle w:val="FootnoteReference"/>
          <w:vertAlign w:val="superscript"/>
        </w:rPr>
        <w:footnoteRef/>
      </w:r>
      <w:r w:rsidRPr="002D2BB8">
        <w:rPr>
          <w:vertAlign w:val="superscript"/>
        </w:rPr>
        <w:t xml:space="preserve"> </w:t>
      </w:r>
      <w:r>
        <w:t xml:space="preserve">RM15-8-000 NOPR (80 FR 57549; ICR Ref. No. </w:t>
      </w:r>
      <w:r w:rsidR="00D0520E" w:rsidRPr="00D0520E">
        <w:t>201509-1902-008</w:t>
      </w:r>
      <w:r>
        <w:t>)</w:t>
      </w:r>
      <w:r w:rsidR="00796005">
        <w:t>.</w:t>
      </w:r>
    </w:p>
    <w:p w14:paraId="00B1A953" w14:textId="37611D54" w:rsidR="00796005" w:rsidRDefault="00796005">
      <w:pPr>
        <w:pStyle w:val="FootnoteText"/>
      </w:pPr>
      <w:r>
        <w:t>The</w:t>
      </w:r>
      <w:r w:rsidR="00F65F7D">
        <w:t xml:space="preserve"> requirements</w:t>
      </w:r>
      <w:r>
        <w:t xml:space="preserve"> were submitted temporarily under FERC-725G3 at the NOPR stage due to other unrelated activity at the time under FERC-725G.  At this Final Rule stage in RM15-8, the</w:t>
      </w:r>
      <w:r w:rsidR="00F65F7D">
        <w:t xml:space="preserve"> requirements</w:t>
      </w:r>
      <w:r>
        <w:t xml:space="preserve"> are now able to be submitted under FERC-725G.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3DB3A" w14:textId="39097702" w:rsidR="00430B5F" w:rsidRPr="00A62E6A" w:rsidRDefault="00A62E6A" w:rsidP="00B3407F">
    <w:pPr>
      <w:pStyle w:val="Header"/>
      <w:rPr>
        <w:rFonts w:ascii="Times New Roman" w:hAnsi="Times New Roman"/>
        <w:sz w:val="24"/>
        <w:szCs w:val="24"/>
      </w:rPr>
    </w:pPr>
    <w:r>
      <w:rPr>
        <w:rFonts w:ascii="Times New Roman" w:hAnsi="Times New Roman"/>
        <w:sz w:val="24"/>
        <w:szCs w:val="24"/>
      </w:rPr>
      <w:t xml:space="preserve">FERC-725G (OMB </w:t>
    </w:r>
    <w:r w:rsidRPr="00A62E6A">
      <w:rPr>
        <w:rFonts w:ascii="Times New Roman" w:hAnsi="Times New Roman"/>
        <w:sz w:val="24"/>
        <w:szCs w:val="24"/>
      </w:rPr>
      <w:t>Control No.: 1902-0252</w:t>
    </w:r>
    <w:r w:rsidR="00430B5F" w:rsidRPr="00A62E6A">
      <w:rPr>
        <w:rFonts w:ascii="Times New Roman" w:hAnsi="Times New Roman"/>
        <w:sz w:val="24"/>
        <w:szCs w:val="24"/>
      </w:rPr>
      <w:t>)</w:t>
    </w:r>
    <w:r w:rsidR="00430B5F" w:rsidRPr="00A62E6A">
      <w:rPr>
        <w:rFonts w:ascii="Times New Roman" w:hAnsi="Times New Roman"/>
        <w:b/>
        <w:sz w:val="24"/>
        <w:szCs w:val="24"/>
      </w:rPr>
      <w:t xml:space="preserve"> </w:t>
    </w:r>
  </w:p>
  <w:p w14:paraId="08CDEE28" w14:textId="2EAA9E21" w:rsidR="00430B5F" w:rsidRPr="00A62E6A" w:rsidRDefault="000E7A2C" w:rsidP="00B3407F">
    <w:pPr>
      <w:pStyle w:val="Header"/>
      <w:rPr>
        <w:rFonts w:ascii="Times New Roman" w:hAnsi="Times New Roman"/>
        <w:sz w:val="24"/>
        <w:szCs w:val="24"/>
      </w:rPr>
    </w:pPr>
    <w:r w:rsidRPr="00A62E6A">
      <w:rPr>
        <w:rFonts w:ascii="Times New Roman" w:hAnsi="Times New Roman"/>
        <w:sz w:val="24"/>
        <w:szCs w:val="24"/>
      </w:rPr>
      <w:t>Docket No. RM15-8</w:t>
    </w:r>
    <w:r w:rsidR="00A62E6A" w:rsidRPr="00A62E6A">
      <w:rPr>
        <w:rFonts w:ascii="Times New Roman" w:hAnsi="Times New Roman"/>
        <w:sz w:val="24"/>
        <w:szCs w:val="24"/>
      </w:rPr>
      <w:t>-000, Final Rule</w:t>
    </w:r>
    <w:r w:rsidR="00430B5F" w:rsidRPr="00A62E6A">
      <w:rPr>
        <w:rFonts w:ascii="Times New Roman" w:hAnsi="Times New Roman"/>
        <w:sz w:val="24"/>
        <w:szCs w:val="24"/>
      </w:rPr>
      <w:t xml:space="preserve"> issued </w:t>
    </w:r>
    <w:r w:rsidR="00A62E6A" w:rsidRPr="00A62E6A">
      <w:rPr>
        <w:rFonts w:ascii="Times New Roman" w:hAnsi="Times New Roman"/>
        <w:sz w:val="24"/>
        <w:szCs w:val="24"/>
      </w:rPr>
      <w:t>3/17/2016</w:t>
    </w:r>
  </w:p>
  <w:p w14:paraId="5F361CD7" w14:textId="0E05EA5C" w:rsidR="00430B5F" w:rsidRDefault="00430B5F" w:rsidP="00B3407F">
    <w:pPr>
      <w:pStyle w:val="Header"/>
      <w:rPr>
        <w:rFonts w:ascii="Times New Roman" w:hAnsi="Times New Roman"/>
        <w:sz w:val="24"/>
        <w:szCs w:val="24"/>
      </w:rPr>
    </w:pPr>
    <w:r w:rsidRPr="00A62E6A">
      <w:rPr>
        <w:rFonts w:ascii="Times New Roman" w:hAnsi="Times New Roman"/>
        <w:sz w:val="24"/>
        <w:szCs w:val="24"/>
      </w:rPr>
      <w:t xml:space="preserve">RIN: </w:t>
    </w:r>
    <w:r w:rsidR="00A62E6A" w:rsidRPr="00A62E6A">
      <w:rPr>
        <w:rFonts w:ascii="Times New Roman" w:hAnsi="Times New Roman"/>
        <w:sz w:val="24"/>
        <w:szCs w:val="24"/>
      </w:rPr>
      <w:t>1902-AF09</w:t>
    </w:r>
  </w:p>
  <w:p w14:paraId="3C599B99" w14:textId="5C52EBA2" w:rsidR="00796005" w:rsidRDefault="00796005" w:rsidP="00B3407F">
    <w:pPr>
      <w:pStyle w:val="Header"/>
      <w:rPr>
        <w:rFonts w:ascii="Times New Roman" w:hAnsi="Times New Roman"/>
        <w:sz w:val="24"/>
        <w:szCs w:val="24"/>
      </w:rPr>
    </w:pPr>
    <w:r>
      <w:rPr>
        <w:rFonts w:ascii="Times New Roman" w:hAnsi="Times New Roman"/>
        <w:sz w:val="24"/>
        <w:szCs w:val="24"/>
      </w:rPr>
      <w:t>(updated 5/19/2016)</w:t>
    </w:r>
  </w:p>
  <w:p w14:paraId="39FD59AB" w14:textId="77777777" w:rsidR="00430B5F" w:rsidRDefault="00430B5F" w:rsidP="00B340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AE65B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E44C7C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D86120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CC05C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26633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4A59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BA11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BB2FB5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6899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C679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E80CF9"/>
    <w:multiLevelType w:val="hybridMultilevel"/>
    <w:tmpl w:val="C65E7E40"/>
    <w:lvl w:ilvl="0" w:tplc="04090001">
      <w:start w:val="1"/>
      <w:numFmt w:val="bullet"/>
      <w:lvlText w:val=""/>
      <w:lvlJc w:val="left"/>
      <w:pPr>
        <w:tabs>
          <w:tab w:val="num" w:pos="490"/>
        </w:tabs>
        <w:ind w:left="490" w:hanging="360"/>
      </w:pPr>
      <w:rPr>
        <w:rFonts w:ascii="Symbol" w:hAnsi="Symbol" w:hint="default"/>
      </w:rPr>
    </w:lvl>
    <w:lvl w:ilvl="1" w:tplc="04090003" w:tentative="1">
      <w:start w:val="1"/>
      <w:numFmt w:val="bullet"/>
      <w:lvlText w:val="o"/>
      <w:lvlJc w:val="left"/>
      <w:pPr>
        <w:tabs>
          <w:tab w:val="num" w:pos="1210"/>
        </w:tabs>
        <w:ind w:left="1210" w:hanging="360"/>
      </w:pPr>
      <w:rPr>
        <w:rFonts w:ascii="Courier New" w:hAnsi="Courier New" w:hint="default"/>
      </w:rPr>
    </w:lvl>
    <w:lvl w:ilvl="2" w:tplc="04090005" w:tentative="1">
      <w:start w:val="1"/>
      <w:numFmt w:val="bullet"/>
      <w:lvlText w:val=""/>
      <w:lvlJc w:val="left"/>
      <w:pPr>
        <w:tabs>
          <w:tab w:val="num" w:pos="1930"/>
        </w:tabs>
        <w:ind w:left="1930" w:hanging="360"/>
      </w:pPr>
      <w:rPr>
        <w:rFonts w:ascii="Wingdings" w:hAnsi="Wingdings" w:hint="default"/>
      </w:rPr>
    </w:lvl>
    <w:lvl w:ilvl="3" w:tplc="04090001" w:tentative="1">
      <w:start w:val="1"/>
      <w:numFmt w:val="bullet"/>
      <w:lvlText w:val=""/>
      <w:lvlJc w:val="left"/>
      <w:pPr>
        <w:tabs>
          <w:tab w:val="num" w:pos="2650"/>
        </w:tabs>
        <w:ind w:left="2650" w:hanging="360"/>
      </w:pPr>
      <w:rPr>
        <w:rFonts w:ascii="Symbol" w:hAnsi="Symbol" w:hint="default"/>
      </w:rPr>
    </w:lvl>
    <w:lvl w:ilvl="4" w:tplc="04090003" w:tentative="1">
      <w:start w:val="1"/>
      <w:numFmt w:val="bullet"/>
      <w:lvlText w:val="o"/>
      <w:lvlJc w:val="left"/>
      <w:pPr>
        <w:tabs>
          <w:tab w:val="num" w:pos="3370"/>
        </w:tabs>
        <w:ind w:left="3370" w:hanging="360"/>
      </w:pPr>
      <w:rPr>
        <w:rFonts w:ascii="Courier New" w:hAnsi="Courier New" w:hint="default"/>
      </w:rPr>
    </w:lvl>
    <w:lvl w:ilvl="5" w:tplc="04090005" w:tentative="1">
      <w:start w:val="1"/>
      <w:numFmt w:val="bullet"/>
      <w:lvlText w:val=""/>
      <w:lvlJc w:val="left"/>
      <w:pPr>
        <w:tabs>
          <w:tab w:val="num" w:pos="4090"/>
        </w:tabs>
        <w:ind w:left="4090" w:hanging="360"/>
      </w:pPr>
      <w:rPr>
        <w:rFonts w:ascii="Wingdings" w:hAnsi="Wingdings" w:hint="default"/>
      </w:rPr>
    </w:lvl>
    <w:lvl w:ilvl="6" w:tplc="04090001" w:tentative="1">
      <w:start w:val="1"/>
      <w:numFmt w:val="bullet"/>
      <w:lvlText w:val=""/>
      <w:lvlJc w:val="left"/>
      <w:pPr>
        <w:tabs>
          <w:tab w:val="num" w:pos="4810"/>
        </w:tabs>
        <w:ind w:left="4810" w:hanging="360"/>
      </w:pPr>
      <w:rPr>
        <w:rFonts w:ascii="Symbol" w:hAnsi="Symbol" w:hint="default"/>
      </w:rPr>
    </w:lvl>
    <w:lvl w:ilvl="7" w:tplc="04090003" w:tentative="1">
      <w:start w:val="1"/>
      <w:numFmt w:val="bullet"/>
      <w:lvlText w:val="o"/>
      <w:lvlJc w:val="left"/>
      <w:pPr>
        <w:tabs>
          <w:tab w:val="num" w:pos="5530"/>
        </w:tabs>
        <w:ind w:left="5530" w:hanging="360"/>
      </w:pPr>
      <w:rPr>
        <w:rFonts w:ascii="Courier New" w:hAnsi="Courier New" w:hint="default"/>
      </w:rPr>
    </w:lvl>
    <w:lvl w:ilvl="8" w:tplc="04090005" w:tentative="1">
      <w:start w:val="1"/>
      <w:numFmt w:val="bullet"/>
      <w:lvlText w:val=""/>
      <w:lvlJc w:val="left"/>
      <w:pPr>
        <w:tabs>
          <w:tab w:val="num" w:pos="6250"/>
        </w:tabs>
        <w:ind w:left="6250" w:hanging="360"/>
      </w:pPr>
      <w:rPr>
        <w:rFonts w:ascii="Wingdings" w:hAnsi="Wingdings" w:hint="default"/>
      </w:rPr>
    </w:lvl>
  </w:abstractNum>
  <w:abstractNum w:abstractNumId="11" w15:restartNumberingAfterBreak="0">
    <w:nsid w:val="267174C2"/>
    <w:multiLevelType w:val="hybridMultilevel"/>
    <w:tmpl w:val="337C6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ED7AD3"/>
    <w:multiLevelType w:val="hybridMultilevel"/>
    <w:tmpl w:val="943422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A7D1E"/>
    <w:multiLevelType w:val="hybridMultilevel"/>
    <w:tmpl w:val="6A108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5" w15:restartNumberingAfterBreak="0">
    <w:nsid w:val="481F1306"/>
    <w:multiLevelType w:val="hybridMultilevel"/>
    <w:tmpl w:val="64FE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0E7BFE"/>
    <w:multiLevelType w:val="hybridMultilevel"/>
    <w:tmpl w:val="23A860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893EE1"/>
    <w:multiLevelType w:val="hybridMultilevel"/>
    <w:tmpl w:val="FEB892DE"/>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21" w15:restartNumberingAfterBreak="0">
    <w:nsid w:val="7C646418"/>
    <w:multiLevelType w:val="hybridMultilevel"/>
    <w:tmpl w:val="6C382824"/>
    <w:lvl w:ilvl="0" w:tplc="C2BE6C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4E4DD3"/>
    <w:multiLevelType w:val="hybridMultilevel"/>
    <w:tmpl w:val="F68E5210"/>
    <w:lvl w:ilvl="0" w:tplc="BF7A64A2">
      <w:start w:val="1"/>
      <w:numFmt w:val="decimal"/>
      <w:pStyle w:val="FERCparanumber"/>
      <w:lvlText w:val="%1."/>
      <w:lvlJc w:val="left"/>
      <w:pPr>
        <w:tabs>
          <w:tab w:val="num" w:pos="720"/>
        </w:tabs>
      </w:pPr>
      <w:rPr>
        <w:rFonts w:ascii="Times New Roman" w:hAnsi="Times New Roman" w:cs="Times New Roman" w:hint="default"/>
        <w:b w:val="0"/>
        <w:i w:val="0"/>
        <w:sz w:val="26"/>
        <w:szCs w:val="26"/>
      </w:rPr>
    </w:lvl>
    <w:lvl w:ilvl="1" w:tplc="04090019">
      <w:start w:val="1"/>
      <w:numFmt w:val="upperLetter"/>
      <w:lvlText w:val="%2."/>
      <w:lvlJc w:val="left"/>
      <w:pPr>
        <w:tabs>
          <w:tab w:val="num" w:pos="1440"/>
        </w:tabs>
        <w:ind w:left="1440" w:hanging="360"/>
      </w:pPr>
      <w:rPr>
        <w:rFonts w:cs="Times New Roman" w:hint="default"/>
        <w:u w:val="none"/>
      </w:rPr>
    </w:lvl>
    <w:lvl w:ilvl="2" w:tplc="0409001B">
      <w:start w:val="1"/>
      <w:numFmt w:val="bullet"/>
      <w:lvlText w:val=""/>
      <w:lvlJc w:val="left"/>
      <w:pPr>
        <w:tabs>
          <w:tab w:val="num" w:pos="2340"/>
        </w:tabs>
        <w:ind w:left="2340" w:hanging="360"/>
      </w:pPr>
      <w:rPr>
        <w:rFonts w:ascii="Symbol" w:hAnsi="Symbol" w:hint="default"/>
        <w:b w:val="0"/>
      </w:rPr>
    </w:lvl>
    <w:lvl w:ilvl="3" w:tplc="0409000F">
      <w:start w:val="1"/>
      <w:numFmt w:val="decimal"/>
      <w:lvlText w:val="(%4)"/>
      <w:lvlJc w:val="left"/>
      <w:pPr>
        <w:tabs>
          <w:tab w:val="num" w:pos="2880"/>
        </w:tabs>
        <w:ind w:left="2880" w:hanging="360"/>
      </w:pPr>
      <w:rPr>
        <w:rFonts w:cs="Times New Roman" w:hint="default"/>
        <w:b w:val="0"/>
      </w:rPr>
    </w:lvl>
    <w:lvl w:ilvl="4" w:tplc="04090019">
      <w:start w:val="4"/>
      <w:numFmt w:val="lowerLetter"/>
      <w:lvlText w:val="%5."/>
      <w:lvlJc w:val="left"/>
      <w:pPr>
        <w:tabs>
          <w:tab w:val="num" w:pos="3600"/>
        </w:tabs>
        <w:ind w:left="3600" w:hanging="360"/>
      </w:pPr>
      <w:rPr>
        <w:rFonts w:cs="Times New Roman" w:hint="default"/>
        <w:b/>
        <w:u w:val="single"/>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14"/>
  </w:num>
  <w:num w:numId="3">
    <w:abstractNumId w:val="17"/>
  </w:num>
  <w:num w:numId="4">
    <w:abstractNumId w:val="19"/>
  </w:num>
  <w:num w:numId="5">
    <w:abstractNumId w:val="22"/>
  </w:num>
  <w:num w:numId="6">
    <w:abstractNumId w:val="20"/>
  </w:num>
  <w:num w:numId="7">
    <w:abstractNumId w:val="10"/>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22"/>
    <w:lvlOverride w:ilvl="0">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1"/>
  </w:num>
  <w:num w:numId="25">
    <w:abstractNumId w:val="2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6F1"/>
    <w:rsid w:val="00001E9B"/>
    <w:rsid w:val="000042C0"/>
    <w:rsid w:val="00005EA6"/>
    <w:rsid w:val="00014184"/>
    <w:rsid w:val="0002242D"/>
    <w:rsid w:val="0003366E"/>
    <w:rsid w:val="0003446B"/>
    <w:rsid w:val="00035845"/>
    <w:rsid w:val="00051011"/>
    <w:rsid w:val="00052F06"/>
    <w:rsid w:val="00054123"/>
    <w:rsid w:val="00066DA6"/>
    <w:rsid w:val="00071E8E"/>
    <w:rsid w:val="00072C72"/>
    <w:rsid w:val="0008601A"/>
    <w:rsid w:val="00094281"/>
    <w:rsid w:val="000968A1"/>
    <w:rsid w:val="000B0C37"/>
    <w:rsid w:val="000D2AF1"/>
    <w:rsid w:val="000E18A0"/>
    <w:rsid w:val="000E4604"/>
    <w:rsid w:val="000E7187"/>
    <w:rsid w:val="000E7A2C"/>
    <w:rsid w:val="000F13C5"/>
    <w:rsid w:val="00100A8D"/>
    <w:rsid w:val="00110157"/>
    <w:rsid w:val="001215C6"/>
    <w:rsid w:val="00143103"/>
    <w:rsid w:val="001438C3"/>
    <w:rsid w:val="001560BD"/>
    <w:rsid w:val="00177077"/>
    <w:rsid w:val="0017787C"/>
    <w:rsid w:val="00181727"/>
    <w:rsid w:val="00185730"/>
    <w:rsid w:val="00186AD0"/>
    <w:rsid w:val="001A1EAE"/>
    <w:rsid w:val="001B6724"/>
    <w:rsid w:val="001C300E"/>
    <w:rsid w:val="001C388B"/>
    <w:rsid w:val="001D3121"/>
    <w:rsid w:val="001D7E0A"/>
    <w:rsid w:val="001F1AD2"/>
    <w:rsid w:val="001F54A4"/>
    <w:rsid w:val="001F6FF8"/>
    <w:rsid w:val="00212A8F"/>
    <w:rsid w:val="00212FCA"/>
    <w:rsid w:val="002249B4"/>
    <w:rsid w:val="00231EBD"/>
    <w:rsid w:val="002435E5"/>
    <w:rsid w:val="002441B8"/>
    <w:rsid w:val="00245FFD"/>
    <w:rsid w:val="00253694"/>
    <w:rsid w:val="00255F31"/>
    <w:rsid w:val="0026674D"/>
    <w:rsid w:val="00275D65"/>
    <w:rsid w:val="002800F3"/>
    <w:rsid w:val="0028162C"/>
    <w:rsid w:val="0028412B"/>
    <w:rsid w:val="0029489D"/>
    <w:rsid w:val="00295AAF"/>
    <w:rsid w:val="002A25C9"/>
    <w:rsid w:val="002A67D6"/>
    <w:rsid w:val="002B13E2"/>
    <w:rsid w:val="002B2D91"/>
    <w:rsid w:val="002D2BB8"/>
    <w:rsid w:val="002D5B8B"/>
    <w:rsid w:val="002E6793"/>
    <w:rsid w:val="00301A61"/>
    <w:rsid w:val="003108FC"/>
    <w:rsid w:val="00314874"/>
    <w:rsid w:val="0031742B"/>
    <w:rsid w:val="00324D7D"/>
    <w:rsid w:val="003273E6"/>
    <w:rsid w:val="00333EE2"/>
    <w:rsid w:val="00336D71"/>
    <w:rsid w:val="003443B0"/>
    <w:rsid w:val="00350FC4"/>
    <w:rsid w:val="003518E4"/>
    <w:rsid w:val="003729A3"/>
    <w:rsid w:val="00381926"/>
    <w:rsid w:val="00381D71"/>
    <w:rsid w:val="0038387E"/>
    <w:rsid w:val="0038697C"/>
    <w:rsid w:val="0038744E"/>
    <w:rsid w:val="00391952"/>
    <w:rsid w:val="00392C99"/>
    <w:rsid w:val="003972EB"/>
    <w:rsid w:val="003A3C84"/>
    <w:rsid w:val="003A6785"/>
    <w:rsid w:val="003B064D"/>
    <w:rsid w:val="003B25DD"/>
    <w:rsid w:val="003B3018"/>
    <w:rsid w:val="003D1CAB"/>
    <w:rsid w:val="003D4247"/>
    <w:rsid w:val="003E3422"/>
    <w:rsid w:val="003F5663"/>
    <w:rsid w:val="003F56FD"/>
    <w:rsid w:val="00414F32"/>
    <w:rsid w:val="00415C53"/>
    <w:rsid w:val="00422546"/>
    <w:rsid w:val="00430B5F"/>
    <w:rsid w:val="00432D3A"/>
    <w:rsid w:val="00442C83"/>
    <w:rsid w:val="004552E9"/>
    <w:rsid w:val="00462F59"/>
    <w:rsid w:val="004779B9"/>
    <w:rsid w:val="00484C68"/>
    <w:rsid w:val="004A1C23"/>
    <w:rsid w:val="004A40DB"/>
    <w:rsid w:val="004B01EE"/>
    <w:rsid w:val="004C01C2"/>
    <w:rsid w:val="004C4C89"/>
    <w:rsid w:val="004C5674"/>
    <w:rsid w:val="004F6977"/>
    <w:rsid w:val="004F7D08"/>
    <w:rsid w:val="00500E8A"/>
    <w:rsid w:val="005013F0"/>
    <w:rsid w:val="00503B00"/>
    <w:rsid w:val="00504E92"/>
    <w:rsid w:val="00522F69"/>
    <w:rsid w:val="00525027"/>
    <w:rsid w:val="00530462"/>
    <w:rsid w:val="0053287C"/>
    <w:rsid w:val="005335A7"/>
    <w:rsid w:val="00534362"/>
    <w:rsid w:val="005462C0"/>
    <w:rsid w:val="00551257"/>
    <w:rsid w:val="005671A2"/>
    <w:rsid w:val="00571C5E"/>
    <w:rsid w:val="0057700F"/>
    <w:rsid w:val="00580974"/>
    <w:rsid w:val="00585851"/>
    <w:rsid w:val="005A2792"/>
    <w:rsid w:val="005A4101"/>
    <w:rsid w:val="005A615D"/>
    <w:rsid w:val="005B4642"/>
    <w:rsid w:val="005B77CE"/>
    <w:rsid w:val="005E7290"/>
    <w:rsid w:val="005F1679"/>
    <w:rsid w:val="005F1C3C"/>
    <w:rsid w:val="006166FA"/>
    <w:rsid w:val="00632E66"/>
    <w:rsid w:val="0063660B"/>
    <w:rsid w:val="00640C78"/>
    <w:rsid w:val="00652A58"/>
    <w:rsid w:val="00653BD5"/>
    <w:rsid w:val="00664BC0"/>
    <w:rsid w:val="00670E40"/>
    <w:rsid w:val="006738A3"/>
    <w:rsid w:val="006835EB"/>
    <w:rsid w:val="006867FE"/>
    <w:rsid w:val="0068765C"/>
    <w:rsid w:val="00690136"/>
    <w:rsid w:val="00693106"/>
    <w:rsid w:val="00693371"/>
    <w:rsid w:val="006A01B9"/>
    <w:rsid w:val="006A7291"/>
    <w:rsid w:val="006B1C0C"/>
    <w:rsid w:val="006B36DC"/>
    <w:rsid w:val="006D15EC"/>
    <w:rsid w:val="006D3785"/>
    <w:rsid w:val="006E33D4"/>
    <w:rsid w:val="006E6BF1"/>
    <w:rsid w:val="006F18E9"/>
    <w:rsid w:val="006F5785"/>
    <w:rsid w:val="007023B0"/>
    <w:rsid w:val="00704347"/>
    <w:rsid w:val="00704857"/>
    <w:rsid w:val="0070490D"/>
    <w:rsid w:val="0070567E"/>
    <w:rsid w:val="0071460E"/>
    <w:rsid w:val="0072126E"/>
    <w:rsid w:val="00730307"/>
    <w:rsid w:val="00734692"/>
    <w:rsid w:val="00763EAE"/>
    <w:rsid w:val="00764D4D"/>
    <w:rsid w:val="00773AEB"/>
    <w:rsid w:val="00787670"/>
    <w:rsid w:val="00796005"/>
    <w:rsid w:val="007A2F92"/>
    <w:rsid w:val="007B25AA"/>
    <w:rsid w:val="007B5A69"/>
    <w:rsid w:val="007B6ADD"/>
    <w:rsid w:val="007D2944"/>
    <w:rsid w:val="007D4FC0"/>
    <w:rsid w:val="007E7C0F"/>
    <w:rsid w:val="007F2CD9"/>
    <w:rsid w:val="007F52D9"/>
    <w:rsid w:val="0080180A"/>
    <w:rsid w:val="0081469B"/>
    <w:rsid w:val="00826750"/>
    <w:rsid w:val="00846003"/>
    <w:rsid w:val="00847897"/>
    <w:rsid w:val="0085335C"/>
    <w:rsid w:val="00854C4E"/>
    <w:rsid w:val="008619E1"/>
    <w:rsid w:val="0087477C"/>
    <w:rsid w:val="00876154"/>
    <w:rsid w:val="00876F75"/>
    <w:rsid w:val="00883F19"/>
    <w:rsid w:val="008844F3"/>
    <w:rsid w:val="00887E7E"/>
    <w:rsid w:val="008A21A4"/>
    <w:rsid w:val="008A3C25"/>
    <w:rsid w:val="008B703B"/>
    <w:rsid w:val="008C116D"/>
    <w:rsid w:val="008C288D"/>
    <w:rsid w:val="008D06B5"/>
    <w:rsid w:val="008D1162"/>
    <w:rsid w:val="008E3BFC"/>
    <w:rsid w:val="008E70CD"/>
    <w:rsid w:val="009009B7"/>
    <w:rsid w:val="00913A8B"/>
    <w:rsid w:val="00923694"/>
    <w:rsid w:val="0092596C"/>
    <w:rsid w:val="00926C24"/>
    <w:rsid w:val="00933B30"/>
    <w:rsid w:val="009367D6"/>
    <w:rsid w:val="0093752E"/>
    <w:rsid w:val="00942604"/>
    <w:rsid w:val="00970FE4"/>
    <w:rsid w:val="00976E96"/>
    <w:rsid w:val="0098144A"/>
    <w:rsid w:val="009A2394"/>
    <w:rsid w:val="009B4CC4"/>
    <w:rsid w:val="009C16AD"/>
    <w:rsid w:val="009C3453"/>
    <w:rsid w:val="009C5135"/>
    <w:rsid w:val="009E1190"/>
    <w:rsid w:val="009E68B7"/>
    <w:rsid w:val="009F358B"/>
    <w:rsid w:val="00A13566"/>
    <w:rsid w:val="00A276F5"/>
    <w:rsid w:val="00A306DF"/>
    <w:rsid w:val="00A337D1"/>
    <w:rsid w:val="00A3517E"/>
    <w:rsid w:val="00A36E03"/>
    <w:rsid w:val="00A4052D"/>
    <w:rsid w:val="00A4336A"/>
    <w:rsid w:val="00A548BE"/>
    <w:rsid w:val="00A62E6A"/>
    <w:rsid w:val="00A6524A"/>
    <w:rsid w:val="00A72607"/>
    <w:rsid w:val="00A72E7B"/>
    <w:rsid w:val="00A800B2"/>
    <w:rsid w:val="00A93304"/>
    <w:rsid w:val="00A94DB1"/>
    <w:rsid w:val="00A968FB"/>
    <w:rsid w:val="00A96B65"/>
    <w:rsid w:val="00AA7559"/>
    <w:rsid w:val="00AC503F"/>
    <w:rsid w:val="00AD3DE5"/>
    <w:rsid w:val="00AD7B67"/>
    <w:rsid w:val="00AF32F2"/>
    <w:rsid w:val="00AF4B6E"/>
    <w:rsid w:val="00B018E3"/>
    <w:rsid w:val="00B1381C"/>
    <w:rsid w:val="00B1422D"/>
    <w:rsid w:val="00B15596"/>
    <w:rsid w:val="00B16372"/>
    <w:rsid w:val="00B3407F"/>
    <w:rsid w:val="00B344D8"/>
    <w:rsid w:val="00B41267"/>
    <w:rsid w:val="00B41F71"/>
    <w:rsid w:val="00B5301A"/>
    <w:rsid w:val="00B63139"/>
    <w:rsid w:val="00B86284"/>
    <w:rsid w:val="00B91FA9"/>
    <w:rsid w:val="00BA1C7D"/>
    <w:rsid w:val="00BA5743"/>
    <w:rsid w:val="00BA7C56"/>
    <w:rsid w:val="00BC302C"/>
    <w:rsid w:val="00BC77EF"/>
    <w:rsid w:val="00BD431D"/>
    <w:rsid w:val="00BD488B"/>
    <w:rsid w:val="00BD6EEC"/>
    <w:rsid w:val="00C00D70"/>
    <w:rsid w:val="00C01698"/>
    <w:rsid w:val="00C068E0"/>
    <w:rsid w:val="00C06913"/>
    <w:rsid w:val="00C256AC"/>
    <w:rsid w:val="00C37770"/>
    <w:rsid w:val="00C41886"/>
    <w:rsid w:val="00C41A65"/>
    <w:rsid w:val="00C47083"/>
    <w:rsid w:val="00C510DD"/>
    <w:rsid w:val="00C55853"/>
    <w:rsid w:val="00C57485"/>
    <w:rsid w:val="00C60EDC"/>
    <w:rsid w:val="00C61BCC"/>
    <w:rsid w:val="00C61DBB"/>
    <w:rsid w:val="00C62F55"/>
    <w:rsid w:val="00C71122"/>
    <w:rsid w:val="00C867EB"/>
    <w:rsid w:val="00CA495F"/>
    <w:rsid w:val="00CA4F8C"/>
    <w:rsid w:val="00CA59C3"/>
    <w:rsid w:val="00CB42C4"/>
    <w:rsid w:val="00CB5C60"/>
    <w:rsid w:val="00CB75A8"/>
    <w:rsid w:val="00CC366F"/>
    <w:rsid w:val="00CC376A"/>
    <w:rsid w:val="00CD061C"/>
    <w:rsid w:val="00CD7DBB"/>
    <w:rsid w:val="00CE34E4"/>
    <w:rsid w:val="00CE5550"/>
    <w:rsid w:val="00CF511E"/>
    <w:rsid w:val="00CF734E"/>
    <w:rsid w:val="00CF793D"/>
    <w:rsid w:val="00D009B9"/>
    <w:rsid w:val="00D018D3"/>
    <w:rsid w:val="00D037AB"/>
    <w:rsid w:val="00D0520E"/>
    <w:rsid w:val="00D05A7F"/>
    <w:rsid w:val="00D20588"/>
    <w:rsid w:val="00D25C92"/>
    <w:rsid w:val="00D31FF3"/>
    <w:rsid w:val="00D3369F"/>
    <w:rsid w:val="00D34087"/>
    <w:rsid w:val="00D40D3F"/>
    <w:rsid w:val="00D430F7"/>
    <w:rsid w:val="00D72E0B"/>
    <w:rsid w:val="00D734E6"/>
    <w:rsid w:val="00D80FBD"/>
    <w:rsid w:val="00D925EA"/>
    <w:rsid w:val="00DA5A72"/>
    <w:rsid w:val="00DB14A2"/>
    <w:rsid w:val="00DB2A0A"/>
    <w:rsid w:val="00DC385C"/>
    <w:rsid w:val="00DC4E36"/>
    <w:rsid w:val="00DC6B58"/>
    <w:rsid w:val="00DC738F"/>
    <w:rsid w:val="00DE00F4"/>
    <w:rsid w:val="00DF19E8"/>
    <w:rsid w:val="00DF401D"/>
    <w:rsid w:val="00DF56DA"/>
    <w:rsid w:val="00DF739D"/>
    <w:rsid w:val="00E05FA3"/>
    <w:rsid w:val="00E07437"/>
    <w:rsid w:val="00E11CA6"/>
    <w:rsid w:val="00E14565"/>
    <w:rsid w:val="00E14A66"/>
    <w:rsid w:val="00E14BA3"/>
    <w:rsid w:val="00E20612"/>
    <w:rsid w:val="00E20D62"/>
    <w:rsid w:val="00E21C81"/>
    <w:rsid w:val="00E22223"/>
    <w:rsid w:val="00E41EEC"/>
    <w:rsid w:val="00E4319E"/>
    <w:rsid w:val="00E44A59"/>
    <w:rsid w:val="00E55D46"/>
    <w:rsid w:val="00E57AAC"/>
    <w:rsid w:val="00E636D7"/>
    <w:rsid w:val="00E70827"/>
    <w:rsid w:val="00E72069"/>
    <w:rsid w:val="00E7335D"/>
    <w:rsid w:val="00E77D58"/>
    <w:rsid w:val="00E87A4F"/>
    <w:rsid w:val="00EA1E26"/>
    <w:rsid w:val="00EA242E"/>
    <w:rsid w:val="00EB1FF5"/>
    <w:rsid w:val="00EB3E6F"/>
    <w:rsid w:val="00EC0232"/>
    <w:rsid w:val="00EC1414"/>
    <w:rsid w:val="00ED5560"/>
    <w:rsid w:val="00ED56B3"/>
    <w:rsid w:val="00EE141F"/>
    <w:rsid w:val="00EE674C"/>
    <w:rsid w:val="00EF2978"/>
    <w:rsid w:val="00EF7683"/>
    <w:rsid w:val="00F12DC2"/>
    <w:rsid w:val="00F152DF"/>
    <w:rsid w:val="00F421CB"/>
    <w:rsid w:val="00F436F8"/>
    <w:rsid w:val="00F65BD2"/>
    <w:rsid w:val="00F65F7D"/>
    <w:rsid w:val="00FA2F50"/>
    <w:rsid w:val="00FA3DDA"/>
    <w:rsid w:val="00FA4A60"/>
    <w:rsid w:val="00FB0BA8"/>
    <w:rsid w:val="00FB16E6"/>
    <w:rsid w:val="00FB44C6"/>
    <w:rsid w:val="00FC1142"/>
    <w:rsid w:val="00FD1DF0"/>
    <w:rsid w:val="00FD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F1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30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C30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C302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C302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C302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C302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C30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C302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C302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uiPriority w:val="99"/>
    <w:qFormat/>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uiPriority w:val="99"/>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paragraph" w:customStyle="1" w:styleId="FERCparanumber">
    <w:name w:val="FERC paranumber"/>
    <w:basedOn w:val="Normal"/>
    <w:link w:val="FERCparanumberChar"/>
    <w:qFormat/>
    <w:rsid w:val="00DF401D"/>
    <w:pPr>
      <w:widowControl w:val="0"/>
      <w:numPr>
        <w:numId w:val="5"/>
      </w:numPr>
      <w:autoSpaceDE w:val="0"/>
      <w:autoSpaceDN w:val="0"/>
      <w:adjustRightInd w:val="0"/>
      <w:spacing w:after="0" w:line="480" w:lineRule="auto"/>
    </w:pPr>
    <w:rPr>
      <w:rFonts w:ascii="Times New Roman" w:eastAsia="Times New Roman" w:hAnsi="Times New Roman" w:cs="Times New Roman"/>
      <w:sz w:val="26"/>
      <w:szCs w:val="24"/>
    </w:rPr>
  </w:style>
  <w:style w:type="character" w:customStyle="1" w:styleId="FERCparanumberChar">
    <w:name w:val="FERC paranumber Char"/>
    <w:link w:val="FERCparanumber"/>
    <w:uiPriority w:val="99"/>
    <w:locked/>
    <w:rsid w:val="00DF401D"/>
    <w:rPr>
      <w:rFonts w:ascii="Times New Roman" w:eastAsia="Times New Roman" w:hAnsi="Times New Roman" w:cs="Times New Roman"/>
      <w:sz w:val="26"/>
      <w:szCs w:val="24"/>
    </w:rPr>
  </w:style>
  <w:style w:type="character" w:styleId="Hyperlink">
    <w:name w:val="Hyperlink"/>
    <w:basedOn w:val="DefaultParagraphFont"/>
    <w:uiPriority w:val="99"/>
    <w:rsid w:val="0072126E"/>
    <w:rPr>
      <w:rFonts w:cs="Times New Roman"/>
      <w:color w:val="0000FF"/>
      <w:u w:val="single"/>
    </w:rPr>
  </w:style>
  <w:style w:type="character" w:styleId="FollowedHyperlink">
    <w:name w:val="FollowedHyperlink"/>
    <w:basedOn w:val="DefaultParagraphFont"/>
    <w:uiPriority w:val="99"/>
    <w:semiHidden/>
    <w:unhideWhenUsed/>
    <w:rsid w:val="0072126E"/>
    <w:rPr>
      <w:color w:val="800080" w:themeColor="followedHyperlink"/>
      <w:u w:val="single"/>
    </w:rPr>
  </w:style>
  <w:style w:type="paragraph" w:styleId="Bibliography">
    <w:name w:val="Bibliography"/>
    <w:basedOn w:val="Normal"/>
    <w:next w:val="Normal"/>
    <w:uiPriority w:val="37"/>
    <w:semiHidden/>
    <w:unhideWhenUsed/>
    <w:rsid w:val="00BC302C"/>
  </w:style>
  <w:style w:type="paragraph" w:styleId="BlockText">
    <w:name w:val="Block Text"/>
    <w:basedOn w:val="Normal"/>
    <w:uiPriority w:val="99"/>
    <w:semiHidden/>
    <w:unhideWhenUsed/>
    <w:rsid w:val="00BC302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BC302C"/>
    <w:pPr>
      <w:spacing w:after="120"/>
    </w:pPr>
  </w:style>
  <w:style w:type="character" w:customStyle="1" w:styleId="BodyTextChar">
    <w:name w:val="Body Text Char"/>
    <w:basedOn w:val="DefaultParagraphFont"/>
    <w:link w:val="BodyText"/>
    <w:uiPriority w:val="99"/>
    <w:semiHidden/>
    <w:rsid w:val="00BC302C"/>
  </w:style>
  <w:style w:type="paragraph" w:styleId="BodyText2">
    <w:name w:val="Body Text 2"/>
    <w:basedOn w:val="Normal"/>
    <w:link w:val="BodyText2Char"/>
    <w:uiPriority w:val="99"/>
    <w:semiHidden/>
    <w:unhideWhenUsed/>
    <w:rsid w:val="00BC302C"/>
    <w:pPr>
      <w:spacing w:after="120" w:line="480" w:lineRule="auto"/>
    </w:pPr>
  </w:style>
  <w:style w:type="character" w:customStyle="1" w:styleId="BodyText2Char">
    <w:name w:val="Body Text 2 Char"/>
    <w:basedOn w:val="DefaultParagraphFont"/>
    <w:link w:val="BodyText2"/>
    <w:uiPriority w:val="99"/>
    <w:semiHidden/>
    <w:rsid w:val="00BC302C"/>
  </w:style>
  <w:style w:type="paragraph" w:styleId="BodyText3">
    <w:name w:val="Body Text 3"/>
    <w:basedOn w:val="Normal"/>
    <w:link w:val="BodyText3Char"/>
    <w:uiPriority w:val="99"/>
    <w:semiHidden/>
    <w:unhideWhenUsed/>
    <w:rsid w:val="00BC302C"/>
    <w:pPr>
      <w:spacing w:after="120"/>
    </w:pPr>
    <w:rPr>
      <w:sz w:val="16"/>
      <w:szCs w:val="16"/>
    </w:rPr>
  </w:style>
  <w:style w:type="character" w:customStyle="1" w:styleId="BodyText3Char">
    <w:name w:val="Body Text 3 Char"/>
    <w:basedOn w:val="DefaultParagraphFont"/>
    <w:link w:val="BodyText3"/>
    <w:uiPriority w:val="99"/>
    <w:semiHidden/>
    <w:rsid w:val="00BC302C"/>
    <w:rPr>
      <w:sz w:val="16"/>
      <w:szCs w:val="16"/>
    </w:rPr>
  </w:style>
  <w:style w:type="paragraph" w:styleId="BodyTextFirstIndent">
    <w:name w:val="Body Text First Indent"/>
    <w:basedOn w:val="BodyText"/>
    <w:link w:val="BodyTextFirstIndentChar"/>
    <w:uiPriority w:val="99"/>
    <w:semiHidden/>
    <w:unhideWhenUsed/>
    <w:rsid w:val="00BC302C"/>
    <w:pPr>
      <w:spacing w:after="200"/>
      <w:ind w:firstLine="360"/>
    </w:pPr>
  </w:style>
  <w:style w:type="character" w:customStyle="1" w:styleId="BodyTextFirstIndentChar">
    <w:name w:val="Body Text First Indent Char"/>
    <w:basedOn w:val="BodyTextChar"/>
    <w:link w:val="BodyTextFirstIndent"/>
    <w:uiPriority w:val="99"/>
    <w:semiHidden/>
    <w:rsid w:val="00BC302C"/>
  </w:style>
  <w:style w:type="paragraph" w:styleId="BodyTextIndent">
    <w:name w:val="Body Text Indent"/>
    <w:basedOn w:val="Normal"/>
    <w:link w:val="BodyTextIndentChar"/>
    <w:uiPriority w:val="99"/>
    <w:semiHidden/>
    <w:unhideWhenUsed/>
    <w:rsid w:val="00BC302C"/>
    <w:pPr>
      <w:spacing w:after="120"/>
      <w:ind w:left="360"/>
    </w:pPr>
  </w:style>
  <w:style w:type="character" w:customStyle="1" w:styleId="BodyTextIndentChar">
    <w:name w:val="Body Text Indent Char"/>
    <w:basedOn w:val="DefaultParagraphFont"/>
    <w:link w:val="BodyTextIndent"/>
    <w:uiPriority w:val="99"/>
    <w:semiHidden/>
    <w:rsid w:val="00BC302C"/>
  </w:style>
  <w:style w:type="paragraph" w:styleId="BodyTextFirstIndent2">
    <w:name w:val="Body Text First Indent 2"/>
    <w:basedOn w:val="BodyTextIndent"/>
    <w:link w:val="BodyTextFirstIndent2Char"/>
    <w:uiPriority w:val="99"/>
    <w:semiHidden/>
    <w:unhideWhenUsed/>
    <w:rsid w:val="00BC302C"/>
    <w:pPr>
      <w:spacing w:after="200"/>
      <w:ind w:firstLine="360"/>
    </w:pPr>
  </w:style>
  <w:style w:type="character" w:customStyle="1" w:styleId="BodyTextFirstIndent2Char">
    <w:name w:val="Body Text First Indent 2 Char"/>
    <w:basedOn w:val="BodyTextIndentChar"/>
    <w:link w:val="BodyTextFirstIndent2"/>
    <w:uiPriority w:val="99"/>
    <w:semiHidden/>
    <w:rsid w:val="00BC302C"/>
  </w:style>
  <w:style w:type="paragraph" w:styleId="BodyTextIndent2">
    <w:name w:val="Body Text Indent 2"/>
    <w:basedOn w:val="Normal"/>
    <w:link w:val="BodyTextIndent2Char"/>
    <w:uiPriority w:val="99"/>
    <w:semiHidden/>
    <w:unhideWhenUsed/>
    <w:rsid w:val="00BC302C"/>
    <w:pPr>
      <w:spacing w:after="120" w:line="480" w:lineRule="auto"/>
      <w:ind w:left="360"/>
    </w:pPr>
  </w:style>
  <w:style w:type="character" w:customStyle="1" w:styleId="BodyTextIndent2Char">
    <w:name w:val="Body Text Indent 2 Char"/>
    <w:basedOn w:val="DefaultParagraphFont"/>
    <w:link w:val="BodyTextIndent2"/>
    <w:uiPriority w:val="99"/>
    <w:semiHidden/>
    <w:rsid w:val="00BC302C"/>
  </w:style>
  <w:style w:type="paragraph" w:styleId="BodyTextIndent3">
    <w:name w:val="Body Text Indent 3"/>
    <w:basedOn w:val="Normal"/>
    <w:link w:val="BodyTextIndent3Char"/>
    <w:uiPriority w:val="99"/>
    <w:semiHidden/>
    <w:unhideWhenUsed/>
    <w:rsid w:val="00BC302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C302C"/>
    <w:rPr>
      <w:sz w:val="16"/>
      <w:szCs w:val="16"/>
    </w:rPr>
  </w:style>
  <w:style w:type="paragraph" w:styleId="Caption">
    <w:name w:val="caption"/>
    <w:basedOn w:val="Normal"/>
    <w:next w:val="Normal"/>
    <w:uiPriority w:val="35"/>
    <w:semiHidden/>
    <w:unhideWhenUsed/>
    <w:qFormat/>
    <w:rsid w:val="00BC302C"/>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BC302C"/>
    <w:pPr>
      <w:spacing w:after="0" w:line="240" w:lineRule="auto"/>
      <w:ind w:left="4320"/>
    </w:pPr>
  </w:style>
  <w:style w:type="character" w:customStyle="1" w:styleId="ClosingChar">
    <w:name w:val="Closing Char"/>
    <w:basedOn w:val="DefaultParagraphFont"/>
    <w:link w:val="Closing"/>
    <w:uiPriority w:val="99"/>
    <w:semiHidden/>
    <w:rsid w:val="00BC302C"/>
  </w:style>
  <w:style w:type="paragraph" w:styleId="Date">
    <w:name w:val="Date"/>
    <w:basedOn w:val="Normal"/>
    <w:next w:val="Normal"/>
    <w:link w:val="DateChar"/>
    <w:uiPriority w:val="99"/>
    <w:semiHidden/>
    <w:unhideWhenUsed/>
    <w:rsid w:val="00BC302C"/>
  </w:style>
  <w:style w:type="character" w:customStyle="1" w:styleId="DateChar">
    <w:name w:val="Date Char"/>
    <w:basedOn w:val="DefaultParagraphFont"/>
    <w:link w:val="Date"/>
    <w:uiPriority w:val="99"/>
    <w:semiHidden/>
    <w:rsid w:val="00BC302C"/>
  </w:style>
  <w:style w:type="paragraph" w:styleId="DocumentMap">
    <w:name w:val="Document Map"/>
    <w:basedOn w:val="Normal"/>
    <w:link w:val="DocumentMapChar"/>
    <w:uiPriority w:val="99"/>
    <w:semiHidden/>
    <w:unhideWhenUsed/>
    <w:rsid w:val="00BC302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C302C"/>
    <w:rPr>
      <w:rFonts w:ascii="Tahoma" w:hAnsi="Tahoma" w:cs="Tahoma"/>
      <w:sz w:val="16"/>
      <w:szCs w:val="16"/>
    </w:rPr>
  </w:style>
  <w:style w:type="paragraph" w:styleId="E-mailSignature">
    <w:name w:val="E-mail Signature"/>
    <w:basedOn w:val="Normal"/>
    <w:link w:val="E-mailSignatureChar"/>
    <w:uiPriority w:val="99"/>
    <w:semiHidden/>
    <w:unhideWhenUsed/>
    <w:rsid w:val="00BC302C"/>
    <w:pPr>
      <w:spacing w:after="0" w:line="240" w:lineRule="auto"/>
    </w:pPr>
  </w:style>
  <w:style w:type="character" w:customStyle="1" w:styleId="E-mailSignatureChar">
    <w:name w:val="E-mail Signature Char"/>
    <w:basedOn w:val="DefaultParagraphFont"/>
    <w:link w:val="E-mailSignature"/>
    <w:uiPriority w:val="99"/>
    <w:semiHidden/>
    <w:rsid w:val="00BC302C"/>
  </w:style>
  <w:style w:type="paragraph" w:styleId="EndnoteText">
    <w:name w:val="endnote text"/>
    <w:basedOn w:val="Normal"/>
    <w:link w:val="EndnoteTextChar"/>
    <w:uiPriority w:val="99"/>
    <w:semiHidden/>
    <w:unhideWhenUsed/>
    <w:rsid w:val="00BC30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302C"/>
    <w:rPr>
      <w:sz w:val="20"/>
      <w:szCs w:val="20"/>
    </w:rPr>
  </w:style>
  <w:style w:type="paragraph" w:styleId="EnvelopeAddress">
    <w:name w:val="envelope address"/>
    <w:basedOn w:val="Normal"/>
    <w:uiPriority w:val="99"/>
    <w:semiHidden/>
    <w:unhideWhenUsed/>
    <w:rsid w:val="00BC302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C302C"/>
    <w:pPr>
      <w:spacing w:after="0" w:line="240" w:lineRule="auto"/>
    </w:pPr>
    <w:rPr>
      <w:rFonts w:asciiTheme="majorHAnsi" w:eastAsiaTheme="majorEastAsia" w:hAnsiTheme="majorHAnsi" w:cstheme="majorBidi"/>
      <w:sz w:val="20"/>
      <w:szCs w:val="20"/>
    </w:rPr>
  </w:style>
  <w:style w:type="character" w:customStyle="1" w:styleId="Heading1Char">
    <w:name w:val="Heading 1 Char"/>
    <w:basedOn w:val="DefaultParagraphFont"/>
    <w:link w:val="Heading1"/>
    <w:uiPriority w:val="9"/>
    <w:rsid w:val="00BC30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C30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C302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C302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C302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C302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C302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C302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C302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BC302C"/>
    <w:pPr>
      <w:spacing w:after="0" w:line="240" w:lineRule="auto"/>
    </w:pPr>
    <w:rPr>
      <w:i/>
      <w:iCs/>
    </w:rPr>
  </w:style>
  <w:style w:type="character" w:customStyle="1" w:styleId="HTMLAddressChar">
    <w:name w:val="HTML Address Char"/>
    <w:basedOn w:val="DefaultParagraphFont"/>
    <w:link w:val="HTMLAddress"/>
    <w:uiPriority w:val="99"/>
    <w:semiHidden/>
    <w:rsid w:val="00BC302C"/>
    <w:rPr>
      <w:i/>
      <w:iCs/>
    </w:rPr>
  </w:style>
  <w:style w:type="paragraph" w:styleId="HTMLPreformatted">
    <w:name w:val="HTML Preformatted"/>
    <w:basedOn w:val="Normal"/>
    <w:link w:val="HTMLPreformattedChar"/>
    <w:uiPriority w:val="99"/>
    <w:semiHidden/>
    <w:unhideWhenUsed/>
    <w:rsid w:val="00BC302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C302C"/>
    <w:rPr>
      <w:rFonts w:ascii="Consolas" w:hAnsi="Consolas"/>
      <w:sz w:val="20"/>
      <w:szCs w:val="20"/>
    </w:rPr>
  </w:style>
  <w:style w:type="paragraph" w:styleId="Index1">
    <w:name w:val="index 1"/>
    <w:basedOn w:val="Normal"/>
    <w:next w:val="Normal"/>
    <w:uiPriority w:val="99"/>
    <w:semiHidden/>
    <w:unhideWhenUsed/>
    <w:rsid w:val="00BC302C"/>
    <w:pPr>
      <w:spacing w:after="0" w:line="240" w:lineRule="auto"/>
      <w:ind w:left="220" w:hanging="220"/>
    </w:pPr>
  </w:style>
  <w:style w:type="paragraph" w:styleId="Index2">
    <w:name w:val="index 2"/>
    <w:basedOn w:val="Normal"/>
    <w:next w:val="Normal"/>
    <w:uiPriority w:val="99"/>
    <w:semiHidden/>
    <w:unhideWhenUsed/>
    <w:rsid w:val="00BC302C"/>
    <w:pPr>
      <w:spacing w:after="0" w:line="240" w:lineRule="auto"/>
      <w:ind w:left="440" w:hanging="220"/>
    </w:pPr>
  </w:style>
  <w:style w:type="paragraph" w:styleId="Index3">
    <w:name w:val="index 3"/>
    <w:basedOn w:val="Normal"/>
    <w:next w:val="Normal"/>
    <w:uiPriority w:val="99"/>
    <w:semiHidden/>
    <w:unhideWhenUsed/>
    <w:rsid w:val="00BC302C"/>
    <w:pPr>
      <w:spacing w:after="0" w:line="240" w:lineRule="auto"/>
      <w:ind w:left="660" w:hanging="220"/>
    </w:pPr>
  </w:style>
  <w:style w:type="paragraph" w:styleId="Index4">
    <w:name w:val="index 4"/>
    <w:basedOn w:val="Normal"/>
    <w:next w:val="Normal"/>
    <w:uiPriority w:val="99"/>
    <w:semiHidden/>
    <w:unhideWhenUsed/>
    <w:rsid w:val="00BC302C"/>
    <w:pPr>
      <w:spacing w:after="0" w:line="240" w:lineRule="auto"/>
      <w:ind w:left="880" w:hanging="220"/>
    </w:pPr>
  </w:style>
  <w:style w:type="paragraph" w:styleId="Index5">
    <w:name w:val="index 5"/>
    <w:basedOn w:val="Normal"/>
    <w:next w:val="Normal"/>
    <w:uiPriority w:val="99"/>
    <w:semiHidden/>
    <w:unhideWhenUsed/>
    <w:rsid w:val="00BC302C"/>
    <w:pPr>
      <w:spacing w:after="0" w:line="240" w:lineRule="auto"/>
      <w:ind w:left="1100" w:hanging="220"/>
    </w:pPr>
  </w:style>
  <w:style w:type="paragraph" w:styleId="Index6">
    <w:name w:val="index 6"/>
    <w:basedOn w:val="Normal"/>
    <w:next w:val="Normal"/>
    <w:uiPriority w:val="99"/>
    <w:semiHidden/>
    <w:unhideWhenUsed/>
    <w:rsid w:val="00BC302C"/>
    <w:pPr>
      <w:spacing w:after="0" w:line="240" w:lineRule="auto"/>
      <w:ind w:left="1320" w:hanging="220"/>
    </w:pPr>
  </w:style>
  <w:style w:type="paragraph" w:styleId="Index7">
    <w:name w:val="index 7"/>
    <w:basedOn w:val="Normal"/>
    <w:next w:val="Normal"/>
    <w:uiPriority w:val="99"/>
    <w:semiHidden/>
    <w:unhideWhenUsed/>
    <w:rsid w:val="00BC302C"/>
    <w:pPr>
      <w:spacing w:after="0" w:line="240" w:lineRule="auto"/>
      <w:ind w:left="1540" w:hanging="220"/>
    </w:pPr>
  </w:style>
  <w:style w:type="paragraph" w:styleId="Index8">
    <w:name w:val="index 8"/>
    <w:basedOn w:val="Normal"/>
    <w:next w:val="Normal"/>
    <w:uiPriority w:val="99"/>
    <w:semiHidden/>
    <w:unhideWhenUsed/>
    <w:rsid w:val="00BC302C"/>
    <w:pPr>
      <w:spacing w:after="0" w:line="240" w:lineRule="auto"/>
      <w:ind w:left="1760" w:hanging="220"/>
    </w:pPr>
  </w:style>
  <w:style w:type="paragraph" w:styleId="Index9">
    <w:name w:val="index 9"/>
    <w:basedOn w:val="Normal"/>
    <w:next w:val="Normal"/>
    <w:uiPriority w:val="99"/>
    <w:semiHidden/>
    <w:unhideWhenUsed/>
    <w:rsid w:val="00BC302C"/>
    <w:pPr>
      <w:spacing w:after="0" w:line="240" w:lineRule="auto"/>
      <w:ind w:left="1980" w:hanging="220"/>
    </w:pPr>
  </w:style>
  <w:style w:type="paragraph" w:styleId="IndexHeading">
    <w:name w:val="index heading"/>
    <w:basedOn w:val="Normal"/>
    <w:next w:val="Index1"/>
    <w:uiPriority w:val="99"/>
    <w:semiHidden/>
    <w:unhideWhenUsed/>
    <w:rsid w:val="00BC302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C30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302C"/>
    <w:rPr>
      <w:b/>
      <w:bCs/>
      <w:i/>
      <w:iCs/>
      <w:color w:val="4F81BD" w:themeColor="accent1"/>
    </w:rPr>
  </w:style>
  <w:style w:type="paragraph" w:styleId="List">
    <w:name w:val="List"/>
    <w:basedOn w:val="Normal"/>
    <w:uiPriority w:val="99"/>
    <w:semiHidden/>
    <w:unhideWhenUsed/>
    <w:rsid w:val="00BC302C"/>
    <w:pPr>
      <w:ind w:left="360" w:hanging="360"/>
      <w:contextualSpacing/>
    </w:pPr>
  </w:style>
  <w:style w:type="paragraph" w:styleId="List2">
    <w:name w:val="List 2"/>
    <w:basedOn w:val="Normal"/>
    <w:uiPriority w:val="99"/>
    <w:semiHidden/>
    <w:unhideWhenUsed/>
    <w:rsid w:val="00BC302C"/>
    <w:pPr>
      <w:ind w:left="720" w:hanging="360"/>
      <w:contextualSpacing/>
    </w:pPr>
  </w:style>
  <w:style w:type="paragraph" w:styleId="List3">
    <w:name w:val="List 3"/>
    <w:basedOn w:val="Normal"/>
    <w:uiPriority w:val="99"/>
    <w:semiHidden/>
    <w:unhideWhenUsed/>
    <w:rsid w:val="00BC302C"/>
    <w:pPr>
      <w:ind w:left="1080" w:hanging="360"/>
      <w:contextualSpacing/>
    </w:pPr>
  </w:style>
  <w:style w:type="paragraph" w:styleId="List4">
    <w:name w:val="List 4"/>
    <w:basedOn w:val="Normal"/>
    <w:uiPriority w:val="99"/>
    <w:semiHidden/>
    <w:unhideWhenUsed/>
    <w:rsid w:val="00BC302C"/>
    <w:pPr>
      <w:ind w:left="1440" w:hanging="360"/>
      <w:contextualSpacing/>
    </w:pPr>
  </w:style>
  <w:style w:type="paragraph" w:styleId="List5">
    <w:name w:val="List 5"/>
    <w:basedOn w:val="Normal"/>
    <w:uiPriority w:val="99"/>
    <w:semiHidden/>
    <w:unhideWhenUsed/>
    <w:rsid w:val="00BC302C"/>
    <w:pPr>
      <w:ind w:left="1800" w:hanging="360"/>
      <w:contextualSpacing/>
    </w:pPr>
  </w:style>
  <w:style w:type="paragraph" w:styleId="ListBullet">
    <w:name w:val="List Bullet"/>
    <w:basedOn w:val="Normal"/>
    <w:uiPriority w:val="99"/>
    <w:semiHidden/>
    <w:unhideWhenUsed/>
    <w:rsid w:val="00BC302C"/>
    <w:pPr>
      <w:numPr>
        <w:numId w:val="9"/>
      </w:numPr>
      <w:contextualSpacing/>
    </w:pPr>
  </w:style>
  <w:style w:type="paragraph" w:styleId="ListBullet2">
    <w:name w:val="List Bullet 2"/>
    <w:basedOn w:val="Normal"/>
    <w:uiPriority w:val="99"/>
    <w:semiHidden/>
    <w:unhideWhenUsed/>
    <w:rsid w:val="00BC302C"/>
    <w:pPr>
      <w:numPr>
        <w:numId w:val="10"/>
      </w:numPr>
      <w:contextualSpacing/>
    </w:pPr>
  </w:style>
  <w:style w:type="paragraph" w:styleId="ListBullet3">
    <w:name w:val="List Bullet 3"/>
    <w:basedOn w:val="Normal"/>
    <w:uiPriority w:val="99"/>
    <w:semiHidden/>
    <w:unhideWhenUsed/>
    <w:rsid w:val="00BC302C"/>
    <w:pPr>
      <w:numPr>
        <w:numId w:val="11"/>
      </w:numPr>
      <w:contextualSpacing/>
    </w:pPr>
  </w:style>
  <w:style w:type="paragraph" w:styleId="ListBullet4">
    <w:name w:val="List Bullet 4"/>
    <w:basedOn w:val="Normal"/>
    <w:uiPriority w:val="99"/>
    <w:semiHidden/>
    <w:unhideWhenUsed/>
    <w:rsid w:val="00BC302C"/>
    <w:pPr>
      <w:numPr>
        <w:numId w:val="12"/>
      </w:numPr>
      <w:contextualSpacing/>
    </w:pPr>
  </w:style>
  <w:style w:type="paragraph" w:styleId="ListBullet5">
    <w:name w:val="List Bullet 5"/>
    <w:basedOn w:val="Normal"/>
    <w:uiPriority w:val="99"/>
    <w:semiHidden/>
    <w:unhideWhenUsed/>
    <w:rsid w:val="00BC302C"/>
    <w:pPr>
      <w:numPr>
        <w:numId w:val="13"/>
      </w:numPr>
      <w:contextualSpacing/>
    </w:pPr>
  </w:style>
  <w:style w:type="paragraph" w:styleId="ListContinue2">
    <w:name w:val="List Continue 2"/>
    <w:basedOn w:val="Normal"/>
    <w:uiPriority w:val="99"/>
    <w:semiHidden/>
    <w:unhideWhenUsed/>
    <w:rsid w:val="00BC302C"/>
    <w:pPr>
      <w:spacing w:after="120"/>
      <w:ind w:left="720"/>
      <w:contextualSpacing/>
    </w:pPr>
  </w:style>
  <w:style w:type="paragraph" w:styleId="ListContinue3">
    <w:name w:val="List Continue 3"/>
    <w:basedOn w:val="Normal"/>
    <w:uiPriority w:val="99"/>
    <w:semiHidden/>
    <w:unhideWhenUsed/>
    <w:rsid w:val="00BC302C"/>
    <w:pPr>
      <w:spacing w:after="120"/>
      <w:ind w:left="1080"/>
      <w:contextualSpacing/>
    </w:pPr>
  </w:style>
  <w:style w:type="paragraph" w:styleId="ListContinue4">
    <w:name w:val="List Continue 4"/>
    <w:basedOn w:val="Normal"/>
    <w:uiPriority w:val="99"/>
    <w:semiHidden/>
    <w:unhideWhenUsed/>
    <w:rsid w:val="00BC302C"/>
    <w:pPr>
      <w:spacing w:after="120"/>
      <w:ind w:left="1440"/>
      <w:contextualSpacing/>
    </w:pPr>
  </w:style>
  <w:style w:type="paragraph" w:styleId="ListContinue5">
    <w:name w:val="List Continue 5"/>
    <w:basedOn w:val="Normal"/>
    <w:uiPriority w:val="99"/>
    <w:semiHidden/>
    <w:unhideWhenUsed/>
    <w:rsid w:val="00BC302C"/>
    <w:pPr>
      <w:spacing w:after="120"/>
      <w:ind w:left="1800"/>
      <w:contextualSpacing/>
    </w:pPr>
  </w:style>
  <w:style w:type="paragraph" w:styleId="ListNumber">
    <w:name w:val="List Number"/>
    <w:basedOn w:val="Normal"/>
    <w:uiPriority w:val="99"/>
    <w:semiHidden/>
    <w:unhideWhenUsed/>
    <w:rsid w:val="00BC302C"/>
    <w:pPr>
      <w:numPr>
        <w:numId w:val="14"/>
      </w:numPr>
      <w:contextualSpacing/>
    </w:pPr>
  </w:style>
  <w:style w:type="paragraph" w:styleId="ListNumber2">
    <w:name w:val="List Number 2"/>
    <w:basedOn w:val="Normal"/>
    <w:uiPriority w:val="99"/>
    <w:semiHidden/>
    <w:unhideWhenUsed/>
    <w:rsid w:val="00BC302C"/>
    <w:pPr>
      <w:numPr>
        <w:numId w:val="15"/>
      </w:numPr>
      <w:contextualSpacing/>
    </w:pPr>
  </w:style>
  <w:style w:type="paragraph" w:styleId="ListNumber3">
    <w:name w:val="List Number 3"/>
    <w:basedOn w:val="Normal"/>
    <w:uiPriority w:val="99"/>
    <w:semiHidden/>
    <w:unhideWhenUsed/>
    <w:rsid w:val="00BC302C"/>
    <w:pPr>
      <w:numPr>
        <w:numId w:val="16"/>
      </w:numPr>
      <w:contextualSpacing/>
    </w:pPr>
  </w:style>
  <w:style w:type="paragraph" w:styleId="ListNumber4">
    <w:name w:val="List Number 4"/>
    <w:basedOn w:val="Normal"/>
    <w:uiPriority w:val="99"/>
    <w:semiHidden/>
    <w:unhideWhenUsed/>
    <w:rsid w:val="00BC302C"/>
    <w:pPr>
      <w:numPr>
        <w:numId w:val="17"/>
      </w:numPr>
      <w:contextualSpacing/>
    </w:pPr>
  </w:style>
  <w:style w:type="paragraph" w:styleId="ListNumber5">
    <w:name w:val="List Number 5"/>
    <w:basedOn w:val="Normal"/>
    <w:uiPriority w:val="99"/>
    <w:semiHidden/>
    <w:unhideWhenUsed/>
    <w:rsid w:val="00BC302C"/>
    <w:pPr>
      <w:numPr>
        <w:numId w:val="18"/>
      </w:numPr>
      <w:contextualSpacing/>
    </w:pPr>
  </w:style>
  <w:style w:type="paragraph" w:styleId="MacroText">
    <w:name w:val="macro"/>
    <w:link w:val="MacroTextChar"/>
    <w:uiPriority w:val="99"/>
    <w:semiHidden/>
    <w:unhideWhenUsed/>
    <w:rsid w:val="00BC302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BC302C"/>
    <w:rPr>
      <w:rFonts w:ascii="Consolas" w:hAnsi="Consolas"/>
      <w:sz w:val="20"/>
      <w:szCs w:val="20"/>
    </w:rPr>
  </w:style>
  <w:style w:type="paragraph" w:styleId="MessageHeader">
    <w:name w:val="Message Header"/>
    <w:basedOn w:val="Normal"/>
    <w:link w:val="MessageHeaderChar"/>
    <w:uiPriority w:val="99"/>
    <w:semiHidden/>
    <w:unhideWhenUsed/>
    <w:rsid w:val="00BC302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C302C"/>
    <w:rPr>
      <w:rFonts w:asciiTheme="majorHAnsi" w:eastAsiaTheme="majorEastAsia" w:hAnsiTheme="majorHAnsi" w:cstheme="majorBidi"/>
      <w:sz w:val="24"/>
      <w:szCs w:val="24"/>
      <w:shd w:val="pct20" w:color="auto" w:fill="auto"/>
    </w:rPr>
  </w:style>
  <w:style w:type="paragraph" w:styleId="NoSpacing">
    <w:name w:val="No Spacing"/>
    <w:uiPriority w:val="1"/>
    <w:qFormat/>
    <w:rsid w:val="00BC302C"/>
    <w:pPr>
      <w:spacing w:after="0" w:line="240" w:lineRule="auto"/>
    </w:pPr>
  </w:style>
  <w:style w:type="paragraph" w:styleId="NormalWeb">
    <w:name w:val="Normal (Web)"/>
    <w:basedOn w:val="Normal"/>
    <w:uiPriority w:val="99"/>
    <w:semiHidden/>
    <w:unhideWhenUsed/>
    <w:rsid w:val="00BC302C"/>
    <w:rPr>
      <w:rFonts w:ascii="Times New Roman" w:hAnsi="Times New Roman" w:cs="Times New Roman"/>
      <w:sz w:val="24"/>
      <w:szCs w:val="24"/>
    </w:rPr>
  </w:style>
  <w:style w:type="paragraph" w:styleId="NormalIndent">
    <w:name w:val="Normal Indent"/>
    <w:basedOn w:val="Normal"/>
    <w:uiPriority w:val="99"/>
    <w:semiHidden/>
    <w:unhideWhenUsed/>
    <w:rsid w:val="00BC302C"/>
    <w:pPr>
      <w:ind w:left="720"/>
    </w:pPr>
  </w:style>
  <w:style w:type="paragraph" w:styleId="NoteHeading">
    <w:name w:val="Note Heading"/>
    <w:basedOn w:val="Normal"/>
    <w:next w:val="Normal"/>
    <w:link w:val="NoteHeadingChar"/>
    <w:uiPriority w:val="99"/>
    <w:semiHidden/>
    <w:unhideWhenUsed/>
    <w:rsid w:val="00BC302C"/>
    <w:pPr>
      <w:spacing w:after="0" w:line="240" w:lineRule="auto"/>
    </w:pPr>
  </w:style>
  <w:style w:type="character" w:customStyle="1" w:styleId="NoteHeadingChar">
    <w:name w:val="Note Heading Char"/>
    <w:basedOn w:val="DefaultParagraphFont"/>
    <w:link w:val="NoteHeading"/>
    <w:uiPriority w:val="99"/>
    <w:semiHidden/>
    <w:rsid w:val="00BC302C"/>
  </w:style>
  <w:style w:type="paragraph" w:styleId="PlainText">
    <w:name w:val="Plain Text"/>
    <w:basedOn w:val="Normal"/>
    <w:link w:val="PlainTextChar"/>
    <w:uiPriority w:val="99"/>
    <w:semiHidden/>
    <w:unhideWhenUsed/>
    <w:rsid w:val="00BC302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C302C"/>
    <w:rPr>
      <w:rFonts w:ascii="Consolas" w:hAnsi="Consolas"/>
      <w:sz w:val="21"/>
      <w:szCs w:val="21"/>
    </w:rPr>
  </w:style>
  <w:style w:type="paragraph" w:styleId="Quote">
    <w:name w:val="Quote"/>
    <w:basedOn w:val="Normal"/>
    <w:next w:val="Normal"/>
    <w:link w:val="QuoteChar"/>
    <w:uiPriority w:val="29"/>
    <w:qFormat/>
    <w:rsid w:val="00BC302C"/>
    <w:rPr>
      <w:i/>
      <w:iCs/>
      <w:color w:val="000000" w:themeColor="text1"/>
    </w:rPr>
  </w:style>
  <w:style w:type="character" w:customStyle="1" w:styleId="QuoteChar">
    <w:name w:val="Quote Char"/>
    <w:basedOn w:val="DefaultParagraphFont"/>
    <w:link w:val="Quote"/>
    <w:uiPriority w:val="29"/>
    <w:rsid w:val="00BC302C"/>
    <w:rPr>
      <w:i/>
      <w:iCs/>
      <w:color w:val="000000" w:themeColor="text1"/>
    </w:rPr>
  </w:style>
  <w:style w:type="paragraph" w:styleId="Salutation">
    <w:name w:val="Salutation"/>
    <w:basedOn w:val="Normal"/>
    <w:next w:val="Normal"/>
    <w:link w:val="SalutationChar"/>
    <w:uiPriority w:val="99"/>
    <w:semiHidden/>
    <w:unhideWhenUsed/>
    <w:rsid w:val="00BC302C"/>
  </w:style>
  <w:style w:type="character" w:customStyle="1" w:styleId="SalutationChar">
    <w:name w:val="Salutation Char"/>
    <w:basedOn w:val="DefaultParagraphFont"/>
    <w:link w:val="Salutation"/>
    <w:uiPriority w:val="99"/>
    <w:semiHidden/>
    <w:rsid w:val="00BC302C"/>
  </w:style>
  <w:style w:type="paragraph" w:styleId="Signature">
    <w:name w:val="Signature"/>
    <w:basedOn w:val="Normal"/>
    <w:link w:val="SignatureChar"/>
    <w:uiPriority w:val="99"/>
    <w:semiHidden/>
    <w:unhideWhenUsed/>
    <w:rsid w:val="00BC302C"/>
    <w:pPr>
      <w:spacing w:after="0" w:line="240" w:lineRule="auto"/>
      <w:ind w:left="4320"/>
    </w:pPr>
  </w:style>
  <w:style w:type="character" w:customStyle="1" w:styleId="SignatureChar">
    <w:name w:val="Signature Char"/>
    <w:basedOn w:val="DefaultParagraphFont"/>
    <w:link w:val="Signature"/>
    <w:uiPriority w:val="99"/>
    <w:semiHidden/>
    <w:rsid w:val="00BC302C"/>
  </w:style>
  <w:style w:type="paragraph" w:styleId="Subtitle">
    <w:name w:val="Subtitle"/>
    <w:basedOn w:val="Normal"/>
    <w:next w:val="Normal"/>
    <w:link w:val="SubtitleChar"/>
    <w:uiPriority w:val="11"/>
    <w:qFormat/>
    <w:rsid w:val="00BC302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C302C"/>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BC302C"/>
    <w:pPr>
      <w:spacing w:after="0"/>
      <w:ind w:left="220" w:hanging="220"/>
    </w:pPr>
  </w:style>
  <w:style w:type="paragraph" w:styleId="TableofFigures">
    <w:name w:val="table of figures"/>
    <w:basedOn w:val="Normal"/>
    <w:next w:val="Normal"/>
    <w:uiPriority w:val="99"/>
    <w:semiHidden/>
    <w:unhideWhenUsed/>
    <w:rsid w:val="00BC302C"/>
    <w:pPr>
      <w:spacing w:after="0"/>
    </w:pPr>
  </w:style>
  <w:style w:type="paragraph" w:styleId="Title">
    <w:name w:val="Title"/>
    <w:basedOn w:val="Normal"/>
    <w:next w:val="Normal"/>
    <w:link w:val="TitleChar"/>
    <w:uiPriority w:val="10"/>
    <w:qFormat/>
    <w:rsid w:val="00BC30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302C"/>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C302C"/>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BC302C"/>
    <w:pPr>
      <w:spacing w:after="100"/>
    </w:pPr>
  </w:style>
  <w:style w:type="paragraph" w:styleId="TOC2">
    <w:name w:val="toc 2"/>
    <w:basedOn w:val="Normal"/>
    <w:next w:val="Normal"/>
    <w:uiPriority w:val="39"/>
    <w:semiHidden/>
    <w:unhideWhenUsed/>
    <w:rsid w:val="00BC302C"/>
    <w:pPr>
      <w:spacing w:after="100"/>
      <w:ind w:left="220"/>
    </w:pPr>
  </w:style>
  <w:style w:type="paragraph" w:styleId="TOC3">
    <w:name w:val="toc 3"/>
    <w:basedOn w:val="Normal"/>
    <w:next w:val="Normal"/>
    <w:uiPriority w:val="39"/>
    <w:semiHidden/>
    <w:unhideWhenUsed/>
    <w:rsid w:val="00BC302C"/>
    <w:pPr>
      <w:spacing w:after="100"/>
      <w:ind w:left="440"/>
    </w:pPr>
  </w:style>
  <w:style w:type="paragraph" w:styleId="TOC4">
    <w:name w:val="toc 4"/>
    <w:basedOn w:val="Normal"/>
    <w:next w:val="Normal"/>
    <w:uiPriority w:val="39"/>
    <w:semiHidden/>
    <w:unhideWhenUsed/>
    <w:rsid w:val="00BC302C"/>
    <w:pPr>
      <w:spacing w:after="100"/>
      <w:ind w:left="660"/>
    </w:pPr>
  </w:style>
  <w:style w:type="paragraph" w:styleId="TOC5">
    <w:name w:val="toc 5"/>
    <w:basedOn w:val="Normal"/>
    <w:next w:val="Normal"/>
    <w:uiPriority w:val="39"/>
    <w:semiHidden/>
    <w:unhideWhenUsed/>
    <w:rsid w:val="00BC302C"/>
    <w:pPr>
      <w:spacing w:after="100"/>
      <w:ind w:left="880"/>
    </w:pPr>
  </w:style>
  <w:style w:type="paragraph" w:styleId="TOC6">
    <w:name w:val="toc 6"/>
    <w:basedOn w:val="Normal"/>
    <w:next w:val="Normal"/>
    <w:uiPriority w:val="39"/>
    <w:semiHidden/>
    <w:unhideWhenUsed/>
    <w:rsid w:val="00BC302C"/>
    <w:pPr>
      <w:spacing w:after="100"/>
      <w:ind w:left="1100"/>
    </w:pPr>
  </w:style>
  <w:style w:type="paragraph" w:styleId="TOC7">
    <w:name w:val="toc 7"/>
    <w:basedOn w:val="Normal"/>
    <w:next w:val="Normal"/>
    <w:uiPriority w:val="39"/>
    <w:semiHidden/>
    <w:unhideWhenUsed/>
    <w:rsid w:val="00BC302C"/>
    <w:pPr>
      <w:spacing w:after="100"/>
      <w:ind w:left="1320"/>
    </w:pPr>
  </w:style>
  <w:style w:type="paragraph" w:styleId="TOC8">
    <w:name w:val="toc 8"/>
    <w:basedOn w:val="Normal"/>
    <w:next w:val="Normal"/>
    <w:uiPriority w:val="39"/>
    <w:semiHidden/>
    <w:unhideWhenUsed/>
    <w:rsid w:val="00BC302C"/>
    <w:pPr>
      <w:spacing w:after="100"/>
      <w:ind w:left="1540"/>
    </w:pPr>
  </w:style>
  <w:style w:type="paragraph" w:styleId="TOC9">
    <w:name w:val="toc 9"/>
    <w:basedOn w:val="Normal"/>
    <w:next w:val="Normal"/>
    <w:uiPriority w:val="39"/>
    <w:semiHidden/>
    <w:unhideWhenUsed/>
    <w:rsid w:val="00BC302C"/>
    <w:pPr>
      <w:spacing w:after="100"/>
      <w:ind w:left="1760"/>
    </w:pPr>
  </w:style>
  <w:style w:type="paragraph" w:styleId="TOCHeading">
    <w:name w:val="TOC Heading"/>
    <w:basedOn w:val="Heading1"/>
    <w:next w:val="Normal"/>
    <w:uiPriority w:val="39"/>
    <w:semiHidden/>
    <w:unhideWhenUsed/>
    <w:qFormat/>
    <w:rsid w:val="00BC302C"/>
    <w:pPr>
      <w:outlineLvl w:val="9"/>
    </w:pPr>
  </w:style>
  <w:style w:type="character" w:customStyle="1" w:styleId="FERCparanumberChar1">
    <w:name w:val="FERC paranumber Char1"/>
    <w:rsid w:val="006B1C0C"/>
    <w:rPr>
      <w:sz w:val="26"/>
      <w:szCs w:val="24"/>
    </w:rPr>
  </w:style>
  <w:style w:type="paragraph" w:styleId="Revision">
    <w:name w:val="Revision"/>
    <w:hidden/>
    <w:uiPriority w:val="99"/>
    <w:semiHidden/>
    <w:rsid w:val="002A25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2483">
      <w:bodyDiv w:val="1"/>
      <w:marLeft w:val="0"/>
      <w:marRight w:val="0"/>
      <w:marTop w:val="0"/>
      <w:marBottom w:val="0"/>
      <w:divBdr>
        <w:top w:val="none" w:sz="0" w:space="0" w:color="auto"/>
        <w:left w:val="none" w:sz="0" w:space="0" w:color="auto"/>
        <w:bottom w:val="none" w:sz="0" w:space="0" w:color="auto"/>
        <w:right w:val="none" w:sz="0" w:space="0" w:color="auto"/>
      </w:divBdr>
    </w:div>
    <w:div w:id="227614954">
      <w:bodyDiv w:val="1"/>
      <w:marLeft w:val="0"/>
      <w:marRight w:val="0"/>
      <w:marTop w:val="0"/>
      <w:marBottom w:val="0"/>
      <w:divBdr>
        <w:top w:val="none" w:sz="0" w:space="0" w:color="auto"/>
        <w:left w:val="none" w:sz="0" w:space="0" w:color="auto"/>
        <w:bottom w:val="none" w:sz="0" w:space="0" w:color="auto"/>
        <w:right w:val="none" w:sz="0" w:space="0" w:color="auto"/>
      </w:divBdr>
    </w:div>
    <w:div w:id="270867530">
      <w:bodyDiv w:val="1"/>
      <w:marLeft w:val="0"/>
      <w:marRight w:val="0"/>
      <w:marTop w:val="0"/>
      <w:marBottom w:val="0"/>
      <w:divBdr>
        <w:top w:val="none" w:sz="0" w:space="0" w:color="auto"/>
        <w:left w:val="none" w:sz="0" w:space="0" w:color="auto"/>
        <w:bottom w:val="none" w:sz="0" w:space="0" w:color="auto"/>
        <w:right w:val="none" w:sz="0" w:space="0" w:color="auto"/>
      </w:divBdr>
    </w:div>
    <w:div w:id="633489383">
      <w:bodyDiv w:val="1"/>
      <w:marLeft w:val="0"/>
      <w:marRight w:val="0"/>
      <w:marTop w:val="0"/>
      <w:marBottom w:val="0"/>
      <w:divBdr>
        <w:top w:val="none" w:sz="0" w:space="0" w:color="auto"/>
        <w:left w:val="none" w:sz="0" w:space="0" w:color="auto"/>
        <w:bottom w:val="none" w:sz="0" w:space="0" w:color="auto"/>
        <w:right w:val="none" w:sz="0" w:space="0" w:color="auto"/>
      </w:divBdr>
    </w:div>
    <w:div w:id="1175533537">
      <w:bodyDiv w:val="1"/>
      <w:marLeft w:val="0"/>
      <w:marRight w:val="0"/>
      <w:marTop w:val="0"/>
      <w:marBottom w:val="0"/>
      <w:divBdr>
        <w:top w:val="none" w:sz="0" w:space="0" w:color="auto"/>
        <w:left w:val="none" w:sz="0" w:space="0" w:color="auto"/>
        <w:bottom w:val="none" w:sz="0" w:space="0" w:color="auto"/>
        <w:right w:val="none" w:sz="0" w:space="0" w:color="auto"/>
      </w:divBdr>
    </w:div>
    <w:div w:id="1375235784">
      <w:bodyDiv w:val="1"/>
      <w:marLeft w:val="0"/>
      <w:marRight w:val="0"/>
      <w:marTop w:val="0"/>
      <w:marBottom w:val="0"/>
      <w:divBdr>
        <w:top w:val="none" w:sz="0" w:space="0" w:color="auto"/>
        <w:left w:val="none" w:sz="0" w:space="0" w:color="auto"/>
        <w:bottom w:val="none" w:sz="0" w:space="0" w:color="auto"/>
        <w:right w:val="none" w:sz="0" w:space="0" w:color="auto"/>
      </w:divBdr>
    </w:div>
    <w:div w:id="208806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erc.gov/docs-filing/info-collections.as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nerc.com" TargetMode="External"/><Relationship Id="rId2" Type="http://schemas.openxmlformats.org/officeDocument/2006/relationships/hyperlink" Target="http://www.nerc.com/FilingsOrders/us/RuleOfProcedureDL/NERC_ROP_Effective_20151104_without_Appendices.pdf" TargetMode="External"/><Relationship Id="rId1" Type="http://schemas.openxmlformats.org/officeDocument/2006/relationships/hyperlink" Target="http://elibrary.ferc.gov/idmws/common/OpenNat.asp?fileID=14172530" TargetMode="External"/><Relationship Id="rId5" Type="http://schemas.openxmlformats.org/officeDocument/2006/relationships/hyperlink" Target="http://www.bls.gov/oes/current/naics2_22.htm" TargetMode="External"/><Relationship Id="rId4" Type="http://schemas.openxmlformats.org/officeDocument/2006/relationships/hyperlink" Target="http://www.bls.gov/oes/current/naics2_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3" ma:contentTypeDescription="Create a new document." ma:contentTypeScope="" ma:versionID="f2289a5f275c0eb2e2f29c61f36d82e7">
  <xsd:schema xmlns:xsd="http://www.w3.org/2001/XMLSchema" xmlns:xs="http://www.w3.org/2001/XMLSchema" xmlns:p="http://schemas.microsoft.com/office/2006/metadata/properties" xmlns:ns2="d6eefc7d-9817-4fa6-84d5-3bc009be21b8" targetNamespace="http://schemas.microsoft.com/office/2006/metadata/properties" ma:root="true" ma:fieldsID="5bfb07225e0e577e942f8fea8528de3b"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725G</_x0031__x002e__x0020_Collection_x0020_Number>
    <Date xmlns="d6eefc7d-9817-4fa6-84d5-3bc009be21b8">2016-05-19T04:00:00+00:00</Date>
    <Status xmlns="d6eefc7d-9817-4fa6-84d5-3bc009be21b8">Final</Status>
    <_x0032__x002e__x0020_Docket_x0020_Number xmlns="d6eefc7d-9817-4fa6-84d5-3bc009be21b8" xsi:nil="true"/>
    <_x0032__x002e__x0020_Collection_x0020_Number xmlns="d6eefc7d-9817-4fa6-84d5-3bc009be21b8" xsi:nil="true"/>
    <_x0031__x002e__x0020_Docket_x0020_Number xmlns="d6eefc7d-9817-4fa6-84d5-3bc009be21b8">RM15-8</_x0031__x002e__x0020_Docket_x0020_Number>
    <_x0033__x002e__x0020_Collection_x0020_Number xmlns="d6eefc7d-9817-4fa6-84d5-3bc009be21b8"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15288-CDE5-42FA-AA15-1941BA967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E3E7AA-CE09-41F4-84B8-83568C04E233}">
  <ds:schemaRefs>
    <ds:schemaRef ds:uri="http://schemas.microsoft.com/office/2006/metadata/customXsn"/>
  </ds:schemaRefs>
</ds:datastoreItem>
</file>

<file path=customXml/itemProps3.xml><?xml version="1.0" encoding="utf-8"?>
<ds:datastoreItem xmlns:ds="http://schemas.openxmlformats.org/officeDocument/2006/customXml" ds:itemID="{EBECF362-C128-4E35-B97D-FD97B5876DAF}">
  <ds:schemaRefs>
    <ds:schemaRef ds:uri="http://schemas.microsoft.com/sharepoint/v3/contenttype/forms"/>
  </ds:schemaRefs>
</ds:datastoreItem>
</file>

<file path=customXml/itemProps4.xml><?xml version="1.0" encoding="utf-8"?>
<ds:datastoreItem xmlns:ds="http://schemas.openxmlformats.org/officeDocument/2006/customXml" ds:itemID="{5FFE23A7-011D-4554-8377-1B58EB434DB3}">
  <ds:schemaRefs>
    <ds:schemaRef ds:uri="http://purl.org/dc/dcmitype/"/>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d6eefc7d-9817-4fa6-84d5-3bc009be21b8"/>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4390ACF5-077F-4200-91BC-435AE0987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2518</Words>
  <Characters>14586</Characters>
  <Application>Microsoft Office Word</Application>
  <DocSecurity>0</DocSecurity>
  <Lines>275</Lines>
  <Paragraphs>72</Paragraphs>
  <ScaleCrop>false</ScaleCrop>
  <HeadingPairs>
    <vt:vector size="2" baseType="variant">
      <vt:variant>
        <vt:lpstr>Title</vt:lpstr>
      </vt:variant>
      <vt:variant>
        <vt:i4>1</vt:i4>
      </vt:variant>
    </vt:vector>
  </HeadingPairs>
  <TitlesOfParts>
    <vt:vector size="1" baseType="lpstr">
      <vt:lpstr>RM15-8 Final Rule supporting statement (updated 5-19-2016)</vt:lpstr>
    </vt:vector>
  </TitlesOfParts>
  <LinksUpToDate>false</LinksUpToDate>
  <CharactersWithSpaces>17032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RM15-8 Final Rule supporting statement (updated 5-19-2016)</dc:title>
  <dc:creator/>
  <cp:lastModifiedBy/>
  <cp:revision>1</cp:revision>
  <dcterms:created xsi:type="dcterms:W3CDTF">2016-05-19T20:19:00Z</dcterms:created>
  <dcterms:modified xsi:type="dcterms:W3CDTF">2016-05-19T20:36:00Z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ies>
</file>