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0F1" w:rsidRPr="002340F1" w:rsidRDefault="00427EF9" w:rsidP="00427EF9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340F1">
        <w:rPr>
          <w:b/>
          <w:sz w:val="32"/>
          <w:szCs w:val="32"/>
        </w:rPr>
        <w:t xml:space="preserve">Request for a Non-Substantive Change </w:t>
      </w:r>
    </w:p>
    <w:p w:rsidR="001162E5" w:rsidRPr="002340F1" w:rsidRDefault="00427EF9" w:rsidP="00427EF9">
      <w:pPr>
        <w:jc w:val="center"/>
        <w:rPr>
          <w:b/>
          <w:sz w:val="32"/>
          <w:szCs w:val="32"/>
        </w:rPr>
      </w:pPr>
      <w:proofErr w:type="gramStart"/>
      <w:r w:rsidRPr="002340F1">
        <w:rPr>
          <w:b/>
          <w:sz w:val="32"/>
          <w:szCs w:val="32"/>
        </w:rPr>
        <w:t>to</w:t>
      </w:r>
      <w:proofErr w:type="gramEnd"/>
      <w:r w:rsidRPr="002340F1">
        <w:rPr>
          <w:b/>
          <w:sz w:val="32"/>
          <w:szCs w:val="32"/>
        </w:rPr>
        <w:t xml:space="preserve"> an Existing Approved Information Collection</w:t>
      </w:r>
    </w:p>
    <w:p w:rsidR="00D3542D" w:rsidRDefault="00AB6AF0" w:rsidP="00AB6AF0">
      <w:pPr>
        <w:jc w:val="center"/>
        <w:rPr>
          <w:b/>
        </w:rPr>
      </w:pPr>
      <w:r>
        <w:t xml:space="preserve">(EPA ICR No. </w:t>
      </w:r>
      <w:r w:rsidR="00F712D0" w:rsidRPr="00F712D0">
        <w:t>1884.0</w:t>
      </w:r>
      <w:r w:rsidR="00346DA9">
        <w:t>9</w:t>
      </w:r>
      <w:r>
        <w:t>; OMB Control No. 2070-0</w:t>
      </w:r>
      <w:r w:rsidR="00F712D0">
        <w:t>162</w:t>
      </w:r>
      <w:r>
        <w:t>)</w:t>
      </w:r>
    </w:p>
    <w:p w:rsidR="00B810E3" w:rsidRDefault="00B810E3">
      <w:pPr>
        <w:rPr>
          <w:b/>
        </w:rPr>
      </w:pPr>
    </w:p>
    <w:p w:rsidR="00301217" w:rsidRDefault="00301217" w:rsidP="00B810E3">
      <w:pPr>
        <w:outlineLvl w:val="0"/>
        <w:rPr>
          <w:b/>
          <w:sz w:val="28"/>
          <w:szCs w:val="28"/>
        </w:rPr>
      </w:pPr>
      <w:bookmarkStart w:id="1" w:name="_Toc258935214"/>
      <w:r>
        <w:rPr>
          <w:b/>
          <w:sz w:val="28"/>
          <w:szCs w:val="28"/>
        </w:rPr>
        <w:t>I.  Introduction</w:t>
      </w:r>
      <w:bookmarkEnd w:id="1"/>
    </w:p>
    <w:p w:rsidR="00301217" w:rsidRDefault="00301217" w:rsidP="00301217">
      <w:pPr>
        <w:rPr>
          <w:i/>
        </w:rPr>
      </w:pPr>
    </w:p>
    <w:p w:rsidR="00301217" w:rsidRPr="00203D61" w:rsidRDefault="00301217" w:rsidP="00B810E3">
      <w:pPr>
        <w:outlineLvl w:val="1"/>
        <w:rPr>
          <w:b/>
          <w:i/>
        </w:rPr>
      </w:pPr>
      <w:bookmarkStart w:id="2" w:name="_Toc258935215"/>
      <w:r w:rsidRPr="00203D61">
        <w:rPr>
          <w:b/>
          <w:i/>
        </w:rPr>
        <w:t>Why is EPA Requesting a Non-Substantive Change?</w:t>
      </w:r>
      <w:bookmarkEnd w:id="2"/>
    </w:p>
    <w:p w:rsidR="00301217" w:rsidRDefault="006A0562" w:rsidP="002029A9">
      <w:pPr>
        <w:rPr>
          <w:b/>
        </w:rPr>
      </w:pPr>
      <w:r>
        <w:t xml:space="preserve">EPA is requesting a non-substantive change in order to implement minor revisions to </w:t>
      </w:r>
      <w:r w:rsidR="00041673">
        <w:t xml:space="preserve">the </w:t>
      </w:r>
      <w:r>
        <w:t xml:space="preserve">EPA </w:t>
      </w:r>
      <w:r w:rsidR="002029A9">
        <w:t>F</w:t>
      </w:r>
      <w:r>
        <w:t xml:space="preserve">orm </w:t>
      </w:r>
      <w:r w:rsidR="00F712D0">
        <w:t>7740-8</w:t>
      </w:r>
      <w:r w:rsidR="00041673">
        <w:t xml:space="preserve"> </w:t>
      </w:r>
      <w:r w:rsidR="007E7D1B">
        <w:t>Chemical Data Reporting (</w:t>
      </w:r>
      <w:r w:rsidR="007B4E25">
        <w:t>CDR</w:t>
      </w:r>
      <w:r w:rsidR="007E7D1B">
        <w:t>)</w:t>
      </w:r>
      <w:r w:rsidR="007B4E25">
        <w:t xml:space="preserve"> Form U</w:t>
      </w:r>
      <w:r w:rsidR="00C1125A">
        <w:t xml:space="preserve">, </w:t>
      </w:r>
      <w:r w:rsidR="004D3163">
        <w:t xml:space="preserve">as well as </w:t>
      </w:r>
      <w:r w:rsidR="008762F4">
        <w:t xml:space="preserve">to implement </w:t>
      </w:r>
      <w:r w:rsidR="004D3163">
        <w:t xml:space="preserve">revisions to </w:t>
      </w:r>
      <w:r w:rsidR="00CD28E1">
        <w:t>the I</w:t>
      </w:r>
      <w:r w:rsidR="00F712D0">
        <w:t xml:space="preserve">nstructions </w:t>
      </w:r>
      <w:r w:rsidR="00CD28E1">
        <w:t>M</w:t>
      </w:r>
      <w:r w:rsidR="00C1125A">
        <w:t xml:space="preserve">anual and the </w:t>
      </w:r>
      <w:r w:rsidR="004D3163">
        <w:t xml:space="preserve">electronic reporting tool </w:t>
      </w:r>
      <w:r w:rsidR="00C85B8A">
        <w:t>User G</w:t>
      </w:r>
      <w:r w:rsidR="004D3163">
        <w:t xml:space="preserve">uides </w:t>
      </w:r>
      <w:r w:rsidR="00612D79" w:rsidRPr="00612D79">
        <w:t>intended to help submitters complete the</w:t>
      </w:r>
      <w:r w:rsidR="00C85B8A">
        <w:t>ir</w:t>
      </w:r>
      <w:r w:rsidR="00612D79" w:rsidRPr="00612D79">
        <w:t xml:space="preserve"> submission</w:t>
      </w:r>
      <w:r w:rsidR="00C85B8A">
        <w:t>s</w:t>
      </w:r>
      <w:r w:rsidR="002029A9">
        <w:t>. EPA is not otherwise modifying the information collection requirements or agency paperwork burden estimates.</w:t>
      </w:r>
      <w:r w:rsidR="002029A9">
        <w:rPr>
          <w:b/>
        </w:rPr>
        <w:t xml:space="preserve"> </w:t>
      </w:r>
    </w:p>
    <w:p w:rsidR="00612D79" w:rsidRDefault="00612D79" w:rsidP="002029A9">
      <w:pPr>
        <w:rPr>
          <w:b/>
        </w:rPr>
      </w:pPr>
    </w:p>
    <w:p w:rsidR="00612D79" w:rsidRPr="00612D79" w:rsidRDefault="00612D79" w:rsidP="002029A9">
      <w:r>
        <w:t xml:space="preserve">These changes </w:t>
      </w:r>
      <w:r w:rsidRPr="00612D79">
        <w:t>are non-substantive because, although they are different than the 2012 reporting info</w:t>
      </w:r>
      <w:r>
        <w:t>rmation</w:t>
      </w:r>
      <w:r w:rsidRPr="00612D79">
        <w:t xml:space="preserve">, they were fully addressed in the 2011 CDR rule and conform to the requirements phase-in that OMB reviewed </w:t>
      </w:r>
      <w:r w:rsidR="00346DA9">
        <w:t xml:space="preserve">under Executive Order 12866 </w:t>
      </w:r>
      <w:r w:rsidRPr="00612D79">
        <w:t>and approved at that time</w:t>
      </w:r>
      <w:r>
        <w:t>.</w:t>
      </w:r>
    </w:p>
    <w:p w:rsidR="00CD28E1" w:rsidRDefault="00CD28E1" w:rsidP="00B810E3">
      <w:pPr>
        <w:outlineLvl w:val="0"/>
        <w:rPr>
          <w:b/>
          <w:sz w:val="28"/>
          <w:szCs w:val="28"/>
        </w:rPr>
      </w:pPr>
    </w:p>
    <w:p w:rsidR="00CD28E1" w:rsidRDefault="00CD28E1" w:rsidP="00B810E3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II. Background</w:t>
      </w:r>
    </w:p>
    <w:p w:rsidR="00CD28E1" w:rsidRDefault="00CD28E1" w:rsidP="00B810E3">
      <w:pPr>
        <w:outlineLvl w:val="0"/>
        <w:rPr>
          <w:b/>
          <w:sz w:val="28"/>
          <w:szCs w:val="28"/>
        </w:rPr>
      </w:pPr>
    </w:p>
    <w:p w:rsidR="00CD28E1" w:rsidRDefault="007E7D1B" w:rsidP="001E5456">
      <w:pPr>
        <w:outlineLvl w:val="0"/>
        <w:rPr>
          <w:b/>
          <w:sz w:val="28"/>
          <w:szCs w:val="28"/>
        </w:rPr>
      </w:pPr>
      <w:r w:rsidRPr="007E7D1B">
        <w:t>In August 2011, EPA published an amendment to the existing CDR rule</w:t>
      </w:r>
      <w:r w:rsidR="004F5991">
        <w:t xml:space="preserve"> (</w:t>
      </w:r>
      <w:r w:rsidR="001E5456">
        <w:t>formerly known as Inventory Update Rule or IUR</w:t>
      </w:r>
      <w:r w:rsidR="004F5991">
        <w:t>)</w:t>
      </w:r>
      <w:r w:rsidRPr="007E7D1B">
        <w:t xml:space="preserve">, </w:t>
      </w:r>
      <w:r w:rsidR="0019418F">
        <w:t>that added</w:t>
      </w:r>
      <w:r w:rsidRPr="007E7D1B">
        <w:t xml:space="preserve"> new requirements and thresholds, some of which were effective in the 2012 reporting cycle and others that</w:t>
      </w:r>
      <w:r w:rsidR="00DF555E">
        <w:t xml:space="preserve"> are </w:t>
      </w:r>
      <w:r w:rsidRPr="007E7D1B">
        <w:t>effecti</w:t>
      </w:r>
      <w:r>
        <w:t>ve in the 2016 reporting cycle.</w:t>
      </w:r>
    </w:p>
    <w:p w:rsidR="00CD28E1" w:rsidRDefault="00CD28E1" w:rsidP="00B810E3">
      <w:pPr>
        <w:outlineLvl w:val="0"/>
        <w:rPr>
          <w:b/>
          <w:sz w:val="28"/>
          <w:szCs w:val="28"/>
        </w:rPr>
      </w:pPr>
    </w:p>
    <w:p w:rsidR="002029A9" w:rsidRDefault="002029A9" w:rsidP="002029A9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CD28E1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I. </w:t>
      </w:r>
      <w:r w:rsidRPr="002340F1">
        <w:rPr>
          <w:b/>
          <w:sz w:val="28"/>
          <w:szCs w:val="28"/>
        </w:rPr>
        <w:t>Description of Non-</w:t>
      </w:r>
      <w:r>
        <w:rPr>
          <w:b/>
          <w:sz w:val="28"/>
          <w:szCs w:val="28"/>
        </w:rPr>
        <w:t>S</w:t>
      </w:r>
      <w:r w:rsidRPr="002340F1">
        <w:rPr>
          <w:b/>
          <w:sz w:val="28"/>
          <w:szCs w:val="28"/>
        </w:rPr>
        <w:t>ubstantive Changes</w:t>
      </w:r>
    </w:p>
    <w:p w:rsidR="002029A9" w:rsidRDefault="002029A9" w:rsidP="002029A9">
      <w:pPr>
        <w:rPr>
          <w:i/>
        </w:rPr>
      </w:pPr>
    </w:p>
    <w:p w:rsidR="002029A9" w:rsidRPr="00203D61" w:rsidRDefault="002029A9" w:rsidP="002029A9">
      <w:pPr>
        <w:outlineLvl w:val="1"/>
        <w:rPr>
          <w:b/>
          <w:i/>
        </w:rPr>
      </w:pPr>
      <w:r w:rsidRPr="00203D61">
        <w:rPr>
          <w:b/>
          <w:i/>
        </w:rPr>
        <w:t>What Information Collection Request (ICR) is EPA changing?</w:t>
      </w:r>
    </w:p>
    <w:p w:rsidR="002029A9" w:rsidRDefault="002029A9" w:rsidP="002029A9">
      <w:pPr>
        <w:rPr>
          <w:b/>
        </w:rPr>
      </w:pPr>
    </w:p>
    <w:tbl>
      <w:tblPr>
        <w:tblW w:w="0" w:type="auto"/>
        <w:tblInd w:w="708" w:type="dxa"/>
        <w:tblLook w:val="01E0" w:firstRow="1" w:lastRow="1" w:firstColumn="1" w:lastColumn="1" w:noHBand="0" w:noVBand="0"/>
      </w:tblPr>
      <w:tblGrid>
        <w:gridCol w:w="1781"/>
        <w:gridCol w:w="6871"/>
      </w:tblGrid>
      <w:tr w:rsidR="002029A9" w:rsidTr="00CE5A18">
        <w:trPr>
          <w:trHeight w:val="432"/>
        </w:trPr>
        <w:tc>
          <w:tcPr>
            <w:tcW w:w="1800" w:type="dxa"/>
          </w:tcPr>
          <w:p w:rsidR="002029A9" w:rsidRDefault="002029A9" w:rsidP="00CE5A18">
            <w:r w:rsidRPr="000416B8">
              <w:rPr>
                <w:b/>
              </w:rPr>
              <w:t>ICR Title:</w:t>
            </w:r>
          </w:p>
        </w:tc>
        <w:tc>
          <w:tcPr>
            <w:tcW w:w="7068" w:type="dxa"/>
            <w:vAlign w:val="center"/>
          </w:tcPr>
          <w:p w:rsidR="00E836F7" w:rsidRDefault="00E836F7" w:rsidP="00E836F7">
            <w:r>
              <w:t xml:space="preserve">Partial Update of the TSCA Section 8(b) Inventory Data Base, </w:t>
            </w:r>
          </w:p>
          <w:p w:rsidR="002029A9" w:rsidRDefault="00E836F7" w:rsidP="00E836F7">
            <w:r>
              <w:t>Production and Site Reports (Chemical Data Reporting)</w:t>
            </w:r>
          </w:p>
        </w:tc>
      </w:tr>
      <w:tr w:rsidR="002029A9" w:rsidTr="00CE5A18">
        <w:trPr>
          <w:trHeight w:val="432"/>
        </w:trPr>
        <w:tc>
          <w:tcPr>
            <w:tcW w:w="1800" w:type="dxa"/>
            <w:vAlign w:val="center"/>
          </w:tcPr>
          <w:p w:rsidR="002029A9" w:rsidRDefault="002029A9" w:rsidP="00CE5A18">
            <w:r w:rsidRPr="000416B8">
              <w:rPr>
                <w:b/>
              </w:rPr>
              <w:t>ICR Numbers:</w:t>
            </w:r>
          </w:p>
        </w:tc>
        <w:tc>
          <w:tcPr>
            <w:tcW w:w="7068" w:type="dxa"/>
            <w:vAlign w:val="center"/>
          </w:tcPr>
          <w:p w:rsidR="002029A9" w:rsidRDefault="002029A9" w:rsidP="00E836F7">
            <w:r>
              <w:t xml:space="preserve">EPA ICR No. </w:t>
            </w:r>
            <w:r w:rsidR="00E836F7">
              <w:t>1884.08</w:t>
            </w:r>
            <w:r>
              <w:t xml:space="preserve">; </w:t>
            </w:r>
            <w:hyperlink r:id="rId7" w:history="1">
              <w:r w:rsidR="00E836F7" w:rsidRPr="00612D79">
                <w:rPr>
                  <w:rStyle w:val="Hyperlink"/>
                </w:rPr>
                <w:t>OMB Control No. 2070-0162</w:t>
              </w:r>
            </w:hyperlink>
          </w:p>
        </w:tc>
      </w:tr>
    </w:tbl>
    <w:p w:rsidR="002029A9" w:rsidRDefault="002029A9" w:rsidP="002029A9"/>
    <w:p w:rsidR="002029A9" w:rsidRPr="00203D61" w:rsidRDefault="002029A9" w:rsidP="002029A9">
      <w:pPr>
        <w:outlineLvl w:val="1"/>
        <w:rPr>
          <w:b/>
          <w:i/>
        </w:rPr>
      </w:pPr>
      <w:r w:rsidRPr="00203D61">
        <w:rPr>
          <w:b/>
          <w:i/>
        </w:rPr>
        <w:t>What is the current status of this ICR?</w:t>
      </w:r>
    </w:p>
    <w:p w:rsidR="002029A9" w:rsidRDefault="002029A9" w:rsidP="002029A9">
      <w:r w:rsidRPr="0009025C">
        <w:t>This ICR is currently approved</w:t>
      </w:r>
      <w:r>
        <w:t xml:space="preserve"> through </w:t>
      </w:r>
      <w:r w:rsidR="00E836F7">
        <w:t>October 31, 2018</w:t>
      </w:r>
      <w:r>
        <w:t>.</w:t>
      </w:r>
    </w:p>
    <w:p w:rsidR="002029A9" w:rsidRDefault="002029A9" w:rsidP="00B810E3">
      <w:pPr>
        <w:outlineLvl w:val="0"/>
        <w:rPr>
          <w:b/>
          <w:sz w:val="28"/>
          <w:szCs w:val="28"/>
        </w:rPr>
      </w:pPr>
    </w:p>
    <w:p w:rsidR="002029A9" w:rsidRPr="00203D61" w:rsidRDefault="002029A9" w:rsidP="002029A9">
      <w:pPr>
        <w:outlineLvl w:val="1"/>
        <w:rPr>
          <w:b/>
        </w:rPr>
      </w:pPr>
      <w:r w:rsidRPr="00203D61">
        <w:rPr>
          <w:b/>
          <w:i/>
        </w:rPr>
        <w:t xml:space="preserve">What are the changes that EPA is making to this </w:t>
      </w:r>
      <w:r w:rsidR="00EF3BB7" w:rsidRPr="00203D61">
        <w:rPr>
          <w:b/>
          <w:i/>
        </w:rPr>
        <w:t>collection of information</w:t>
      </w:r>
      <w:r w:rsidRPr="00203D61">
        <w:rPr>
          <w:b/>
          <w:i/>
        </w:rPr>
        <w:t>?</w:t>
      </w:r>
    </w:p>
    <w:p w:rsidR="00D35EA9" w:rsidRDefault="00CD28E1" w:rsidP="00EF3BB7">
      <w:r w:rsidRPr="00CD28E1">
        <w:t>The 2011 amendments in</w:t>
      </w:r>
      <w:r w:rsidR="00BD2B53">
        <w:t xml:space="preserve"> the CDR contained changes that</w:t>
      </w:r>
      <w:r w:rsidRPr="00CD28E1">
        <w:t xml:space="preserve"> </w:t>
      </w:r>
      <w:r w:rsidR="00DF555E">
        <w:t xml:space="preserve">are </w:t>
      </w:r>
      <w:r w:rsidRPr="00CD28E1">
        <w:t xml:space="preserve">effective in 2016: 1) the threshold for reporting process and use information </w:t>
      </w:r>
      <w:r w:rsidR="00DF555E">
        <w:t>is</w:t>
      </w:r>
      <w:r w:rsidRPr="00CD28E1">
        <w:t xml:space="preserve"> lowered to 25,000 pounds; </w:t>
      </w:r>
      <w:r>
        <w:t>2</w:t>
      </w:r>
      <w:r w:rsidRPr="00CD28E1">
        <w:t xml:space="preserve">) the total annual production volume </w:t>
      </w:r>
      <w:r w:rsidR="00DF555E">
        <w:t>is</w:t>
      </w:r>
      <w:r w:rsidRPr="00CD28E1">
        <w:t xml:space="preserve"> reported for all reporting years since the last reporting year (f</w:t>
      </w:r>
      <w:r>
        <w:t>or 2016, years 2012-2015); and 3</w:t>
      </w:r>
      <w:r w:rsidRPr="00CD28E1">
        <w:t xml:space="preserve">) the threshold for reporting manufacturing, processing and use information for certain regulated chemicals </w:t>
      </w:r>
      <w:r w:rsidR="00DF555E">
        <w:t>is</w:t>
      </w:r>
      <w:r>
        <w:t xml:space="preserve"> lowered to 2,500 pounds.</w:t>
      </w:r>
    </w:p>
    <w:p w:rsidR="00BD2B53" w:rsidRDefault="00BD2B53" w:rsidP="002029A9"/>
    <w:p w:rsidR="008F056B" w:rsidRDefault="002029A9" w:rsidP="002029A9">
      <w:r>
        <w:t xml:space="preserve">EPA is </w:t>
      </w:r>
      <w:r w:rsidR="005D4FE8">
        <w:t xml:space="preserve">revising </w:t>
      </w:r>
      <w:r w:rsidR="00444398">
        <w:t xml:space="preserve">the </w:t>
      </w:r>
      <w:r w:rsidR="00E836F7">
        <w:t>Form U</w:t>
      </w:r>
      <w:r w:rsidR="0010780D">
        <w:t xml:space="preserve"> to reflect the change in the number of years annual production volume must be reported.</w:t>
      </w:r>
      <w:r w:rsidR="00444398">
        <w:t xml:space="preserve"> </w:t>
      </w:r>
      <w:r w:rsidR="0010780D">
        <w:t>Blocks 2.B.20.a.,</w:t>
      </w:r>
      <w:r w:rsidR="00041673">
        <w:t xml:space="preserve"> 2.B.20.</w:t>
      </w:r>
      <w:r w:rsidR="0010780D">
        <w:t xml:space="preserve">b. and </w:t>
      </w:r>
      <w:r w:rsidR="00041673">
        <w:t>2.B.20.</w:t>
      </w:r>
      <w:r w:rsidR="0010780D">
        <w:t xml:space="preserve">c. will request past </w:t>
      </w:r>
      <w:r w:rsidR="004607C3">
        <w:t>production</w:t>
      </w:r>
      <w:r w:rsidR="0010780D">
        <w:t xml:space="preserve"> </w:t>
      </w:r>
      <w:r w:rsidR="0010780D">
        <w:lastRenderedPageBreak/>
        <w:t>volumes for the calendar years since the last reporting period (</w:t>
      </w:r>
      <w:r w:rsidR="007B4E25">
        <w:t xml:space="preserve">currently </w:t>
      </w:r>
      <w:r w:rsidR="0010780D">
        <w:t>2012, 2013, and 2014).</w:t>
      </w:r>
      <w:r w:rsidR="00444398">
        <w:t xml:space="preserve"> </w:t>
      </w:r>
      <w:r w:rsidR="004607C3">
        <w:t xml:space="preserve">The Paperwork Reduction Act </w:t>
      </w:r>
      <w:r w:rsidR="00C92B95">
        <w:t>Notice</w:t>
      </w:r>
      <w:r w:rsidR="004607C3">
        <w:t xml:space="preserve"> will also be </w:t>
      </w:r>
      <w:r w:rsidR="0019418F">
        <w:t>revised</w:t>
      </w:r>
      <w:r w:rsidR="004607C3">
        <w:t xml:space="preserve"> to reflect the </w:t>
      </w:r>
      <w:r w:rsidR="00C92B95">
        <w:t xml:space="preserve">pubic burden in the </w:t>
      </w:r>
      <w:r w:rsidR="004607C3">
        <w:t>current ICR.</w:t>
      </w:r>
    </w:p>
    <w:p w:rsidR="00C1125A" w:rsidRDefault="00C1125A" w:rsidP="002029A9"/>
    <w:p w:rsidR="00C1125A" w:rsidRDefault="00C1125A" w:rsidP="002029A9">
      <w:r>
        <w:t xml:space="preserve">EPA is also updating the Instructions </w:t>
      </w:r>
      <w:r w:rsidR="00C1570B">
        <w:t>for Reporting</w:t>
      </w:r>
      <w:r>
        <w:t xml:space="preserve"> to clarify the changes</w:t>
      </w:r>
      <w:r w:rsidR="004D3163">
        <w:t xml:space="preserve"> for </w:t>
      </w:r>
      <w:r w:rsidR="009725AA">
        <w:t xml:space="preserve">the </w:t>
      </w:r>
      <w:r w:rsidR="004D3163">
        <w:t>2016</w:t>
      </w:r>
      <w:r w:rsidR="009725AA">
        <w:t xml:space="preserve"> reporting</w:t>
      </w:r>
      <w:r>
        <w:t xml:space="preserve">, as described in the </w:t>
      </w:r>
      <w:r w:rsidR="00C85B8A">
        <w:t xml:space="preserve">2011 CDR </w:t>
      </w:r>
      <w:r>
        <w:t>rule.</w:t>
      </w:r>
    </w:p>
    <w:p w:rsidR="004F5991" w:rsidRDefault="004F5991" w:rsidP="002029A9"/>
    <w:p w:rsidR="00041673" w:rsidRDefault="005D4FE8" w:rsidP="002029A9">
      <w:r>
        <w:t>For submission of CDR information, EPA provides an electronic</w:t>
      </w:r>
      <w:r w:rsidR="00C1125A">
        <w:t>, web-based tool (e-</w:t>
      </w:r>
      <w:proofErr w:type="spellStart"/>
      <w:r w:rsidR="00C1125A">
        <w:t>CDRweb</w:t>
      </w:r>
      <w:proofErr w:type="spellEnd"/>
      <w:r w:rsidR="00C1125A">
        <w:t>). U</w:t>
      </w:r>
      <w:r w:rsidR="00C85B8A">
        <w:t>pdated User G</w:t>
      </w:r>
      <w:r>
        <w:t>uide</w:t>
      </w:r>
      <w:r w:rsidR="00C1125A">
        <w:t>s</w:t>
      </w:r>
      <w:r>
        <w:t xml:space="preserve"> </w:t>
      </w:r>
      <w:r w:rsidR="00C85B8A">
        <w:t>will be</w:t>
      </w:r>
      <w:r>
        <w:t xml:space="preserve"> available to help the regulated community navigate through the </w:t>
      </w:r>
    </w:p>
    <w:p w:rsidR="005D4FE8" w:rsidRDefault="005D4FE8" w:rsidP="002029A9">
      <w:proofErr w:type="gramStart"/>
      <w:r>
        <w:t>e-</w:t>
      </w:r>
      <w:proofErr w:type="spellStart"/>
      <w:r>
        <w:t>CDRweb</w:t>
      </w:r>
      <w:proofErr w:type="spellEnd"/>
      <w:proofErr w:type="gramEnd"/>
      <w:r>
        <w:t xml:space="preserve"> </w:t>
      </w:r>
      <w:r w:rsidRPr="002B28B8">
        <w:t>tool in order to comply with the requirements of the CDR rule</w:t>
      </w:r>
      <w:r>
        <w:t>.</w:t>
      </w:r>
    </w:p>
    <w:p w:rsidR="004F5991" w:rsidRDefault="004F5991" w:rsidP="00203D61"/>
    <w:p w:rsidR="00203D61" w:rsidRPr="00203D61" w:rsidRDefault="00203D61" w:rsidP="00203D61">
      <w:pPr>
        <w:rPr>
          <w:b/>
          <w:i/>
        </w:rPr>
      </w:pPr>
      <w:r w:rsidRPr="00203D61">
        <w:rPr>
          <w:b/>
          <w:i/>
        </w:rPr>
        <w:t xml:space="preserve">Will this change impact the annual ICR burden estimate? </w:t>
      </w:r>
    </w:p>
    <w:p w:rsidR="00762ADD" w:rsidRDefault="00203D61" w:rsidP="00203D61">
      <w:r>
        <w:t>No.  The current ICR</w:t>
      </w:r>
      <w:r w:rsidR="0010780D">
        <w:t xml:space="preserve"> annual burden will not change.</w:t>
      </w:r>
      <w:r w:rsidR="00346DA9">
        <w:t xml:space="preserve"> The estimated burden for 2016 CDR reporting was presented in the ICR renewal that was approved by OMB on October 14, 2015 (</w:t>
      </w:r>
      <w:hyperlink r:id="rId8" w:history="1">
        <w:r w:rsidR="00346DA9" w:rsidRPr="00346DA9">
          <w:rPr>
            <w:rStyle w:val="Hyperlink"/>
          </w:rPr>
          <w:t>ICR Ref. No. 201501-2070-002</w:t>
        </w:r>
      </w:hyperlink>
      <w:r w:rsidR="00346DA9">
        <w:t>).</w:t>
      </w:r>
    </w:p>
    <w:p w:rsidR="00CD28E1" w:rsidRDefault="00CD28E1" w:rsidP="00762ADD">
      <w:pPr>
        <w:rPr>
          <w:b/>
          <w:i/>
        </w:rPr>
      </w:pPr>
    </w:p>
    <w:p w:rsidR="00762ADD" w:rsidRDefault="00762ADD" w:rsidP="00762ADD">
      <w:pPr>
        <w:rPr>
          <w:b/>
          <w:i/>
        </w:rPr>
      </w:pPr>
      <w:r w:rsidRPr="00762ADD">
        <w:rPr>
          <w:b/>
          <w:i/>
        </w:rPr>
        <w:t xml:space="preserve">What is the expected non-paperwork impact of </w:t>
      </w:r>
      <w:r>
        <w:rPr>
          <w:b/>
          <w:i/>
        </w:rPr>
        <w:t>this</w:t>
      </w:r>
      <w:r w:rsidR="0010780D">
        <w:rPr>
          <w:b/>
          <w:i/>
        </w:rPr>
        <w:t xml:space="preserve"> change</w:t>
      </w:r>
      <w:r w:rsidRPr="00762ADD">
        <w:rPr>
          <w:b/>
          <w:i/>
        </w:rPr>
        <w:t>?</w:t>
      </w:r>
    </w:p>
    <w:p w:rsidR="00D35EA9" w:rsidRPr="00D35EA9" w:rsidRDefault="00D35EA9" w:rsidP="00762ADD">
      <w:r w:rsidRPr="00D35EA9">
        <w:t xml:space="preserve">None. </w:t>
      </w:r>
      <w:r w:rsidR="00EF6F72">
        <w:t xml:space="preserve">The Form U </w:t>
      </w:r>
      <w:r w:rsidR="00CE1DB1">
        <w:t>plus</w:t>
      </w:r>
      <w:r w:rsidR="00EF6F72">
        <w:t xml:space="preserve"> the corresponding Instructions </w:t>
      </w:r>
      <w:r w:rsidR="004F738A">
        <w:t>for Reporting</w:t>
      </w:r>
      <w:r w:rsidR="00EF6F72">
        <w:t xml:space="preserve"> </w:t>
      </w:r>
      <w:r w:rsidR="00DF555E">
        <w:t>and e-</w:t>
      </w:r>
      <w:proofErr w:type="spellStart"/>
      <w:r w:rsidR="00DF555E">
        <w:t>CDRweb</w:t>
      </w:r>
      <w:proofErr w:type="spellEnd"/>
      <w:r w:rsidR="00DF555E">
        <w:t xml:space="preserve"> User Guides </w:t>
      </w:r>
      <w:r w:rsidR="00EF6F72">
        <w:t xml:space="preserve">were available for the 2012 submission period. This change is to update the data collection </w:t>
      </w:r>
      <w:r w:rsidR="00CE1DB1">
        <w:t xml:space="preserve">form and </w:t>
      </w:r>
      <w:r w:rsidR="00DF555E" w:rsidRPr="00DF555E">
        <w:t>relevant guidance that is intended to help submitters complete the submission</w:t>
      </w:r>
      <w:r w:rsidR="00CE1DB1">
        <w:t xml:space="preserve"> </w:t>
      </w:r>
      <w:r w:rsidR="00EF6F72">
        <w:t xml:space="preserve">as </w:t>
      </w:r>
      <w:r w:rsidR="00E93FEF">
        <w:t>requir</w:t>
      </w:r>
      <w:r w:rsidR="00EF6F72">
        <w:t>ed in the CDR rule and approved</w:t>
      </w:r>
      <w:r w:rsidR="00B0105F">
        <w:t xml:space="preserve"> already by OMB.</w:t>
      </w:r>
    </w:p>
    <w:p w:rsidR="00762ADD" w:rsidRDefault="00762ADD" w:rsidP="00203D61"/>
    <w:sectPr w:rsidR="00762ADD" w:rsidSect="00EF3BB7">
      <w:footerReference w:type="default" r:id="rId9"/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180" w:rsidRDefault="00895180">
      <w:r>
        <w:separator/>
      </w:r>
    </w:p>
  </w:endnote>
  <w:endnote w:type="continuationSeparator" w:id="0">
    <w:p w:rsidR="00895180" w:rsidRDefault="00895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608" w:rsidRDefault="00CC360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952C6">
      <w:rPr>
        <w:noProof/>
      </w:rPr>
      <w:t>2</w:t>
    </w:r>
    <w:r>
      <w:rPr>
        <w:noProof/>
      </w:rPr>
      <w:fldChar w:fldCharType="end"/>
    </w:r>
  </w:p>
  <w:p w:rsidR="00CC3608" w:rsidRDefault="00CC36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180" w:rsidRDefault="00895180">
      <w:r>
        <w:separator/>
      </w:r>
    </w:p>
  </w:footnote>
  <w:footnote w:type="continuationSeparator" w:id="0">
    <w:p w:rsidR="00895180" w:rsidRDefault="00895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674AA"/>
    <w:multiLevelType w:val="hybridMultilevel"/>
    <w:tmpl w:val="82D23476"/>
    <w:lvl w:ilvl="0" w:tplc="FDF67E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3263C4"/>
    <w:multiLevelType w:val="hybridMultilevel"/>
    <w:tmpl w:val="3796D19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FBA719D"/>
    <w:multiLevelType w:val="hybridMultilevel"/>
    <w:tmpl w:val="3522D7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C82D72"/>
    <w:multiLevelType w:val="hybridMultilevel"/>
    <w:tmpl w:val="6C6A7C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FE50C2"/>
    <w:multiLevelType w:val="hybridMultilevel"/>
    <w:tmpl w:val="E7C4E01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EF9"/>
    <w:rsid w:val="00006A7A"/>
    <w:rsid w:val="00007884"/>
    <w:rsid w:val="00010014"/>
    <w:rsid w:val="00013B16"/>
    <w:rsid w:val="0003532A"/>
    <w:rsid w:val="000361B2"/>
    <w:rsid w:val="00041318"/>
    <w:rsid w:val="00041673"/>
    <w:rsid w:val="000416B8"/>
    <w:rsid w:val="0004462F"/>
    <w:rsid w:val="00050F26"/>
    <w:rsid w:val="0006004D"/>
    <w:rsid w:val="000610DE"/>
    <w:rsid w:val="00073694"/>
    <w:rsid w:val="00073A7B"/>
    <w:rsid w:val="00077978"/>
    <w:rsid w:val="00081C40"/>
    <w:rsid w:val="00085545"/>
    <w:rsid w:val="000924ED"/>
    <w:rsid w:val="00096C8B"/>
    <w:rsid w:val="000A4D83"/>
    <w:rsid w:val="000C55B0"/>
    <w:rsid w:val="000C5FC9"/>
    <w:rsid w:val="000C7E83"/>
    <w:rsid w:val="000D6122"/>
    <w:rsid w:val="000D791C"/>
    <w:rsid w:val="000E234E"/>
    <w:rsid w:val="000E2546"/>
    <w:rsid w:val="00102167"/>
    <w:rsid w:val="00102689"/>
    <w:rsid w:val="00103983"/>
    <w:rsid w:val="00103E22"/>
    <w:rsid w:val="0010780D"/>
    <w:rsid w:val="00115209"/>
    <w:rsid w:val="001162E5"/>
    <w:rsid w:val="00117937"/>
    <w:rsid w:val="00117F56"/>
    <w:rsid w:val="00141806"/>
    <w:rsid w:val="00151F4D"/>
    <w:rsid w:val="0016521F"/>
    <w:rsid w:val="001907F5"/>
    <w:rsid w:val="0019418F"/>
    <w:rsid w:val="00197E8F"/>
    <w:rsid w:val="001A7AD1"/>
    <w:rsid w:val="001B4F67"/>
    <w:rsid w:val="001C0633"/>
    <w:rsid w:val="001C3331"/>
    <w:rsid w:val="001D3208"/>
    <w:rsid w:val="001E5456"/>
    <w:rsid w:val="001F35D6"/>
    <w:rsid w:val="001F563C"/>
    <w:rsid w:val="001F6CD6"/>
    <w:rsid w:val="002029A9"/>
    <w:rsid w:val="00203D61"/>
    <w:rsid w:val="0020567E"/>
    <w:rsid w:val="0021159C"/>
    <w:rsid w:val="00212A07"/>
    <w:rsid w:val="00215092"/>
    <w:rsid w:val="00215C6E"/>
    <w:rsid w:val="002340F1"/>
    <w:rsid w:val="00234D23"/>
    <w:rsid w:val="00252B3A"/>
    <w:rsid w:val="00272F83"/>
    <w:rsid w:val="00287D5C"/>
    <w:rsid w:val="0029490C"/>
    <w:rsid w:val="002973F6"/>
    <w:rsid w:val="002A3601"/>
    <w:rsid w:val="002A5024"/>
    <w:rsid w:val="002A77F3"/>
    <w:rsid w:val="002B0552"/>
    <w:rsid w:val="002B28B8"/>
    <w:rsid w:val="002C3A80"/>
    <w:rsid w:val="002C4AC1"/>
    <w:rsid w:val="002C557D"/>
    <w:rsid w:val="002C56EE"/>
    <w:rsid w:val="002E0DDB"/>
    <w:rsid w:val="002E3103"/>
    <w:rsid w:val="002E586E"/>
    <w:rsid w:val="002E5CE1"/>
    <w:rsid w:val="002E68A3"/>
    <w:rsid w:val="003008B8"/>
    <w:rsid w:val="00301217"/>
    <w:rsid w:val="0031183F"/>
    <w:rsid w:val="00311E13"/>
    <w:rsid w:val="0031663D"/>
    <w:rsid w:val="00321D5D"/>
    <w:rsid w:val="0033513F"/>
    <w:rsid w:val="00341A41"/>
    <w:rsid w:val="00346DA9"/>
    <w:rsid w:val="00354BF5"/>
    <w:rsid w:val="00357520"/>
    <w:rsid w:val="0036389B"/>
    <w:rsid w:val="0037506C"/>
    <w:rsid w:val="003812E2"/>
    <w:rsid w:val="00385965"/>
    <w:rsid w:val="003876D8"/>
    <w:rsid w:val="00392B6C"/>
    <w:rsid w:val="003952C6"/>
    <w:rsid w:val="003A1E13"/>
    <w:rsid w:val="003A4438"/>
    <w:rsid w:val="003B0041"/>
    <w:rsid w:val="003C185A"/>
    <w:rsid w:val="003C3F44"/>
    <w:rsid w:val="003D28D5"/>
    <w:rsid w:val="003D32CF"/>
    <w:rsid w:val="003D6FBA"/>
    <w:rsid w:val="003E50C1"/>
    <w:rsid w:val="003E794E"/>
    <w:rsid w:val="003F2EEA"/>
    <w:rsid w:val="003F50E4"/>
    <w:rsid w:val="00400EB6"/>
    <w:rsid w:val="0040154F"/>
    <w:rsid w:val="00404AE1"/>
    <w:rsid w:val="0040706D"/>
    <w:rsid w:val="004249F2"/>
    <w:rsid w:val="00427EF9"/>
    <w:rsid w:val="0043328B"/>
    <w:rsid w:val="00435ED3"/>
    <w:rsid w:val="00442621"/>
    <w:rsid w:val="00444398"/>
    <w:rsid w:val="004443B4"/>
    <w:rsid w:val="0045744C"/>
    <w:rsid w:val="004607C3"/>
    <w:rsid w:val="00490A8B"/>
    <w:rsid w:val="00492D3C"/>
    <w:rsid w:val="004B45D6"/>
    <w:rsid w:val="004C3C73"/>
    <w:rsid w:val="004C516B"/>
    <w:rsid w:val="004D3163"/>
    <w:rsid w:val="004D71FD"/>
    <w:rsid w:val="004E394A"/>
    <w:rsid w:val="004E41E0"/>
    <w:rsid w:val="004F5991"/>
    <w:rsid w:val="004F738A"/>
    <w:rsid w:val="005004DF"/>
    <w:rsid w:val="00514841"/>
    <w:rsid w:val="00516946"/>
    <w:rsid w:val="00520745"/>
    <w:rsid w:val="005222B6"/>
    <w:rsid w:val="00523844"/>
    <w:rsid w:val="00527C84"/>
    <w:rsid w:val="00531F33"/>
    <w:rsid w:val="005339E3"/>
    <w:rsid w:val="00536125"/>
    <w:rsid w:val="0053683E"/>
    <w:rsid w:val="00544661"/>
    <w:rsid w:val="00546796"/>
    <w:rsid w:val="0055252F"/>
    <w:rsid w:val="00552AAF"/>
    <w:rsid w:val="00573A65"/>
    <w:rsid w:val="00573EFC"/>
    <w:rsid w:val="0057737F"/>
    <w:rsid w:val="00577721"/>
    <w:rsid w:val="00587608"/>
    <w:rsid w:val="0059154B"/>
    <w:rsid w:val="00591B0C"/>
    <w:rsid w:val="005936F2"/>
    <w:rsid w:val="00593B27"/>
    <w:rsid w:val="00595FC2"/>
    <w:rsid w:val="005A5A3B"/>
    <w:rsid w:val="005B5A02"/>
    <w:rsid w:val="005B5FF6"/>
    <w:rsid w:val="005C042A"/>
    <w:rsid w:val="005D4FE8"/>
    <w:rsid w:val="005E13B8"/>
    <w:rsid w:val="005E3A40"/>
    <w:rsid w:val="005E537D"/>
    <w:rsid w:val="005F210D"/>
    <w:rsid w:val="00607AB4"/>
    <w:rsid w:val="006106B0"/>
    <w:rsid w:val="006118D8"/>
    <w:rsid w:val="00612D79"/>
    <w:rsid w:val="006168EC"/>
    <w:rsid w:val="00623721"/>
    <w:rsid w:val="006320C4"/>
    <w:rsid w:val="0063471C"/>
    <w:rsid w:val="00640674"/>
    <w:rsid w:val="00642030"/>
    <w:rsid w:val="006424DF"/>
    <w:rsid w:val="00642A40"/>
    <w:rsid w:val="00645C90"/>
    <w:rsid w:val="00646036"/>
    <w:rsid w:val="00657764"/>
    <w:rsid w:val="006671CD"/>
    <w:rsid w:val="00681C16"/>
    <w:rsid w:val="006A00FD"/>
    <w:rsid w:val="006A0562"/>
    <w:rsid w:val="006D5F99"/>
    <w:rsid w:val="006D67E4"/>
    <w:rsid w:val="006E1F21"/>
    <w:rsid w:val="00700691"/>
    <w:rsid w:val="00706681"/>
    <w:rsid w:val="00712C55"/>
    <w:rsid w:val="007267DF"/>
    <w:rsid w:val="00733C94"/>
    <w:rsid w:val="00740002"/>
    <w:rsid w:val="00762ADD"/>
    <w:rsid w:val="007649E5"/>
    <w:rsid w:val="00775602"/>
    <w:rsid w:val="00790C9D"/>
    <w:rsid w:val="00795399"/>
    <w:rsid w:val="007A09B9"/>
    <w:rsid w:val="007A3EBA"/>
    <w:rsid w:val="007B4E25"/>
    <w:rsid w:val="007B6CD8"/>
    <w:rsid w:val="007C01AF"/>
    <w:rsid w:val="007C1EFC"/>
    <w:rsid w:val="007D2073"/>
    <w:rsid w:val="007E42B1"/>
    <w:rsid w:val="007E5B8C"/>
    <w:rsid w:val="007E7D1B"/>
    <w:rsid w:val="007F0DE8"/>
    <w:rsid w:val="00804784"/>
    <w:rsid w:val="00805DA0"/>
    <w:rsid w:val="00810D07"/>
    <w:rsid w:val="00817DB9"/>
    <w:rsid w:val="00821AFD"/>
    <w:rsid w:val="00821D9D"/>
    <w:rsid w:val="00823D7D"/>
    <w:rsid w:val="008302AC"/>
    <w:rsid w:val="008470D5"/>
    <w:rsid w:val="00852DE5"/>
    <w:rsid w:val="00857F28"/>
    <w:rsid w:val="00860269"/>
    <w:rsid w:val="00862226"/>
    <w:rsid w:val="00863B00"/>
    <w:rsid w:val="00870E72"/>
    <w:rsid w:val="008762F4"/>
    <w:rsid w:val="00880747"/>
    <w:rsid w:val="00895180"/>
    <w:rsid w:val="00897870"/>
    <w:rsid w:val="008A156C"/>
    <w:rsid w:val="008A271E"/>
    <w:rsid w:val="008A2C36"/>
    <w:rsid w:val="008A5B25"/>
    <w:rsid w:val="008C4669"/>
    <w:rsid w:val="008F056B"/>
    <w:rsid w:val="008F0C2F"/>
    <w:rsid w:val="008F4669"/>
    <w:rsid w:val="00920702"/>
    <w:rsid w:val="00924142"/>
    <w:rsid w:val="00933D91"/>
    <w:rsid w:val="00940893"/>
    <w:rsid w:val="00956497"/>
    <w:rsid w:val="009725AA"/>
    <w:rsid w:val="0098077D"/>
    <w:rsid w:val="00985042"/>
    <w:rsid w:val="0099415B"/>
    <w:rsid w:val="009A1B82"/>
    <w:rsid w:val="009A5C6D"/>
    <w:rsid w:val="009B0C32"/>
    <w:rsid w:val="009C0EC7"/>
    <w:rsid w:val="009C30DB"/>
    <w:rsid w:val="009D12D3"/>
    <w:rsid w:val="009E3CFE"/>
    <w:rsid w:val="009E5E44"/>
    <w:rsid w:val="009E62DC"/>
    <w:rsid w:val="009E7890"/>
    <w:rsid w:val="009F0CAA"/>
    <w:rsid w:val="009F6401"/>
    <w:rsid w:val="009F7D58"/>
    <w:rsid w:val="00A03DC5"/>
    <w:rsid w:val="00A040C2"/>
    <w:rsid w:val="00A05B4D"/>
    <w:rsid w:val="00A06F58"/>
    <w:rsid w:val="00A073C5"/>
    <w:rsid w:val="00A20F5E"/>
    <w:rsid w:val="00A45149"/>
    <w:rsid w:val="00A76A6D"/>
    <w:rsid w:val="00A813E4"/>
    <w:rsid w:val="00A82A86"/>
    <w:rsid w:val="00A864E0"/>
    <w:rsid w:val="00A86DDE"/>
    <w:rsid w:val="00A92140"/>
    <w:rsid w:val="00AA3A5B"/>
    <w:rsid w:val="00AB6863"/>
    <w:rsid w:val="00AB6AF0"/>
    <w:rsid w:val="00AB6DB1"/>
    <w:rsid w:val="00AC0622"/>
    <w:rsid w:val="00AC304A"/>
    <w:rsid w:val="00AC542D"/>
    <w:rsid w:val="00AD17B2"/>
    <w:rsid w:val="00AD34E7"/>
    <w:rsid w:val="00AD6A3D"/>
    <w:rsid w:val="00B0105F"/>
    <w:rsid w:val="00B11F7B"/>
    <w:rsid w:val="00B2092B"/>
    <w:rsid w:val="00B27C74"/>
    <w:rsid w:val="00B32B6B"/>
    <w:rsid w:val="00B37E64"/>
    <w:rsid w:val="00B5194C"/>
    <w:rsid w:val="00B57B5B"/>
    <w:rsid w:val="00B62DEF"/>
    <w:rsid w:val="00B6338E"/>
    <w:rsid w:val="00B658A0"/>
    <w:rsid w:val="00B66CAF"/>
    <w:rsid w:val="00B72B55"/>
    <w:rsid w:val="00B76BBA"/>
    <w:rsid w:val="00B77794"/>
    <w:rsid w:val="00B810E3"/>
    <w:rsid w:val="00B85C97"/>
    <w:rsid w:val="00BA4C67"/>
    <w:rsid w:val="00BA6E19"/>
    <w:rsid w:val="00BA714F"/>
    <w:rsid w:val="00BC04ED"/>
    <w:rsid w:val="00BD15B0"/>
    <w:rsid w:val="00BD2B53"/>
    <w:rsid w:val="00BD79AC"/>
    <w:rsid w:val="00BF7553"/>
    <w:rsid w:val="00C0629A"/>
    <w:rsid w:val="00C1125A"/>
    <w:rsid w:val="00C1570B"/>
    <w:rsid w:val="00C207D4"/>
    <w:rsid w:val="00C22476"/>
    <w:rsid w:val="00C34D8F"/>
    <w:rsid w:val="00C476F0"/>
    <w:rsid w:val="00C547B2"/>
    <w:rsid w:val="00C658E7"/>
    <w:rsid w:val="00C724FE"/>
    <w:rsid w:val="00C74BA4"/>
    <w:rsid w:val="00C849CA"/>
    <w:rsid w:val="00C84A04"/>
    <w:rsid w:val="00C85B8A"/>
    <w:rsid w:val="00C92B95"/>
    <w:rsid w:val="00CA45B1"/>
    <w:rsid w:val="00CB3A75"/>
    <w:rsid w:val="00CC3608"/>
    <w:rsid w:val="00CC5EFF"/>
    <w:rsid w:val="00CC65EC"/>
    <w:rsid w:val="00CD0BD2"/>
    <w:rsid w:val="00CD28E1"/>
    <w:rsid w:val="00CE00BD"/>
    <w:rsid w:val="00CE1DB1"/>
    <w:rsid w:val="00CE5A18"/>
    <w:rsid w:val="00CE5A3D"/>
    <w:rsid w:val="00CF1839"/>
    <w:rsid w:val="00CF4644"/>
    <w:rsid w:val="00D02781"/>
    <w:rsid w:val="00D07AB4"/>
    <w:rsid w:val="00D11FDF"/>
    <w:rsid w:val="00D15558"/>
    <w:rsid w:val="00D1598B"/>
    <w:rsid w:val="00D26314"/>
    <w:rsid w:val="00D3542D"/>
    <w:rsid w:val="00D35EA9"/>
    <w:rsid w:val="00D6211F"/>
    <w:rsid w:val="00D6296D"/>
    <w:rsid w:val="00D73AEE"/>
    <w:rsid w:val="00D76766"/>
    <w:rsid w:val="00D86DB3"/>
    <w:rsid w:val="00D9308A"/>
    <w:rsid w:val="00D93204"/>
    <w:rsid w:val="00D935B0"/>
    <w:rsid w:val="00D95757"/>
    <w:rsid w:val="00DB330B"/>
    <w:rsid w:val="00DB3427"/>
    <w:rsid w:val="00DC453E"/>
    <w:rsid w:val="00DC4644"/>
    <w:rsid w:val="00DC4F65"/>
    <w:rsid w:val="00DD0842"/>
    <w:rsid w:val="00DD0F18"/>
    <w:rsid w:val="00DD4608"/>
    <w:rsid w:val="00DD6724"/>
    <w:rsid w:val="00DF0B5B"/>
    <w:rsid w:val="00DF5230"/>
    <w:rsid w:val="00DF555E"/>
    <w:rsid w:val="00E056CD"/>
    <w:rsid w:val="00E107B4"/>
    <w:rsid w:val="00E41013"/>
    <w:rsid w:val="00E42B98"/>
    <w:rsid w:val="00E45AA4"/>
    <w:rsid w:val="00E479E4"/>
    <w:rsid w:val="00E5217D"/>
    <w:rsid w:val="00E61E38"/>
    <w:rsid w:val="00E63FBB"/>
    <w:rsid w:val="00E6461C"/>
    <w:rsid w:val="00E75B64"/>
    <w:rsid w:val="00E8209C"/>
    <w:rsid w:val="00E83644"/>
    <w:rsid w:val="00E836F7"/>
    <w:rsid w:val="00E83A32"/>
    <w:rsid w:val="00E879EE"/>
    <w:rsid w:val="00E93FEF"/>
    <w:rsid w:val="00EA597D"/>
    <w:rsid w:val="00EC2183"/>
    <w:rsid w:val="00EC3EA0"/>
    <w:rsid w:val="00EE6CAC"/>
    <w:rsid w:val="00EE77B2"/>
    <w:rsid w:val="00EF3BB7"/>
    <w:rsid w:val="00EF6C93"/>
    <w:rsid w:val="00EF6F72"/>
    <w:rsid w:val="00F0352A"/>
    <w:rsid w:val="00F03F35"/>
    <w:rsid w:val="00F06C65"/>
    <w:rsid w:val="00F074E9"/>
    <w:rsid w:val="00F16371"/>
    <w:rsid w:val="00F20F58"/>
    <w:rsid w:val="00F24908"/>
    <w:rsid w:val="00F268DB"/>
    <w:rsid w:val="00F27DE8"/>
    <w:rsid w:val="00F34BCC"/>
    <w:rsid w:val="00F37287"/>
    <w:rsid w:val="00F40353"/>
    <w:rsid w:val="00F4262C"/>
    <w:rsid w:val="00F46819"/>
    <w:rsid w:val="00F52E28"/>
    <w:rsid w:val="00F56B06"/>
    <w:rsid w:val="00F5776E"/>
    <w:rsid w:val="00F712D0"/>
    <w:rsid w:val="00F737AC"/>
    <w:rsid w:val="00F755F1"/>
    <w:rsid w:val="00F8759D"/>
    <w:rsid w:val="00FA2F7B"/>
    <w:rsid w:val="00FB0345"/>
    <w:rsid w:val="00FB2C4A"/>
    <w:rsid w:val="00FC788D"/>
    <w:rsid w:val="00FD500C"/>
    <w:rsid w:val="00FD6D43"/>
    <w:rsid w:val="00FE0C7C"/>
    <w:rsid w:val="00FE1133"/>
    <w:rsid w:val="00FE1B07"/>
    <w:rsid w:val="00FE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ABDDDD-85F9-482A-B180-0AF224A1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B810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5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0E234E"/>
    <w:rPr>
      <w:sz w:val="20"/>
      <w:szCs w:val="20"/>
    </w:rPr>
  </w:style>
  <w:style w:type="character" w:styleId="FootnoteReference">
    <w:name w:val="footnote reference"/>
    <w:semiHidden/>
    <w:rsid w:val="000E234E"/>
    <w:rPr>
      <w:vertAlign w:val="superscript"/>
    </w:rPr>
  </w:style>
  <w:style w:type="paragraph" w:styleId="Header">
    <w:name w:val="header"/>
    <w:basedOn w:val="Normal"/>
    <w:rsid w:val="009E62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E62D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724F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76BBA"/>
    <w:rPr>
      <w:sz w:val="16"/>
      <w:szCs w:val="16"/>
    </w:rPr>
  </w:style>
  <w:style w:type="paragraph" w:styleId="CommentText">
    <w:name w:val="annotation text"/>
    <w:basedOn w:val="Normal"/>
    <w:semiHidden/>
    <w:rsid w:val="00B76BB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76BBA"/>
    <w:rPr>
      <w:b/>
      <w:bCs/>
    </w:rPr>
  </w:style>
  <w:style w:type="character" w:styleId="Hyperlink">
    <w:name w:val="Hyperlink"/>
    <w:rsid w:val="00BD15B0"/>
    <w:rPr>
      <w:color w:val="0000FF"/>
      <w:u w:val="single"/>
    </w:rPr>
  </w:style>
  <w:style w:type="character" w:styleId="FollowedHyperlink">
    <w:name w:val="FollowedHyperlink"/>
    <w:rsid w:val="00BD15B0"/>
    <w:rPr>
      <w:color w:val="606420"/>
      <w:u w:val="single"/>
    </w:rPr>
  </w:style>
  <w:style w:type="paragraph" w:styleId="z-TopofForm">
    <w:name w:val="HTML Top of Form"/>
    <w:basedOn w:val="Normal"/>
    <w:next w:val="Normal"/>
    <w:hidden/>
    <w:rsid w:val="00B6338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B6338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TOC1">
    <w:name w:val="toc 1"/>
    <w:basedOn w:val="Normal"/>
    <w:next w:val="Normal"/>
    <w:autoRedefine/>
    <w:semiHidden/>
    <w:rsid w:val="00B810E3"/>
  </w:style>
  <w:style w:type="paragraph" w:styleId="TOC2">
    <w:name w:val="toc 2"/>
    <w:basedOn w:val="Normal"/>
    <w:next w:val="Normal"/>
    <w:autoRedefine/>
    <w:semiHidden/>
    <w:rsid w:val="00B810E3"/>
    <w:pPr>
      <w:ind w:left="240"/>
    </w:pPr>
  </w:style>
  <w:style w:type="paragraph" w:styleId="TOC3">
    <w:name w:val="toc 3"/>
    <w:basedOn w:val="Normal"/>
    <w:next w:val="Normal"/>
    <w:autoRedefine/>
    <w:semiHidden/>
    <w:rsid w:val="00B810E3"/>
    <w:pPr>
      <w:ind w:left="480"/>
    </w:pPr>
  </w:style>
  <w:style w:type="paragraph" w:styleId="ListParagraph">
    <w:name w:val="List Paragraph"/>
    <w:basedOn w:val="Normal"/>
    <w:uiPriority w:val="34"/>
    <w:qFormat/>
    <w:rsid w:val="00762ADD"/>
    <w:pPr>
      <w:ind w:left="720"/>
      <w:contextualSpacing/>
    </w:pPr>
    <w:rPr>
      <w:rFonts w:eastAsia="Calibri"/>
    </w:rPr>
  </w:style>
  <w:style w:type="character" w:customStyle="1" w:styleId="FooterChar">
    <w:name w:val="Footer Char"/>
    <w:link w:val="Footer"/>
    <w:uiPriority w:val="99"/>
    <w:rsid w:val="00CC36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nfo.gov/public/do/PRAViewICR?ref_nbr=201501-2070-00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info.gov/public/do/PRAOMBHistory?ombControlNumber=2070-01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 Non-Substantive Change to an Existing Approved Information Collection</vt:lpstr>
    </vt:vector>
  </TitlesOfParts>
  <Company>EPA</Company>
  <LinksUpToDate>false</LinksUpToDate>
  <CharactersWithSpaces>3686</CharactersWithSpaces>
  <SharedDoc>false</SharedDoc>
  <HLinks>
    <vt:vector size="6" baseType="variant">
      <vt:variant>
        <vt:i4>4194376</vt:i4>
      </vt:variant>
      <vt:variant>
        <vt:i4>0</vt:i4>
      </vt:variant>
      <vt:variant>
        <vt:i4>0</vt:i4>
      </vt:variant>
      <vt:variant>
        <vt:i4>5</vt:i4>
      </vt:variant>
      <vt:variant>
        <vt:lpwstr>http://www.reginfo.gov/public/do/PRAOMBHistory?ombControlNumber=2070-0162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 Non-Substantive Change to an Existing Approved Information Collection</dc:title>
  <dc:subject/>
  <dc:creator>Peter Smith</dc:creator>
  <cp:keywords/>
  <cp:lastModifiedBy>Clark, Spencer</cp:lastModifiedBy>
  <cp:revision>2</cp:revision>
  <cp:lastPrinted>2016-03-01T21:41:00Z</cp:lastPrinted>
  <dcterms:created xsi:type="dcterms:W3CDTF">2016-03-10T20:05:00Z</dcterms:created>
  <dcterms:modified xsi:type="dcterms:W3CDTF">2016-03-10T20:05:00Z</dcterms:modified>
</cp:coreProperties>
</file>